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D39C3B" wp14:editId="791D70C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B54841" w:rsidP="008F07A3">
          <w:pPr>
            <w:pStyle w:val="ReportSubtitle"/>
          </w:pPr>
          <w:r>
            <w:t>ActewAGL</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r>
      <w:r w:rsidR="00AA6C5B" w:rsidRPr="00AA6C5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042557"/>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277163">
        <w:t>ActewAGL</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524C2D" w:rsidRPr="00524C2D" w:rsidRDefault="00524C2D" w:rsidP="00524C2D">
      <w:r w:rsidRPr="00524C2D">
        <w:t>Attachment 20 - Analysis of Financial Viability</w:t>
      </w:r>
    </w:p>
    <w:p w:rsidR="00524C2D" w:rsidRPr="008F07A3" w:rsidRDefault="00524C2D" w:rsidP="00524C2D">
      <w:pPr>
        <w:sectPr w:rsidR="00524C2D"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04255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908AA" w:rsidRDefault="0099387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7,1,Heading 8,2" </w:instrText>
          </w:r>
          <w:r>
            <w:rPr>
              <w:color w:val="auto"/>
              <w:sz w:val="22"/>
            </w:rPr>
            <w:fldChar w:fldCharType="separate"/>
          </w:r>
          <w:hyperlink w:anchor="_Toc417042557" w:history="1">
            <w:r w:rsidR="004908AA" w:rsidRPr="00224F31">
              <w:rPr>
                <w:rStyle w:val="Hyperlink"/>
              </w:rPr>
              <w:t>Note</w:t>
            </w:r>
            <w:r w:rsidR="004908AA">
              <w:rPr>
                <w:webHidden/>
              </w:rPr>
              <w:tab/>
            </w:r>
            <w:r w:rsidR="004908AA">
              <w:rPr>
                <w:webHidden/>
              </w:rPr>
              <w:fldChar w:fldCharType="begin"/>
            </w:r>
            <w:r w:rsidR="004908AA">
              <w:rPr>
                <w:webHidden/>
              </w:rPr>
              <w:instrText xml:space="preserve"> PAGEREF _Toc417042557 \h </w:instrText>
            </w:r>
            <w:r w:rsidR="004908AA">
              <w:rPr>
                <w:webHidden/>
              </w:rPr>
            </w:r>
            <w:r w:rsidR="004908AA">
              <w:rPr>
                <w:webHidden/>
              </w:rPr>
              <w:fldChar w:fldCharType="separate"/>
            </w:r>
            <w:r w:rsidR="004908AA">
              <w:rPr>
                <w:webHidden/>
              </w:rPr>
              <w:t>4-2</w:t>
            </w:r>
            <w:r w:rsidR="004908AA">
              <w:rPr>
                <w:webHidden/>
              </w:rPr>
              <w:fldChar w:fldCharType="end"/>
            </w:r>
          </w:hyperlink>
        </w:p>
        <w:p w:rsidR="004908AA" w:rsidRDefault="006E52BD">
          <w:pPr>
            <w:pStyle w:val="TOC1"/>
            <w:rPr>
              <w:rFonts w:asciiTheme="minorHAnsi" w:eastAsiaTheme="minorEastAsia" w:hAnsiTheme="minorHAnsi"/>
              <w:b w:val="0"/>
              <w:color w:val="auto"/>
              <w:sz w:val="22"/>
              <w:lang w:val="en-AU" w:eastAsia="en-AU"/>
            </w:rPr>
          </w:pPr>
          <w:hyperlink w:anchor="_Toc417042558" w:history="1">
            <w:r w:rsidR="004908AA" w:rsidRPr="00224F31">
              <w:rPr>
                <w:rStyle w:val="Hyperlink"/>
              </w:rPr>
              <w:t>Contents</w:t>
            </w:r>
            <w:r w:rsidR="004908AA">
              <w:rPr>
                <w:webHidden/>
              </w:rPr>
              <w:tab/>
            </w:r>
            <w:r w:rsidR="004908AA">
              <w:rPr>
                <w:webHidden/>
              </w:rPr>
              <w:fldChar w:fldCharType="begin"/>
            </w:r>
            <w:r w:rsidR="004908AA">
              <w:rPr>
                <w:webHidden/>
              </w:rPr>
              <w:instrText xml:space="preserve"> PAGEREF _Toc417042558 \h </w:instrText>
            </w:r>
            <w:r w:rsidR="004908AA">
              <w:rPr>
                <w:webHidden/>
              </w:rPr>
            </w:r>
            <w:r w:rsidR="004908AA">
              <w:rPr>
                <w:webHidden/>
              </w:rPr>
              <w:fldChar w:fldCharType="separate"/>
            </w:r>
            <w:r w:rsidR="004908AA">
              <w:rPr>
                <w:webHidden/>
              </w:rPr>
              <w:t>4-3</w:t>
            </w:r>
            <w:r w:rsidR="004908AA">
              <w:rPr>
                <w:webHidden/>
              </w:rPr>
              <w:fldChar w:fldCharType="end"/>
            </w:r>
          </w:hyperlink>
        </w:p>
        <w:p w:rsidR="004908AA" w:rsidRDefault="006E52BD">
          <w:pPr>
            <w:pStyle w:val="TOC1"/>
            <w:rPr>
              <w:rFonts w:asciiTheme="minorHAnsi" w:eastAsiaTheme="minorEastAsia" w:hAnsiTheme="minorHAnsi"/>
              <w:b w:val="0"/>
              <w:color w:val="auto"/>
              <w:sz w:val="22"/>
              <w:lang w:val="en-AU" w:eastAsia="en-AU"/>
            </w:rPr>
          </w:pPr>
          <w:hyperlink w:anchor="_Toc417042559" w:history="1">
            <w:r w:rsidR="004908AA" w:rsidRPr="00224F31">
              <w:rPr>
                <w:rStyle w:val="Hyperlink"/>
              </w:rPr>
              <w:t>Shortened forms</w:t>
            </w:r>
            <w:r w:rsidR="004908AA">
              <w:rPr>
                <w:webHidden/>
              </w:rPr>
              <w:tab/>
            </w:r>
            <w:r w:rsidR="004908AA">
              <w:rPr>
                <w:webHidden/>
              </w:rPr>
              <w:fldChar w:fldCharType="begin"/>
            </w:r>
            <w:r w:rsidR="004908AA">
              <w:rPr>
                <w:webHidden/>
              </w:rPr>
              <w:instrText xml:space="preserve"> PAGEREF _Toc417042559 \h </w:instrText>
            </w:r>
            <w:r w:rsidR="004908AA">
              <w:rPr>
                <w:webHidden/>
              </w:rPr>
            </w:r>
            <w:r w:rsidR="004908AA">
              <w:rPr>
                <w:webHidden/>
              </w:rPr>
              <w:fldChar w:fldCharType="separate"/>
            </w:r>
            <w:r w:rsidR="004908AA">
              <w:rPr>
                <w:webHidden/>
              </w:rPr>
              <w:t>4-5</w:t>
            </w:r>
            <w:r w:rsidR="004908AA">
              <w:rPr>
                <w:webHidden/>
              </w:rPr>
              <w:fldChar w:fldCharType="end"/>
            </w:r>
          </w:hyperlink>
        </w:p>
        <w:p w:rsidR="004908AA" w:rsidRDefault="006E52BD">
          <w:pPr>
            <w:pStyle w:val="TOC1"/>
            <w:rPr>
              <w:rFonts w:asciiTheme="minorHAnsi" w:eastAsiaTheme="minorEastAsia" w:hAnsiTheme="minorHAnsi"/>
              <w:b w:val="0"/>
              <w:color w:val="auto"/>
              <w:sz w:val="22"/>
              <w:lang w:val="en-AU" w:eastAsia="en-AU"/>
            </w:rPr>
          </w:pPr>
          <w:hyperlink w:anchor="_Toc417042560" w:history="1">
            <w:r w:rsidR="004908AA" w:rsidRPr="00224F31">
              <w:rPr>
                <w:rStyle w:val="Hyperlink"/>
              </w:rPr>
              <w:t>4</w:t>
            </w:r>
            <w:r w:rsidR="004908AA">
              <w:rPr>
                <w:rFonts w:asciiTheme="minorHAnsi" w:eastAsiaTheme="minorEastAsia" w:hAnsiTheme="minorHAnsi"/>
                <w:b w:val="0"/>
                <w:color w:val="auto"/>
                <w:sz w:val="22"/>
                <w:lang w:val="en-AU" w:eastAsia="en-AU"/>
              </w:rPr>
              <w:tab/>
            </w:r>
            <w:r w:rsidR="004908AA" w:rsidRPr="00224F31">
              <w:rPr>
                <w:rStyle w:val="Hyperlink"/>
              </w:rPr>
              <w:t>Value of imputation credits</w:t>
            </w:r>
            <w:r w:rsidR="004908AA">
              <w:rPr>
                <w:webHidden/>
              </w:rPr>
              <w:tab/>
            </w:r>
            <w:r w:rsidR="004908AA">
              <w:rPr>
                <w:webHidden/>
              </w:rPr>
              <w:fldChar w:fldCharType="begin"/>
            </w:r>
            <w:r w:rsidR="004908AA">
              <w:rPr>
                <w:webHidden/>
              </w:rPr>
              <w:instrText xml:space="preserve"> PAGEREF _Toc417042560 \h </w:instrText>
            </w:r>
            <w:r w:rsidR="004908AA">
              <w:rPr>
                <w:webHidden/>
              </w:rPr>
            </w:r>
            <w:r w:rsidR="004908AA">
              <w:rPr>
                <w:webHidden/>
              </w:rPr>
              <w:fldChar w:fldCharType="separate"/>
            </w:r>
            <w:r w:rsidR="004908AA">
              <w:rPr>
                <w:webHidden/>
              </w:rPr>
              <w:t>4-7</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61" w:history="1">
            <w:r w:rsidR="004908AA" w:rsidRPr="00224F31">
              <w:rPr>
                <w:rStyle w:val="Hyperlink"/>
              </w:rPr>
              <w:t>4.1</w:t>
            </w:r>
            <w:r w:rsidR="004908AA">
              <w:rPr>
                <w:rFonts w:asciiTheme="minorHAnsi" w:eastAsiaTheme="minorEastAsia" w:hAnsiTheme="minorHAnsi"/>
                <w:b w:val="0"/>
                <w:color w:val="auto"/>
                <w:sz w:val="22"/>
                <w:lang w:eastAsia="en-AU"/>
              </w:rPr>
              <w:tab/>
            </w:r>
            <w:r w:rsidR="004908AA" w:rsidRPr="00224F31">
              <w:rPr>
                <w:rStyle w:val="Hyperlink"/>
              </w:rPr>
              <w:t>Final decision</w:t>
            </w:r>
            <w:r w:rsidR="004908AA">
              <w:rPr>
                <w:webHidden/>
              </w:rPr>
              <w:tab/>
            </w:r>
            <w:r w:rsidR="004908AA">
              <w:rPr>
                <w:webHidden/>
              </w:rPr>
              <w:fldChar w:fldCharType="begin"/>
            </w:r>
            <w:r w:rsidR="004908AA">
              <w:rPr>
                <w:webHidden/>
              </w:rPr>
              <w:instrText xml:space="preserve"> PAGEREF _Toc417042561 \h </w:instrText>
            </w:r>
            <w:r w:rsidR="004908AA">
              <w:rPr>
                <w:webHidden/>
              </w:rPr>
            </w:r>
            <w:r w:rsidR="004908AA">
              <w:rPr>
                <w:webHidden/>
              </w:rPr>
              <w:fldChar w:fldCharType="separate"/>
            </w:r>
            <w:r w:rsidR="004908AA">
              <w:rPr>
                <w:webHidden/>
              </w:rPr>
              <w:t>4-7</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62" w:history="1">
            <w:r w:rsidR="004908AA" w:rsidRPr="00224F31">
              <w:rPr>
                <w:rStyle w:val="Hyperlink"/>
              </w:rPr>
              <w:t>4.2</w:t>
            </w:r>
            <w:r w:rsidR="004908AA">
              <w:rPr>
                <w:rFonts w:asciiTheme="minorHAnsi" w:eastAsiaTheme="minorEastAsia" w:hAnsiTheme="minorHAnsi"/>
                <w:b w:val="0"/>
                <w:color w:val="auto"/>
                <w:sz w:val="22"/>
                <w:lang w:eastAsia="en-AU"/>
              </w:rPr>
              <w:tab/>
            </w:r>
            <w:r w:rsidR="004908AA" w:rsidRPr="00224F31">
              <w:rPr>
                <w:rStyle w:val="Hyperlink"/>
              </w:rPr>
              <w:t>ActewAGL’s revised proposal</w:t>
            </w:r>
            <w:r w:rsidR="004908AA">
              <w:rPr>
                <w:webHidden/>
              </w:rPr>
              <w:tab/>
            </w:r>
            <w:r w:rsidR="004908AA">
              <w:rPr>
                <w:webHidden/>
              </w:rPr>
              <w:fldChar w:fldCharType="begin"/>
            </w:r>
            <w:r w:rsidR="004908AA">
              <w:rPr>
                <w:webHidden/>
              </w:rPr>
              <w:instrText xml:space="preserve"> PAGEREF _Toc417042562 \h </w:instrText>
            </w:r>
            <w:r w:rsidR="004908AA">
              <w:rPr>
                <w:webHidden/>
              </w:rPr>
            </w:r>
            <w:r w:rsidR="004908AA">
              <w:rPr>
                <w:webHidden/>
              </w:rPr>
              <w:fldChar w:fldCharType="separate"/>
            </w:r>
            <w:r w:rsidR="004908AA">
              <w:rPr>
                <w:webHidden/>
              </w:rPr>
              <w:t>4-8</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63" w:history="1">
            <w:r w:rsidR="004908AA" w:rsidRPr="00224F31">
              <w:rPr>
                <w:rStyle w:val="Hyperlink"/>
              </w:rPr>
              <w:t>4.3</w:t>
            </w:r>
            <w:r w:rsidR="004908AA">
              <w:rPr>
                <w:rFonts w:asciiTheme="minorHAnsi" w:eastAsiaTheme="minorEastAsia" w:hAnsiTheme="minorHAnsi"/>
                <w:b w:val="0"/>
                <w:color w:val="auto"/>
                <w:sz w:val="22"/>
                <w:lang w:eastAsia="en-AU"/>
              </w:rPr>
              <w:tab/>
            </w:r>
            <w:r w:rsidR="004908AA" w:rsidRPr="00224F31">
              <w:rPr>
                <w:rStyle w:val="Hyperlink"/>
              </w:rPr>
              <w:t>AER’s assessment approach</w:t>
            </w:r>
            <w:r w:rsidR="004908AA">
              <w:rPr>
                <w:webHidden/>
              </w:rPr>
              <w:tab/>
            </w:r>
            <w:r w:rsidR="004908AA">
              <w:rPr>
                <w:webHidden/>
              </w:rPr>
              <w:fldChar w:fldCharType="begin"/>
            </w:r>
            <w:r w:rsidR="004908AA">
              <w:rPr>
                <w:webHidden/>
              </w:rPr>
              <w:instrText xml:space="preserve"> PAGEREF _Toc417042563 \h </w:instrText>
            </w:r>
            <w:r w:rsidR="004908AA">
              <w:rPr>
                <w:webHidden/>
              </w:rPr>
            </w:r>
            <w:r w:rsidR="004908AA">
              <w:rPr>
                <w:webHidden/>
              </w:rPr>
              <w:fldChar w:fldCharType="separate"/>
            </w:r>
            <w:r w:rsidR="004908AA">
              <w:rPr>
                <w:webHidden/>
              </w:rPr>
              <w:t>4-9</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64" w:history="1">
            <w:r w:rsidR="004908AA" w:rsidRPr="00224F31">
              <w:rPr>
                <w:rStyle w:val="Hyperlink"/>
              </w:rPr>
              <w:t>4.4</w:t>
            </w:r>
            <w:r w:rsidR="004908AA">
              <w:rPr>
                <w:rFonts w:asciiTheme="minorHAnsi" w:eastAsiaTheme="minorEastAsia" w:hAnsiTheme="minorHAnsi"/>
                <w:b w:val="0"/>
                <w:color w:val="auto"/>
                <w:sz w:val="22"/>
                <w:lang w:eastAsia="en-AU"/>
              </w:rPr>
              <w:tab/>
            </w:r>
            <w:r w:rsidR="004908AA" w:rsidRPr="00224F31">
              <w:rPr>
                <w:rStyle w:val="Hyperlink"/>
              </w:rPr>
              <w:t>Reasons for final decision</w:t>
            </w:r>
            <w:r w:rsidR="004908AA">
              <w:rPr>
                <w:webHidden/>
              </w:rPr>
              <w:tab/>
            </w:r>
            <w:r w:rsidR="004908AA">
              <w:rPr>
                <w:webHidden/>
              </w:rPr>
              <w:fldChar w:fldCharType="begin"/>
            </w:r>
            <w:r w:rsidR="004908AA">
              <w:rPr>
                <w:webHidden/>
              </w:rPr>
              <w:instrText xml:space="preserve"> PAGEREF _Toc417042564 \h </w:instrText>
            </w:r>
            <w:r w:rsidR="004908AA">
              <w:rPr>
                <w:webHidden/>
              </w:rPr>
            </w:r>
            <w:r w:rsidR="004908AA">
              <w:rPr>
                <w:webHidden/>
              </w:rPr>
              <w:fldChar w:fldCharType="separate"/>
            </w:r>
            <w:r w:rsidR="004908AA">
              <w:rPr>
                <w:webHidden/>
              </w:rPr>
              <w:t>4-16</w:t>
            </w:r>
            <w:r w:rsidR="004908AA">
              <w:rPr>
                <w:webHidden/>
              </w:rPr>
              <w:fldChar w:fldCharType="end"/>
            </w:r>
          </w:hyperlink>
        </w:p>
        <w:p w:rsidR="004908AA" w:rsidRDefault="006E52BD">
          <w:pPr>
            <w:pStyle w:val="TOC1"/>
            <w:rPr>
              <w:rFonts w:asciiTheme="minorHAnsi" w:eastAsiaTheme="minorEastAsia" w:hAnsiTheme="minorHAnsi"/>
              <w:b w:val="0"/>
              <w:color w:val="auto"/>
              <w:sz w:val="22"/>
              <w:lang w:val="en-AU" w:eastAsia="en-AU"/>
            </w:rPr>
          </w:pPr>
          <w:hyperlink w:anchor="_Toc417042565" w:history="1">
            <w:r w:rsidR="004908AA" w:rsidRPr="00224F31">
              <w:rPr>
                <w:rStyle w:val="Hyperlink"/>
              </w:rPr>
              <w:t>A</w:t>
            </w:r>
            <w:r w:rsidR="004908AA">
              <w:rPr>
                <w:rFonts w:asciiTheme="minorHAnsi" w:eastAsiaTheme="minorEastAsia" w:hAnsiTheme="minorHAnsi"/>
                <w:b w:val="0"/>
                <w:color w:val="auto"/>
                <w:sz w:val="22"/>
                <w:lang w:val="en-AU" w:eastAsia="en-AU"/>
              </w:rPr>
              <w:tab/>
            </w:r>
            <w:r w:rsidR="004908AA" w:rsidRPr="00224F31">
              <w:rPr>
                <w:rStyle w:val="Hyperlink"/>
              </w:rPr>
              <w:t>Value of imputation credits: Detailed analysis</w:t>
            </w:r>
            <w:r w:rsidR="004908AA">
              <w:rPr>
                <w:webHidden/>
              </w:rPr>
              <w:tab/>
            </w:r>
            <w:r w:rsidR="004908AA">
              <w:rPr>
                <w:webHidden/>
              </w:rPr>
              <w:fldChar w:fldCharType="begin"/>
            </w:r>
            <w:r w:rsidR="004908AA">
              <w:rPr>
                <w:webHidden/>
              </w:rPr>
              <w:instrText xml:space="preserve"> PAGEREF _Toc417042565 \h </w:instrText>
            </w:r>
            <w:r w:rsidR="004908AA">
              <w:rPr>
                <w:webHidden/>
              </w:rPr>
            </w:r>
            <w:r w:rsidR="004908AA">
              <w:rPr>
                <w:webHidden/>
              </w:rPr>
              <w:fldChar w:fldCharType="separate"/>
            </w:r>
            <w:r w:rsidR="004908AA">
              <w:rPr>
                <w:webHidden/>
              </w:rPr>
              <w:t>4-30</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66" w:history="1">
            <w:r w:rsidR="004908AA" w:rsidRPr="00224F31">
              <w:rPr>
                <w:rStyle w:val="Hyperlink"/>
              </w:rPr>
              <w:t>A.1</w:t>
            </w:r>
            <w:r w:rsidR="004908AA">
              <w:rPr>
                <w:rFonts w:asciiTheme="minorHAnsi" w:eastAsiaTheme="minorEastAsia" w:hAnsiTheme="minorHAnsi"/>
                <w:b w:val="0"/>
                <w:color w:val="auto"/>
                <w:sz w:val="22"/>
                <w:lang w:eastAsia="en-AU"/>
              </w:rPr>
              <w:tab/>
            </w:r>
            <w:r w:rsidR="004908AA" w:rsidRPr="00224F31">
              <w:rPr>
                <w:rStyle w:val="Hyperlink"/>
              </w:rPr>
              <w:t>Expert views on the value of imputation credits</w:t>
            </w:r>
            <w:r w:rsidR="004908AA">
              <w:rPr>
                <w:webHidden/>
              </w:rPr>
              <w:tab/>
            </w:r>
            <w:r w:rsidR="004908AA">
              <w:rPr>
                <w:webHidden/>
              </w:rPr>
              <w:fldChar w:fldCharType="begin"/>
            </w:r>
            <w:r w:rsidR="004908AA">
              <w:rPr>
                <w:webHidden/>
              </w:rPr>
              <w:instrText xml:space="preserve"> PAGEREF _Toc417042566 \h </w:instrText>
            </w:r>
            <w:r w:rsidR="004908AA">
              <w:rPr>
                <w:webHidden/>
              </w:rPr>
            </w:r>
            <w:r w:rsidR="004908AA">
              <w:rPr>
                <w:webHidden/>
              </w:rPr>
              <w:fldChar w:fldCharType="separate"/>
            </w:r>
            <w:r w:rsidR="004908AA">
              <w:rPr>
                <w:webHidden/>
              </w:rPr>
              <w:t>4-30</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67" w:history="1">
            <w:r w:rsidR="004908AA" w:rsidRPr="00224F31">
              <w:rPr>
                <w:rStyle w:val="Hyperlink"/>
              </w:rPr>
              <w:t>A.2</w:t>
            </w:r>
            <w:r w:rsidR="004908AA">
              <w:rPr>
                <w:rFonts w:asciiTheme="minorHAnsi" w:eastAsiaTheme="minorEastAsia" w:hAnsiTheme="minorHAnsi"/>
                <w:b w:val="0"/>
                <w:color w:val="auto"/>
                <w:sz w:val="22"/>
                <w:lang w:eastAsia="en-AU"/>
              </w:rPr>
              <w:tab/>
            </w:r>
            <w:r w:rsidR="004908AA" w:rsidRPr="00224F31">
              <w:rPr>
                <w:rStyle w:val="Hyperlink"/>
              </w:rPr>
              <w:t>The value of imputation credits used by other regulators</w:t>
            </w:r>
            <w:r w:rsidR="004908AA">
              <w:rPr>
                <w:webHidden/>
              </w:rPr>
              <w:tab/>
            </w:r>
            <w:r w:rsidR="004908AA">
              <w:rPr>
                <w:webHidden/>
              </w:rPr>
              <w:fldChar w:fldCharType="begin"/>
            </w:r>
            <w:r w:rsidR="004908AA">
              <w:rPr>
                <w:webHidden/>
              </w:rPr>
              <w:instrText xml:space="preserve"> PAGEREF _Toc417042567 \h </w:instrText>
            </w:r>
            <w:r w:rsidR="004908AA">
              <w:rPr>
                <w:webHidden/>
              </w:rPr>
            </w:r>
            <w:r w:rsidR="004908AA">
              <w:rPr>
                <w:webHidden/>
              </w:rPr>
              <w:fldChar w:fldCharType="separate"/>
            </w:r>
            <w:r w:rsidR="004908AA">
              <w:rPr>
                <w:webHidden/>
              </w:rPr>
              <w:t>4-32</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68" w:history="1">
            <w:r w:rsidR="004908AA" w:rsidRPr="00224F31">
              <w:rPr>
                <w:rStyle w:val="Hyperlink"/>
              </w:rPr>
              <w:t>A.3</w:t>
            </w:r>
            <w:r w:rsidR="004908AA">
              <w:rPr>
                <w:rFonts w:asciiTheme="minorHAnsi" w:eastAsiaTheme="minorEastAsia" w:hAnsiTheme="minorHAnsi"/>
                <w:b w:val="0"/>
                <w:color w:val="auto"/>
                <w:sz w:val="22"/>
                <w:lang w:eastAsia="en-AU"/>
              </w:rPr>
              <w:tab/>
            </w:r>
            <w:r w:rsidR="004908AA" w:rsidRPr="00224F31">
              <w:rPr>
                <w:rStyle w:val="Hyperlink"/>
              </w:rPr>
              <w:t>Previous Australian Competition Tribunal considerations</w:t>
            </w:r>
            <w:r w:rsidR="004908AA">
              <w:rPr>
                <w:webHidden/>
              </w:rPr>
              <w:tab/>
            </w:r>
            <w:r w:rsidR="004908AA">
              <w:rPr>
                <w:webHidden/>
              </w:rPr>
              <w:fldChar w:fldCharType="begin"/>
            </w:r>
            <w:r w:rsidR="004908AA">
              <w:rPr>
                <w:webHidden/>
              </w:rPr>
              <w:instrText xml:space="preserve"> PAGEREF _Toc417042568 \h </w:instrText>
            </w:r>
            <w:r w:rsidR="004908AA">
              <w:rPr>
                <w:webHidden/>
              </w:rPr>
            </w:r>
            <w:r w:rsidR="004908AA">
              <w:rPr>
                <w:webHidden/>
              </w:rPr>
              <w:fldChar w:fldCharType="separate"/>
            </w:r>
            <w:r w:rsidR="004908AA">
              <w:rPr>
                <w:webHidden/>
              </w:rPr>
              <w:t>4-33</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69" w:history="1">
            <w:r w:rsidR="004908AA" w:rsidRPr="00224F31">
              <w:rPr>
                <w:rStyle w:val="Hyperlink"/>
              </w:rPr>
              <w:t>A.4</w:t>
            </w:r>
            <w:r w:rsidR="004908AA">
              <w:rPr>
                <w:rFonts w:asciiTheme="minorHAnsi" w:eastAsiaTheme="minorEastAsia" w:hAnsiTheme="minorHAnsi"/>
                <w:b w:val="0"/>
                <w:color w:val="auto"/>
                <w:sz w:val="22"/>
                <w:lang w:eastAsia="en-AU"/>
              </w:rPr>
              <w:tab/>
            </w:r>
            <w:r w:rsidR="004908AA" w:rsidRPr="00224F31">
              <w:rPr>
                <w:rStyle w:val="Hyperlink"/>
              </w:rPr>
              <w:t>Key concerns of the service providers</w:t>
            </w:r>
            <w:r w:rsidR="004908AA">
              <w:rPr>
                <w:webHidden/>
              </w:rPr>
              <w:tab/>
            </w:r>
            <w:r w:rsidR="004908AA">
              <w:rPr>
                <w:webHidden/>
              </w:rPr>
              <w:fldChar w:fldCharType="begin"/>
            </w:r>
            <w:r w:rsidR="004908AA">
              <w:rPr>
                <w:webHidden/>
              </w:rPr>
              <w:instrText xml:space="preserve"> PAGEREF _Toc417042569 \h </w:instrText>
            </w:r>
            <w:r w:rsidR="004908AA">
              <w:rPr>
                <w:webHidden/>
              </w:rPr>
            </w:r>
            <w:r w:rsidR="004908AA">
              <w:rPr>
                <w:webHidden/>
              </w:rPr>
              <w:fldChar w:fldCharType="separate"/>
            </w:r>
            <w:r w:rsidR="004908AA">
              <w:rPr>
                <w:webHidden/>
              </w:rPr>
              <w:t>4-39</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70" w:history="1">
            <w:r w:rsidR="004908AA" w:rsidRPr="00224F31">
              <w:rPr>
                <w:rStyle w:val="Hyperlink"/>
              </w:rPr>
              <w:t>A.5</w:t>
            </w:r>
            <w:r w:rsidR="004908AA">
              <w:rPr>
                <w:rFonts w:asciiTheme="minorHAnsi" w:eastAsiaTheme="minorEastAsia" w:hAnsiTheme="minorHAnsi"/>
                <w:b w:val="0"/>
                <w:color w:val="auto"/>
                <w:sz w:val="22"/>
                <w:lang w:eastAsia="en-AU"/>
              </w:rPr>
              <w:tab/>
            </w:r>
            <w:r w:rsidR="004908AA" w:rsidRPr="00224F31">
              <w:rPr>
                <w:rStyle w:val="Hyperlink"/>
              </w:rPr>
              <w:t xml:space="preserve">The role of the value of imputation credits in the regulatory </w:t>
            </w:r>
            <w:r w:rsidR="00D86A4A">
              <w:rPr>
                <w:rStyle w:val="Hyperlink"/>
              </w:rPr>
              <w:t xml:space="preserve">   </w:t>
            </w:r>
            <w:r w:rsidR="004908AA" w:rsidRPr="00224F31">
              <w:rPr>
                <w:rStyle w:val="Hyperlink"/>
              </w:rPr>
              <w:t>framework</w:t>
            </w:r>
            <w:r w:rsidR="004908AA">
              <w:rPr>
                <w:webHidden/>
              </w:rPr>
              <w:tab/>
            </w:r>
            <w:r w:rsidR="004908AA">
              <w:rPr>
                <w:webHidden/>
              </w:rPr>
              <w:fldChar w:fldCharType="begin"/>
            </w:r>
            <w:r w:rsidR="004908AA">
              <w:rPr>
                <w:webHidden/>
              </w:rPr>
              <w:instrText xml:space="preserve"> PAGEREF _Toc417042570 \h </w:instrText>
            </w:r>
            <w:r w:rsidR="004908AA">
              <w:rPr>
                <w:webHidden/>
              </w:rPr>
            </w:r>
            <w:r w:rsidR="004908AA">
              <w:rPr>
                <w:webHidden/>
              </w:rPr>
              <w:fldChar w:fldCharType="separate"/>
            </w:r>
            <w:r w:rsidR="004908AA">
              <w:rPr>
                <w:webHidden/>
              </w:rPr>
              <w:t>4-40</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71" w:history="1">
            <w:r w:rsidR="004908AA" w:rsidRPr="00224F31">
              <w:rPr>
                <w:rStyle w:val="Hyperlink"/>
              </w:rPr>
              <w:t>A.6</w:t>
            </w:r>
            <w:r w:rsidR="004908AA">
              <w:rPr>
                <w:rFonts w:asciiTheme="minorHAnsi" w:eastAsiaTheme="minorEastAsia" w:hAnsiTheme="minorHAnsi"/>
                <w:b w:val="0"/>
                <w:color w:val="auto"/>
                <w:sz w:val="22"/>
                <w:lang w:eastAsia="en-AU"/>
              </w:rPr>
              <w:tab/>
            </w:r>
            <w:r w:rsidR="004908AA" w:rsidRPr="00224F31">
              <w:rPr>
                <w:rStyle w:val="Hyperlink"/>
              </w:rPr>
              <w:t>The conceptual framework for the value of imputation credits</w:t>
            </w:r>
            <w:r w:rsidR="004908AA">
              <w:rPr>
                <w:webHidden/>
              </w:rPr>
              <w:tab/>
            </w:r>
            <w:r w:rsidR="004908AA">
              <w:rPr>
                <w:webHidden/>
              </w:rPr>
              <w:fldChar w:fldCharType="begin"/>
            </w:r>
            <w:r w:rsidR="004908AA">
              <w:rPr>
                <w:webHidden/>
              </w:rPr>
              <w:instrText xml:space="preserve"> PAGEREF _Toc417042571 \h </w:instrText>
            </w:r>
            <w:r w:rsidR="004908AA">
              <w:rPr>
                <w:webHidden/>
              </w:rPr>
            </w:r>
            <w:r w:rsidR="004908AA">
              <w:rPr>
                <w:webHidden/>
              </w:rPr>
              <w:fldChar w:fldCharType="separate"/>
            </w:r>
            <w:r w:rsidR="004908AA">
              <w:rPr>
                <w:webHidden/>
              </w:rPr>
              <w:t>4-42</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72" w:history="1">
            <w:r w:rsidR="004908AA" w:rsidRPr="00224F31">
              <w:rPr>
                <w:rStyle w:val="Hyperlink"/>
              </w:rPr>
              <w:t>A.7</w:t>
            </w:r>
            <w:r w:rsidR="004908AA">
              <w:rPr>
                <w:rFonts w:asciiTheme="minorHAnsi" w:eastAsiaTheme="minorEastAsia" w:hAnsiTheme="minorHAnsi"/>
                <w:b w:val="0"/>
                <w:color w:val="auto"/>
                <w:sz w:val="22"/>
                <w:lang w:eastAsia="en-AU"/>
              </w:rPr>
              <w:tab/>
            </w:r>
            <w:r w:rsidR="004908AA" w:rsidRPr="00224F31">
              <w:rPr>
                <w:rStyle w:val="Hyperlink"/>
              </w:rPr>
              <w:t>SFG's comments on the conceptual framework</w:t>
            </w:r>
            <w:r w:rsidR="004908AA">
              <w:rPr>
                <w:webHidden/>
              </w:rPr>
              <w:tab/>
            </w:r>
            <w:r w:rsidR="004908AA">
              <w:rPr>
                <w:webHidden/>
              </w:rPr>
              <w:fldChar w:fldCharType="begin"/>
            </w:r>
            <w:r w:rsidR="004908AA">
              <w:rPr>
                <w:webHidden/>
              </w:rPr>
              <w:instrText xml:space="preserve"> PAGEREF _Toc417042572 \h </w:instrText>
            </w:r>
            <w:r w:rsidR="004908AA">
              <w:rPr>
                <w:webHidden/>
              </w:rPr>
            </w:r>
            <w:r w:rsidR="004908AA">
              <w:rPr>
                <w:webHidden/>
              </w:rPr>
              <w:fldChar w:fldCharType="separate"/>
            </w:r>
            <w:r w:rsidR="004908AA">
              <w:rPr>
                <w:webHidden/>
              </w:rPr>
              <w:t>4-45</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73" w:history="1">
            <w:r w:rsidR="004908AA" w:rsidRPr="00224F31">
              <w:rPr>
                <w:rStyle w:val="Hyperlink"/>
              </w:rPr>
              <w:t>A.8</w:t>
            </w:r>
            <w:r w:rsidR="004908AA">
              <w:rPr>
                <w:rFonts w:asciiTheme="minorHAnsi" w:eastAsiaTheme="minorEastAsia" w:hAnsiTheme="minorHAnsi"/>
                <w:b w:val="0"/>
                <w:color w:val="auto"/>
                <w:sz w:val="22"/>
                <w:lang w:eastAsia="en-AU"/>
              </w:rPr>
              <w:tab/>
            </w:r>
            <w:r w:rsidR="004908AA" w:rsidRPr="00224F31">
              <w:rPr>
                <w:rStyle w:val="Hyperlink"/>
              </w:rPr>
              <w:t>Further issues relating to the utilisation rate</w:t>
            </w:r>
            <w:r w:rsidR="004908AA">
              <w:rPr>
                <w:webHidden/>
              </w:rPr>
              <w:tab/>
            </w:r>
            <w:r w:rsidR="004908AA">
              <w:rPr>
                <w:webHidden/>
              </w:rPr>
              <w:fldChar w:fldCharType="begin"/>
            </w:r>
            <w:r w:rsidR="004908AA">
              <w:rPr>
                <w:webHidden/>
              </w:rPr>
              <w:instrText xml:space="preserve"> PAGEREF _Toc417042573 \h </w:instrText>
            </w:r>
            <w:r w:rsidR="004908AA">
              <w:rPr>
                <w:webHidden/>
              </w:rPr>
            </w:r>
            <w:r w:rsidR="004908AA">
              <w:rPr>
                <w:webHidden/>
              </w:rPr>
              <w:fldChar w:fldCharType="separate"/>
            </w:r>
            <w:r w:rsidR="004908AA">
              <w:rPr>
                <w:webHidden/>
              </w:rPr>
              <w:t>4-51</w:t>
            </w:r>
            <w:r w:rsidR="004908AA">
              <w:rPr>
                <w:webHidden/>
              </w:rPr>
              <w:fldChar w:fldCharType="end"/>
            </w:r>
          </w:hyperlink>
        </w:p>
        <w:p w:rsidR="004908AA" w:rsidRDefault="006E52BD">
          <w:pPr>
            <w:pStyle w:val="TOC2"/>
            <w:rPr>
              <w:rFonts w:asciiTheme="minorHAnsi" w:eastAsiaTheme="minorEastAsia" w:hAnsiTheme="minorHAnsi"/>
              <w:b w:val="0"/>
              <w:color w:val="auto"/>
              <w:sz w:val="22"/>
              <w:lang w:eastAsia="en-AU"/>
            </w:rPr>
          </w:pPr>
          <w:hyperlink w:anchor="_Toc417042574" w:history="1">
            <w:r w:rsidR="004908AA" w:rsidRPr="00224F31">
              <w:rPr>
                <w:rStyle w:val="Hyperlink"/>
              </w:rPr>
              <w:t>A.9</w:t>
            </w:r>
            <w:r w:rsidR="004908AA">
              <w:rPr>
                <w:rFonts w:asciiTheme="minorHAnsi" w:eastAsiaTheme="minorEastAsia" w:hAnsiTheme="minorHAnsi"/>
                <w:b w:val="0"/>
                <w:color w:val="auto"/>
                <w:sz w:val="22"/>
                <w:lang w:eastAsia="en-AU"/>
              </w:rPr>
              <w:tab/>
            </w:r>
            <w:r w:rsidR="004908AA" w:rsidRPr="00224F31">
              <w:rPr>
                <w:rStyle w:val="Hyperlink"/>
              </w:rPr>
              <w:t>Estimation approach considerations</w:t>
            </w:r>
            <w:r w:rsidR="004908AA">
              <w:rPr>
                <w:webHidden/>
              </w:rPr>
              <w:tab/>
            </w:r>
            <w:r w:rsidR="004908AA">
              <w:rPr>
                <w:webHidden/>
              </w:rPr>
              <w:fldChar w:fldCharType="begin"/>
            </w:r>
            <w:r w:rsidR="004908AA">
              <w:rPr>
                <w:webHidden/>
              </w:rPr>
              <w:instrText xml:space="preserve"> PAGEREF _Toc417042574 \h </w:instrText>
            </w:r>
            <w:r w:rsidR="004908AA">
              <w:rPr>
                <w:webHidden/>
              </w:rPr>
            </w:r>
            <w:r w:rsidR="004908AA">
              <w:rPr>
                <w:webHidden/>
              </w:rPr>
              <w:fldChar w:fldCharType="separate"/>
            </w:r>
            <w:r w:rsidR="004908AA">
              <w:rPr>
                <w:webHidden/>
              </w:rPr>
              <w:t>4-62</w:t>
            </w:r>
            <w:r w:rsidR="004908AA">
              <w:rPr>
                <w:webHidden/>
              </w:rPr>
              <w:fldChar w:fldCharType="end"/>
            </w:r>
          </w:hyperlink>
        </w:p>
        <w:p w:rsidR="004908AA" w:rsidRDefault="006E52BD">
          <w:pPr>
            <w:pStyle w:val="TOC2"/>
            <w:tabs>
              <w:tab w:val="left" w:pos="1276"/>
            </w:tabs>
            <w:rPr>
              <w:rFonts w:asciiTheme="minorHAnsi" w:eastAsiaTheme="minorEastAsia" w:hAnsiTheme="minorHAnsi"/>
              <w:b w:val="0"/>
              <w:color w:val="auto"/>
              <w:sz w:val="22"/>
              <w:lang w:eastAsia="en-AU"/>
            </w:rPr>
          </w:pPr>
          <w:hyperlink w:anchor="_Toc417042575" w:history="1">
            <w:r w:rsidR="004908AA" w:rsidRPr="00224F31">
              <w:rPr>
                <w:rStyle w:val="Hyperlink"/>
              </w:rPr>
              <w:t>A.10</w:t>
            </w:r>
            <w:r w:rsidR="004908AA">
              <w:rPr>
                <w:rFonts w:asciiTheme="minorHAnsi" w:eastAsiaTheme="minorEastAsia" w:hAnsiTheme="minorHAnsi"/>
                <w:b w:val="0"/>
                <w:color w:val="auto"/>
                <w:sz w:val="22"/>
                <w:lang w:eastAsia="en-AU"/>
              </w:rPr>
              <w:tab/>
            </w:r>
            <w:r w:rsidR="004908AA" w:rsidRPr="00224F31">
              <w:rPr>
                <w:rStyle w:val="Hyperlink"/>
              </w:rPr>
              <w:t>Estimating the distribution rate</w:t>
            </w:r>
            <w:r w:rsidR="004908AA">
              <w:rPr>
                <w:webHidden/>
              </w:rPr>
              <w:tab/>
            </w:r>
            <w:r w:rsidR="004908AA">
              <w:rPr>
                <w:webHidden/>
              </w:rPr>
              <w:fldChar w:fldCharType="begin"/>
            </w:r>
            <w:r w:rsidR="004908AA">
              <w:rPr>
                <w:webHidden/>
              </w:rPr>
              <w:instrText xml:space="preserve"> PAGEREF _Toc417042575 \h </w:instrText>
            </w:r>
            <w:r w:rsidR="004908AA">
              <w:rPr>
                <w:webHidden/>
              </w:rPr>
            </w:r>
            <w:r w:rsidR="004908AA">
              <w:rPr>
                <w:webHidden/>
              </w:rPr>
              <w:fldChar w:fldCharType="separate"/>
            </w:r>
            <w:r w:rsidR="004908AA">
              <w:rPr>
                <w:webHidden/>
              </w:rPr>
              <w:t>4-64</w:t>
            </w:r>
            <w:r w:rsidR="004908AA">
              <w:rPr>
                <w:webHidden/>
              </w:rPr>
              <w:fldChar w:fldCharType="end"/>
            </w:r>
          </w:hyperlink>
        </w:p>
        <w:p w:rsidR="004908AA" w:rsidRDefault="006E52BD">
          <w:pPr>
            <w:pStyle w:val="TOC2"/>
            <w:tabs>
              <w:tab w:val="left" w:pos="1276"/>
            </w:tabs>
            <w:rPr>
              <w:rFonts w:asciiTheme="minorHAnsi" w:eastAsiaTheme="minorEastAsia" w:hAnsiTheme="minorHAnsi"/>
              <w:b w:val="0"/>
              <w:color w:val="auto"/>
              <w:sz w:val="22"/>
              <w:lang w:eastAsia="en-AU"/>
            </w:rPr>
          </w:pPr>
          <w:hyperlink w:anchor="_Toc417042576" w:history="1">
            <w:r w:rsidR="004908AA" w:rsidRPr="00224F31">
              <w:rPr>
                <w:rStyle w:val="Hyperlink"/>
              </w:rPr>
              <w:t>A.11</w:t>
            </w:r>
            <w:r w:rsidR="004908AA">
              <w:rPr>
                <w:rFonts w:asciiTheme="minorHAnsi" w:eastAsiaTheme="minorEastAsia" w:hAnsiTheme="minorHAnsi"/>
                <w:b w:val="0"/>
                <w:color w:val="auto"/>
                <w:sz w:val="22"/>
                <w:lang w:eastAsia="en-AU"/>
              </w:rPr>
              <w:tab/>
            </w:r>
            <w:r w:rsidR="004908AA" w:rsidRPr="00224F31">
              <w:rPr>
                <w:rStyle w:val="Hyperlink"/>
              </w:rPr>
              <w:t>Application of rate of return criteria to evidence on the</w:t>
            </w:r>
            <w:r w:rsidR="00D86A4A">
              <w:rPr>
                <w:rStyle w:val="Hyperlink"/>
              </w:rPr>
              <w:t xml:space="preserve">       </w:t>
            </w:r>
            <w:r w:rsidR="004908AA" w:rsidRPr="00224F31">
              <w:rPr>
                <w:rStyle w:val="Hyperlink"/>
              </w:rPr>
              <w:t>utilisation rate</w:t>
            </w:r>
            <w:r w:rsidR="004908AA">
              <w:rPr>
                <w:webHidden/>
              </w:rPr>
              <w:tab/>
            </w:r>
            <w:r w:rsidR="004908AA">
              <w:rPr>
                <w:webHidden/>
              </w:rPr>
              <w:fldChar w:fldCharType="begin"/>
            </w:r>
            <w:r w:rsidR="004908AA">
              <w:rPr>
                <w:webHidden/>
              </w:rPr>
              <w:instrText xml:space="preserve"> PAGEREF _Toc417042576 \h </w:instrText>
            </w:r>
            <w:r w:rsidR="004908AA">
              <w:rPr>
                <w:webHidden/>
              </w:rPr>
            </w:r>
            <w:r w:rsidR="004908AA">
              <w:rPr>
                <w:webHidden/>
              </w:rPr>
              <w:fldChar w:fldCharType="separate"/>
            </w:r>
            <w:r w:rsidR="004908AA">
              <w:rPr>
                <w:webHidden/>
              </w:rPr>
              <w:t>4-69</w:t>
            </w:r>
            <w:r w:rsidR="004908AA">
              <w:rPr>
                <w:webHidden/>
              </w:rPr>
              <w:fldChar w:fldCharType="end"/>
            </w:r>
          </w:hyperlink>
        </w:p>
        <w:p w:rsidR="004908AA" w:rsidRDefault="006E52BD">
          <w:pPr>
            <w:pStyle w:val="TOC2"/>
            <w:tabs>
              <w:tab w:val="left" w:pos="1276"/>
            </w:tabs>
            <w:rPr>
              <w:rFonts w:asciiTheme="minorHAnsi" w:eastAsiaTheme="minorEastAsia" w:hAnsiTheme="minorHAnsi"/>
              <w:b w:val="0"/>
              <w:color w:val="auto"/>
              <w:sz w:val="22"/>
              <w:lang w:eastAsia="en-AU"/>
            </w:rPr>
          </w:pPr>
          <w:hyperlink w:anchor="_Toc417042577" w:history="1">
            <w:r w:rsidR="004908AA" w:rsidRPr="00224F31">
              <w:rPr>
                <w:rStyle w:val="Hyperlink"/>
              </w:rPr>
              <w:t>A.12</w:t>
            </w:r>
            <w:r w:rsidR="004908AA">
              <w:rPr>
                <w:rFonts w:asciiTheme="minorHAnsi" w:eastAsiaTheme="minorEastAsia" w:hAnsiTheme="minorHAnsi"/>
                <w:b w:val="0"/>
                <w:color w:val="auto"/>
                <w:sz w:val="22"/>
                <w:lang w:eastAsia="en-AU"/>
              </w:rPr>
              <w:tab/>
            </w:r>
            <w:r w:rsidR="004908AA" w:rsidRPr="00224F31">
              <w:rPr>
                <w:rStyle w:val="Hyperlink"/>
              </w:rPr>
              <w:t>The equity ownership approach</w:t>
            </w:r>
            <w:r w:rsidR="004908AA">
              <w:rPr>
                <w:webHidden/>
              </w:rPr>
              <w:tab/>
            </w:r>
            <w:r w:rsidR="004908AA">
              <w:rPr>
                <w:webHidden/>
              </w:rPr>
              <w:fldChar w:fldCharType="begin"/>
            </w:r>
            <w:r w:rsidR="004908AA">
              <w:rPr>
                <w:webHidden/>
              </w:rPr>
              <w:instrText xml:space="preserve"> PAGEREF _Toc417042577 \h </w:instrText>
            </w:r>
            <w:r w:rsidR="004908AA">
              <w:rPr>
                <w:webHidden/>
              </w:rPr>
            </w:r>
            <w:r w:rsidR="004908AA">
              <w:rPr>
                <w:webHidden/>
              </w:rPr>
              <w:fldChar w:fldCharType="separate"/>
            </w:r>
            <w:r w:rsidR="004908AA">
              <w:rPr>
                <w:webHidden/>
              </w:rPr>
              <w:t>4-71</w:t>
            </w:r>
            <w:r w:rsidR="004908AA">
              <w:rPr>
                <w:webHidden/>
              </w:rPr>
              <w:fldChar w:fldCharType="end"/>
            </w:r>
          </w:hyperlink>
        </w:p>
        <w:p w:rsidR="004908AA" w:rsidRDefault="006E52BD">
          <w:pPr>
            <w:pStyle w:val="TOC2"/>
            <w:tabs>
              <w:tab w:val="left" w:pos="1276"/>
            </w:tabs>
            <w:rPr>
              <w:rFonts w:asciiTheme="minorHAnsi" w:eastAsiaTheme="minorEastAsia" w:hAnsiTheme="minorHAnsi"/>
              <w:b w:val="0"/>
              <w:color w:val="auto"/>
              <w:sz w:val="22"/>
              <w:lang w:eastAsia="en-AU"/>
            </w:rPr>
          </w:pPr>
          <w:hyperlink w:anchor="_Toc417042578" w:history="1">
            <w:r w:rsidR="004908AA" w:rsidRPr="00224F31">
              <w:rPr>
                <w:rStyle w:val="Hyperlink"/>
              </w:rPr>
              <w:t>A.13</w:t>
            </w:r>
            <w:r w:rsidR="004908AA">
              <w:rPr>
                <w:rFonts w:asciiTheme="minorHAnsi" w:eastAsiaTheme="minorEastAsia" w:hAnsiTheme="minorHAnsi"/>
                <w:b w:val="0"/>
                <w:color w:val="auto"/>
                <w:sz w:val="22"/>
                <w:lang w:eastAsia="en-AU"/>
              </w:rPr>
              <w:tab/>
            </w:r>
            <w:r w:rsidR="004908AA" w:rsidRPr="00224F31">
              <w:rPr>
                <w:rStyle w:val="Hyperlink"/>
              </w:rPr>
              <w:t>Tax statistics</w:t>
            </w:r>
            <w:r w:rsidR="004908AA">
              <w:rPr>
                <w:webHidden/>
              </w:rPr>
              <w:tab/>
            </w:r>
            <w:r w:rsidR="004908AA">
              <w:rPr>
                <w:webHidden/>
              </w:rPr>
              <w:fldChar w:fldCharType="begin"/>
            </w:r>
            <w:r w:rsidR="004908AA">
              <w:rPr>
                <w:webHidden/>
              </w:rPr>
              <w:instrText xml:space="preserve"> PAGEREF _Toc417042578 \h </w:instrText>
            </w:r>
            <w:r w:rsidR="004908AA">
              <w:rPr>
                <w:webHidden/>
              </w:rPr>
            </w:r>
            <w:r w:rsidR="004908AA">
              <w:rPr>
                <w:webHidden/>
              </w:rPr>
              <w:fldChar w:fldCharType="separate"/>
            </w:r>
            <w:r w:rsidR="004908AA">
              <w:rPr>
                <w:webHidden/>
              </w:rPr>
              <w:t>4-74</w:t>
            </w:r>
            <w:r w:rsidR="004908AA">
              <w:rPr>
                <w:webHidden/>
              </w:rPr>
              <w:fldChar w:fldCharType="end"/>
            </w:r>
          </w:hyperlink>
        </w:p>
        <w:p w:rsidR="004908AA" w:rsidRDefault="006E52BD">
          <w:pPr>
            <w:pStyle w:val="TOC2"/>
            <w:tabs>
              <w:tab w:val="left" w:pos="1276"/>
            </w:tabs>
            <w:rPr>
              <w:rFonts w:asciiTheme="minorHAnsi" w:eastAsiaTheme="minorEastAsia" w:hAnsiTheme="minorHAnsi"/>
              <w:b w:val="0"/>
              <w:color w:val="auto"/>
              <w:sz w:val="22"/>
              <w:lang w:eastAsia="en-AU"/>
            </w:rPr>
          </w:pPr>
          <w:hyperlink w:anchor="_Toc417042579" w:history="1">
            <w:r w:rsidR="004908AA" w:rsidRPr="00224F31">
              <w:rPr>
                <w:rStyle w:val="Hyperlink"/>
              </w:rPr>
              <w:t>A.14</w:t>
            </w:r>
            <w:r w:rsidR="004908AA">
              <w:rPr>
                <w:rFonts w:asciiTheme="minorHAnsi" w:eastAsiaTheme="minorEastAsia" w:hAnsiTheme="minorHAnsi"/>
                <w:b w:val="0"/>
                <w:color w:val="auto"/>
                <w:sz w:val="22"/>
                <w:lang w:eastAsia="en-AU"/>
              </w:rPr>
              <w:tab/>
            </w:r>
            <w:r w:rsidR="004908AA" w:rsidRPr="00224F31">
              <w:rPr>
                <w:rStyle w:val="Hyperlink"/>
              </w:rPr>
              <w:t>Implied market value studies</w:t>
            </w:r>
            <w:r w:rsidR="004908AA">
              <w:rPr>
                <w:webHidden/>
              </w:rPr>
              <w:tab/>
            </w:r>
            <w:r w:rsidR="004908AA">
              <w:rPr>
                <w:webHidden/>
              </w:rPr>
              <w:fldChar w:fldCharType="begin"/>
            </w:r>
            <w:r w:rsidR="004908AA">
              <w:rPr>
                <w:webHidden/>
              </w:rPr>
              <w:instrText xml:space="preserve"> PAGEREF _Toc417042579 \h </w:instrText>
            </w:r>
            <w:r w:rsidR="004908AA">
              <w:rPr>
                <w:webHidden/>
              </w:rPr>
            </w:r>
            <w:r w:rsidR="004908AA">
              <w:rPr>
                <w:webHidden/>
              </w:rPr>
              <w:fldChar w:fldCharType="separate"/>
            </w:r>
            <w:r w:rsidR="004908AA">
              <w:rPr>
                <w:webHidden/>
              </w:rPr>
              <w:t>4-76</w:t>
            </w:r>
            <w:r w:rsidR="004908AA">
              <w:rPr>
                <w:webHidden/>
              </w:rPr>
              <w:fldChar w:fldCharType="end"/>
            </w:r>
          </w:hyperlink>
        </w:p>
        <w:p w:rsidR="004908AA" w:rsidRDefault="006E52BD">
          <w:pPr>
            <w:pStyle w:val="TOC2"/>
            <w:tabs>
              <w:tab w:val="left" w:pos="1276"/>
            </w:tabs>
            <w:rPr>
              <w:rFonts w:asciiTheme="minorHAnsi" w:eastAsiaTheme="minorEastAsia" w:hAnsiTheme="minorHAnsi"/>
              <w:b w:val="0"/>
              <w:color w:val="auto"/>
              <w:sz w:val="22"/>
              <w:lang w:eastAsia="en-AU"/>
            </w:rPr>
          </w:pPr>
          <w:hyperlink w:anchor="_Toc417042580" w:history="1">
            <w:r w:rsidR="004908AA" w:rsidRPr="00224F31">
              <w:rPr>
                <w:rStyle w:val="Hyperlink"/>
              </w:rPr>
              <w:t>A.15</w:t>
            </w:r>
            <w:r w:rsidR="004908AA">
              <w:rPr>
                <w:rFonts w:asciiTheme="minorHAnsi" w:eastAsiaTheme="minorEastAsia" w:hAnsiTheme="minorHAnsi"/>
                <w:b w:val="0"/>
                <w:color w:val="auto"/>
                <w:sz w:val="22"/>
                <w:lang w:eastAsia="en-AU"/>
              </w:rPr>
              <w:tab/>
            </w:r>
            <w:r w:rsidR="004908AA" w:rsidRPr="00224F31">
              <w:rPr>
                <w:rStyle w:val="Hyperlink"/>
              </w:rPr>
              <w:t xml:space="preserve">Revised consideration of the conceptual goalposts </w:t>
            </w:r>
            <w:r w:rsidR="00D86A4A">
              <w:rPr>
                <w:rStyle w:val="Hyperlink"/>
              </w:rPr>
              <w:t xml:space="preserve">            </w:t>
            </w:r>
            <w:r w:rsidR="004908AA" w:rsidRPr="00224F31">
              <w:rPr>
                <w:rStyle w:val="Hyperlink"/>
              </w:rPr>
              <w:t>approach</w:t>
            </w:r>
            <w:r w:rsidR="004908AA">
              <w:rPr>
                <w:webHidden/>
              </w:rPr>
              <w:tab/>
            </w:r>
            <w:r w:rsidR="004908AA">
              <w:rPr>
                <w:webHidden/>
              </w:rPr>
              <w:fldChar w:fldCharType="begin"/>
            </w:r>
            <w:r w:rsidR="004908AA">
              <w:rPr>
                <w:webHidden/>
              </w:rPr>
              <w:instrText xml:space="preserve"> PAGEREF _Toc417042580 \h </w:instrText>
            </w:r>
            <w:r w:rsidR="004908AA">
              <w:rPr>
                <w:webHidden/>
              </w:rPr>
            </w:r>
            <w:r w:rsidR="004908AA">
              <w:rPr>
                <w:webHidden/>
              </w:rPr>
              <w:fldChar w:fldCharType="separate"/>
            </w:r>
            <w:r w:rsidR="004908AA">
              <w:rPr>
                <w:webHidden/>
              </w:rPr>
              <w:t>4-92</w:t>
            </w:r>
            <w:r w:rsidR="004908AA">
              <w:rPr>
                <w:webHidden/>
              </w:rPr>
              <w:fldChar w:fldCharType="end"/>
            </w:r>
          </w:hyperlink>
        </w:p>
        <w:p w:rsidR="00DE563D" w:rsidRDefault="00993877" w:rsidP="00993877">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042559"/>
      <w:r>
        <w:lastRenderedPageBreak/>
        <w:t>Shortened forms</w:t>
      </w:r>
      <w:bookmarkEnd w:id="8"/>
      <w:bookmarkEnd w:id="9"/>
    </w:p>
    <w:tbl>
      <w:tblPr>
        <w:tblStyle w:val="AERtable-text0"/>
        <w:tblW w:w="0" w:type="auto"/>
        <w:tblLook w:val="04A0" w:firstRow="1" w:lastRow="0" w:firstColumn="1" w:lastColumn="0" w:noHBand="0" w:noVBand="1"/>
      </w:tblPr>
      <w:tblGrid>
        <w:gridCol w:w="4621"/>
        <w:gridCol w:w="4621"/>
      </w:tblGrid>
      <w:tr w:rsidR="001F05A4" w:rsidTr="00D86A4A">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1F05A4">
        <w:tc>
          <w:tcPr>
            <w:tcW w:w="4621" w:type="dxa"/>
          </w:tcPr>
          <w:p w:rsidR="001F05A4" w:rsidRDefault="001F05A4" w:rsidP="001F05A4">
            <w:pPr>
              <w:numPr>
                <w:ilvl w:val="0"/>
                <w:numId w:val="25"/>
              </w:numPr>
            </w:pPr>
            <w:r>
              <w:t>AARR</w:t>
            </w:r>
          </w:p>
        </w:tc>
        <w:tc>
          <w:tcPr>
            <w:tcW w:w="4621" w:type="dxa"/>
          </w:tcPr>
          <w:p w:rsidR="001F05A4" w:rsidRDefault="001F05A4" w:rsidP="001F05A4">
            <w:pPr>
              <w:numPr>
                <w:ilvl w:val="0"/>
                <w:numId w:val="25"/>
              </w:numPr>
            </w:pPr>
            <w:r>
              <w:t>aggregate annual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1F05A4">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1F05A4">
        <w:tc>
          <w:tcPr>
            <w:tcW w:w="4621" w:type="dxa"/>
          </w:tcPr>
          <w:p w:rsidR="001F05A4" w:rsidRDefault="001F05A4" w:rsidP="001F05A4">
            <w:pPr>
              <w:numPr>
                <w:ilvl w:val="0"/>
                <w:numId w:val="25"/>
              </w:numPr>
            </w:pPr>
            <w:r>
              <w:t>ASRR</w:t>
            </w:r>
          </w:p>
        </w:tc>
        <w:tc>
          <w:tcPr>
            <w:tcW w:w="4621" w:type="dxa"/>
          </w:tcPr>
          <w:p w:rsidR="001F05A4" w:rsidRDefault="001F05A4" w:rsidP="001F05A4">
            <w:pPr>
              <w:numPr>
                <w:ilvl w:val="0"/>
                <w:numId w:val="25"/>
              </w:numPr>
            </w:pPr>
            <w:r>
              <w:t>aggregate service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augex</w:t>
            </w:r>
          </w:p>
        </w:tc>
        <w:tc>
          <w:tcPr>
            <w:tcW w:w="4621" w:type="dxa"/>
          </w:tcPr>
          <w:p w:rsidR="001F05A4" w:rsidRDefault="001F05A4" w:rsidP="001F05A4">
            <w:pPr>
              <w:numPr>
                <w:ilvl w:val="0"/>
                <w:numId w:val="25"/>
              </w:numPr>
            </w:pPr>
            <w:r>
              <w:t>augmentation expenditure</w:t>
            </w:r>
          </w:p>
        </w:tc>
      </w:tr>
      <w:tr w:rsidR="001F05A4" w:rsidTr="001F05A4">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1F05A4">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1F05A4">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1F05A4">
        <w:tc>
          <w:tcPr>
            <w:tcW w:w="4621" w:type="dxa"/>
          </w:tcPr>
          <w:p w:rsidR="001F05A4" w:rsidRDefault="001F05A4" w:rsidP="001F05A4">
            <w:pPr>
              <w:numPr>
                <w:ilvl w:val="0"/>
                <w:numId w:val="25"/>
              </w:numPr>
            </w:pPr>
            <w:r>
              <w:t>DMIA</w:t>
            </w:r>
          </w:p>
        </w:tc>
        <w:tc>
          <w:tcPr>
            <w:tcW w:w="4621" w:type="dxa"/>
          </w:tcPr>
          <w:p w:rsidR="001F05A4" w:rsidRDefault="001F05A4" w:rsidP="001F05A4">
            <w:pPr>
              <w:numPr>
                <w:ilvl w:val="0"/>
                <w:numId w:val="25"/>
              </w:numPr>
            </w:pPr>
            <w:r>
              <w:t>demand management innovation allowance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DMIS</w:t>
            </w:r>
          </w:p>
        </w:tc>
        <w:tc>
          <w:tcPr>
            <w:tcW w:w="4621" w:type="dxa"/>
          </w:tcPr>
          <w:p w:rsidR="001F05A4" w:rsidRDefault="001F05A4" w:rsidP="001F05A4">
            <w:pPr>
              <w:numPr>
                <w:ilvl w:val="0"/>
                <w:numId w:val="25"/>
              </w:numPr>
            </w:pPr>
            <w:r>
              <w:t>demand management incentive scheme</w:t>
            </w:r>
          </w:p>
        </w:tc>
      </w:tr>
      <w:tr w:rsidR="001F05A4" w:rsidTr="001F05A4">
        <w:tc>
          <w:tcPr>
            <w:tcW w:w="4621" w:type="dxa"/>
          </w:tcPr>
          <w:p w:rsidR="001F05A4" w:rsidRDefault="001F05A4" w:rsidP="001F05A4">
            <w:pPr>
              <w:numPr>
                <w:ilvl w:val="0"/>
                <w:numId w:val="25"/>
              </w:numPr>
            </w:pPr>
            <w:r>
              <w:t>distributor</w:t>
            </w:r>
          </w:p>
        </w:tc>
        <w:tc>
          <w:tcPr>
            <w:tcW w:w="4621" w:type="dxa"/>
          </w:tcPr>
          <w:p w:rsidR="001F05A4" w:rsidRDefault="001F05A4" w:rsidP="001F05A4">
            <w:pPr>
              <w:numPr>
                <w:ilvl w:val="0"/>
                <w:numId w:val="25"/>
              </w:numPr>
            </w:pPr>
            <w:r>
              <w:t>distribution network service provider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DUoS</w:t>
            </w:r>
          </w:p>
        </w:tc>
        <w:tc>
          <w:tcPr>
            <w:tcW w:w="4621" w:type="dxa"/>
          </w:tcPr>
          <w:p w:rsidR="001F05A4" w:rsidRDefault="001F05A4" w:rsidP="001F05A4">
            <w:pPr>
              <w:numPr>
                <w:ilvl w:val="0"/>
                <w:numId w:val="25"/>
              </w:numPr>
            </w:pPr>
            <w:r>
              <w:t>distribution use of system</w:t>
            </w:r>
          </w:p>
        </w:tc>
      </w:tr>
      <w:tr w:rsidR="001F05A4" w:rsidTr="001F05A4">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1F05A4">
        <w:tc>
          <w:tcPr>
            <w:tcW w:w="4621" w:type="dxa"/>
          </w:tcPr>
          <w:p w:rsidR="001F05A4" w:rsidRDefault="00D86A4A" w:rsidP="00D86A4A">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1F05A4" w:rsidP="00D86A4A">
            <w:pPr>
              <w:numPr>
                <w:ilvl w:val="0"/>
                <w:numId w:val="25"/>
              </w:numPr>
            </w:pPr>
            <w:r>
              <w:t xml:space="preserve">expenditure forecast assessment </w:t>
            </w:r>
            <w:r w:rsidR="00D86A4A">
              <w:t>G</w:t>
            </w:r>
            <w:r>
              <w:t>uideline for electricity distribution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1F05A4">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1F05A4">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1F05A4">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1F05A4">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1F05A4">
        <w:tc>
          <w:tcPr>
            <w:tcW w:w="4621" w:type="dxa"/>
          </w:tcPr>
          <w:p w:rsidR="001F05A4" w:rsidRDefault="001F05A4" w:rsidP="001F05A4">
            <w:pPr>
              <w:numPr>
                <w:ilvl w:val="0"/>
                <w:numId w:val="25"/>
              </w:numPr>
            </w:pPr>
            <w:r>
              <w:t>PTRM</w:t>
            </w:r>
          </w:p>
        </w:tc>
        <w:tc>
          <w:tcPr>
            <w:tcW w:w="4621" w:type="dxa"/>
          </w:tcPr>
          <w:p w:rsidR="001F05A4" w:rsidRDefault="001F05A4" w:rsidP="001F05A4">
            <w:pPr>
              <w:numPr>
                <w:ilvl w:val="0"/>
                <w:numId w:val="25"/>
              </w:numPr>
            </w:pPr>
            <w:r>
              <w:t>post-tax revenue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1F05A4">
        <w:tc>
          <w:tcPr>
            <w:tcW w:w="4621" w:type="dxa"/>
          </w:tcPr>
          <w:p w:rsidR="001F05A4" w:rsidRDefault="001F05A4" w:rsidP="001F05A4">
            <w:pPr>
              <w:numPr>
                <w:ilvl w:val="0"/>
                <w:numId w:val="25"/>
              </w:numPr>
            </w:pPr>
            <w:r>
              <w:lastRenderedPageBreak/>
              <w:t>RBA</w:t>
            </w:r>
          </w:p>
        </w:tc>
        <w:tc>
          <w:tcPr>
            <w:tcW w:w="4621" w:type="dxa"/>
          </w:tcPr>
          <w:p w:rsidR="001F05A4" w:rsidRDefault="001F05A4" w:rsidP="001F05A4">
            <w:pPr>
              <w:numPr>
                <w:ilvl w:val="0"/>
                <w:numId w:val="25"/>
              </w:numPr>
            </w:pPr>
            <w:r>
              <w:t>Reserve Bank of Australia</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repex</w:t>
            </w:r>
          </w:p>
        </w:tc>
        <w:tc>
          <w:tcPr>
            <w:tcW w:w="4621" w:type="dxa"/>
          </w:tcPr>
          <w:p w:rsidR="001F05A4" w:rsidRDefault="001F05A4" w:rsidP="001F05A4">
            <w:pPr>
              <w:numPr>
                <w:ilvl w:val="0"/>
                <w:numId w:val="25"/>
              </w:numPr>
            </w:pPr>
            <w:r>
              <w:t>replacement expenditure</w:t>
            </w:r>
          </w:p>
        </w:tc>
      </w:tr>
      <w:tr w:rsidR="001F05A4" w:rsidTr="001F05A4">
        <w:tc>
          <w:tcPr>
            <w:tcW w:w="4621" w:type="dxa"/>
          </w:tcPr>
          <w:p w:rsidR="001F05A4" w:rsidRDefault="001F05A4" w:rsidP="001F05A4">
            <w:pPr>
              <w:numPr>
                <w:ilvl w:val="0"/>
                <w:numId w:val="25"/>
              </w:numPr>
            </w:pPr>
            <w:r>
              <w:t>RFM</w:t>
            </w:r>
          </w:p>
        </w:tc>
        <w:tc>
          <w:tcPr>
            <w:tcW w:w="4621" w:type="dxa"/>
          </w:tcPr>
          <w:p w:rsidR="001F05A4" w:rsidRDefault="001F05A4" w:rsidP="001F05A4">
            <w:pPr>
              <w:numPr>
                <w:ilvl w:val="0"/>
                <w:numId w:val="25"/>
              </w:numPr>
            </w:pPr>
            <w:r>
              <w:t>roll forward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1F05A4">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1F05A4">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Sharpe-Lintner capital asset pricing model</w:t>
            </w:r>
          </w:p>
        </w:tc>
      </w:tr>
      <w:tr w:rsidR="001F05A4" w:rsidTr="001F05A4">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10" w:name="_Toc417042560"/>
      <w:r>
        <w:lastRenderedPageBreak/>
        <w:t>Value of imputation credits</w:t>
      </w:r>
      <w:bookmarkEnd w:id="10"/>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The NER/NGR recognise</w:t>
      </w:r>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This form of adjustment recognises that it is the payment of corporate tax which is the source of the imputation credit return to investors.</w:t>
      </w:r>
    </w:p>
    <w:p w:rsidR="00E356F9" w:rsidRDefault="00E356F9" w:rsidP="00E356F9">
      <w:pPr>
        <w:numPr>
          <w:ilvl w:val="0"/>
          <w:numId w:val="25"/>
        </w:numPr>
      </w:pPr>
      <w:r>
        <w:t xml:space="preserve">In this attachment, we set out our </w:t>
      </w:r>
      <w:r w:rsidR="00CE2DEA">
        <w:t>final</w:t>
      </w:r>
      <w:r>
        <w:t xml:space="preserve"> decision on the value of imputation credits and our key reasons for this </w:t>
      </w:r>
      <w:r w:rsidR="007661C9">
        <w:t>decision</w:t>
      </w:r>
      <w:r>
        <w:t xml:space="preserve">. We also consider </w:t>
      </w:r>
      <w:r w:rsidR="00277163">
        <w:t>ActewAGL</w:t>
      </w:r>
      <w:r>
        <w:t xml:space="preserve">'s proposed value of imputation credits and the key reasons for its proposal. In appendix A, we include further supporting detail on our position on the value of imputation credits and also respond to </w:t>
      </w:r>
      <w:r w:rsidR="00277163">
        <w:t>ActewAGL</w:t>
      </w:r>
      <w:r>
        <w:t xml:space="preserve">'s proposal in more detail. </w:t>
      </w:r>
    </w:p>
    <w:p w:rsidR="00DE563D" w:rsidRPr="001754EE" w:rsidRDefault="00415F31" w:rsidP="001754EE">
      <w:pPr>
        <w:pStyle w:val="Heading2"/>
      </w:pPr>
      <w:bookmarkStart w:id="11" w:name="_Toc403144136"/>
      <w:bookmarkStart w:id="12" w:name="_Toc417042561"/>
      <w:r w:rsidRPr="001754EE">
        <w:t>Final</w:t>
      </w:r>
      <w:r w:rsidR="00DE563D" w:rsidRPr="001754EE">
        <w:t xml:space="preserve"> decision</w:t>
      </w:r>
      <w:bookmarkEnd w:id="11"/>
      <w:bookmarkEnd w:id="12"/>
    </w:p>
    <w:p w:rsidR="002C233C" w:rsidRDefault="00AA4E4D" w:rsidP="002C233C">
      <w:bookmarkStart w:id="13" w:name="_Toc403144137"/>
      <w:r>
        <w:t xml:space="preserve">We do not accept </w:t>
      </w:r>
      <w:r w:rsidR="00277163">
        <w:t>ActewAGL</w:t>
      </w:r>
      <w:r>
        <w:t>'s proposed value of imputation credits of 0.25. Instead, we adopt a value of imputation credits of 0.4.</w:t>
      </w:r>
    </w:p>
    <w:p w:rsidR="006F0FAC" w:rsidRDefault="006F0FAC" w:rsidP="006F0FAC">
      <w:pPr>
        <w:numPr>
          <w:ilvl w:val="0"/>
          <w:numId w:val="25"/>
        </w:numPr>
      </w:pPr>
      <w:r>
        <w:t>Estimating the value of imputation credits is a complex and imprecise task. There is no consensus among experts on the appropriate value or estimation techniques to use.</w:t>
      </w:r>
      <w:r>
        <w:rPr>
          <w:rStyle w:val="FootnoteReference"/>
        </w:rPr>
        <w:footnoteReference w:id="4"/>
      </w:r>
      <w:r>
        <w:t xml:space="preserve"> Further, with each estimation technique there are often a number of ways these may be </w:t>
      </w:r>
      <w:r>
        <w:lastRenderedPageBreak/>
        <w:t>applied resulting in different outcomes. Conceptually, the value of imputation credits must be between 0 and 1, and the range of expert views on the value of imputation credits is almost this wide.</w:t>
      </w:r>
      <w:r>
        <w:rPr>
          <w:rStyle w:val="FootnoteReference"/>
        </w:rPr>
        <w:footnoteReference w:id="5"/>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6"/>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r>
        <w:t>t</w:t>
      </w:r>
      <w:r w:rsidRPr="006F0FAC">
        <w:t>he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277163" w:rsidP="001754EE">
      <w:pPr>
        <w:pStyle w:val="Heading2"/>
      </w:pPr>
      <w:bookmarkStart w:id="14" w:name="_Ref414621796"/>
      <w:bookmarkStart w:id="15" w:name="_Toc417042562"/>
      <w:r>
        <w:t>ActewAGL</w:t>
      </w:r>
      <w:r w:rsidR="00415F31" w:rsidRPr="001754EE">
        <w:t>’s revised</w:t>
      </w:r>
      <w:r w:rsidR="00DE563D" w:rsidRPr="001754EE">
        <w:t xml:space="preserve"> proposal</w:t>
      </w:r>
      <w:bookmarkEnd w:id="13"/>
      <w:bookmarkEnd w:id="14"/>
      <w:bookmarkEnd w:id="15"/>
    </w:p>
    <w:p w:rsidR="006F0FAC" w:rsidRDefault="006F0FAC" w:rsidP="001029F3">
      <w:pPr>
        <w:numPr>
          <w:ilvl w:val="0"/>
          <w:numId w:val="25"/>
        </w:numPr>
      </w:pPr>
      <w:r>
        <w:t xml:space="preserve">In its revised proposal, </w:t>
      </w:r>
      <w:r w:rsidR="00277163">
        <w:t>ActewAGL</w:t>
      </w:r>
      <w:r>
        <w:t xml:space="preserve"> did not </w:t>
      </w:r>
      <w:r w:rsidR="003B0C3D">
        <w:t>adopt</w:t>
      </w:r>
      <w:r>
        <w:t xml:space="preserve"> our draft decision and maintained the position in its initial proposal.</w:t>
      </w:r>
      <w:r w:rsidR="00C903FF">
        <w:rPr>
          <w:rStyle w:val="FootnoteReference"/>
        </w:rPr>
        <w:footnoteReference w:id="7"/>
      </w:r>
      <w:r>
        <w:t xml:space="preserve"> This was </w:t>
      </w:r>
      <w:r w:rsidR="00A35A6E">
        <w:t xml:space="preserve">for </w:t>
      </w:r>
      <w:r>
        <w:t>a value of imputation credits of 0.25, calculated as the product of a distribution rate of 0.7 and a utilisation rate of 0.35.</w:t>
      </w:r>
      <w:r>
        <w:rPr>
          <w:rStyle w:val="FootnoteReference"/>
        </w:rPr>
        <w:footnoteReference w:id="8"/>
      </w:r>
      <w:r>
        <w:t xml:space="preserve"> Its proposed distribution rate of 0.7 was consistent with</w:t>
      </w:r>
      <w:r w:rsidR="008E3B4F">
        <w:t xml:space="preserve"> the value in the Guideline and</w:t>
      </w:r>
      <w:r>
        <w:t xml:space="preserve"> </w:t>
      </w:r>
      <w:r w:rsidR="00A35A6E">
        <w:t>our value in the draft decision when estimated over all companies. However, in the draft decision we also relied in part on a distribution rate estimated over just public companies</w:t>
      </w:r>
      <w:r w:rsidR="00254F30">
        <w:t>,</w:t>
      </w:r>
      <w:r w:rsidR="00DE0079">
        <w:t xml:space="preserve"> of 0.8</w:t>
      </w:r>
      <w:r w:rsidR="00A35A6E">
        <w:t>.</w:t>
      </w:r>
      <w:r>
        <w:t xml:space="preserve"> </w:t>
      </w:r>
      <w:r w:rsidR="00277163">
        <w:t>ActewAGL</w:t>
      </w:r>
      <w:r w:rsidR="00DE0079">
        <w:t>'s</w:t>
      </w:r>
      <w:r>
        <w:t xml:space="preserve"> proposed utilisation rate of 0.35</w:t>
      </w:r>
      <w:r w:rsidR="009E2B76">
        <w:t xml:space="preserve"> was lower than </w:t>
      </w:r>
      <w:r w:rsidR="008E3B4F">
        <w:t xml:space="preserve">the value in the Guideline and </w:t>
      </w:r>
      <w:r w:rsidR="009E2B76">
        <w:t>a number of estimates on which we placed reliance in the draft decision</w:t>
      </w:r>
      <w:r>
        <w:t xml:space="preserve">. </w:t>
      </w:r>
      <w:r w:rsidR="00254F30">
        <w:t>In proposing its estimate of the</w:t>
      </w:r>
      <w:r>
        <w:t xml:space="preserve"> utilisation rate, </w:t>
      </w:r>
      <w:r w:rsidR="00277163">
        <w:t>ActewAGL</w:t>
      </w:r>
      <w:r>
        <w:t xml:space="preserve"> considered that the only source of relevant evidence were studies that seek to infer from market prices the value to investors of distributed imputation credits ('implied market value studies'). Further, </w:t>
      </w:r>
      <w:r w:rsidR="00277163">
        <w:t>ActewAGL</w:t>
      </w:r>
      <w:r>
        <w:t xml:space="preserve"> proposed that the best estimate of the utilisation rate from implied market value studies was 0.35</w:t>
      </w:r>
      <w:r w:rsidR="000A539A">
        <w:t>.</w:t>
      </w:r>
      <w:r w:rsidR="000A539A">
        <w:rPr>
          <w:rStyle w:val="FootnoteReference"/>
        </w:rPr>
        <w:footnoteReference w:id="9"/>
      </w:r>
    </w:p>
    <w:p w:rsidR="002C233C" w:rsidRDefault="00277163" w:rsidP="006F0FAC">
      <w:r>
        <w:lastRenderedPageBreak/>
        <w:t>ActewAGL</w:t>
      </w:r>
      <w:r w:rsidR="006F0FAC">
        <w:t>'s proposed value of imputation credits of 0.25 and supporting reasons were consistent with the proposals we have received from a number of other service providers with current regulatory decisions.</w:t>
      </w:r>
      <w:r w:rsidR="006F0FAC">
        <w:rPr>
          <w:rStyle w:val="FootnoteReference"/>
        </w:rPr>
        <w:footnoteReference w:id="10"/>
      </w:r>
      <w:r w:rsidR="006F0FAC">
        <w:t xml:space="preserve"> </w:t>
      </w:r>
      <w:r w:rsidR="00240132">
        <w:t xml:space="preserve">These service providers maintained in their revised proposals their position in their initial proposals. </w:t>
      </w:r>
      <w:r w:rsidR="006F0FAC">
        <w:t xml:space="preserve">Further, these service </w:t>
      </w:r>
      <w:r w:rsidR="00240132">
        <w:t>providers jointly commissioned two</w:t>
      </w:r>
      <w:r w:rsidR="006F0FAC">
        <w:t xml:space="preserve"> report</w:t>
      </w:r>
      <w:r w:rsidR="00240132">
        <w:t>s from SFG</w:t>
      </w:r>
      <w:r w:rsidR="00D11729">
        <w:t xml:space="preserve"> Consulting (SFG)</w:t>
      </w:r>
      <w:r w:rsidR="00240132">
        <w:t xml:space="preserve"> and relied on the</w:t>
      </w:r>
      <w:r w:rsidR="006F0FAC">
        <w:t>s</w:t>
      </w:r>
      <w:r w:rsidR="00240132">
        <w:t>e</w:t>
      </w:r>
      <w:r w:rsidR="006F0FAC">
        <w:t xml:space="preserve"> report</w:t>
      </w:r>
      <w:r w:rsidR="00240132">
        <w:t>s</w:t>
      </w:r>
      <w:r w:rsidR="006F0FAC">
        <w:t xml:space="preserve"> in their </w:t>
      </w:r>
      <w:r w:rsidR="00240132">
        <w:t xml:space="preserve">initial and revised </w:t>
      </w:r>
      <w:r w:rsidR="006F0FAC">
        <w:t xml:space="preserve">proposals. Accordingly, our analysis of </w:t>
      </w:r>
      <w:r>
        <w:t>ActewAGL</w:t>
      </w:r>
      <w:r w:rsidR="006F0FAC">
        <w:t xml:space="preserve">'s </w:t>
      </w:r>
      <w:r w:rsidR="00240132">
        <w:t xml:space="preserve">revised </w:t>
      </w:r>
      <w:r w:rsidR="006F0FAC">
        <w:t xml:space="preserve">proposal is also applicable and consistent with our analysis of the </w:t>
      </w:r>
      <w:r w:rsidR="00240132">
        <w:t xml:space="preserve">revised </w:t>
      </w:r>
      <w:r w:rsidR="006F0FAC">
        <w:t>proposals from those other service providers.</w:t>
      </w:r>
    </w:p>
    <w:p w:rsidR="00DE563D" w:rsidRDefault="00DE563D" w:rsidP="001754EE">
      <w:pPr>
        <w:pStyle w:val="Heading2"/>
      </w:pPr>
      <w:bookmarkStart w:id="16" w:name="_Toc403144138"/>
      <w:bookmarkStart w:id="17" w:name="_Toc417042563"/>
      <w:r w:rsidRPr="001754EE">
        <w:t>AER’s</w:t>
      </w:r>
      <w:r>
        <w:t xml:space="preserve"> assessment approach</w:t>
      </w:r>
      <w:bookmarkEnd w:id="16"/>
      <w:bookmarkEnd w:id="17"/>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r>
        <w:t>our approach to determining the value of imputation credits.</w:t>
      </w:r>
    </w:p>
    <w:p w:rsidR="00A90D90" w:rsidRPr="00A90D90" w:rsidRDefault="00A90D90" w:rsidP="00A90D90">
      <w:pPr>
        <w:pStyle w:val="Heading3"/>
      </w:pPr>
      <w:bookmarkStart w:id="18" w:name="_Ref400272912"/>
      <w:bookmarkStart w:id="19" w:name="_Ref416802130"/>
      <w:bookmarkStart w:id="20" w:name="_Ref416802459"/>
      <w:r w:rsidRPr="00EA24D2">
        <w:t>Requirements</w:t>
      </w:r>
      <w:r w:rsidRPr="00A90D90">
        <w:t xml:space="preserve"> of the </w:t>
      </w:r>
      <w:bookmarkEnd w:id="18"/>
      <w:r w:rsidR="005D59BA">
        <w:t>NEL/NGL and NER/NGR</w:t>
      </w:r>
      <w:bookmarkEnd w:id="19"/>
      <w:bookmarkEnd w:id="20"/>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1"/>
      <w:r w:rsidRPr="00EA5C1A">
        <w:t>) must be estimated in accordance with the following formula:</w:t>
      </w:r>
      <w:r>
        <w:rPr>
          <w:rStyle w:val="FootnoteReference"/>
        </w:rPr>
        <w:footnoteReference w:id="11"/>
      </w:r>
    </w:p>
    <w:p w:rsidR="00A90D90" w:rsidRPr="00EA5C1A" w:rsidRDefault="006E52BD"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6E52BD"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6E52BD"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is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is the value of imputation credits.</w:t>
      </w:r>
    </w:p>
    <w:p w:rsidR="00A90D90" w:rsidRDefault="00A90D90" w:rsidP="00A90D90">
      <w:pPr>
        <w:numPr>
          <w:ilvl w:val="0"/>
          <w:numId w:val="25"/>
        </w:numPr>
      </w:pPr>
      <w:r w:rsidRPr="00FA0554">
        <w:lastRenderedPageBreak/>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cally apply to the value of 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2"/>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3"/>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4"/>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5"/>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r w:rsidR="00CB622C">
        <w:rPr>
          <w:rStyle w:val="FootnoteReference"/>
        </w:rPr>
        <w:footnoteReference w:id="16"/>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r w:rsidR="00713D13">
        <w:t>'.</w:t>
      </w:r>
      <w:r w:rsidR="00CB622C">
        <w:rPr>
          <w:rStyle w:val="FootnoteReference"/>
        </w:rPr>
        <w:footnoteReference w:id="17"/>
      </w:r>
      <w:r w:rsidR="00713D13">
        <w:t xml:space="preserve"> </w:t>
      </w:r>
    </w:p>
    <w:p w:rsidR="008A4877" w:rsidRDefault="00BB0325" w:rsidP="007C38AD">
      <w:r>
        <w:t>T</w:t>
      </w:r>
      <w:r w:rsidR="008C1870">
        <w:t xml:space="preserve">he NER/NGR require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8"/>
      </w:r>
      <w:r w:rsidR="007A5DF9">
        <w:t xml:space="preserve"> The Officer framework 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19"/>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lastRenderedPageBreak/>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4908AA">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20"/>
      </w:r>
      <w:r w:rsidR="000E0997">
        <w:t xml:space="preserve"> That is, 'the per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1"/>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is likely to contribute to the achievement of the </w:t>
      </w:r>
      <w:r w:rsidR="005D59BA">
        <w:t>NEO/NGO</w:t>
      </w:r>
      <w:r w:rsidR="00A90D90">
        <w:t>.</w:t>
      </w:r>
      <w:r w:rsidR="00A90D90">
        <w:rPr>
          <w:rStyle w:val="FootnoteReference"/>
        </w:rPr>
        <w:footnoteReference w:id="22"/>
      </w:r>
      <w:r w:rsidR="00A90D90">
        <w:t xml:space="preserve"> Further, when exercising a discretion in making the relevant parts of a decision, we must take into account the </w:t>
      </w:r>
      <w:r w:rsidR="00566FF4">
        <w:t>RPP</w:t>
      </w:r>
      <w:r w:rsidR="00A90D90">
        <w:t>.</w:t>
      </w:r>
      <w:r w:rsidR="00A90D90">
        <w:rPr>
          <w:rStyle w:val="FootnoteReference"/>
        </w:rPr>
        <w:footnoteReference w:id="23"/>
      </w:r>
      <w:r w:rsidR="00A90D90">
        <w:t xml:space="preserve"> The </w:t>
      </w:r>
      <w:r w:rsidR="00566FF4">
        <w:t>RPP</w:t>
      </w:r>
      <w:r w:rsidR="00A90D90">
        <w:t xml:space="preserve"> provide, amongst other things, that</w:t>
      </w:r>
      <w:r w:rsidR="00112FED">
        <w:t>:</w:t>
      </w:r>
      <w:r w:rsidR="00112FED">
        <w:rPr>
          <w:rStyle w:val="FootnoteReference"/>
        </w:rPr>
        <w:footnoteReference w:id="24"/>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r>
        <w:t xml:space="preserve">a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r>
        <w:lastRenderedPageBreak/>
        <w:t xml:space="preserve">not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credits that </w:t>
      </w:r>
      <w:r w:rsidR="003A55DC">
        <w:t xml:space="preserve">we are satisfied </w:t>
      </w:r>
      <w:r>
        <w:t>achieves a balance between the opportunity for service providers to recover at least efficient costs but that is commensurate with relevant risks.</w:t>
      </w:r>
    </w:p>
    <w:p w:rsidR="00A90D90" w:rsidRPr="00A90D90" w:rsidRDefault="00D86A4A" w:rsidP="00A90D90">
      <w:pPr>
        <w:pStyle w:val="Heading3"/>
      </w:pPr>
      <w:bookmarkStart w:id="22" w:name="_Ref401234016"/>
      <w:r>
        <w:t>Rate of return G</w:t>
      </w:r>
      <w:r w:rsidR="00A90D90">
        <w:t>uideline</w:t>
      </w:r>
      <w:bookmarkEnd w:id="22"/>
    </w:p>
    <w:p w:rsidR="00A90D90" w:rsidRDefault="00A90D90" w:rsidP="00A90D90">
      <w:pPr>
        <w:numPr>
          <w:ilvl w:val="0"/>
          <w:numId w:val="25"/>
        </w:numPr>
      </w:pPr>
      <w:r>
        <w:t>In December 2013, we published the Guideline which is available on our website.</w:t>
      </w:r>
      <w:r>
        <w:rPr>
          <w:rStyle w:val="FootnoteReference"/>
        </w:rPr>
        <w:footnoteReference w:id="25"/>
      </w:r>
      <w:r>
        <w:t xml:space="preserve"> Within it we </w:t>
      </w:r>
      <w:r w:rsidRPr="007968DE">
        <w:t>specif</w:t>
      </w:r>
      <w:r>
        <w:t>ied</w:t>
      </w:r>
      <w:r w:rsidRPr="007968DE">
        <w:t>:</w:t>
      </w:r>
      <w:r w:rsidRPr="000709A4">
        <w:rPr>
          <w:rStyle w:val="FootnoteReference"/>
        </w:rPr>
        <w:footnoteReference w:id="26"/>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7"/>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8"/>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29"/>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4908AA">
        <w:t>4.2</w:t>
      </w:r>
      <w:r w:rsidR="008E3B4F">
        <w:fldChar w:fldCharType="end"/>
      </w:r>
      <w:r>
        <w:t xml:space="preserve"> where </w:t>
      </w:r>
      <w:r w:rsidR="008E3B4F">
        <w:t xml:space="preserve">revised </w:t>
      </w:r>
      <w:r>
        <w:t xml:space="preserve">proposals have departed from the Guideline. We identify in section </w:t>
      </w:r>
      <w:r w:rsidR="008E3B4F">
        <w:fldChar w:fldCharType="begin"/>
      </w:r>
      <w:r w:rsidR="008E3B4F">
        <w:instrText xml:space="preserve"> REF _Ref414621836 \r \h </w:instrText>
      </w:r>
      <w:r w:rsidR="008E3B4F">
        <w:fldChar w:fldCharType="separate"/>
      </w:r>
      <w:r w:rsidR="004908AA">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3" w:name="_Ref404065332"/>
      <w:r>
        <w:t>Definition of benchmark efficient</w:t>
      </w:r>
      <w:r w:rsidRPr="00A90D90">
        <w:t xml:space="preserve"> entity</w:t>
      </w:r>
      <w:bookmarkEnd w:id="23"/>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4908AA">
        <w:t>4.3.1</w:t>
      </w:r>
      <w:r>
        <w:fldChar w:fldCharType="end"/>
      </w:r>
      <w:r>
        <w:t xml:space="preserve">, the </w:t>
      </w:r>
      <w:r w:rsidR="004569D9">
        <w:t>NER/NGR</w:t>
      </w:r>
      <w:r>
        <w:t xml:space="preserve"> refer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r>
        <w:lastRenderedPageBreak/>
        <w:t xml:space="preserve">a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30"/>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4" w:name="_Ref415070818"/>
      <w:r>
        <w:t>Interrelationships</w:t>
      </w:r>
      <w:bookmarkEnd w:id="24"/>
    </w:p>
    <w:p w:rsidR="009E59CE" w:rsidRDefault="00140344" w:rsidP="009E59CE">
      <w:r>
        <w:t>The NER/NGR recognise</w:t>
      </w:r>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r>
        <w:t>adjust</w:t>
      </w:r>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 xml:space="preserve">into account the interrelationship with the corporate tax allowance when determining the value of imputation credits. The CCP </w:t>
      </w:r>
      <w:r>
        <w:lastRenderedPageBreak/>
        <w:t>submitted evidence that our benchmark tax allowance was substantially higher than the corporate tax actually paid by service providers.</w:t>
      </w:r>
      <w:r>
        <w:rPr>
          <w:rStyle w:val="FootnoteReference"/>
        </w:rPr>
        <w:footnoteReference w:id="31"/>
      </w:r>
      <w:r w:rsidR="00A736D1">
        <w:t xml:space="preserve"> The CCP then concluded:</w:t>
      </w:r>
      <w:r w:rsidR="00A736D1">
        <w:rPr>
          <w:rStyle w:val="FootnoteReference"/>
        </w:rPr>
        <w:footnoteReference w:id="32"/>
      </w:r>
    </w:p>
    <w:p w:rsidR="00A736D1" w:rsidRDefault="00A736D1" w:rsidP="00A736D1">
      <w:pPr>
        <w:pStyle w:val="AERquote"/>
      </w:pPr>
      <w:r w:rsidRPr="00A736D1">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final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3"/>
      </w:r>
    </w:p>
    <w:p w:rsidR="00A90D90" w:rsidRPr="00A90D90" w:rsidRDefault="00A90D90" w:rsidP="00A90D90">
      <w:pPr>
        <w:pStyle w:val="Heading3"/>
      </w:pPr>
      <w:r>
        <w:t xml:space="preserve">Expert </w:t>
      </w:r>
      <w:r w:rsidRPr="00A90D90">
        <w:t>reports</w:t>
      </w:r>
    </w:p>
    <w:p w:rsidR="00016F8E" w:rsidRDefault="00016F8E" w:rsidP="00A90D90">
      <w:pPr>
        <w:numPr>
          <w:ilvl w:val="0"/>
          <w:numId w:val="25"/>
        </w:numPr>
      </w:pPr>
      <w:r>
        <w:t>During the development of the Guideline, we commissioned expert advice on the value of imputation credits from Associate Professor Martin Lally of the Victoria University of Wellington.</w:t>
      </w:r>
      <w:r w:rsidRPr="004B0617">
        <w:rPr>
          <w:rStyle w:val="FootnoteReference"/>
        </w:rPr>
        <w:footnoteReference w:id="34"/>
      </w:r>
    </w:p>
    <w:p w:rsidR="00A90D90" w:rsidRDefault="00A90D90" w:rsidP="00A90D90">
      <w:pPr>
        <w:numPr>
          <w:ilvl w:val="0"/>
          <w:numId w:val="25"/>
        </w:numPr>
      </w:pPr>
      <w:r>
        <w:t>To assist us i</w:t>
      </w:r>
      <w:r w:rsidRPr="00867688">
        <w:t xml:space="preserve">n making </w:t>
      </w:r>
      <w:r w:rsidR="00324438">
        <w:t>our</w:t>
      </w:r>
      <w:r w:rsidRPr="00867688">
        <w:t xml:space="preserve"> draft</w:t>
      </w:r>
      <w:r w:rsidR="00324438">
        <w:t xml:space="preserve"> and final</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Associate Professor John Handley of the University of Melbourne.</w:t>
      </w:r>
      <w:r>
        <w:rPr>
          <w:rStyle w:val="FootnoteReference"/>
        </w:rPr>
        <w:footnoteReference w:id="35"/>
      </w:r>
      <w:r>
        <w:t xml:space="preserve"> We have also had regard to, among other things:</w:t>
      </w:r>
    </w:p>
    <w:p w:rsidR="00A90D90" w:rsidRPr="00A90D90" w:rsidRDefault="00A90D90" w:rsidP="00A90D90">
      <w:pPr>
        <w:pStyle w:val="AERbulletlistfirststyle"/>
      </w:pPr>
      <w:r>
        <w:t>t</w:t>
      </w:r>
      <w:r w:rsidRPr="00A90D90">
        <w:t>he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6"/>
      </w:r>
    </w:p>
    <w:p w:rsidR="00A90D90" w:rsidRPr="00A90D90" w:rsidRDefault="00A90D90" w:rsidP="00A90D90">
      <w:pPr>
        <w:pStyle w:val="AERbulletlistfirststyle"/>
      </w:pPr>
      <w:r>
        <w:t>a</w:t>
      </w:r>
      <w:r w:rsidRPr="00A90D90">
        <w:t xml:space="preserve"> March 2014 report by Associate Professor Lally that was commissioned by the Queensland Competition Authority.</w:t>
      </w:r>
      <w:r w:rsidRPr="00A90D90">
        <w:rPr>
          <w:rStyle w:val="FootnoteReference"/>
        </w:rPr>
        <w:footnoteReference w:id="37"/>
      </w:r>
    </w:p>
    <w:p w:rsidR="00A90D90" w:rsidRPr="00A90D90" w:rsidRDefault="00A90D90" w:rsidP="00A90D90">
      <w:pPr>
        <w:pStyle w:val="AERbulletlistfirststyle"/>
      </w:pPr>
      <w:r>
        <w:lastRenderedPageBreak/>
        <w:t>a</w:t>
      </w:r>
      <w:r w:rsidRPr="00A90D90">
        <w:t>n October 2013 review of a network rail access undertaking by Professor Michael McKenzie of the University of Liverpool and Associate Professor Graham Partington of the University of Sydney.</w:t>
      </w:r>
      <w:r w:rsidRPr="00A90D90">
        <w:rPr>
          <w:rStyle w:val="FootnoteReference"/>
        </w:rPr>
        <w:footnoteReference w:id="38"/>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r>
        <w:t>a</w:t>
      </w:r>
      <w:r w:rsidRPr="00A90D90">
        <w:t xml:space="preserve"> September 2013 report on tax statistics by Dr. Neville Hathaway that was commissioned by the Energy Networks Association.</w:t>
      </w:r>
      <w:r w:rsidRPr="00A90D90">
        <w:rPr>
          <w:rStyle w:val="FootnoteReference"/>
        </w:rPr>
        <w:footnoteReference w:id="39"/>
      </w:r>
    </w:p>
    <w:p w:rsidR="00A90D90" w:rsidRPr="00A90D90" w:rsidRDefault="00A90D90" w:rsidP="00A90D90">
      <w:pPr>
        <w:pStyle w:val="AERbulletlistfirststyle"/>
      </w:pPr>
      <w:r>
        <w:t>a</w:t>
      </w:r>
      <w:r w:rsidRPr="00A90D90">
        <w:t xml:space="preserve"> June 2013 report on the distribution rate by NERA Economic Consulting (NERA) that was commissioned by the Energy Networks Association.</w:t>
      </w:r>
      <w:r w:rsidRPr="00A90D90">
        <w:rPr>
          <w:rStyle w:val="FootnoteReference"/>
        </w:rPr>
        <w:footnoteReference w:id="40"/>
      </w:r>
    </w:p>
    <w:p w:rsidR="00062AC8" w:rsidRDefault="00A90D90" w:rsidP="00062AC8">
      <w:pPr>
        <w:numPr>
          <w:ilvl w:val="0"/>
          <w:numId w:val="25"/>
        </w:numPr>
      </w:pPr>
      <w:r>
        <w:t>We took into account the reports from Lally,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25" w:name="_Ref415048973"/>
      <w:r w:rsidRPr="00784B2C">
        <w:t xml:space="preserve">Approach to </w:t>
      </w:r>
      <w:r w:rsidRPr="00A90D90">
        <w:t>determining the value of imputation credits</w:t>
      </w:r>
      <w:bookmarkEnd w:id="25"/>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1"/>
      </w:r>
      <w:r>
        <w:t xml:space="preserve"> Our approach to determining the value of imputation credits is guided by:</w:t>
      </w:r>
    </w:p>
    <w:p w:rsidR="00A90D90" w:rsidRPr="00A90D90" w:rsidRDefault="00A90D90" w:rsidP="00A90D90">
      <w:pPr>
        <w:pStyle w:val="AERbulletlistfirststyle"/>
      </w:pPr>
      <w:r>
        <w:t>t</w:t>
      </w:r>
      <w:r w:rsidRPr="00A90D90">
        <w:t xml:space="preserve">he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4908AA">
        <w:t>4.3.1</w:t>
      </w:r>
      <w:r w:rsidRPr="00A90D90">
        <w:fldChar w:fldCharType="end"/>
      </w:r>
      <w:r w:rsidRPr="00A90D90">
        <w:t>.</w:t>
      </w:r>
    </w:p>
    <w:p w:rsidR="00A90D90" w:rsidRPr="00A90D90" w:rsidRDefault="00A90D90" w:rsidP="00A90D90">
      <w:pPr>
        <w:pStyle w:val="AERbulletlistfirststyle"/>
      </w:pPr>
      <w:r>
        <w:t>t</w:t>
      </w:r>
      <w:r w:rsidRPr="00A90D90">
        <w:t>he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2"/>
      </w:r>
    </w:p>
    <w:p w:rsidR="00A90D90" w:rsidRPr="00A90D90" w:rsidRDefault="00A90D90" w:rsidP="00A90D90">
      <w:pPr>
        <w:pStyle w:val="AERbulletlistfirststyle"/>
      </w:pPr>
      <w:r>
        <w:t>r</w:t>
      </w:r>
      <w:r w:rsidRPr="00A90D90">
        <w:t>elevant academic literature—the framework developed in a 1994 paper by Officer is widely recognised as providing the basis for the value of imputation credits in the building block framework.</w:t>
      </w:r>
      <w:r w:rsidRPr="00A90D90">
        <w:rPr>
          <w:rStyle w:val="FootnoteReference"/>
        </w:rPr>
        <w:footnoteReference w:id="43"/>
      </w:r>
      <w:r w:rsidRPr="00A90D90">
        <w:t xml:space="preserve"> </w:t>
      </w:r>
      <w:r w:rsidR="002711F2">
        <w:t xml:space="preserve">A key implication of Officer's framework is that the value of imputation credits should be estimated on a before-personal-tax and before-personal-costs basis. </w:t>
      </w:r>
      <w:r w:rsidRPr="00A90D90">
        <w:t>The work of Monkhouse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r w:rsidRPr="00423E59">
        <w:t xml:space="preserve">the utilisation value to investors in the market per dollar of imputation credits distributed </w:t>
      </w:r>
      <w:r w:rsidRPr="00A90D90">
        <w:t>(the utilisation rate).</w:t>
      </w:r>
      <w:r w:rsidRPr="00A90D90">
        <w:rPr>
          <w:rStyle w:val="FootnoteReference"/>
        </w:rPr>
        <w:footnoteReference w:id="44"/>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90D90" w:rsidP="00A90D90">
      <w:pPr>
        <w:pStyle w:val="AERbulletlistfirststyle"/>
      </w:pPr>
      <w:r>
        <w:lastRenderedPageBreak/>
        <w:t xml:space="preserve">A wide range of relevant </w:t>
      </w:r>
      <w:r w:rsidRPr="00A90D90">
        <w:t>evidence—while there is a widely accepted approach to estimating the distribution rate, there is no single accepted approach to estimating the utilisation rate and there is a range of evidence relevant to the utilisation rate. This includes:</w:t>
      </w:r>
    </w:p>
    <w:p w:rsidR="00A90D90" w:rsidRPr="00A90D90" w:rsidRDefault="00A90D90" w:rsidP="00A90D90">
      <w:pPr>
        <w:pStyle w:val="AERbulletlistsecondstyle"/>
      </w:pPr>
      <w:r>
        <w:t>t</w:t>
      </w:r>
      <w:r w:rsidRPr="00A90D90">
        <w:t>he proportion of Australian equity held by domestic investors (the 'equity ownership approach').</w:t>
      </w:r>
    </w:p>
    <w:p w:rsidR="00A90D90" w:rsidRPr="00A90D90" w:rsidRDefault="00A90D90" w:rsidP="00A90D90">
      <w:pPr>
        <w:pStyle w:val="AERbulletlistsecondstyle"/>
      </w:pPr>
      <w:r>
        <w:t>t</w:t>
      </w:r>
      <w:r w:rsidRPr="00A90D90">
        <w:t>he reported value of credits utilised by investors in Australian Taxation Office (ATO) statistics ('tax statistics').</w:t>
      </w:r>
    </w:p>
    <w:p w:rsidR="00A90D90" w:rsidRPr="00A90D90" w:rsidRDefault="00A90D90" w:rsidP="00A90D90">
      <w:pPr>
        <w:pStyle w:val="AERbulletlistsecondstyle"/>
      </w:pPr>
      <w:r>
        <w:t>s</w:t>
      </w:r>
      <w:r w:rsidRPr="00A90D90">
        <w:t>tudies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5"/>
      </w:r>
      <w:r w:rsidRPr="00A90D90">
        <w:t xml:space="preserve"> In determining the value of imputation credits, we rely on the results from both approaches.</w:t>
      </w:r>
    </w:p>
    <w:p w:rsidR="00A90D90" w:rsidRPr="00A90D90" w:rsidRDefault="00A90D90" w:rsidP="00A90D90">
      <w:pPr>
        <w:pStyle w:val="AERbulletlistfirststyle"/>
      </w:pPr>
      <w:r>
        <w:t>The views of experts</w:t>
      </w:r>
      <w:r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r>
        <w:t>relevance of different estimation techniques, particularly for the utilisation rate.</w:t>
      </w:r>
    </w:p>
    <w:p w:rsidR="00DE563D" w:rsidRDefault="00DE563D" w:rsidP="001754EE">
      <w:pPr>
        <w:pStyle w:val="Heading2"/>
      </w:pPr>
      <w:bookmarkStart w:id="26" w:name="_Toc403144140"/>
      <w:bookmarkStart w:id="27" w:name="_Ref414621693"/>
      <w:bookmarkStart w:id="28" w:name="_Ref414621836"/>
      <w:bookmarkStart w:id="29" w:name="_Ref414907434"/>
      <w:bookmarkStart w:id="30" w:name="_Ref415068229"/>
      <w:bookmarkStart w:id="31" w:name="_Toc417042564"/>
      <w:r w:rsidRPr="001754EE">
        <w:t>Reasons</w:t>
      </w:r>
      <w:r>
        <w:t xml:space="preserve"> for </w:t>
      </w:r>
      <w:r w:rsidR="002016E7">
        <w:t>final</w:t>
      </w:r>
      <w:r>
        <w:t xml:space="preserve"> decision</w:t>
      </w:r>
      <w:bookmarkEnd w:id="26"/>
      <w:bookmarkEnd w:id="27"/>
      <w:bookmarkEnd w:id="28"/>
      <w:bookmarkEnd w:id="29"/>
      <w:bookmarkEnd w:id="30"/>
      <w:bookmarkEnd w:id="31"/>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730504" w:rsidP="00730504">
      <w:pPr>
        <w:pStyle w:val="AERbulletlistfirststyle"/>
      </w:pPr>
      <w:r>
        <w:t>It is within the range of values indicated by the evidence, and the relevance of the evidence is supported by the expert opinion of Handley, Lally</w:t>
      </w:r>
      <w:r w:rsidR="007632C9">
        <w:t>,</w:t>
      </w:r>
      <w:r>
        <w:t xml:space="preserve"> and McKenzie and Partington</w:t>
      </w:r>
      <w:r w:rsidRPr="00730504">
        <w:t>.</w:t>
      </w:r>
    </w:p>
    <w:p w:rsidR="00730504" w:rsidRPr="00730504" w:rsidRDefault="00730504" w:rsidP="00730504">
      <w:pPr>
        <w:pStyle w:val="AERbulletlistfirststyle"/>
      </w:pPr>
      <w:r>
        <w:t>It primarily reflects an estimate of the utilisation rate fro</w:t>
      </w:r>
      <w:r w:rsidRPr="00730504">
        <w:t>m the equity ownership approach. Handley considered this the most important approach to estimating the utilisation rate, relative to the alternatives of tax statistics and implied market value studies.</w:t>
      </w:r>
      <w:r w:rsidRPr="00730504">
        <w:rPr>
          <w:rStyle w:val="FootnoteReference"/>
        </w:rPr>
        <w:footnoteReference w:id="46"/>
      </w:r>
      <w:r w:rsidRPr="00730504">
        <w:t xml:space="preserve"> The equity ownership approach was Lally's second preference after his recommendation for a utilisation rate of 1.</w:t>
      </w:r>
      <w:r w:rsidRPr="00730504">
        <w:rPr>
          <w:rStyle w:val="FootnoteReference"/>
        </w:rPr>
        <w:footnoteReference w:id="47"/>
      </w:r>
    </w:p>
    <w:p w:rsidR="00730504" w:rsidRPr="00730504" w:rsidRDefault="00730504" w:rsidP="00730504">
      <w:pPr>
        <w:pStyle w:val="AERbulletlistfirststyle"/>
      </w:pPr>
      <w:r>
        <w:lastRenderedPageBreak/>
        <w:t xml:space="preserve">It is within the 'preferred' range for the value of imputation credits </w:t>
      </w:r>
      <w:r w:rsidRPr="00730504">
        <w:t xml:space="preserve">(0.4 to 0.5) in Handley's </w:t>
      </w:r>
      <w:r>
        <w:t>September 2014</w:t>
      </w:r>
      <w:r w:rsidRPr="00730504">
        <w:t xml:space="preserve"> advice.</w:t>
      </w:r>
      <w:r w:rsidRPr="00730504">
        <w:rPr>
          <w:rStyle w:val="FootnoteReference"/>
        </w:rPr>
        <w:footnoteReference w:id="48"/>
      </w:r>
    </w:p>
    <w:p w:rsidR="00730504" w:rsidRPr="00730504" w:rsidRDefault="00730504" w:rsidP="00730504">
      <w:pPr>
        <w:pStyle w:val="AERbulletlistfirststyle"/>
      </w:pPr>
      <w:r>
        <w:t>Based on the evidence before us at this time, a</w:t>
      </w:r>
      <w:r w:rsidRPr="00730504">
        <w:t>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730504">
        <w:rPr>
          <w:rStyle w:val="FootnoteReference"/>
        </w:rPr>
        <w:footnoteReference w:id="49"/>
      </w:r>
      <w:r w:rsidRPr="00730504">
        <w:t xml:space="preserve"> The imprecision of determining the value of imputation credits was emphasised by Handley.</w:t>
      </w:r>
      <w:r w:rsidRPr="00730504">
        <w:rPr>
          <w:rStyle w:val="FootnoteReference"/>
        </w:rPr>
        <w:footnoteReference w:id="50"/>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Further to the Guideline approach, in this final decision we consider that:</w:t>
      </w:r>
    </w:p>
    <w:p w:rsidR="00730504" w:rsidRPr="00730504" w:rsidRDefault="00730504" w:rsidP="00730504">
      <w:pPr>
        <w:pStyle w:val="AERbulletlistfirststyle"/>
      </w:pPr>
      <w:r>
        <w:t>We may</w:t>
      </w:r>
      <w:r w:rsidRPr="00730504">
        <w:t xml:space="preserve"> have regard to evidence from all equity and/or </w:t>
      </w:r>
      <w:r w:rsidR="001C274C">
        <w:t xml:space="preserve">only </w:t>
      </w:r>
      <w:r w:rsidRPr="00730504">
        <w:t xml:space="preserve">listed equity. Some experts advocate use of evidence on only listed companies and their investors because </w:t>
      </w:r>
      <w:r w:rsidR="0055021B">
        <w:t>they consider it</w:t>
      </w:r>
      <w:r w:rsidRPr="00730504">
        <w:t xml:space="preserve"> to be more reflective of the benchmark efficient entity and its investors, or because</w:t>
      </w:r>
      <w:r w:rsidR="0055021B">
        <w:t xml:space="preserve"> they consider</w:t>
      </w:r>
      <w:r w:rsidRPr="00730504">
        <w:t xml:space="preserve"> this is consistent with the use of evidence from only listed companies when estimating the market risk premium. However, there is no consensus on this point. We discuss the issue further in section </w:t>
      </w:r>
      <w:r w:rsidRPr="00730504">
        <w:fldChar w:fldCharType="begin"/>
      </w:r>
      <w:r w:rsidRPr="00730504">
        <w:instrText xml:space="preserve"> REF _Ref401048631 \r \h </w:instrText>
      </w:r>
      <w:r w:rsidRPr="00730504">
        <w:fldChar w:fldCharType="separate"/>
      </w:r>
      <w:r w:rsidR="004908AA">
        <w:t>A.9.1</w:t>
      </w:r>
      <w:r w:rsidRPr="00730504">
        <w:fldChar w:fldCharType="end"/>
      </w:r>
      <w:r w:rsidRPr="00730504">
        <w:t xml:space="preserve"> of appendix A. We did not consider this issue in the Guideline.</w:t>
      </w:r>
    </w:p>
    <w:p w:rsidR="00730504" w:rsidRPr="00730504" w:rsidRDefault="00730504" w:rsidP="00730504">
      <w:pPr>
        <w:pStyle w:val="AERbulletlistfirststyle"/>
      </w:pPr>
      <w:r>
        <w:t>It would be i</w:t>
      </w:r>
      <w:r w:rsidRPr="00730504">
        <w:t xml:space="preserve">nappropriate to pair an estimate of the utilisation rate from </w:t>
      </w:r>
      <w:r w:rsidR="001C274C">
        <w:t xml:space="preserve">only </w:t>
      </w:r>
      <w:r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Pr="00730504">
        <w:fldChar w:fldCharType="begin"/>
      </w:r>
      <w:r w:rsidRPr="00730504">
        <w:instrText xml:space="preserve"> REF _Ref403481194 \r \h </w:instrText>
      </w:r>
      <w:r w:rsidRPr="00730504">
        <w:fldChar w:fldCharType="separate"/>
      </w:r>
      <w:r w:rsidR="004908AA">
        <w:t>A.9.2</w:t>
      </w:r>
      <w:r w:rsidRPr="00730504">
        <w:fldChar w:fldCharType="end"/>
      </w:r>
      <w:r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4908AA">
        <w:t xml:space="preserve">table </w:t>
      </w:r>
      <w:r w:rsidR="004908AA">
        <w:rPr>
          <w:noProof/>
        </w:rPr>
        <w:t>4</w:t>
      </w:r>
      <w:r w:rsidR="004908AA">
        <w:noBreakHyphen/>
      </w:r>
      <w:r w:rsidR="004908AA">
        <w:rPr>
          <w:noProof/>
        </w:rPr>
        <w:t>1</w:t>
      </w:r>
      <w:r>
        <w:fldChar w:fldCharType="end"/>
      </w:r>
      <w:r>
        <w:t xml:space="preserve"> and </w:t>
      </w:r>
      <w:r>
        <w:fldChar w:fldCharType="begin"/>
      </w:r>
      <w:r>
        <w:instrText xml:space="preserve"> REF  _Ref404072148 \* Lower \h </w:instrText>
      </w:r>
      <w:r>
        <w:fldChar w:fldCharType="separate"/>
      </w:r>
      <w:r w:rsidR="004908AA">
        <w:t xml:space="preserve">table </w:t>
      </w:r>
      <w:r w:rsidR="004908AA">
        <w:rPr>
          <w:noProof/>
        </w:rPr>
        <w:t>4</w:t>
      </w:r>
      <w:r w:rsidR="004908AA">
        <w:noBreakHyphen/>
      </w:r>
      <w:r w:rsidR="004908AA">
        <w:rPr>
          <w:noProof/>
        </w:rPr>
        <w:t>2</w:t>
      </w:r>
      <w:r>
        <w:fldChar w:fldCharType="end"/>
      </w:r>
      <w:r>
        <w:t xml:space="preserve"> </w:t>
      </w:r>
      <w:r w:rsidRPr="00EB588E">
        <w:t xml:space="preserve">show estimates of the value of imputation credits that arise from internally consistent evidence from all equity and </w:t>
      </w:r>
      <w:r w:rsidR="001C274C">
        <w:t>only listed equity</w:t>
      </w:r>
      <w:r w:rsidRPr="00EB588E">
        <w:t>, respectively.</w:t>
      </w:r>
      <w:r w:rsidR="00F27BB2">
        <w:rPr>
          <w:rStyle w:val="FootnoteReference"/>
        </w:rPr>
        <w:footnoteReference w:id="51"/>
      </w:r>
      <w:r w:rsidRPr="00EB588E">
        <w:t xml:space="preserve"> These individual sources of evidence allow us to present estimates to </w:t>
      </w:r>
      <w:r w:rsidRPr="00EB588E">
        <w:lastRenderedPageBreak/>
        <w:t>two decimal places. However, we consider it reasonable to determine a value of imputation credits to only one decimal place when determining a single value from across this evidence.</w:t>
      </w:r>
    </w:p>
    <w:p w:rsidR="00730504" w:rsidRDefault="00730504" w:rsidP="00730504">
      <w:pPr>
        <w:pStyle w:val="Caption"/>
      </w:pPr>
      <w:bookmarkStart w:id="32" w:name="_Ref400900366"/>
      <w:bookmarkStart w:id="33" w:name="_Ref400900335"/>
      <w:r>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1</w:t>
      </w:r>
      <w:r w:rsidR="006E52BD">
        <w:rPr>
          <w:noProof/>
        </w:rPr>
        <w:fldChar w:fldCharType="end"/>
      </w:r>
      <w:bookmarkEnd w:id="32"/>
      <w:r>
        <w:tab/>
        <w:t>Estimates of the value of imputation credits—evidence from all equity</w:t>
      </w:r>
      <w:bookmarkEnd w:id="33"/>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p>
        </w:tc>
      </w:tr>
    </w:tbl>
    <w:p w:rsidR="00730504" w:rsidRPr="001B2B55" w:rsidRDefault="00730504" w:rsidP="00730504">
      <w:pPr>
        <w:pStyle w:val="AERtablesource"/>
      </w:pPr>
      <w:r>
        <w:t>Source:</w:t>
      </w:r>
      <w:r>
        <w:tab/>
        <w:t>AER analysis.</w:t>
      </w:r>
      <w:bookmarkStart w:id="34" w:name="_Ref400900373"/>
    </w:p>
    <w:p w:rsidR="00730504" w:rsidRDefault="00730504" w:rsidP="00730504">
      <w:pPr>
        <w:pStyle w:val="Caption"/>
      </w:pPr>
      <w:bookmarkStart w:id="35" w:name="_Ref404072148"/>
      <w:r>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2</w:t>
      </w:r>
      <w:r w:rsidR="006E52BD">
        <w:rPr>
          <w:noProof/>
        </w:rPr>
        <w:fldChar w:fldCharType="end"/>
      </w:r>
      <w:bookmarkEnd w:id="34"/>
      <w:bookmarkEnd w:id="35"/>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0.8</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0.31</w:t>
            </w:r>
            <w:r w:rsidR="00730504">
              <w:t xml:space="preserve"> to 0.4</w:t>
            </w:r>
            <w:r>
              <w:t>4</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0.8</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0.8</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0.28 (0.32)</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(a</w:t>
      </w:r>
      <w:r w:rsidR="00730504">
        <w:t>):</w:t>
      </w:r>
      <w:r w:rsidR="00730504">
        <w:tab/>
      </w:r>
      <w:r w:rsidR="00530F0A">
        <w:t>Following the adjustment proposed by Handley and Lally. This adjustment is discussed further in section</w:t>
      </w:r>
      <w:r w:rsidR="00EF0918">
        <w:t xml:space="preserve"> </w:t>
      </w:r>
      <w:r w:rsidR="00EF0918">
        <w:fldChar w:fldCharType="begin"/>
      </w:r>
      <w:r w:rsidR="00EF0918">
        <w:instrText xml:space="preserve"> REF _Ref414289593 \r \h </w:instrText>
      </w:r>
      <w:r w:rsidR="00EF0918">
        <w:fldChar w:fldCharType="separate"/>
      </w:r>
      <w:r w:rsidR="004908AA">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2"/>
      </w:r>
      <w:r>
        <w:t xml:space="preserve"> From within this range, we choose a value of 0.4. This is because:</w:t>
      </w:r>
    </w:p>
    <w:p w:rsidR="00730504" w:rsidRPr="00730504" w:rsidRDefault="00730504" w:rsidP="00730504">
      <w:pPr>
        <w:pStyle w:val="AERbulletlistfirststyle"/>
      </w:pPr>
      <w:r>
        <w:t>The equity ownership approach, on which we have placed the most relian</w:t>
      </w:r>
      <w:r w:rsidR="00C20C67">
        <w:t xml:space="preserve">ce, suggests a value </w:t>
      </w:r>
      <w:r w:rsidR="00361EF1">
        <w:t>between 0.4</w:t>
      </w:r>
      <w:r w:rsidR="005E0668">
        <w:t>0</w:t>
      </w:r>
      <w:r>
        <w:t xml:space="preserve"> and 0.</w:t>
      </w:r>
      <w:r w:rsidR="00C20C67">
        <w:t>4</w:t>
      </w:r>
      <w:r w:rsidR="00361EF1">
        <w:t>7</w:t>
      </w:r>
      <w:r>
        <w:t xml:space="preserve"> when applied to al</w:t>
      </w:r>
      <w:r w:rsidR="00C20C67">
        <w:t>l equity and between 0.3</w:t>
      </w:r>
      <w:r w:rsidR="00361EF1">
        <w:t>1 and 0.44</w:t>
      </w:r>
      <w:r>
        <w:t xml:space="preserve"> when applied to </w:t>
      </w:r>
      <w:r w:rsidR="001C274C">
        <w:t>only listed equity</w:t>
      </w:r>
      <w:r>
        <w:t>. Therefore, t</w:t>
      </w:r>
      <w:r w:rsidRPr="00730504">
        <w:t xml:space="preserve">he </w:t>
      </w:r>
      <w:r w:rsidR="00960EBC">
        <w:t>overlap</w:t>
      </w:r>
      <w:r w:rsidRPr="00730504">
        <w:t xml:space="preserve"> of </w:t>
      </w:r>
      <w:r w:rsidR="00960EBC">
        <w:t xml:space="preserve">the </w:t>
      </w:r>
      <w:r w:rsidRPr="00730504">
        <w:t>evidence from the equity ownership a</w:t>
      </w:r>
      <w:r w:rsidR="00361EF1">
        <w:t>pproach suggests a value between 0.4</w:t>
      </w:r>
      <w:r w:rsidR="005E0668">
        <w:t>0</w:t>
      </w:r>
      <w:r w:rsidR="00361EF1">
        <w:t xml:space="preserve"> and 0.44</w:t>
      </w:r>
      <w:r w:rsidRPr="00730504">
        <w:t>.</w:t>
      </w:r>
    </w:p>
    <w:p w:rsidR="00730504" w:rsidRDefault="00730504" w:rsidP="00730504">
      <w:pPr>
        <w:pStyle w:val="AERbulletlistfirststyle"/>
      </w:pPr>
      <w:r>
        <w:t>The evidence from tax statistics</w:t>
      </w:r>
      <w:r w:rsidR="00361EF1">
        <w:t xml:space="preserve"> suggest</w:t>
      </w:r>
      <w:r w:rsidR="00A015CD">
        <w:t>s</w:t>
      </w:r>
      <w:r w:rsidRPr="00730504">
        <w:t xml:space="preserve"> the value could be lower than 0.4. Therefore</w:t>
      </w:r>
      <w:r w:rsidR="0031438A">
        <w:t>, with regard to this evidenc</w:t>
      </w:r>
      <w:r w:rsidR="00297C4E">
        <w:t>e and the less reliance we place on it,</w:t>
      </w:r>
      <w:r w:rsidRPr="00730504">
        <w:t xml:space="preserve"> we choose a value at the lower e</w:t>
      </w:r>
      <w:r w:rsidR="00960EBC">
        <w:t>nd of the range suggested by the overlap</w:t>
      </w:r>
      <w:r w:rsidRPr="00730504">
        <w:t xml:space="preserve"> of evidence from the equity ownership approach (that is, 0.4).</w:t>
      </w:r>
    </w:p>
    <w:p w:rsidR="00884B75" w:rsidRPr="00730504" w:rsidRDefault="005C7BE1" w:rsidP="005C7BE1">
      <w:pPr>
        <w:pStyle w:val="AERbulletlistfirststyle"/>
      </w:pPr>
      <w:r w:rsidRPr="005C7BE1">
        <w:t xml:space="preserve">The evidence from SFG's dividend drop off study also suggests that the value could be lower than 0.4. However, we place even less reliance on this evidence. We therefore consider that choosing a value at the lower end of the range suggested by the overlap of </w:t>
      </w:r>
      <w:r w:rsidRPr="005C7BE1">
        <w:lastRenderedPageBreak/>
        <w:t>evidence from the equity ownership approach (that is, 0.4) has appropriate regard to the merits of SFG’s evidence. Moreover, evidence from other implied market value studies suggests that the value could be both higher or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We therefore do not accept the service providers' proposed value of imputation credits of 0.25, calculated as the product of a distribution rate of 0.7 and a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Handley and Lally advise</w:t>
      </w:r>
      <w:r w:rsidRPr="00730504">
        <w:t xml:space="preserve">d that other classes of evidence are more </w:t>
      </w:r>
      <w:r w:rsidR="00C9626B">
        <w:t>valuable</w:t>
      </w:r>
      <w:r w:rsidRPr="00730504">
        <w:t>.</w:t>
      </w:r>
      <w:r w:rsidRPr="00730504">
        <w:rPr>
          <w:rStyle w:val="FootnoteReference"/>
        </w:rPr>
        <w:footnoteReference w:id="53"/>
      </w:r>
      <w:r w:rsidRPr="00730504">
        <w:t xml:space="preserve"> McKenzie and Partington's report for the Queensland Resources Council suggested that it is reasonable to have regard to other classes of evidence.</w:t>
      </w:r>
      <w:r w:rsidRPr="00730504">
        <w:rPr>
          <w:rStyle w:val="FootnoteReference"/>
        </w:rPr>
        <w:footnoteReference w:id="54"/>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r w:rsidR="00792483">
        <w:t>be disregarded entirely.</w:t>
      </w:r>
      <w:r w:rsidR="005170E4">
        <w:rPr>
          <w:rStyle w:val="FootnoteReference"/>
        </w:rPr>
        <w:footnoteReference w:id="55"/>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Handley and Lally advise</w:t>
      </w:r>
      <w:r w:rsidRPr="00730504">
        <w:t>d that the proper use of this estimate of the utilisation rate requires its adjustment to 0.4.</w:t>
      </w:r>
      <w:r w:rsidRPr="00730504">
        <w:rPr>
          <w:rStyle w:val="FootnoteReference"/>
        </w:rPr>
        <w:footnoteReference w:id="56"/>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0.8).</w:t>
      </w:r>
    </w:p>
    <w:p w:rsidR="00730504" w:rsidRDefault="00730504" w:rsidP="00730504">
      <w:pPr>
        <w:numPr>
          <w:ilvl w:val="0"/>
          <w:numId w:val="25"/>
        </w:numPr>
      </w:pPr>
      <w:r>
        <w:t xml:space="preserve">Therefore, even if the service providers' proposed utilisation rate is used, it yields a value of imputation credits of (0.4 x 0.8) 0.32 rather than 0.25. However, with regard to </w:t>
      </w:r>
      <w:r w:rsidR="008A6898">
        <w:t xml:space="preserve">the </w:t>
      </w:r>
      <w:r>
        <w:t xml:space="preserve">discussion above, our </w:t>
      </w:r>
      <w:r w:rsidR="00C9626B">
        <w:t>estimated</w:t>
      </w:r>
      <w:r>
        <w:t xml:space="preserve"> value of imputation credits is higher than 0.32.</w:t>
      </w:r>
    </w:p>
    <w:p w:rsidR="002C233C" w:rsidRDefault="00730504" w:rsidP="00730504">
      <w:r>
        <w:t>In the sections</w:t>
      </w:r>
      <w:r w:rsidR="008D1665">
        <w:t xml:space="preserve"> </w:t>
      </w:r>
      <w:r w:rsidR="008D1665">
        <w:fldChar w:fldCharType="begin"/>
      </w:r>
      <w:r w:rsidR="008D1665">
        <w:instrText xml:space="preserve"> REF _Ref403482746 \r \h </w:instrText>
      </w:r>
      <w:r w:rsidR="008D1665">
        <w:fldChar w:fldCharType="separate"/>
      </w:r>
      <w:r w:rsidR="004908AA">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4908AA">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4908AA">
        <w:t xml:space="preserve">table </w:t>
      </w:r>
      <w:r w:rsidR="004908AA">
        <w:rPr>
          <w:noProof/>
        </w:rPr>
        <w:t>4</w:t>
      </w:r>
      <w:r w:rsidR="004908AA">
        <w:noBreakHyphen/>
      </w:r>
      <w:r w:rsidR="004908AA">
        <w:rPr>
          <w:noProof/>
        </w:rPr>
        <w:t>1</w:t>
      </w:r>
      <w:r>
        <w:fldChar w:fldCharType="end"/>
      </w:r>
      <w:r>
        <w:t xml:space="preserve"> and </w:t>
      </w:r>
      <w:r>
        <w:fldChar w:fldCharType="begin"/>
      </w:r>
      <w:r>
        <w:instrText xml:space="preserve"> REF  _Ref404072148 \* Lower \h </w:instrText>
      </w:r>
      <w:r>
        <w:fldChar w:fldCharType="separate"/>
      </w:r>
      <w:r w:rsidR="004908AA">
        <w:t xml:space="preserve">table </w:t>
      </w:r>
      <w:r w:rsidR="004908AA">
        <w:rPr>
          <w:noProof/>
        </w:rPr>
        <w:t>4</w:t>
      </w:r>
      <w:r w:rsidR="004908AA">
        <w:noBreakHyphen/>
      </w:r>
      <w:r w:rsidR="004908AA">
        <w:rPr>
          <w:noProof/>
        </w:rPr>
        <w:t>2</w:t>
      </w:r>
      <w:r>
        <w:fldChar w:fldCharType="end"/>
      </w:r>
      <w:r>
        <w:t>, and we present our assessment of the underlying evidence.</w:t>
      </w:r>
    </w:p>
    <w:p w:rsidR="00570EA2" w:rsidRDefault="008D1665" w:rsidP="00215D70">
      <w:pPr>
        <w:pStyle w:val="HeadingBoldItalic"/>
      </w:pPr>
      <w:r>
        <w:lastRenderedPageBreak/>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4908AA">
        <w:t>A.4</w:t>
      </w:r>
      <w:r>
        <w:fldChar w:fldCharType="end"/>
      </w:r>
      <w:r>
        <w:t xml:space="preserve"> of appendix A</w:t>
      </w:r>
      <w:r w:rsidR="001943F7">
        <w:t>,</w:t>
      </w:r>
      <w:r>
        <w:t xml:space="preserve"> we identify where in this final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57"/>
      </w:r>
      <w:r w:rsidR="00997F72">
        <w:t xml:space="preserve"> We address this in section </w:t>
      </w:r>
      <w:r w:rsidR="00997F72">
        <w:fldChar w:fldCharType="begin"/>
      </w:r>
      <w:r w:rsidR="00997F72">
        <w:instrText xml:space="preserve"> REF _Ref415070818 \r \h </w:instrText>
      </w:r>
      <w:r w:rsidR="00997F72">
        <w:fldChar w:fldCharType="separate"/>
      </w:r>
      <w:r w:rsidR="004908AA">
        <w:t>4.3.4</w:t>
      </w:r>
      <w:r w:rsidR="00997F72">
        <w:fldChar w:fldCharType="end"/>
      </w:r>
      <w:r w:rsidR="00997F72">
        <w:t>.</w:t>
      </w:r>
    </w:p>
    <w:p w:rsidR="005401BC" w:rsidRPr="005401BC" w:rsidRDefault="005401BC" w:rsidP="005401BC">
      <w:pPr>
        <w:pStyle w:val="AERbulletlistfirststyle"/>
      </w:pPr>
      <w:r>
        <w:t>The Public Interest Advocacy Centre (PIAC) submitted that the Australian Competition Tribunal's decision in 2011 to rely on an estimate of the utilisation rate from</w:t>
      </w:r>
      <w:r w:rsidR="00CE55B5">
        <w:t xml:space="preserve"> the 2011 version of</w:t>
      </w:r>
      <w:r>
        <w:t xml:space="preserve"> SFG's dividend drop off study should not be viewed as permanently determinative.</w:t>
      </w:r>
      <w:r w:rsidRPr="005401BC">
        <w:rPr>
          <w:rStyle w:val="FootnoteReference"/>
        </w:rPr>
        <w:footnoteReference w:id="58"/>
      </w:r>
      <w:r w:rsidRPr="005401BC">
        <w:t xml:space="preserve"> We agree with these comments in light of the Tribunal's finding that:</w:t>
      </w:r>
      <w:r w:rsidRPr="005401BC">
        <w:rPr>
          <w:rStyle w:val="FootnoteReference"/>
        </w:rPr>
        <w:footnoteReference w:id="59"/>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60"/>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1"/>
      </w:r>
      <w:r>
        <w:t xml:space="preserve"> 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r w:rsidRPr="005B539D">
        <w:t xml:space="preserve">Monkhouse.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2"/>
      </w:r>
    </w:p>
    <w:p w:rsidR="0034249A" w:rsidRDefault="0034249A" w:rsidP="005B539D">
      <w:pPr>
        <w:pStyle w:val="AERbulletlistfirststyle"/>
      </w:pPr>
      <w:r>
        <w:t xml:space="preserve">The South Australian Council of Social Service (SACOSS) submitted, based on advice received from the South Australian Centre for Economic Studies, that evidence was </w:t>
      </w:r>
      <w:r>
        <w:lastRenderedPageBreak/>
        <w:t>emerging for a value of imputation credits lower than the 0.5 in the Guideline.</w:t>
      </w:r>
      <w:r w:rsidR="00B36753">
        <w:rPr>
          <w:rStyle w:val="FootnoteReference"/>
        </w:rPr>
        <w:footnoteReference w:id="63"/>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regarding the value of imputation credits.</w:t>
      </w:r>
      <w:r w:rsidR="003504FC">
        <w:rPr>
          <w:rStyle w:val="FootnoteReference"/>
        </w:rPr>
        <w:footnoteReference w:id="64"/>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65"/>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66"/>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36" w:name="_Ref403482746"/>
      <w:r>
        <w:t xml:space="preserve">The </w:t>
      </w:r>
      <w:r w:rsidRPr="00FD5BE7">
        <w:t>distribution</w:t>
      </w:r>
      <w:r>
        <w:t xml:space="preserve"> rate</w:t>
      </w:r>
      <w:bookmarkEnd w:id="36"/>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67"/>
      </w:r>
      <w:r w:rsidR="009B2ABF">
        <w:t xml:space="preserve"> We use a</w:t>
      </w:r>
      <w:r w:rsidR="00E424CC">
        <w:t>n</w:t>
      </w:r>
      <w:r w:rsidR="009B2ABF">
        <w:t xml:space="preserve"> estimate of </w:t>
      </w:r>
      <w:r w:rsidR="00E424CC">
        <w:t xml:space="preserve">0.8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68"/>
      </w:r>
      <w:r>
        <w:t xml:space="preserve"> Using this approach, NERA estimated a distribution rate across all equity of 0.7 for the period 1987 to 2011.</w:t>
      </w:r>
      <w:r>
        <w:rPr>
          <w:rStyle w:val="FootnoteReference"/>
        </w:rPr>
        <w:footnoteReference w:id="69"/>
      </w:r>
      <w:r>
        <w:t xml:space="preserve"> Hathaway found a similar estimate for the period 2004 to 2011.</w:t>
      </w:r>
      <w:r>
        <w:rPr>
          <w:rStyle w:val="FootnoteReference"/>
        </w:rPr>
        <w:footnoteReference w:id="70"/>
      </w:r>
      <w:r>
        <w:t xml:space="preserve"> </w:t>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Partington</w:t>
      </w:r>
      <w:r w:rsidR="000F0BB8">
        <w:t>,</w:t>
      </w:r>
      <w:r w:rsidRPr="009B2ABF">
        <w:rPr>
          <w:rStyle w:val="FootnoteReference"/>
        </w:rPr>
        <w:footnoteReference w:id="71"/>
      </w:r>
      <w:r w:rsidR="000F0BB8">
        <w:t xml:space="preserve"> and</w:t>
      </w:r>
    </w:p>
    <w:p w:rsidR="000F0BB8" w:rsidRPr="009B2ABF" w:rsidRDefault="000F0BB8" w:rsidP="000F0BB8">
      <w:pPr>
        <w:pStyle w:val="AERbulletlistfirststyle"/>
      </w:pPr>
      <w:r>
        <w:t>is simple and intuitive.</w:t>
      </w:r>
    </w:p>
    <w:p w:rsidR="009B2ABF"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2"/>
      </w:r>
      <w:r>
        <w:t xml:space="preserve"> </w:t>
      </w:r>
      <w:r w:rsidR="00CE7F4B">
        <w:t xml:space="preserve">Our own analysis indicates that the distribution rate over </w:t>
      </w:r>
      <w:r w:rsidR="001C274C">
        <w:t>only listed equity</w:t>
      </w:r>
      <w:r w:rsidR="00CE7F4B">
        <w:t xml:space="preserve"> remains 0.8 for the period 2004 to 2011.</w:t>
      </w:r>
      <w:r w:rsidR="00AE0135">
        <w:rPr>
          <w:rStyle w:val="FootnoteReference"/>
        </w:rPr>
        <w:footnoteReference w:id="73"/>
      </w:r>
      <w:r w:rsidR="00CE7F4B">
        <w:t xml:space="preserve"> </w:t>
      </w: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4908AA">
        <w:t>A.10</w:t>
      </w:r>
      <w:r w:rsidR="00E323D7">
        <w:fldChar w:fldCharType="end"/>
      </w:r>
      <w:r w:rsidR="00946639">
        <w:t xml:space="preserve"> of appendix A.</w:t>
      </w:r>
    </w:p>
    <w:p w:rsidR="00CE7F4B" w:rsidRDefault="00CE7F4B" w:rsidP="00FE182A">
      <w:pPr>
        <w:pStyle w:val="HeadingBoldItalic"/>
      </w:pPr>
      <w:r>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of 0.8 based on evidence from </w:t>
      </w:r>
      <w:r w:rsidR="001C274C">
        <w:t>only listed equity</w:t>
      </w:r>
      <w:r w:rsidRPr="00CE7F4B">
        <w:t>.</w:t>
      </w:r>
      <w:r>
        <w:rPr>
          <w:rStyle w:val="FootnoteReference"/>
        </w:rPr>
        <w:footnoteReference w:id="74"/>
      </w:r>
      <w:r w:rsidRPr="00CE7F4B">
        <w:t xml:space="preserve"> We disagr</w:t>
      </w:r>
      <w:r>
        <w:t xml:space="preserve">ee and set out our reasons in section </w:t>
      </w:r>
      <w:r>
        <w:fldChar w:fldCharType="begin"/>
      </w:r>
      <w:r>
        <w:instrText xml:space="preserve"> REF _Ref414289334 \r \h </w:instrText>
      </w:r>
      <w:r>
        <w:fldChar w:fldCharType="separate"/>
      </w:r>
      <w:r w:rsidR="004908AA">
        <w:t>A.10.1</w:t>
      </w:r>
      <w:r>
        <w:fldChar w:fldCharType="end"/>
      </w:r>
      <w:r>
        <w:t xml:space="preserve"> of appendix A</w:t>
      </w:r>
      <w:r w:rsidRPr="00CE7F4B">
        <w:t>.</w:t>
      </w:r>
    </w:p>
    <w:p w:rsidR="00FE182A" w:rsidRDefault="00FE182A" w:rsidP="001754EE">
      <w:pPr>
        <w:pStyle w:val="Heading3"/>
      </w:pPr>
      <w:bookmarkStart w:id="37" w:name="_Ref414289593"/>
      <w:r>
        <w:t>The utilisation rate</w:t>
      </w:r>
      <w:bookmarkEnd w:id="37"/>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Monkhouse framework,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75"/>
      </w:r>
      <w:r>
        <w:t xml:space="preserve"> </w:t>
      </w:r>
      <w:r w:rsidRPr="00EB5361">
        <w:t xml:space="preserve">Therefore, we consider that eligible investors have a utilisation rate of 1. Conversely, </w:t>
      </w:r>
      <w:r w:rsidRPr="00EB5361">
        <w:lastRenderedPageBreak/>
        <w:t xml:space="preserve">‘ineligible’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4908AA">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4908AA">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r>
        <w:t xml:space="preserve">less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4908AA">
        <w:t xml:space="preserve">table </w:t>
      </w:r>
      <w:r w:rsidR="004908AA">
        <w:rPr>
          <w:noProof/>
        </w:rPr>
        <w:t>4</w:t>
      </w:r>
      <w:r w:rsidR="004908AA">
        <w:noBreakHyphen/>
      </w:r>
      <w:r w:rsidR="004908AA">
        <w:rPr>
          <w:noProof/>
        </w:rPr>
        <w:t>1</w:t>
      </w:r>
      <w:r>
        <w:fldChar w:fldCharType="end"/>
      </w:r>
      <w:r>
        <w:t xml:space="preserve"> and </w:t>
      </w:r>
      <w:r>
        <w:fldChar w:fldCharType="begin"/>
      </w:r>
      <w:r>
        <w:instrText xml:space="preserve"> REF  _Ref404072148 \* Lower \h </w:instrText>
      </w:r>
      <w:r>
        <w:fldChar w:fldCharType="separate"/>
      </w:r>
      <w:r w:rsidR="004908AA">
        <w:t xml:space="preserve">table </w:t>
      </w:r>
      <w:r w:rsidR="004908AA">
        <w:rPr>
          <w:noProof/>
        </w:rPr>
        <w:t>4</w:t>
      </w:r>
      <w:r w:rsidR="004908AA">
        <w:noBreakHyphen/>
      </w:r>
      <w:r w:rsidR="004908AA">
        <w:rPr>
          <w:noProof/>
        </w:rPr>
        <w:t>2</w:t>
      </w:r>
      <w:r>
        <w:fldChar w:fldCharType="end"/>
      </w:r>
      <w:r>
        <w:t>.</w:t>
      </w:r>
    </w:p>
    <w:p w:rsidR="008D1665" w:rsidRDefault="008D1665" w:rsidP="008D1665">
      <w:pPr>
        <w:numPr>
          <w:ilvl w:val="0"/>
          <w:numId w:val="25"/>
        </w:numPr>
      </w:pPr>
      <w:r>
        <w:t>The relative importance that we assign to each approach is supported by Handley and Lally, while McKenzie and Partington's report for the Queensland Resources Council suggested that having regard to all of these approaches is reasonable.</w:t>
      </w:r>
      <w:r>
        <w:rPr>
          <w:rStyle w:val="FootnoteReference"/>
        </w:rPr>
        <w:footnoteReference w:id="76"/>
      </w:r>
      <w:r>
        <w:t xml:space="preserve"> We discuss each approach in the sections below.</w:t>
      </w:r>
      <w:r>
        <w:rPr>
          <w:rStyle w:val="FootnoteReference"/>
        </w:rPr>
        <w:footnoteReference w:id="77"/>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4908AA">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78"/>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it is well aligned with the definition of the utilisation rate in the Monkhouse framework</w:t>
      </w:r>
    </w:p>
    <w:p w:rsidR="008D1665" w:rsidRPr="008D1665" w:rsidRDefault="008D1665" w:rsidP="008D1665">
      <w:pPr>
        <w:pStyle w:val="AERbulletlistfirststyle"/>
      </w:pPr>
      <w:r>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r>
        <w:t xml:space="preserve">it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lastRenderedPageBreak/>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4908AA">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and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a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4908AA">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The service providers submitted that the equity ownership approach, and other measures of the utilisation or redemption of imputation credits, do not reflect a number of factors which affect investors' valuation of imputation credits.</w:t>
      </w:r>
      <w:r>
        <w:rPr>
          <w:rStyle w:val="FootnoteReference"/>
        </w:rPr>
        <w:footnoteReference w:id="79"/>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4908AA">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80"/>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t xml:space="preserve">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w:t>
      </w:r>
      <w:r>
        <w:lastRenderedPageBreak/>
        <w:t>considered tax statistics to be the second most important approach to estimating the utilisation rate after the equity ownership approach.</w:t>
      </w:r>
      <w:r>
        <w:rPr>
          <w:rStyle w:val="FootnoteReference"/>
        </w:rPr>
        <w:footnoteReference w:id="81"/>
      </w:r>
      <w:r>
        <w:t xml:space="preserve"> Lally considered that the tax statistics approach lacks precision, and he did not prefer it to the equity ownership approach.</w:t>
      </w:r>
      <w:r>
        <w:rPr>
          <w:rStyle w:val="FootnoteReference"/>
        </w:rPr>
        <w:footnoteReference w:id="82"/>
      </w:r>
      <w:r>
        <w:t xml:space="preserve">  However, Lally still preferred tax statistics to implied market value studies which he considered to be even more problematic.</w:t>
      </w:r>
      <w:r w:rsidR="002C640C">
        <w:rPr>
          <w:rStyle w:val="FootnoteReference"/>
        </w:rPr>
        <w:footnoteReference w:id="83"/>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84"/>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85"/>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86"/>
      </w:r>
      <w:r w:rsidR="00846525">
        <w:t xml:space="preserve"> </w:t>
      </w:r>
    </w:p>
    <w:p w:rsidR="008D1665" w:rsidRDefault="008D1665" w:rsidP="008D1665">
      <w:pPr>
        <w:numPr>
          <w:ilvl w:val="0"/>
          <w:numId w:val="25"/>
        </w:numPr>
      </w:pPr>
      <w:r>
        <w:t>With regard to Hathaway's analysis, we consider that tax statistics support an estimate of the utilisation rate between 0.4 and 0.6.</w:t>
      </w:r>
      <w:r>
        <w:rPr>
          <w:rStyle w:val="FootnoteReference"/>
        </w:rPr>
        <w:footnoteReference w:id="87"/>
      </w:r>
      <w:r>
        <w:t xml:space="preserve"> However, our estimate of the distribution rate implies that we should adopt a utilisation rate of around 0.43 from within this range for consistency. This 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lastRenderedPageBreak/>
        <w:t>d</w:t>
      </w:r>
      <w:r w:rsidRPr="008D1665">
        <w:t>erived from post-2004 data, consistent with Hathaway's findings that the ATO statistics are subject to a number of issues prior to 2004,</w:t>
      </w:r>
      <w:r w:rsidRPr="008D1665">
        <w:rPr>
          <w:rStyle w:val="FootnoteReference"/>
        </w:rPr>
        <w:footnoteReference w:id="88"/>
      </w:r>
      <w:r w:rsidRPr="008D1665">
        <w:t xml:space="preserve"> and</w:t>
      </w:r>
    </w:p>
    <w:p w:rsidR="008D1665" w:rsidRPr="008D1665" w:rsidRDefault="008D1665" w:rsidP="008D1665">
      <w:pPr>
        <w:pStyle w:val="AERbulletlistfirststyle"/>
      </w:pPr>
      <w:r>
        <w:t>c</w:t>
      </w:r>
      <w:r w:rsidRPr="008D1665">
        <w:t>onsistent with our estimates of the distribution rate.</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4908AA">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The service providers submitted that tax statistics, and other measures of the utilisation or redemption of imputation credits, do not reflect a number of factors which affect investors' valuation of imputation credits.</w:t>
      </w:r>
      <w:r>
        <w:rPr>
          <w:rStyle w:val="FootnoteReference"/>
        </w:rPr>
        <w:footnoteReference w:id="89"/>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4908AA">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A common type of implied market value study are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4908AA">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rate than the equity ownership approach and tax statistics.</w:t>
      </w:r>
      <w:r w:rsidR="008D1665">
        <w:rPr>
          <w:rStyle w:val="FootnoteReference"/>
        </w:rPr>
        <w:footnoteReference w:id="90"/>
      </w:r>
      <w:r w:rsidR="008D1665">
        <w:t xml:space="preserve"> Lally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1"/>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8D1665" w:rsidP="008D1665">
      <w:pPr>
        <w:pStyle w:val="AERbulletlistfirststyle"/>
      </w:pPr>
      <w:r>
        <w:lastRenderedPageBreak/>
        <w:t>T</w:t>
      </w:r>
      <w:r w:rsidRPr="008D1665">
        <w:t>hese studies can produce nonsensical estimates of the utilisation rate;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are discussed in more detail in </w:t>
      </w:r>
      <w:r w:rsidRPr="003854B2">
        <w:t xml:space="preserve">section </w:t>
      </w:r>
      <w:r w:rsidR="00FD3811">
        <w:fldChar w:fldCharType="begin"/>
      </w:r>
      <w:r w:rsidR="00FD3811">
        <w:instrText xml:space="preserve"> REF _Ref414619467 \r \h </w:instrText>
      </w:r>
      <w:r w:rsidR="00FD3811">
        <w:fldChar w:fldCharType="separate"/>
      </w:r>
      <w:r w:rsidR="004908AA">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4908AA">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92"/>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93"/>
      </w:r>
    </w:p>
    <w:p w:rsidR="008D1665" w:rsidRPr="008D1665" w:rsidRDefault="008D1665" w:rsidP="008D1665">
      <w:pPr>
        <w:pStyle w:val="AERbulletlistfirststyle"/>
      </w:pPr>
      <w:r>
        <w:t xml:space="preserve">Lally </w:t>
      </w:r>
      <w:r w:rsidRPr="008D1665">
        <w:t>concurred with the view that implied market value studies 'warrant low weight', but suggested that some studies are more useful than others based on their characteristics.</w:t>
      </w:r>
      <w:r w:rsidRPr="008D1665">
        <w:rPr>
          <w:rStyle w:val="FootnoteReference"/>
        </w:rPr>
        <w:footnoteReference w:id="94"/>
      </w:r>
      <w:r w:rsidR="00725A26">
        <w:t xml:space="preserve"> Lally also raised a number of issues in relation to SFG</w:t>
      </w:r>
      <w:r w:rsidR="00EB4959">
        <w:t>'s</w:t>
      </w:r>
      <w:r w:rsidR="00725A26">
        <w:t xml:space="preserve"> dividend drop off study.</w:t>
      </w:r>
      <w:r w:rsidR="00725A26">
        <w:rPr>
          <w:rStyle w:val="FootnoteReference"/>
        </w:rPr>
        <w:footnoteReference w:id="95"/>
      </w:r>
    </w:p>
    <w:p w:rsidR="008D1665" w:rsidRPr="008D1665" w:rsidRDefault="008D1665" w:rsidP="008D1665">
      <w:pPr>
        <w:pStyle w:val="AERbulletlistfirststyle"/>
      </w:pPr>
      <w:r>
        <w:t>McKenzie and Partington consider</w:t>
      </w:r>
      <w:r w:rsidRPr="008D1665">
        <w:t xml:space="preserve">ed that there is no obvious manner in which to weigh the results from various studies based on their characteristics. They observed that a simple average of the results from a reasonably comprehensive sample of studies </w:t>
      </w:r>
      <w:r w:rsidRPr="008D1665">
        <w:lastRenderedPageBreak/>
        <w:t>suggests an estimate of the utilisation rate of 0.53. They also noted that their own studies suggest a significantly higher estimate of 0.83.</w:t>
      </w:r>
      <w:r w:rsidRPr="008D1665">
        <w:rPr>
          <w:rStyle w:val="FootnoteReference"/>
        </w:rPr>
        <w:footnoteReference w:id="96"/>
      </w:r>
    </w:p>
    <w:p w:rsidR="00733809" w:rsidRDefault="00733809" w:rsidP="00733809">
      <w:pPr>
        <w:numPr>
          <w:ilvl w:val="0"/>
          <w:numId w:val="25"/>
        </w:numPr>
      </w:pPr>
      <w:r>
        <w:t>A further issue regarding implied market value studies is the appropriate interpretation of their results. Handley and Lally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Lally advised that the desired estimate of the utilisation rate should exclude the effect of these factors.</w:t>
      </w:r>
      <w:r w:rsidR="00984362">
        <w:rPr>
          <w:rStyle w:val="FootnoteReference"/>
        </w:rPr>
        <w:footnoteReference w:id="97"/>
      </w:r>
      <w:r>
        <w:t xml:space="preserve"> To remove the effect, they advised that the estimate of the utilisation rate from a given study can be divided by investors' estimated valuation of dividends from the same study.</w:t>
      </w:r>
      <w:r>
        <w:rPr>
          <w:rStyle w:val="FootnoteReference"/>
        </w:rPr>
        <w:footnoteReference w:id="98"/>
      </w:r>
      <w:r>
        <w:t xml:space="preserve"> Therefore, Handley and Lally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r>
        <w:t>appeared to use more reasonable and robust econometric treatments.</w:t>
      </w:r>
    </w:p>
    <w:p w:rsidR="002030C9" w:rsidRDefault="00EF7EC0" w:rsidP="008D1665">
      <w:pPr>
        <w:numPr>
          <w:ilvl w:val="0"/>
          <w:numId w:val="25"/>
        </w:numPr>
      </w:pPr>
      <w:r>
        <w:t xml:space="preserve">However, in this final decision we recognise </w:t>
      </w:r>
      <w:r w:rsidR="00566D1D">
        <w:t>that</w:t>
      </w:r>
      <w:r>
        <w:t xml:space="preserve"> experts advocate both broader and narrower assessments of the evidence from implied market value studies. McKenzie and Partington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99"/>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100"/>
      </w:r>
      <w:r w:rsidR="00313C79">
        <w:t xml:space="preserve"> </w:t>
      </w:r>
    </w:p>
    <w:p w:rsidR="002030C9" w:rsidRDefault="002030C9" w:rsidP="008D1665">
      <w:pPr>
        <w:numPr>
          <w:ilvl w:val="0"/>
          <w:numId w:val="25"/>
        </w:numPr>
      </w:pPr>
      <w:r>
        <w:lastRenderedPageBreak/>
        <w:t>Ultimate</w:t>
      </w:r>
      <w:r w:rsidR="00367EDE">
        <w:t xml:space="preserve">ly, as discussed in section </w:t>
      </w:r>
      <w:r w:rsidR="003663DE">
        <w:fldChar w:fldCharType="begin"/>
      </w:r>
      <w:r w:rsidR="003663DE">
        <w:instrText xml:space="preserve"> REF _Ref414907434 \r \h </w:instrText>
      </w:r>
      <w:r w:rsidR="003663DE">
        <w:fldChar w:fldCharType="separate"/>
      </w:r>
      <w:r w:rsidR="004908AA">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1"/>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4908AA">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4908AA">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4908AA">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4908AA">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E1716" w:rsidP="006E1716">
      <w:pPr>
        <w:pStyle w:val="AERbulletlistfirststyle"/>
      </w:pPr>
      <w:r>
        <w:t>The use of implied market value studies to estimate the value of imputation credits is consistent with the approach to estimating other rate of return parameters.</w:t>
      </w:r>
    </w:p>
    <w:p w:rsidR="006E1716" w:rsidRDefault="00C20980" w:rsidP="006E1716">
      <w:pPr>
        <w:pStyle w:val="AERbulletlistfirststyle"/>
      </w:pPr>
      <w:r>
        <w:t>An adjustment can be made to the results of SFG's dividend drop off study to account for the differences between our and the service providers' interpretation</w:t>
      </w:r>
      <w:r w:rsidR="00E76C30">
        <w:t>s</w:t>
      </w:r>
      <w:r>
        <w:t xml:space="preserve"> of the utilisation rate.</w:t>
      </w:r>
    </w:p>
    <w:p w:rsidR="00C20980" w:rsidRDefault="00C20980" w:rsidP="006E1716">
      <w:pPr>
        <w:pStyle w:val="AERbulletlistfirststyle"/>
      </w:pPr>
      <w:r>
        <w:t xml:space="preserve">Several of the limitations </w:t>
      </w:r>
      <w:r w:rsidR="00E76C30">
        <w:t>that</w:t>
      </w:r>
      <w:r>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4908AA">
        <w:t>A.14</w:t>
      </w:r>
      <w:r w:rsidR="00C31B22">
        <w:fldChar w:fldCharType="end"/>
      </w:r>
      <w:r>
        <w:t xml:space="preserve"> of appendix A.</w:t>
      </w:r>
    </w:p>
    <w:p w:rsidR="00091B15" w:rsidRDefault="00B168A4" w:rsidP="00091B15">
      <w:pPr>
        <w:pStyle w:val="Heading7"/>
      </w:pPr>
      <w:bookmarkStart w:id="38" w:name="_Toc417042565"/>
      <w:r>
        <w:lastRenderedPageBreak/>
        <w:t>Value of imputation credits: Detailed analysis</w:t>
      </w:r>
      <w:bookmarkEnd w:id="38"/>
    </w:p>
    <w:p w:rsidR="00076A67" w:rsidRPr="00076A67" w:rsidRDefault="00076A67" w:rsidP="00076A67">
      <w:r w:rsidRPr="00076A67">
        <w:t xml:space="preserve">In attachment 4, we set out our </w:t>
      </w:r>
      <w:r w:rsidR="00F0114A">
        <w:t>decision</w:t>
      </w:r>
      <w:r w:rsidRPr="00076A67">
        <w:t xml:space="preserve"> on the value of imputation credits—which is to adopt a value of 0.4—and our key reasons for that </w:t>
      </w:r>
      <w:r w:rsidR="00F0114A">
        <w:t>view</w:t>
      </w:r>
      <w:r w:rsidRPr="00076A67">
        <w:t xml:space="preserve">. We also indicated the position submitted to us by service providers with current regulatory decisions, and briefly set out our consideration of that position. In this appendix, we set out further supporting material for our </w:t>
      </w:r>
      <w:r w:rsidR="00F0114A">
        <w:t>decision</w:t>
      </w:r>
      <w:r w:rsidRPr="00076A67">
        <w:t xml:space="preserve"> on the value of imputation credits. We also respond in more detail to the position submitted to us by service providers.</w:t>
      </w:r>
    </w:p>
    <w:p w:rsidR="00B168A4" w:rsidRPr="00B168A4" w:rsidRDefault="00076A67" w:rsidP="00076A67">
      <w:r w:rsidRPr="00076A67">
        <w:t xml:space="preserve">All service providers with current regulatory decisions (ActewAGL, Ausgrid, Directlink, Endeavour Energy, Essential Energy, JGN and TransGrid), with the exception of TasNetworks, proposed a value of imputation credits of 0.25. The reasons submitted by those service providers </w:t>
      </w:r>
      <w:r w:rsidR="00777A49">
        <w:t xml:space="preserve">in their initial and revised proposals </w:t>
      </w:r>
      <w:r w:rsidRPr="00076A67">
        <w:t>were largely the same and the service p</w:t>
      </w:r>
      <w:r w:rsidR="00777A49">
        <w:t xml:space="preserve">roviders jointly commissioned </w:t>
      </w:r>
      <w:r w:rsidRPr="00076A67">
        <w:t>report</w:t>
      </w:r>
      <w:r w:rsidR="00777A49">
        <w:t>s</w:t>
      </w:r>
      <w:r w:rsidRPr="00076A67">
        <w:t xml:space="preserve"> from SFG and relied on </w:t>
      </w:r>
      <w:r w:rsidR="00777A49">
        <w:t>those</w:t>
      </w:r>
      <w:r w:rsidRPr="00076A67">
        <w:t xml:space="preserve"> report</w:t>
      </w:r>
      <w:r w:rsidR="00777A49">
        <w:t>s</w:t>
      </w:r>
      <w:r w:rsidRPr="00076A67">
        <w:t xml:space="preserve"> in their proposals. Accordingly, our analysis in this appendix is applicable and consistent with our analysis of the proposals from those other service providers.</w:t>
      </w:r>
    </w:p>
    <w:p w:rsidR="00091B15" w:rsidRDefault="000222ED" w:rsidP="00091B15">
      <w:pPr>
        <w:pStyle w:val="Heading8"/>
      </w:pPr>
      <w:bookmarkStart w:id="39" w:name="_Ref414621676"/>
      <w:bookmarkStart w:id="40" w:name="_Toc417042566"/>
      <w:r>
        <w:t>Expert views on the value of imputation credits</w:t>
      </w:r>
      <w:bookmarkEnd w:id="39"/>
      <w:bookmarkEnd w:id="40"/>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4908AA" w:rsidRPr="009421A7">
        <w:t xml:space="preserve">Table </w:t>
      </w:r>
      <w:r w:rsidR="004908AA">
        <w:rPr>
          <w:noProof/>
        </w:rPr>
        <w:t>4</w:t>
      </w:r>
      <w:r w:rsidR="004908AA">
        <w:noBreakHyphen/>
      </w:r>
      <w:r w:rsidR="004908AA">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1" w:name="_Ref400609043"/>
      <w:r w:rsidRPr="009421A7">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3</w:t>
      </w:r>
      <w:r w:rsidR="006E52BD">
        <w:rPr>
          <w:noProof/>
        </w:rPr>
        <w:fldChar w:fldCharType="end"/>
      </w:r>
      <w:bookmarkEnd w:id="41"/>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r w:rsidRPr="005527C3">
              <w:t>Lally (2013</w:t>
            </w:r>
            <w:r w:rsidR="00384402">
              <w:t>a</w:t>
            </w:r>
            <w:r>
              <w:t>,</w:t>
            </w:r>
            <w:r w:rsidR="00384402">
              <w:t xml:space="preserve"> 2013b, </w:t>
            </w:r>
            <w:r>
              <w:t xml:space="preserve"> 2014</w:t>
            </w:r>
            <w:r w:rsidRPr="005527C3">
              <w:t>)</w:t>
            </w:r>
            <w:r>
              <w:rPr>
                <w:rStyle w:val="FootnoteReference"/>
              </w:rPr>
              <w:footnoteReference w:id="102"/>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McKenzie and Partington (2013)</w:t>
            </w:r>
            <w:r>
              <w:rPr>
                <w:rStyle w:val="FootnoteReference"/>
              </w:rPr>
              <w:footnoteReference w:id="103"/>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3C0026">
            <w:pPr>
              <w:numPr>
                <w:ilvl w:val="0"/>
                <w:numId w:val="25"/>
              </w:numPr>
            </w:pPr>
            <w:r>
              <w:rPr>
                <w:rStyle w:val="Strong"/>
              </w:rPr>
              <w:t>None recommended</w:t>
            </w:r>
            <w:r>
              <w:t>, although estimates considered included 0.7</w:t>
            </w:r>
            <w:r w:rsidR="00D86A4A">
              <w:t xml:space="preserve"> from AER draft rate of return G</w:t>
            </w:r>
            <w:r>
              <w:t>uideline approach, 0.53 from average of implied market value studies and 0.83 from average of McKenzie and Partington's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04"/>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05"/>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06"/>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07"/>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4908AA">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of 0.8. </w:t>
      </w:r>
      <w:r w:rsidR="003B4139">
        <w:t>The South Australian Centre for Economic Studies (</w:t>
      </w:r>
      <w:r>
        <w:t>SACES</w:t>
      </w:r>
      <w:r w:rsidR="003B4139">
        <w:t>)</w:t>
      </w:r>
      <w:r>
        <w:t xml:space="preserve"> accepts Handley's approach. </w:t>
      </w:r>
      <w:r w:rsidRPr="00887F2D">
        <w:t>Lally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Partington rely on a range of evidence. </w:t>
      </w:r>
      <w:r w:rsidR="005436C8">
        <w:t xml:space="preserve">SACES gives equal weight to the equity ownership approach and tax statistics. </w:t>
      </w:r>
      <w:r>
        <w:t xml:space="preserve">Lally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5436C8">
        <w:t>final</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42" w:name="_Ref414621875"/>
      <w:bookmarkStart w:id="43" w:name="_Toc417042567"/>
      <w:r>
        <w:t>The value of imputation credits used by other regulators</w:t>
      </w:r>
      <w:bookmarkEnd w:id="42"/>
      <w:bookmarkEnd w:id="43"/>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4908AA">
        <w:t xml:space="preserve">Table </w:t>
      </w:r>
      <w:r w:rsidR="004908AA">
        <w:rPr>
          <w:noProof/>
        </w:rPr>
        <w:t>4</w:t>
      </w:r>
      <w:r w:rsidR="004908AA">
        <w:noBreakHyphen/>
      </w:r>
      <w:r w:rsidR="004908AA">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44" w:name="_Ref401082422"/>
      <w:r>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4</w:t>
      </w:r>
      <w:r w:rsidR="006E52BD">
        <w:rPr>
          <w:noProof/>
        </w:rPr>
        <w:fldChar w:fldCharType="end"/>
      </w:r>
      <w:bookmarkEnd w:id="44"/>
      <w:r>
        <w:tab/>
      </w:r>
      <w:r w:rsidRPr="000B7BA2">
        <w:t>Au</w:t>
      </w:r>
      <w:r>
        <w:t>stralian regulators' approaches to</w:t>
      </w:r>
      <w:r w:rsidRPr="000B7BA2">
        <w:t xml:space="preserve">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0B65E0"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Form of adoption</w:t>
            </w:r>
          </w:p>
        </w:tc>
        <w:tc>
          <w:tcPr>
            <w:tcW w:w="709"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Year</w:t>
            </w:r>
          </w:p>
        </w:tc>
        <w:tc>
          <w:tcPr>
            <w:tcW w:w="1768"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Value of imputation credits</w:t>
            </w:r>
          </w:p>
        </w:tc>
      </w:tr>
      <w:tr w:rsidR="00060F5E"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IPART</w:t>
            </w:r>
            <w:r w:rsidRPr="00060F5E">
              <w:rPr>
                <w:rStyle w:val="FootnoteReference"/>
              </w:rPr>
              <w:footnoteReference w:id="108"/>
            </w:r>
          </w:p>
        </w:tc>
        <w:tc>
          <w:tcPr>
            <w:tcW w:w="1842" w:type="dxa"/>
          </w:tcPr>
          <w:p w:rsidR="00060F5E" w:rsidRPr="000F2066"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9"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t>2012</w:t>
            </w:r>
          </w:p>
        </w:tc>
        <w:tc>
          <w:tcPr>
            <w:tcW w:w="1768"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0.7</w:t>
            </w:r>
            <w:r>
              <w:t>, using cumulative payout ratio approach</w:t>
            </w:r>
          </w:p>
        </w:tc>
        <w:tc>
          <w:tcPr>
            <w:tcW w:w="1911"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0.25</w:t>
            </w:r>
          </w:p>
        </w:tc>
      </w:tr>
      <w:tr w:rsidR="00060F5E"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ESC</w:t>
            </w:r>
            <w:r w:rsidRPr="00060F5E">
              <w:rPr>
                <w:rStyle w:val="AERsuperscript"/>
              </w:rPr>
              <w:footnoteReference w:id="109"/>
            </w:r>
          </w:p>
        </w:tc>
        <w:tc>
          <w:tcPr>
            <w:tcW w:w="1842" w:type="dxa"/>
          </w:tcPr>
          <w:p w:rsidR="00060F5E" w:rsidRPr="00372214"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Price review, greater metropolitan water businesses, final decision</w:t>
            </w:r>
          </w:p>
        </w:tc>
        <w:tc>
          <w:tcPr>
            <w:tcW w:w="709" w:type="dxa"/>
          </w:tcPr>
          <w:p w:rsidR="00060F5E"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2013</w:t>
            </w:r>
          </w:p>
        </w:tc>
        <w:tc>
          <w:tcPr>
            <w:tcW w:w="1768"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rsidRPr="00B7073F">
              <w:rPr>
                <w:rStyle w:val="Strong"/>
              </w:rPr>
              <w:t>0.5</w:t>
            </w:r>
            <w:r>
              <w:t>, based on 2011 guidance</w:t>
            </w:r>
            <w:r>
              <w:rPr>
                <w:rStyle w:val="FootnoteReference"/>
              </w:rPr>
              <w:footnoteReference w:id="110"/>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604705" w:rsidRDefault="00604705" w:rsidP="003C0026">
            <w:r w:rsidRPr="00501101">
              <w:t>QCA</w:t>
            </w:r>
            <w:r w:rsidRPr="00604705">
              <w:rPr>
                <w:rStyle w:val="FootnoteReference"/>
              </w:rPr>
              <w:footnoteReference w:id="111"/>
            </w:r>
            <w:r w:rsidRPr="00604705">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Cost of capital market parameters, final decision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2014</w:t>
            </w:r>
          </w:p>
        </w:tc>
        <w:tc>
          <w:tcPr>
            <w:tcW w:w="1768" w:type="dxa"/>
          </w:tcPr>
          <w:p w:rsidR="00604705" w:rsidRPr="005657CB"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0.47</w:t>
            </w:r>
          </w:p>
        </w:tc>
      </w:tr>
      <w:tr w:rsidR="0060470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lastRenderedPageBreak/>
              <w:t>ERA</w:t>
            </w:r>
            <w:r w:rsidRPr="001E32C9">
              <w:rPr>
                <w:rStyle w:val="FootnoteReference"/>
              </w:rPr>
              <w:footnoteReference w:id="112"/>
            </w:r>
            <w:r w:rsidRPr="001E32C9">
              <w:t xml:space="preserve">  </w:t>
            </w:r>
          </w:p>
        </w:tc>
        <w:tc>
          <w:tcPr>
            <w:tcW w:w="1842" w:type="dxa"/>
          </w:tcPr>
          <w:p w:rsidR="00604705" w:rsidRPr="000F2066"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t>2</w:t>
            </w:r>
            <w:r w:rsidRPr="005657CB">
              <w:t>014</w:t>
            </w:r>
          </w:p>
        </w:tc>
        <w:tc>
          <w:tcPr>
            <w:tcW w:w="1768" w:type="dxa"/>
          </w:tcPr>
          <w:p w:rsidR="00604705"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0.7</w:t>
            </w:r>
            <w:r>
              <w:t>, using cumulative payout ratio approach</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Pr>
                <w:rStyle w:val="Strong"/>
              </w:rPr>
              <w:t>0.7</w:t>
            </w:r>
            <w:r w:rsidRPr="005657CB">
              <w:t xml:space="preserve">, </w:t>
            </w:r>
            <w:r>
              <w:t>most weight to 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w:t>
            </w:r>
            <w:r>
              <w:rPr>
                <w:rStyle w:val="Strong"/>
              </w:rPr>
              <w:t>5</w:t>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rsidRPr="00501101">
              <w:t>ACCC</w:t>
            </w:r>
            <w:r w:rsidRPr="001E32C9">
              <w:rPr>
                <w:rStyle w:val="FootnoteReference"/>
              </w:rPr>
              <w:footnoteReference w:id="113"/>
            </w:r>
            <w:r w:rsidRPr="001E32C9">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2015</w:t>
            </w:r>
          </w:p>
        </w:tc>
        <w:tc>
          <w:tcPr>
            <w:tcW w:w="1768"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Pr="00F73B34"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final decision value of imputation credits of 0.4 sits within the range adopted by regulators.</w:t>
      </w:r>
    </w:p>
    <w:p w:rsidR="008B661B" w:rsidRPr="008B661B" w:rsidRDefault="008B661B" w:rsidP="008B661B">
      <w:pPr>
        <w:pStyle w:val="Heading8"/>
      </w:pPr>
      <w:bookmarkStart w:id="45" w:name="_Toc417042568"/>
      <w:r w:rsidRPr="008B661B">
        <w:t>Previous Australian Competition Tribunal considerations</w:t>
      </w:r>
      <w:bookmarkEnd w:id="45"/>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r>
        <w:lastRenderedPageBreak/>
        <w:t>Energex</w:t>
      </w:r>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14"/>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4908AA" w:rsidRPr="000E711B">
        <w:t>table</w:t>
      </w:r>
      <w:r w:rsidR="004908AA" w:rsidRPr="000E711B">
        <w:rPr>
          <w:noProof/>
        </w:rPr>
        <w:t xml:space="preserve"> </w:t>
      </w:r>
      <w:r w:rsidR="004908AA">
        <w:rPr>
          <w:noProof/>
        </w:rPr>
        <w:t>4</w:t>
      </w:r>
      <w:r w:rsidR="004908AA">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4"/>
          <w:footerReference w:type="default" r:id="rId15"/>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46" w:name="_Ref400609646"/>
      <w:bookmarkStart w:id="47" w:name="_Ref401260171"/>
      <w:r w:rsidRPr="000E711B">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5</w:t>
      </w:r>
      <w:r w:rsidR="006E52BD">
        <w:rPr>
          <w:noProof/>
        </w:rPr>
        <w:fldChar w:fldCharType="end"/>
      </w:r>
      <w:bookmarkEnd w:id="46"/>
      <w:r w:rsidRPr="000E711B">
        <w:tab/>
        <w:t>Australian Competition Tribunal's observations on imputation credits</w:t>
      </w:r>
      <w:bookmarkEnd w:id="47"/>
      <w:r>
        <w:t xml:space="preserve"> in Energex matter</w:t>
      </w:r>
    </w:p>
    <w:tbl>
      <w:tblPr>
        <w:tblStyle w:val="AERtable-numbers"/>
        <w:tblW w:w="5000" w:type="pct"/>
        <w:tblLook w:val="04A0" w:firstRow="1" w:lastRow="0" w:firstColumn="1" w:lastColumn="0" w:noHBand="0" w:noVBand="1"/>
      </w:tblPr>
      <w:tblGrid>
        <w:gridCol w:w="2222"/>
        <w:gridCol w:w="6438"/>
        <w:gridCol w:w="5514"/>
      </w:tblGrid>
      <w:tr w:rsidR="008B661B"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4" w:type="pct"/>
          </w:tcPr>
          <w:p w:rsidR="008B661B" w:rsidRPr="000E711B" w:rsidRDefault="008B661B" w:rsidP="00062AC8">
            <w:r w:rsidRPr="000E711B">
              <w:t>Issue</w:t>
            </w:r>
          </w:p>
        </w:tc>
        <w:tc>
          <w:tcPr>
            <w:tcW w:w="2271"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1945"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t>AER comments</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conceptual framework for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(a) the rationale for including the gamma component in the formula for calculating the estimated cost of corporate income tax; and</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115"/>
            </w:r>
          </w:p>
        </w:tc>
        <w:tc>
          <w:tcPr>
            <w:tcW w:w="1945" w:type="pct"/>
          </w:tcPr>
          <w:p w:rsidR="008B661B" w:rsidRPr="000E711B" w:rsidRDefault="008B661B" w:rsidP="00A15048">
            <w:pPr>
              <w:cnfStyle w:val="000000000000" w:firstRow="0" w:lastRow="0" w:firstColumn="0" w:lastColumn="0" w:oddVBand="0" w:evenVBand="0" w:oddHBand="0" w:evenHBand="0" w:firstRowFirstColumn="0" w:firstRowLastColumn="0" w:lastRowFirstColumn="0" w:lastRowLastColumn="0"/>
            </w:pPr>
            <w:r>
              <w:t xml:space="preserve">In developing the Guideline, we re-evaluated the conceptual framework for the value of imputation credits. In making this </w:t>
            </w:r>
            <w:r w:rsidR="000957E9">
              <w:t>final</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A15048">
              <w:fldChar w:fldCharType="separate"/>
            </w:r>
            <w:r w:rsidR="004908AA">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4908AA">
              <w:t>A.6</w:t>
            </w:r>
            <w:r>
              <w:fldChar w:fldCharType="end"/>
            </w:r>
            <w:r>
              <w:t>.</w:t>
            </w:r>
          </w:p>
        </w:tc>
      </w:tr>
      <w:tr w:rsidR="008B661B"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16"/>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4908AA">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4908AA">
              <w:t>A.10</w:t>
            </w:r>
            <w:r>
              <w:fldChar w:fldCharType="end"/>
            </w:r>
            <w:r>
              <w:t xml:space="preserve"> of this appendix, we consider that the approach used to estimate a distribution rate of 0.7 across all equity can be applied to </w:t>
            </w:r>
            <w:r w:rsidR="001C274C">
              <w:t>only listed equity</w:t>
            </w:r>
            <w:r>
              <w:t xml:space="preserve"> to produce a distribution rate of 0.8. Lally also finds a distribution rate of 0.84 over the largest 20 ASX-listed companies.</w:t>
            </w:r>
          </w:p>
        </w:tc>
      </w:tr>
      <w:tr w:rsidR="008B661B" w:rsidRPr="00B45BDD"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 xml:space="preserve">Tax </w:t>
            </w:r>
            <w:r w:rsidRPr="008B661B">
              <w:t>statistic estimates</w:t>
            </w:r>
          </w:p>
        </w:tc>
        <w:tc>
          <w:tcPr>
            <w:tcW w:w="2271" w:type="pct"/>
          </w:tcPr>
          <w:p w:rsidR="008B661B" w:rsidRDefault="008B661B" w:rsidP="00062AC8">
            <w:pPr>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17"/>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18"/>
            </w:r>
          </w:p>
        </w:tc>
        <w:tc>
          <w:tcPr>
            <w:tcW w:w="1945" w:type="pct"/>
          </w:tcPr>
          <w:p w:rsidR="008B661B" w:rsidRPr="000E711B" w:rsidRDefault="008B661B" w:rsidP="00B41DD9">
            <w:pPr>
              <w:cnfStyle w:val="000000000000" w:firstRow="0" w:lastRow="0" w:firstColumn="0" w:lastColumn="0" w:oddVBand="0" w:evenVBand="0" w:oddHBand="0" w:evenHBand="0" w:firstRowFirstColumn="0" w:firstRowLastColumn="0" w:lastRowFirstColumn="0" w:lastRowLastColumn="0"/>
            </w:pPr>
            <w:r>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We discussed Handley's views in section 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4908AA">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4908AA">
              <w:t>A.13</w:t>
            </w:r>
            <w:r w:rsidR="003C2C75">
              <w:fldChar w:fldCharType="end"/>
            </w:r>
            <w:r w:rsidR="003C2C75">
              <w:t xml:space="preserve"> </w:t>
            </w:r>
            <w:r>
              <w:t>of this appendix.</w:t>
            </w:r>
          </w:p>
        </w:tc>
      </w:tr>
      <w:tr w:rsidR="008B661B" w:rsidRPr="00B45BDD"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19"/>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4908AA">
              <w:t>A.14.6</w:t>
            </w:r>
            <w:r w:rsidR="001B1D7E">
              <w:fldChar w:fldCharType="end"/>
            </w:r>
            <w:r>
              <w:t xml:space="preserve">. Moreover, both Handley and Lally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4908AA">
              <w:t>4.4.2</w:t>
            </w:r>
            <w:r w:rsidR="001B1D7E">
              <w:fldChar w:fldCharType="end"/>
            </w:r>
            <w:r w:rsidR="001B1D7E">
              <w:t xml:space="preserve"> </w:t>
            </w:r>
            <w:r>
              <w:t>of attachment 4). Handley and Lally also advised that, without adjustment, dividend drop off studies produce downwards-biased estimates of the utilisation rate.</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need to re-evaluate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20"/>
            </w:r>
          </w:p>
        </w:tc>
        <w:tc>
          <w:tcPr>
            <w:tcW w:w="1945"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w:t>
            </w:r>
            <w:r w:rsidR="000957E9">
              <w:t>final</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21"/>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r>
        <w:t>DBNGP and WA Gas Networks</w:t>
      </w:r>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22"/>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23"/>
      </w:r>
    </w:p>
    <w:p w:rsidR="00ED6A81" w:rsidRDefault="0046390C" w:rsidP="00615CE6">
      <w:pPr>
        <w:pStyle w:val="Heading8"/>
      </w:pPr>
      <w:bookmarkStart w:id="48" w:name="_Ref415070393"/>
      <w:bookmarkStart w:id="49" w:name="_Toc417042569"/>
      <w:bookmarkStart w:id="50" w:name="_Ref400961862"/>
      <w:r>
        <w:t>Key concerns of</w:t>
      </w:r>
      <w:r w:rsidR="002630C5">
        <w:t xml:space="preserve"> the service providers</w:t>
      </w:r>
      <w:bookmarkEnd w:id="48"/>
      <w:bookmarkEnd w:id="49"/>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24"/>
      </w:r>
      <w:r w:rsidR="002630C5">
        <w:t xml:space="preserve"> </w:t>
      </w:r>
      <w:r w:rsidR="009B202B">
        <w:t>Below w</w:t>
      </w:r>
      <w:r w:rsidR="002630C5">
        <w:t xml:space="preserve">e </w:t>
      </w:r>
      <w:r w:rsidR="00615BED">
        <w:t>set out each of these and identify where we have responded to each in this final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4908AA">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4908AA">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4908AA">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4908AA">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4908AA">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4908AA">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4908AA">
        <w:t>4.4.2</w:t>
      </w:r>
      <w:r w:rsidR="004B6775">
        <w:fldChar w:fldCharType="end"/>
      </w:r>
      <w:r w:rsidR="004B6775">
        <w:t xml:space="preserve"> why the equity ownership approach provides a reasonable estimate.</w:t>
      </w:r>
    </w:p>
    <w:p w:rsidR="00DD7B9A" w:rsidRDefault="0033258C" w:rsidP="005668B8">
      <w:pPr>
        <w:pStyle w:val="AERbulletlistfirststyle"/>
      </w:pPr>
      <w:r>
        <w:t>The ranges we used for the equity ownership rate were not supported by the</w:t>
      </w:r>
      <w:r w:rsidR="00481511">
        <w:t xml:space="preserve"> evidence in the draft decisions</w:t>
      </w:r>
      <w:r>
        <w:rPr>
          <w:rFonts w:cs="Arial"/>
        </w:rPr>
        <w:t>—</w:t>
      </w:r>
      <w:r>
        <w:t xml:space="preserve">as discussed in section </w:t>
      </w:r>
      <w:r>
        <w:fldChar w:fldCharType="begin"/>
      </w:r>
      <w:r>
        <w:instrText xml:space="preserve"> REF _Ref415049811 \r \h </w:instrText>
      </w:r>
      <w:r>
        <w:fldChar w:fldCharType="separate"/>
      </w:r>
      <w:r w:rsidR="004908AA">
        <w:t>A.12</w:t>
      </w:r>
      <w:r>
        <w:fldChar w:fldCharType="end"/>
      </w:r>
      <w:r w:rsidR="00DD7B9A">
        <w:t>, the service providers did not recognise that our ranges were based on the evidence from two alternative applications of the equity ownership approach. In this final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4908AA">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4908AA">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4908AA">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4908AA">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4908AA">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4908AA">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r w:rsidR="004908AA">
        <w:t>4.4.2</w:t>
      </w:r>
      <w:r w:rsidR="00915740">
        <w:fldChar w:fldCharType="end"/>
      </w:r>
      <w:r w:rsidR="00915740">
        <w:t xml:space="preserve"> we also refer to the issues raised by Lally in relation to SFG's dividend drop off study, and McKenzie and Partington's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r w:rsidR="004908AA">
        <w:t>A.14.6</w:t>
      </w:r>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4908AA">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4908AA">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final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51" w:name="_Ref415144114"/>
      <w:bookmarkStart w:id="52" w:name="_Toc417042570"/>
      <w:r>
        <w:t xml:space="preserve">The role </w:t>
      </w:r>
      <w:r w:rsidRPr="00615CE6">
        <w:t>of</w:t>
      </w:r>
      <w:r>
        <w:t xml:space="preserve"> the value of imputation credits in the regulatory framework</w:t>
      </w:r>
      <w:bookmarkEnd w:id="50"/>
      <w:bookmarkEnd w:id="51"/>
      <w:bookmarkEnd w:id="52"/>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r>
        <w:t xml:space="preserve">the </w:t>
      </w:r>
      <w:r w:rsidRPr="00615CE6">
        <w:t>construction of the tax building block.</w:t>
      </w:r>
    </w:p>
    <w:p w:rsidR="00615CE6" w:rsidRDefault="00615CE6" w:rsidP="00615CE6">
      <w:pPr>
        <w:pStyle w:val="Heading9"/>
      </w:pPr>
      <w:r>
        <w:t xml:space="preserve">The </w:t>
      </w:r>
      <w:r w:rsidRPr="00615CE6">
        <w:t>building</w:t>
      </w:r>
      <w:r>
        <w:t xml:space="preserve"> block framework</w:t>
      </w:r>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25"/>
      </w:r>
      <w:r w:rsidRPr="009D12C3">
        <w:t xml:space="preserve">  The function of this building block revenue estimate is to determine the revenue that a service provider requires to:</w:t>
      </w:r>
    </w:p>
    <w:p w:rsidR="00615CE6" w:rsidRPr="00615CE6" w:rsidRDefault="00615CE6" w:rsidP="00615CE6">
      <w:pPr>
        <w:pStyle w:val="AERbulletlistfirststyle"/>
      </w:pPr>
      <w:r w:rsidRPr="009D12C3">
        <w:t>Fund its operating expenses.</w:t>
      </w:r>
    </w:p>
    <w:p w:rsidR="00615CE6" w:rsidRPr="00615CE6" w:rsidRDefault="00615CE6" w:rsidP="00615CE6">
      <w:pPr>
        <w:pStyle w:val="AERbulletlistfirststyle"/>
      </w:pPr>
      <w:r w:rsidRPr="009D12C3">
        <w:t>Achieve adequate returns to raise debt and equity in order to finance its capital investments. This is made up</w:t>
      </w:r>
      <w:r w:rsidRPr="00615CE6">
        <w:t xml:space="preserve"> of a rate of return on capital to compensate investors for the risks of investment. It also includes a return of capital (depreciation), which gradually </w:t>
      </w:r>
      <w:r w:rsidRPr="00615CE6">
        <w:lastRenderedPageBreak/>
        <w:t>returns the initial principal of the investment, and subsequent investments, back to investors.</w:t>
      </w:r>
    </w:p>
    <w:p w:rsidR="00615CE6" w:rsidRPr="00615CE6" w:rsidRDefault="00615CE6" w:rsidP="00615CE6">
      <w:pPr>
        <w:pStyle w:val="AERbulletlistfirststyle"/>
      </w:pPr>
      <w:r w:rsidRPr="009D12C3">
        <w:t>Pay its tax liability.</w:t>
      </w:r>
    </w:p>
    <w:p w:rsidR="00615CE6" w:rsidRPr="00615CE6" w:rsidRDefault="00615CE6" w:rsidP="00615CE6">
      <w:pPr>
        <w:pStyle w:val="AERbulletlistfirststyle"/>
      </w:pPr>
      <w:r w:rsidRPr="009D12C3">
        <w:t xml:space="preserve">Reflect any </w:t>
      </w:r>
      <w:r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26"/>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is discussed in more detail in sections </w:t>
      </w:r>
      <w:r>
        <w:fldChar w:fldCharType="begin"/>
      </w:r>
      <w:r>
        <w:instrText xml:space="preserve"> REF _Ref400965182 \r \h </w:instrText>
      </w:r>
      <w:r>
        <w:fldChar w:fldCharType="separate"/>
      </w:r>
      <w:r w:rsidR="004908AA">
        <w:t>A.6</w:t>
      </w:r>
      <w:r>
        <w:fldChar w:fldCharType="end"/>
      </w:r>
      <w:r>
        <w:t xml:space="preserve">, </w:t>
      </w:r>
      <w:r>
        <w:fldChar w:fldCharType="begin"/>
      </w:r>
      <w:r>
        <w:instrText xml:space="preserve"> REF _Ref414028398 \r \h </w:instrText>
      </w:r>
      <w:r>
        <w:fldChar w:fldCharType="separate"/>
      </w:r>
      <w:r w:rsidR="004908AA">
        <w:t>A.7.3</w:t>
      </w:r>
      <w:r>
        <w:fldChar w:fldCharType="end"/>
      </w:r>
      <w:r>
        <w:t xml:space="preserve"> and </w:t>
      </w:r>
      <w:r>
        <w:fldChar w:fldCharType="begin"/>
      </w:r>
      <w:r>
        <w:instrText xml:space="preserve"> REF _Ref401748758 \r \h </w:instrText>
      </w:r>
      <w:r>
        <w:fldChar w:fldCharType="separate"/>
      </w:r>
      <w:r w:rsidR="004908AA">
        <w:t>A.8.1</w:t>
      </w:r>
      <w:r>
        <w:fldChar w:fldCharType="end"/>
      </w:r>
      <w:r>
        <w:t>.</w:t>
      </w:r>
    </w:p>
    <w:p w:rsidR="00615CE6" w:rsidRDefault="00615CE6" w:rsidP="00615CE6">
      <w:pPr>
        <w:pStyle w:val="Heading9"/>
      </w:pPr>
      <w:bookmarkStart w:id="53" w:name="_Ref400962032"/>
      <w:r>
        <w:t xml:space="preserve">The tax </w:t>
      </w:r>
      <w:r w:rsidRPr="00615CE6">
        <w:t>building</w:t>
      </w:r>
      <w:r>
        <w:t xml:space="preserve"> block</w:t>
      </w:r>
      <w:bookmarkEnd w:id="53"/>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specify that we must estimate a nominal vanilla rate of return.</w:t>
      </w:r>
      <w:r w:rsidRPr="00721B11">
        <w:rPr>
          <w:rStyle w:val="FootnoteReference"/>
        </w:rPr>
        <w:footnoteReference w:id="127"/>
      </w:r>
      <w:r w:rsidRPr="00721B11">
        <w:t xml:space="preserve">  </w:t>
      </w:r>
      <w:r>
        <w:t xml:space="preserve">A nominal vanilla rate of return combines a post-tax return on equity </w:t>
      </w:r>
      <w:r>
        <w:lastRenderedPageBreak/>
        <w:t>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6E52BD"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6E52BD"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r w:rsidR="00615CE6" w:rsidRPr="00615CE6">
        <w:t>is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is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28"/>
      </w:r>
    </w:p>
    <w:p w:rsidR="00A3557D" w:rsidRDefault="00A3557D" w:rsidP="00A3557D">
      <w:pPr>
        <w:pStyle w:val="Heading8"/>
      </w:pPr>
      <w:bookmarkStart w:id="54" w:name="_Ref400965182"/>
      <w:bookmarkStart w:id="55" w:name="_Toc417042571"/>
      <w:r w:rsidRPr="00A3557D">
        <w:t>The</w:t>
      </w:r>
      <w:r>
        <w:t xml:space="preserve"> conceptual framework for the value of imputation credits</w:t>
      </w:r>
      <w:bookmarkEnd w:id="54"/>
      <w:bookmarkEnd w:id="55"/>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4908AA">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29"/>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30"/>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31"/>
      </w:r>
    </w:p>
    <w:p w:rsidR="00A3557D" w:rsidRPr="00A3557D" w:rsidRDefault="00A3557D" w:rsidP="00A3557D">
      <w:pPr>
        <w:pStyle w:val="AERbulletlistfirststyle"/>
      </w:pPr>
      <w:r>
        <w:lastRenderedPageBreak/>
        <w:t xml:space="preserve">The </w:t>
      </w:r>
      <w:r w:rsidR="004569D9">
        <w:t>NER/NGR</w:t>
      </w:r>
      <w:r>
        <w:t xml:space="preserve"> require that we determine the rate of return </w:t>
      </w:r>
      <w:r w:rsidRPr="00A3557D">
        <w:t>on a nominal vanilla basis that is consistent with our estimate of the value of imputation credits.</w:t>
      </w:r>
      <w:r w:rsidRPr="00A3557D">
        <w:rPr>
          <w:rStyle w:val="FootnoteReference"/>
        </w:rPr>
        <w:footnoteReference w:id="132"/>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33"/>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r w:rsidRPr="00EB15F4">
        <w:t>and shortly thereafter:</w:t>
      </w:r>
    </w:p>
    <w:p w:rsidR="00A3557D" w:rsidRPr="00EB15F4" w:rsidRDefault="00A3557D" w:rsidP="00A3557D">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34"/>
      </w:r>
      <w:r>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w:t>
      </w:r>
      <w:r>
        <w:lastRenderedPageBreak/>
        <w:t>allowing for less than a full payout of cash flows and imputation credits each period. Handley advised that Monkhouse effectively shows that:</w:t>
      </w:r>
      <w:r>
        <w:rPr>
          <w:rStyle w:val="FootnoteReference"/>
        </w:rPr>
        <w:footnoteReference w:id="135"/>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is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(theta)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(psi)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Monkhouse's the utilisation rate in equilibrium is equal to the weighted average, by wealth and risk aversion, of the individual utilisation rates of investors in the market</w:t>
      </w:r>
      <w:r>
        <w:t>:</w:t>
      </w:r>
      <w:r>
        <w:rPr>
          <w:rStyle w:val="FootnoteReference"/>
        </w:rPr>
        <w:footnoteReference w:id="136"/>
      </w:r>
    </w:p>
    <w:p w:rsidR="00A3557D" w:rsidRDefault="00A3557D" w:rsidP="00A3557D">
      <w:pPr>
        <w:pStyle w:val="AERquote"/>
      </w:pPr>
      <w:r>
        <w:t>This interpretation of theta as a complex weighted average of investor utilisation rates is consistent with that appearing in Monkhouse (1993) and Lally and van Zijl (2003)…</w:t>
      </w:r>
    </w:p>
    <w:p w:rsidR="00A3557D" w:rsidRDefault="00A3557D" w:rsidP="00A3557D">
      <w:pPr>
        <w:numPr>
          <w:ilvl w:val="0"/>
          <w:numId w:val="25"/>
        </w:numPr>
      </w:pPr>
      <w:r>
        <w:t>This is also supported by Lally's remarks on the work of Lally and van Zijl:</w:t>
      </w:r>
      <w:r>
        <w:rPr>
          <w:rStyle w:val="FootnoteReference"/>
        </w:rPr>
        <w:footnoteReference w:id="137"/>
      </w:r>
    </w:p>
    <w:p w:rsidR="00A3557D" w:rsidRPr="00194D4D" w:rsidRDefault="00A3557D" w:rsidP="00A3557D">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that is, our definition of the utilisation rate in this final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4908AA">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4908AA">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4908AA">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before-personal-tax and before-personal-costs value of imputation credits to investors. </w:t>
      </w:r>
      <w:r w:rsidR="0006055D">
        <w:t>On a before-personal-tax and before-personal-costs basis</w:t>
      </w:r>
      <w:r>
        <w:t>,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Pr>
          <w:rStyle w:val="FootnoteReference"/>
        </w:rPr>
        <w:footnoteReference w:id="138"/>
      </w:r>
      <w:r>
        <w:t xml:space="preserve"> We discuss Handley's advice on this matter further in section </w:t>
      </w:r>
      <w:r>
        <w:fldChar w:fldCharType="begin"/>
      </w:r>
      <w:r>
        <w:instrText xml:space="preserve"> REF _Ref401748758 \r \h </w:instrText>
      </w:r>
      <w:r>
        <w:fldChar w:fldCharType="separate"/>
      </w:r>
      <w:r w:rsidR="004908AA">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r>
        <w:t>,</w:t>
      </w:r>
      <w:r w:rsidR="00A3557D">
        <w:t xml:space="preserve"> </w:t>
      </w:r>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39"/>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56" w:name="_Ref414282622"/>
      <w:bookmarkStart w:id="57" w:name="_Toc417042572"/>
      <w:r w:rsidRPr="00977EFF">
        <w:t>SFG's</w:t>
      </w:r>
      <w:r>
        <w:t xml:space="preserve"> comments on the conceptual framework</w:t>
      </w:r>
      <w:bookmarkEnd w:id="56"/>
      <w:bookmarkEnd w:id="57"/>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The utilisation rate in the framework provided by Monkhouse (and Lally and van Zijl)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58" w:name="_Ref402179374"/>
      <w:r>
        <w:lastRenderedPageBreak/>
        <w:t>SFG's comments on the AER's position</w:t>
      </w:r>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r>
        <w:t>'.</w:t>
      </w:r>
      <w:r>
        <w:rPr>
          <w:rStyle w:val="FootnoteReference"/>
        </w:rPr>
        <w:footnoteReference w:id="140"/>
      </w:r>
      <w:r>
        <w:t xml:space="preserve"> This is incorrect. Our definition of the utilisation rate in this final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is discussed further in section </w:t>
      </w:r>
      <w:r w:rsidR="005A4862">
        <w:fldChar w:fldCharType="begin"/>
      </w:r>
      <w:r w:rsidR="005A4862">
        <w:instrText xml:space="preserve"> REF _Ref414028398 \r \h </w:instrText>
      </w:r>
      <w:r w:rsidR="005A4862">
        <w:fldChar w:fldCharType="separate"/>
      </w:r>
      <w:r w:rsidR="004908AA">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41"/>
      </w:r>
      <w:r>
        <w:t xml:space="preserve"> This is also incorrect. In this final decision and the draft decision</w:t>
      </w:r>
      <w:r w:rsidR="00895E9C">
        <w:t>s</w:t>
      </w:r>
      <w:r>
        <w:t xml:space="preserve"> we estimate the utilisation rate. </w:t>
      </w:r>
      <w:r w:rsidR="00F97A9B">
        <w:t>Further</w:t>
      </w:r>
      <w:r>
        <w:t xml:space="preserve">, </w:t>
      </w:r>
      <w:r w:rsidR="00EE4E88">
        <w:t>nowhere</w:t>
      </w:r>
      <w:r>
        <w:t xml:space="preserve"> in this final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42"/>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4908AA">
        <w:t>4.4.2</w:t>
      </w:r>
      <w:r w:rsidR="00192A3E">
        <w:fldChar w:fldCharType="end"/>
      </w:r>
      <w:r w:rsidR="00192A3E">
        <w:t xml:space="preserve"> of attachment 4</w:t>
      </w:r>
      <w:r>
        <w:t>.</w:t>
      </w:r>
    </w:p>
    <w:p w:rsidR="00776237" w:rsidRDefault="00776237" w:rsidP="00776237">
      <w:pPr>
        <w:pStyle w:val="Heading9"/>
      </w:pPr>
      <w:r>
        <w:t xml:space="preserve">SFG's comments on </w:t>
      </w:r>
      <w:r w:rsidR="004A2B49">
        <w:t>certain</w:t>
      </w:r>
      <w:r>
        <w:t xml:space="preserve"> evidence and advice cited in the Guideline</w:t>
      </w:r>
      <w:bookmarkEnd w:id="58"/>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43"/>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McKenzie and Parting</w:t>
      </w:r>
      <w:r w:rsidR="00992993">
        <w:t>t</w:t>
      </w:r>
      <w:r>
        <w:t>on (2013)</w:t>
      </w:r>
    </w:p>
    <w:p w:rsidR="00776237" w:rsidRDefault="00776237" w:rsidP="00776237">
      <w:pPr>
        <w:pStyle w:val="AERbulletlistfirststyle"/>
      </w:pPr>
      <w:r>
        <w:t>Handley (2008)</w:t>
      </w:r>
      <w:r w:rsidR="004A2B49">
        <w:t>, and</w:t>
      </w:r>
    </w:p>
    <w:p w:rsidR="00776237" w:rsidRDefault="00776237" w:rsidP="00776237">
      <w:pPr>
        <w:pStyle w:val="AERbulletlistfirststyle"/>
      </w:pPr>
      <w:r>
        <w:lastRenderedPageBreak/>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44"/>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45"/>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59" w:name="_Ref414028398"/>
      <w:r>
        <w:t>SFG's comments on Offi</w:t>
      </w:r>
      <w:r w:rsidR="00F650D2">
        <w:t>cer (1994)</w:t>
      </w:r>
      <w:bookmarkEnd w:id="59"/>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46"/>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a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47"/>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48"/>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49"/>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50"/>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51"/>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52"/>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6E52BD"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r>
        <w:t xml:space="preserve">where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credits that might be redeemed, but the extent to which imputation credits increase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53"/>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r>
        <w:t>SFG's comments on the Monkhouse framework</w:t>
      </w:r>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4908AA">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r>
        <w:t>Monkhouse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(theta)</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In its May 2014 and February 2015 reports, SFG provided a discussion of the class of CAPM employed by Monkhouse (and related literature).</w:t>
      </w:r>
      <w:r>
        <w:rPr>
          <w:rStyle w:val="FootnoteReference"/>
        </w:rPr>
        <w:footnoteReference w:id="154"/>
      </w:r>
      <w:r>
        <w:t xml:space="preserve"> </w:t>
      </w:r>
      <w:r w:rsidR="00B34D36">
        <w:t>SFG concluded that our recognition of foreign investors breaches the assumptions of this class of CAPM, and therefore we cannot estimate the value of imputation credits using the definition of theta in equilibrium from the Monkhouse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55"/>
      </w:r>
    </w:p>
    <w:p w:rsidR="00B34D36" w:rsidRDefault="00B34D36" w:rsidP="00B34D36">
      <w:pPr>
        <w:pStyle w:val="AERbulletlistfirststyle"/>
      </w:pPr>
      <w:r>
        <w:t>the definition of theta from the Monkhouse framework, and</w:t>
      </w:r>
    </w:p>
    <w:p w:rsidR="00B34D36" w:rsidRDefault="00B34D36" w:rsidP="00B34D36">
      <w:pPr>
        <w:pStyle w:val="AERbulletlistfirststyle"/>
      </w:pPr>
      <w:r>
        <w:t xml:space="preserve">the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56"/>
      </w:r>
    </w:p>
    <w:p w:rsidR="00BE1E99" w:rsidRDefault="00BE1E99" w:rsidP="00BE1E99">
      <w:pPr>
        <w:pStyle w:val="AERquote"/>
      </w:pPr>
      <w:r>
        <w:t>[The relevant class of CAPM models] derive an equilibrium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57"/>
      </w:r>
    </w:p>
    <w:p w:rsidR="00EC0B07" w:rsidRDefault="00E5555B" w:rsidP="00EC0B07">
      <w:pPr>
        <w:pStyle w:val="AERquote"/>
      </w:pPr>
      <w:r>
        <w:t>[SFG’s claim that a representative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definition of theta from the Monkhouse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58"/>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59"/>
      </w:r>
      <w:r w:rsidR="004807E2">
        <w:t xml:space="preserve"> However, neither SFG nor Handley suggested that we employ an international CAPM.</w:t>
      </w:r>
      <w:r w:rsidR="00845DE5">
        <w:t xml:space="preserve"> </w:t>
      </w:r>
      <w:r w:rsidR="004807E2">
        <w:t xml:space="preserve">Moreover, Handley </w:t>
      </w:r>
      <w:r w:rsidR="00845DE5">
        <w:t>clearly set out his view that our use of the definition of theta from the Monkhouse framework is reasonable.</w:t>
      </w:r>
      <w:r w:rsidR="004807E2">
        <w:rPr>
          <w:rStyle w:val="FootnoteReference"/>
        </w:rPr>
        <w:footnoteReference w:id="160"/>
      </w:r>
    </w:p>
    <w:p w:rsidR="00FB6FD6" w:rsidRDefault="00E30C68" w:rsidP="00FA68C2">
      <w:r>
        <w:t>In conclusion</w:t>
      </w:r>
      <w:r w:rsidR="00FA68C2">
        <w:t xml:space="preserve">, we are not convinced that we should disregard the definition of theta from the Monkhouse framework when estimating </w:t>
      </w:r>
      <w:r w:rsidR="008A0008">
        <w:t>the value of imputation credits.</w:t>
      </w:r>
      <w:r w:rsidR="00290879">
        <w:t xml:space="preserve"> </w:t>
      </w:r>
    </w:p>
    <w:p w:rsidR="00600543" w:rsidRDefault="00600543" w:rsidP="00600543">
      <w:pPr>
        <w:pStyle w:val="Heading8"/>
      </w:pPr>
      <w:bookmarkStart w:id="60" w:name="_Ref414623120"/>
      <w:bookmarkStart w:id="61" w:name="_Toc417042573"/>
      <w:r>
        <w:t>Further issues relating to the utilisation rate</w:t>
      </w:r>
      <w:bookmarkEnd w:id="60"/>
      <w:bookmarkEnd w:id="61"/>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4908AA">
        <w:t>A.6</w:t>
      </w:r>
      <w:r>
        <w:fldChar w:fldCharType="end"/>
      </w:r>
      <w:r>
        <w:t xml:space="preserve">, and in section </w:t>
      </w:r>
      <w:r w:rsidR="0003311D">
        <w:fldChar w:fldCharType="begin"/>
      </w:r>
      <w:r w:rsidR="0003311D">
        <w:instrText xml:space="preserve"> REF _Ref414289593 \r \h </w:instrText>
      </w:r>
      <w:r w:rsidR="0003311D">
        <w:fldChar w:fldCharType="separate"/>
      </w:r>
      <w:r w:rsidR="004908AA">
        <w:t>4.4.2</w:t>
      </w:r>
      <w:r w:rsidR="0003311D">
        <w:fldChar w:fldCharType="end"/>
      </w:r>
      <w:r w:rsidR="0003311D">
        <w:t xml:space="preserve"> </w:t>
      </w:r>
      <w:r>
        <w:t xml:space="preserve">of attachment 4,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4908AA">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eligible investors have a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explain how our position is consistent with the basis of the building block framework, and</w:t>
      </w:r>
    </w:p>
    <w:p w:rsidR="00600543" w:rsidRPr="00600543" w:rsidRDefault="00600543" w:rsidP="00600543">
      <w:pPr>
        <w:pStyle w:val="AERbulletlistfirststyle"/>
      </w:pPr>
      <w:r>
        <w:t>contrast our position with that of the service providers, including with reference to factors they considered should be reflected in the utilisation rate.</w:t>
      </w:r>
    </w:p>
    <w:p w:rsidR="00600543" w:rsidRDefault="00600543" w:rsidP="00600543">
      <w:pPr>
        <w:pStyle w:val="Heading9"/>
      </w:pPr>
      <w:bookmarkStart w:id="62" w:name="_Ref401748758"/>
      <w:r w:rsidRPr="00600543">
        <w:t>Consistency</w:t>
      </w:r>
      <w:r>
        <w:t xml:space="preserve"> with the building block framework</w:t>
      </w:r>
      <w:bookmarkEnd w:id="62"/>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61"/>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62"/>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63"/>
      </w:r>
      <w:r w:rsidR="007017ED">
        <w:t xml:space="preserve"> Specifically, the service providers </w:t>
      </w:r>
      <w:r w:rsidR="004A726F">
        <w:t>submitted</w:t>
      </w:r>
      <w:r w:rsidR="007017ED">
        <w:t>:</w:t>
      </w:r>
      <w:r w:rsidR="007017ED">
        <w:rPr>
          <w:rStyle w:val="FootnoteReference"/>
        </w:rPr>
        <w:footnoteReference w:id="164"/>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and maintain in this final decision,</w:t>
      </w:r>
      <w:r w:rsidR="00CF7CCA">
        <w:t xml:space="preserve"> that the Officer framework provides the basis for the rate of return framework in the NER/NGR.</w:t>
      </w:r>
      <w:r w:rsidR="00CF7CCA">
        <w:rPr>
          <w:rStyle w:val="FootnoteReference"/>
        </w:rPr>
        <w:footnoteReference w:id="165"/>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4908AA">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employ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's use of the Officer framework</w:t>
      </w:r>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63" w:name="_Ref414099389"/>
      <w:r>
        <w:t>Factors affecting investors' valuation of imputation credits</w:t>
      </w:r>
      <w:bookmarkEnd w:id="63"/>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66"/>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67"/>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68"/>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69"/>
      </w:r>
    </w:p>
    <w:p w:rsidR="00D52BA6" w:rsidRDefault="00D52BA6" w:rsidP="00D52BA6">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Maheswaran's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70"/>
      </w:r>
      <w:r w:rsidR="00106C16">
        <w:t xml:space="preserve"> Handley maintained this view in his April 2015 report.</w:t>
      </w:r>
      <w:r w:rsidR="00106C16">
        <w:rPr>
          <w:rStyle w:val="FootnoteReference"/>
        </w:rPr>
        <w:footnoteReference w:id="171"/>
      </w:r>
    </w:p>
    <w:p w:rsidR="00D52BA6" w:rsidRDefault="00D52BA6" w:rsidP="00D52BA6">
      <w:pPr>
        <w:numPr>
          <w:ilvl w:val="0"/>
          <w:numId w:val="25"/>
        </w:numPr>
      </w:pPr>
      <w:r>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72"/>
      </w:r>
      <w:r>
        <w:t xml:space="preserve"> We know that the amount of imputation credits attached to a dollar of fully franked dividends is $0.43 ($1 x 0.3/(1–0.3)).</w:t>
      </w:r>
      <w:r w:rsidR="00D712D1">
        <w:rPr>
          <w:rStyle w:val="FootnoteReference"/>
        </w:rPr>
        <w:footnoteReference w:id="173"/>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4908AA">
        <w:t xml:space="preserve">Table </w:t>
      </w:r>
      <w:r w:rsidR="004908AA">
        <w:rPr>
          <w:noProof/>
        </w:rPr>
        <w:t>4</w:t>
      </w:r>
      <w:r w:rsidR="004908AA">
        <w:noBreakHyphen/>
      </w:r>
      <w:r w:rsidR="004908AA">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74"/>
      </w:r>
      <w:r>
        <w:t xml:space="preserve"> This suggests that the 45-day holding rule is not having a material effect.</w:t>
      </w:r>
    </w:p>
    <w:p w:rsidR="00D52BA6" w:rsidRDefault="00D52BA6" w:rsidP="00D52BA6">
      <w:pPr>
        <w:pStyle w:val="Caption"/>
      </w:pPr>
      <w:bookmarkStart w:id="64" w:name="_Ref401848641"/>
      <w:r>
        <w:lastRenderedPageBreak/>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6</w:t>
      </w:r>
      <w:r w:rsidR="006E52BD">
        <w:rPr>
          <w:noProof/>
        </w:rPr>
        <w:fldChar w:fldCharType="end"/>
      </w:r>
      <w:bookmarkEnd w:id="64"/>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75"/>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4908AA">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76"/>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81211C">
        <w:t>s</w:t>
      </w:r>
      <w:r w:rsidR="00B545D7">
        <w:t>.</w:t>
      </w:r>
    </w:p>
    <w:p w:rsidR="00A24531" w:rsidRDefault="00A24531" w:rsidP="00A24531">
      <w:pPr>
        <w:pStyle w:val="HeadingBoldBlue"/>
        <w:numPr>
          <w:ilvl w:val="0"/>
          <w:numId w:val="25"/>
        </w:numPr>
      </w:pPr>
      <w:bookmarkStart w:id="65" w:name="_Ref400540858"/>
      <w:r>
        <w:t>Transactions costs</w:t>
      </w:r>
      <w:bookmarkEnd w:id="65"/>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77"/>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78"/>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79"/>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80"/>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81"/>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82"/>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83"/>
      </w:r>
      <w:r>
        <w:t xml:space="preserve"> SFG's </w:t>
      </w:r>
      <w:r w:rsidR="00603831">
        <w:t>report</w:t>
      </w:r>
      <w:r>
        <w:t xml:space="preserve"> to the service providers on this topic referred to the 'cost of losing diversification'.</w:t>
      </w:r>
      <w:r>
        <w:rPr>
          <w:rStyle w:val="FootnoteReference"/>
        </w:rPr>
        <w:footnoteReference w:id="184"/>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4908AA">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85"/>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4908AA">
        <w:t xml:space="preserve">figure </w:t>
      </w:r>
      <w:r w:rsidR="004908AA">
        <w:rPr>
          <w:noProof/>
        </w:rPr>
        <w:t>4</w:t>
      </w:r>
      <w:r w:rsidR="004908AA">
        <w:noBreakHyphen/>
      </w:r>
      <w:r w:rsidR="004908AA">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4908AA">
        <w:t xml:space="preserve">figure </w:t>
      </w:r>
      <w:r w:rsidR="004908AA">
        <w:rPr>
          <w:noProof/>
        </w:rPr>
        <w:t>4</w:t>
      </w:r>
      <w:r w:rsidR="004908AA">
        <w:noBreakHyphen/>
      </w:r>
      <w:r w:rsidR="004908AA">
        <w:rPr>
          <w:noProof/>
        </w:rPr>
        <w:t>2</w:t>
      </w:r>
      <w:r w:rsidR="00FB6971">
        <w:fldChar w:fldCharType="end"/>
      </w:r>
      <w:r w:rsidR="00545E09">
        <w:t xml:space="preserve">. </w:t>
      </w:r>
    </w:p>
    <w:p w:rsidR="00545B75" w:rsidRDefault="00A7103E" w:rsidP="00A7103E">
      <w:pPr>
        <w:pStyle w:val="Caption"/>
      </w:pPr>
      <w:bookmarkStart w:id="66" w:name="_Ref415078600"/>
      <w:r>
        <w:t xml:space="preserve">Figure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noBreakHyphen/>
      </w:r>
      <w:r w:rsidR="006E52BD">
        <w:fldChar w:fldCharType="begin"/>
      </w:r>
      <w:r w:rsidR="006E52BD">
        <w:instrText xml:space="preserve"> SEQ Figure \* ARABIC \s 1 </w:instrText>
      </w:r>
      <w:r w:rsidR="006E52BD">
        <w:fldChar w:fldCharType="separate"/>
      </w:r>
      <w:r w:rsidR="004908AA">
        <w:rPr>
          <w:noProof/>
        </w:rPr>
        <w:t>1</w:t>
      </w:r>
      <w:r w:rsidR="006E52BD">
        <w:rPr>
          <w:noProof/>
        </w:rPr>
        <w:fldChar w:fldCharType="end"/>
      </w:r>
      <w:bookmarkEnd w:id="66"/>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0F9E69EB" wp14:editId="4B52062E">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67" w:name="_Ref415078618"/>
      <w:r>
        <w:lastRenderedPageBreak/>
        <w:t xml:space="preserve">Figure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noBreakHyphen/>
      </w:r>
      <w:r w:rsidR="006E52BD">
        <w:fldChar w:fldCharType="begin"/>
      </w:r>
      <w:r w:rsidR="006E52BD">
        <w:instrText xml:space="preserve"> SEQ Figure \* ARABIC \s 1 </w:instrText>
      </w:r>
      <w:r w:rsidR="006E52BD">
        <w:fldChar w:fldCharType="separate"/>
      </w:r>
      <w:r w:rsidR="004908AA">
        <w:rPr>
          <w:noProof/>
        </w:rPr>
        <w:t>2</w:t>
      </w:r>
      <w:r w:rsidR="006E52BD">
        <w:rPr>
          <w:noProof/>
        </w:rPr>
        <w:fldChar w:fldCharType="end"/>
      </w:r>
      <w:bookmarkEnd w:id="67"/>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24C3FA30" wp14:editId="0D61D75C">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4908AA">
        <w:t xml:space="preserve">figure </w:t>
      </w:r>
      <w:r w:rsidR="004908AA">
        <w:rPr>
          <w:noProof/>
        </w:rPr>
        <w:t>4</w:t>
      </w:r>
      <w:r w:rsidR="004908AA">
        <w:noBreakHyphen/>
      </w:r>
      <w:r w:rsidR="004908AA">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4908AA">
        <w:t xml:space="preserve">figure </w:t>
      </w:r>
      <w:r w:rsidR="004908AA">
        <w:rPr>
          <w:noProof/>
        </w:rPr>
        <w:t>4</w:t>
      </w:r>
      <w:r w:rsidR="004908AA">
        <w:noBreakHyphen/>
      </w:r>
      <w:r w:rsidR="004908AA">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4908AA">
        <w:t xml:space="preserve">figure </w:t>
      </w:r>
      <w:r w:rsidR="004908AA">
        <w:rPr>
          <w:noProof/>
        </w:rPr>
        <w:t>4</w:t>
      </w:r>
      <w:r w:rsidR="004908AA">
        <w:noBreakHyphen/>
      </w:r>
      <w:r w:rsidR="004908AA">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r w:rsidR="004908AA">
        <w:t xml:space="preserve">figure </w:t>
      </w:r>
      <w:r w:rsidR="004908AA">
        <w:rPr>
          <w:noProof/>
        </w:rPr>
        <w:t>4</w:t>
      </w:r>
      <w:r w:rsidR="004908AA">
        <w:noBreakHyphen/>
      </w:r>
      <w:r w:rsidR="004908AA">
        <w:rPr>
          <w:noProof/>
        </w:rPr>
        <w:t>2</w:t>
      </w:r>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86"/>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4908AA">
        <w:t xml:space="preserve">figure </w:t>
      </w:r>
      <w:r w:rsidR="004908AA">
        <w:rPr>
          <w:noProof/>
        </w:rPr>
        <w:t>4</w:t>
      </w:r>
      <w:r w:rsidR="004908AA">
        <w:noBreakHyphen/>
      </w:r>
      <w:r w:rsidR="004908AA">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4908AA">
        <w:t xml:space="preserve">figure </w:t>
      </w:r>
      <w:r w:rsidR="004908AA">
        <w:rPr>
          <w:noProof/>
        </w:rPr>
        <w:t>4</w:t>
      </w:r>
      <w:r w:rsidR="004908AA">
        <w:noBreakHyphen/>
      </w:r>
      <w:r w:rsidR="004908AA">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4908AA">
        <w:t xml:space="preserve">figure </w:t>
      </w:r>
      <w:r w:rsidR="004908AA">
        <w:rPr>
          <w:noProof/>
        </w:rPr>
        <w:t>4</w:t>
      </w:r>
      <w:r w:rsidR="004908AA">
        <w:noBreakHyphen/>
      </w:r>
      <w:r w:rsidR="004908AA">
        <w:rPr>
          <w:noProof/>
        </w:rPr>
        <w:t>2</w:t>
      </w:r>
      <w:r w:rsidR="003E2CFF">
        <w:fldChar w:fldCharType="end"/>
      </w:r>
      <w:r w:rsidR="003E2CFF">
        <w:t xml:space="preserve"> </w:t>
      </w:r>
      <w:r w:rsidR="0006280F">
        <w:t xml:space="preserve">appear to be intended to </w:t>
      </w:r>
      <w:r w:rsidR="00880298">
        <w:t xml:space="preserve">indicate </w:t>
      </w:r>
      <w:r w:rsidR="0006280F">
        <w:t xml:space="preserve">that the presence of foreign investors is a relevant source of the diminution of the market-wide value of distributed credits.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4908AA">
        <w:t xml:space="preserve">figure </w:t>
      </w:r>
      <w:r w:rsidR="004908AA">
        <w:rPr>
          <w:noProof/>
        </w:rPr>
        <w:t>4</w:t>
      </w:r>
      <w:r w:rsidR="004908AA">
        <w:noBreakHyphen/>
      </w:r>
      <w:r w:rsidR="004908AA">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4908AA">
        <w:t xml:space="preserve">figure </w:t>
      </w:r>
      <w:r w:rsidR="004908AA">
        <w:rPr>
          <w:noProof/>
        </w:rPr>
        <w:t>4</w:t>
      </w:r>
      <w:r w:rsidR="004908AA">
        <w:noBreakHyphen/>
      </w:r>
      <w:r w:rsidR="004908AA">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87"/>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4908AA">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88"/>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063611" w:rsidRDefault="00063611" w:rsidP="00063611">
      <w:pPr>
        <w:pStyle w:val="Heading8"/>
      </w:pPr>
      <w:bookmarkStart w:id="68" w:name="_Ref415068711"/>
      <w:bookmarkStart w:id="69" w:name="_Toc417042574"/>
      <w:r w:rsidRPr="00063611">
        <w:t>Estimation</w:t>
      </w:r>
      <w:r>
        <w:t xml:space="preserve"> approach considerations</w:t>
      </w:r>
      <w:bookmarkEnd w:id="68"/>
      <w:bookmarkEnd w:id="69"/>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70" w:name="_Ref401048631"/>
      <w:r>
        <w:t xml:space="preserve">Evidence from all equity or </w:t>
      </w:r>
      <w:r w:rsidR="001C274C">
        <w:t>only listed equity</w:t>
      </w:r>
      <w:bookmarkEnd w:id="70"/>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We have had regard to experts' comments on the issue. Lally made some comments in support of considering all equity:</w:t>
      </w:r>
      <w:r>
        <w:rPr>
          <w:rStyle w:val="FootnoteReference"/>
        </w:rPr>
        <w:footnoteReference w:id="189"/>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lastRenderedPageBreak/>
        <w:t>However, Handley suggested that evidence from listed equ</w:t>
      </w:r>
      <w:r w:rsidR="00133DB9">
        <w:t>ity is more relevant</w:t>
      </w:r>
      <w:r>
        <w:t>:</w:t>
      </w:r>
      <w:r w:rsidR="00B67C84">
        <w:rPr>
          <w:rStyle w:val="FootnoteReference"/>
        </w:rPr>
        <w:footnoteReference w:id="190"/>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191"/>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192"/>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193"/>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194"/>
      </w:r>
      <w:r w:rsidR="005D4939">
        <w:t xml:space="preserve"> The service providers do not acknowledge the inconsistency (outlined in the draft 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w:t>
      </w:r>
      <w:r w:rsidR="00042A44">
        <w:lastRenderedPageBreak/>
        <w:t xml:space="preserve">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4908AA">
        <w:t>A.8.2</w:t>
      </w:r>
      <w:r w:rsidR="00FB4F6C">
        <w:fldChar w:fldCharType="end"/>
      </w:r>
      <w:r w:rsidR="00FB4F6C">
        <w:t>).</w:t>
      </w:r>
    </w:p>
    <w:p w:rsidR="00063611" w:rsidRDefault="00063611" w:rsidP="00063611">
      <w:pPr>
        <w:pStyle w:val="Heading9"/>
      </w:pPr>
      <w:bookmarkStart w:id="71" w:name="_Ref403481194"/>
      <w:r>
        <w:t xml:space="preserve">Relationship between the distribution rate and </w:t>
      </w:r>
      <w:r w:rsidRPr="00063611">
        <w:t>the</w:t>
      </w:r>
      <w:r>
        <w:t xml:space="preserve"> utilisation rate</w:t>
      </w:r>
      <w:bookmarkEnd w:id="71"/>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72" w:name="_Ref401133206"/>
      <w:bookmarkStart w:id="73" w:name="_Toc417042575"/>
      <w:r w:rsidRPr="00EF5E4A">
        <w:t>Estimating</w:t>
      </w:r>
      <w:r>
        <w:t xml:space="preserve"> the </w:t>
      </w:r>
      <w:r w:rsidRPr="00BC3784">
        <w:t>distribution</w:t>
      </w:r>
      <w:r>
        <w:t xml:space="preserve"> rate</w:t>
      </w:r>
      <w:bookmarkEnd w:id="72"/>
      <w:bookmarkEnd w:id="73"/>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4908AA">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95"/>
      </w:r>
      <w:r>
        <w:t xml:space="preserve"> Hathaway found a similar estimate for the period 2004 to 2011.</w:t>
      </w:r>
      <w:r>
        <w:rPr>
          <w:rStyle w:val="FootnoteReference"/>
        </w:rPr>
        <w:footnoteReference w:id="196"/>
      </w:r>
      <w:r>
        <w:t xml:space="preserve"> Also using this approach, Handley estimated a distribution rate across </w:t>
      </w:r>
      <w:r w:rsidR="001C274C">
        <w:t>only listed equity</w:t>
      </w:r>
      <w:r>
        <w:t xml:space="preserve"> of 0.8 for the period 1987 to 2011.</w:t>
      </w:r>
      <w:r>
        <w:rPr>
          <w:rStyle w:val="FootnoteReference"/>
        </w:rPr>
        <w:footnoteReference w:id="197"/>
      </w:r>
      <w:r w:rsidR="00F06C60">
        <w:t xml:space="preserve"> Our own analysis indicates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billion</w:t>
      </w:r>
      <w:r w:rsidR="00990F02">
        <w:t xml:space="preserve"> (suggesting that $205.4 billion, or 80 per cent, of imputation credits generated were distributed)</w:t>
      </w:r>
      <w:r w:rsidR="00AE0135" w:rsidRPr="00AE0135">
        <w:t>.</w:t>
      </w:r>
    </w:p>
    <w:p w:rsidR="00BC3784" w:rsidRPr="00AA0E3C" w:rsidRDefault="00BC3784" w:rsidP="00BC3784">
      <w:pPr>
        <w:numPr>
          <w:ilvl w:val="0"/>
          <w:numId w:val="25"/>
        </w:numPr>
      </w:pPr>
      <w:r>
        <w:lastRenderedPageBreak/>
        <w:t xml:space="preserve">In 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74" w:name="_Ref414289334"/>
      <w:bookmarkStart w:id="75" w:name="_Ref401156644"/>
      <w:r w:rsidRPr="00071CD2">
        <w:t>Service</w:t>
      </w:r>
      <w:r>
        <w:t xml:space="preserve"> providers' and SFG's comments on the distribution rate</w:t>
      </w:r>
      <w:bookmarkEnd w:id="74"/>
    </w:p>
    <w:p w:rsidR="001B0396" w:rsidRDefault="001B0396" w:rsidP="001B0396">
      <w:r>
        <w:t xml:space="preserve">The service providers and SFG submitted that it would be inappropriate to apply a distribution rate of 0.8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198"/>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4908AA">
        <w:t>A.9.2</w:t>
      </w:r>
      <w:r w:rsidR="00680EF4">
        <w:fldChar w:fldCharType="end"/>
      </w:r>
      <w:r w:rsidR="00AB06BE">
        <w:t xml:space="preserve"> of this</w:t>
      </w:r>
      <w:r>
        <w:t xml:space="preserve"> final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199"/>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200"/>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w:t>
      </w:r>
      <w:r w:rsidR="00AD67D9">
        <w:lastRenderedPageBreak/>
        <w:t>sourced income.</w:t>
      </w:r>
      <w:r w:rsidR="00AD67D9">
        <w:rPr>
          <w:rStyle w:val="FootnoteReference"/>
        </w:rPr>
        <w:footnoteReference w:id="201"/>
      </w:r>
      <w:r w:rsidR="0081214E">
        <w:t xml:space="preserve"> </w:t>
      </w:r>
      <w:r w:rsidR="00B56451">
        <w:t>SFG concluded that 'best estimate' of the distribution rate</w:t>
      </w:r>
      <w:r w:rsidR="00B7259E">
        <w:t xml:space="preserve"> from analysis which considered only listed equity was not materially different from 0.7.</w:t>
      </w:r>
      <w:r w:rsidR="00B7259E">
        <w:rPr>
          <w:rStyle w:val="FootnoteReference"/>
        </w:rPr>
        <w:footnoteReference w:id="202"/>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03"/>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04"/>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B46702"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 However, SFG's view in the quote above</w:t>
      </w:r>
      <w:r w:rsidR="00B46702">
        <w:t xml:space="preserve"> must be reconciled with the fact that different investors </w:t>
      </w:r>
      <w:r w:rsidR="00C73E51">
        <w:t xml:space="preserve">can </w:t>
      </w:r>
      <w:r w:rsidR="00B46702">
        <w:t xml:space="preserve">value imputation credits differently. For instance, foreign investors do not value credits 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05"/>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4908AA">
        <w:t xml:space="preserve">figure </w:t>
      </w:r>
      <w:r w:rsidR="004908AA">
        <w:rPr>
          <w:noProof/>
        </w:rPr>
        <w:t>4</w:t>
      </w:r>
      <w:r w:rsidR="004908AA">
        <w:noBreakHyphen/>
      </w:r>
      <w:r w:rsidR="004908AA">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4908AA">
        <w:t xml:space="preserve">figure </w:t>
      </w:r>
      <w:r w:rsidR="004908AA">
        <w:rPr>
          <w:noProof/>
        </w:rPr>
        <w:t>4</w:t>
      </w:r>
      <w:r w:rsidR="004908AA">
        <w:noBreakHyphen/>
      </w:r>
      <w:r w:rsidR="004908AA">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316050"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 xml:space="preserve">he service providers and SFG give us no cause to change this view. </w:t>
      </w:r>
      <w:r w:rsidR="00DF756A">
        <w:t xml:space="preserve"> Further, we are not conv</w:t>
      </w:r>
      <w:r w:rsidR="006A5C87">
        <w:t xml:space="preserve">inced that we should use </w:t>
      </w:r>
      <w:r w:rsidR="002207E5">
        <w:t xml:space="preserve">only </w:t>
      </w:r>
      <w:r w:rsidR="006A5C87">
        <w:t xml:space="preserve">a </w:t>
      </w:r>
      <w:r w:rsidR="00DF756A">
        <w:t>subset of public companies when we seek to apply a distribution rate that is internall</w:t>
      </w:r>
      <w:r w:rsidR="002207E5">
        <w:t>y consistent with a value for theta estimated over investors in</w:t>
      </w:r>
      <w:r w:rsidR="00DF756A">
        <w:t xml:space="preserve"> </w:t>
      </w:r>
      <w:r w:rsidR="001C274C">
        <w:t>only listed equity</w:t>
      </w:r>
      <w:r w:rsidR="00DF756A">
        <w:t>.</w:t>
      </w:r>
      <w:r>
        <w:t xml:space="preserve"> </w:t>
      </w:r>
    </w:p>
    <w:p w:rsidR="00BC3784" w:rsidRDefault="00BC3784" w:rsidP="00BC3784">
      <w:pPr>
        <w:pStyle w:val="Heading9"/>
      </w:pPr>
      <w:bookmarkStart w:id="76" w:name="_Ref415126827"/>
      <w:r>
        <w:t>The cumulative payout ratio approach</w:t>
      </w:r>
      <w:bookmarkEnd w:id="75"/>
      <w:bookmarkEnd w:id="76"/>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w:t>
      </w:r>
      <w:r w:rsidRPr="00FD7776">
        <w:lastRenderedPageBreak/>
        <w:t xml:space="preserve">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06"/>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r>
        <w:t xml:space="preserve">an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r>
        <w:t xml:space="preserve">Alternative </w:t>
      </w:r>
      <w:r w:rsidRPr="00BC3784">
        <w:t>approaches</w:t>
      </w:r>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07"/>
      </w:r>
      <w:r w:rsidR="00AC6F43">
        <w:t xml:space="preserve"> However, neither advocated</w:t>
      </w:r>
      <w:r w:rsidRPr="00BC3784">
        <w:t xml:space="preserve"> the use of this estimate. NERA considered:</w:t>
      </w:r>
      <w:r w:rsidRPr="00BC3784">
        <w:rPr>
          <w:rStyle w:val="FootnoteReference"/>
        </w:rPr>
        <w:footnoteReference w:id="208"/>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09"/>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10"/>
      </w:r>
      <w:r w:rsidRPr="00296C23">
        <w:t xml:space="preserve"> We consider that this broadly reinforces </w:t>
      </w:r>
      <w:r w:rsidR="00AC6F43">
        <w:t>the</w:t>
      </w:r>
      <w:r w:rsidRPr="00296C23">
        <w:t xml:space="preserve"> cumulative payout ratio estimate across </w:t>
      </w:r>
      <w:r w:rsidR="001C274C">
        <w:t>only listed equity</w:t>
      </w:r>
      <w:r>
        <w:t xml:space="preserve"> </w:t>
      </w:r>
      <w:r w:rsidRPr="00296C23">
        <w:t>of 0.8.</w:t>
      </w:r>
    </w:p>
    <w:p w:rsidR="00C531B4" w:rsidRDefault="00C531B4" w:rsidP="00C531B4">
      <w:pPr>
        <w:pStyle w:val="Heading9"/>
      </w:pPr>
      <w:r>
        <w:lastRenderedPageBreak/>
        <w:t>Hathaway (2014)</w:t>
      </w:r>
    </w:p>
    <w:p w:rsidR="00C531B4" w:rsidRDefault="00C531B4" w:rsidP="00C531B4">
      <w:r>
        <w:t>Since the publication of the draft decisions</w:t>
      </w:r>
      <w:r w:rsidR="006878CF">
        <w:t xml:space="preserve">, and deep into the process of preparing </w:t>
      </w:r>
      <w:r w:rsidR="00FD4722">
        <w:t>this</w:t>
      </w:r>
      <w:r w:rsidR="006878CF">
        <w:t xml:space="preserve"> final decision,</w:t>
      </w:r>
      <w:r>
        <w:t xml:space="preserve"> we </w:t>
      </w:r>
      <w:r w:rsidR="006878CF">
        <w:t>became</w:t>
      </w:r>
      <w:r>
        <w:t xml:space="preserve"> aware of an updated analysis of the tax statistics by Hathaway</w:t>
      </w:r>
      <w:r w:rsidR="0038032B">
        <w:t xml:space="preserve"> dated October 2014</w:t>
      </w:r>
      <w:r>
        <w:t>.</w:t>
      </w:r>
      <w:r>
        <w:rPr>
          <w:rStyle w:val="FootnoteReference"/>
        </w:rPr>
        <w:footnoteReference w:id="211"/>
      </w:r>
      <w:r>
        <w:t xml:space="preserve"> This report updates the analysis to include tax data for the 2011-12 financial year,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12"/>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r w:rsidR="0060222E">
        <w:t xml:space="preserve">Lally's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the FAB data in this final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77" w:name="_Ref403481535"/>
      <w:bookmarkStart w:id="78" w:name="_Toc417042576"/>
      <w:r>
        <w:lastRenderedPageBreak/>
        <w:t>Application of rate of return criteria to evidence on the utilisation rate</w:t>
      </w:r>
      <w:bookmarkEnd w:id="77"/>
      <w:bookmarkEnd w:id="78"/>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4908AA">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the 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4908AA">
        <w:t xml:space="preserve">table </w:t>
      </w:r>
      <w:r w:rsidR="004908AA">
        <w:rPr>
          <w:noProof/>
        </w:rPr>
        <w:t>4</w:t>
      </w:r>
      <w:r w:rsidR="004908AA" w:rsidRPr="00277D14">
        <w:noBreakHyphen/>
      </w:r>
      <w:r w:rsidR="004908AA">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Accords with Monkhouse framework and principle of investor rationality (e.g.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277D14">
            <w:r>
              <w:t>Varying opinions on the soundness of analysis across studies. Underlying data is typically from credible sources (e.g.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here market data and other information is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277D14">
            <w:r>
              <w:t>ATO is a credible source. Relevant statistics are published online on an annual basis, with a two-year lag (e.g. 2011-12 statistics published in 2014). Some data concerns have been identified.</w:t>
            </w:r>
          </w:p>
        </w:tc>
        <w:tc>
          <w:tcPr>
            <w:tcW w:w="3838" w:type="dxa"/>
          </w:tcPr>
          <w:p w:rsidR="00277D14" w:rsidRPr="00277D14" w:rsidRDefault="00277D14" w:rsidP="00277D14">
            <w:r>
              <w:t>Underlying data typically from credible sources (e.g.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79" w:name="_Ref415046112"/>
      <w:r>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Pr="00277D14">
        <w:noBreakHyphen/>
      </w:r>
      <w:r w:rsidR="006E52BD">
        <w:fldChar w:fldCharType="begin"/>
      </w:r>
      <w:r w:rsidR="006E52BD">
        <w:instrText xml:space="preserve"> SEQ Table \* ARABIC \s 1 </w:instrText>
      </w:r>
      <w:r w:rsidR="006E52BD">
        <w:fldChar w:fldCharType="separate"/>
      </w:r>
      <w:r w:rsidR="004908AA">
        <w:rPr>
          <w:noProof/>
        </w:rPr>
        <w:t>7</w:t>
      </w:r>
      <w:r w:rsidR="006E52BD">
        <w:rPr>
          <w:noProof/>
        </w:rPr>
        <w:fldChar w:fldCharType="end"/>
      </w:r>
      <w:bookmarkEnd w:id="79"/>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80" w:name="_Ref403481615"/>
    </w:p>
    <w:p w:rsidR="0016005F" w:rsidRDefault="0016005F" w:rsidP="0016005F">
      <w:pPr>
        <w:pStyle w:val="Heading8"/>
      </w:pPr>
      <w:bookmarkStart w:id="81" w:name="_Ref415049811"/>
      <w:bookmarkStart w:id="82" w:name="_Toc417042577"/>
      <w:r>
        <w:lastRenderedPageBreak/>
        <w:t xml:space="preserve">The equity ownership </w:t>
      </w:r>
      <w:r w:rsidRPr="0016005F">
        <w:t>approach</w:t>
      </w:r>
      <w:bookmarkEnd w:id="80"/>
      <w:bookmarkEnd w:id="81"/>
      <w:bookmarkEnd w:id="82"/>
    </w:p>
    <w:p w:rsidR="0016005F" w:rsidRDefault="0016005F" w:rsidP="0016005F">
      <w:pPr>
        <w:numPr>
          <w:ilvl w:val="0"/>
          <w:numId w:val="25"/>
        </w:numPr>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13"/>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4908AA">
        <w:t>4.4.2</w:t>
      </w:r>
      <w:r w:rsidR="00966578">
        <w:fldChar w:fldCharType="end"/>
      </w:r>
      <w:r>
        <w:t xml:space="preserve"> of attachment 4. In this section, we provide further detail on our application of the approach. We also compare our assessment of the approach in this </w:t>
      </w:r>
      <w:r w:rsidR="00CE2DEA">
        <w:t>final</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4908AA">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4908AA">
        <w:t>A.8.2</w:t>
      </w:r>
      <w:r w:rsidR="00434292">
        <w:fldChar w:fldCharType="end"/>
      </w:r>
      <w:r w:rsidRPr="0016005F">
        <w:t>, we do not consider that there is clear evidence as to effect that these rules have or should be expected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6005F">
        <w:rPr>
          <w:rStyle w:val="FootnoteReference"/>
        </w:rPr>
        <w:footnoteReference w:id="214"/>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0.38 and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we considered that the equity ownership approach supported a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15"/>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16"/>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4908AA">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In the draft decisions, our calculation of the refined domestic ownership share effectively assumed that governments 'wasted' the imputation credits they received. We noted in the draft decisions that there was no clear case for making this assumption. In this final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17"/>
      </w:r>
    </w:p>
    <w:p w:rsidR="00A23477" w:rsidRDefault="00C449C9" w:rsidP="00A23477">
      <w:pPr>
        <w:numPr>
          <w:ilvl w:val="0"/>
          <w:numId w:val="25"/>
        </w:numPr>
      </w:pPr>
      <w:r>
        <w:t>Our estimate</w:t>
      </w:r>
      <w:r w:rsidR="00A23477">
        <w:t xml:space="preserve"> ranges </w:t>
      </w:r>
      <w:r>
        <w:t>in this final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18"/>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19"/>
      </w:r>
      <w:r>
        <w:t xml:space="preserve"> Accordingly, in this final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20"/>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21"/>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22"/>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We consider that the most relevant period to consider is that since July 2000, when eligible investors became entitled for a refund of excess credits. This accords with one of the periods Handley</w:t>
      </w:r>
      <w:r w:rsidR="00FD4722">
        <w:t xml:space="preserve"> considered</w:t>
      </w:r>
      <w:r w:rsidR="00415BFD">
        <w:t xml:space="preserve"> relevant</w:t>
      </w:r>
      <w:r>
        <w:t>.</w:t>
      </w:r>
      <w:r>
        <w:rPr>
          <w:rStyle w:val="FootnoteReference"/>
        </w:rPr>
        <w:footnoteReference w:id="223"/>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is shown</w:t>
      </w:r>
      <w:r w:rsidR="00E468B0">
        <w:t xml:space="preserve"> in </w:t>
      </w:r>
      <w:r w:rsidR="00E468B0">
        <w:fldChar w:fldCharType="begin"/>
      </w:r>
      <w:r w:rsidR="00E468B0">
        <w:instrText xml:space="preserve"> REF  _Ref414273399 \* Lower \h </w:instrText>
      </w:r>
      <w:r w:rsidR="00E468B0">
        <w:fldChar w:fldCharType="separate"/>
      </w:r>
      <w:r w:rsidR="004908AA">
        <w:t xml:space="preserve">figure </w:t>
      </w:r>
      <w:r w:rsidR="004908AA">
        <w:rPr>
          <w:noProof/>
        </w:rPr>
        <w:t>4</w:t>
      </w:r>
      <w:r w:rsidR="004908AA">
        <w:noBreakHyphen/>
      </w:r>
      <w:r w:rsidR="004908AA">
        <w:rPr>
          <w:noProof/>
        </w:rPr>
        <w:t>3</w:t>
      </w:r>
      <w:r w:rsidR="00E468B0">
        <w:fldChar w:fldCharType="end"/>
      </w:r>
      <w:r>
        <w:t>.</w:t>
      </w:r>
    </w:p>
    <w:p w:rsidR="00E468B0" w:rsidRDefault="003B16C3" w:rsidP="00E468B0">
      <w:pPr>
        <w:pStyle w:val="Caption"/>
      </w:pPr>
      <w:bookmarkStart w:id="83" w:name="_Ref414273399"/>
      <w:r>
        <w:t xml:space="preserve">Figure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A7103E">
        <w:noBreakHyphen/>
      </w:r>
      <w:r w:rsidR="006E52BD">
        <w:fldChar w:fldCharType="begin"/>
      </w:r>
      <w:r w:rsidR="006E52BD">
        <w:instrText xml:space="preserve"> SEQ Figure \* ARABIC \s 1 </w:instrText>
      </w:r>
      <w:r w:rsidR="006E52BD">
        <w:fldChar w:fldCharType="separate"/>
      </w:r>
      <w:r w:rsidR="004908AA">
        <w:rPr>
          <w:noProof/>
        </w:rPr>
        <w:t>3</w:t>
      </w:r>
      <w:r w:rsidR="006E52BD">
        <w:rPr>
          <w:noProof/>
        </w:rPr>
        <w:fldChar w:fldCharType="end"/>
      </w:r>
      <w:bookmarkEnd w:id="83"/>
      <w:r>
        <w:tab/>
        <w:t>Refined domestic ownership share of Australian equity</w:t>
      </w:r>
    </w:p>
    <w:p w:rsidR="00E468B0" w:rsidRDefault="00E117A1" w:rsidP="00E468B0">
      <w:r w:rsidRPr="00E117A1">
        <w:rPr>
          <w:noProof/>
          <w:lang w:eastAsia="en-AU"/>
        </w:rPr>
        <w:drawing>
          <wp:inline distT="0" distB="0" distL="0" distR="0" wp14:anchorId="4BAF4FF0" wp14:editId="1F9A8082">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4908AA">
        <w:t xml:space="preserve">Figure </w:t>
      </w:r>
      <w:r w:rsidR="004908AA">
        <w:rPr>
          <w:noProof/>
        </w:rPr>
        <w:t>4</w:t>
      </w:r>
      <w:r w:rsidR="004908AA">
        <w:noBreakHyphen/>
      </w:r>
      <w:r w:rsidR="004908AA">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84" w:name="_Ref402179420"/>
      <w:bookmarkStart w:id="85" w:name="_Toc417042578"/>
      <w:r>
        <w:t xml:space="preserve">Tax </w:t>
      </w:r>
      <w:r w:rsidRPr="00D60D4D">
        <w:t>statistics</w:t>
      </w:r>
      <w:bookmarkEnd w:id="84"/>
      <w:bookmarkEnd w:id="85"/>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24"/>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4908AA">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We consider that tax statistics support an estimate of the utilisation rate between 0.4 and 0.6, although our estimate of the distribution rate implies that we should adopt a utilisation rate of around 0.43 from within this range.</w:t>
      </w:r>
    </w:p>
    <w:p w:rsidR="00C06B80" w:rsidRDefault="00C06B80" w:rsidP="00C06B80">
      <w:pPr>
        <w:numPr>
          <w:ilvl w:val="0"/>
          <w:numId w:val="25"/>
        </w:numPr>
      </w:pPr>
      <w:r>
        <w:t>In the Guideline, we considered that tax statistics supported a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4908AA">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25"/>
      </w:r>
      <w:r w:rsidRPr="00C06B80">
        <w:t xml:space="preserve"> </w:t>
      </w:r>
    </w:p>
    <w:p w:rsidR="00C06B80" w:rsidRPr="00C06B80" w:rsidRDefault="00C06B80" w:rsidP="00C06B80">
      <w:pPr>
        <w:pStyle w:val="AERbulletlistfirststyle"/>
      </w:pPr>
      <w:r>
        <w:t>A 2004 paper by Handley and Maheswaran,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26"/>
      </w:r>
      <w:r w:rsidRPr="00C06B80">
        <w:t xml:space="preserve"> and</w:t>
      </w:r>
    </w:p>
    <w:p w:rsidR="00C06B80" w:rsidRPr="00C06B80" w:rsidRDefault="00C06B80" w:rsidP="00C06B80">
      <w:pPr>
        <w:pStyle w:val="AERbulletlistfirststyle"/>
      </w:pPr>
      <w:r>
        <w:t>consistent with our preferred estimates of the distribution rate.</w:t>
      </w:r>
    </w:p>
    <w:p w:rsidR="00C06B80" w:rsidRDefault="00C06B80" w:rsidP="00C06B80">
      <w:pPr>
        <w:numPr>
          <w:ilvl w:val="0"/>
          <w:numId w:val="25"/>
        </w:numPr>
      </w:pPr>
      <w:r>
        <w:t xml:space="preserve">Applying these considerations, we </w:t>
      </w:r>
      <w:r w:rsidR="00797099">
        <w:t>do not rely on</w:t>
      </w:r>
      <w:r>
        <w:t>:</w:t>
      </w:r>
    </w:p>
    <w:p w:rsidR="00C06B80" w:rsidRPr="00C06B80" w:rsidRDefault="00C06B80" w:rsidP="00C06B80">
      <w:pPr>
        <w:pStyle w:val="AERbulletlistfirststyle"/>
      </w:pPr>
      <w:r>
        <w:t>Handley and Maheswaran's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967FFA" w:rsidRDefault="002048E1" w:rsidP="00B93D6C">
      <w:r>
        <w:t xml:space="preserve">As discussed in section </w:t>
      </w:r>
      <w:r>
        <w:fldChar w:fldCharType="begin"/>
      </w:r>
      <w:r>
        <w:instrText xml:space="preserve"> REF _Ref401133206 \r \h </w:instrText>
      </w:r>
      <w:r>
        <w:fldChar w:fldCharType="separate"/>
      </w:r>
      <w:r w:rsidR="004908AA">
        <w:t>A.10</w:t>
      </w:r>
      <w:r>
        <w:fldChar w:fldCharType="end"/>
      </w:r>
      <w:r>
        <w:t xml:space="preserve">, </w:t>
      </w:r>
      <w:r w:rsidR="00C309E4">
        <w:t xml:space="preserve">for this decision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86" w:name="_Ref401080753"/>
      <w:bookmarkStart w:id="87" w:name="_Toc417042579"/>
      <w:r w:rsidRPr="00292ECF">
        <w:lastRenderedPageBreak/>
        <w:t>Implied</w:t>
      </w:r>
      <w:r>
        <w:t xml:space="preserve"> market value studies</w:t>
      </w:r>
      <w:bookmarkEnd w:id="86"/>
      <w:bookmarkEnd w:id="87"/>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4908AA">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4908AA">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4908AA">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4908AA">
        <w:t>A.14.6</w:t>
      </w:r>
      <w:r w:rsidR="00B40843">
        <w:fldChar w:fldCharType="end"/>
      </w:r>
      <w:r>
        <w:t>.</w:t>
      </w:r>
    </w:p>
    <w:p w:rsidR="00292ECF" w:rsidRPr="00222643" w:rsidRDefault="00292ECF" w:rsidP="00292ECF">
      <w:pPr>
        <w:pStyle w:val="Heading9"/>
      </w:pPr>
      <w:bookmarkStart w:id="88" w:name="_Ref402791521"/>
      <w:r w:rsidRPr="00222643">
        <w:t xml:space="preserve">Types of implied </w:t>
      </w:r>
      <w:r w:rsidRPr="00292ECF">
        <w:t>market</w:t>
      </w:r>
      <w:r w:rsidRPr="00222643">
        <w:t xml:space="preserve"> value studies</w:t>
      </w:r>
      <w:bookmarkEnd w:id="88"/>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r w:rsidRPr="00222643">
        <w:t>the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4908AA">
        <w:t xml:space="preserve">Table </w:t>
      </w:r>
      <w:r w:rsidR="004908AA">
        <w:rPr>
          <w:noProof/>
        </w:rPr>
        <w:t>4</w:t>
      </w:r>
      <w:r w:rsidR="004908AA">
        <w:noBreakHyphen/>
      </w:r>
      <w:r w:rsidR="004908AA">
        <w:rPr>
          <w:noProof/>
        </w:rPr>
        <w:t>8</w:t>
      </w:r>
      <w:r>
        <w:fldChar w:fldCharType="end"/>
      </w:r>
      <w:r>
        <w:t xml:space="preserve"> identifies the dividend drop off studies that we are aware of, and describes the methodology of each study. The results from these studies are presented in </w:t>
      </w:r>
      <w:r>
        <w:fldChar w:fldCharType="begin"/>
      </w:r>
      <w:r>
        <w:instrText xml:space="preserve"> REF  _Ref401075676 \* Lower \h </w:instrText>
      </w:r>
      <w:r>
        <w:fldChar w:fldCharType="separate"/>
      </w:r>
      <w:r w:rsidR="004908AA">
        <w:t xml:space="preserve">table </w:t>
      </w:r>
      <w:r w:rsidR="004908AA">
        <w:rPr>
          <w:noProof/>
        </w:rPr>
        <w:t>4</w:t>
      </w:r>
      <w:r w:rsidR="004908AA">
        <w:noBreakHyphen/>
      </w:r>
      <w:r w:rsidR="004908AA">
        <w:rPr>
          <w:noProof/>
        </w:rPr>
        <w:t>10</w:t>
      </w:r>
      <w:r>
        <w:fldChar w:fldCharType="end"/>
      </w:r>
      <w:r>
        <w:t>.</w:t>
      </w:r>
    </w:p>
    <w:p w:rsidR="00292ECF" w:rsidRDefault="00292ECF" w:rsidP="00292ECF">
      <w:pPr>
        <w:pStyle w:val="Caption"/>
      </w:pPr>
      <w:bookmarkStart w:id="89" w:name="_Ref401075742"/>
      <w:r>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8</w:t>
      </w:r>
      <w:r w:rsidR="006E52BD">
        <w:rPr>
          <w:noProof/>
        </w:rPr>
        <w:fldChar w:fldCharType="end"/>
      </w:r>
      <w:bookmarkEnd w:id="89"/>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27"/>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28"/>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29"/>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r w:rsidRPr="00222643">
              <w:t>Minney (2010)</w:t>
            </w:r>
            <w:r w:rsidRPr="00292ECF">
              <w:rPr>
                <w:rStyle w:val="FootnoteReference"/>
              </w:rPr>
              <w:footnoteReference w:id="230"/>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Beggs and Skeels (2006)</w:t>
            </w:r>
            <w:r w:rsidRPr="00292ECF">
              <w:rPr>
                <w:rStyle w:val="FootnoteReference"/>
              </w:rPr>
              <w:footnoteReference w:id="231"/>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32"/>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Bellamy and Gray (2004)</w:t>
            </w:r>
            <w:r w:rsidRPr="00292ECF">
              <w:rPr>
                <w:rStyle w:val="FootnoteReference"/>
              </w:rPr>
              <w:footnoteReference w:id="233"/>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34"/>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35"/>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4908AA">
        <w:t xml:space="preserve">Table </w:t>
      </w:r>
      <w:r w:rsidR="004908AA">
        <w:rPr>
          <w:noProof/>
        </w:rPr>
        <w:t>4</w:t>
      </w:r>
      <w:r w:rsidR="004908AA">
        <w:noBreakHyphen/>
      </w:r>
      <w:r w:rsidR="004908AA">
        <w:rPr>
          <w:noProof/>
        </w:rPr>
        <w:t>9</w:t>
      </w:r>
      <w:r>
        <w:fldChar w:fldCharType="end"/>
      </w:r>
      <w:r>
        <w:t xml:space="preserve"> identifies the alternative implied market value studies that we are aware of, and describes the methodology of each study. The results from these studies are presented in </w:t>
      </w:r>
      <w:r>
        <w:fldChar w:fldCharType="begin"/>
      </w:r>
      <w:r>
        <w:instrText xml:space="preserve"> REF  _Ref401076250 \* Lower \h </w:instrText>
      </w:r>
      <w:r>
        <w:fldChar w:fldCharType="separate"/>
      </w:r>
      <w:r w:rsidR="004908AA">
        <w:t xml:space="preserve">table </w:t>
      </w:r>
      <w:r w:rsidR="004908AA">
        <w:rPr>
          <w:noProof/>
        </w:rPr>
        <w:t>4</w:t>
      </w:r>
      <w:r w:rsidR="004908AA">
        <w:noBreakHyphen/>
      </w:r>
      <w:r w:rsidR="004908AA">
        <w:rPr>
          <w:noProof/>
        </w:rPr>
        <w:t>11</w:t>
      </w:r>
      <w:r>
        <w:fldChar w:fldCharType="end"/>
      </w:r>
      <w:r>
        <w:t>.</w:t>
      </w:r>
    </w:p>
    <w:p w:rsidR="00292ECF" w:rsidRDefault="00292ECF" w:rsidP="00292ECF">
      <w:pPr>
        <w:pStyle w:val="Caption"/>
      </w:pPr>
      <w:bookmarkStart w:id="90" w:name="_Ref401075839"/>
      <w:r>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9</w:t>
      </w:r>
      <w:r w:rsidR="006E52BD">
        <w:rPr>
          <w:noProof/>
        </w:rPr>
        <w:fldChar w:fldCharType="end"/>
      </w:r>
      <w:bookmarkEnd w:id="90"/>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Feuerherdt et al (2010)</w:t>
            </w:r>
            <w:r w:rsidRPr="00292ECF">
              <w:rPr>
                <w:rStyle w:val="FootnoteReference"/>
              </w:rPr>
              <w:footnoteReference w:id="236"/>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37"/>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Updates Cannavan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r w:rsidRPr="00222643">
              <w:t>Cannavan et al (2004)</w:t>
            </w:r>
            <w:r w:rsidRPr="00292ECF">
              <w:rPr>
                <w:rStyle w:val="FootnoteReference"/>
              </w:rPr>
              <w:footnoteReference w:id="238"/>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Cummings and Frino (2008)</w:t>
            </w:r>
            <w:r w:rsidRPr="00292ECF">
              <w:rPr>
                <w:rStyle w:val="FootnoteReference"/>
              </w:rPr>
              <w:footnoteReference w:id="239"/>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40"/>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Lajbcygier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r w:rsidRPr="00222643">
              <w:t>Lajbcygier</w:t>
            </w:r>
            <w:r w:rsidRPr="00292ECF">
              <w:t xml:space="preserve"> and Wheatley (2012)</w:t>
            </w:r>
            <w:r w:rsidRPr="00292ECF">
              <w:rPr>
                <w:rStyle w:val="FootnoteReference"/>
              </w:rPr>
              <w:footnoteReference w:id="241"/>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Siau et al (2013)</w:t>
            </w:r>
            <w:r w:rsidRPr="00292ECF">
              <w:rPr>
                <w:rStyle w:val="FootnoteReference"/>
              </w:rPr>
              <w:footnoteReference w:id="242"/>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Chu and Partington (2008)</w:t>
            </w:r>
            <w:r w:rsidRPr="00292ECF">
              <w:rPr>
                <w:rStyle w:val="FootnoteReference"/>
              </w:rPr>
              <w:footnoteReference w:id="243"/>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Chu and Partington (2001)</w:t>
            </w:r>
            <w:r w:rsidRPr="00292ECF">
              <w:rPr>
                <w:rStyle w:val="FootnoteReference"/>
              </w:rPr>
              <w:footnoteReference w:id="244"/>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Walker and Partington (1999)</w:t>
            </w:r>
            <w:r w:rsidRPr="00292ECF">
              <w:rPr>
                <w:rStyle w:val="FootnoteReference"/>
              </w:rPr>
              <w:footnoteReference w:id="245"/>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91" w:name="_Ref403482459"/>
      <w:r w:rsidRPr="00222643">
        <w:t xml:space="preserve">Estimates from </w:t>
      </w:r>
      <w:r w:rsidRPr="00D15D53">
        <w:t>implied</w:t>
      </w:r>
      <w:r w:rsidRPr="00222643">
        <w:t xml:space="preserve"> market value studies</w:t>
      </w:r>
      <w:bookmarkEnd w:id="91"/>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4908AA">
        <w:t xml:space="preserve">Table </w:t>
      </w:r>
      <w:r w:rsidR="004908AA">
        <w:rPr>
          <w:noProof/>
        </w:rPr>
        <w:t>4</w:t>
      </w:r>
      <w:r w:rsidR="004908AA">
        <w:noBreakHyphen/>
      </w:r>
      <w:r w:rsidR="004908AA">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4908AA">
        <w:t xml:space="preserve">Table </w:t>
      </w:r>
      <w:r w:rsidR="004908AA">
        <w:rPr>
          <w:noProof/>
        </w:rPr>
        <w:t>4</w:t>
      </w:r>
      <w:r w:rsidR="004908AA">
        <w:noBreakHyphen/>
      </w:r>
      <w:r w:rsidR="004908AA">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92" w:name="_Ref401075676"/>
      <w:r>
        <w:lastRenderedPageBreak/>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10</w:t>
      </w:r>
      <w:r w:rsidR="006E52BD">
        <w:rPr>
          <w:noProof/>
        </w:rPr>
        <w:fldChar w:fldCharType="end"/>
      </w:r>
      <w:bookmarkEnd w:id="92"/>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4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4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4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Minney (2010)</w:t>
            </w:r>
            <w:r w:rsidRPr="00D15D53">
              <w:rPr>
                <w:rStyle w:val="FootnoteReference"/>
              </w:rPr>
              <w:footnoteReference w:id="24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Beggs and Skeels (2006)</w:t>
            </w:r>
            <w:r w:rsidRPr="00D15D53">
              <w:rPr>
                <w:rStyle w:val="FootnoteReference"/>
              </w:rPr>
              <w:footnoteReference w:id="250"/>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51"/>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Bellamy and Gray (2004)</w:t>
            </w:r>
            <w:r w:rsidRPr="00D15D53">
              <w:rPr>
                <w:rStyle w:val="FootnoteReference"/>
              </w:rPr>
              <w:footnoteReference w:id="252"/>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53"/>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54"/>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93" w:name="_Ref401076250"/>
      <w:r>
        <w:lastRenderedPageBreak/>
        <w:t xml:space="preserve">Table </w:t>
      </w:r>
      <w:r w:rsidR="006E52BD">
        <w:fldChar w:fldCharType="begin"/>
      </w:r>
      <w:r w:rsidR="006E52BD">
        <w:instrText xml:space="preserve"> STYLEREF 1 \s </w:instrText>
      </w:r>
      <w:r w:rsidR="006E52BD">
        <w:fldChar w:fldCharType="separate"/>
      </w:r>
      <w:r w:rsidR="004908AA">
        <w:rPr>
          <w:noProof/>
        </w:rPr>
        <w:t>4</w:t>
      </w:r>
      <w:r w:rsidR="006E52BD">
        <w:rPr>
          <w:noProof/>
        </w:rPr>
        <w:fldChar w:fldCharType="end"/>
      </w:r>
      <w:r w:rsidR="00257FBE">
        <w:noBreakHyphen/>
      </w:r>
      <w:r w:rsidR="006E52BD">
        <w:fldChar w:fldCharType="begin"/>
      </w:r>
      <w:r w:rsidR="006E52BD">
        <w:instrText xml:space="preserve"> SEQ Table \* ARABIC \s 1 </w:instrText>
      </w:r>
      <w:r w:rsidR="006E52BD">
        <w:fldChar w:fldCharType="separate"/>
      </w:r>
      <w:r w:rsidR="004908AA">
        <w:rPr>
          <w:noProof/>
        </w:rPr>
        <w:t>11</w:t>
      </w:r>
      <w:r w:rsidR="006E52BD">
        <w:rPr>
          <w:noProof/>
        </w:rPr>
        <w:fldChar w:fldCharType="end"/>
      </w:r>
      <w:bookmarkEnd w:id="93"/>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Feuerherdt, Gray and Hall </w:t>
            </w:r>
            <w:r w:rsidRPr="00D15D53">
              <w:t>(2010)</w:t>
            </w:r>
            <w:r w:rsidRPr="00D15D53">
              <w:rPr>
                <w:rStyle w:val="FootnoteReference"/>
              </w:rPr>
              <w:footnoteReference w:id="255"/>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0. With dividends at full value, this is a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5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Cannavan et al (2004)</w:t>
            </w:r>
            <w:r w:rsidRPr="00D15D53">
              <w:rPr>
                <w:rStyle w:val="FootnoteReference"/>
              </w:rPr>
              <w:footnoteReference w:id="257"/>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Cummings and Frino (2008)</w:t>
            </w:r>
            <w:r w:rsidRPr="00D15D53">
              <w:rPr>
                <w:rStyle w:val="FootnoteReference"/>
              </w:rPr>
              <w:footnoteReference w:id="25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59"/>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Lajbcygier and Wheatley (2012)</w:t>
            </w:r>
            <w:r w:rsidRPr="00D15D53">
              <w:rPr>
                <w:rStyle w:val="FootnoteReference"/>
              </w:rPr>
              <w:footnoteReference w:id="260"/>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Siau et al (2013)</w:t>
            </w:r>
            <w:r w:rsidRPr="00D15D53">
              <w:rPr>
                <w:rStyle w:val="FootnoteReference"/>
              </w:rPr>
              <w:footnoteReference w:id="261"/>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(2008)</w:t>
            </w:r>
            <w:r w:rsidRPr="00D15D53">
              <w:rPr>
                <w:rStyle w:val="FootnoteReference"/>
              </w:rPr>
              <w:footnoteReference w:id="262"/>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Combined drop off of 1.29. With dividends at full value, this is a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Walker and Partington (1999)</w:t>
            </w:r>
            <w:r w:rsidRPr="00D15D53">
              <w:rPr>
                <w:rStyle w:val="FootnoteReference"/>
              </w:rPr>
              <w:footnoteReference w:id="263"/>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(2001)</w:t>
            </w:r>
            <w:r w:rsidRPr="00D15D53">
              <w:rPr>
                <w:rStyle w:val="FootnoteReference"/>
              </w:rPr>
              <w:footnoteReference w:id="264"/>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a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r w:rsidRPr="00FD5BE7">
        <w:t>Comparison</w:t>
      </w:r>
      <w:r>
        <w:t xml:space="preserve"> with other market-based estimation approaches</w:t>
      </w:r>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65"/>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66"/>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67"/>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68"/>
      </w:r>
    </w:p>
    <w:p w:rsidR="008B1CC6" w:rsidRDefault="008B1CC6" w:rsidP="008B1CC6">
      <w:r>
        <w:lastRenderedPageBreak/>
        <w:t>The service providers also submitted, consistent with advice from SFG, that we do not seek to adjust other rate of return parameters for personal costs.</w:t>
      </w:r>
      <w:r>
        <w:rPr>
          <w:rStyle w:val="FootnoteReference"/>
        </w:rPr>
        <w:footnoteReference w:id="269"/>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70"/>
      </w:r>
    </w:p>
    <w:p w:rsidR="00154821" w:rsidRDefault="00154821" w:rsidP="00154821">
      <w:pPr>
        <w:pStyle w:val="AERquote"/>
      </w:pPr>
      <w:r w:rsidRPr="00154821">
        <w:t xml:space="preserve">In other words, the per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94" w:name="_Ref415065117"/>
      <w:r w:rsidRPr="00F93616">
        <w:t>Adjustment of estimates from implied market value studies</w:t>
      </w:r>
      <w:bookmarkEnd w:id="94"/>
    </w:p>
    <w:p w:rsidR="00D01050" w:rsidRDefault="00173FB4" w:rsidP="00F27FC0">
      <w:r>
        <w:t>The service providers submitted</w:t>
      </w:r>
      <w:r w:rsidR="00F27FC0">
        <w:t xml:space="preserve"> that</w:t>
      </w:r>
      <w:r w:rsidR="002877E9">
        <w:t xml:space="preserve"> estimates of the utilisation rate from implied market value studies can be adjusted to make them consistent with the before-personal-tax and before-personal-costs value of imputation credits.</w:t>
      </w:r>
      <w:r w:rsidR="00270CE0">
        <w:rPr>
          <w:rStyle w:val="FootnoteReference"/>
        </w:rPr>
        <w:footnoteReference w:id="271"/>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proposed by Handley and Lally</w:t>
      </w:r>
      <w:r w:rsidR="002877E9">
        <w:t xml:space="preserve"> and discussed in section </w:t>
      </w:r>
      <w:r w:rsidR="002877E9">
        <w:fldChar w:fldCharType="begin"/>
      </w:r>
      <w:r w:rsidR="002877E9">
        <w:instrText xml:space="preserve"> REF _Ref414289593 \r \h </w:instrText>
      </w:r>
      <w:r w:rsidR="002877E9">
        <w:fldChar w:fldCharType="separate"/>
      </w:r>
      <w:r w:rsidR="004908AA">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72"/>
      </w:r>
    </w:p>
    <w:p w:rsidR="00D01050" w:rsidRDefault="00D01050" w:rsidP="00D01050">
      <w:pPr>
        <w:pStyle w:val="AERquote"/>
      </w:pPr>
      <w:r w:rsidRPr="00D01050">
        <w:t>…costs that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73"/>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95" w:name="_Ref414624721"/>
      <w:r w:rsidRPr="00F93616">
        <w:lastRenderedPageBreak/>
        <w:t>Limitations of SFG</w:t>
      </w:r>
      <w:r>
        <w:t>'s</w:t>
      </w:r>
      <w:r w:rsidRPr="00F93616">
        <w:t xml:space="preserve"> dividend drop off study</w:t>
      </w:r>
      <w:bookmarkEnd w:id="95"/>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74"/>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Both Handley and Lally advised that the results from SFG’s dividend drop off study reflect these factors.</w:t>
      </w:r>
      <w:r>
        <w:rPr>
          <w:rStyle w:val="FootnoteReference"/>
        </w:rPr>
        <w:footnoteReference w:id="275"/>
      </w:r>
      <w:r w:rsidRPr="00270CE0">
        <w:t xml:space="preserve"> The service providers themselves also acknowledge</w:t>
      </w:r>
      <w:r>
        <w:t>d</w:t>
      </w:r>
      <w:r w:rsidRPr="00270CE0">
        <w:t xml:space="preserve"> this elsew</w:t>
      </w:r>
      <w:r>
        <w:t>here in their revised proposals:</w:t>
      </w:r>
      <w:r>
        <w:rPr>
          <w:rStyle w:val="FootnoteReference"/>
        </w:rPr>
        <w:footnoteReference w:id="276"/>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77"/>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The ENA (2013) report referred to by SFG was a response</w:t>
      </w:r>
      <w:r w:rsidR="00D86A4A">
        <w:t xml:space="preserve"> to our draft rate of return G</w:t>
      </w:r>
      <w:r w:rsidRPr="00EB61EA">
        <w:t>uide</w:t>
      </w:r>
      <w:r w:rsidR="00D86A4A">
        <w:t>line. Lally reviewed our draft G</w:t>
      </w:r>
      <w:r w:rsidRPr="00EB61EA">
        <w:t>uideline and the ENA response. His conclusion was:</w:t>
      </w:r>
      <w:r>
        <w:rPr>
          <w:rStyle w:val="FootnoteReference"/>
        </w:rPr>
        <w:footnoteReference w:id="278"/>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Regarding the particular limitation at hand, Lally noted:</w:t>
      </w:r>
      <w:r w:rsidR="0097527D">
        <w:rPr>
          <w:rStyle w:val="FootnoteReference"/>
        </w:rPr>
        <w:footnoteReference w:id="279"/>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Lally noted</w:t>
      </w:r>
      <w:r w:rsidRPr="00FE1608">
        <w:t>:</w:t>
      </w:r>
      <w:r w:rsidR="004A53D2">
        <w:rPr>
          <w:rStyle w:val="FootnoteReference"/>
        </w:rPr>
        <w:footnoteReference w:id="280"/>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Thus, Lally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281"/>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282"/>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283"/>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284"/>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4908AA">
        <w:t>A.14.6</w:t>
      </w:r>
      <w:r w:rsidR="000364F9">
        <w:fldChar w:fldCharType="end"/>
      </w:r>
      <w:r w:rsidR="000364F9">
        <w:t xml:space="preserve"> below. </w:t>
      </w:r>
      <w:r w:rsidR="004E3E86">
        <w:t>All but one of these</w:t>
      </w:r>
      <w:r w:rsidR="000364F9">
        <w:t xml:space="preserve"> views were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because imputation credits are only ever distributed with franked dividends, all dividend drop off studies must make this allocation/separation. Therefore this limitation applies to SFG's dividend drop off study.</w:t>
      </w:r>
    </w:p>
    <w:p w:rsidR="00EF42E6" w:rsidRDefault="00EF42E6" w:rsidP="00FD5BE7">
      <w:pPr>
        <w:pStyle w:val="Heading9"/>
      </w:pPr>
      <w:bookmarkStart w:id="96" w:name="_Ref402180002"/>
      <w:bookmarkStart w:id="97" w:name="_Ref414619467"/>
      <w:r>
        <w:t xml:space="preserve">The views of </w:t>
      </w:r>
      <w:r w:rsidRPr="00FD5BE7">
        <w:t>academics</w:t>
      </w:r>
      <w:r>
        <w:t xml:space="preserve"> and other regulators</w:t>
      </w:r>
      <w:bookmarkEnd w:id="96"/>
      <w:r w:rsidR="00F93616">
        <w:t xml:space="preserve"> on dividend drop off studies</w:t>
      </w:r>
      <w:bookmarkEnd w:id="97"/>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285"/>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r>
        <w:t>Cannavan, Finn and Gray (2004):</w:t>
      </w:r>
      <w:r w:rsidRPr="00EF42E6">
        <w:rPr>
          <w:rStyle w:val="FootnoteReference"/>
        </w:rPr>
        <w:footnoteReference w:id="286"/>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r>
        <w:t>Siau, Sault and Warren (2013):</w:t>
      </w:r>
      <w:r w:rsidRPr="00EF42E6">
        <w:rPr>
          <w:rStyle w:val="FootnoteReference"/>
        </w:rPr>
        <w:footnoteReference w:id="287"/>
      </w:r>
    </w:p>
    <w:p w:rsidR="00EF42E6" w:rsidRPr="00B749AE" w:rsidRDefault="00EF42E6" w:rsidP="00EF42E6">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Partington </w:t>
      </w:r>
      <w:r w:rsidRPr="00AC4A58">
        <w:lastRenderedPageBreak/>
        <w:t>(200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EF42E6" w:rsidRPr="00EF42E6" w:rsidRDefault="00EF42E6" w:rsidP="00EF42E6">
      <w:pPr>
        <w:pStyle w:val="AERbulletlistfirststyle"/>
      </w:pPr>
      <w:r>
        <w:t>McKenzie and Partington (2013):</w:t>
      </w:r>
      <w:r w:rsidRPr="00EF42E6">
        <w:rPr>
          <w:rStyle w:val="FootnoteReference"/>
        </w:rPr>
        <w:footnoteReference w:id="288"/>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r>
        <w:t>Lally (2013):</w:t>
      </w:r>
      <w:r w:rsidRPr="00EF42E6">
        <w:rPr>
          <w:rStyle w:val="FootnoteReference"/>
        </w:rPr>
        <w:footnoteReference w:id="289"/>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290"/>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291"/>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292"/>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 xml:space="preserve">The ERA, which until the publication of a revised draft </w:t>
      </w:r>
      <w:r w:rsidR="00D86A4A">
        <w:t>G</w:t>
      </w:r>
      <w:r>
        <w:t>uideline in November 2014 preferred the use of dividend drop off studies, stated:</w:t>
      </w:r>
      <w:r>
        <w:rPr>
          <w:rStyle w:val="FootnoteReference"/>
        </w:rPr>
        <w:footnoteReference w:id="293"/>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98" w:name="_Ref403481482"/>
      <w:bookmarkStart w:id="99" w:name="_Toc417042580"/>
      <w:r>
        <w:t xml:space="preserve">Revised consideration </w:t>
      </w:r>
      <w:r w:rsidRPr="00CD23CD">
        <w:t>of</w:t>
      </w:r>
      <w:r>
        <w:t xml:space="preserve"> the conceptual goalposts approach</w:t>
      </w:r>
      <w:bookmarkEnd w:id="98"/>
      <w:bookmarkEnd w:id="99"/>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9A3ED2">
        <w:t>final</w:t>
      </w:r>
      <w:r>
        <w:t xml:space="preserve"> decision. This is mainly to be consistent with Handley's advice on the conceptual framework, which we have accepted in making this </w:t>
      </w:r>
      <w:r w:rsidR="009A3ED2">
        <w:t>final</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r>
        <w:t>Description of the approach</w:t>
      </w:r>
    </w:p>
    <w:p w:rsidR="00CD23CD" w:rsidRDefault="00CD23CD" w:rsidP="00CD23CD">
      <w:pPr>
        <w:numPr>
          <w:ilvl w:val="0"/>
          <w:numId w:val="25"/>
        </w:numPr>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94"/>
      </w:r>
      <w:r>
        <w:t xml:space="preserve"> In the Officer CAPM, the given set of assets is the domestic market and Lally considered that the given set of investors is domestic investors; that is, the domestic market is assumed to be 'fully segmented' from international markets.</w:t>
      </w:r>
      <w:r>
        <w:rPr>
          <w:rStyle w:val="FootnoteReference"/>
        </w:rPr>
        <w:footnoteReference w:id="295"/>
      </w:r>
    </w:p>
    <w:p w:rsidR="00CD23CD" w:rsidRDefault="00CD23CD" w:rsidP="00CD23CD">
      <w:pPr>
        <w:numPr>
          <w:ilvl w:val="0"/>
          <w:numId w:val="25"/>
        </w:numPr>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96"/>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97"/>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9A3ED2">
        <w:t>final</w:t>
      </w:r>
      <w:r>
        <w:t xml:space="preserve">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98"/>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99"/>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w:t>
      </w:r>
      <w:r w:rsidRPr="002C135E">
        <w:lastRenderedPageBreak/>
        <w:t xml:space="preserve">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Lally estimated</w:t>
      </w:r>
      <w:r w:rsidRPr="002C135E">
        <w:t xml:space="preserve"> for the average Australian firm:</w:t>
      </w:r>
      <w:r>
        <w:rPr>
          <w:rStyle w:val="FootnoteReference"/>
        </w:rPr>
        <w:footnoteReference w:id="300"/>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rsidRPr="00CD23CD">
        <w:t>0.</w:t>
      </w:r>
    </w:p>
    <w:p w:rsidR="00CD23CD" w:rsidRPr="00CD23CD" w:rsidRDefault="00CD23CD" w:rsidP="00CD23CD">
      <w:pPr>
        <w:pStyle w:val="AERbulletlistfirststyle"/>
      </w:pPr>
      <w:r w:rsidRPr="002C135E">
        <w:t xml:space="preserve">The return on equity using a segmented (Officer) CAPM,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301"/>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w:t>
      </w:r>
      <w:r w:rsidRPr="00953733">
        <w:lastRenderedPageBreak/>
        <w:t>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CD23CD" w:rsidRDefault="00CD23CD" w:rsidP="00CD23CD">
      <w:pPr>
        <w:pStyle w:val="Heading9"/>
      </w:pPr>
      <w:r>
        <w:t xml:space="preserve">Advice received since </w:t>
      </w:r>
      <w:r w:rsidRPr="00CD23CD">
        <w:t>the</w:t>
      </w:r>
      <w:r>
        <w:t xml:space="preserve"> Guideline</w:t>
      </w:r>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02"/>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03"/>
      </w:r>
    </w:p>
    <w:p w:rsidR="00CD23CD" w:rsidRDefault="00CD23CD" w:rsidP="00CD23CD">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04"/>
      </w:r>
    </w:p>
    <w:p w:rsidR="00FA6E29" w:rsidRPr="00FA6E29" w:rsidRDefault="00CD23CD" w:rsidP="00FA6E29">
      <w:r>
        <w:t>SFG also raised concerns with the approach, and a number of these have been responded to by Lally.</w:t>
      </w:r>
      <w:r>
        <w:rPr>
          <w:rStyle w:val="FootnoteReference"/>
        </w:rPr>
        <w:footnoteReference w:id="305"/>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4A" w:rsidRPr="00290C63" w:rsidRDefault="00D86A4A" w:rsidP="00290C63">
      <w:r>
        <w:separator/>
      </w:r>
    </w:p>
    <w:p w:rsidR="00D86A4A" w:rsidRDefault="00D86A4A"/>
  </w:endnote>
  <w:endnote w:type="continuationSeparator" w:id="0">
    <w:p w:rsidR="00D86A4A" w:rsidRPr="00290C63" w:rsidRDefault="00D86A4A" w:rsidP="00290C63">
      <w:r>
        <w:continuationSeparator/>
      </w:r>
    </w:p>
    <w:p w:rsidR="00D86A4A" w:rsidRDefault="00D86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4A" w:rsidRPr="00290C63" w:rsidRDefault="00D86A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86A4A" w:rsidRDefault="00D86A4A"/>
  <w:p w:rsidR="00D86A4A" w:rsidRDefault="00D86A4A"/>
  <w:p w:rsidR="00D86A4A" w:rsidRDefault="00D86A4A"/>
  <w:p w:rsidR="00D86A4A" w:rsidRDefault="00D86A4A"/>
  <w:p w:rsidR="00D86A4A" w:rsidRDefault="00D86A4A"/>
  <w:p w:rsidR="00D86A4A" w:rsidRDefault="00D86A4A"/>
  <w:p w:rsidR="00D86A4A" w:rsidRDefault="00D86A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86A4A" w:rsidRPr="009B6F84" w:rsidRDefault="00D86A4A">
        <w:pPr>
          <w:pStyle w:val="Footer"/>
          <w:rPr>
            <w:sz w:val="20"/>
          </w:rPr>
        </w:pPr>
        <w:r>
          <w:fldChar w:fldCharType="begin"/>
        </w:r>
        <w:r>
          <w:instrText xml:space="preserve"> PAGE   \* MERGEFORMAT </w:instrText>
        </w:r>
        <w:r>
          <w:fldChar w:fldCharType="separate"/>
        </w:r>
        <w:r w:rsidR="006E52BD">
          <w:rPr>
            <w:noProof/>
          </w:rPr>
          <w:t>4-0</w:t>
        </w:r>
        <w:r>
          <w:rPr>
            <w:noProof/>
          </w:rPr>
          <w:fldChar w:fldCharType="end"/>
        </w:r>
        <w:r>
          <w:rPr>
            <w:noProof/>
          </w:rPr>
          <w:t xml:space="preserve">          </w:t>
        </w:r>
        <w:r w:rsidRPr="00C04223">
          <w:rPr>
            <w:noProof/>
            <w:szCs w:val="16"/>
          </w:rPr>
          <w:t>Attachment 4 – Value of imputation credits</w:t>
        </w:r>
        <w:r w:rsidRPr="00F8653A">
          <w:t xml:space="preserve"> </w:t>
        </w:r>
        <w:r w:rsidRPr="009B6F84">
          <w:rPr>
            <w:rFonts w:cs="Gautami"/>
            <w:noProof/>
            <w:szCs w:val="16"/>
          </w:rPr>
          <w:t xml:space="preserve">| </w:t>
        </w:r>
        <w:r>
          <w:rPr>
            <w:rFonts w:cs="Gautami"/>
            <w:noProof/>
            <w:szCs w:val="16"/>
          </w:rPr>
          <w:t>ActewAGL</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D86A4A" w:rsidRDefault="00D86A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4A" w:rsidRPr="00290C63" w:rsidRDefault="00D86A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86A4A" w:rsidRDefault="00D86A4A">
    <w:pPr>
      <w:pStyle w:val="Footer"/>
    </w:pPr>
  </w:p>
  <w:p w:rsidR="00D86A4A" w:rsidRDefault="00D86A4A"/>
  <w:p w:rsidR="00D86A4A" w:rsidRDefault="00D86A4A"/>
  <w:p w:rsidR="00D86A4A" w:rsidRDefault="00D86A4A"/>
  <w:p w:rsidR="00D86A4A" w:rsidRDefault="00D86A4A"/>
  <w:p w:rsidR="00D86A4A" w:rsidRDefault="00D86A4A"/>
  <w:p w:rsidR="00D86A4A" w:rsidRDefault="00D86A4A"/>
  <w:p w:rsidR="00D86A4A" w:rsidRDefault="00D86A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3390"/>
      <w:docPartObj>
        <w:docPartGallery w:val="Page Numbers (Bottom of Page)"/>
        <w:docPartUnique/>
      </w:docPartObj>
    </w:sdtPr>
    <w:sdtEndPr/>
    <w:sdtContent>
      <w:p w:rsidR="00D86A4A" w:rsidRPr="00824CC8" w:rsidRDefault="00D86A4A"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w:t>
        </w:r>
        <w:r>
          <w:rPr>
            <w:rStyle w:val="AERbody"/>
          </w:rPr>
          <w:t>ActewAGL</w:t>
        </w:r>
        <w:r w:rsidRPr="00305E37">
          <w:rPr>
            <w:rStyle w:val="AERbody"/>
          </w:rPr>
          <w:t xml:space="preserve">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4A" w:rsidRPr="00824CC8" w:rsidRDefault="00D86A4A" w:rsidP="009E2088">
    <w:pPr>
      <w:pStyle w:val="Footer"/>
      <w:rPr>
        <w:rStyle w:val="AERbody"/>
      </w:rPr>
    </w:pPr>
    <w:r w:rsidRPr="000A7330">
      <w:rPr>
        <w:rStyle w:val="AERbody"/>
      </w:rPr>
      <w:t xml:space="preserve">Attachment </w:t>
    </w:r>
    <w:r>
      <w:rPr>
        <w:rStyle w:val="AERbody"/>
      </w:rPr>
      <w:t>4: Value of imputation credits</w:t>
    </w:r>
    <w:r w:rsidRPr="00305E37">
      <w:rPr>
        <w:rStyle w:val="AERbody"/>
      </w:rPr>
      <w:t xml:space="preserve"> | </w:t>
    </w:r>
    <w:r>
      <w:rPr>
        <w:rStyle w:val="AERbody"/>
      </w:rPr>
      <w:t>ActewAGL</w:t>
    </w:r>
    <w:r w:rsidRPr="00305E37">
      <w:rPr>
        <w:rStyle w:val="AERbody"/>
      </w:rPr>
      <w:t xml:space="preserve"> </w:t>
    </w:r>
    <w:r>
      <w:rPr>
        <w:rStyle w:val="AERbody"/>
      </w:rPr>
      <w:t>final</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6E52BD">
      <w:rPr>
        <w:rStyle w:val="AERbody"/>
        <w:noProof/>
      </w:rPr>
      <w:t>4-96</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4A" w:rsidRPr="00290C63" w:rsidRDefault="00D86A4A" w:rsidP="00290C63">
      <w:r>
        <w:separator/>
      </w:r>
    </w:p>
    <w:p w:rsidR="00D86A4A" w:rsidRDefault="00D86A4A"/>
  </w:footnote>
  <w:footnote w:type="continuationSeparator" w:id="0">
    <w:p w:rsidR="00D86A4A" w:rsidRPr="00290C63" w:rsidRDefault="00D86A4A" w:rsidP="00290C63">
      <w:r>
        <w:continuationSeparator/>
      </w:r>
    </w:p>
    <w:p w:rsidR="00D86A4A" w:rsidRDefault="00D86A4A"/>
  </w:footnote>
  <w:footnote w:id="1">
    <w:p w:rsidR="00D86A4A" w:rsidRDefault="00D86A4A"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D86A4A" w:rsidRDefault="00D86A4A">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D86A4A" w:rsidRDefault="00D86A4A" w:rsidP="00E356F9">
      <w:pPr>
        <w:pStyle w:val="FootnoteText"/>
      </w:pPr>
      <w:r>
        <w:rPr>
          <w:rStyle w:val="FootnoteReference"/>
        </w:rPr>
        <w:footnoteRef/>
      </w:r>
      <w:r>
        <w:t xml:space="preserve"> </w:t>
      </w:r>
      <w:r>
        <w:tab/>
        <w:t>NER, cll. 6.4.3(a)(4), 6.4.3(b)(4), 6.5.3, 6A.5.4(a)(4), 6A.5.4(b)(4) and 6A.6.4; NGR, rs. 76(c) and 87A.</w:t>
      </w:r>
    </w:p>
  </w:footnote>
  <w:footnote w:id="4">
    <w:p w:rsidR="00D86A4A" w:rsidRDefault="00D86A4A"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D86A4A" w:rsidRDefault="00D86A4A"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D86A4A" w:rsidRDefault="00D86A4A" w:rsidP="006F0FAC">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_Ref414621693 \r \h </w:instrText>
      </w:r>
      <w:r>
        <w:fldChar w:fldCharType="separate"/>
      </w:r>
      <w:r>
        <w:t>4.4</w:t>
      </w:r>
      <w:r>
        <w:fldChar w:fldCharType="end"/>
      </w:r>
      <w:r>
        <w:t>.</w:t>
      </w:r>
    </w:p>
  </w:footnote>
  <w:footnote w:id="7">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January 2015.</w:t>
      </w:r>
    </w:p>
  </w:footnote>
  <w:footnote w:id="8">
    <w:p w:rsidR="00D86A4A" w:rsidRDefault="00D86A4A" w:rsidP="006F0FAC">
      <w:pPr>
        <w:pStyle w:val="FootnoteText"/>
      </w:pPr>
      <w:r>
        <w:rPr>
          <w:rStyle w:val="FootnoteReference"/>
        </w:rPr>
        <w:footnoteRef/>
      </w:r>
      <w:r>
        <w:t xml:space="preserve"> </w:t>
      </w:r>
      <w:r>
        <w:tab/>
        <w:t xml:space="preserve">ActewAGL actually referred to the utilisation rate as the Greek letter 'theta'. The labelling and interpretations of the utilisation rate are discussed in sections </w:t>
      </w:r>
      <w:r>
        <w:fldChar w:fldCharType="begin"/>
      </w:r>
      <w:r>
        <w:instrText xml:space="preserve"> REF _Ref400965182 \r \h </w:instrText>
      </w:r>
      <w:r>
        <w:fldChar w:fldCharType="separate"/>
      </w:r>
      <w:r>
        <w:t>A.6</w:t>
      </w:r>
      <w:r>
        <w:fldChar w:fldCharType="end"/>
      </w:r>
      <w:r>
        <w:t xml:space="preserve"> and </w:t>
      </w:r>
      <w:r>
        <w:fldChar w:fldCharType="begin"/>
      </w:r>
      <w:r>
        <w:instrText xml:space="preserve"> REF _Ref414282622 \r \h </w:instrText>
      </w:r>
      <w:r>
        <w:fldChar w:fldCharType="separate"/>
      </w:r>
      <w:r>
        <w:t>A.7</w:t>
      </w:r>
      <w:r>
        <w:fldChar w:fldCharType="end"/>
      </w:r>
      <w:r>
        <w:t xml:space="preserve"> of appendix A. </w:t>
      </w:r>
    </w:p>
  </w:footnote>
  <w:footnote w:id="9">
    <w:p w:rsidR="00D86A4A" w:rsidRDefault="00D86A4A" w:rsidP="000A539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We discuss the different types of implied market value study in section </w:t>
      </w:r>
      <w:r>
        <w:fldChar w:fldCharType="begin"/>
      </w:r>
      <w:r>
        <w:instrText xml:space="preserve"> REF _Ref402791521 \r \h </w:instrText>
      </w:r>
      <w:r>
        <w:fldChar w:fldCharType="separate"/>
      </w:r>
      <w:r>
        <w:t>A.14.1</w:t>
      </w:r>
      <w:r>
        <w:fldChar w:fldCharType="end"/>
      </w:r>
      <w:r>
        <w:t xml:space="preserve"> of appendix A.</w:t>
      </w:r>
    </w:p>
  </w:footnote>
  <w:footnote w:id="10">
    <w:p w:rsidR="00D86A4A" w:rsidRDefault="00D86A4A" w:rsidP="006F0FAC">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r>
        <w:t>Note that the timetable for JGN's decision process is different to that for the other service providers listed. Accordingly, we have not had regard to all of the submissions to JGN's decision process in making this decision.</w:t>
      </w:r>
    </w:p>
  </w:footnote>
  <w:footnote w:id="11">
    <w:p w:rsidR="00D86A4A" w:rsidRDefault="00D86A4A" w:rsidP="00A90D90">
      <w:pPr>
        <w:pStyle w:val="FootnoteText"/>
      </w:pPr>
      <w:r>
        <w:rPr>
          <w:rStyle w:val="FootnoteReference"/>
        </w:rPr>
        <w:footnoteRef/>
      </w:r>
      <w:r>
        <w:t xml:space="preserve"> </w:t>
      </w:r>
      <w:r>
        <w:tab/>
        <w:t>NER, cll. 6.5.3 and 6A.6.4; NGR, r. 87A.</w:t>
      </w:r>
    </w:p>
  </w:footnote>
  <w:footnote w:id="12">
    <w:p w:rsidR="00D86A4A" w:rsidRDefault="00D86A4A" w:rsidP="00A90D90">
      <w:pPr>
        <w:pStyle w:val="FootnoteText"/>
      </w:pPr>
      <w:r>
        <w:rPr>
          <w:rStyle w:val="FootnoteReference"/>
        </w:rPr>
        <w:footnoteRef/>
      </w:r>
      <w:r>
        <w:t xml:space="preserve"> </w:t>
      </w:r>
      <w:r>
        <w:tab/>
        <w:t>NER, cll. 6.5.2(d)(2) and 6A.6.2(d)(2); NGR, r. 87(4)(b).</w:t>
      </w:r>
    </w:p>
  </w:footnote>
  <w:footnote w:id="13">
    <w:p w:rsidR="00D86A4A" w:rsidRDefault="00D86A4A"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4">
    <w:p w:rsidR="00D86A4A" w:rsidRDefault="00D86A4A"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5">
    <w:p w:rsidR="00D86A4A" w:rsidRDefault="00D86A4A"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6">
    <w:p w:rsidR="00D86A4A" w:rsidRDefault="00D86A4A"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7">
    <w:p w:rsidR="00D86A4A" w:rsidRDefault="00D86A4A">
      <w:pPr>
        <w:pStyle w:val="FootnoteText"/>
      </w:pPr>
      <w:r>
        <w:rPr>
          <w:rStyle w:val="FootnoteReference"/>
        </w:rPr>
        <w:footnoteRef/>
      </w:r>
      <w:r>
        <w:t xml:space="preserve"> </w:t>
      </w:r>
      <w:r>
        <w:tab/>
        <w:t xml:space="preserve">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18">
    <w:p w:rsidR="00D86A4A" w:rsidRDefault="00D86A4A" w:rsidP="008C1870">
      <w:pPr>
        <w:pStyle w:val="FootnoteText"/>
      </w:pPr>
      <w:r>
        <w:rPr>
          <w:rStyle w:val="FootnoteReference"/>
        </w:rPr>
        <w:footnoteRef/>
      </w:r>
      <w:r>
        <w:t xml:space="preserve"> </w:t>
      </w:r>
      <w:r>
        <w:tab/>
        <w:t>NER, cll. 6.5.2 and 6A.6.2;</w:t>
      </w:r>
      <w:r w:rsidRPr="0042735A">
        <w:t xml:space="preserve"> </w:t>
      </w:r>
      <w:r>
        <w:t>NGR, r. 87.</w:t>
      </w:r>
    </w:p>
  </w:footnote>
  <w:footnote w:id="19">
    <w:p w:rsidR="00D86A4A" w:rsidRDefault="00D86A4A">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20">
    <w:p w:rsidR="00D86A4A" w:rsidRDefault="00D86A4A"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1">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2">
    <w:p w:rsidR="00D86A4A" w:rsidRDefault="00D86A4A" w:rsidP="00A90D90">
      <w:pPr>
        <w:pStyle w:val="FootnoteText"/>
      </w:pPr>
      <w:r>
        <w:rPr>
          <w:rStyle w:val="FootnoteReference"/>
        </w:rPr>
        <w:footnoteRef/>
      </w:r>
      <w:r>
        <w:tab/>
        <w:t xml:space="preserve">NEL, s. 16(1)(a); NGL, s. 28(1)(a). </w:t>
      </w:r>
    </w:p>
  </w:footnote>
  <w:footnote w:id="23">
    <w:p w:rsidR="00D86A4A" w:rsidRDefault="00D86A4A" w:rsidP="00A90D90">
      <w:pPr>
        <w:pStyle w:val="FootnoteText"/>
      </w:pPr>
      <w:r>
        <w:rPr>
          <w:rStyle w:val="FootnoteReference"/>
        </w:rPr>
        <w:footnoteRef/>
      </w:r>
      <w:r>
        <w:t xml:space="preserve"> </w:t>
      </w:r>
      <w:r>
        <w:tab/>
        <w:t>NEL, s. 16(2)(a)(i); NGL, s. 28(2)(a)(i).</w:t>
      </w:r>
    </w:p>
  </w:footnote>
  <w:footnote w:id="24">
    <w:p w:rsidR="00D86A4A" w:rsidRDefault="00D86A4A" w:rsidP="00112FED">
      <w:pPr>
        <w:pStyle w:val="FootnoteText"/>
      </w:pPr>
      <w:r>
        <w:rPr>
          <w:rStyle w:val="FootnoteReference"/>
        </w:rPr>
        <w:footnoteRef/>
      </w:r>
      <w:r>
        <w:t xml:space="preserve"> </w:t>
      </w:r>
      <w:r>
        <w:tab/>
        <w:t>NEL, ss. 7A(2)–(7); NGL, ss. 24(2)–(7).</w:t>
      </w:r>
    </w:p>
  </w:footnote>
  <w:footnote w:id="25">
    <w:p w:rsidR="00D86A4A" w:rsidRDefault="00D86A4A" w:rsidP="00A90D9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26">
    <w:p w:rsidR="00D86A4A" w:rsidRDefault="00D86A4A" w:rsidP="00A90D90">
      <w:pPr>
        <w:pStyle w:val="FootnoteText"/>
      </w:pPr>
      <w:r>
        <w:rPr>
          <w:rStyle w:val="FootnoteReference"/>
        </w:rPr>
        <w:footnoteRef/>
      </w:r>
      <w:r>
        <w:t xml:space="preserve"> </w:t>
      </w:r>
      <w:r>
        <w:tab/>
        <w:t>NER, cll. 6.5.2(n</w:t>
      </w:r>
      <w:r w:rsidRPr="0090536E">
        <w:t xml:space="preserve">) and </w:t>
      </w:r>
      <w:r>
        <w:t>6A.6.2(n); NGR, r. 87(14).</w:t>
      </w:r>
    </w:p>
  </w:footnote>
  <w:footnote w:id="27">
    <w:p w:rsidR="00D86A4A" w:rsidRDefault="00D86A4A" w:rsidP="00A90D90">
      <w:pPr>
        <w:pStyle w:val="FootnoteText"/>
      </w:pPr>
      <w:r>
        <w:rPr>
          <w:rStyle w:val="FootnoteReference"/>
        </w:rPr>
        <w:footnoteRef/>
      </w:r>
      <w:r>
        <w:t xml:space="preserve"> </w:t>
      </w:r>
      <w:r>
        <w:tab/>
        <w:t xml:space="preserve">NER, cll. </w:t>
      </w:r>
      <w:r w:rsidRPr="001E5B06">
        <w:t>6.5.2(n)</w:t>
      </w:r>
      <w:r>
        <w:t>(2) and 6.A.6.2(n)(2); NGR, r. 87(14)(b).</w:t>
      </w:r>
    </w:p>
  </w:footnote>
  <w:footnote w:id="28">
    <w:p w:rsidR="00D86A4A" w:rsidRDefault="00D86A4A" w:rsidP="00A90D90">
      <w:pPr>
        <w:pStyle w:val="FootnoteText"/>
      </w:pPr>
      <w:r>
        <w:rPr>
          <w:rStyle w:val="FootnoteReference"/>
        </w:rPr>
        <w:footnoteRef/>
      </w:r>
      <w:r>
        <w:t xml:space="preserve"> </w:t>
      </w:r>
      <w:r>
        <w:tab/>
        <w:t>NER, cll. 6.2.8(c) and 6A.2.3(c); NGR, r. 87(18).</w:t>
      </w:r>
    </w:p>
  </w:footnote>
  <w:footnote w:id="29">
    <w:p w:rsidR="00D86A4A" w:rsidRDefault="00D86A4A" w:rsidP="00A90D90">
      <w:pPr>
        <w:pStyle w:val="FootnoteText"/>
      </w:pPr>
      <w:r>
        <w:rPr>
          <w:rStyle w:val="FootnoteReference"/>
        </w:rPr>
        <w:footnoteRef/>
      </w:r>
      <w:r>
        <w:t xml:space="preserve"> </w:t>
      </w:r>
      <w:r>
        <w:tab/>
        <w:t xml:space="preserve">NER, ss. </w:t>
      </w:r>
      <w:r w:rsidRPr="00A609E3">
        <w:t>S6.1.3</w:t>
      </w:r>
      <w:r>
        <w:t>(9)–(9B) and S6A.1.3(4)(vi),(4A)–(4C); NGR, r. 72(1)(g).</w:t>
      </w:r>
    </w:p>
  </w:footnote>
  <w:footnote w:id="30">
    <w:p w:rsidR="00D86A4A" w:rsidRDefault="00D86A4A" w:rsidP="00A90D90">
      <w:pPr>
        <w:pStyle w:val="FootnoteText"/>
      </w:pPr>
      <w:r>
        <w:rPr>
          <w:rStyle w:val="FootnoteReference"/>
        </w:rPr>
        <w:footnoteRef/>
      </w:r>
      <w:r>
        <w:t xml:space="preserve"> </w:t>
      </w:r>
      <w:r>
        <w:tab/>
      </w:r>
      <w:r w:rsidRPr="007646B1">
        <w:t xml:space="preserve">AER, </w:t>
      </w:r>
      <w:r>
        <w:rPr>
          <w:rStyle w:val="AERtextitalic"/>
        </w:rPr>
        <w:t>Better 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31">
    <w:p w:rsidR="00D86A4A" w:rsidRDefault="00D86A4A">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2">
    <w:p w:rsidR="00D86A4A" w:rsidRDefault="00D86A4A">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3">
    <w:p w:rsidR="00D86A4A" w:rsidRDefault="00D86A4A" w:rsidP="009661BA">
      <w:pPr>
        <w:pStyle w:val="FootnoteText"/>
      </w:pPr>
      <w:r>
        <w:rPr>
          <w:rStyle w:val="FootnoteReference"/>
        </w:rPr>
        <w:footnoteRef/>
      </w:r>
      <w:r>
        <w:t xml:space="preserve"> </w:t>
      </w:r>
      <w:r>
        <w:tab/>
        <w:t>NER, cll. 6.5.2(d)(2) and 6A.6.2(d)(2); NGR, r. 87(4)(b).</w:t>
      </w:r>
    </w:p>
  </w:footnote>
  <w:footnote w:id="34">
    <w:p w:rsidR="00D86A4A" w:rsidRDefault="00D86A4A" w:rsidP="00016F8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35">
    <w:p w:rsidR="00D86A4A" w:rsidRDefault="00D86A4A"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6">
    <w:p w:rsidR="00D86A4A" w:rsidRDefault="00D86A4A" w:rsidP="00A90D9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w:t>
      </w:r>
    </w:p>
  </w:footnote>
  <w:footnote w:id="37">
    <w:p w:rsidR="00D86A4A" w:rsidRDefault="00D86A4A" w:rsidP="00A90D90">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38">
    <w:p w:rsidR="00D86A4A" w:rsidRDefault="00D86A4A" w:rsidP="00A90D9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39">
    <w:p w:rsidR="00D86A4A" w:rsidRDefault="00D86A4A"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0">
    <w:p w:rsidR="00D86A4A" w:rsidRDefault="00D86A4A"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1">
    <w:p w:rsidR="00D86A4A" w:rsidRDefault="00D86A4A"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42">
    <w:p w:rsidR="00D86A4A" w:rsidRDefault="00D86A4A"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43">
    <w:p w:rsidR="00D86A4A" w:rsidRDefault="00D86A4A"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44">
    <w:p w:rsidR="00D86A4A" w:rsidRDefault="00D86A4A"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45">
    <w:p w:rsidR="00D86A4A" w:rsidRDefault="00D86A4A" w:rsidP="00A90D9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46">
    <w:p w:rsidR="00D86A4A" w:rsidRDefault="00D86A4A"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7">
    <w:p w:rsidR="00D86A4A" w:rsidRDefault="00D86A4A" w:rsidP="00730504">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48">
    <w:p w:rsidR="00D86A4A" w:rsidRDefault="00D86A4A"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49">
    <w:p w:rsidR="00D86A4A" w:rsidRDefault="00D86A4A"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50">
    <w:p w:rsidR="00D86A4A" w:rsidRDefault="00D86A4A"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1">
    <w:p w:rsidR="00D86A4A" w:rsidRDefault="00D86A4A">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2">
    <w:p w:rsidR="00D86A4A" w:rsidRDefault="00D86A4A"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3">
    <w:p w:rsidR="00D86A4A" w:rsidRDefault="00D86A4A"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t>4.4.2</w:t>
      </w:r>
      <w:r>
        <w:fldChar w:fldCharType="end"/>
      </w:r>
      <w:r>
        <w:t>.</w:t>
      </w:r>
    </w:p>
  </w:footnote>
  <w:footnote w:id="54">
    <w:p w:rsidR="00D86A4A" w:rsidRDefault="00D86A4A" w:rsidP="0073050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55">
    <w:p w:rsidR="00D86A4A" w:rsidRDefault="00D86A4A">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56">
    <w:p w:rsidR="00D86A4A" w:rsidRDefault="00D86A4A" w:rsidP="0073050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_Ref414289593 \r \h </w:instrText>
      </w:r>
      <w:r>
        <w:fldChar w:fldCharType="separate"/>
      </w:r>
      <w:r>
        <w:t>4.4.2</w:t>
      </w:r>
      <w:r>
        <w:fldChar w:fldCharType="end"/>
      </w:r>
      <w:r>
        <w:t>.</w:t>
      </w:r>
    </w:p>
  </w:footnote>
  <w:footnote w:id="57">
    <w:p w:rsidR="00D86A4A" w:rsidRDefault="00D86A4A">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58">
    <w:p w:rsidR="00D86A4A" w:rsidRPr="001966E3" w:rsidRDefault="00D86A4A"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59">
    <w:p w:rsidR="00D86A4A" w:rsidRDefault="00D86A4A" w:rsidP="005401B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60">
    <w:p w:rsidR="00D86A4A" w:rsidRDefault="00D86A4A">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61">
    <w:p w:rsidR="00D86A4A" w:rsidRDefault="00D86A4A" w:rsidP="006D5D8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2">
    <w:p w:rsidR="00D86A4A" w:rsidRDefault="00D86A4A">
      <w:pPr>
        <w:pStyle w:val="FootnoteText"/>
      </w:pPr>
      <w:r>
        <w:rPr>
          <w:rStyle w:val="FootnoteReference"/>
        </w:rPr>
        <w:footnoteRef/>
      </w:r>
      <w:r>
        <w:t xml:space="preserve"> </w:t>
      </w:r>
      <w:r>
        <w:tab/>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3">
    <w:p w:rsidR="00D86A4A" w:rsidRDefault="00D86A4A" w:rsidP="00B3675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64">
    <w:p w:rsidR="00D86A4A" w:rsidRDefault="00D86A4A" w:rsidP="003504FC">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65">
    <w:p w:rsidR="00D86A4A" w:rsidRDefault="00D86A4A" w:rsidP="0014196F">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66">
    <w:p w:rsidR="00D86A4A" w:rsidRDefault="00D86A4A"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67">
    <w:p w:rsidR="00D86A4A" w:rsidRDefault="00D86A4A" w:rsidP="009B2AB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68">
    <w:p w:rsidR="00D86A4A" w:rsidRDefault="00D86A4A"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69">
    <w:p w:rsidR="00D86A4A" w:rsidRDefault="00D86A4A"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0">
    <w:p w:rsidR="00D86A4A" w:rsidRDefault="00D86A4A"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1">
    <w:p w:rsidR="00D86A4A" w:rsidRDefault="00D86A4A" w:rsidP="009B2AB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72">
    <w:p w:rsidR="00D86A4A" w:rsidRDefault="00D86A4A"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3">
    <w:p w:rsidR="00D86A4A" w:rsidRDefault="00D86A4A">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74">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75">
    <w:p w:rsidR="00D86A4A" w:rsidRDefault="00D86A4A"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76">
    <w:p w:rsidR="00D86A4A" w:rsidRDefault="00D86A4A"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77">
    <w:p w:rsidR="00D86A4A" w:rsidRDefault="00D86A4A"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78">
    <w:p w:rsidR="00D86A4A" w:rsidRDefault="00D86A4A"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79">
    <w:p w:rsidR="00D86A4A" w:rsidRDefault="00D86A4A"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0">
    <w:p w:rsidR="00D86A4A" w:rsidRDefault="00D86A4A"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81">
    <w:p w:rsidR="00D86A4A" w:rsidRDefault="00D86A4A"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2">
    <w:p w:rsidR="00D86A4A" w:rsidRDefault="00D86A4A"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3">
    <w:p w:rsidR="00D86A4A" w:rsidRDefault="00D86A4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4">
    <w:p w:rsidR="00D86A4A" w:rsidRDefault="00D86A4A"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85">
    <w:p w:rsidR="00D86A4A" w:rsidRDefault="00D86A4A"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86">
    <w:p w:rsidR="00D86A4A" w:rsidRDefault="00D86A4A"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87">
    <w:p w:rsidR="00D86A4A" w:rsidRDefault="00D86A4A"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88">
    <w:p w:rsidR="00D86A4A" w:rsidRDefault="00D86A4A"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89">
    <w:p w:rsidR="00D86A4A" w:rsidRDefault="00D86A4A"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90">
    <w:p w:rsidR="00D86A4A" w:rsidRDefault="00D86A4A"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1">
    <w:p w:rsidR="00D86A4A" w:rsidRDefault="00D86A4A"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2">
    <w:p w:rsidR="00D86A4A" w:rsidRDefault="00D86A4A" w:rsidP="008D166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93">
    <w:p w:rsidR="00D86A4A" w:rsidRDefault="00D86A4A" w:rsidP="008D1665">
      <w:pPr>
        <w:pStyle w:val="FootnoteText"/>
      </w:pPr>
      <w:r>
        <w:rPr>
          <w:rStyle w:val="FootnoteReference"/>
        </w:rPr>
        <w:footnoteRef/>
      </w:r>
      <w:r>
        <w:t xml:space="preserve"> </w:t>
      </w:r>
      <w:r>
        <w:tab/>
        <w:t xml:space="preserve">Economic Regulation Authority, </w:t>
      </w:r>
      <w:r>
        <w:rPr>
          <w:rStyle w:val="AERtextitalic"/>
        </w:rPr>
        <w:t>Explanatory 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94">
    <w:p w:rsidR="00D86A4A" w:rsidRDefault="00D86A4A"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95">
    <w:p w:rsidR="00D86A4A" w:rsidRDefault="00D86A4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96">
    <w:p w:rsidR="00D86A4A" w:rsidRDefault="00D86A4A" w:rsidP="008D166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97">
    <w:p w:rsidR="00D86A4A" w:rsidRDefault="00D86A4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xml:space="preserve">, p. 21. </w:t>
      </w:r>
    </w:p>
  </w:footnote>
  <w:footnote w:id="98">
    <w:p w:rsidR="00D86A4A" w:rsidRDefault="00D86A4A"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99">
    <w:p w:rsidR="00D86A4A" w:rsidRDefault="00D86A4A">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00">
    <w:p w:rsidR="00D86A4A" w:rsidRDefault="00D86A4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w:t>
      </w:r>
    </w:p>
  </w:footnote>
  <w:footnote w:id="101">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pp. 5–6 and 9; Ausgrid, </w:t>
      </w:r>
      <w:r w:rsidRPr="00D75F7A">
        <w:rPr>
          <w:rStyle w:val="AERtextitalic"/>
        </w:rPr>
        <w:t>Ausgrid's revised proposal on gamma</w:t>
      </w:r>
      <w:r>
        <w:t xml:space="preserve">, January 2015, pp. 6–7 and 11; Directlink, </w:t>
      </w:r>
      <w:r w:rsidRPr="0000771B">
        <w:rPr>
          <w:rStyle w:val="AERtextitalic"/>
        </w:rPr>
        <w:t>Directlink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02">
    <w:p w:rsidR="00D86A4A" w:rsidRDefault="00D86A4A" w:rsidP="00A3645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103">
    <w:p w:rsidR="00D86A4A" w:rsidRDefault="00D86A4A" w:rsidP="00A3645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104">
    <w:p w:rsidR="00D86A4A" w:rsidRDefault="00D86A4A"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05">
    <w:p w:rsidR="00D86A4A" w:rsidRPr="00EB47DF" w:rsidRDefault="00D86A4A"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06">
    <w:p w:rsidR="00D86A4A" w:rsidRDefault="00D86A4A"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07">
    <w:p w:rsidR="00D86A4A" w:rsidRDefault="00D86A4A" w:rsidP="00A36459">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108">
    <w:p w:rsidR="00D86A4A" w:rsidRDefault="00D86A4A" w:rsidP="000B65E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109">
    <w:p w:rsidR="00D86A4A" w:rsidRDefault="00D86A4A"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10">
    <w:p w:rsidR="00D86A4A" w:rsidRDefault="00D86A4A"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11">
    <w:p w:rsidR="00D86A4A" w:rsidRDefault="00D86A4A" w:rsidP="000B65E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112">
    <w:p w:rsidR="00D86A4A" w:rsidRDefault="00D86A4A"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113">
    <w:p w:rsidR="00D86A4A" w:rsidRDefault="00D86A4A"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14">
    <w:p w:rsidR="00D86A4A" w:rsidRDefault="00D86A4A"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15">
    <w:p w:rsidR="00D86A4A" w:rsidRDefault="00D86A4A" w:rsidP="008B661B">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16">
    <w:p w:rsidR="00D86A4A" w:rsidRDefault="00D86A4A" w:rsidP="008B661B">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17">
    <w:p w:rsidR="00D86A4A" w:rsidRDefault="00D86A4A" w:rsidP="008B661B">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18">
    <w:p w:rsidR="00D86A4A" w:rsidRDefault="00D86A4A"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19">
    <w:p w:rsidR="00D86A4A" w:rsidRDefault="00D86A4A"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20">
    <w:p w:rsidR="00D86A4A" w:rsidRDefault="00D86A4A"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21">
    <w:p w:rsidR="00D86A4A" w:rsidRDefault="00D86A4A" w:rsidP="0006219D">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122">
    <w:p w:rsidR="00D86A4A" w:rsidRDefault="00D86A4A" w:rsidP="00055B0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23">
    <w:p w:rsidR="00D86A4A" w:rsidRDefault="00D86A4A" w:rsidP="00055B0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24">
    <w:p w:rsidR="00D86A4A" w:rsidRDefault="00D86A4A">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25">
    <w:p w:rsidR="00D86A4A" w:rsidRDefault="00D86A4A" w:rsidP="00615CE6">
      <w:pPr>
        <w:pStyle w:val="FootnoteText"/>
      </w:pPr>
      <w:r>
        <w:rPr>
          <w:rStyle w:val="FootnoteReference"/>
        </w:rPr>
        <w:footnoteRef/>
      </w:r>
      <w:r>
        <w:t xml:space="preserve"> </w:t>
      </w:r>
      <w:r>
        <w:tab/>
      </w:r>
      <w:r w:rsidRPr="00FF5DB5">
        <w:t>NER, cl</w:t>
      </w:r>
      <w:r>
        <w:t>l. 6.4.3 and</w:t>
      </w:r>
      <w:r w:rsidRPr="00FF5DB5">
        <w:t xml:space="preserve"> 6A.5.4; NGR, r. 76.</w:t>
      </w:r>
    </w:p>
  </w:footnote>
  <w:footnote w:id="126">
    <w:p w:rsidR="00D86A4A" w:rsidRDefault="00D86A4A"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27">
    <w:p w:rsidR="00D86A4A" w:rsidRDefault="00D86A4A" w:rsidP="00615CE6">
      <w:pPr>
        <w:pStyle w:val="FootnoteText"/>
      </w:pPr>
      <w:r>
        <w:rPr>
          <w:rStyle w:val="FootnoteReference"/>
        </w:rPr>
        <w:footnoteRef/>
      </w:r>
      <w:r>
        <w:t xml:space="preserve"> </w:t>
      </w:r>
      <w:r>
        <w:tab/>
        <w:t>NER, cll. 6.5.2 and 6A.6.2;</w:t>
      </w:r>
      <w:r w:rsidRPr="0042735A">
        <w:t xml:space="preserve"> </w:t>
      </w:r>
      <w:r>
        <w:t>NGR, r. 87.</w:t>
      </w:r>
    </w:p>
  </w:footnote>
  <w:footnote w:id="128">
    <w:p w:rsidR="00D86A4A" w:rsidRDefault="00D86A4A">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29">
    <w:p w:rsidR="00D86A4A" w:rsidRDefault="00D86A4A"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0">
    <w:p w:rsidR="00D86A4A" w:rsidRDefault="00D86A4A"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31">
    <w:p w:rsidR="00D86A4A" w:rsidRDefault="00D86A4A"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32">
    <w:p w:rsidR="00D86A4A" w:rsidRDefault="00D86A4A" w:rsidP="00A3557D">
      <w:pPr>
        <w:pStyle w:val="FootnoteText"/>
      </w:pPr>
      <w:r>
        <w:rPr>
          <w:rStyle w:val="FootnoteReference"/>
        </w:rPr>
        <w:footnoteRef/>
      </w:r>
      <w:r>
        <w:t xml:space="preserve"> </w:t>
      </w:r>
      <w:r>
        <w:tab/>
        <w:t>NER, cll. 6.5.2 and 6A.6.2;</w:t>
      </w:r>
      <w:r w:rsidRPr="0042735A">
        <w:t xml:space="preserve"> </w:t>
      </w:r>
      <w:r>
        <w:t>NGR, r. 87.</w:t>
      </w:r>
    </w:p>
  </w:footnote>
  <w:footnote w:id="133">
    <w:p w:rsidR="00D86A4A" w:rsidRDefault="00D86A4A"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34">
    <w:p w:rsidR="00D86A4A" w:rsidRDefault="00D86A4A" w:rsidP="00A3557D">
      <w:pPr>
        <w:pStyle w:val="FootnoteText"/>
      </w:pPr>
      <w:r>
        <w:rPr>
          <w:rStyle w:val="FootnoteReference"/>
        </w:rPr>
        <w:footnoteRef/>
      </w:r>
      <w:r>
        <w:t xml:space="preserve"> </w:t>
      </w:r>
      <w:r>
        <w:tab/>
        <w:t>This is evident in companies having positive franking account balances in aggregate.</w:t>
      </w:r>
    </w:p>
  </w:footnote>
  <w:footnote w:id="135">
    <w:p w:rsidR="00D86A4A" w:rsidRDefault="00D86A4A" w:rsidP="00A3557D">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36">
    <w:p w:rsidR="00D86A4A" w:rsidRDefault="00D86A4A"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37">
    <w:p w:rsidR="00D86A4A" w:rsidRDefault="00D86A4A" w:rsidP="00A3557D">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38">
    <w:p w:rsidR="00D86A4A" w:rsidRDefault="00D86A4A"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39">
    <w:p w:rsidR="00D86A4A" w:rsidRDefault="00D86A4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40">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1">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2">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143">
    <w:p w:rsidR="00D86A4A" w:rsidRDefault="00D86A4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144">
    <w:p w:rsidR="00D86A4A" w:rsidRDefault="00D86A4A">
      <w:pPr>
        <w:pStyle w:val="FootnoteText"/>
      </w:pPr>
      <w:r>
        <w:rPr>
          <w:rStyle w:val="FootnoteReference"/>
        </w:rPr>
        <w:footnoteRef/>
      </w:r>
      <w:r>
        <w:t xml:space="preserve"> </w:t>
      </w:r>
      <w:r>
        <w:tab/>
        <w:t>See section A.6.1 of the draft decisions.</w:t>
      </w:r>
    </w:p>
  </w:footnote>
  <w:footnote w:id="145">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146">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147">
    <w:p w:rsidR="00D86A4A" w:rsidRDefault="00D86A4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48">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49">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50">
    <w:p w:rsidR="00D86A4A" w:rsidRDefault="00D86A4A" w:rsidP="00C7355B">
      <w:pPr>
        <w:pStyle w:val="FootnoteText"/>
      </w:pPr>
      <w:r>
        <w:rPr>
          <w:rStyle w:val="FootnoteReference"/>
        </w:rPr>
        <w:footnoteRef/>
      </w:r>
      <w:r>
        <w:t xml:space="preserve"> </w:t>
      </w:r>
      <w:r>
        <w:tab/>
        <w:t>Recall that the utilisation rate equals gamma under Officer's perpetuity framework.</w:t>
      </w:r>
    </w:p>
  </w:footnote>
  <w:footnote w:id="151">
    <w:p w:rsidR="00D86A4A" w:rsidRDefault="00D86A4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152">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153">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54">
    <w:p w:rsidR="00D86A4A" w:rsidRDefault="00D86A4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155">
    <w:p w:rsidR="00D86A4A" w:rsidRDefault="00D86A4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56">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157">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58">
    <w:p w:rsidR="00D86A4A" w:rsidRDefault="00D86A4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159">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60">
    <w:p w:rsidR="00D86A4A" w:rsidRDefault="00D86A4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1">
    <w:p w:rsidR="00D86A4A" w:rsidRDefault="00D86A4A"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62">
    <w:p w:rsidR="00D86A4A" w:rsidRDefault="00D86A4A"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63">
    <w:p w:rsidR="00D86A4A" w:rsidRDefault="00D86A4A">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 485;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64">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65">
    <w:p w:rsidR="00D86A4A" w:rsidRDefault="00D86A4A">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Better regulation: Explanatory</w:t>
      </w:r>
      <w:r>
        <w:rPr>
          <w:rStyle w:val="AERtextitalic"/>
        </w:rPr>
        <w:t xml:space="preserve">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p.138.</w:t>
      </w:r>
    </w:p>
  </w:footnote>
  <w:footnote w:id="166">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67">
    <w:p w:rsidR="00D86A4A" w:rsidRDefault="00D86A4A"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168">
    <w:p w:rsidR="00D86A4A" w:rsidRDefault="00D86A4A" w:rsidP="00D52BA6">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9">
    <w:p w:rsidR="00D86A4A" w:rsidRDefault="00D86A4A"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0">
    <w:p w:rsidR="00D86A4A" w:rsidRDefault="00D86A4A"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1">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72">
    <w:p w:rsidR="00D86A4A" w:rsidRDefault="00D86A4A"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73">
    <w:p w:rsidR="00D86A4A" w:rsidRDefault="00D86A4A">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74">
    <w:p w:rsidR="00D86A4A" w:rsidRDefault="00D86A4A"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_Ref414289593 \r \h </w:instrText>
      </w:r>
      <w:r>
        <w:fldChar w:fldCharType="separate"/>
      </w:r>
      <w:r>
        <w:t>4.4.2</w:t>
      </w:r>
      <w:r>
        <w:fldChar w:fldCharType="end"/>
      </w:r>
      <w:r>
        <w:t xml:space="preserve"> of attachment 4.  </w:t>
      </w:r>
    </w:p>
  </w:footnote>
  <w:footnote w:id="175">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76">
    <w:p w:rsidR="00D86A4A" w:rsidRDefault="00D86A4A" w:rsidP="00E05D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77">
    <w:p w:rsidR="00D86A4A" w:rsidRDefault="00D86A4A" w:rsidP="00A2453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78">
    <w:p w:rsidR="00D86A4A" w:rsidRDefault="00D86A4A"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79">
    <w:p w:rsidR="00D86A4A" w:rsidRDefault="00D86A4A"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80">
    <w:p w:rsidR="00D86A4A" w:rsidRDefault="00D86A4A"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181">
    <w:p w:rsidR="00D86A4A" w:rsidRDefault="00D86A4A" w:rsidP="005A184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82">
    <w:p w:rsidR="00D86A4A" w:rsidRDefault="00D86A4A"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3">
    <w:p w:rsidR="00D86A4A" w:rsidRPr="006C07EA" w:rsidRDefault="00D86A4A" w:rsidP="006C07E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7;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84">
    <w:p w:rsidR="00D86A4A" w:rsidRDefault="00D86A4A" w:rsidP="005A184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185">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86">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187">
    <w:p w:rsidR="00D86A4A" w:rsidRDefault="00D86A4A">
      <w:pPr>
        <w:pStyle w:val="FootnoteText"/>
      </w:pPr>
      <w:r>
        <w:rPr>
          <w:rStyle w:val="FootnoteReference"/>
        </w:rPr>
        <w:footnoteRef/>
      </w:r>
      <w:r>
        <w:t xml:space="preserve"> </w:t>
      </w:r>
      <w:r>
        <w:tab/>
        <w:t>The refined foreign ownership share of all equity between June 2001 and December 2012 was 0.39 on average.</w:t>
      </w:r>
    </w:p>
  </w:footnote>
  <w:footnote w:id="188">
    <w:p w:rsidR="00D86A4A" w:rsidRDefault="00D86A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89">
    <w:p w:rsidR="00D86A4A" w:rsidRDefault="00D86A4A" w:rsidP="0006361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90">
    <w:p w:rsidR="00D86A4A" w:rsidRDefault="00D86A4A"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91">
    <w:p w:rsidR="00D86A4A" w:rsidRDefault="00D86A4A" w:rsidP="00B67C84">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192">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193">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4">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195">
    <w:p w:rsidR="00D86A4A" w:rsidRDefault="00D86A4A"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96">
    <w:p w:rsidR="00D86A4A" w:rsidRDefault="00D86A4A"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97">
    <w:p w:rsidR="00D86A4A" w:rsidRDefault="00D86A4A"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98">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9">
    <w:p w:rsidR="00D86A4A" w:rsidRDefault="00D86A4A" w:rsidP="00B5645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200">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01">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paras. 215 and 217–218.</w:t>
      </w:r>
    </w:p>
  </w:footnote>
  <w:footnote w:id="202">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223.</w:t>
      </w:r>
    </w:p>
  </w:footnote>
  <w:footnote w:id="203">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04">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205">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206">
    <w:p w:rsidR="00D86A4A" w:rsidRDefault="00D86A4A"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07">
    <w:p w:rsidR="00D86A4A" w:rsidRDefault="00D86A4A"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8">
    <w:p w:rsidR="00D86A4A" w:rsidRDefault="00D86A4A"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9">
    <w:p w:rsidR="00D86A4A" w:rsidRDefault="00D86A4A"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210">
    <w:p w:rsidR="00D86A4A" w:rsidRDefault="00D86A4A" w:rsidP="00BC3784">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211">
    <w:p w:rsidR="00D86A4A" w:rsidRDefault="00D86A4A"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212">
    <w:p w:rsidR="00D86A4A" w:rsidRDefault="00D86A4A">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p. </w:t>
      </w:r>
    </w:p>
  </w:footnote>
  <w:footnote w:id="213">
    <w:p w:rsidR="00D86A4A" w:rsidRDefault="00D86A4A"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14">
    <w:p w:rsidR="00D86A4A" w:rsidRDefault="00D86A4A"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215">
    <w:p w:rsidR="00D86A4A" w:rsidRDefault="00D86A4A"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216">
    <w:p w:rsidR="00D86A4A" w:rsidRDefault="00D86A4A"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217">
    <w:p w:rsidR="00D86A4A" w:rsidRDefault="00D86A4A">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18">
    <w:p w:rsidR="00D86A4A" w:rsidRDefault="00D86A4A">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19">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20">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11; Ausgrid, </w:t>
      </w:r>
      <w:r w:rsidRPr="00D75F7A">
        <w:rPr>
          <w:rStyle w:val="AERtextitalic"/>
        </w:rPr>
        <w:t>Ausgrid's revised proposal on gamma</w:t>
      </w:r>
      <w:r>
        <w:t xml:space="preserve">, January 2015, p. 12; Directlink, </w:t>
      </w:r>
      <w:r w:rsidRPr="0000771B">
        <w:rPr>
          <w:rStyle w:val="AERtextitalic"/>
        </w:rPr>
        <w:t>Directlink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21">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22">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223">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24">
    <w:p w:rsidR="00D86A4A" w:rsidRDefault="00D86A4A"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225">
    <w:p w:rsidR="00D86A4A" w:rsidRDefault="00D86A4A"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26">
    <w:p w:rsidR="00D86A4A" w:rsidRDefault="00D86A4A"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27">
    <w:p w:rsidR="00D86A4A" w:rsidRDefault="00D86A4A" w:rsidP="00292ECF">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28">
    <w:p w:rsidR="00D86A4A" w:rsidRDefault="00D86A4A"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29">
    <w:p w:rsidR="00D86A4A" w:rsidRDefault="00D86A4A" w:rsidP="00292ECF">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30">
    <w:p w:rsidR="00D86A4A" w:rsidRDefault="00D86A4A" w:rsidP="00292ECF">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31">
    <w:p w:rsidR="00D86A4A" w:rsidRDefault="00D86A4A" w:rsidP="00292ECF">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32">
    <w:p w:rsidR="00D86A4A" w:rsidRDefault="00D86A4A"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33">
    <w:p w:rsidR="00D86A4A" w:rsidRDefault="00D86A4A" w:rsidP="00292ECF">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234">
    <w:p w:rsidR="00D86A4A" w:rsidRDefault="00D86A4A"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35">
    <w:p w:rsidR="00D86A4A" w:rsidRDefault="00D86A4A"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36">
    <w:p w:rsidR="00D86A4A" w:rsidRDefault="00D86A4A" w:rsidP="00292ECF">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37">
    <w:p w:rsidR="00D86A4A" w:rsidRDefault="00D86A4A" w:rsidP="00292ECF">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38">
    <w:p w:rsidR="00D86A4A" w:rsidRDefault="00D86A4A" w:rsidP="00292ECF">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39">
    <w:p w:rsidR="00D86A4A" w:rsidRDefault="00D86A4A" w:rsidP="00292ECF">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40">
    <w:p w:rsidR="00D86A4A" w:rsidRDefault="00D86A4A" w:rsidP="00292ECF">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41">
    <w:p w:rsidR="00D86A4A" w:rsidRDefault="00D86A4A" w:rsidP="00292ECF">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42">
    <w:p w:rsidR="00D86A4A" w:rsidRDefault="00D86A4A" w:rsidP="00292ECF">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43">
    <w:p w:rsidR="00D86A4A" w:rsidRDefault="00D86A4A" w:rsidP="00292ECF">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44">
    <w:p w:rsidR="00D86A4A" w:rsidRDefault="00D86A4A" w:rsidP="00292ECF">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45">
    <w:p w:rsidR="00D86A4A" w:rsidRDefault="00D86A4A" w:rsidP="00292ECF">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46">
    <w:p w:rsidR="00D86A4A" w:rsidRDefault="00D86A4A" w:rsidP="00D15D5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47">
    <w:p w:rsidR="00D86A4A" w:rsidRDefault="00D86A4A"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48">
    <w:p w:rsidR="00D86A4A" w:rsidRDefault="00D86A4A" w:rsidP="00D15D5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49">
    <w:p w:rsidR="00D86A4A" w:rsidRDefault="00D86A4A" w:rsidP="00D15D5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50">
    <w:p w:rsidR="00D86A4A" w:rsidRDefault="00D86A4A" w:rsidP="00D15D5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51">
    <w:p w:rsidR="00D86A4A" w:rsidRDefault="00D86A4A"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52">
    <w:p w:rsidR="00D86A4A" w:rsidRDefault="00D86A4A" w:rsidP="00D15D5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253">
    <w:p w:rsidR="00D86A4A" w:rsidRDefault="00D86A4A"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54">
    <w:p w:rsidR="00D86A4A" w:rsidRDefault="00D86A4A"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55">
    <w:p w:rsidR="00D86A4A" w:rsidRDefault="00D86A4A" w:rsidP="00D15D5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6">
    <w:p w:rsidR="00D86A4A" w:rsidRDefault="00D86A4A"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57">
    <w:p w:rsidR="00D86A4A" w:rsidRDefault="00D86A4A" w:rsidP="00D15D5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58">
    <w:p w:rsidR="00D86A4A" w:rsidRDefault="00D86A4A" w:rsidP="00D15D5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59">
    <w:p w:rsidR="00D86A4A" w:rsidRDefault="00D86A4A" w:rsidP="00D15D5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60">
    <w:p w:rsidR="00D86A4A" w:rsidRDefault="00D86A4A" w:rsidP="00D15D5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61">
    <w:p w:rsidR="00D86A4A" w:rsidRDefault="00D86A4A" w:rsidP="00D15D5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62">
    <w:p w:rsidR="00D86A4A" w:rsidRDefault="00D86A4A" w:rsidP="00D15D5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63">
    <w:p w:rsidR="00D86A4A" w:rsidRDefault="00D86A4A" w:rsidP="00D15D5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64">
    <w:p w:rsidR="00D86A4A" w:rsidRDefault="00D86A4A" w:rsidP="00D15D5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65">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66">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267">
    <w:p w:rsidR="00D86A4A" w:rsidRDefault="00D86A4A" w:rsidP="007F230D">
      <w:pPr>
        <w:pStyle w:val="FootnoteText"/>
      </w:pPr>
      <w:r>
        <w:rPr>
          <w:rStyle w:val="FootnoteReference"/>
        </w:rPr>
        <w:footnoteRef/>
      </w:r>
      <w:r>
        <w:t xml:space="preserve"> </w:t>
      </w:r>
      <w:r>
        <w:tab/>
        <w:t xml:space="preserve">SFG, </w:t>
      </w:r>
      <w:r>
        <w:rPr>
          <w:rStyle w:val="AERtextitalic"/>
        </w:rPr>
        <w:t>Estimating gamma for regulatory purposes</w:t>
      </w:r>
      <w:r>
        <w:t>, 6 February 2015, para. 78.</w:t>
      </w:r>
    </w:p>
  </w:footnote>
  <w:footnote w:id="268">
    <w:p w:rsidR="00D86A4A" w:rsidRDefault="00D86A4A" w:rsidP="007F230D">
      <w:pPr>
        <w:pStyle w:val="FootnoteText"/>
      </w:pPr>
      <w:r>
        <w:rPr>
          <w:rStyle w:val="FootnoteReference"/>
        </w:rPr>
        <w:footnoteRef/>
      </w:r>
      <w:r>
        <w:t xml:space="preserve"> </w:t>
      </w:r>
      <w:r>
        <w:tab/>
        <w:t>SFG</w:t>
      </w:r>
      <w:r w:rsidRPr="007C38AD">
        <w:rPr>
          <w:rStyle w:val="AERtextitalic"/>
        </w:rPr>
        <w:t>, Equity beta</w:t>
      </w:r>
      <w:r>
        <w:t>, 12 May 2014, para. 15.</w:t>
      </w:r>
    </w:p>
  </w:footnote>
  <w:footnote w:id="269">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270">
    <w:p w:rsidR="00D86A4A" w:rsidRDefault="00D86A4A"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71">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2">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273">
    <w:p w:rsidR="00D86A4A" w:rsidRDefault="00D86A4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274">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9; Ausgrid, </w:t>
      </w:r>
      <w:r w:rsidRPr="00D75F7A">
        <w:rPr>
          <w:rStyle w:val="AERtextitalic"/>
        </w:rPr>
        <w:t>Ausgrid's revised proposal on gamma</w:t>
      </w:r>
      <w:r>
        <w:t xml:space="preserve">, January 2015, p. 10; Directlink, </w:t>
      </w:r>
      <w:r w:rsidRPr="0000771B">
        <w:rPr>
          <w:rStyle w:val="AERtextitalic"/>
        </w:rPr>
        <w:t>Directlink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75">
    <w:p w:rsidR="00D86A4A" w:rsidRDefault="00D86A4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p. 21.</w:t>
      </w:r>
    </w:p>
  </w:footnote>
  <w:footnote w:id="276">
    <w:p w:rsidR="00D86A4A" w:rsidRDefault="00D86A4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7">
    <w:p w:rsidR="00D86A4A" w:rsidRDefault="00D86A4A">
      <w:pPr>
        <w:pStyle w:val="FootnoteText"/>
      </w:pPr>
      <w:r>
        <w:rPr>
          <w:rStyle w:val="FootnoteReference"/>
        </w:rPr>
        <w:footnoteRef/>
      </w:r>
      <w:r>
        <w:t xml:space="preserve"> </w:t>
      </w:r>
      <w:r>
        <w:tab/>
        <w:t xml:space="preserve">SFG, </w:t>
      </w:r>
      <w:r>
        <w:rPr>
          <w:rStyle w:val="AERtextitalic"/>
        </w:rPr>
        <w:t>Estimating gamma for regulatory purposes</w:t>
      </w:r>
      <w:r>
        <w:t>, 6 February 2015, para. 185(c).</w:t>
      </w:r>
    </w:p>
  </w:footnote>
  <w:footnote w:id="278">
    <w:p w:rsidR="00D86A4A" w:rsidRDefault="00D86A4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279">
    <w:p w:rsidR="00D86A4A" w:rsidRDefault="00D86A4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280">
    <w:p w:rsidR="00D86A4A" w:rsidRDefault="00D86A4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281">
    <w:p w:rsidR="00D86A4A" w:rsidRDefault="00D86A4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282">
    <w:p w:rsidR="00D86A4A" w:rsidRDefault="00D86A4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283">
    <w:p w:rsidR="00D86A4A" w:rsidRDefault="00D86A4A">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284">
    <w:p w:rsidR="00D86A4A" w:rsidRDefault="00D86A4A">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285">
    <w:p w:rsidR="00D86A4A" w:rsidRDefault="00D86A4A" w:rsidP="00EF42E6">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86">
    <w:p w:rsidR="00D86A4A" w:rsidRDefault="00D86A4A" w:rsidP="00EF42E6">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87">
    <w:p w:rsidR="00D86A4A" w:rsidRDefault="00D86A4A" w:rsidP="00EF42E6">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p>
  </w:footnote>
  <w:footnote w:id="288">
    <w:p w:rsidR="00D86A4A" w:rsidRDefault="00D86A4A" w:rsidP="00EF42E6">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89">
    <w:p w:rsidR="00D86A4A" w:rsidRDefault="00D86A4A" w:rsidP="00EF42E6">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90">
    <w:p w:rsidR="00D86A4A" w:rsidRDefault="00D86A4A"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91">
    <w:p w:rsidR="00D86A4A" w:rsidRDefault="00D86A4A">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292">
    <w:p w:rsidR="00D86A4A" w:rsidRDefault="00D86A4A" w:rsidP="0006207D">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93">
    <w:p w:rsidR="00D86A4A" w:rsidRDefault="00D86A4A" w:rsidP="0006207D">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94">
    <w:p w:rsidR="00D86A4A" w:rsidRDefault="00D86A4A"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95">
    <w:p w:rsidR="00D86A4A" w:rsidRDefault="00D86A4A" w:rsidP="00CD23CD">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96">
    <w:p w:rsidR="00D86A4A" w:rsidRDefault="00D86A4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297">
    <w:p w:rsidR="00D86A4A" w:rsidRDefault="00D86A4A" w:rsidP="00CD23CD">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298">
    <w:p w:rsidR="00D86A4A" w:rsidRDefault="00D86A4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299">
    <w:p w:rsidR="00D86A4A" w:rsidRDefault="00D86A4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300">
    <w:p w:rsidR="00D86A4A" w:rsidRDefault="00D86A4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301">
    <w:p w:rsidR="00D86A4A" w:rsidRDefault="00D86A4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302">
    <w:p w:rsidR="00D86A4A" w:rsidRDefault="00D86A4A"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03">
    <w:p w:rsidR="00D86A4A" w:rsidRDefault="00D86A4A"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04">
    <w:p w:rsidR="00D86A4A" w:rsidRDefault="00D86A4A"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05">
    <w:p w:rsidR="00D86A4A" w:rsidRDefault="00D86A4A"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5lZMrkAha8sZSJDLPu/QjAM7PJDZw9XQ8TVP8gv87U=" w:saltValue="I/6dzkHQ3RSt1hxofMvB1Q==" w:algorithmName="SHA-256"/>
  <w:defaultTabStop w:val="34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032\D15 49950  AER - Final Decision ActewAGL distribution determination - Attachment 4 - Value of imputation credits - April 2015.DOCX"/>
  </w:docVars>
  <w:rsids>
    <w:rsidRoot w:val="00961A4A"/>
    <w:rsid w:val="00000225"/>
    <w:rsid w:val="00005796"/>
    <w:rsid w:val="00006E82"/>
    <w:rsid w:val="00006EFD"/>
    <w:rsid w:val="0000771B"/>
    <w:rsid w:val="00011245"/>
    <w:rsid w:val="0001233B"/>
    <w:rsid w:val="00016F8E"/>
    <w:rsid w:val="00021202"/>
    <w:rsid w:val="00021C02"/>
    <w:rsid w:val="00021C2B"/>
    <w:rsid w:val="000222ED"/>
    <w:rsid w:val="00022375"/>
    <w:rsid w:val="00024EA4"/>
    <w:rsid w:val="0002517F"/>
    <w:rsid w:val="00025203"/>
    <w:rsid w:val="00025F6F"/>
    <w:rsid w:val="000308B5"/>
    <w:rsid w:val="0003311D"/>
    <w:rsid w:val="0003430E"/>
    <w:rsid w:val="00034B5D"/>
    <w:rsid w:val="0003578C"/>
    <w:rsid w:val="00035CF5"/>
    <w:rsid w:val="000364F9"/>
    <w:rsid w:val="000401B4"/>
    <w:rsid w:val="00040E5F"/>
    <w:rsid w:val="000420EA"/>
    <w:rsid w:val="00042A44"/>
    <w:rsid w:val="00045DD9"/>
    <w:rsid w:val="00050D76"/>
    <w:rsid w:val="00051598"/>
    <w:rsid w:val="000515FE"/>
    <w:rsid w:val="0005360D"/>
    <w:rsid w:val="0005367F"/>
    <w:rsid w:val="00055B09"/>
    <w:rsid w:val="00056E10"/>
    <w:rsid w:val="00057160"/>
    <w:rsid w:val="00057D4F"/>
    <w:rsid w:val="0006055D"/>
    <w:rsid w:val="00060B47"/>
    <w:rsid w:val="00060F5E"/>
    <w:rsid w:val="0006168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EBF"/>
    <w:rsid w:val="000905E4"/>
    <w:rsid w:val="00090D47"/>
    <w:rsid w:val="00091B15"/>
    <w:rsid w:val="000926C0"/>
    <w:rsid w:val="0009456D"/>
    <w:rsid w:val="00094AA1"/>
    <w:rsid w:val="000950A5"/>
    <w:rsid w:val="000957E9"/>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1029F3"/>
    <w:rsid w:val="00103C71"/>
    <w:rsid w:val="00106C16"/>
    <w:rsid w:val="00112FED"/>
    <w:rsid w:val="0011669D"/>
    <w:rsid w:val="001169CA"/>
    <w:rsid w:val="00116EB2"/>
    <w:rsid w:val="00120980"/>
    <w:rsid w:val="00120E2C"/>
    <w:rsid w:val="00122745"/>
    <w:rsid w:val="00123C40"/>
    <w:rsid w:val="00124609"/>
    <w:rsid w:val="001246EA"/>
    <w:rsid w:val="00125A4B"/>
    <w:rsid w:val="0012691B"/>
    <w:rsid w:val="00126A4C"/>
    <w:rsid w:val="001272D5"/>
    <w:rsid w:val="001311D0"/>
    <w:rsid w:val="001315AD"/>
    <w:rsid w:val="00131F1D"/>
    <w:rsid w:val="00133DB9"/>
    <w:rsid w:val="001345D0"/>
    <w:rsid w:val="00134C81"/>
    <w:rsid w:val="00135513"/>
    <w:rsid w:val="001379E9"/>
    <w:rsid w:val="00140344"/>
    <w:rsid w:val="0014196F"/>
    <w:rsid w:val="001434F7"/>
    <w:rsid w:val="0014573B"/>
    <w:rsid w:val="00146C6B"/>
    <w:rsid w:val="00146FCD"/>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756"/>
    <w:rsid w:val="00163568"/>
    <w:rsid w:val="00163AC7"/>
    <w:rsid w:val="0016706E"/>
    <w:rsid w:val="001674B1"/>
    <w:rsid w:val="0017232E"/>
    <w:rsid w:val="00172780"/>
    <w:rsid w:val="00173FB4"/>
    <w:rsid w:val="00174102"/>
    <w:rsid w:val="001754EE"/>
    <w:rsid w:val="00177488"/>
    <w:rsid w:val="001776CA"/>
    <w:rsid w:val="00180157"/>
    <w:rsid w:val="00180297"/>
    <w:rsid w:val="00181D6F"/>
    <w:rsid w:val="00182FCB"/>
    <w:rsid w:val="001853F1"/>
    <w:rsid w:val="00185CB9"/>
    <w:rsid w:val="00186F77"/>
    <w:rsid w:val="00191633"/>
    <w:rsid w:val="001926A4"/>
    <w:rsid w:val="00192A3E"/>
    <w:rsid w:val="00192AD5"/>
    <w:rsid w:val="00193E3A"/>
    <w:rsid w:val="001943F7"/>
    <w:rsid w:val="00194992"/>
    <w:rsid w:val="00194C1A"/>
    <w:rsid w:val="00195DBC"/>
    <w:rsid w:val="0019613E"/>
    <w:rsid w:val="001966E3"/>
    <w:rsid w:val="00196FC6"/>
    <w:rsid w:val="00197B69"/>
    <w:rsid w:val="001A233B"/>
    <w:rsid w:val="001A29C8"/>
    <w:rsid w:val="001A2B61"/>
    <w:rsid w:val="001A3A0B"/>
    <w:rsid w:val="001A4F7C"/>
    <w:rsid w:val="001B0396"/>
    <w:rsid w:val="001B1D7E"/>
    <w:rsid w:val="001B1D8E"/>
    <w:rsid w:val="001B45A0"/>
    <w:rsid w:val="001B5324"/>
    <w:rsid w:val="001B5415"/>
    <w:rsid w:val="001B77CE"/>
    <w:rsid w:val="001C0549"/>
    <w:rsid w:val="001C1EBE"/>
    <w:rsid w:val="001C24A0"/>
    <w:rsid w:val="001C274C"/>
    <w:rsid w:val="001C5CFF"/>
    <w:rsid w:val="001C72D6"/>
    <w:rsid w:val="001D055E"/>
    <w:rsid w:val="001D2269"/>
    <w:rsid w:val="001D2C85"/>
    <w:rsid w:val="001D46FE"/>
    <w:rsid w:val="001D4E2C"/>
    <w:rsid w:val="001D62E9"/>
    <w:rsid w:val="001D6586"/>
    <w:rsid w:val="001D659B"/>
    <w:rsid w:val="001E0741"/>
    <w:rsid w:val="001E0AE9"/>
    <w:rsid w:val="001E1424"/>
    <w:rsid w:val="001E1745"/>
    <w:rsid w:val="001E4012"/>
    <w:rsid w:val="001F05A4"/>
    <w:rsid w:val="001F2C5D"/>
    <w:rsid w:val="001F492E"/>
    <w:rsid w:val="001F5131"/>
    <w:rsid w:val="001F5AF0"/>
    <w:rsid w:val="001F6A3E"/>
    <w:rsid w:val="001F6DA3"/>
    <w:rsid w:val="0020052E"/>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113E4"/>
    <w:rsid w:val="00212850"/>
    <w:rsid w:val="00212CFB"/>
    <w:rsid w:val="002155A2"/>
    <w:rsid w:val="0021566A"/>
    <w:rsid w:val="002157C2"/>
    <w:rsid w:val="00215D70"/>
    <w:rsid w:val="002207E5"/>
    <w:rsid w:val="00220FF2"/>
    <w:rsid w:val="002212D2"/>
    <w:rsid w:val="002231B2"/>
    <w:rsid w:val="00223316"/>
    <w:rsid w:val="00223923"/>
    <w:rsid w:val="00224DB9"/>
    <w:rsid w:val="00225435"/>
    <w:rsid w:val="00230165"/>
    <w:rsid w:val="00231C11"/>
    <w:rsid w:val="00232176"/>
    <w:rsid w:val="00233775"/>
    <w:rsid w:val="002339AE"/>
    <w:rsid w:val="002344B4"/>
    <w:rsid w:val="002345E2"/>
    <w:rsid w:val="002356A3"/>
    <w:rsid w:val="00237419"/>
    <w:rsid w:val="00240132"/>
    <w:rsid w:val="00240569"/>
    <w:rsid w:val="00240C12"/>
    <w:rsid w:val="00241B8E"/>
    <w:rsid w:val="00241DFB"/>
    <w:rsid w:val="002424BE"/>
    <w:rsid w:val="00242C5C"/>
    <w:rsid w:val="0024321E"/>
    <w:rsid w:val="0024385A"/>
    <w:rsid w:val="00244338"/>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663"/>
    <w:rsid w:val="0026772D"/>
    <w:rsid w:val="00270474"/>
    <w:rsid w:val="0027049E"/>
    <w:rsid w:val="00270CE0"/>
    <w:rsid w:val="002711F2"/>
    <w:rsid w:val="00271E09"/>
    <w:rsid w:val="00271F25"/>
    <w:rsid w:val="0027315E"/>
    <w:rsid w:val="00277163"/>
    <w:rsid w:val="00277D14"/>
    <w:rsid w:val="00280044"/>
    <w:rsid w:val="002829F1"/>
    <w:rsid w:val="0028481C"/>
    <w:rsid w:val="00286874"/>
    <w:rsid w:val="00286B3E"/>
    <w:rsid w:val="002877E9"/>
    <w:rsid w:val="00290201"/>
    <w:rsid w:val="00290879"/>
    <w:rsid w:val="00290C63"/>
    <w:rsid w:val="00291E95"/>
    <w:rsid w:val="002928A4"/>
    <w:rsid w:val="00292ECF"/>
    <w:rsid w:val="00293B86"/>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233C"/>
    <w:rsid w:val="002C25C3"/>
    <w:rsid w:val="002C25CF"/>
    <w:rsid w:val="002C28FE"/>
    <w:rsid w:val="002C2D1A"/>
    <w:rsid w:val="002C3021"/>
    <w:rsid w:val="002C45CC"/>
    <w:rsid w:val="002C640C"/>
    <w:rsid w:val="002C6AF7"/>
    <w:rsid w:val="002C75FE"/>
    <w:rsid w:val="002D23E3"/>
    <w:rsid w:val="002D3EB3"/>
    <w:rsid w:val="002D42E1"/>
    <w:rsid w:val="002D46D2"/>
    <w:rsid w:val="002D637F"/>
    <w:rsid w:val="002D72E8"/>
    <w:rsid w:val="002E1BBD"/>
    <w:rsid w:val="002E21E3"/>
    <w:rsid w:val="002E321B"/>
    <w:rsid w:val="002E4B63"/>
    <w:rsid w:val="002E76F0"/>
    <w:rsid w:val="002E772A"/>
    <w:rsid w:val="002E7B22"/>
    <w:rsid w:val="002F28E0"/>
    <w:rsid w:val="002F42B8"/>
    <w:rsid w:val="002F5023"/>
    <w:rsid w:val="002F50B7"/>
    <w:rsid w:val="002F6A93"/>
    <w:rsid w:val="002F7986"/>
    <w:rsid w:val="00300299"/>
    <w:rsid w:val="003009F6"/>
    <w:rsid w:val="00301B40"/>
    <w:rsid w:val="003029EE"/>
    <w:rsid w:val="00305CC8"/>
    <w:rsid w:val="00307F6D"/>
    <w:rsid w:val="00311850"/>
    <w:rsid w:val="00311927"/>
    <w:rsid w:val="00311C26"/>
    <w:rsid w:val="00312607"/>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71B5"/>
    <w:rsid w:val="00327774"/>
    <w:rsid w:val="00327A1E"/>
    <w:rsid w:val="00331264"/>
    <w:rsid w:val="0033258C"/>
    <w:rsid w:val="00332A53"/>
    <w:rsid w:val="00332E89"/>
    <w:rsid w:val="0033341B"/>
    <w:rsid w:val="00334C8D"/>
    <w:rsid w:val="0033521E"/>
    <w:rsid w:val="00335E54"/>
    <w:rsid w:val="00340378"/>
    <w:rsid w:val="0034249A"/>
    <w:rsid w:val="00342F27"/>
    <w:rsid w:val="0034337A"/>
    <w:rsid w:val="00343A18"/>
    <w:rsid w:val="003443F7"/>
    <w:rsid w:val="00344F8E"/>
    <w:rsid w:val="003504FC"/>
    <w:rsid w:val="003518B3"/>
    <w:rsid w:val="00352736"/>
    <w:rsid w:val="00352983"/>
    <w:rsid w:val="00352DBF"/>
    <w:rsid w:val="00355B65"/>
    <w:rsid w:val="00355B77"/>
    <w:rsid w:val="00361EF1"/>
    <w:rsid w:val="00362F8C"/>
    <w:rsid w:val="00364352"/>
    <w:rsid w:val="00364692"/>
    <w:rsid w:val="003658B2"/>
    <w:rsid w:val="0036613F"/>
    <w:rsid w:val="00366244"/>
    <w:rsid w:val="003663DE"/>
    <w:rsid w:val="00367EDE"/>
    <w:rsid w:val="0037145F"/>
    <w:rsid w:val="00371865"/>
    <w:rsid w:val="00371C1E"/>
    <w:rsid w:val="00371DBB"/>
    <w:rsid w:val="0038032B"/>
    <w:rsid w:val="00380B80"/>
    <w:rsid w:val="003817F2"/>
    <w:rsid w:val="00384402"/>
    <w:rsid w:val="003846F1"/>
    <w:rsid w:val="00386FCB"/>
    <w:rsid w:val="00391221"/>
    <w:rsid w:val="003914B5"/>
    <w:rsid w:val="00392DDE"/>
    <w:rsid w:val="0039342E"/>
    <w:rsid w:val="003940CD"/>
    <w:rsid w:val="00394553"/>
    <w:rsid w:val="00394590"/>
    <w:rsid w:val="00394742"/>
    <w:rsid w:val="00396D7C"/>
    <w:rsid w:val="003972DD"/>
    <w:rsid w:val="00397527"/>
    <w:rsid w:val="003A079E"/>
    <w:rsid w:val="003A0A60"/>
    <w:rsid w:val="003A41F1"/>
    <w:rsid w:val="003A4A61"/>
    <w:rsid w:val="003A55CA"/>
    <w:rsid w:val="003A55DC"/>
    <w:rsid w:val="003A5A7F"/>
    <w:rsid w:val="003A5CF8"/>
    <w:rsid w:val="003B0C3D"/>
    <w:rsid w:val="003B16C3"/>
    <w:rsid w:val="003B1A41"/>
    <w:rsid w:val="003B29E9"/>
    <w:rsid w:val="003B2FA1"/>
    <w:rsid w:val="003B3322"/>
    <w:rsid w:val="003B3BB6"/>
    <w:rsid w:val="003B4139"/>
    <w:rsid w:val="003B484F"/>
    <w:rsid w:val="003B66B5"/>
    <w:rsid w:val="003B6A25"/>
    <w:rsid w:val="003B7BA4"/>
    <w:rsid w:val="003B7FBA"/>
    <w:rsid w:val="003C0026"/>
    <w:rsid w:val="003C19B5"/>
    <w:rsid w:val="003C23B4"/>
    <w:rsid w:val="003C2C75"/>
    <w:rsid w:val="003C38FE"/>
    <w:rsid w:val="003C7914"/>
    <w:rsid w:val="003D0809"/>
    <w:rsid w:val="003D173A"/>
    <w:rsid w:val="003D1DC3"/>
    <w:rsid w:val="003D2313"/>
    <w:rsid w:val="003D29A2"/>
    <w:rsid w:val="003D3385"/>
    <w:rsid w:val="003D495E"/>
    <w:rsid w:val="003D4D99"/>
    <w:rsid w:val="003D59ED"/>
    <w:rsid w:val="003D6A3C"/>
    <w:rsid w:val="003D6DCD"/>
    <w:rsid w:val="003E0367"/>
    <w:rsid w:val="003E1DBF"/>
    <w:rsid w:val="003E2CEA"/>
    <w:rsid w:val="003E2CFF"/>
    <w:rsid w:val="003E38A3"/>
    <w:rsid w:val="003E4445"/>
    <w:rsid w:val="003E4F74"/>
    <w:rsid w:val="003E6B35"/>
    <w:rsid w:val="003E7CEB"/>
    <w:rsid w:val="003F174D"/>
    <w:rsid w:val="003F1C59"/>
    <w:rsid w:val="003F4E76"/>
    <w:rsid w:val="003F5B81"/>
    <w:rsid w:val="003F7E3A"/>
    <w:rsid w:val="00402A80"/>
    <w:rsid w:val="004056F3"/>
    <w:rsid w:val="00406B74"/>
    <w:rsid w:val="00406E58"/>
    <w:rsid w:val="0041319C"/>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6C80"/>
    <w:rsid w:val="00427B26"/>
    <w:rsid w:val="00430293"/>
    <w:rsid w:val="00434292"/>
    <w:rsid w:val="00435D64"/>
    <w:rsid w:val="004362BB"/>
    <w:rsid w:val="004374B5"/>
    <w:rsid w:val="004379A0"/>
    <w:rsid w:val="00440267"/>
    <w:rsid w:val="0044032A"/>
    <w:rsid w:val="0044152D"/>
    <w:rsid w:val="0044181C"/>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49DC"/>
    <w:rsid w:val="00474BFD"/>
    <w:rsid w:val="004807E2"/>
    <w:rsid w:val="00480B4B"/>
    <w:rsid w:val="00480E3F"/>
    <w:rsid w:val="00481511"/>
    <w:rsid w:val="00481B86"/>
    <w:rsid w:val="00485DC4"/>
    <w:rsid w:val="00485FF7"/>
    <w:rsid w:val="00486A2F"/>
    <w:rsid w:val="00486FC1"/>
    <w:rsid w:val="00490637"/>
    <w:rsid w:val="004908AA"/>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C12E0"/>
    <w:rsid w:val="004C1F8C"/>
    <w:rsid w:val="004C2A51"/>
    <w:rsid w:val="004C348C"/>
    <w:rsid w:val="004C5678"/>
    <w:rsid w:val="004C5EC7"/>
    <w:rsid w:val="004C6664"/>
    <w:rsid w:val="004C71D5"/>
    <w:rsid w:val="004C7CD9"/>
    <w:rsid w:val="004C7D6F"/>
    <w:rsid w:val="004D16B8"/>
    <w:rsid w:val="004D1A69"/>
    <w:rsid w:val="004D2B94"/>
    <w:rsid w:val="004D44E4"/>
    <w:rsid w:val="004D55BA"/>
    <w:rsid w:val="004D6693"/>
    <w:rsid w:val="004D7477"/>
    <w:rsid w:val="004E22EC"/>
    <w:rsid w:val="004E2511"/>
    <w:rsid w:val="004E3E86"/>
    <w:rsid w:val="004E4BF6"/>
    <w:rsid w:val="004E5A52"/>
    <w:rsid w:val="004F15DE"/>
    <w:rsid w:val="004F290A"/>
    <w:rsid w:val="004F46B8"/>
    <w:rsid w:val="004F6A0E"/>
    <w:rsid w:val="0050152B"/>
    <w:rsid w:val="00502349"/>
    <w:rsid w:val="0050279A"/>
    <w:rsid w:val="00504808"/>
    <w:rsid w:val="005105C7"/>
    <w:rsid w:val="0051069B"/>
    <w:rsid w:val="0051087C"/>
    <w:rsid w:val="00511750"/>
    <w:rsid w:val="00511C9E"/>
    <w:rsid w:val="00512D10"/>
    <w:rsid w:val="005144CD"/>
    <w:rsid w:val="00514A0A"/>
    <w:rsid w:val="00516132"/>
    <w:rsid w:val="00516B92"/>
    <w:rsid w:val="005170E4"/>
    <w:rsid w:val="0052084F"/>
    <w:rsid w:val="00520C80"/>
    <w:rsid w:val="00521767"/>
    <w:rsid w:val="00521D96"/>
    <w:rsid w:val="00524C2D"/>
    <w:rsid w:val="00525909"/>
    <w:rsid w:val="005260A3"/>
    <w:rsid w:val="00526307"/>
    <w:rsid w:val="005265FB"/>
    <w:rsid w:val="00526A4B"/>
    <w:rsid w:val="00527378"/>
    <w:rsid w:val="0052772E"/>
    <w:rsid w:val="00530128"/>
    <w:rsid w:val="00530F0A"/>
    <w:rsid w:val="0053193C"/>
    <w:rsid w:val="0053195A"/>
    <w:rsid w:val="00532467"/>
    <w:rsid w:val="00533922"/>
    <w:rsid w:val="005401BC"/>
    <w:rsid w:val="00542703"/>
    <w:rsid w:val="005436C8"/>
    <w:rsid w:val="00545B75"/>
    <w:rsid w:val="00545E09"/>
    <w:rsid w:val="00545E37"/>
    <w:rsid w:val="0055021B"/>
    <w:rsid w:val="0055160E"/>
    <w:rsid w:val="0055244B"/>
    <w:rsid w:val="00552640"/>
    <w:rsid w:val="00552777"/>
    <w:rsid w:val="00555DC4"/>
    <w:rsid w:val="00555FE2"/>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EA2"/>
    <w:rsid w:val="00571B35"/>
    <w:rsid w:val="00571D57"/>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79D5"/>
    <w:rsid w:val="005A0758"/>
    <w:rsid w:val="005A0CCF"/>
    <w:rsid w:val="005A184F"/>
    <w:rsid w:val="005A404D"/>
    <w:rsid w:val="005A4352"/>
    <w:rsid w:val="005A4862"/>
    <w:rsid w:val="005A7FDD"/>
    <w:rsid w:val="005B011C"/>
    <w:rsid w:val="005B1345"/>
    <w:rsid w:val="005B1D22"/>
    <w:rsid w:val="005B1E3C"/>
    <w:rsid w:val="005B2B1B"/>
    <w:rsid w:val="005B2D94"/>
    <w:rsid w:val="005B339B"/>
    <w:rsid w:val="005B33F5"/>
    <w:rsid w:val="005B539D"/>
    <w:rsid w:val="005B61AD"/>
    <w:rsid w:val="005B6EE2"/>
    <w:rsid w:val="005B704A"/>
    <w:rsid w:val="005C0ACE"/>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A26"/>
    <w:rsid w:val="00605B17"/>
    <w:rsid w:val="00605EF2"/>
    <w:rsid w:val="0061019B"/>
    <w:rsid w:val="006105F9"/>
    <w:rsid w:val="00610EF9"/>
    <w:rsid w:val="00611E02"/>
    <w:rsid w:val="00612C68"/>
    <w:rsid w:val="00612F4F"/>
    <w:rsid w:val="006138FF"/>
    <w:rsid w:val="00615BED"/>
    <w:rsid w:val="00615C6B"/>
    <w:rsid w:val="00615CE6"/>
    <w:rsid w:val="00616221"/>
    <w:rsid w:val="006178F5"/>
    <w:rsid w:val="006201C9"/>
    <w:rsid w:val="006205BB"/>
    <w:rsid w:val="0062184D"/>
    <w:rsid w:val="00621DCE"/>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763F"/>
    <w:rsid w:val="006878CF"/>
    <w:rsid w:val="00690365"/>
    <w:rsid w:val="00690713"/>
    <w:rsid w:val="0069090B"/>
    <w:rsid w:val="00694D8D"/>
    <w:rsid w:val="00696CB8"/>
    <w:rsid w:val="00697232"/>
    <w:rsid w:val="00697799"/>
    <w:rsid w:val="006979C8"/>
    <w:rsid w:val="006A1984"/>
    <w:rsid w:val="006A22AB"/>
    <w:rsid w:val="006A237E"/>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7702"/>
    <w:rsid w:val="006B7AC8"/>
    <w:rsid w:val="006B7D63"/>
    <w:rsid w:val="006C07EA"/>
    <w:rsid w:val="006C1736"/>
    <w:rsid w:val="006C1FFB"/>
    <w:rsid w:val="006C6748"/>
    <w:rsid w:val="006D1B7D"/>
    <w:rsid w:val="006D296A"/>
    <w:rsid w:val="006D29E1"/>
    <w:rsid w:val="006D550F"/>
    <w:rsid w:val="006D5D8E"/>
    <w:rsid w:val="006D712C"/>
    <w:rsid w:val="006E1716"/>
    <w:rsid w:val="006E31DA"/>
    <w:rsid w:val="006E3A04"/>
    <w:rsid w:val="006E4661"/>
    <w:rsid w:val="006E52BD"/>
    <w:rsid w:val="006E587D"/>
    <w:rsid w:val="006F05EF"/>
    <w:rsid w:val="006F0FAC"/>
    <w:rsid w:val="006F2F17"/>
    <w:rsid w:val="006F3583"/>
    <w:rsid w:val="006F41AD"/>
    <w:rsid w:val="006F670B"/>
    <w:rsid w:val="0070011E"/>
    <w:rsid w:val="00700D28"/>
    <w:rsid w:val="00700E74"/>
    <w:rsid w:val="007017ED"/>
    <w:rsid w:val="00701CAB"/>
    <w:rsid w:val="00706DA4"/>
    <w:rsid w:val="00707563"/>
    <w:rsid w:val="00712924"/>
    <w:rsid w:val="00713CA9"/>
    <w:rsid w:val="00713D13"/>
    <w:rsid w:val="00713EDC"/>
    <w:rsid w:val="00715F1D"/>
    <w:rsid w:val="00722823"/>
    <w:rsid w:val="007233A4"/>
    <w:rsid w:val="0072348C"/>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6237"/>
    <w:rsid w:val="00777581"/>
    <w:rsid w:val="00777A49"/>
    <w:rsid w:val="00777CAF"/>
    <w:rsid w:val="00777EE6"/>
    <w:rsid w:val="00777EFC"/>
    <w:rsid w:val="00781295"/>
    <w:rsid w:val="00782EEA"/>
    <w:rsid w:val="00785C3F"/>
    <w:rsid w:val="00786E7E"/>
    <w:rsid w:val="007873AE"/>
    <w:rsid w:val="007921FD"/>
    <w:rsid w:val="007923B3"/>
    <w:rsid w:val="00792483"/>
    <w:rsid w:val="0079377E"/>
    <w:rsid w:val="00797099"/>
    <w:rsid w:val="007A0FE7"/>
    <w:rsid w:val="007A16ED"/>
    <w:rsid w:val="007A253A"/>
    <w:rsid w:val="007A2B49"/>
    <w:rsid w:val="007A37FD"/>
    <w:rsid w:val="007A49B2"/>
    <w:rsid w:val="007A4EF0"/>
    <w:rsid w:val="007A5DF9"/>
    <w:rsid w:val="007A66EF"/>
    <w:rsid w:val="007A6C22"/>
    <w:rsid w:val="007B186E"/>
    <w:rsid w:val="007B2C72"/>
    <w:rsid w:val="007B336F"/>
    <w:rsid w:val="007B6EFF"/>
    <w:rsid w:val="007B763B"/>
    <w:rsid w:val="007B7C96"/>
    <w:rsid w:val="007B7CC9"/>
    <w:rsid w:val="007C1C53"/>
    <w:rsid w:val="007C38AD"/>
    <w:rsid w:val="007C4236"/>
    <w:rsid w:val="007C48BA"/>
    <w:rsid w:val="007C5918"/>
    <w:rsid w:val="007C6522"/>
    <w:rsid w:val="007C6807"/>
    <w:rsid w:val="007C6D31"/>
    <w:rsid w:val="007C74BB"/>
    <w:rsid w:val="007C7DB6"/>
    <w:rsid w:val="007D19F6"/>
    <w:rsid w:val="007D3EF5"/>
    <w:rsid w:val="007D456E"/>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18"/>
    <w:rsid w:val="0080443B"/>
    <w:rsid w:val="00804BB8"/>
    <w:rsid w:val="008061F1"/>
    <w:rsid w:val="00806C88"/>
    <w:rsid w:val="00806F4F"/>
    <w:rsid w:val="0080798E"/>
    <w:rsid w:val="0081034E"/>
    <w:rsid w:val="00811D6B"/>
    <w:rsid w:val="0081211C"/>
    <w:rsid w:val="0081214E"/>
    <w:rsid w:val="00814EEE"/>
    <w:rsid w:val="0081589C"/>
    <w:rsid w:val="00817DCC"/>
    <w:rsid w:val="008201BC"/>
    <w:rsid w:val="0082200E"/>
    <w:rsid w:val="00823705"/>
    <w:rsid w:val="00826B31"/>
    <w:rsid w:val="00826CF1"/>
    <w:rsid w:val="00827A8B"/>
    <w:rsid w:val="00827F1B"/>
    <w:rsid w:val="00832DB7"/>
    <w:rsid w:val="00833625"/>
    <w:rsid w:val="008344F6"/>
    <w:rsid w:val="0083510F"/>
    <w:rsid w:val="00836289"/>
    <w:rsid w:val="00841278"/>
    <w:rsid w:val="00842206"/>
    <w:rsid w:val="0084307D"/>
    <w:rsid w:val="00844051"/>
    <w:rsid w:val="00845565"/>
    <w:rsid w:val="00845DE5"/>
    <w:rsid w:val="00846525"/>
    <w:rsid w:val="00847F09"/>
    <w:rsid w:val="00851209"/>
    <w:rsid w:val="00852D20"/>
    <w:rsid w:val="008542CA"/>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7AC"/>
    <w:rsid w:val="00884B75"/>
    <w:rsid w:val="00885D6D"/>
    <w:rsid w:val="00885F90"/>
    <w:rsid w:val="00887F2D"/>
    <w:rsid w:val="00892201"/>
    <w:rsid w:val="00895E9C"/>
    <w:rsid w:val="0089683C"/>
    <w:rsid w:val="0089793A"/>
    <w:rsid w:val="008A0008"/>
    <w:rsid w:val="008A369B"/>
    <w:rsid w:val="008A3987"/>
    <w:rsid w:val="008A403F"/>
    <w:rsid w:val="008A4877"/>
    <w:rsid w:val="008A587D"/>
    <w:rsid w:val="008A6898"/>
    <w:rsid w:val="008A7005"/>
    <w:rsid w:val="008B16A9"/>
    <w:rsid w:val="008B1CC6"/>
    <w:rsid w:val="008B35CD"/>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2948"/>
    <w:rsid w:val="008E3B4F"/>
    <w:rsid w:val="008E57A0"/>
    <w:rsid w:val="008E7031"/>
    <w:rsid w:val="008E74FF"/>
    <w:rsid w:val="008E77DE"/>
    <w:rsid w:val="008F07A3"/>
    <w:rsid w:val="008F34DD"/>
    <w:rsid w:val="008F44A1"/>
    <w:rsid w:val="008F5248"/>
    <w:rsid w:val="008F5443"/>
    <w:rsid w:val="008F5CC1"/>
    <w:rsid w:val="008F6CCB"/>
    <w:rsid w:val="008F710E"/>
    <w:rsid w:val="009001B6"/>
    <w:rsid w:val="00900771"/>
    <w:rsid w:val="00900A09"/>
    <w:rsid w:val="00900E1B"/>
    <w:rsid w:val="0090116D"/>
    <w:rsid w:val="00902809"/>
    <w:rsid w:val="00905F96"/>
    <w:rsid w:val="00907570"/>
    <w:rsid w:val="0091090D"/>
    <w:rsid w:val="0091227E"/>
    <w:rsid w:val="009132FD"/>
    <w:rsid w:val="009138A1"/>
    <w:rsid w:val="00913C57"/>
    <w:rsid w:val="00915740"/>
    <w:rsid w:val="0091576E"/>
    <w:rsid w:val="00916CF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6E9"/>
    <w:rsid w:val="009460AA"/>
    <w:rsid w:val="00946639"/>
    <w:rsid w:val="00951501"/>
    <w:rsid w:val="00951978"/>
    <w:rsid w:val="00952246"/>
    <w:rsid w:val="00954895"/>
    <w:rsid w:val="00955DFE"/>
    <w:rsid w:val="009568E2"/>
    <w:rsid w:val="00957226"/>
    <w:rsid w:val="00957968"/>
    <w:rsid w:val="00960EBC"/>
    <w:rsid w:val="00960F6E"/>
    <w:rsid w:val="00961A4A"/>
    <w:rsid w:val="00963A8F"/>
    <w:rsid w:val="00963EFB"/>
    <w:rsid w:val="009661BA"/>
    <w:rsid w:val="009661DE"/>
    <w:rsid w:val="00966578"/>
    <w:rsid w:val="009673FC"/>
    <w:rsid w:val="00967FFA"/>
    <w:rsid w:val="00970771"/>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2292"/>
    <w:rsid w:val="009A2D83"/>
    <w:rsid w:val="009A3578"/>
    <w:rsid w:val="009A3ED2"/>
    <w:rsid w:val="009A4376"/>
    <w:rsid w:val="009A4592"/>
    <w:rsid w:val="009A4A80"/>
    <w:rsid w:val="009A53F8"/>
    <w:rsid w:val="009A5E98"/>
    <w:rsid w:val="009A5FC3"/>
    <w:rsid w:val="009B01C0"/>
    <w:rsid w:val="009B202B"/>
    <w:rsid w:val="009B2ABF"/>
    <w:rsid w:val="009B2B2A"/>
    <w:rsid w:val="009B303B"/>
    <w:rsid w:val="009B30D4"/>
    <w:rsid w:val="009B55D2"/>
    <w:rsid w:val="009B6E05"/>
    <w:rsid w:val="009B6F84"/>
    <w:rsid w:val="009B7005"/>
    <w:rsid w:val="009B74B0"/>
    <w:rsid w:val="009C0F2A"/>
    <w:rsid w:val="009C12C9"/>
    <w:rsid w:val="009C1402"/>
    <w:rsid w:val="009C20EE"/>
    <w:rsid w:val="009C266A"/>
    <w:rsid w:val="009C2C65"/>
    <w:rsid w:val="009C48F7"/>
    <w:rsid w:val="009C4BAF"/>
    <w:rsid w:val="009C5A79"/>
    <w:rsid w:val="009C61F8"/>
    <w:rsid w:val="009D2ABC"/>
    <w:rsid w:val="009D300F"/>
    <w:rsid w:val="009D3906"/>
    <w:rsid w:val="009D487B"/>
    <w:rsid w:val="009D6B46"/>
    <w:rsid w:val="009D7071"/>
    <w:rsid w:val="009E2088"/>
    <w:rsid w:val="009E2B76"/>
    <w:rsid w:val="009E40F2"/>
    <w:rsid w:val="009E4F6C"/>
    <w:rsid w:val="009E59CE"/>
    <w:rsid w:val="009E6854"/>
    <w:rsid w:val="009E6B5D"/>
    <w:rsid w:val="009E7BA2"/>
    <w:rsid w:val="009E7EF6"/>
    <w:rsid w:val="009E7EFB"/>
    <w:rsid w:val="009F47F4"/>
    <w:rsid w:val="009F4940"/>
    <w:rsid w:val="009F49E6"/>
    <w:rsid w:val="009F4D7E"/>
    <w:rsid w:val="009F549C"/>
    <w:rsid w:val="009F5BA1"/>
    <w:rsid w:val="009F6D3F"/>
    <w:rsid w:val="00A00887"/>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6B13"/>
    <w:rsid w:val="00A32FBB"/>
    <w:rsid w:val="00A33583"/>
    <w:rsid w:val="00A34FE2"/>
    <w:rsid w:val="00A3557D"/>
    <w:rsid w:val="00A35A6E"/>
    <w:rsid w:val="00A35C46"/>
    <w:rsid w:val="00A36459"/>
    <w:rsid w:val="00A3725A"/>
    <w:rsid w:val="00A37907"/>
    <w:rsid w:val="00A40349"/>
    <w:rsid w:val="00A4070F"/>
    <w:rsid w:val="00A428EE"/>
    <w:rsid w:val="00A4478A"/>
    <w:rsid w:val="00A44852"/>
    <w:rsid w:val="00A50502"/>
    <w:rsid w:val="00A507B8"/>
    <w:rsid w:val="00A513C2"/>
    <w:rsid w:val="00A54EFC"/>
    <w:rsid w:val="00A55AE7"/>
    <w:rsid w:val="00A55C1E"/>
    <w:rsid w:val="00A5740F"/>
    <w:rsid w:val="00A57BA6"/>
    <w:rsid w:val="00A57D04"/>
    <w:rsid w:val="00A60A26"/>
    <w:rsid w:val="00A61598"/>
    <w:rsid w:val="00A7103E"/>
    <w:rsid w:val="00A712E1"/>
    <w:rsid w:val="00A72155"/>
    <w:rsid w:val="00A72430"/>
    <w:rsid w:val="00A7288F"/>
    <w:rsid w:val="00A736D1"/>
    <w:rsid w:val="00A73C1C"/>
    <w:rsid w:val="00A756AB"/>
    <w:rsid w:val="00A75C76"/>
    <w:rsid w:val="00A76A5A"/>
    <w:rsid w:val="00A77091"/>
    <w:rsid w:val="00A83DC4"/>
    <w:rsid w:val="00A8436C"/>
    <w:rsid w:val="00A84A99"/>
    <w:rsid w:val="00A84F46"/>
    <w:rsid w:val="00A87014"/>
    <w:rsid w:val="00A871F4"/>
    <w:rsid w:val="00A90D90"/>
    <w:rsid w:val="00A910D2"/>
    <w:rsid w:val="00A91589"/>
    <w:rsid w:val="00A92655"/>
    <w:rsid w:val="00A94D97"/>
    <w:rsid w:val="00A96BBA"/>
    <w:rsid w:val="00A96DA6"/>
    <w:rsid w:val="00A971D2"/>
    <w:rsid w:val="00A97288"/>
    <w:rsid w:val="00AA00B7"/>
    <w:rsid w:val="00AA1441"/>
    <w:rsid w:val="00AA229B"/>
    <w:rsid w:val="00AA2B22"/>
    <w:rsid w:val="00AA493E"/>
    <w:rsid w:val="00AA4E4D"/>
    <w:rsid w:val="00AA5FA5"/>
    <w:rsid w:val="00AA5FAB"/>
    <w:rsid w:val="00AA6C5B"/>
    <w:rsid w:val="00AA71CA"/>
    <w:rsid w:val="00AB00D4"/>
    <w:rsid w:val="00AB06BE"/>
    <w:rsid w:val="00AB3E09"/>
    <w:rsid w:val="00AB4B7B"/>
    <w:rsid w:val="00AB755D"/>
    <w:rsid w:val="00AC1B2C"/>
    <w:rsid w:val="00AC26A5"/>
    <w:rsid w:val="00AC3264"/>
    <w:rsid w:val="00AC6F43"/>
    <w:rsid w:val="00AC7E23"/>
    <w:rsid w:val="00AD2808"/>
    <w:rsid w:val="00AD351F"/>
    <w:rsid w:val="00AD436D"/>
    <w:rsid w:val="00AD45FF"/>
    <w:rsid w:val="00AD67D9"/>
    <w:rsid w:val="00AE0135"/>
    <w:rsid w:val="00AE07D8"/>
    <w:rsid w:val="00AE18CF"/>
    <w:rsid w:val="00AE1BF1"/>
    <w:rsid w:val="00AE5BF4"/>
    <w:rsid w:val="00AE6040"/>
    <w:rsid w:val="00AE7532"/>
    <w:rsid w:val="00AE7786"/>
    <w:rsid w:val="00AF0DD2"/>
    <w:rsid w:val="00AF1508"/>
    <w:rsid w:val="00AF1A4A"/>
    <w:rsid w:val="00AF3A97"/>
    <w:rsid w:val="00AF6C11"/>
    <w:rsid w:val="00AF7182"/>
    <w:rsid w:val="00AF7793"/>
    <w:rsid w:val="00B01263"/>
    <w:rsid w:val="00B01373"/>
    <w:rsid w:val="00B03641"/>
    <w:rsid w:val="00B05B53"/>
    <w:rsid w:val="00B06845"/>
    <w:rsid w:val="00B07419"/>
    <w:rsid w:val="00B10699"/>
    <w:rsid w:val="00B13048"/>
    <w:rsid w:val="00B13B83"/>
    <w:rsid w:val="00B1492F"/>
    <w:rsid w:val="00B14B88"/>
    <w:rsid w:val="00B168A4"/>
    <w:rsid w:val="00B16D33"/>
    <w:rsid w:val="00B1716D"/>
    <w:rsid w:val="00B17A1D"/>
    <w:rsid w:val="00B20311"/>
    <w:rsid w:val="00B207A0"/>
    <w:rsid w:val="00B20B5D"/>
    <w:rsid w:val="00B20D89"/>
    <w:rsid w:val="00B21144"/>
    <w:rsid w:val="00B21884"/>
    <w:rsid w:val="00B227B7"/>
    <w:rsid w:val="00B23437"/>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F68"/>
    <w:rsid w:val="00B41D32"/>
    <w:rsid w:val="00B41DD9"/>
    <w:rsid w:val="00B45F6D"/>
    <w:rsid w:val="00B466E8"/>
    <w:rsid w:val="00B46702"/>
    <w:rsid w:val="00B468B2"/>
    <w:rsid w:val="00B514DD"/>
    <w:rsid w:val="00B52AF0"/>
    <w:rsid w:val="00B545D7"/>
    <w:rsid w:val="00B54841"/>
    <w:rsid w:val="00B561BD"/>
    <w:rsid w:val="00B56451"/>
    <w:rsid w:val="00B56E03"/>
    <w:rsid w:val="00B56F09"/>
    <w:rsid w:val="00B57CC1"/>
    <w:rsid w:val="00B61A9F"/>
    <w:rsid w:val="00B65F1A"/>
    <w:rsid w:val="00B67C84"/>
    <w:rsid w:val="00B71AA2"/>
    <w:rsid w:val="00B7259E"/>
    <w:rsid w:val="00B749E0"/>
    <w:rsid w:val="00B7668A"/>
    <w:rsid w:val="00B8080B"/>
    <w:rsid w:val="00B81EAE"/>
    <w:rsid w:val="00B82166"/>
    <w:rsid w:val="00B82223"/>
    <w:rsid w:val="00B838B5"/>
    <w:rsid w:val="00B84CBC"/>
    <w:rsid w:val="00B85A95"/>
    <w:rsid w:val="00B870C4"/>
    <w:rsid w:val="00B87BA5"/>
    <w:rsid w:val="00B87C39"/>
    <w:rsid w:val="00B93D6C"/>
    <w:rsid w:val="00B9562D"/>
    <w:rsid w:val="00BA0C40"/>
    <w:rsid w:val="00BA153F"/>
    <w:rsid w:val="00BA3CD6"/>
    <w:rsid w:val="00BA4665"/>
    <w:rsid w:val="00BA6364"/>
    <w:rsid w:val="00BA7B2E"/>
    <w:rsid w:val="00BB0325"/>
    <w:rsid w:val="00BB2FB2"/>
    <w:rsid w:val="00BB3304"/>
    <w:rsid w:val="00BB3C6E"/>
    <w:rsid w:val="00BB4507"/>
    <w:rsid w:val="00BB533D"/>
    <w:rsid w:val="00BB5D41"/>
    <w:rsid w:val="00BC20A5"/>
    <w:rsid w:val="00BC2F08"/>
    <w:rsid w:val="00BC2F8D"/>
    <w:rsid w:val="00BC37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B92"/>
    <w:rsid w:val="00BF4B0E"/>
    <w:rsid w:val="00BF7E1D"/>
    <w:rsid w:val="00C01A21"/>
    <w:rsid w:val="00C0259E"/>
    <w:rsid w:val="00C02961"/>
    <w:rsid w:val="00C03880"/>
    <w:rsid w:val="00C038D8"/>
    <w:rsid w:val="00C04223"/>
    <w:rsid w:val="00C04CC4"/>
    <w:rsid w:val="00C054E0"/>
    <w:rsid w:val="00C06B80"/>
    <w:rsid w:val="00C07166"/>
    <w:rsid w:val="00C10EC6"/>
    <w:rsid w:val="00C17027"/>
    <w:rsid w:val="00C17494"/>
    <w:rsid w:val="00C17711"/>
    <w:rsid w:val="00C20980"/>
    <w:rsid w:val="00C20C67"/>
    <w:rsid w:val="00C20D54"/>
    <w:rsid w:val="00C250BF"/>
    <w:rsid w:val="00C25FA6"/>
    <w:rsid w:val="00C2621C"/>
    <w:rsid w:val="00C2670E"/>
    <w:rsid w:val="00C27B59"/>
    <w:rsid w:val="00C309E4"/>
    <w:rsid w:val="00C31B22"/>
    <w:rsid w:val="00C32554"/>
    <w:rsid w:val="00C34462"/>
    <w:rsid w:val="00C35DCF"/>
    <w:rsid w:val="00C36177"/>
    <w:rsid w:val="00C449C9"/>
    <w:rsid w:val="00C468CA"/>
    <w:rsid w:val="00C477A7"/>
    <w:rsid w:val="00C5107A"/>
    <w:rsid w:val="00C514E6"/>
    <w:rsid w:val="00C531B4"/>
    <w:rsid w:val="00C538A9"/>
    <w:rsid w:val="00C53B5A"/>
    <w:rsid w:val="00C54F5A"/>
    <w:rsid w:val="00C569B4"/>
    <w:rsid w:val="00C56D48"/>
    <w:rsid w:val="00C579B7"/>
    <w:rsid w:val="00C66028"/>
    <w:rsid w:val="00C66D02"/>
    <w:rsid w:val="00C67A92"/>
    <w:rsid w:val="00C7355B"/>
    <w:rsid w:val="00C73E51"/>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2457"/>
    <w:rsid w:val="00C925F8"/>
    <w:rsid w:val="00C93C4D"/>
    <w:rsid w:val="00C95042"/>
    <w:rsid w:val="00C954B5"/>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70EE"/>
    <w:rsid w:val="00CC7F1D"/>
    <w:rsid w:val="00CD06D5"/>
    <w:rsid w:val="00CD0AF9"/>
    <w:rsid w:val="00CD0F98"/>
    <w:rsid w:val="00CD1BFE"/>
    <w:rsid w:val="00CD23CD"/>
    <w:rsid w:val="00CD5D5C"/>
    <w:rsid w:val="00CD6563"/>
    <w:rsid w:val="00CE2DEA"/>
    <w:rsid w:val="00CE3D09"/>
    <w:rsid w:val="00CE484B"/>
    <w:rsid w:val="00CE4FA6"/>
    <w:rsid w:val="00CE52F5"/>
    <w:rsid w:val="00CE55B5"/>
    <w:rsid w:val="00CE6FC4"/>
    <w:rsid w:val="00CE7F4B"/>
    <w:rsid w:val="00CF0DEE"/>
    <w:rsid w:val="00CF1131"/>
    <w:rsid w:val="00CF4164"/>
    <w:rsid w:val="00CF54F7"/>
    <w:rsid w:val="00CF7C05"/>
    <w:rsid w:val="00CF7CCA"/>
    <w:rsid w:val="00D006AE"/>
    <w:rsid w:val="00D01050"/>
    <w:rsid w:val="00D01CF0"/>
    <w:rsid w:val="00D02FB0"/>
    <w:rsid w:val="00D03122"/>
    <w:rsid w:val="00D0442A"/>
    <w:rsid w:val="00D05C2A"/>
    <w:rsid w:val="00D07EBF"/>
    <w:rsid w:val="00D10A69"/>
    <w:rsid w:val="00D11729"/>
    <w:rsid w:val="00D1413F"/>
    <w:rsid w:val="00D15D53"/>
    <w:rsid w:val="00D179C0"/>
    <w:rsid w:val="00D21843"/>
    <w:rsid w:val="00D23043"/>
    <w:rsid w:val="00D23317"/>
    <w:rsid w:val="00D24944"/>
    <w:rsid w:val="00D25EE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7DE0"/>
    <w:rsid w:val="00D60D4D"/>
    <w:rsid w:val="00D61249"/>
    <w:rsid w:val="00D61388"/>
    <w:rsid w:val="00D61A54"/>
    <w:rsid w:val="00D623A2"/>
    <w:rsid w:val="00D637C0"/>
    <w:rsid w:val="00D64DEA"/>
    <w:rsid w:val="00D66291"/>
    <w:rsid w:val="00D66A91"/>
    <w:rsid w:val="00D67B35"/>
    <w:rsid w:val="00D67BE2"/>
    <w:rsid w:val="00D70B03"/>
    <w:rsid w:val="00D712D1"/>
    <w:rsid w:val="00D7168E"/>
    <w:rsid w:val="00D71DDD"/>
    <w:rsid w:val="00D71E57"/>
    <w:rsid w:val="00D72907"/>
    <w:rsid w:val="00D73907"/>
    <w:rsid w:val="00D75F7A"/>
    <w:rsid w:val="00D76FC4"/>
    <w:rsid w:val="00D80637"/>
    <w:rsid w:val="00D80893"/>
    <w:rsid w:val="00D81099"/>
    <w:rsid w:val="00D83801"/>
    <w:rsid w:val="00D843AD"/>
    <w:rsid w:val="00D84854"/>
    <w:rsid w:val="00D86A4A"/>
    <w:rsid w:val="00D91188"/>
    <w:rsid w:val="00D924AB"/>
    <w:rsid w:val="00D92A6A"/>
    <w:rsid w:val="00D92BA6"/>
    <w:rsid w:val="00D92CF1"/>
    <w:rsid w:val="00D92D38"/>
    <w:rsid w:val="00D93A8B"/>
    <w:rsid w:val="00D94302"/>
    <w:rsid w:val="00D950F5"/>
    <w:rsid w:val="00D96C92"/>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10FF"/>
    <w:rsid w:val="00DC1EBA"/>
    <w:rsid w:val="00DC2743"/>
    <w:rsid w:val="00DC3E3C"/>
    <w:rsid w:val="00DC44C3"/>
    <w:rsid w:val="00DC4B28"/>
    <w:rsid w:val="00DC7981"/>
    <w:rsid w:val="00DD2ADD"/>
    <w:rsid w:val="00DD2EA6"/>
    <w:rsid w:val="00DD4B8D"/>
    <w:rsid w:val="00DD577F"/>
    <w:rsid w:val="00DD7B9A"/>
    <w:rsid w:val="00DE0079"/>
    <w:rsid w:val="00DE1093"/>
    <w:rsid w:val="00DE138E"/>
    <w:rsid w:val="00DE2894"/>
    <w:rsid w:val="00DE4B9F"/>
    <w:rsid w:val="00DE4EFA"/>
    <w:rsid w:val="00DE5520"/>
    <w:rsid w:val="00DE563D"/>
    <w:rsid w:val="00DF0574"/>
    <w:rsid w:val="00DF0B5D"/>
    <w:rsid w:val="00DF17E4"/>
    <w:rsid w:val="00DF3162"/>
    <w:rsid w:val="00DF35D9"/>
    <w:rsid w:val="00DF43F9"/>
    <w:rsid w:val="00DF7286"/>
    <w:rsid w:val="00DF756A"/>
    <w:rsid w:val="00E00708"/>
    <w:rsid w:val="00E00716"/>
    <w:rsid w:val="00E03834"/>
    <w:rsid w:val="00E03FB9"/>
    <w:rsid w:val="00E04818"/>
    <w:rsid w:val="00E05D4A"/>
    <w:rsid w:val="00E06442"/>
    <w:rsid w:val="00E069DC"/>
    <w:rsid w:val="00E079BB"/>
    <w:rsid w:val="00E1018A"/>
    <w:rsid w:val="00E115BA"/>
    <w:rsid w:val="00E117A1"/>
    <w:rsid w:val="00E11FEA"/>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23D7"/>
    <w:rsid w:val="00E32943"/>
    <w:rsid w:val="00E356F9"/>
    <w:rsid w:val="00E36DF4"/>
    <w:rsid w:val="00E37B79"/>
    <w:rsid w:val="00E424CC"/>
    <w:rsid w:val="00E425A1"/>
    <w:rsid w:val="00E437AB"/>
    <w:rsid w:val="00E452F1"/>
    <w:rsid w:val="00E468B0"/>
    <w:rsid w:val="00E478F1"/>
    <w:rsid w:val="00E50184"/>
    <w:rsid w:val="00E547E2"/>
    <w:rsid w:val="00E54936"/>
    <w:rsid w:val="00E5555B"/>
    <w:rsid w:val="00E566E1"/>
    <w:rsid w:val="00E574A4"/>
    <w:rsid w:val="00E57690"/>
    <w:rsid w:val="00E61699"/>
    <w:rsid w:val="00E64F30"/>
    <w:rsid w:val="00E65C85"/>
    <w:rsid w:val="00E66041"/>
    <w:rsid w:val="00E66199"/>
    <w:rsid w:val="00E713FC"/>
    <w:rsid w:val="00E72935"/>
    <w:rsid w:val="00E73355"/>
    <w:rsid w:val="00E7346E"/>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2D10"/>
    <w:rsid w:val="00E9305C"/>
    <w:rsid w:val="00E9408C"/>
    <w:rsid w:val="00E97C81"/>
    <w:rsid w:val="00EA00CC"/>
    <w:rsid w:val="00EA086D"/>
    <w:rsid w:val="00EA1DDB"/>
    <w:rsid w:val="00EA2806"/>
    <w:rsid w:val="00EA284E"/>
    <w:rsid w:val="00EA3D42"/>
    <w:rsid w:val="00EA3DE0"/>
    <w:rsid w:val="00EA4309"/>
    <w:rsid w:val="00EA4C8F"/>
    <w:rsid w:val="00EA4F04"/>
    <w:rsid w:val="00EA6B1B"/>
    <w:rsid w:val="00EA6D49"/>
    <w:rsid w:val="00EA7DA9"/>
    <w:rsid w:val="00EB09CB"/>
    <w:rsid w:val="00EB10C5"/>
    <w:rsid w:val="00EB1D7C"/>
    <w:rsid w:val="00EB47DF"/>
    <w:rsid w:val="00EB4959"/>
    <w:rsid w:val="00EB61EA"/>
    <w:rsid w:val="00EC01BD"/>
    <w:rsid w:val="00EC04F1"/>
    <w:rsid w:val="00EC0AD1"/>
    <w:rsid w:val="00EC0B07"/>
    <w:rsid w:val="00EC3159"/>
    <w:rsid w:val="00EC3873"/>
    <w:rsid w:val="00EC4849"/>
    <w:rsid w:val="00EC5D62"/>
    <w:rsid w:val="00EC5EB8"/>
    <w:rsid w:val="00EC7B42"/>
    <w:rsid w:val="00ED0EF0"/>
    <w:rsid w:val="00ED3B44"/>
    <w:rsid w:val="00ED498D"/>
    <w:rsid w:val="00ED54F2"/>
    <w:rsid w:val="00ED6A81"/>
    <w:rsid w:val="00ED7323"/>
    <w:rsid w:val="00EE0ABB"/>
    <w:rsid w:val="00EE28F3"/>
    <w:rsid w:val="00EE2D04"/>
    <w:rsid w:val="00EE3EF9"/>
    <w:rsid w:val="00EE4E88"/>
    <w:rsid w:val="00EE50D1"/>
    <w:rsid w:val="00EF0615"/>
    <w:rsid w:val="00EF0918"/>
    <w:rsid w:val="00EF37FC"/>
    <w:rsid w:val="00EF4237"/>
    <w:rsid w:val="00EF42E6"/>
    <w:rsid w:val="00EF5110"/>
    <w:rsid w:val="00EF5861"/>
    <w:rsid w:val="00EF5E4A"/>
    <w:rsid w:val="00EF7EC0"/>
    <w:rsid w:val="00F0114A"/>
    <w:rsid w:val="00F022DB"/>
    <w:rsid w:val="00F02448"/>
    <w:rsid w:val="00F04FB9"/>
    <w:rsid w:val="00F05353"/>
    <w:rsid w:val="00F05D0A"/>
    <w:rsid w:val="00F06C60"/>
    <w:rsid w:val="00F07264"/>
    <w:rsid w:val="00F0737A"/>
    <w:rsid w:val="00F10411"/>
    <w:rsid w:val="00F10D01"/>
    <w:rsid w:val="00F11DE9"/>
    <w:rsid w:val="00F130EF"/>
    <w:rsid w:val="00F13198"/>
    <w:rsid w:val="00F15882"/>
    <w:rsid w:val="00F1706D"/>
    <w:rsid w:val="00F171E0"/>
    <w:rsid w:val="00F17734"/>
    <w:rsid w:val="00F17A22"/>
    <w:rsid w:val="00F17B34"/>
    <w:rsid w:val="00F20BD3"/>
    <w:rsid w:val="00F2235A"/>
    <w:rsid w:val="00F27BB2"/>
    <w:rsid w:val="00F27FC0"/>
    <w:rsid w:val="00F30705"/>
    <w:rsid w:val="00F30931"/>
    <w:rsid w:val="00F315A8"/>
    <w:rsid w:val="00F31D12"/>
    <w:rsid w:val="00F34737"/>
    <w:rsid w:val="00F34E74"/>
    <w:rsid w:val="00F36FE9"/>
    <w:rsid w:val="00F373A5"/>
    <w:rsid w:val="00F37AA0"/>
    <w:rsid w:val="00F40A85"/>
    <w:rsid w:val="00F42728"/>
    <w:rsid w:val="00F430C2"/>
    <w:rsid w:val="00F470A2"/>
    <w:rsid w:val="00F47559"/>
    <w:rsid w:val="00F50D64"/>
    <w:rsid w:val="00F518EB"/>
    <w:rsid w:val="00F53895"/>
    <w:rsid w:val="00F55728"/>
    <w:rsid w:val="00F559E5"/>
    <w:rsid w:val="00F56EED"/>
    <w:rsid w:val="00F60E41"/>
    <w:rsid w:val="00F622DF"/>
    <w:rsid w:val="00F6250E"/>
    <w:rsid w:val="00F64C7B"/>
    <w:rsid w:val="00F650D2"/>
    <w:rsid w:val="00F6552D"/>
    <w:rsid w:val="00F66519"/>
    <w:rsid w:val="00F674BC"/>
    <w:rsid w:val="00F676DD"/>
    <w:rsid w:val="00F707CD"/>
    <w:rsid w:val="00F70E61"/>
    <w:rsid w:val="00F72575"/>
    <w:rsid w:val="00F73160"/>
    <w:rsid w:val="00F73B34"/>
    <w:rsid w:val="00F75A26"/>
    <w:rsid w:val="00F76706"/>
    <w:rsid w:val="00F77A67"/>
    <w:rsid w:val="00F80D91"/>
    <w:rsid w:val="00F815FE"/>
    <w:rsid w:val="00F83FAD"/>
    <w:rsid w:val="00F848BC"/>
    <w:rsid w:val="00F8556F"/>
    <w:rsid w:val="00F8653A"/>
    <w:rsid w:val="00F86B8F"/>
    <w:rsid w:val="00F87A62"/>
    <w:rsid w:val="00F907EA"/>
    <w:rsid w:val="00F93616"/>
    <w:rsid w:val="00F952A0"/>
    <w:rsid w:val="00F9593C"/>
    <w:rsid w:val="00F96291"/>
    <w:rsid w:val="00F97576"/>
    <w:rsid w:val="00F97A9B"/>
    <w:rsid w:val="00F97E3D"/>
    <w:rsid w:val="00F97F03"/>
    <w:rsid w:val="00FA1E6D"/>
    <w:rsid w:val="00FA2F53"/>
    <w:rsid w:val="00FA3C7F"/>
    <w:rsid w:val="00FA54C8"/>
    <w:rsid w:val="00FA5E9C"/>
    <w:rsid w:val="00FA68C2"/>
    <w:rsid w:val="00FA6E29"/>
    <w:rsid w:val="00FA6E98"/>
    <w:rsid w:val="00FB35A9"/>
    <w:rsid w:val="00FB4ADF"/>
    <w:rsid w:val="00FB4F6C"/>
    <w:rsid w:val="00FB5F32"/>
    <w:rsid w:val="00FB5F7C"/>
    <w:rsid w:val="00FB60FE"/>
    <w:rsid w:val="00FB634A"/>
    <w:rsid w:val="00FB6971"/>
    <w:rsid w:val="00FB6DB6"/>
    <w:rsid w:val="00FB6FD6"/>
    <w:rsid w:val="00FB70E8"/>
    <w:rsid w:val="00FB74E2"/>
    <w:rsid w:val="00FC04ED"/>
    <w:rsid w:val="00FC0662"/>
    <w:rsid w:val="00FD000C"/>
    <w:rsid w:val="00FD09CE"/>
    <w:rsid w:val="00FD2399"/>
    <w:rsid w:val="00FD2B42"/>
    <w:rsid w:val="00FD3811"/>
    <w:rsid w:val="00FD4722"/>
    <w:rsid w:val="00FD5614"/>
    <w:rsid w:val="00FD5BE7"/>
    <w:rsid w:val="00FD5E78"/>
    <w:rsid w:val="00FD6816"/>
    <w:rsid w:val="00FD6B8C"/>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7070205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5C55FFD4</Template>
  <TotalTime>0</TotalTime>
  <Pages>97</Pages>
  <Words>31740</Words>
  <Characters>180924</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2015-04-29T05:30:00Z</dcterms:created>
  <dcterms:modified xsi:type="dcterms:W3CDTF">2015-04-29T05:35:00Z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