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3A515C21" wp14:editId="5E48416B">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9B6F84" w:rsidP="008F07A3">
          <w:pPr>
            <w:pStyle w:val="ReportSubtitle"/>
          </w:pPr>
          <w:r>
            <w:t>Ausgrid</w:t>
          </w:r>
          <w:r w:rsidR="0070011E">
            <w:t xml:space="preserve"> distribution</w:t>
          </w:r>
          <w:r w:rsidR="00415F31">
            <w:t xml:space="preserve"> </w:t>
          </w:r>
          <w:r w:rsidR="00DA4752">
            <w:t>determination</w:t>
          </w:r>
        </w:p>
        <w:p w:rsidR="000A6C7B" w:rsidRDefault="00DA4752" w:rsidP="008F07A3">
          <w:pPr>
            <w:pStyle w:val="ReportSubtitle"/>
          </w:pPr>
          <w:r>
            <w:t xml:space="preserve"> 2015</w:t>
          </w:r>
          <w:r>
            <w:rPr>
              <w:rFonts w:cs="Arial"/>
            </w:rPr>
            <w:t>−</w:t>
          </w:r>
          <w:r>
            <w:t>16 to 201</w:t>
          </w:r>
          <w:r w:rsidR="0070011E">
            <w:t>8</w:t>
          </w:r>
          <w:r>
            <w:rPr>
              <w:rFonts w:cs="Arial"/>
            </w:rPr>
            <w:t>−</w:t>
          </w:r>
          <w:r w:rsidR="0070011E">
            <w:t>19</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CF0DEE">
            <w:t>1</w:t>
          </w:r>
          <w:r w:rsidR="00DA4752">
            <w:t xml:space="preserve"> </w:t>
          </w:r>
          <w:r w:rsidR="00415F31">
            <w:rPr>
              <w:rFonts w:cs="Arial"/>
            </w:rPr>
            <w:t>–</w:t>
          </w:r>
          <w:r w:rsidR="00DA4752">
            <w:t xml:space="preserve"> </w:t>
          </w:r>
          <w:r w:rsidR="00CF0DEE">
            <w:t>Annual revenue requirement</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DB12E8">
        <w:t xml:space="preserve">   </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8F07A3" w:rsidRPr="009D3906" w:rsidRDefault="0070011E" w:rsidP="00B9562D">
      <w:pPr>
        <w:pStyle w:val="Copyright"/>
      </w:pPr>
      <w:r>
        <w:t>AER reference:</w:t>
      </w:r>
      <w:r>
        <w:tab/>
        <w:t>522</w:t>
      </w:r>
      <w:r w:rsidR="009B6F84">
        <w:t>9</w:t>
      </w:r>
      <w:r>
        <w:t>4</w:t>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8F07A3">
      <w:pPr>
        <w:pStyle w:val="UnnumberedHeading"/>
        <w:numPr>
          <w:ilvl w:val="0"/>
          <w:numId w:val="24"/>
        </w:numPr>
      </w:pPr>
      <w:bookmarkStart w:id="4" w:name="_Toc416180091"/>
      <w:r>
        <w:lastRenderedPageBreak/>
        <w:t>N</w:t>
      </w:r>
      <w:r w:rsidR="008F07A3">
        <w:t>ote</w:t>
      </w:r>
      <w:bookmarkEnd w:id="0"/>
      <w:bookmarkEnd w:id="1"/>
      <w:bookmarkEnd w:id="2"/>
      <w:bookmarkEnd w:id="3"/>
      <w:bookmarkEnd w:id="4"/>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final decision on </w:t>
      </w:r>
      <w:proofErr w:type="spellStart"/>
      <w:r w:rsidR="009B6F84">
        <w:t>Ausgrid</w:t>
      </w:r>
      <w:r w:rsidR="0070011E">
        <w:t>’</w:t>
      </w:r>
      <w:r w:rsidR="00415F31">
        <w:t>s</w:t>
      </w:r>
      <w:proofErr w:type="spellEnd"/>
      <w:r w:rsidR="00415F31">
        <w:t xml:space="preserve"> </w:t>
      </w:r>
      <w:r w:rsidR="00765C5C">
        <w:t>regulatory</w:t>
      </w:r>
      <w:r w:rsidR="00415F31">
        <w:t xml:space="preserve"> proposal 2015</w:t>
      </w:r>
      <w:r w:rsidR="00415F31" w:rsidRPr="00D904FA">
        <w:t>–</w:t>
      </w:r>
      <w:r w:rsidR="00415F31">
        <w:t>1</w:t>
      </w:r>
      <w:r w:rsidR="0070011E">
        <w:t>9</w:t>
      </w:r>
      <w:r w:rsidR="00415F31">
        <w:t>. It should be read with other parts of the final decision.</w:t>
      </w:r>
    </w:p>
    <w:p w:rsidR="00415F31" w:rsidRDefault="00415F31" w:rsidP="00415F31">
      <w:pPr>
        <w:numPr>
          <w:ilvl w:val="0"/>
          <w:numId w:val="25"/>
        </w:numPr>
        <w:spacing w:before="0" w:after="240" w:line="288" w:lineRule="auto"/>
        <w:jc w:val="both"/>
      </w:pPr>
      <w:r>
        <w:t>The final decision includes the following documents:</w:t>
      </w:r>
    </w:p>
    <w:p w:rsidR="00415F31" w:rsidRDefault="00415F31" w:rsidP="00415F31">
      <w:pPr>
        <w:numPr>
          <w:ilvl w:val="0"/>
          <w:numId w:val="25"/>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w:t>
      </w:r>
      <w:bookmarkStart w:id="5" w:name="_GoBack"/>
      <w:bookmarkEnd w:id="5"/>
      <w:r>
        <w:t>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70011E" w:rsidRDefault="0070011E" w:rsidP="0070011E">
      <w:r>
        <w:t>Attachment 18 - Connection methodology</w:t>
      </w:r>
    </w:p>
    <w:p w:rsidR="00415F31" w:rsidRDefault="0070011E" w:rsidP="00415F31">
      <w:r>
        <w:t>Attachment 19 - Pricing methodology</w:t>
      </w:r>
    </w:p>
    <w:p w:rsidR="008F07A3" w:rsidRDefault="00217068" w:rsidP="00217068">
      <w:r>
        <w:t>Attachment 20 - Analysis of financial viability</w:t>
      </w:r>
    </w:p>
    <w:p w:rsidR="00217068" w:rsidRPr="008F07A3" w:rsidRDefault="00217068" w:rsidP="00217068">
      <w:pPr>
        <w:sectPr w:rsidR="00217068" w:rsidRPr="008F07A3" w:rsidSect="001754EE">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16180092"/>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26476C"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16180091" w:history="1">
            <w:r w:rsidR="0026476C" w:rsidRPr="00587526">
              <w:rPr>
                <w:rStyle w:val="Hyperlink"/>
              </w:rPr>
              <w:t>Note</w:t>
            </w:r>
            <w:r w:rsidR="0026476C">
              <w:rPr>
                <w:webHidden/>
              </w:rPr>
              <w:tab/>
            </w:r>
            <w:r w:rsidR="0026476C">
              <w:rPr>
                <w:webHidden/>
              </w:rPr>
              <w:fldChar w:fldCharType="begin"/>
            </w:r>
            <w:r w:rsidR="0026476C">
              <w:rPr>
                <w:webHidden/>
              </w:rPr>
              <w:instrText xml:space="preserve"> PAGEREF _Toc416180091 \h </w:instrText>
            </w:r>
            <w:r w:rsidR="0026476C">
              <w:rPr>
                <w:webHidden/>
              </w:rPr>
            </w:r>
            <w:r w:rsidR="0026476C">
              <w:rPr>
                <w:webHidden/>
              </w:rPr>
              <w:fldChar w:fldCharType="separate"/>
            </w:r>
            <w:r w:rsidR="00F76B9F">
              <w:rPr>
                <w:webHidden/>
              </w:rPr>
              <w:t>1-2</w:t>
            </w:r>
            <w:r w:rsidR="0026476C">
              <w:rPr>
                <w:webHidden/>
              </w:rPr>
              <w:fldChar w:fldCharType="end"/>
            </w:r>
          </w:hyperlink>
        </w:p>
        <w:p w:rsidR="0026476C" w:rsidRDefault="006B77CA">
          <w:pPr>
            <w:pStyle w:val="TOC1"/>
            <w:rPr>
              <w:rFonts w:asciiTheme="minorHAnsi" w:eastAsiaTheme="minorEastAsia" w:hAnsiTheme="minorHAnsi"/>
              <w:b w:val="0"/>
              <w:color w:val="auto"/>
              <w:sz w:val="22"/>
              <w:lang w:val="en-AU" w:eastAsia="en-AU"/>
            </w:rPr>
          </w:pPr>
          <w:hyperlink w:anchor="_Toc416180092" w:history="1">
            <w:r w:rsidR="0026476C" w:rsidRPr="00587526">
              <w:rPr>
                <w:rStyle w:val="Hyperlink"/>
              </w:rPr>
              <w:t>Contents</w:t>
            </w:r>
            <w:r w:rsidR="0026476C">
              <w:rPr>
                <w:webHidden/>
              </w:rPr>
              <w:tab/>
            </w:r>
            <w:r w:rsidR="0026476C">
              <w:rPr>
                <w:webHidden/>
              </w:rPr>
              <w:fldChar w:fldCharType="begin"/>
            </w:r>
            <w:r w:rsidR="0026476C">
              <w:rPr>
                <w:webHidden/>
              </w:rPr>
              <w:instrText xml:space="preserve"> PAGEREF _Toc416180092 \h </w:instrText>
            </w:r>
            <w:r w:rsidR="0026476C">
              <w:rPr>
                <w:webHidden/>
              </w:rPr>
            </w:r>
            <w:r w:rsidR="0026476C">
              <w:rPr>
                <w:webHidden/>
              </w:rPr>
              <w:fldChar w:fldCharType="separate"/>
            </w:r>
            <w:r w:rsidR="00F76B9F">
              <w:rPr>
                <w:webHidden/>
              </w:rPr>
              <w:t>1-3</w:t>
            </w:r>
            <w:r w:rsidR="0026476C">
              <w:rPr>
                <w:webHidden/>
              </w:rPr>
              <w:fldChar w:fldCharType="end"/>
            </w:r>
          </w:hyperlink>
        </w:p>
        <w:p w:rsidR="0026476C" w:rsidRDefault="006B77CA">
          <w:pPr>
            <w:pStyle w:val="TOC1"/>
            <w:rPr>
              <w:rFonts w:asciiTheme="minorHAnsi" w:eastAsiaTheme="minorEastAsia" w:hAnsiTheme="minorHAnsi"/>
              <w:b w:val="0"/>
              <w:color w:val="auto"/>
              <w:sz w:val="22"/>
              <w:lang w:val="en-AU" w:eastAsia="en-AU"/>
            </w:rPr>
          </w:pPr>
          <w:hyperlink w:anchor="_Toc416180093" w:history="1">
            <w:r w:rsidR="0026476C" w:rsidRPr="00587526">
              <w:rPr>
                <w:rStyle w:val="Hyperlink"/>
              </w:rPr>
              <w:t>Shortened forms</w:t>
            </w:r>
            <w:r w:rsidR="0026476C">
              <w:rPr>
                <w:webHidden/>
              </w:rPr>
              <w:tab/>
            </w:r>
            <w:r w:rsidR="0026476C">
              <w:rPr>
                <w:webHidden/>
              </w:rPr>
              <w:fldChar w:fldCharType="begin"/>
            </w:r>
            <w:r w:rsidR="0026476C">
              <w:rPr>
                <w:webHidden/>
              </w:rPr>
              <w:instrText xml:space="preserve"> PAGEREF _Toc416180093 \h </w:instrText>
            </w:r>
            <w:r w:rsidR="0026476C">
              <w:rPr>
                <w:webHidden/>
              </w:rPr>
            </w:r>
            <w:r w:rsidR="0026476C">
              <w:rPr>
                <w:webHidden/>
              </w:rPr>
              <w:fldChar w:fldCharType="separate"/>
            </w:r>
            <w:r w:rsidR="00F76B9F">
              <w:rPr>
                <w:webHidden/>
              </w:rPr>
              <w:t>1-4</w:t>
            </w:r>
            <w:r w:rsidR="0026476C">
              <w:rPr>
                <w:webHidden/>
              </w:rPr>
              <w:fldChar w:fldCharType="end"/>
            </w:r>
          </w:hyperlink>
        </w:p>
        <w:p w:rsidR="0026476C" w:rsidRDefault="006B77CA">
          <w:pPr>
            <w:pStyle w:val="TOC1"/>
            <w:rPr>
              <w:rFonts w:asciiTheme="minorHAnsi" w:eastAsiaTheme="minorEastAsia" w:hAnsiTheme="minorHAnsi"/>
              <w:b w:val="0"/>
              <w:color w:val="auto"/>
              <w:sz w:val="22"/>
              <w:lang w:val="en-AU" w:eastAsia="en-AU"/>
            </w:rPr>
          </w:pPr>
          <w:hyperlink w:anchor="_Toc416180094" w:history="1">
            <w:r w:rsidR="0026476C" w:rsidRPr="00587526">
              <w:rPr>
                <w:rStyle w:val="Hyperlink"/>
              </w:rPr>
              <w:t>1</w:t>
            </w:r>
            <w:r w:rsidR="0026476C">
              <w:rPr>
                <w:rFonts w:asciiTheme="minorHAnsi" w:eastAsiaTheme="minorEastAsia" w:hAnsiTheme="minorHAnsi"/>
                <w:b w:val="0"/>
                <w:color w:val="auto"/>
                <w:sz w:val="22"/>
                <w:lang w:val="en-AU" w:eastAsia="en-AU"/>
              </w:rPr>
              <w:tab/>
            </w:r>
            <w:r w:rsidR="0026476C" w:rsidRPr="00587526">
              <w:rPr>
                <w:rStyle w:val="Hyperlink"/>
              </w:rPr>
              <w:t>Annual revenue requirement</w:t>
            </w:r>
            <w:r w:rsidR="0026476C">
              <w:rPr>
                <w:webHidden/>
              </w:rPr>
              <w:tab/>
            </w:r>
            <w:r w:rsidR="0026476C">
              <w:rPr>
                <w:webHidden/>
              </w:rPr>
              <w:fldChar w:fldCharType="begin"/>
            </w:r>
            <w:r w:rsidR="0026476C">
              <w:rPr>
                <w:webHidden/>
              </w:rPr>
              <w:instrText xml:space="preserve"> PAGEREF _Toc416180094 \h </w:instrText>
            </w:r>
            <w:r w:rsidR="0026476C">
              <w:rPr>
                <w:webHidden/>
              </w:rPr>
            </w:r>
            <w:r w:rsidR="0026476C">
              <w:rPr>
                <w:webHidden/>
              </w:rPr>
              <w:fldChar w:fldCharType="separate"/>
            </w:r>
            <w:r w:rsidR="00F76B9F">
              <w:rPr>
                <w:webHidden/>
              </w:rPr>
              <w:t>1-6</w:t>
            </w:r>
            <w:r w:rsidR="0026476C">
              <w:rPr>
                <w:webHidden/>
              </w:rPr>
              <w:fldChar w:fldCharType="end"/>
            </w:r>
          </w:hyperlink>
        </w:p>
        <w:p w:rsidR="0026476C" w:rsidRDefault="006B77CA">
          <w:pPr>
            <w:pStyle w:val="TOC2"/>
            <w:rPr>
              <w:rFonts w:asciiTheme="minorHAnsi" w:eastAsiaTheme="minorEastAsia" w:hAnsiTheme="minorHAnsi"/>
              <w:b w:val="0"/>
              <w:color w:val="auto"/>
              <w:sz w:val="22"/>
              <w:lang w:eastAsia="en-AU"/>
            </w:rPr>
          </w:pPr>
          <w:hyperlink w:anchor="_Toc416180095" w:history="1">
            <w:r w:rsidR="0026476C" w:rsidRPr="00587526">
              <w:rPr>
                <w:rStyle w:val="Hyperlink"/>
              </w:rPr>
              <w:t>1.1</w:t>
            </w:r>
            <w:r w:rsidR="0026476C">
              <w:rPr>
                <w:rFonts w:asciiTheme="minorHAnsi" w:eastAsiaTheme="minorEastAsia" w:hAnsiTheme="minorHAnsi"/>
                <w:b w:val="0"/>
                <w:color w:val="auto"/>
                <w:sz w:val="22"/>
                <w:lang w:eastAsia="en-AU"/>
              </w:rPr>
              <w:tab/>
            </w:r>
            <w:r w:rsidR="0026476C" w:rsidRPr="00587526">
              <w:rPr>
                <w:rStyle w:val="Hyperlink"/>
              </w:rPr>
              <w:t>Final decision</w:t>
            </w:r>
            <w:r w:rsidR="0026476C">
              <w:rPr>
                <w:webHidden/>
              </w:rPr>
              <w:tab/>
            </w:r>
            <w:r w:rsidR="0026476C">
              <w:rPr>
                <w:webHidden/>
              </w:rPr>
              <w:fldChar w:fldCharType="begin"/>
            </w:r>
            <w:r w:rsidR="0026476C">
              <w:rPr>
                <w:webHidden/>
              </w:rPr>
              <w:instrText xml:space="preserve"> PAGEREF _Toc416180095 \h </w:instrText>
            </w:r>
            <w:r w:rsidR="0026476C">
              <w:rPr>
                <w:webHidden/>
              </w:rPr>
            </w:r>
            <w:r w:rsidR="0026476C">
              <w:rPr>
                <w:webHidden/>
              </w:rPr>
              <w:fldChar w:fldCharType="separate"/>
            </w:r>
            <w:r w:rsidR="00F76B9F">
              <w:rPr>
                <w:webHidden/>
              </w:rPr>
              <w:t>1-6</w:t>
            </w:r>
            <w:r w:rsidR="0026476C">
              <w:rPr>
                <w:webHidden/>
              </w:rPr>
              <w:fldChar w:fldCharType="end"/>
            </w:r>
          </w:hyperlink>
        </w:p>
        <w:p w:rsidR="0026476C" w:rsidRDefault="006B77CA">
          <w:pPr>
            <w:pStyle w:val="TOC2"/>
            <w:rPr>
              <w:rFonts w:asciiTheme="minorHAnsi" w:eastAsiaTheme="minorEastAsia" w:hAnsiTheme="minorHAnsi"/>
              <w:b w:val="0"/>
              <w:color w:val="auto"/>
              <w:sz w:val="22"/>
              <w:lang w:eastAsia="en-AU"/>
            </w:rPr>
          </w:pPr>
          <w:hyperlink w:anchor="_Toc416180096" w:history="1">
            <w:r w:rsidR="0026476C" w:rsidRPr="00587526">
              <w:rPr>
                <w:rStyle w:val="Hyperlink"/>
              </w:rPr>
              <w:t>1.2</w:t>
            </w:r>
            <w:r w:rsidR="0026476C">
              <w:rPr>
                <w:rFonts w:asciiTheme="minorHAnsi" w:eastAsiaTheme="minorEastAsia" w:hAnsiTheme="minorHAnsi"/>
                <w:b w:val="0"/>
                <w:color w:val="auto"/>
                <w:sz w:val="22"/>
                <w:lang w:eastAsia="en-AU"/>
              </w:rPr>
              <w:tab/>
            </w:r>
            <w:r w:rsidR="0026476C" w:rsidRPr="00587526">
              <w:rPr>
                <w:rStyle w:val="Hyperlink"/>
              </w:rPr>
              <w:t>Ausgrid’s revised proposal</w:t>
            </w:r>
            <w:r w:rsidR="0026476C">
              <w:rPr>
                <w:webHidden/>
              </w:rPr>
              <w:tab/>
            </w:r>
            <w:r w:rsidR="0026476C">
              <w:rPr>
                <w:webHidden/>
              </w:rPr>
              <w:fldChar w:fldCharType="begin"/>
            </w:r>
            <w:r w:rsidR="0026476C">
              <w:rPr>
                <w:webHidden/>
              </w:rPr>
              <w:instrText xml:space="preserve"> PAGEREF _Toc416180096 \h </w:instrText>
            </w:r>
            <w:r w:rsidR="0026476C">
              <w:rPr>
                <w:webHidden/>
              </w:rPr>
            </w:r>
            <w:r w:rsidR="0026476C">
              <w:rPr>
                <w:webHidden/>
              </w:rPr>
              <w:fldChar w:fldCharType="separate"/>
            </w:r>
            <w:r w:rsidR="00F76B9F">
              <w:rPr>
                <w:webHidden/>
              </w:rPr>
              <w:t>1-10</w:t>
            </w:r>
            <w:r w:rsidR="0026476C">
              <w:rPr>
                <w:webHidden/>
              </w:rPr>
              <w:fldChar w:fldCharType="end"/>
            </w:r>
          </w:hyperlink>
        </w:p>
        <w:p w:rsidR="0026476C" w:rsidRDefault="006B77CA">
          <w:pPr>
            <w:pStyle w:val="TOC2"/>
            <w:rPr>
              <w:rFonts w:asciiTheme="minorHAnsi" w:eastAsiaTheme="minorEastAsia" w:hAnsiTheme="minorHAnsi"/>
              <w:b w:val="0"/>
              <w:color w:val="auto"/>
              <w:sz w:val="22"/>
              <w:lang w:eastAsia="en-AU"/>
            </w:rPr>
          </w:pPr>
          <w:hyperlink w:anchor="_Toc416180097" w:history="1">
            <w:r w:rsidR="0026476C" w:rsidRPr="00587526">
              <w:rPr>
                <w:rStyle w:val="Hyperlink"/>
              </w:rPr>
              <w:t>1.3</w:t>
            </w:r>
            <w:r w:rsidR="0026476C">
              <w:rPr>
                <w:rFonts w:asciiTheme="minorHAnsi" w:eastAsiaTheme="minorEastAsia" w:hAnsiTheme="minorHAnsi"/>
                <w:b w:val="0"/>
                <w:color w:val="auto"/>
                <w:sz w:val="22"/>
                <w:lang w:eastAsia="en-AU"/>
              </w:rPr>
              <w:tab/>
            </w:r>
            <w:r w:rsidR="0026476C" w:rsidRPr="00587526">
              <w:rPr>
                <w:rStyle w:val="Hyperlink"/>
              </w:rPr>
              <w:t>AER’s assessment approach</w:t>
            </w:r>
            <w:r w:rsidR="0026476C">
              <w:rPr>
                <w:webHidden/>
              </w:rPr>
              <w:tab/>
            </w:r>
            <w:r w:rsidR="0026476C">
              <w:rPr>
                <w:webHidden/>
              </w:rPr>
              <w:fldChar w:fldCharType="begin"/>
            </w:r>
            <w:r w:rsidR="0026476C">
              <w:rPr>
                <w:webHidden/>
              </w:rPr>
              <w:instrText xml:space="preserve"> PAGEREF _Toc416180097 \h </w:instrText>
            </w:r>
            <w:r w:rsidR="0026476C">
              <w:rPr>
                <w:webHidden/>
              </w:rPr>
            </w:r>
            <w:r w:rsidR="0026476C">
              <w:rPr>
                <w:webHidden/>
              </w:rPr>
              <w:fldChar w:fldCharType="separate"/>
            </w:r>
            <w:r w:rsidR="00F76B9F">
              <w:rPr>
                <w:webHidden/>
              </w:rPr>
              <w:t>1-11</w:t>
            </w:r>
            <w:r w:rsidR="0026476C">
              <w:rPr>
                <w:webHidden/>
              </w:rPr>
              <w:fldChar w:fldCharType="end"/>
            </w:r>
          </w:hyperlink>
        </w:p>
        <w:p w:rsidR="0026476C" w:rsidRDefault="006B77CA">
          <w:pPr>
            <w:pStyle w:val="TOC2"/>
            <w:rPr>
              <w:rFonts w:asciiTheme="minorHAnsi" w:eastAsiaTheme="minorEastAsia" w:hAnsiTheme="minorHAnsi"/>
              <w:b w:val="0"/>
              <w:color w:val="auto"/>
              <w:sz w:val="22"/>
              <w:lang w:eastAsia="en-AU"/>
            </w:rPr>
          </w:pPr>
          <w:hyperlink w:anchor="_Toc416180098" w:history="1">
            <w:r w:rsidR="0026476C" w:rsidRPr="00587526">
              <w:rPr>
                <w:rStyle w:val="Hyperlink"/>
              </w:rPr>
              <w:t>1.4</w:t>
            </w:r>
            <w:r w:rsidR="0026476C">
              <w:rPr>
                <w:rFonts w:asciiTheme="minorHAnsi" w:eastAsiaTheme="minorEastAsia" w:hAnsiTheme="minorHAnsi"/>
                <w:b w:val="0"/>
                <w:color w:val="auto"/>
                <w:sz w:val="22"/>
                <w:lang w:eastAsia="en-AU"/>
              </w:rPr>
              <w:tab/>
            </w:r>
            <w:r w:rsidR="0026476C" w:rsidRPr="00587526">
              <w:rPr>
                <w:rStyle w:val="Hyperlink"/>
              </w:rPr>
              <w:t>Reasons for final decision</w:t>
            </w:r>
            <w:r w:rsidR="0026476C">
              <w:rPr>
                <w:webHidden/>
              </w:rPr>
              <w:tab/>
            </w:r>
            <w:r w:rsidR="0026476C">
              <w:rPr>
                <w:webHidden/>
              </w:rPr>
              <w:fldChar w:fldCharType="begin"/>
            </w:r>
            <w:r w:rsidR="0026476C">
              <w:rPr>
                <w:webHidden/>
              </w:rPr>
              <w:instrText xml:space="preserve"> PAGEREF _Toc416180098 \h </w:instrText>
            </w:r>
            <w:r w:rsidR="0026476C">
              <w:rPr>
                <w:webHidden/>
              </w:rPr>
            </w:r>
            <w:r w:rsidR="0026476C">
              <w:rPr>
                <w:webHidden/>
              </w:rPr>
              <w:fldChar w:fldCharType="separate"/>
            </w:r>
            <w:r w:rsidR="00F76B9F">
              <w:rPr>
                <w:webHidden/>
              </w:rPr>
              <w:t>1-11</w:t>
            </w:r>
            <w:r w:rsidR="0026476C">
              <w:rPr>
                <w:webHidden/>
              </w:rPr>
              <w:fldChar w:fldCharType="end"/>
            </w:r>
          </w:hyperlink>
        </w:p>
        <w:p w:rsidR="0026476C" w:rsidRDefault="006B77CA">
          <w:pPr>
            <w:pStyle w:val="TOC3"/>
            <w:rPr>
              <w:rFonts w:asciiTheme="minorHAnsi" w:eastAsiaTheme="minorEastAsia" w:hAnsiTheme="minorHAnsi"/>
              <w:lang w:eastAsia="en-AU"/>
            </w:rPr>
          </w:pPr>
          <w:hyperlink w:anchor="_Toc416180099" w:history="1">
            <w:r w:rsidR="0026476C" w:rsidRPr="00587526">
              <w:rPr>
                <w:rStyle w:val="Hyperlink"/>
              </w:rPr>
              <w:t>1.4.1</w:t>
            </w:r>
            <w:r w:rsidR="0026476C">
              <w:rPr>
                <w:rFonts w:asciiTheme="minorHAnsi" w:eastAsiaTheme="minorEastAsia" w:hAnsiTheme="minorHAnsi"/>
                <w:lang w:eastAsia="en-AU"/>
              </w:rPr>
              <w:tab/>
            </w:r>
            <w:r w:rsidR="0026476C" w:rsidRPr="00587526">
              <w:rPr>
                <w:rStyle w:val="Hyperlink"/>
              </w:rPr>
              <w:t>Revenue true-up for transitional year</w:t>
            </w:r>
            <w:r w:rsidR="0026476C">
              <w:rPr>
                <w:webHidden/>
              </w:rPr>
              <w:tab/>
            </w:r>
            <w:r w:rsidR="0026476C">
              <w:rPr>
                <w:webHidden/>
              </w:rPr>
              <w:fldChar w:fldCharType="begin"/>
            </w:r>
            <w:r w:rsidR="0026476C">
              <w:rPr>
                <w:webHidden/>
              </w:rPr>
              <w:instrText xml:space="preserve"> PAGEREF _Toc416180099 \h </w:instrText>
            </w:r>
            <w:r w:rsidR="0026476C">
              <w:rPr>
                <w:webHidden/>
              </w:rPr>
            </w:r>
            <w:r w:rsidR="0026476C">
              <w:rPr>
                <w:webHidden/>
              </w:rPr>
              <w:fldChar w:fldCharType="separate"/>
            </w:r>
            <w:r w:rsidR="00F76B9F">
              <w:rPr>
                <w:webHidden/>
              </w:rPr>
              <w:t>1-12</w:t>
            </w:r>
            <w:r w:rsidR="0026476C">
              <w:rPr>
                <w:webHidden/>
              </w:rPr>
              <w:fldChar w:fldCharType="end"/>
            </w:r>
          </w:hyperlink>
        </w:p>
        <w:p w:rsidR="0026476C" w:rsidRDefault="006B77CA">
          <w:pPr>
            <w:pStyle w:val="TOC3"/>
            <w:rPr>
              <w:rFonts w:asciiTheme="minorHAnsi" w:eastAsiaTheme="minorEastAsia" w:hAnsiTheme="minorHAnsi"/>
              <w:lang w:eastAsia="en-AU"/>
            </w:rPr>
          </w:pPr>
          <w:hyperlink w:anchor="_Toc416180100" w:history="1">
            <w:r w:rsidR="0026476C" w:rsidRPr="00587526">
              <w:rPr>
                <w:rStyle w:val="Hyperlink"/>
              </w:rPr>
              <w:t>1.4.2</w:t>
            </w:r>
            <w:r w:rsidR="0026476C">
              <w:rPr>
                <w:rFonts w:asciiTheme="minorHAnsi" w:eastAsiaTheme="minorEastAsia" w:hAnsiTheme="minorHAnsi"/>
                <w:lang w:eastAsia="en-AU"/>
              </w:rPr>
              <w:tab/>
            </w:r>
            <w:r w:rsidR="0026476C" w:rsidRPr="00587526">
              <w:rPr>
                <w:rStyle w:val="Hyperlink"/>
              </w:rPr>
              <w:t>Smoothing of revenues</w:t>
            </w:r>
            <w:r w:rsidR="0026476C">
              <w:rPr>
                <w:webHidden/>
              </w:rPr>
              <w:tab/>
            </w:r>
            <w:r w:rsidR="0026476C">
              <w:rPr>
                <w:webHidden/>
              </w:rPr>
              <w:fldChar w:fldCharType="begin"/>
            </w:r>
            <w:r w:rsidR="0026476C">
              <w:rPr>
                <w:webHidden/>
              </w:rPr>
              <w:instrText xml:space="preserve"> PAGEREF _Toc416180100 \h </w:instrText>
            </w:r>
            <w:r w:rsidR="0026476C">
              <w:rPr>
                <w:webHidden/>
              </w:rPr>
            </w:r>
            <w:r w:rsidR="0026476C">
              <w:rPr>
                <w:webHidden/>
              </w:rPr>
              <w:fldChar w:fldCharType="separate"/>
            </w:r>
            <w:r w:rsidR="00F76B9F">
              <w:rPr>
                <w:webHidden/>
              </w:rPr>
              <w:t>1-14</w:t>
            </w:r>
            <w:r w:rsidR="0026476C">
              <w:rPr>
                <w:webHidden/>
              </w:rPr>
              <w:fldChar w:fldCharType="end"/>
            </w:r>
          </w:hyperlink>
        </w:p>
        <w:p w:rsidR="0026476C" w:rsidRDefault="006B77CA">
          <w:pPr>
            <w:pStyle w:val="TOC3"/>
            <w:rPr>
              <w:rFonts w:asciiTheme="minorHAnsi" w:eastAsiaTheme="minorEastAsia" w:hAnsiTheme="minorHAnsi"/>
              <w:lang w:eastAsia="en-AU"/>
            </w:rPr>
          </w:pPr>
          <w:hyperlink w:anchor="_Toc416180101" w:history="1">
            <w:r w:rsidR="0026476C" w:rsidRPr="00587526">
              <w:rPr>
                <w:rStyle w:val="Hyperlink"/>
              </w:rPr>
              <w:t>1.4.3</w:t>
            </w:r>
            <w:r w:rsidR="0026476C">
              <w:rPr>
                <w:rFonts w:asciiTheme="minorHAnsi" w:eastAsiaTheme="minorEastAsia" w:hAnsiTheme="minorHAnsi"/>
                <w:lang w:eastAsia="en-AU"/>
              </w:rPr>
              <w:tab/>
            </w:r>
            <w:r w:rsidR="0026476C" w:rsidRPr="00587526">
              <w:rPr>
                <w:rStyle w:val="Hyperlink"/>
              </w:rPr>
              <w:t>Shared assets</w:t>
            </w:r>
            <w:r w:rsidR="0026476C">
              <w:rPr>
                <w:webHidden/>
              </w:rPr>
              <w:tab/>
            </w:r>
            <w:r w:rsidR="0026476C">
              <w:rPr>
                <w:webHidden/>
              </w:rPr>
              <w:fldChar w:fldCharType="begin"/>
            </w:r>
            <w:r w:rsidR="0026476C">
              <w:rPr>
                <w:webHidden/>
              </w:rPr>
              <w:instrText xml:space="preserve"> PAGEREF _Toc416180101 \h </w:instrText>
            </w:r>
            <w:r w:rsidR="0026476C">
              <w:rPr>
                <w:webHidden/>
              </w:rPr>
            </w:r>
            <w:r w:rsidR="0026476C">
              <w:rPr>
                <w:webHidden/>
              </w:rPr>
              <w:fldChar w:fldCharType="separate"/>
            </w:r>
            <w:r w:rsidR="00F76B9F">
              <w:rPr>
                <w:webHidden/>
              </w:rPr>
              <w:t>1-16</w:t>
            </w:r>
            <w:r w:rsidR="0026476C">
              <w:rPr>
                <w:webHidden/>
              </w:rPr>
              <w:fldChar w:fldCharType="end"/>
            </w:r>
          </w:hyperlink>
        </w:p>
        <w:p w:rsidR="0026476C" w:rsidRDefault="006B77CA">
          <w:pPr>
            <w:pStyle w:val="TOC3"/>
            <w:rPr>
              <w:rFonts w:asciiTheme="minorHAnsi" w:eastAsiaTheme="minorEastAsia" w:hAnsiTheme="minorHAnsi"/>
              <w:lang w:eastAsia="en-AU"/>
            </w:rPr>
          </w:pPr>
          <w:hyperlink w:anchor="_Toc416180102" w:history="1">
            <w:r w:rsidR="0026476C" w:rsidRPr="00587526">
              <w:rPr>
                <w:rStyle w:val="Hyperlink"/>
              </w:rPr>
              <w:t>1.4.4</w:t>
            </w:r>
            <w:r w:rsidR="0026476C">
              <w:rPr>
                <w:rFonts w:asciiTheme="minorHAnsi" w:eastAsiaTheme="minorEastAsia" w:hAnsiTheme="minorHAnsi"/>
                <w:lang w:eastAsia="en-AU"/>
              </w:rPr>
              <w:tab/>
            </w:r>
            <w:r w:rsidR="0026476C" w:rsidRPr="00587526">
              <w:rPr>
                <w:rStyle w:val="Hyperlink"/>
              </w:rPr>
              <w:t>Indicative average distribution price impact</w:t>
            </w:r>
            <w:r w:rsidR="0026476C">
              <w:rPr>
                <w:webHidden/>
              </w:rPr>
              <w:tab/>
            </w:r>
            <w:r w:rsidR="0026476C">
              <w:rPr>
                <w:webHidden/>
              </w:rPr>
              <w:fldChar w:fldCharType="begin"/>
            </w:r>
            <w:r w:rsidR="0026476C">
              <w:rPr>
                <w:webHidden/>
              </w:rPr>
              <w:instrText xml:space="preserve"> PAGEREF _Toc416180102 \h </w:instrText>
            </w:r>
            <w:r w:rsidR="0026476C">
              <w:rPr>
                <w:webHidden/>
              </w:rPr>
            </w:r>
            <w:r w:rsidR="0026476C">
              <w:rPr>
                <w:webHidden/>
              </w:rPr>
              <w:fldChar w:fldCharType="separate"/>
            </w:r>
            <w:r w:rsidR="00F76B9F">
              <w:rPr>
                <w:webHidden/>
              </w:rPr>
              <w:t>1-16</w:t>
            </w:r>
            <w:r w:rsidR="0026476C">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415F31">
      <w:pPr>
        <w:pStyle w:val="UnnumberedHeading"/>
        <w:numPr>
          <w:ilvl w:val="0"/>
          <w:numId w:val="24"/>
        </w:numPr>
      </w:pPr>
      <w:bookmarkStart w:id="8" w:name="_Toc404700925"/>
      <w:bookmarkStart w:id="9" w:name="_Toc416180093"/>
      <w:r>
        <w:lastRenderedPageBreak/>
        <w:t>Shortened forms</w:t>
      </w:r>
      <w:bookmarkEnd w:id="8"/>
      <w:bookmarkEnd w:id="9"/>
    </w:p>
    <w:tbl>
      <w:tblPr>
        <w:tblStyle w:val="AERtable-text0"/>
        <w:tblW w:w="0" w:type="auto"/>
        <w:tblLook w:val="04A0" w:firstRow="1" w:lastRow="0" w:firstColumn="1" w:lastColumn="0" w:noHBand="0" w:noVBand="1"/>
      </w:tblPr>
      <w:tblGrid>
        <w:gridCol w:w="4349"/>
        <w:gridCol w:w="4344"/>
      </w:tblGrid>
      <w:tr w:rsidR="001F05A4" w:rsidTr="00FE2EC4">
        <w:trPr>
          <w:cnfStyle w:val="100000000000" w:firstRow="1" w:lastRow="0" w:firstColumn="0" w:lastColumn="0" w:oddVBand="0" w:evenVBand="0" w:oddHBand="0" w:evenHBand="0" w:firstRowFirstColumn="0" w:firstRowLastColumn="0" w:lastRowFirstColumn="0" w:lastRowLastColumn="0"/>
        </w:trPr>
        <w:tc>
          <w:tcPr>
            <w:tcW w:w="4349" w:type="dxa"/>
          </w:tcPr>
          <w:p w:rsidR="001F05A4" w:rsidRDefault="001F05A4" w:rsidP="001F05A4">
            <w:pPr>
              <w:numPr>
                <w:ilvl w:val="0"/>
                <w:numId w:val="25"/>
              </w:numPr>
            </w:pPr>
            <w:r>
              <w:t>Shortened form</w:t>
            </w:r>
          </w:p>
        </w:tc>
        <w:tc>
          <w:tcPr>
            <w:tcW w:w="4344" w:type="dxa"/>
          </w:tcPr>
          <w:p w:rsidR="001F05A4" w:rsidRDefault="001F05A4" w:rsidP="001F05A4">
            <w:pPr>
              <w:numPr>
                <w:ilvl w:val="0"/>
                <w:numId w:val="25"/>
              </w:numPr>
            </w:pPr>
            <w:r>
              <w:t>Extended form</w:t>
            </w:r>
          </w:p>
        </w:tc>
      </w:tr>
      <w:tr w:rsidR="00FE2EC4" w:rsidTr="00FE2EC4">
        <w:tc>
          <w:tcPr>
            <w:tcW w:w="4349" w:type="dxa"/>
          </w:tcPr>
          <w:p w:rsidR="00FE2EC4" w:rsidRPr="00FE2EC4" w:rsidRDefault="00FE2EC4" w:rsidP="00FE2EC4">
            <w:pPr>
              <w:numPr>
                <w:ilvl w:val="0"/>
                <w:numId w:val="25"/>
              </w:numPr>
            </w:pPr>
            <w:r w:rsidRPr="00FE2EC4">
              <w:t>AEMC</w:t>
            </w:r>
          </w:p>
        </w:tc>
        <w:tc>
          <w:tcPr>
            <w:tcW w:w="4344" w:type="dxa"/>
          </w:tcPr>
          <w:p w:rsidR="00FE2EC4" w:rsidRPr="00FE2EC4" w:rsidRDefault="00FE2EC4" w:rsidP="00FE2EC4">
            <w:pPr>
              <w:numPr>
                <w:ilvl w:val="0"/>
                <w:numId w:val="25"/>
              </w:numPr>
            </w:pPr>
            <w:r w:rsidRPr="00FE2EC4">
              <w:t>Australian Energy Market Commission</w:t>
            </w:r>
          </w:p>
        </w:tc>
      </w:tr>
      <w:tr w:rsidR="00FE2EC4" w:rsidTr="00FE2EC4">
        <w:trPr>
          <w:cnfStyle w:val="000000010000" w:firstRow="0" w:lastRow="0" w:firstColumn="0" w:lastColumn="0" w:oddVBand="0" w:evenVBand="0" w:oddHBand="0" w:evenHBand="1" w:firstRowFirstColumn="0" w:firstRowLastColumn="0" w:lastRowFirstColumn="0" w:lastRowLastColumn="0"/>
        </w:trPr>
        <w:tc>
          <w:tcPr>
            <w:tcW w:w="4349" w:type="dxa"/>
          </w:tcPr>
          <w:p w:rsidR="00FE2EC4" w:rsidRPr="00FE2EC4" w:rsidRDefault="00FE2EC4" w:rsidP="00FE2EC4">
            <w:pPr>
              <w:numPr>
                <w:ilvl w:val="0"/>
                <w:numId w:val="25"/>
              </w:numPr>
            </w:pPr>
            <w:r w:rsidRPr="00FE2EC4">
              <w:t>AEMO</w:t>
            </w:r>
          </w:p>
        </w:tc>
        <w:tc>
          <w:tcPr>
            <w:tcW w:w="4344" w:type="dxa"/>
          </w:tcPr>
          <w:p w:rsidR="00FE2EC4" w:rsidRPr="00FE2EC4" w:rsidRDefault="00FE2EC4" w:rsidP="00FE2EC4">
            <w:pPr>
              <w:numPr>
                <w:ilvl w:val="0"/>
                <w:numId w:val="25"/>
              </w:numPr>
            </w:pPr>
            <w:r w:rsidRPr="00FE2EC4">
              <w:t>Australian Energy Market Operator</w:t>
            </w:r>
          </w:p>
        </w:tc>
      </w:tr>
      <w:tr w:rsidR="00FE2EC4" w:rsidTr="00FE2EC4">
        <w:tc>
          <w:tcPr>
            <w:tcW w:w="4349" w:type="dxa"/>
          </w:tcPr>
          <w:p w:rsidR="00FE2EC4" w:rsidRPr="00FE2EC4" w:rsidRDefault="00FE2EC4" w:rsidP="00FE2EC4">
            <w:pPr>
              <w:numPr>
                <w:ilvl w:val="0"/>
                <w:numId w:val="25"/>
              </w:numPr>
            </w:pPr>
            <w:r w:rsidRPr="00FE2EC4">
              <w:t>AER</w:t>
            </w:r>
          </w:p>
        </w:tc>
        <w:tc>
          <w:tcPr>
            <w:tcW w:w="4344" w:type="dxa"/>
          </w:tcPr>
          <w:p w:rsidR="00FE2EC4" w:rsidRPr="00FE2EC4" w:rsidRDefault="00FE2EC4" w:rsidP="00FE2EC4">
            <w:pPr>
              <w:numPr>
                <w:ilvl w:val="0"/>
                <w:numId w:val="25"/>
              </w:numPr>
            </w:pPr>
            <w:r w:rsidRPr="00FE2EC4">
              <w:t>Australian Energy Regulator</w:t>
            </w:r>
          </w:p>
        </w:tc>
      </w:tr>
      <w:tr w:rsidR="00FE2EC4" w:rsidTr="00FE2EC4">
        <w:trPr>
          <w:cnfStyle w:val="000000010000" w:firstRow="0" w:lastRow="0" w:firstColumn="0" w:lastColumn="0" w:oddVBand="0" w:evenVBand="0" w:oddHBand="0" w:evenHBand="1" w:firstRowFirstColumn="0" w:firstRowLastColumn="0" w:lastRowFirstColumn="0" w:lastRowLastColumn="0"/>
        </w:trPr>
        <w:tc>
          <w:tcPr>
            <w:tcW w:w="4349" w:type="dxa"/>
          </w:tcPr>
          <w:p w:rsidR="00FE2EC4" w:rsidRPr="00FE2EC4" w:rsidRDefault="00FE2EC4" w:rsidP="00FE2EC4">
            <w:pPr>
              <w:numPr>
                <w:ilvl w:val="0"/>
                <w:numId w:val="25"/>
              </w:numPr>
            </w:pPr>
            <w:proofErr w:type="spellStart"/>
            <w:r w:rsidRPr="00FE2EC4">
              <w:t>augex</w:t>
            </w:r>
            <w:proofErr w:type="spellEnd"/>
          </w:p>
        </w:tc>
        <w:tc>
          <w:tcPr>
            <w:tcW w:w="4344" w:type="dxa"/>
          </w:tcPr>
          <w:p w:rsidR="00FE2EC4" w:rsidRPr="00FE2EC4" w:rsidRDefault="00FE2EC4" w:rsidP="00FE2EC4">
            <w:pPr>
              <w:numPr>
                <w:ilvl w:val="0"/>
                <w:numId w:val="25"/>
              </w:numPr>
            </w:pPr>
            <w:r w:rsidRPr="00FE2EC4">
              <w:t>augmentation expenditure</w:t>
            </w:r>
          </w:p>
        </w:tc>
      </w:tr>
      <w:tr w:rsidR="00FE2EC4" w:rsidTr="00FE2EC4">
        <w:tc>
          <w:tcPr>
            <w:tcW w:w="4349" w:type="dxa"/>
          </w:tcPr>
          <w:p w:rsidR="00FE2EC4" w:rsidRPr="00FE2EC4" w:rsidRDefault="00FE2EC4" w:rsidP="00FE2EC4">
            <w:pPr>
              <w:numPr>
                <w:ilvl w:val="0"/>
                <w:numId w:val="25"/>
              </w:numPr>
            </w:pPr>
            <w:r w:rsidRPr="00FE2EC4">
              <w:t>capex</w:t>
            </w:r>
          </w:p>
        </w:tc>
        <w:tc>
          <w:tcPr>
            <w:tcW w:w="4344" w:type="dxa"/>
          </w:tcPr>
          <w:p w:rsidR="00FE2EC4" w:rsidRPr="00FE2EC4" w:rsidRDefault="00FE2EC4" w:rsidP="00FE2EC4">
            <w:pPr>
              <w:numPr>
                <w:ilvl w:val="0"/>
                <w:numId w:val="25"/>
              </w:numPr>
            </w:pPr>
            <w:r w:rsidRPr="00FE2EC4">
              <w:t>capital expenditure</w:t>
            </w:r>
          </w:p>
        </w:tc>
      </w:tr>
      <w:tr w:rsidR="00FE2EC4" w:rsidTr="00FE2EC4">
        <w:trPr>
          <w:cnfStyle w:val="000000010000" w:firstRow="0" w:lastRow="0" w:firstColumn="0" w:lastColumn="0" w:oddVBand="0" w:evenVBand="0" w:oddHBand="0" w:evenHBand="1" w:firstRowFirstColumn="0" w:firstRowLastColumn="0" w:lastRowFirstColumn="0" w:lastRowLastColumn="0"/>
        </w:trPr>
        <w:tc>
          <w:tcPr>
            <w:tcW w:w="4349" w:type="dxa"/>
          </w:tcPr>
          <w:p w:rsidR="00FE2EC4" w:rsidRPr="00FE2EC4" w:rsidRDefault="00FE2EC4" w:rsidP="00FE2EC4">
            <w:pPr>
              <w:numPr>
                <w:ilvl w:val="0"/>
                <w:numId w:val="25"/>
              </w:numPr>
            </w:pPr>
            <w:r w:rsidRPr="00FE2EC4">
              <w:t>CCP</w:t>
            </w:r>
          </w:p>
        </w:tc>
        <w:tc>
          <w:tcPr>
            <w:tcW w:w="4344" w:type="dxa"/>
          </w:tcPr>
          <w:p w:rsidR="00FE2EC4" w:rsidRPr="00FE2EC4" w:rsidRDefault="00FE2EC4" w:rsidP="00FE2EC4">
            <w:pPr>
              <w:numPr>
                <w:ilvl w:val="0"/>
                <w:numId w:val="25"/>
              </w:numPr>
            </w:pPr>
            <w:r w:rsidRPr="00FE2EC4">
              <w:t>Consumer Challenge Panel</w:t>
            </w:r>
          </w:p>
        </w:tc>
      </w:tr>
      <w:tr w:rsidR="00FE2EC4" w:rsidTr="00FE2EC4">
        <w:tc>
          <w:tcPr>
            <w:tcW w:w="4349" w:type="dxa"/>
          </w:tcPr>
          <w:p w:rsidR="00FE2EC4" w:rsidRPr="00FE2EC4" w:rsidRDefault="00FE2EC4" w:rsidP="00FE2EC4">
            <w:pPr>
              <w:numPr>
                <w:ilvl w:val="0"/>
                <w:numId w:val="25"/>
              </w:numPr>
            </w:pPr>
            <w:r w:rsidRPr="00FE2EC4">
              <w:t>CESS</w:t>
            </w:r>
          </w:p>
        </w:tc>
        <w:tc>
          <w:tcPr>
            <w:tcW w:w="4344" w:type="dxa"/>
          </w:tcPr>
          <w:p w:rsidR="00FE2EC4" w:rsidRPr="00FE2EC4" w:rsidRDefault="00FE2EC4" w:rsidP="00FE2EC4">
            <w:pPr>
              <w:numPr>
                <w:ilvl w:val="0"/>
                <w:numId w:val="25"/>
              </w:numPr>
            </w:pPr>
            <w:r w:rsidRPr="00FE2EC4">
              <w:t>capital expenditure sharing scheme</w:t>
            </w:r>
          </w:p>
        </w:tc>
      </w:tr>
      <w:tr w:rsidR="00FE2EC4" w:rsidTr="00FE2EC4">
        <w:trPr>
          <w:cnfStyle w:val="000000010000" w:firstRow="0" w:lastRow="0" w:firstColumn="0" w:lastColumn="0" w:oddVBand="0" w:evenVBand="0" w:oddHBand="0" w:evenHBand="1" w:firstRowFirstColumn="0" w:firstRowLastColumn="0" w:lastRowFirstColumn="0" w:lastRowLastColumn="0"/>
        </w:trPr>
        <w:tc>
          <w:tcPr>
            <w:tcW w:w="4349" w:type="dxa"/>
          </w:tcPr>
          <w:p w:rsidR="00FE2EC4" w:rsidRPr="00FE2EC4" w:rsidRDefault="00FE2EC4" w:rsidP="00FE2EC4">
            <w:pPr>
              <w:numPr>
                <w:ilvl w:val="0"/>
                <w:numId w:val="25"/>
              </w:numPr>
            </w:pPr>
            <w:r w:rsidRPr="00FE2EC4">
              <w:t>CPI</w:t>
            </w:r>
          </w:p>
        </w:tc>
        <w:tc>
          <w:tcPr>
            <w:tcW w:w="4344" w:type="dxa"/>
          </w:tcPr>
          <w:p w:rsidR="00FE2EC4" w:rsidRPr="00FE2EC4" w:rsidRDefault="00FE2EC4" w:rsidP="00FE2EC4">
            <w:pPr>
              <w:numPr>
                <w:ilvl w:val="0"/>
                <w:numId w:val="25"/>
              </w:numPr>
            </w:pPr>
            <w:r w:rsidRPr="00FE2EC4">
              <w:t>consumer price index</w:t>
            </w:r>
          </w:p>
        </w:tc>
      </w:tr>
      <w:tr w:rsidR="00FE2EC4" w:rsidTr="00FE2EC4">
        <w:tc>
          <w:tcPr>
            <w:tcW w:w="4349" w:type="dxa"/>
          </w:tcPr>
          <w:p w:rsidR="00FE2EC4" w:rsidRPr="00FE2EC4" w:rsidRDefault="00FE2EC4" w:rsidP="00FE2EC4">
            <w:pPr>
              <w:numPr>
                <w:ilvl w:val="0"/>
                <w:numId w:val="25"/>
              </w:numPr>
            </w:pPr>
            <w:r w:rsidRPr="00FE2EC4">
              <w:t>DRP</w:t>
            </w:r>
          </w:p>
        </w:tc>
        <w:tc>
          <w:tcPr>
            <w:tcW w:w="4344" w:type="dxa"/>
          </w:tcPr>
          <w:p w:rsidR="00FE2EC4" w:rsidRPr="00FE2EC4" w:rsidRDefault="00FE2EC4" w:rsidP="00FE2EC4">
            <w:pPr>
              <w:numPr>
                <w:ilvl w:val="0"/>
                <w:numId w:val="25"/>
              </w:numPr>
            </w:pPr>
            <w:r w:rsidRPr="00FE2EC4">
              <w:t>debt risk premium</w:t>
            </w:r>
          </w:p>
        </w:tc>
      </w:tr>
      <w:tr w:rsidR="00FE2EC4" w:rsidTr="00FE2EC4">
        <w:trPr>
          <w:cnfStyle w:val="000000010000" w:firstRow="0" w:lastRow="0" w:firstColumn="0" w:lastColumn="0" w:oddVBand="0" w:evenVBand="0" w:oddHBand="0" w:evenHBand="1" w:firstRowFirstColumn="0" w:firstRowLastColumn="0" w:lastRowFirstColumn="0" w:lastRowLastColumn="0"/>
        </w:trPr>
        <w:tc>
          <w:tcPr>
            <w:tcW w:w="4349" w:type="dxa"/>
          </w:tcPr>
          <w:p w:rsidR="00FE2EC4" w:rsidRPr="00FE2EC4" w:rsidRDefault="00FE2EC4" w:rsidP="00FE2EC4">
            <w:pPr>
              <w:numPr>
                <w:ilvl w:val="0"/>
                <w:numId w:val="25"/>
              </w:numPr>
            </w:pPr>
            <w:r w:rsidRPr="00FE2EC4">
              <w:t>DMIA</w:t>
            </w:r>
          </w:p>
        </w:tc>
        <w:tc>
          <w:tcPr>
            <w:tcW w:w="4344" w:type="dxa"/>
          </w:tcPr>
          <w:p w:rsidR="00FE2EC4" w:rsidRPr="00FE2EC4" w:rsidRDefault="00FE2EC4" w:rsidP="00FE2EC4">
            <w:pPr>
              <w:numPr>
                <w:ilvl w:val="0"/>
                <w:numId w:val="25"/>
              </w:numPr>
            </w:pPr>
            <w:r w:rsidRPr="00FE2EC4">
              <w:t>demand management innovation allowance</w:t>
            </w:r>
          </w:p>
        </w:tc>
      </w:tr>
      <w:tr w:rsidR="00FE2EC4" w:rsidTr="00FE2EC4">
        <w:tc>
          <w:tcPr>
            <w:tcW w:w="4349" w:type="dxa"/>
          </w:tcPr>
          <w:p w:rsidR="00FE2EC4" w:rsidRPr="00FE2EC4" w:rsidRDefault="00FE2EC4" w:rsidP="00FE2EC4">
            <w:pPr>
              <w:numPr>
                <w:ilvl w:val="0"/>
                <w:numId w:val="25"/>
              </w:numPr>
            </w:pPr>
            <w:r w:rsidRPr="00FE2EC4">
              <w:t>DMIS</w:t>
            </w:r>
          </w:p>
        </w:tc>
        <w:tc>
          <w:tcPr>
            <w:tcW w:w="4344" w:type="dxa"/>
          </w:tcPr>
          <w:p w:rsidR="00FE2EC4" w:rsidRPr="00FE2EC4" w:rsidRDefault="00FE2EC4" w:rsidP="00FE2EC4">
            <w:pPr>
              <w:numPr>
                <w:ilvl w:val="0"/>
                <w:numId w:val="25"/>
              </w:numPr>
            </w:pPr>
            <w:r w:rsidRPr="00FE2EC4">
              <w:t>demand management incentive scheme</w:t>
            </w:r>
          </w:p>
        </w:tc>
      </w:tr>
      <w:tr w:rsidR="00FE2EC4" w:rsidTr="00FE2EC4">
        <w:trPr>
          <w:cnfStyle w:val="000000010000" w:firstRow="0" w:lastRow="0" w:firstColumn="0" w:lastColumn="0" w:oddVBand="0" w:evenVBand="0" w:oddHBand="0" w:evenHBand="1" w:firstRowFirstColumn="0" w:firstRowLastColumn="0" w:lastRowFirstColumn="0" w:lastRowLastColumn="0"/>
        </w:trPr>
        <w:tc>
          <w:tcPr>
            <w:tcW w:w="4349" w:type="dxa"/>
          </w:tcPr>
          <w:p w:rsidR="00FE2EC4" w:rsidRPr="00FE2EC4" w:rsidRDefault="00FE2EC4" w:rsidP="00FE2EC4">
            <w:pPr>
              <w:numPr>
                <w:ilvl w:val="0"/>
                <w:numId w:val="25"/>
              </w:numPr>
            </w:pPr>
            <w:r w:rsidRPr="00FE2EC4">
              <w:t>distributor</w:t>
            </w:r>
          </w:p>
        </w:tc>
        <w:tc>
          <w:tcPr>
            <w:tcW w:w="4344" w:type="dxa"/>
          </w:tcPr>
          <w:p w:rsidR="00FE2EC4" w:rsidRPr="00FE2EC4" w:rsidRDefault="00FE2EC4" w:rsidP="00FE2EC4">
            <w:pPr>
              <w:numPr>
                <w:ilvl w:val="0"/>
                <w:numId w:val="25"/>
              </w:numPr>
            </w:pPr>
            <w:r w:rsidRPr="00FE2EC4">
              <w:t>distribution network service provider</w:t>
            </w:r>
          </w:p>
        </w:tc>
      </w:tr>
      <w:tr w:rsidR="00FE2EC4" w:rsidTr="00FE2EC4">
        <w:tc>
          <w:tcPr>
            <w:tcW w:w="4349" w:type="dxa"/>
          </w:tcPr>
          <w:p w:rsidR="00FE2EC4" w:rsidRPr="00FE2EC4" w:rsidRDefault="00FE2EC4" w:rsidP="00FE2EC4">
            <w:pPr>
              <w:numPr>
                <w:ilvl w:val="0"/>
                <w:numId w:val="25"/>
              </w:numPr>
            </w:pPr>
            <w:proofErr w:type="spellStart"/>
            <w:r w:rsidRPr="00FE2EC4">
              <w:t>DUoS</w:t>
            </w:r>
            <w:proofErr w:type="spellEnd"/>
          </w:p>
        </w:tc>
        <w:tc>
          <w:tcPr>
            <w:tcW w:w="4344" w:type="dxa"/>
          </w:tcPr>
          <w:p w:rsidR="00FE2EC4" w:rsidRPr="00FE2EC4" w:rsidRDefault="00FE2EC4" w:rsidP="00FE2EC4">
            <w:pPr>
              <w:numPr>
                <w:ilvl w:val="0"/>
                <w:numId w:val="25"/>
              </w:numPr>
            </w:pPr>
            <w:r w:rsidRPr="00FE2EC4">
              <w:t>distribution use of system</w:t>
            </w:r>
          </w:p>
        </w:tc>
      </w:tr>
      <w:tr w:rsidR="00FE2EC4" w:rsidTr="00FE2EC4">
        <w:trPr>
          <w:cnfStyle w:val="000000010000" w:firstRow="0" w:lastRow="0" w:firstColumn="0" w:lastColumn="0" w:oddVBand="0" w:evenVBand="0" w:oddHBand="0" w:evenHBand="1" w:firstRowFirstColumn="0" w:firstRowLastColumn="0" w:lastRowFirstColumn="0" w:lastRowLastColumn="0"/>
        </w:trPr>
        <w:tc>
          <w:tcPr>
            <w:tcW w:w="4349" w:type="dxa"/>
          </w:tcPr>
          <w:p w:rsidR="00FE2EC4" w:rsidRPr="00FE2EC4" w:rsidRDefault="00FE2EC4" w:rsidP="00FE2EC4">
            <w:pPr>
              <w:numPr>
                <w:ilvl w:val="0"/>
                <w:numId w:val="25"/>
              </w:numPr>
            </w:pPr>
            <w:r w:rsidRPr="00FE2EC4">
              <w:t>EBSS</w:t>
            </w:r>
          </w:p>
        </w:tc>
        <w:tc>
          <w:tcPr>
            <w:tcW w:w="4344" w:type="dxa"/>
          </w:tcPr>
          <w:p w:rsidR="00FE2EC4" w:rsidRPr="00FE2EC4" w:rsidRDefault="00FE2EC4" w:rsidP="00FE2EC4">
            <w:pPr>
              <w:numPr>
                <w:ilvl w:val="0"/>
                <w:numId w:val="25"/>
              </w:numPr>
            </w:pPr>
            <w:r w:rsidRPr="00FE2EC4">
              <w:t>efficiency benefit sharing scheme</w:t>
            </w:r>
          </w:p>
        </w:tc>
      </w:tr>
      <w:tr w:rsidR="00FE2EC4" w:rsidTr="00FE2EC4">
        <w:tc>
          <w:tcPr>
            <w:tcW w:w="4349" w:type="dxa"/>
          </w:tcPr>
          <w:p w:rsidR="00FE2EC4" w:rsidRPr="00FE2EC4" w:rsidRDefault="00FE2EC4" w:rsidP="00FE2EC4">
            <w:pPr>
              <w:numPr>
                <w:ilvl w:val="0"/>
                <w:numId w:val="25"/>
              </w:numPr>
            </w:pPr>
            <w:r w:rsidRPr="00FE2EC4">
              <w:t>ERP</w:t>
            </w:r>
          </w:p>
        </w:tc>
        <w:tc>
          <w:tcPr>
            <w:tcW w:w="4344" w:type="dxa"/>
          </w:tcPr>
          <w:p w:rsidR="00FE2EC4" w:rsidRPr="00FE2EC4" w:rsidRDefault="00FE2EC4" w:rsidP="00FE2EC4">
            <w:pPr>
              <w:numPr>
                <w:ilvl w:val="0"/>
                <w:numId w:val="25"/>
              </w:numPr>
            </w:pPr>
            <w:r w:rsidRPr="00FE2EC4">
              <w:t>equity risk premium</w:t>
            </w:r>
          </w:p>
        </w:tc>
      </w:tr>
      <w:tr w:rsidR="00FE2EC4" w:rsidTr="00FE2EC4">
        <w:trPr>
          <w:cnfStyle w:val="000000010000" w:firstRow="0" w:lastRow="0" w:firstColumn="0" w:lastColumn="0" w:oddVBand="0" w:evenVBand="0" w:oddHBand="0" w:evenHBand="1" w:firstRowFirstColumn="0" w:firstRowLastColumn="0" w:lastRowFirstColumn="0" w:lastRowLastColumn="0"/>
        </w:trPr>
        <w:tc>
          <w:tcPr>
            <w:tcW w:w="4349" w:type="dxa"/>
          </w:tcPr>
          <w:p w:rsidR="00FE2EC4" w:rsidRPr="00FE2EC4" w:rsidRDefault="00FE2EC4" w:rsidP="00FE2EC4">
            <w:pPr>
              <w:numPr>
                <w:ilvl w:val="0"/>
                <w:numId w:val="25"/>
              </w:numPr>
            </w:pPr>
            <w:r w:rsidRPr="00FE2EC4">
              <w:t>Expenditure Assessment Guideline</w:t>
            </w:r>
          </w:p>
        </w:tc>
        <w:tc>
          <w:tcPr>
            <w:tcW w:w="4344" w:type="dxa"/>
          </w:tcPr>
          <w:p w:rsidR="00FE2EC4" w:rsidRPr="00FE2EC4" w:rsidRDefault="00FE2EC4" w:rsidP="00FE2EC4">
            <w:pPr>
              <w:numPr>
                <w:ilvl w:val="0"/>
                <w:numId w:val="25"/>
              </w:numPr>
            </w:pPr>
            <w:r w:rsidRPr="00FE2EC4">
              <w:t>expenditure forecast assessment Guideline for electricity distribution</w:t>
            </w:r>
          </w:p>
        </w:tc>
      </w:tr>
      <w:tr w:rsidR="00FE2EC4" w:rsidTr="00FE2EC4">
        <w:tc>
          <w:tcPr>
            <w:tcW w:w="4349" w:type="dxa"/>
          </w:tcPr>
          <w:p w:rsidR="00FE2EC4" w:rsidRPr="00FE2EC4" w:rsidRDefault="00FE2EC4" w:rsidP="00FE2EC4">
            <w:pPr>
              <w:numPr>
                <w:ilvl w:val="0"/>
                <w:numId w:val="25"/>
              </w:numPr>
            </w:pPr>
            <w:r w:rsidRPr="00FE2EC4">
              <w:t>F&amp;A</w:t>
            </w:r>
          </w:p>
        </w:tc>
        <w:tc>
          <w:tcPr>
            <w:tcW w:w="4344" w:type="dxa"/>
          </w:tcPr>
          <w:p w:rsidR="00FE2EC4" w:rsidRPr="00FE2EC4" w:rsidRDefault="00FE2EC4" w:rsidP="00FE2EC4">
            <w:pPr>
              <w:numPr>
                <w:ilvl w:val="0"/>
                <w:numId w:val="25"/>
              </w:numPr>
            </w:pPr>
            <w:r w:rsidRPr="00FE2EC4">
              <w:t>framework and approach</w:t>
            </w:r>
          </w:p>
        </w:tc>
      </w:tr>
      <w:tr w:rsidR="00FE2EC4" w:rsidTr="00FE2EC4">
        <w:trPr>
          <w:cnfStyle w:val="000000010000" w:firstRow="0" w:lastRow="0" w:firstColumn="0" w:lastColumn="0" w:oddVBand="0" w:evenVBand="0" w:oddHBand="0" w:evenHBand="1" w:firstRowFirstColumn="0" w:firstRowLastColumn="0" w:lastRowFirstColumn="0" w:lastRowLastColumn="0"/>
        </w:trPr>
        <w:tc>
          <w:tcPr>
            <w:tcW w:w="4349" w:type="dxa"/>
          </w:tcPr>
          <w:p w:rsidR="00FE2EC4" w:rsidRPr="00FE2EC4" w:rsidRDefault="00FE2EC4" w:rsidP="00FE2EC4">
            <w:pPr>
              <w:numPr>
                <w:ilvl w:val="0"/>
                <w:numId w:val="25"/>
              </w:numPr>
            </w:pPr>
            <w:r w:rsidRPr="00FE2EC4">
              <w:t>MRP</w:t>
            </w:r>
          </w:p>
        </w:tc>
        <w:tc>
          <w:tcPr>
            <w:tcW w:w="4344" w:type="dxa"/>
          </w:tcPr>
          <w:p w:rsidR="00FE2EC4" w:rsidRPr="00FE2EC4" w:rsidRDefault="00FE2EC4" w:rsidP="00FE2EC4">
            <w:pPr>
              <w:numPr>
                <w:ilvl w:val="0"/>
                <w:numId w:val="25"/>
              </w:numPr>
            </w:pPr>
            <w:r w:rsidRPr="00FE2EC4">
              <w:t>market risk premium</w:t>
            </w:r>
          </w:p>
        </w:tc>
      </w:tr>
      <w:tr w:rsidR="00FE2EC4" w:rsidTr="00FE2EC4">
        <w:tc>
          <w:tcPr>
            <w:tcW w:w="4349" w:type="dxa"/>
          </w:tcPr>
          <w:p w:rsidR="00FE2EC4" w:rsidRPr="00FE2EC4" w:rsidRDefault="00FE2EC4" w:rsidP="00FE2EC4">
            <w:pPr>
              <w:numPr>
                <w:ilvl w:val="0"/>
                <w:numId w:val="25"/>
              </w:numPr>
            </w:pPr>
            <w:r w:rsidRPr="00FE2EC4">
              <w:t>NEL</w:t>
            </w:r>
          </w:p>
        </w:tc>
        <w:tc>
          <w:tcPr>
            <w:tcW w:w="4344" w:type="dxa"/>
          </w:tcPr>
          <w:p w:rsidR="00FE2EC4" w:rsidRPr="00FE2EC4" w:rsidRDefault="00FE2EC4" w:rsidP="00FE2EC4">
            <w:pPr>
              <w:numPr>
                <w:ilvl w:val="0"/>
                <w:numId w:val="25"/>
              </w:numPr>
            </w:pPr>
            <w:r w:rsidRPr="00FE2EC4">
              <w:t>national electricity law</w:t>
            </w:r>
          </w:p>
        </w:tc>
      </w:tr>
      <w:tr w:rsidR="00FE2EC4" w:rsidTr="00FE2EC4">
        <w:trPr>
          <w:cnfStyle w:val="000000010000" w:firstRow="0" w:lastRow="0" w:firstColumn="0" w:lastColumn="0" w:oddVBand="0" w:evenVBand="0" w:oddHBand="0" w:evenHBand="1" w:firstRowFirstColumn="0" w:firstRowLastColumn="0" w:lastRowFirstColumn="0" w:lastRowLastColumn="0"/>
        </w:trPr>
        <w:tc>
          <w:tcPr>
            <w:tcW w:w="4349" w:type="dxa"/>
          </w:tcPr>
          <w:p w:rsidR="00FE2EC4" w:rsidRPr="00FE2EC4" w:rsidRDefault="00FE2EC4" w:rsidP="00FE2EC4">
            <w:pPr>
              <w:numPr>
                <w:ilvl w:val="0"/>
                <w:numId w:val="25"/>
              </w:numPr>
            </w:pPr>
            <w:r w:rsidRPr="00FE2EC4">
              <w:t>NEM</w:t>
            </w:r>
          </w:p>
        </w:tc>
        <w:tc>
          <w:tcPr>
            <w:tcW w:w="4344" w:type="dxa"/>
          </w:tcPr>
          <w:p w:rsidR="00FE2EC4" w:rsidRPr="00FE2EC4" w:rsidRDefault="00FE2EC4" w:rsidP="00FE2EC4">
            <w:pPr>
              <w:numPr>
                <w:ilvl w:val="0"/>
                <w:numId w:val="25"/>
              </w:numPr>
            </w:pPr>
            <w:r w:rsidRPr="00FE2EC4">
              <w:t>national electricity market</w:t>
            </w:r>
          </w:p>
        </w:tc>
      </w:tr>
      <w:tr w:rsidR="00FE2EC4" w:rsidTr="00FE2EC4">
        <w:tc>
          <w:tcPr>
            <w:tcW w:w="4349" w:type="dxa"/>
          </w:tcPr>
          <w:p w:rsidR="00FE2EC4" w:rsidRPr="00FE2EC4" w:rsidRDefault="00FE2EC4" w:rsidP="00FE2EC4">
            <w:pPr>
              <w:numPr>
                <w:ilvl w:val="0"/>
                <w:numId w:val="25"/>
              </w:numPr>
            </w:pPr>
            <w:r w:rsidRPr="00FE2EC4">
              <w:t>NEO</w:t>
            </w:r>
          </w:p>
        </w:tc>
        <w:tc>
          <w:tcPr>
            <w:tcW w:w="4344" w:type="dxa"/>
          </w:tcPr>
          <w:p w:rsidR="00FE2EC4" w:rsidRPr="00FE2EC4" w:rsidRDefault="00FE2EC4" w:rsidP="00FE2EC4">
            <w:pPr>
              <w:numPr>
                <w:ilvl w:val="0"/>
                <w:numId w:val="25"/>
              </w:numPr>
            </w:pPr>
            <w:r w:rsidRPr="00FE2EC4">
              <w:t>national electricity objective</w:t>
            </w:r>
          </w:p>
        </w:tc>
      </w:tr>
      <w:tr w:rsidR="00FE2EC4" w:rsidTr="00FE2EC4">
        <w:trPr>
          <w:cnfStyle w:val="000000010000" w:firstRow="0" w:lastRow="0" w:firstColumn="0" w:lastColumn="0" w:oddVBand="0" w:evenVBand="0" w:oddHBand="0" w:evenHBand="1" w:firstRowFirstColumn="0" w:firstRowLastColumn="0" w:lastRowFirstColumn="0" w:lastRowLastColumn="0"/>
        </w:trPr>
        <w:tc>
          <w:tcPr>
            <w:tcW w:w="4349" w:type="dxa"/>
          </w:tcPr>
          <w:p w:rsidR="00FE2EC4" w:rsidRPr="00FE2EC4" w:rsidRDefault="00FE2EC4" w:rsidP="00FE2EC4">
            <w:pPr>
              <w:numPr>
                <w:ilvl w:val="0"/>
                <w:numId w:val="25"/>
              </w:numPr>
            </w:pPr>
            <w:r w:rsidRPr="00FE2EC4">
              <w:t>NER</w:t>
            </w:r>
          </w:p>
        </w:tc>
        <w:tc>
          <w:tcPr>
            <w:tcW w:w="4344" w:type="dxa"/>
          </w:tcPr>
          <w:p w:rsidR="00FE2EC4" w:rsidRPr="00FE2EC4" w:rsidRDefault="00FE2EC4" w:rsidP="00FE2EC4">
            <w:pPr>
              <w:numPr>
                <w:ilvl w:val="0"/>
                <w:numId w:val="25"/>
              </w:numPr>
            </w:pPr>
            <w:r w:rsidRPr="00FE2EC4">
              <w:t>national electricity rules</w:t>
            </w:r>
          </w:p>
        </w:tc>
      </w:tr>
      <w:tr w:rsidR="00FE2EC4" w:rsidTr="00FE2EC4">
        <w:tc>
          <w:tcPr>
            <w:tcW w:w="4349" w:type="dxa"/>
          </w:tcPr>
          <w:p w:rsidR="00FE2EC4" w:rsidRPr="00FE2EC4" w:rsidRDefault="00FE2EC4" w:rsidP="00FE2EC4">
            <w:pPr>
              <w:numPr>
                <w:ilvl w:val="0"/>
                <w:numId w:val="25"/>
              </w:numPr>
            </w:pPr>
            <w:r w:rsidRPr="00FE2EC4">
              <w:t>NSP</w:t>
            </w:r>
          </w:p>
        </w:tc>
        <w:tc>
          <w:tcPr>
            <w:tcW w:w="4344" w:type="dxa"/>
          </w:tcPr>
          <w:p w:rsidR="00FE2EC4" w:rsidRPr="00FE2EC4" w:rsidRDefault="00FE2EC4" w:rsidP="00FE2EC4">
            <w:pPr>
              <w:numPr>
                <w:ilvl w:val="0"/>
                <w:numId w:val="25"/>
              </w:numPr>
            </w:pPr>
            <w:r w:rsidRPr="00FE2EC4">
              <w:t>network service provider</w:t>
            </w:r>
          </w:p>
        </w:tc>
      </w:tr>
      <w:tr w:rsidR="00FE2EC4" w:rsidTr="00FE2EC4">
        <w:trPr>
          <w:cnfStyle w:val="000000010000" w:firstRow="0" w:lastRow="0" w:firstColumn="0" w:lastColumn="0" w:oddVBand="0" w:evenVBand="0" w:oddHBand="0" w:evenHBand="1" w:firstRowFirstColumn="0" w:firstRowLastColumn="0" w:lastRowFirstColumn="0" w:lastRowLastColumn="0"/>
        </w:trPr>
        <w:tc>
          <w:tcPr>
            <w:tcW w:w="4349" w:type="dxa"/>
          </w:tcPr>
          <w:p w:rsidR="00FE2EC4" w:rsidRPr="00FE2EC4" w:rsidRDefault="00FE2EC4" w:rsidP="00FE2EC4">
            <w:pPr>
              <w:numPr>
                <w:ilvl w:val="0"/>
                <w:numId w:val="25"/>
              </w:numPr>
            </w:pPr>
            <w:proofErr w:type="spellStart"/>
            <w:r w:rsidRPr="00FE2EC4">
              <w:t>opex</w:t>
            </w:r>
            <w:proofErr w:type="spellEnd"/>
          </w:p>
        </w:tc>
        <w:tc>
          <w:tcPr>
            <w:tcW w:w="4344" w:type="dxa"/>
          </w:tcPr>
          <w:p w:rsidR="00FE2EC4" w:rsidRPr="00FE2EC4" w:rsidRDefault="00FE2EC4" w:rsidP="00FE2EC4">
            <w:pPr>
              <w:numPr>
                <w:ilvl w:val="0"/>
                <w:numId w:val="25"/>
              </w:numPr>
            </w:pPr>
            <w:r w:rsidRPr="00FE2EC4">
              <w:t>operating expenditure</w:t>
            </w:r>
          </w:p>
        </w:tc>
      </w:tr>
      <w:tr w:rsidR="00FE2EC4" w:rsidTr="00FE2EC4">
        <w:tc>
          <w:tcPr>
            <w:tcW w:w="4349" w:type="dxa"/>
          </w:tcPr>
          <w:p w:rsidR="00FE2EC4" w:rsidRPr="00FE2EC4" w:rsidRDefault="00FE2EC4" w:rsidP="00FE2EC4">
            <w:pPr>
              <w:numPr>
                <w:ilvl w:val="0"/>
                <w:numId w:val="25"/>
              </w:numPr>
            </w:pPr>
            <w:r w:rsidRPr="00FE2EC4">
              <w:t>PPI</w:t>
            </w:r>
          </w:p>
        </w:tc>
        <w:tc>
          <w:tcPr>
            <w:tcW w:w="4344" w:type="dxa"/>
          </w:tcPr>
          <w:p w:rsidR="00FE2EC4" w:rsidRPr="00FE2EC4" w:rsidRDefault="00FE2EC4" w:rsidP="00FE2EC4">
            <w:pPr>
              <w:numPr>
                <w:ilvl w:val="0"/>
                <w:numId w:val="25"/>
              </w:numPr>
            </w:pPr>
            <w:r w:rsidRPr="00FE2EC4">
              <w:t>partial performance indicators</w:t>
            </w:r>
          </w:p>
        </w:tc>
      </w:tr>
      <w:tr w:rsidR="00FE2EC4" w:rsidTr="00FE2EC4">
        <w:trPr>
          <w:cnfStyle w:val="000000010000" w:firstRow="0" w:lastRow="0" w:firstColumn="0" w:lastColumn="0" w:oddVBand="0" w:evenVBand="0" w:oddHBand="0" w:evenHBand="1" w:firstRowFirstColumn="0" w:firstRowLastColumn="0" w:lastRowFirstColumn="0" w:lastRowLastColumn="0"/>
        </w:trPr>
        <w:tc>
          <w:tcPr>
            <w:tcW w:w="4349" w:type="dxa"/>
          </w:tcPr>
          <w:p w:rsidR="00FE2EC4" w:rsidRPr="00FE2EC4" w:rsidRDefault="00FE2EC4" w:rsidP="00FE2EC4">
            <w:pPr>
              <w:numPr>
                <w:ilvl w:val="0"/>
                <w:numId w:val="25"/>
              </w:numPr>
            </w:pPr>
            <w:r w:rsidRPr="00FE2EC4">
              <w:t>PTRM</w:t>
            </w:r>
          </w:p>
        </w:tc>
        <w:tc>
          <w:tcPr>
            <w:tcW w:w="4344" w:type="dxa"/>
          </w:tcPr>
          <w:p w:rsidR="00FE2EC4" w:rsidRPr="00FE2EC4" w:rsidRDefault="00FE2EC4" w:rsidP="00FE2EC4">
            <w:pPr>
              <w:numPr>
                <w:ilvl w:val="0"/>
                <w:numId w:val="25"/>
              </w:numPr>
            </w:pPr>
            <w:r w:rsidRPr="00FE2EC4">
              <w:t>post-tax revenue model</w:t>
            </w:r>
          </w:p>
        </w:tc>
      </w:tr>
      <w:tr w:rsidR="00FE2EC4" w:rsidTr="00FE2EC4">
        <w:tc>
          <w:tcPr>
            <w:tcW w:w="4349" w:type="dxa"/>
          </w:tcPr>
          <w:p w:rsidR="00FE2EC4" w:rsidRPr="00FE2EC4" w:rsidRDefault="00FE2EC4" w:rsidP="00FE2EC4">
            <w:pPr>
              <w:numPr>
                <w:ilvl w:val="0"/>
                <w:numId w:val="25"/>
              </w:numPr>
            </w:pPr>
            <w:r w:rsidRPr="00FE2EC4">
              <w:t>RAB</w:t>
            </w:r>
          </w:p>
        </w:tc>
        <w:tc>
          <w:tcPr>
            <w:tcW w:w="4344" w:type="dxa"/>
          </w:tcPr>
          <w:p w:rsidR="00FE2EC4" w:rsidRPr="00FE2EC4" w:rsidRDefault="00FE2EC4" w:rsidP="00FE2EC4">
            <w:pPr>
              <w:numPr>
                <w:ilvl w:val="0"/>
                <w:numId w:val="25"/>
              </w:numPr>
            </w:pPr>
            <w:r w:rsidRPr="00FE2EC4">
              <w:t>regulatory asset base</w:t>
            </w:r>
          </w:p>
        </w:tc>
      </w:tr>
      <w:tr w:rsidR="00FE2EC4" w:rsidTr="00FE2EC4">
        <w:trPr>
          <w:cnfStyle w:val="000000010000" w:firstRow="0" w:lastRow="0" w:firstColumn="0" w:lastColumn="0" w:oddVBand="0" w:evenVBand="0" w:oddHBand="0" w:evenHBand="1" w:firstRowFirstColumn="0" w:firstRowLastColumn="0" w:lastRowFirstColumn="0" w:lastRowLastColumn="0"/>
        </w:trPr>
        <w:tc>
          <w:tcPr>
            <w:tcW w:w="4349" w:type="dxa"/>
          </w:tcPr>
          <w:p w:rsidR="00FE2EC4" w:rsidRPr="00FE2EC4" w:rsidRDefault="00FE2EC4" w:rsidP="00FE2EC4">
            <w:pPr>
              <w:numPr>
                <w:ilvl w:val="0"/>
                <w:numId w:val="25"/>
              </w:numPr>
            </w:pPr>
            <w:r w:rsidRPr="00FE2EC4">
              <w:t>RBA</w:t>
            </w:r>
          </w:p>
        </w:tc>
        <w:tc>
          <w:tcPr>
            <w:tcW w:w="4344" w:type="dxa"/>
          </w:tcPr>
          <w:p w:rsidR="00FE2EC4" w:rsidRPr="00FE2EC4" w:rsidRDefault="00FE2EC4" w:rsidP="00FE2EC4">
            <w:pPr>
              <w:numPr>
                <w:ilvl w:val="0"/>
                <w:numId w:val="25"/>
              </w:numPr>
            </w:pPr>
            <w:r w:rsidRPr="00FE2EC4">
              <w:t>Reserve Bank of Australia</w:t>
            </w:r>
          </w:p>
        </w:tc>
      </w:tr>
      <w:tr w:rsidR="00FE2EC4" w:rsidTr="00FE2EC4">
        <w:tc>
          <w:tcPr>
            <w:tcW w:w="4349" w:type="dxa"/>
          </w:tcPr>
          <w:p w:rsidR="00FE2EC4" w:rsidRPr="00FE2EC4" w:rsidRDefault="00FE2EC4" w:rsidP="00FE2EC4">
            <w:pPr>
              <w:numPr>
                <w:ilvl w:val="0"/>
                <w:numId w:val="25"/>
              </w:numPr>
            </w:pPr>
            <w:proofErr w:type="spellStart"/>
            <w:r w:rsidRPr="00FE2EC4">
              <w:t>repex</w:t>
            </w:r>
            <w:proofErr w:type="spellEnd"/>
          </w:p>
        </w:tc>
        <w:tc>
          <w:tcPr>
            <w:tcW w:w="4344" w:type="dxa"/>
          </w:tcPr>
          <w:p w:rsidR="00FE2EC4" w:rsidRPr="00FE2EC4" w:rsidRDefault="00FE2EC4" w:rsidP="00FE2EC4">
            <w:pPr>
              <w:numPr>
                <w:ilvl w:val="0"/>
                <w:numId w:val="25"/>
              </w:numPr>
            </w:pPr>
            <w:r w:rsidRPr="00FE2EC4">
              <w:t>replacement expenditure</w:t>
            </w:r>
          </w:p>
        </w:tc>
      </w:tr>
      <w:tr w:rsidR="00FE2EC4" w:rsidTr="00FE2EC4">
        <w:trPr>
          <w:cnfStyle w:val="000000010000" w:firstRow="0" w:lastRow="0" w:firstColumn="0" w:lastColumn="0" w:oddVBand="0" w:evenVBand="0" w:oddHBand="0" w:evenHBand="1" w:firstRowFirstColumn="0" w:firstRowLastColumn="0" w:lastRowFirstColumn="0" w:lastRowLastColumn="0"/>
        </w:trPr>
        <w:tc>
          <w:tcPr>
            <w:tcW w:w="4349" w:type="dxa"/>
          </w:tcPr>
          <w:p w:rsidR="00FE2EC4" w:rsidRPr="00FE2EC4" w:rsidRDefault="00FE2EC4" w:rsidP="00FE2EC4">
            <w:pPr>
              <w:numPr>
                <w:ilvl w:val="0"/>
                <w:numId w:val="25"/>
              </w:numPr>
            </w:pPr>
            <w:r w:rsidRPr="00FE2EC4">
              <w:t>RFM</w:t>
            </w:r>
          </w:p>
        </w:tc>
        <w:tc>
          <w:tcPr>
            <w:tcW w:w="4344" w:type="dxa"/>
          </w:tcPr>
          <w:p w:rsidR="00FE2EC4" w:rsidRPr="00FE2EC4" w:rsidRDefault="00FE2EC4" w:rsidP="00FE2EC4">
            <w:pPr>
              <w:numPr>
                <w:ilvl w:val="0"/>
                <w:numId w:val="25"/>
              </w:numPr>
            </w:pPr>
            <w:r w:rsidRPr="00FE2EC4">
              <w:t>roll forward model</w:t>
            </w:r>
          </w:p>
        </w:tc>
      </w:tr>
      <w:tr w:rsidR="00FE2EC4" w:rsidTr="00FE2EC4">
        <w:tc>
          <w:tcPr>
            <w:tcW w:w="4349" w:type="dxa"/>
          </w:tcPr>
          <w:p w:rsidR="00FE2EC4" w:rsidRPr="00FE2EC4" w:rsidRDefault="00FE2EC4" w:rsidP="00FE2EC4">
            <w:pPr>
              <w:numPr>
                <w:ilvl w:val="0"/>
                <w:numId w:val="25"/>
              </w:numPr>
            </w:pPr>
            <w:r w:rsidRPr="00FE2EC4">
              <w:lastRenderedPageBreak/>
              <w:t>RIN</w:t>
            </w:r>
          </w:p>
        </w:tc>
        <w:tc>
          <w:tcPr>
            <w:tcW w:w="4344" w:type="dxa"/>
          </w:tcPr>
          <w:p w:rsidR="00FE2EC4" w:rsidRPr="00FE2EC4" w:rsidRDefault="00FE2EC4" w:rsidP="00FE2EC4">
            <w:pPr>
              <w:numPr>
                <w:ilvl w:val="0"/>
                <w:numId w:val="25"/>
              </w:numPr>
            </w:pPr>
            <w:r w:rsidRPr="00FE2EC4">
              <w:t>regulatory information notice</w:t>
            </w:r>
          </w:p>
        </w:tc>
      </w:tr>
      <w:tr w:rsidR="00FE2EC4" w:rsidTr="00FE2EC4">
        <w:trPr>
          <w:cnfStyle w:val="000000010000" w:firstRow="0" w:lastRow="0" w:firstColumn="0" w:lastColumn="0" w:oddVBand="0" w:evenVBand="0" w:oddHBand="0" w:evenHBand="1" w:firstRowFirstColumn="0" w:firstRowLastColumn="0" w:lastRowFirstColumn="0" w:lastRowLastColumn="0"/>
        </w:trPr>
        <w:tc>
          <w:tcPr>
            <w:tcW w:w="4349" w:type="dxa"/>
          </w:tcPr>
          <w:p w:rsidR="00FE2EC4" w:rsidRPr="00FE2EC4" w:rsidRDefault="00FE2EC4" w:rsidP="00FE2EC4">
            <w:pPr>
              <w:numPr>
                <w:ilvl w:val="0"/>
                <w:numId w:val="25"/>
              </w:numPr>
            </w:pPr>
            <w:r w:rsidRPr="00FE2EC4">
              <w:t>RPP</w:t>
            </w:r>
          </w:p>
        </w:tc>
        <w:tc>
          <w:tcPr>
            <w:tcW w:w="4344" w:type="dxa"/>
          </w:tcPr>
          <w:p w:rsidR="00FE2EC4" w:rsidRPr="00FE2EC4" w:rsidRDefault="00FE2EC4" w:rsidP="00FE2EC4">
            <w:pPr>
              <w:numPr>
                <w:ilvl w:val="0"/>
                <w:numId w:val="25"/>
              </w:numPr>
            </w:pPr>
            <w:r w:rsidRPr="00FE2EC4">
              <w:t>revenue and pricing principles</w:t>
            </w:r>
          </w:p>
        </w:tc>
      </w:tr>
      <w:tr w:rsidR="00FE2EC4" w:rsidTr="00FE2EC4">
        <w:tc>
          <w:tcPr>
            <w:tcW w:w="4349" w:type="dxa"/>
          </w:tcPr>
          <w:p w:rsidR="00FE2EC4" w:rsidRPr="00FE2EC4" w:rsidRDefault="00FE2EC4" w:rsidP="00FE2EC4">
            <w:pPr>
              <w:numPr>
                <w:ilvl w:val="0"/>
                <w:numId w:val="25"/>
              </w:numPr>
            </w:pPr>
            <w:r w:rsidRPr="00FE2EC4">
              <w:t>SAIDI</w:t>
            </w:r>
          </w:p>
        </w:tc>
        <w:tc>
          <w:tcPr>
            <w:tcW w:w="4344" w:type="dxa"/>
          </w:tcPr>
          <w:p w:rsidR="00FE2EC4" w:rsidRPr="00FE2EC4" w:rsidRDefault="00FE2EC4" w:rsidP="00FE2EC4">
            <w:pPr>
              <w:numPr>
                <w:ilvl w:val="0"/>
                <w:numId w:val="25"/>
              </w:numPr>
            </w:pPr>
            <w:r w:rsidRPr="00FE2EC4">
              <w:t>system average interruption duration index</w:t>
            </w:r>
          </w:p>
        </w:tc>
      </w:tr>
      <w:tr w:rsidR="00FE2EC4" w:rsidTr="00FE2EC4">
        <w:trPr>
          <w:cnfStyle w:val="000000010000" w:firstRow="0" w:lastRow="0" w:firstColumn="0" w:lastColumn="0" w:oddVBand="0" w:evenVBand="0" w:oddHBand="0" w:evenHBand="1" w:firstRowFirstColumn="0" w:firstRowLastColumn="0" w:lastRowFirstColumn="0" w:lastRowLastColumn="0"/>
        </w:trPr>
        <w:tc>
          <w:tcPr>
            <w:tcW w:w="4349" w:type="dxa"/>
          </w:tcPr>
          <w:p w:rsidR="00FE2EC4" w:rsidRPr="00FE2EC4" w:rsidRDefault="00FE2EC4" w:rsidP="00FE2EC4">
            <w:pPr>
              <w:numPr>
                <w:ilvl w:val="0"/>
                <w:numId w:val="25"/>
              </w:numPr>
            </w:pPr>
            <w:r w:rsidRPr="00FE2EC4">
              <w:t>SAIFI</w:t>
            </w:r>
          </w:p>
        </w:tc>
        <w:tc>
          <w:tcPr>
            <w:tcW w:w="4344" w:type="dxa"/>
          </w:tcPr>
          <w:p w:rsidR="00FE2EC4" w:rsidRPr="00FE2EC4" w:rsidRDefault="00FE2EC4" w:rsidP="00FE2EC4">
            <w:pPr>
              <w:numPr>
                <w:ilvl w:val="0"/>
                <w:numId w:val="25"/>
              </w:numPr>
            </w:pPr>
            <w:r w:rsidRPr="00FE2EC4">
              <w:t>system average interruption frequency index</w:t>
            </w:r>
          </w:p>
        </w:tc>
      </w:tr>
      <w:tr w:rsidR="00FE2EC4" w:rsidTr="00FE2EC4">
        <w:tc>
          <w:tcPr>
            <w:tcW w:w="4349" w:type="dxa"/>
          </w:tcPr>
          <w:p w:rsidR="00FE2EC4" w:rsidRPr="00FE2EC4" w:rsidRDefault="00FE2EC4" w:rsidP="00FE2EC4">
            <w:pPr>
              <w:numPr>
                <w:ilvl w:val="0"/>
                <w:numId w:val="25"/>
              </w:numPr>
            </w:pPr>
            <w:r w:rsidRPr="00FE2EC4">
              <w:t>SLCAPM</w:t>
            </w:r>
          </w:p>
        </w:tc>
        <w:tc>
          <w:tcPr>
            <w:tcW w:w="4344" w:type="dxa"/>
          </w:tcPr>
          <w:p w:rsidR="00FE2EC4" w:rsidRPr="00FE2EC4" w:rsidRDefault="00FE2EC4" w:rsidP="00FE2EC4">
            <w:pPr>
              <w:numPr>
                <w:ilvl w:val="0"/>
                <w:numId w:val="25"/>
              </w:numPr>
            </w:pPr>
            <w:r w:rsidRPr="00FE2EC4">
              <w:t>Sharpe-</w:t>
            </w:r>
            <w:proofErr w:type="spellStart"/>
            <w:r w:rsidRPr="00FE2EC4">
              <w:t>Lintner</w:t>
            </w:r>
            <w:proofErr w:type="spellEnd"/>
            <w:r w:rsidRPr="00FE2EC4">
              <w:t xml:space="preserve"> capital asset pricing model</w:t>
            </w:r>
          </w:p>
        </w:tc>
      </w:tr>
      <w:tr w:rsidR="00FE2EC4" w:rsidTr="00FE2EC4">
        <w:trPr>
          <w:cnfStyle w:val="000000010000" w:firstRow="0" w:lastRow="0" w:firstColumn="0" w:lastColumn="0" w:oddVBand="0" w:evenVBand="0" w:oddHBand="0" w:evenHBand="1" w:firstRowFirstColumn="0" w:firstRowLastColumn="0" w:lastRowFirstColumn="0" w:lastRowLastColumn="0"/>
        </w:trPr>
        <w:tc>
          <w:tcPr>
            <w:tcW w:w="4349" w:type="dxa"/>
          </w:tcPr>
          <w:p w:rsidR="00FE2EC4" w:rsidRPr="00FE2EC4" w:rsidRDefault="00FE2EC4" w:rsidP="00FE2EC4">
            <w:pPr>
              <w:numPr>
                <w:ilvl w:val="0"/>
                <w:numId w:val="25"/>
              </w:numPr>
            </w:pPr>
            <w:r w:rsidRPr="00FE2EC4">
              <w:t>STPIS</w:t>
            </w:r>
          </w:p>
        </w:tc>
        <w:tc>
          <w:tcPr>
            <w:tcW w:w="4344" w:type="dxa"/>
          </w:tcPr>
          <w:p w:rsidR="00FE2EC4" w:rsidRPr="00FE2EC4" w:rsidRDefault="00FE2EC4" w:rsidP="00FE2EC4">
            <w:pPr>
              <w:numPr>
                <w:ilvl w:val="0"/>
                <w:numId w:val="25"/>
              </w:numPr>
            </w:pPr>
            <w:r w:rsidRPr="00FE2EC4">
              <w:t>service target performance incentive scheme</w:t>
            </w:r>
          </w:p>
        </w:tc>
      </w:tr>
      <w:tr w:rsidR="00FE2EC4" w:rsidTr="00FE2EC4">
        <w:tc>
          <w:tcPr>
            <w:tcW w:w="4349" w:type="dxa"/>
          </w:tcPr>
          <w:p w:rsidR="00FE2EC4" w:rsidRPr="00FE2EC4" w:rsidRDefault="00FE2EC4" w:rsidP="00FE2EC4">
            <w:pPr>
              <w:numPr>
                <w:ilvl w:val="0"/>
                <w:numId w:val="25"/>
              </w:numPr>
            </w:pPr>
            <w:r w:rsidRPr="00FE2EC4">
              <w:t>WACC</w:t>
            </w:r>
          </w:p>
        </w:tc>
        <w:tc>
          <w:tcPr>
            <w:tcW w:w="4344" w:type="dxa"/>
          </w:tcPr>
          <w:p w:rsidR="00FE2EC4" w:rsidRPr="00FE2EC4" w:rsidRDefault="00FE2EC4" w:rsidP="00FE2EC4">
            <w:pPr>
              <w:numPr>
                <w:ilvl w:val="0"/>
                <w:numId w:val="25"/>
              </w:numPr>
            </w:pPr>
            <w:r w:rsidRPr="00FE2EC4">
              <w:t>weighted average cost of capital</w:t>
            </w:r>
          </w:p>
        </w:tc>
      </w:tr>
    </w:tbl>
    <w:p w:rsidR="00DE563D" w:rsidRPr="00436A39" w:rsidRDefault="00DE563D" w:rsidP="00DE563D">
      <w:pPr>
        <w:numPr>
          <w:ilvl w:val="0"/>
          <w:numId w:val="25"/>
        </w:numPr>
      </w:pPr>
    </w:p>
    <w:p w:rsidR="00DE563D" w:rsidRDefault="00DE563D" w:rsidP="00DE563D"/>
    <w:p w:rsidR="00DE563D" w:rsidRDefault="00CF0DEE" w:rsidP="00CF0DEE">
      <w:pPr>
        <w:pStyle w:val="Heading1"/>
      </w:pPr>
      <w:bookmarkStart w:id="10" w:name="_Toc416180094"/>
      <w:r>
        <w:lastRenderedPageBreak/>
        <w:t>Annual revenue requirement</w:t>
      </w:r>
      <w:bookmarkEnd w:id="10"/>
    </w:p>
    <w:p w:rsidR="00DB12E8" w:rsidRDefault="00DB12E8" w:rsidP="00DB12E8">
      <w:pPr>
        <w:numPr>
          <w:ilvl w:val="0"/>
          <w:numId w:val="25"/>
        </w:numPr>
      </w:pPr>
      <w:r w:rsidRPr="0094506C">
        <w:t>The annual revenue requirement (ARR) is the sum of the various building block costs for each year of th</w:t>
      </w:r>
      <w:r w:rsidR="00760B38">
        <w:t>e regulatory control</w:t>
      </w:r>
      <w:r w:rsidRPr="0094506C">
        <w:t xml:space="preserve"> period before smoothing. The ARRs are smoothed across the period to reduce fluctuations between years and to determine expected revenues for each year. The expected revenues are the amounts that </w:t>
      </w:r>
      <w:r>
        <w:t>Ausgrid</w:t>
      </w:r>
      <w:r w:rsidRPr="0094506C">
        <w:t xml:space="preserve"> will target for annual pricing purposes</w:t>
      </w:r>
      <w:r w:rsidR="00760B38">
        <w:t xml:space="preserve"> and </w:t>
      </w:r>
      <w:r w:rsidR="00760B38" w:rsidRPr="00F95B9F">
        <w:t xml:space="preserve">recover from </w:t>
      </w:r>
      <w:r w:rsidR="00760B38">
        <w:t xml:space="preserve">customers for </w:t>
      </w:r>
      <w:r w:rsidR="00760B38" w:rsidRPr="00F95B9F">
        <w:t>the provision of standard control services for each year of the regulatory control period</w:t>
      </w:r>
      <w:r>
        <w:t>. This attachment sets out our final</w:t>
      </w:r>
      <w:r w:rsidRPr="0094506C">
        <w:t xml:space="preserve"> decision on </w:t>
      </w:r>
      <w:r>
        <w:t>Ausgrid</w:t>
      </w:r>
      <w:r w:rsidRPr="0094506C">
        <w:t xml:space="preserve">'s ARRs </w:t>
      </w:r>
      <w:r>
        <w:t xml:space="preserve">for the 2014–19 period </w:t>
      </w:r>
      <w:r w:rsidRPr="0094506C">
        <w:t>and expected revenues for the 201</w:t>
      </w:r>
      <w:r>
        <w:t>5–</w:t>
      </w:r>
      <w:r w:rsidRPr="0094506C">
        <w:t xml:space="preserve">19 </w:t>
      </w:r>
      <w:r>
        <w:t xml:space="preserve">regulatory control </w:t>
      </w:r>
      <w:r w:rsidRPr="0094506C">
        <w:t>period.</w:t>
      </w:r>
      <w:r w:rsidR="00D97B8F">
        <w:t xml:space="preserve"> We consider these two periods to account for the 2014–15 transitional year that was set out in the transitional rules.</w:t>
      </w:r>
    </w:p>
    <w:p w:rsidR="00DE563D" w:rsidRPr="001754EE" w:rsidRDefault="00415F31" w:rsidP="001754EE">
      <w:pPr>
        <w:pStyle w:val="Heading2"/>
      </w:pPr>
      <w:bookmarkStart w:id="11" w:name="_Toc403144136"/>
      <w:bookmarkStart w:id="12" w:name="_Toc416180095"/>
      <w:r w:rsidRPr="001754EE">
        <w:t>Final</w:t>
      </w:r>
      <w:r w:rsidR="00DE563D" w:rsidRPr="001754EE">
        <w:t xml:space="preserve"> decision</w:t>
      </w:r>
      <w:bookmarkEnd w:id="11"/>
      <w:bookmarkEnd w:id="12"/>
    </w:p>
    <w:p w:rsidR="00DB12E8" w:rsidRDefault="00DB12E8" w:rsidP="00DB12E8">
      <w:pPr>
        <w:numPr>
          <w:ilvl w:val="0"/>
          <w:numId w:val="25"/>
        </w:numPr>
      </w:pPr>
      <w:bookmarkStart w:id="13" w:name="_Toc403144137"/>
      <w:r w:rsidRPr="0094506C">
        <w:t xml:space="preserve">We do not accept </w:t>
      </w:r>
      <w:r>
        <w:t>Ausgrid</w:t>
      </w:r>
      <w:r w:rsidRPr="0094506C">
        <w:t xml:space="preserve">'s </w:t>
      </w:r>
      <w:r>
        <w:t xml:space="preserve">revised </w:t>
      </w:r>
      <w:r w:rsidRPr="0094506C">
        <w:t>proposed total revenue requirement</w:t>
      </w:r>
      <w:r>
        <w:t>s</w:t>
      </w:r>
      <w:r>
        <w:rPr>
          <w:rStyle w:val="FootnoteReference"/>
        </w:rPr>
        <w:footnoteReference w:id="1"/>
      </w:r>
      <w:r>
        <w:t xml:space="preserve"> </w:t>
      </w:r>
      <w:r w:rsidRPr="0094506C">
        <w:t>of $</w:t>
      </w:r>
      <w:r>
        <w:t>1</w:t>
      </w:r>
      <w:r w:rsidR="004D68D6">
        <w:t>0577.0</w:t>
      </w:r>
      <w:r w:rsidR="00B81674">
        <w:t> </w:t>
      </w:r>
      <w:r w:rsidRPr="0094506C">
        <w:t xml:space="preserve">million </w:t>
      </w:r>
      <w:r w:rsidR="00760B38">
        <w:t xml:space="preserve">for its distribution network </w:t>
      </w:r>
      <w:r>
        <w:t>and $1</w:t>
      </w:r>
      <w:r w:rsidR="004D68D6">
        <w:t>369.6</w:t>
      </w:r>
      <w:r>
        <w:t xml:space="preserve"> million </w:t>
      </w:r>
      <w:r w:rsidRPr="0094506C">
        <w:t xml:space="preserve">($ nominal) </w:t>
      </w:r>
      <w:r w:rsidR="00760B38">
        <w:t xml:space="preserve">for its transmission network </w:t>
      </w:r>
      <w:r w:rsidRPr="0094506C">
        <w:t xml:space="preserve">over the 2014–19 period. </w:t>
      </w:r>
      <w:r w:rsidR="00760B38">
        <w:t>This is because we have not accepted the building block costs that Ausgrid proposed in its revised proposal</w:t>
      </w:r>
      <w:r w:rsidRPr="0094506C">
        <w:t xml:space="preserve">. </w:t>
      </w:r>
    </w:p>
    <w:p w:rsidR="00DB12E8" w:rsidRDefault="00DB12E8" w:rsidP="00DB12E8">
      <w:pPr>
        <w:numPr>
          <w:ilvl w:val="0"/>
          <w:numId w:val="25"/>
        </w:numPr>
      </w:pPr>
      <w:r w:rsidRPr="0094506C">
        <w:t xml:space="preserve">We determine a total revenue requirement for </w:t>
      </w:r>
      <w:r>
        <w:t xml:space="preserve">the 2014–19 period, reflecting our </w:t>
      </w:r>
      <w:r w:rsidR="004D68D6">
        <w:t xml:space="preserve">final </w:t>
      </w:r>
      <w:r>
        <w:t xml:space="preserve">decision on the various building block costs, </w:t>
      </w:r>
      <w:r w:rsidR="00D97B8F">
        <w:t>to be</w:t>
      </w:r>
      <w:r>
        <w:t>:</w:t>
      </w:r>
    </w:p>
    <w:p w:rsidR="00DB12E8" w:rsidRPr="00DB12E8" w:rsidRDefault="00DB12E8" w:rsidP="00DB12E8">
      <w:pPr>
        <w:pStyle w:val="AERbulletlistfirststyle"/>
      </w:pPr>
      <w:r w:rsidRPr="0094506C">
        <w:t>$</w:t>
      </w:r>
      <w:r w:rsidR="00B33E3E">
        <w:t>78</w:t>
      </w:r>
      <w:r w:rsidR="005007E0">
        <w:t>6</w:t>
      </w:r>
      <w:r w:rsidR="008D0E96">
        <w:t>7.0</w:t>
      </w:r>
      <w:r w:rsidRPr="00DB12E8">
        <w:t xml:space="preserve"> million ($ nominal) for Ausgrid's distribution network. This is a reduction of $</w:t>
      </w:r>
      <w:r w:rsidR="00B33E3E">
        <w:t>27</w:t>
      </w:r>
      <w:r w:rsidR="005007E0">
        <w:t>1</w:t>
      </w:r>
      <w:r w:rsidR="008D0E96">
        <w:t>0.0</w:t>
      </w:r>
      <w:r w:rsidRPr="00DB12E8">
        <w:t xml:space="preserve"> million ($ nominal) or </w:t>
      </w:r>
      <w:r w:rsidR="00B33E3E">
        <w:t>25.</w:t>
      </w:r>
      <w:r w:rsidR="005007E0">
        <w:t>6</w:t>
      </w:r>
      <w:r w:rsidRPr="00DB12E8">
        <w:t xml:space="preserve"> per cent to Ausgrid's </w:t>
      </w:r>
      <w:r w:rsidR="001C6D55">
        <w:t xml:space="preserve">revised </w:t>
      </w:r>
      <w:r w:rsidRPr="00DB12E8">
        <w:t>proposal.</w:t>
      </w:r>
    </w:p>
    <w:p w:rsidR="00DB12E8" w:rsidRPr="00DB12E8" w:rsidRDefault="00DB12E8" w:rsidP="00DB12E8">
      <w:pPr>
        <w:pStyle w:val="AERbulletlistfirststyle"/>
      </w:pPr>
      <w:r>
        <w:t>$</w:t>
      </w:r>
      <w:r w:rsidR="00B33E3E">
        <w:t>101</w:t>
      </w:r>
      <w:r w:rsidR="000739F0">
        <w:t>2.3</w:t>
      </w:r>
      <w:r w:rsidRPr="00DB12E8">
        <w:t xml:space="preserve"> million ($ nominal) for Ausgrid's transmission network. This is a reduction of $</w:t>
      </w:r>
      <w:r w:rsidR="005007E0">
        <w:t>35</w:t>
      </w:r>
      <w:r w:rsidR="000739F0">
        <w:t>7.3</w:t>
      </w:r>
      <w:r w:rsidRPr="00DB12E8">
        <w:t xml:space="preserve"> million ($ nominal) or </w:t>
      </w:r>
      <w:r w:rsidR="005007E0">
        <w:t>2</w:t>
      </w:r>
      <w:r w:rsidR="000739F0">
        <w:t>6.1</w:t>
      </w:r>
      <w:r w:rsidRPr="00DB12E8">
        <w:t xml:space="preserve"> per cent to Ausgrid's</w:t>
      </w:r>
      <w:r w:rsidR="001C6D55">
        <w:t xml:space="preserve"> revised</w:t>
      </w:r>
      <w:r w:rsidRPr="00DB12E8">
        <w:t xml:space="preserve"> proposal.</w:t>
      </w:r>
    </w:p>
    <w:p w:rsidR="00DB12E8" w:rsidRDefault="00760B38" w:rsidP="00DB12E8">
      <w:pPr>
        <w:numPr>
          <w:ilvl w:val="0"/>
          <w:numId w:val="25"/>
        </w:numPr>
      </w:pPr>
      <w:r>
        <w:t>W</w:t>
      </w:r>
      <w:r w:rsidR="00DB12E8">
        <w:t>e approved in our transitional determination</w:t>
      </w:r>
      <w:r>
        <w:t xml:space="preserve"> placeholder revenues for 2014–15 of $1956.4 million for Ausgrid's distribution network and $252.3 million for its transmission network.</w:t>
      </w:r>
      <w:r>
        <w:rPr>
          <w:rStyle w:val="FootnoteReference"/>
        </w:rPr>
        <w:footnoteReference w:id="2"/>
      </w:r>
      <w:r w:rsidRPr="00760B38">
        <w:t xml:space="preserve"> </w:t>
      </w:r>
      <w:r>
        <w:t xml:space="preserve">Under the transitional rules, we are required to determine the ARRs for 2014–15 as part of this full determination process and do a true-up for the differences between the placeholder revenues and ARRs. We have now determined ARRs for 2014–15 of </w:t>
      </w:r>
      <w:r w:rsidR="00DB12E8">
        <w:t>$</w:t>
      </w:r>
      <w:r w:rsidR="00B33E3E">
        <w:t>15</w:t>
      </w:r>
      <w:r w:rsidR="005007E0">
        <w:t>4</w:t>
      </w:r>
      <w:r w:rsidR="008D0E96">
        <w:t>6.0</w:t>
      </w:r>
      <w:r w:rsidR="00DB12E8">
        <w:t xml:space="preserve"> </w:t>
      </w:r>
      <w:r w:rsidR="004D68D6">
        <w:t xml:space="preserve">million </w:t>
      </w:r>
      <w:r w:rsidR="00DB12E8">
        <w:t>and $</w:t>
      </w:r>
      <w:r w:rsidR="00B33E3E">
        <w:t>19</w:t>
      </w:r>
      <w:r w:rsidR="000739F0">
        <w:t>2</w:t>
      </w:r>
      <w:r w:rsidR="00B33E3E">
        <w:t>.</w:t>
      </w:r>
      <w:r w:rsidR="008D0E96">
        <w:t>8</w:t>
      </w:r>
      <w:r w:rsidR="004D68D6">
        <w:t> million</w:t>
      </w:r>
      <w:r w:rsidR="00DB12E8">
        <w:t xml:space="preserve"> respectively for </w:t>
      </w:r>
      <w:proofErr w:type="spellStart"/>
      <w:r>
        <w:t>Ausgrid's</w:t>
      </w:r>
      <w:proofErr w:type="spellEnd"/>
      <w:r>
        <w:t xml:space="preserve"> distribution and transmission networks</w:t>
      </w:r>
      <w:r w:rsidR="00DB12E8">
        <w:t xml:space="preserve">. </w:t>
      </w:r>
      <w:r>
        <w:t xml:space="preserve">The differences are therefore </w:t>
      </w:r>
      <w:r w:rsidR="00DB12E8">
        <w:t>$</w:t>
      </w:r>
      <w:r w:rsidR="00B33E3E">
        <w:t>4</w:t>
      </w:r>
      <w:r w:rsidR="005007E0">
        <w:t>1</w:t>
      </w:r>
      <w:r w:rsidR="008D0E96">
        <w:t>0</w:t>
      </w:r>
      <w:r w:rsidR="005007E0">
        <w:t>.</w:t>
      </w:r>
      <w:r w:rsidR="008D0E96">
        <w:t>4</w:t>
      </w:r>
      <w:r w:rsidR="00DB12E8">
        <w:t xml:space="preserve"> million and $</w:t>
      </w:r>
      <w:r w:rsidR="00B33E3E">
        <w:t>5</w:t>
      </w:r>
      <w:r w:rsidR="000739F0">
        <w:t>9.5</w:t>
      </w:r>
      <w:r w:rsidR="00A11853">
        <w:t> </w:t>
      </w:r>
      <w:r w:rsidR="00DB12E8">
        <w:t xml:space="preserve">million ($nominal) respectively. We have applied these </w:t>
      </w:r>
      <w:r>
        <w:t>differences</w:t>
      </w:r>
      <w:r w:rsidR="00DB12E8">
        <w:t xml:space="preserve"> as part of the smoothing process to establish the annual expected revenues for the 2015–19 regulatory control </w:t>
      </w:r>
      <w:proofErr w:type="gramStart"/>
      <w:r w:rsidR="00DB12E8">
        <w:t>period</w:t>
      </w:r>
      <w:proofErr w:type="gramEnd"/>
      <w:r w:rsidR="00DB12E8">
        <w:t xml:space="preserve">. </w:t>
      </w:r>
    </w:p>
    <w:p w:rsidR="00DB12E8" w:rsidRDefault="00DB12E8" w:rsidP="00DB12E8">
      <w:pPr>
        <w:numPr>
          <w:ilvl w:val="0"/>
          <w:numId w:val="25"/>
        </w:numPr>
      </w:pPr>
      <w:r w:rsidRPr="00AC0E54">
        <w:t xml:space="preserve">As a result of our smoothing of the ARRs, our </w:t>
      </w:r>
      <w:r w:rsidR="009A1A3C">
        <w:t>final</w:t>
      </w:r>
      <w:r w:rsidRPr="00AC0E54">
        <w:t xml:space="preserve"> decision </w:t>
      </w:r>
      <w:r>
        <w:t xml:space="preserve">on the annual expected revenue and X factor (distribution and transmission networks) for each regulatory year </w:t>
      </w:r>
      <w:r>
        <w:lastRenderedPageBreak/>
        <w:t xml:space="preserve">of the 2015–19 regulatory control </w:t>
      </w:r>
      <w:proofErr w:type="gramStart"/>
      <w:r>
        <w:t>period</w:t>
      </w:r>
      <w:proofErr w:type="gramEnd"/>
      <w:r>
        <w:t xml:space="preserve"> is set out in </w:t>
      </w:r>
      <w:r>
        <w:fldChar w:fldCharType="begin"/>
      </w:r>
      <w:r>
        <w:instrText xml:space="preserve"> REF _Ref403478009 \h </w:instrText>
      </w:r>
      <w:r>
        <w:fldChar w:fldCharType="separate"/>
      </w:r>
      <w:r w:rsidR="00A11853">
        <w:t xml:space="preserve">Table </w:t>
      </w:r>
      <w:r w:rsidR="00A11853">
        <w:rPr>
          <w:noProof/>
        </w:rPr>
        <w:t>1</w:t>
      </w:r>
      <w:r w:rsidR="00A11853">
        <w:t>.</w:t>
      </w:r>
      <w:r w:rsidR="00A11853">
        <w:rPr>
          <w:noProof/>
        </w:rPr>
        <w:t>1</w:t>
      </w:r>
      <w:r>
        <w:fldChar w:fldCharType="end"/>
      </w:r>
      <w:r>
        <w:t xml:space="preserve"> and </w:t>
      </w:r>
      <w:r>
        <w:fldChar w:fldCharType="begin"/>
      </w:r>
      <w:r>
        <w:instrText xml:space="preserve"> REF _Ref403478012 \h </w:instrText>
      </w:r>
      <w:r>
        <w:fldChar w:fldCharType="separate"/>
      </w:r>
      <w:r w:rsidR="00A11853">
        <w:t xml:space="preserve">Table </w:t>
      </w:r>
      <w:r w:rsidR="00A11853">
        <w:rPr>
          <w:noProof/>
        </w:rPr>
        <w:t>1</w:t>
      </w:r>
      <w:r w:rsidR="00A11853">
        <w:t>.</w:t>
      </w:r>
      <w:r w:rsidR="00A11853">
        <w:rPr>
          <w:noProof/>
        </w:rPr>
        <w:t>2</w:t>
      </w:r>
      <w:r>
        <w:fldChar w:fldCharType="end"/>
      </w:r>
      <w:r>
        <w:t xml:space="preserve">. Our </w:t>
      </w:r>
      <w:r w:rsidR="004D68D6">
        <w:t xml:space="preserve">final </w:t>
      </w:r>
      <w:r>
        <w:t xml:space="preserve">decision </w:t>
      </w:r>
      <w:r w:rsidRPr="00AC0E54">
        <w:t>is to approve total expected revenues (smoothed) of $</w:t>
      </w:r>
      <w:r w:rsidR="00B33E3E">
        <w:t>58</w:t>
      </w:r>
      <w:r w:rsidR="005007E0">
        <w:t>2</w:t>
      </w:r>
      <w:r w:rsidR="008D0E96">
        <w:t>7.7</w:t>
      </w:r>
      <w:r w:rsidRPr="00AC0E54">
        <w:t xml:space="preserve"> million </w:t>
      </w:r>
      <w:r>
        <w:t>and $</w:t>
      </w:r>
      <w:r w:rsidR="00B33E3E">
        <w:t>7</w:t>
      </w:r>
      <w:r w:rsidR="000739F0">
        <w:t>48.8</w:t>
      </w:r>
      <w:r w:rsidR="00B33E3E">
        <w:t xml:space="preserve"> </w:t>
      </w:r>
      <w:r>
        <w:t xml:space="preserve">million </w:t>
      </w:r>
      <w:r w:rsidRPr="00AC0E54">
        <w:t>($ nominal) for the 201</w:t>
      </w:r>
      <w:r>
        <w:t>5</w:t>
      </w:r>
      <w:r w:rsidRPr="00AC0E54">
        <w:t xml:space="preserve">–19 </w:t>
      </w:r>
      <w:r>
        <w:t xml:space="preserve">regulatory control </w:t>
      </w:r>
      <w:r w:rsidRPr="00AC0E54">
        <w:t>period</w:t>
      </w:r>
      <w:r>
        <w:t xml:space="preserve"> in relation to Ausgrid's distribution and transmission networks respectively</w:t>
      </w:r>
      <w:r w:rsidRPr="00AC0E54">
        <w:t>.</w:t>
      </w:r>
    </w:p>
    <w:p w:rsidR="00DB12E8" w:rsidRDefault="000739F0" w:rsidP="00DB12E8">
      <w:pPr>
        <w:numPr>
          <w:ilvl w:val="0"/>
          <w:numId w:val="25"/>
        </w:numPr>
      </w:pPr>
      <w:r>
        <w:fldChar w:fldCharType="begin"/>
      </w:r>
      <w:r>
        <w:instrText xml:space="preserve"> REF _Ref401571149 \h </w:instrText>
      </w:r>
      <w:r>
        <w:fldChar w:fldCharType="separate"/>
      </w:r>
      <w:r>
        <w:t xml:space="preserve">Figure </w:t>
      </w:r>
      <w:r>
        <w:rPr>
          <w:noProof/>
        </w:rPr>
        <w:t>1</w:t>
      </w:r>
      <w:r>
        <w:t>.</w:t>
      </w:r>
      <w:r>
        <w:rPr>
          <w:noProof/>
        </w:rPr>
        <w:t>1</w:t>
      </w:r>
      <w:r>
        <w:fldChar w:fldCharType="end"/>
      </w:r>
      <w:r w:rsidR="00DB12E8">
        <w:t xml:space="preserve"> </w:t>
      </w:r>
      <w:r w:rsidR="00DB12E8" w:rsidRPr="0094506C">
        <w:t>show</w:t>
      </w:r>
      <w:r w:rsidR="00760B38">
        <w:t>s</w:t>
      </w:r>
      <w:r w:rsidR="00DB12E8" w:rsidRPr="0094506C">
        <w:t xml:space="preserve"> the difference between </w:t>
      </w:r>
      <w:r w:rsidR="00DB12E8">
        <w:t>Ausgrid</w:t>
      </w:r>
      <w:r w:rsidR="00DB12E8" w:rsidRPr="0094506C">
        <w:t xml:space="preserve">'s proposal </w:t>
      </w:r>
      <w:r w:rsidR="004D68D6">
        <w:t xml:space="preserve">(initial and revised) </w:t>
      </w:r>
      <w:r w:rsidR="00DB12E8" w:rsidRPr="0094506C">
        <w:t>and our decision</w:t>
      </w:r>
      <w:r w:rsidR="004D68D6">
        <w:t xml:space="preserve"> (draft and final)</w:t>
      </w:r>
      <w:r w:rsidR="00DB12E8">
        <w:t xml:space="preserve"> for its distribution network</w:t>
      </w:r>
      <w:r w:rsidR="00760B38" w:rsidRPr="00760B38">
        <w:t xml:space="preserve"> </w:t>
      </w:r>
      <w:r w:rsidR="00760B38">
        <w:t xml:space="preserve">and </w:t>
      </w:r>
      <w:r w:rsidR="00760B38">
        <w:fldChar w:fldCharType="begin"/>
      </w:r>
      <w:r w:rsidR="00760B38">
        <w:instrText xml:space="preserve"> REF _Ref404354066 \h </w:instrText>
      </w:r>
      <w:r w:rsidR="00760B38">
        <w:fldChar w:fldCharType="separate"/>
      </w:r>
      <w:r w:rsidR="00A11853">
        <w:t xml:space="preserve">Figure </w:t>
      </w:r>
      <w:r w:rsidR="00A11853">
        <w:rPr>
          <w:noProof/>
        </w:rPr>
        <w:t>1</w:t>
      </w:r>
      <w:r w:rsidR="00A11853">
        <w:t>.</w:t>
      </w:r>
      <w:r w:rsidR="00A11853">
        <w:rPr>
          <w:noProof/>
        </w:rPr>
        <w:t>2</w:t>
      </w:r>
      <w:r w:rsidR="00760B38">
        <w:fldChar w:fldCharType="end"/>
      </w:r>
      <w:r w:rsidR="00760B38">
        <w:t xml:space="preserve"> shows same for its transmission network.</w:t>
      </w:r>
    </w:p>
    <w:p w:rsidR="00EC6807" w:rsidRPr="003E661C" w:rsidRDefault="00DB12E8" w:rsidP="003E661C">
      <w:pPr>
        <w:pStyle w:val="Caption"/>
      </w:pPr>
      <w:bookmarkStart w:id="14" w:name="_Ref401571149"/>
      <w:proofErr w:type="gramStart"/>
      <w:r w:rsidRPr="003E661C">
        <w:t xml:space="preserve">Figure </w:t>
      </w:r>
      <w:r w:rsidR="006B77CA">
        <w:fldChar w:fldCharType="begin"/>
      </w:r>
      <w:r w:rsidR="006B77CA">
        <w:instrText xml:space="preserve"> STYLEREF 1 \s </w:instrText>
      </w:r>
      <w:r w:rsidR="006B77CA">
        <w:fldChar w:fldCharType="separate"/>
      </w:r>
      <w:r w:rsidR="00A11853" w:rsidRPr="003E661C">
        <w:t>1</w:t>
      </w:r>
      <w:r w:rsidR="006B77CA">
        <w:fldChar w:fldCharType="end"/>
      </w:r>
      <w:r w:rsidRPr="003E661C">
        <w:t>.</w:t>
      </w:r>
      <w:proofErr w:type="gramEnd"/>
      <w:r w:rsidRPr="003E661C">
        <w:fldChar w:fldCharType="begin"/>
      </w:r>
      <w:r w:rsidRPr="003E661C">
        <w:instrText xml:space="preserve"> SEQ Figure \* ARABIC \s 1 </w:instrText>
      </w:r>
      <w:r w:rsidRPr="003E661C">
        <w:fldChar w:fldCharType="separate"/>
      </w:r>
      <w:r w:rsidR="00A11853" w:rsidRPr="003E661C">
        <w:t>1</w:t>
      </w:r>
      <w:r w:rsidRPr="003E661C">
        <w:fldChar w:fldCharType="end"/>
      </w:r>
      <w:bookmarkEnd w:id="14"/>
      <w:r w:rsidR="004D68D6" w:rsidRPr="003E661C">
        <w:tab/>
        <w:t>AER's final decision o</w:t>
      </w:r>
      <w:r w:rsidRPr="003E661C">
        <w:t xml:space="preserve">n </w:t>
      </w:r>
      <w:proofErr w:type="spellStart"/>
      <w:r w:rsidRPr="003E661C">
        <w:t>Ausgrid's</w:t>
      </w:r>
      <w:proofErr w:type="spellEnd"/>
      <w:r w:rsidRPr="003E661C">
        <w:t xml:space="preserve"> revenues for the 2014–19 period – distribution ($million, nominal) </w:t>
      </w:r>
    </w:p>
    <w:p w:rsidR="008D0E96" w:rsidRPr="008D0E96" w:rsidRDefault="000E14AE" w:rsidP="008D0E96">
      <w:r w:rsidRPr="000E14AE">
        <w:rPr>
          <w:noProof/>
          <w:lang w:eastAsia="en-AU"/>
        </w:rPr>
        <w:drawing>
          <wp:inline distT="0" distB="0" distL="0" distR="0" wp14:anchorId="4E272059" wp14:editId="4E10D591">
            <wp:extent cx="5382895" cy="3430648"/>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82895" cy="3430648"/>
                    </a:xfrm>
                    <a:prstGeom prst="rect">
                      <a:avLst/>
                    </a:prstGeom>
                    <a:noFill/>
                    <a:ln>
                      <a:noFill/>
                    </a:ln>
                  </pic:spPr>
                </pic:pic>
              </a:graphicData>
            </a:graphic>
          </wp:inline>
        </w:drawing>
      </w:r>
    </w:p>
    <w:p w:rsidR="00DB12E8" w:rsidRDefault="00DB12E8" w:rsidP="000D63EF">
      <w:pPr>
        <w:pStyle w:val="AERtablesource"/>
      </w:pPr>
      <w:bookmarkStart w:id="15" w:name="_Ref401571161"/>
      <w:r>
        <w:t>Source:</w:t>
      </w:r>
      <w:r>
        <w:tab/>
      </w:r>
      <w:r w:rsidR="004D68D6">
        <w:t xml:space="preserve">AER analysis; </w:t>
      </w:r>
      <w:r>
        <w:t xml:space="preserve">Ausgrid, </w:t>
      </w:r>
      <w:r w:rsidRPr="009A6294">
        <w:rPr>
          <w:rStyle w:val="AERtextitalic"/>
        </w:rPr>
        <w:t>Regulatory proposal</w:t>
      </w:r>
      <w:r>
        <w:t>, June 2014. Attachment 4.01</w:t>
      </w:r>
      <w:r w:rsidR="004D68D6">
        <w:t xml:space="preserve">; Ausgrid, </w:t>
      </w:r>
      <w:r w:rsidR="004D68D6" w:rsidRPr="009A6294">
        <w:rPr>
          <w:rStyle w:val="AERtextitalic"/>
        </w:rPr>
        <w:t>R</w:t>
      </w:r>
      <w:r w:rsidR="004D68D6">
        <w:rPr>
          <w:rStyle w:val="AERtextitalic"/>
        </w:rPr>
        <w:t>evised r</w:t>
      </w:r>
      <w:r w:rsidR="004D68D6" w:rsidRPr="009A6294">
        <w:rPr>
          <w:rStyle w:val="AERtextitalic"/>
        </w:rPr>
        <w:t>egulatory proposal</w:t>
      </w:r>
      <w:r w:rsidR="004D68D6">
        <w:t xml:space="preserve">, January 2015. </w:t>
      </w:r>
      <w:proofErr w:type="gramStart"/>
      <w:r w:rsidR="004D68D6">
        <w:t>Attachment 4.08.</w:t>
      </w:r>
      <w:proofErr w:type="gramEnd"/>
    </w:p>
    <w:p w:rsidR="00DB12E8" w:rsidRDefault="00DB12E8" w:rsidP="00DB12E8">
      <w:pPr>
        <w:pStyle w:val="AERtablesource"/>
      </w:pPr>
      <w:r>
        <w:tab/>
      </w:r>
    </w:p>
    <w:p w:rsidR="00DB12E8" w:rsidRDefault="00DB12E8" w:rsidP="00EC6807">
      <w:pPr>
        <w:pStyle w:val="Caption"/>
      </w:pPr>
      <w:bookmarkStart w:id="16" w:name="_Ref404354066"/>
      <w:r>
        <w:lastRenderedPageBreak/>
        <w:t xml:space="preserve">Figure </w:t>
      </w:r>
      <w:fldSimple w:instr=" STYLEREF 1 \s ">
        <w:r w:rsidR="00A11853">
          <w:rPr>
            <w:noProof/>
          </w:rPr>
          <w:t>1</w:t>
        </w:r>
      </w:fldSimple>
      <w:r>
        <w:t>.</w:t>
      </w:r>
      <w:r w:rsidRPr="00DB12E8">
        <w:fldChar w:fldCharType="begin"/>
      </w:r>
      <w:r>
        <w:instrText xml:space="preserve"> SEQ Figure \* ARABIC \s 1 </w:instrText>
      </w:r>
      <w:r w:rsidRPr="00DB12E8">
        <w:fldChar w:fldCharType="separate"/>
      </w:r>
      <w:r w:rsidR="00A11853">
        <w:rPr>
          <w:noProof/>
        </w:rPr>
        <w:t>2</w:t>
      </w:r>
      <w:r w:rsidRPr="00DB12E8">
        <w:fldChar w:fldCharType="end"/>
      </w:r>
      <w:bookmarkEnd w:id="15"/>
      <w:bookmarkEnd w:id="16"/>
      <w:r>
        <w:tab/>
        <w:t xml:space="preserve">AER's </w:t>
      </w:r>
      <w:r w:rsidR="004D68D6">
        <w:t xml:space="preserve">final </w:t>
      </w:r>
      <w:r>
        <w:t xml:space="preserve">decision on Ausgrid's revenues for the 2014–19 period – transmission ($million, nominal) </w:t>
      </w:r>
    </w:p>
    <w:p w:rsidR="008D0E96" w:rsidRPr="008D0E96" w:rsidRDefault="000E14AE" w:rsidP="008D0E96">
      <w:r w:rsidRPr="000E14AE">
        <w:rPr>
          <w:noProof/>
          <w:lang w:eastAsia="en-AU"/>
        </w:rPr>
        <w:drawing>
          <wp:inline distT="0" distB="0" distL="0" distR="0" wp14:anchorId="36C32640" wp14:editId="779F3259">
            <wp:extent cx="5382895" cy="3430648"/>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82895" cy="3430648"/>
                    </a:xfrm>
                    <a:prstGeom prst="rect">
                      <a:avLst/>
                    </a:prstGeom>
                    <a:noFill/>
                    <a:ln>
                      <a:noFill/>
                    </a:ln>
                  </pic:spPr>
                </pic:pic>
              </a:graphicData>
            </a:graphic>
          </wp:inline>
        </w:drawing>
      </w:r>
    </w:p>
    <w:p w:rsidR="004D68D6" w:rsidRDefault="00DB12E8" w:rsidP="004D68D6">
      <w:pPr>
        <w:pStyle w:val="AERtablesource"/>
      </w:pPr>
      <w:r w:rsidRPr="009A6294">
        <w:t>Source:</w:t>
      </w:r>
      <w:r w:rsidRPr="009A6294">
        <w:tab/>
      </w:r>
      <w:r w:rsidR="004D68D6">
        <w:t xml:space="preserve">AER analysis; Ausgrid, </w:t>
      </w:r>
      <w:r w:rsidR="004D68D6" w:rsidRPr="009A6294">
        <w:rPr>
          <w:rStyle w:val="AERtextitalic"/>
        </w:rPr>
        <w:t>Regulatory proposal</w:t>
      </w:r>
      <w:r w:rsidR="004D68D6">
        <w:t xml:space="preserve">, June 2014. Attachment 4.02; Ausgrid, </w:t>
      </w:r>
      <w:r w:rsidR="004D68D6" w:rsidRPr="009A6294">
        <w:rPr>
          <w:rStyle w:val="AERtextitalic"/>
        </w:rPr>
        <w:t>R</w:t>
      </w:r>
      <w:r w:rsidR="004D68D6">
        <w:rPr>
          <w:rStyle w:val="AERtextitalic"/>
        </w:rPr>
        <w:t>evised r</w:t>
      </w:r>
      <w:r w:rsidR="004D68D6" w:rsidRPr="009A6294">
        <w:rPr>
          <w:rStyle w:val="AERtextitalic"/>
        </w:rPr>
        <w:t>egulatory proposal</w:t>
      </w:r>
      <w:r w:rsidR="004D68D6">
        <w:t>, January 2015. Attachment 4.09.</w:t>
      </w:r>
    </w:p>
    <w:p w:rsidR="00DB12E8" w:rsidRDefault="00DB12E8" w:rsidP="00DB12E8">
      <w:pPr>
        <w:numPr>
          <w:ilvl w:val="0"/>
          <w:numId w:val="25"/>
        </w:numPr>
      </w:pPr>
      <w:r>
        <w:fldChar w:fldCharType="begin"/>
      </w:r>
      <w:r>
        <w:instrText xml:space="preserve"> REF _Ref403478009 \h </w:instrText>
      </w:r>
      <w:r>
        <w:fldChar w:fldCharType="separate"/>
      </w:r>
      <w:r w:rsidR="00A11853">
        <w:t xml:space="preserve">Table </w:t>
      </w:r>
      <w:r w:rsidR="00A11853">
        <w:rPr>
          <w:noProof/>
        </w:rPr>
        <w:t>1</w:t>
      </w:r>
      <w:r w:rsidR="00A11853">
        <w:t>.</w:t>
      </w:r>
      <w:r w:rsidR="00A11853">
        <w:rPr>
          <w:noProof/>
        </w:rPr>
        <w:t>1</w:t>
      </w:r>
      <w:r>
        <w:fldChar w:fldCharType="end"/>
      </w:r>
      <w:r>
        <w:t xml:space="preserve">  show</w:t>
      </w:r>
      <w:r w:rsidR="00760B38">
        <w:t>s</w:t>
      </w:r>
      <w:r>
        <w:t xml:space="preserve"> our </w:t>
      </w:r>
      <w:r w:rsidR="004D68D6">
        <w:t>final</w:t>
      </w:r>
      <w:r>
        <w:t xml:space="preserve"> decision on the building block costs for each year of the 2014–19 </w:t>
      </w:r>
      <w:proofErr w:type="gramStart"/>
      <w:r>
        <w:t>period</w:t>
      </w:r>
      <w:proofErr w:type="gramEnd"/>
      <w:r>
        <w:t xml:space="preserve"> for Ausgrid's distribution network.</w:t>
      </w:r>
      <w:r w:rsidR="00760B38" w:rsidRPr="00760B38">
        <w:t xml:space="preserve"> </w:t>
      </w:r>
      <w:r w:rsidR="00760B38">
        <w:t xml:space="preserve">It also shows </w:t>
      </w:r>
      <w:r w:rsidR="00760B38" w:rsidRPr="001A725A">
        <w:t>the ARR</w:t>
      </w:r>
      <w:r w:rsidR="00760B38">
        <w:t xml:space="preserve">, annual expected revenue and X factor for each year of that period. </w:t>
      </w:r>
      <w:r w:rsidR="00760B38">
        <w:fldChar w:fldCharType="begin"/>
      </w:r>
      <w:r w:rsidR="00760B38">
        <w:instrText xml:space="preserve"> REF _Ref403478012 \h </w:instrText>
      </w:r>
      <w:r w:rsidR="00760B38">
        <w:fldChar w:fldCharType="separate"/>
      </w:r>
      <w:r w:rsidR="00A11853">
        <w:t xml:space="preserve">Table </w:t>
      </w:r>
      <w:r w:rsidR="00A11853">
        <w:rPr>
          <w:noProof/>
        </w:rPr>
        <w:t>1</w:t>
      </w:r>
      <w:r w:rsidR="00A11853">
        <w:t>.</w:t>
      </w:r>
      <w:r w:rsidR="00A11853">
        <w:rPr>
          <w:noProof/>
        </w:rPr>
        <w:t>2</w:t>
      </w:r>
      <w:r w:rsidR="00760B38">
        <w:fldChar w:fldCharType="end"/>
      </w:r>
      <w:r w:rsidR="00760B38">
        <w:t xml:space="preserve"> shows the same for Ausgrid's transmission network.</w:t>
      </w:r>
    </w:p>
    <w:p w:rsidR="00DB12E8" w:rsidRDefault="00DB12E8" w:rsidP="00DB12E8">
      <w:pPr>
        <w:pStyle w:val="Caption"/>
      </w:pPr>
      <w:bookmarkStart w:id="17" w:name="_Ref403478009"/>
      <w:r>
        <w:t xml:space="preserve">Table </w:t>
      </w:r>
      <w:fldSimple w:instr=" STYLEREF 1 \s ">
        <w:r w:rsidR="00A11853">
          <w:rPr>
            <w:noProof/>
          </w:rPr>
          <w:t>1</w:t>
        </w:r>
      </w:fldSimple>
      <w:r w:rsidR="00A32071">
        <w:t>.</w:t>
      </w:r>
      <w:fldSimple w:instr=" SEQ Table \* ARABIC \s 1 ">
        <w:r w:rsidR="00A11853">
          <w:rPr>
            <w:noProof/>
          </w:rPr>
          <w:t>1</w:t>
        </w:r>
      </w:fldSimple>
      <w:bookmarkEnd w:id="17"/>
      <w:r>
        <w:tab/>
        <w:t xml:space="preserve">AER's </w:t>
      </w:r>
      <w:r w:rsidR="004D68D6">
        <w:t>final</w:t>
      </w:r>
      <w:r>
        <w:t xml:space="preserve"> decision on Ausgrid's revenues for 2014–19 period – distribution ($million, nominal) </w:t>
      </w:r>
    </w:p>
    <w:tbl>
      <w:tblPr>
        <w:tblStyle w:val="AERtable-numbers"/>
        <w:tblW w:w="8755" w:type="dxa"/>
        <w:tblLayout w:type="fixed"/>
        <w:tblLook w:val="04A0" w:firstRow="1" w:lastRow="0" w:firstColumn="1" w:lastColumn="0" w:noHBand="0" w:noVBand="1"/>
      </w:tblPr>
      <w:tblGrid>
        <w:gridCol w:w="3085"/>
        <w:gridCol w:w="945"/>
        <w:gridCol w:w="945"/>
        <w:gridCol w:w="945"/>
        <w:gridCol w:w="945"/>
        <w:gridCol w:w="945"/>
        <w:gridCol w:w="945"/>
      </w:tblGrid>
      <w:tr w:rsidR="00DB12E8" w:rsidRPr="004D68D6" w:rsidTr="00EC6807">
        <w:trPr>
          <w:cnfStyle w:val="100000000000" w:firstRow="1" w:lastRow="0" w:firstColumn="0" w:lastColumn="0" w:oddVBand="0" w:evenVBand="0" w:oddHBand="0"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085" w:type="dxa"/>
            <w:noWrap/>
            <w:hideMark/>
          </w:tcPr>
          <w:p w:rsidR="00DB12E8" w:rsidRPr="004D68D6" w:rsidRDefault="00DB12E8" w:rsidP="004D68D6">
            <w:r w:rsidRPr="004D68D6">
              <w:t> </w:t>
            </w:r>
          </w:p>
        </w:tc>
        <w:tc>
          <w:tcPr>
            <w:tcW w:w="945" w:type="dxa"/>
            <w:noWrap/>
            <w:hideMark/>
          </w:tcPr>
          <w:p w:rsidR="00DB12E8" w:rsidRPr="004D68D6" w:rsidRDefault="00DB12E8" w:rsidP="004D68D6">
            <w:pPr>
              <w:cnfStyle w:val="100000000000" w:firstRow="1" w:lastRow="0" w:firstColumn="0" w:lastColumn="0" w:oddVBand="0" w:evenVBand="0" w:oddHBand="0" w:evenHBand="0" w:firstRowFirstColumn="0" w:firstRowLastColumn="0" w:lastRowFirstColumn="0" w:lastRowLastColumn="0"/>
            </w:pPr>
            <w:r w:rsidRPr="004D68D6">
              <w:t>2014–15</w:t>
            </w:r>
          </w:p>
        </w:tc>
        <w:tc>
          <w:tcPr>
            <w:tcW w:w="945" w:type="dxa"/>
            <w:noWrap/>
            <w:hideMark/>
          </w:tcPr>
          <w:p w:rsidR="00DB12E8" w:rsidRPr="004D68D6" w:rsidRDefault="00DB12E8" w:rsidP="004D68D6">
            <w:pPr>
              <w:cnfStyle w:val="100000000000" w:firstRow="1" w:lastRow="0" w:firstColumn="0" w:lastColumn="0" w:oddVBand="0" w:evenVBand="0" w:oddHBand="0" w:evenHBand="0" w:firstRowFirstColumn="0" w:firstRowLastColumn="0" w:lastRowFirstColumn="0" w:lastRowLastColumn="0"/>
            </w:pPr>
            <w:r w:rsidRPr="004D68D6">
              <w:t>2015–16</w:t>
            </w:r>
          </w:p>
        </w:tc>
        <w:tc>
          <w:tcPr>
            <w:tcW w:w="945" w:type="dxa"/>
          </w:tcPr>
          <w:p w:rsidR="00DB12E8" w:rsidRPr="004D68D6" w:rsidRDefault="00DB12E8" w:rsidP="004D68D6">
            <w:pPr>
              <w:cnfStyle w:val="100000000000" w:firstRow="1" w:lastRow="0" w:firstColumn="0" w:lastColumn="0" w:oddVBand="0" w:evenVBand="0" w:oddHBand="0" w:evenHBand="0" w:firstRowFirstColumn="0" w:firstRowLastColumn="0" w:lastRowFirstColumn="0" w:lastRowLastColumn="0"/>
            </w:pPr>
            <w:r w:rsidRPr="004D68D6">
              <w:t>2016–17</w:t>
            </w:r>
          </w:p>
        </w:tc>
        <w:tc>
          <w:tcPr>
            <w:tcW w:w="945" w:type="dxa"/>
          </w:tcPr>
          <w:p w:rsidR="00DB12E8" w:rsidRPr="004D68D6" w:rsidRDefault="00DB12E8" w:rsidP="004D68D6">
            <w:pPr>
              <w:cnfStyle w:val="100000000000" w:firstRow="1" w:lastRow="0" w:firstColumn="0" w:lastColumn="0" w:oddVBand="0" w:evenVBand="0" w:oddHBand="0" w:evenHBand="0" w:firstRowFirstColumn="0" w:firstRowLastColumn="0" w:lastRowFirstColumn="0" w:lastRowLastColumn="0"/>
            </w:pPr>
            <w:r w:rsidRPr="004D68D6">
              <w:t>2017–18</w:t>
            </w:r>
          </w:p>
        </w:tc>
        <w:tc>
          <w:tcPr>
            <w:tcW w:w="945" w:type="dxa"/>
          </w:tcPr>
          <w:p w:rsidR="00DB12E8" w:rsidRPr="004D68D6" w:rsidRDefault="00DB12E8" w:rsidP="004D68D6">
            <w:pPr>
              <w:cnfStyle w:val="100000000000" w:firstRow="1" w:lastRow="0" w:firstColumn="0" w:lastColumn="0" w:oddVBand="0" w:evenVBand="0" w:oddHBand="0" w:evenHBand="0" w:firstRowFirstColumn="0" w:firstRowLastColumn="0" w:lastRowFirstColumn="0" w:lastRowLastColumn="0"/>
            </w:pPr>
            <w:r w:rsidRPr="004D68D6">
              <w:t>2018–19</w:t>
            </w:r>
          </w:p>
        </w:tc>
        <w:tc>
          <w:tcPr>
            <w:tcW w:w="945" w:type="dxa"/>
          </w:tcPr>
          <w:p w:rsidR="00DB12E8" w:rsidRPr="004D68D6" w:rsidRDefault="00DB12E8" w:rsidP="004D68D6">
            <w:pPr>
              <w:cnfStyle w:val="100000000000" w:firstRow="1" w:lastRow="0" w:firstColumn="0" w:lastColumn="0" w:oddVBand="0" w:evenVBand="0" w:oddHBand="0" w:evenHBand="0" w:firstRowFirstColumn="0" w:firstRowLastColumn="0" w:lastRowFirstColumn="0" w:lastRowLastColumn="0"/>
            </w:pPr>
            <w:r w:rsidRPr="004D68D6">
              <w:t>Total</w:t>
            </w:r>
          </w:p>
        </w:tc>
      </w:tr>
      <w:tr w:rsidR="00226B4A" w:rsidRPr="004D68D6" w:rsidTr="00EC6807">
        <w:trPr>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hideMark/>
          </w:tcPr>
          <w:p w:rsidR="00226B4A" w:rsidRPr="00226B4A" w:rsidRDefault="00226B4A" w:rsidP="00226B4A">
            <w:r w:rsidRPr="00226B4A">
              <w:t>Return on capital</w:t>
            </w:r>
          </w:p>
        </w:tc>
        <w:tc>
          <w:tcPr>
            <w:tcW w:w="945" w:type="dxa"/>
            <w:noWrap/>
            <w:vAlign w:val="top"/>
          </w:tcPr>
          <w:p w:rsidR="00226B4A" w:rsidRPr="00226B4A" w:rsidRDefault="00226B4A" w:rsidP="000739F0">
            <w:pPr>
              <w:cnfStyle w:val="000000000000" w:firstRow="0" w:lastRow="0" w:firstColumn="0" w:lastColumn="0" w:oddVBand="0" w:evenVBand="0" w:oddHBand="0" w:evenHBand="0" w:firstRowFirstColumn="0" w:firstRowLastColumn="0" w:lastRowFirstColumn="0" w:lastRowLastColumn="0"/>
            </w:pPr>
            <w:r w:rsidRPr="00226B4A">
              <w:t>826.</w:t>
            </w:r>
            <w:r w:rsidR="000739F0">
              <w:t>2</w:t>
            </w:r>
          </w:p>
        </w:tc>
        <w:tc>
          <w:tcPr>
            <w:tcW w:w="945" w:type="dxa"/>
            <w:noWrap/>
            <w:vAlign w:val="top"/>
          </w:tcPr>
          <w:p w:rsidR="00226B4A" w:rsidRPr="00226B4A" w:rsidRDefault="00226B4A" w:rsidP="00EC6807">
            <w:pPr>
              <w:cnfStyle w:val="000000000000" w:firstRow="0" w:lastRow="0" w:firstColumn="0" w:lastColumn="0" w:oddVBand="0" w:evenVBand="0" w:oddHBand="0" w:evenHBand="0" w:firstRowFirstColumn="0" w:firstRowLastColumn="0" w:lastRowFirstColumn="0" w:lastRowLastColumn="0"/>
            </w:pPr>
            <w:r w:rsidRPr="00226B4A">
              <w:t>848.</w:t>
            </w:r>
            <w:r w:rsidR="00EC6807">
              <w:t>5</w:t>
            </w:r>
          </w:p>
        </w:tc>
        <w:tc>
          <w:tcPr>
            <w:tcW w:w="945" w:type="dxa"/>
            <w:vAlign w:val="top"/>
          </w:tcPr>
          <w:p w:rsidR="00226B4A" w:rsidRPr="00226B4A" w:rsidRDefault="00226B4A" w:rsidP="00EC6807">
            <w:pPr>
              <w:cnfStyle w:val="000000000000" w:firstRow="0" w:lastRow="0" w:firstColumn="0" w:lastColumn="0" w:oddVBand="0" w:evenVBand="0" w:oddHBand="0" w:evenHBand="0" w:firstRowFirstColumn="0" w:firstRowLastColumn="0" w:lastRowFirstColumn="0" w:lastRowLastColumn="0"/>
            </w:pPr>
            <w:r w:rsidRPr="00226B4A">
              <w:t>879.</w:t>
            </w:r>
            <w:r w:rsidR="00EC6807">
              <w:t>7</w:t>
            </w:r>
          </w:p>
        </w:tc>
        <w:tc>
          <w:tcPr>
            <w:tcW w:w="945" w:type="dxa"/>
            <w:vAlign w:val="top"/>
          </w:tcPr>
          <w:p w:rsidR="00226B4A" w:rsidRPr="00226B4A" w:rsidRDefault="00226B4A" w:rsidP="00EC6807">
            <w:pPr>
              <w:cnfStyle w:val="000000000000" w:firstRow="0" w:lastRow="0" w:firstColumn="0" w:lastColumn="0" w:oddVBand="0" w:evenVBand="0" w:oddHBand="0" w:evenHBand="0" w:firstRowFirstColumn="0" w:firstRowLastColumn="0" w:lastRowFirstColumn="0" w:lastRowLastColumn="0"/>
            </w:pPr>
            <w:r w:rsidRPr="00226B4A">
              <w:t>90</w:t>
            </w:r>
            <w:r w:rsidR="00EC6807">
              <w:t>6</w:t>
            </w:r>
            <w:r w:rsidRPr="00226B4A">
              <w:t>.</w:t>
            </w:r>
            <w:r w:rsidR="00EC6807">
              <w:t>4</w:t>
            </w:r>
          </w:p>
        </w:tc>
        <w:tc>
          <w:tcPr>
            <w:tcW w:w="945" w:type="dxa"/>
            <w:vAlign w:val="top"/>
          </w:tcPr>
          <w:p w:rsidR="00226B4A" w:rsidRPr="00226B4A" w:rsidRDefault="00226B4A" w:rsidP="00EC6807">
            <w:pPr>
              <w:cnfStyle w:val="000000000000" w:firstRow="0" w:lastRow="0" w:firstColumn="0" w:lastColumn="0" w:oddVBand="0" w:evenVBand="0" w:oddHBand="0" w:evenHBand="0" w:firstRowFirstColumn="0" w:firstRowLastColumn="0" w:lastRowFirstColumn="0" w:lastRowLastColumn="0"/>
            </w:pPr>
            <w:r w:rsidRPr="00226B4A">
              <w:t>93</w:t>
            </w:r>
            <w:r w:rsidR="00EC6807">
              <w:t>6</w:t>
            </w:r>
            <w:r w:rsidRPr="00226B4A">
              <w:t>.</w:t>
            </w:r>
            <w:r w:rsidR="00EC6807">
              <w:t>2</w:t>
            </w:r>
          </w:p>
        </w:tc>
        <w:tc>
          <w:tcPr>
            <w:tcW w:w="945" w:type="dxa"/>
            <w:vAlign w:val="top"/>
          </w:tcPr>
          <w:p w:rsidR="00226B4A" w:rsidRPr="00226B4A" w:rsidRDefault="00226B4A" w:rsidP="00EC6807">
            <w:pPr>
              <w:cnfStyle w:val="000000000000" w:firstRow="0" w:lastRow="0" w:firstColumn="0" w:lastColumn="0" w:oddVBand="0" w:evenVBand="0" w:oddHBand="0" w:evenHBand="0" w:firstRowFirstColumn="0" w:firstRowLastColumn="0" w:lastRowFirstColumn="0" w:lastRowLastColumn="0"/>
            </w:pPr>
            <w:r w:rsidRPr="00226B4A">
              <w:t>439</w:t>
            </w:r>
            <w:r w:rsidR="00EC6807">
              <w:t>7</w:t>
            </w:r>
            <w:r w:rsidRPr="00226B4A">
              <w:t>.</w:t>
            </w:r>
            <w:r w:rsidR="00EC6807">
              <w:t>1</w:t>
            </w:r>
          </w:p>
        </w:tc>
      </w:tr>
      <w:tr w:rsidR="00226B4A" w:rsidRPr="004D68D6" w:rsidTr="00EC6807">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tcPr>
          <w:p w:rsidR="00226B4A" w:rsidRPr="00226B4A" w:rsidRDefault="00226B4A" w:rsidP="00226B4A">
            <w:r w:rsidRPr="00226B4A">
              <w:t>Regulatory depreciation</w:t>
            </w:r>
          </w:p>
        </w:tc>
        <w:tc>
          <w:tcPr>
            <w:tcW w:w="945" w:type="dxa"/>
            <w:noWrap/>
            <w:vAlign w:val="top"/>
          </w:tcPr>
          <w:p w:rsidR="00226B4A" w:rsidRPr="00226B4A" w:rsidRDefault="00226B4A" w:rsidP="00226B4A">
            <w:pPr>
              <w:cnfStyle w:val="000000010000" w:firstRow="0" w:lastRow="0" w:firstColumn="0" w:lastColumn="0" w:oddVBand="0" w:evenVBand="0" w:oddHBand="0" w:evenHBand="1" w:firstRowFirstColumn="0" w:firstRowLastColumn="0" w:lastRowFirstColumn="0" w:lastRowLastColumn="0"/>
            </w:pPr>
            <w:r w:rsidRPr="00226B4A">
              <w:t>146.7</w:t>
            </w:r>
          </w:p>
        </w:tc>
        <w:tc>
          <w:tcPr>
            <w:tcW w:w="945" w:type="dxa"/>
            <w:noWrap/>
            <w:vAlign w:val="top"/>
          </w:tcPr>
          <w:p w:rsidR="00226B4A" w:rsidRPr="00226B4A" w:rsidRDefault="00226B4A" w:rsidP="00EC6807">
            <w:pPr>
              <w:cnfStyle w:val="000000010000" w:firstRow="0" w:lastRow="0" w:firstColumn="0" w:lastColumn="0" w:oddVBand="0" w:evenVBand="0" w:oddHBand="0" w:evenHBand="1" w:firstRowFirstColumn="0" w:firstRowLastColumn="0" w:lastRowFirstColumn="0" w:lastRowLastColumn="0"/>
            </w:pPr>
            <w:r w:rsidRPr="00226B4A">
              <w:t>166.</w:t>
            </w:r>
            <w:r w:rsidR="00EC6807">
              <w:t>5</w:t>
            </w:r>
          </w:p>
        </w:tc>
        <w:tc>
          <w:tcPr>
            <w:tcW w:w="945" w:type="dxa"/>
            <w:vAlign w:val="top"/>
          </w:tcPr>
          <w:p w:rsidR="00226B4A" w:rsidRPr="00226B4A" w:rsidRDefault="00226B4A" w:rsidP="00EC6807">
            <w:pPr>
              <w:cnfStyle w:val="000000010000" w:firstRow="0" w:lastRow="0" w:firstColumn="0" w:lastColumn="0" w:oddVBand="0" w:evenVBand="0" w:oddHBand="0" w:evenHBand="1" w:firstRowFirstColumn="0" w:firstRowLastColumn="0" w:lastRowFirstColumn="0" w:lastRowLastColumn="0"/>
            </w:pPr>
            <w:r w:rsidRPr="00226B4A">
              <w:t>188.</w:t>
            </w:r>
            <w:r w:rsidR="00EC6807">
              <w:t>2</w:t>
            </w:r>
          </w:p>
        </w:tc>
        <w:tc>
          <w:tcPr>
            <w:tcW w:w="945" w:type="dxa"/>
            <w:vAlign w:val="top"/>
          </w:tcPr>
          <w:p w:rsidR="00226B4A" w:rsidRPr="00226B4A" w:rsidRDefault="008D0E96" w:rsidP="00EC6807">
            <w:pPr>
              <w:cnfStyle w:val="000000010000" w:firstRow="0" w:lastRow="0" w:firstColumn="0" w:lastColumn="0" w:oddVBand="0" w:evenVBand="0" w:oddHBand="0" w:evenHBand="1" w:firstRowFirstColumn="0" w:firstRowLastColumn="0" w:lastRowFirstColumn="0" w:lastRowLastColumn="0"/>
            </w:pPr>
            <w:r>
              <w:t>158.8</w:t>
            </w:r>
          </w:p>
        </w:tc>
        <w:tc>
          <w:tcPr>
            <w:tcW w:w="945" w:type="dxa"/>
            <w:vAlign w:val="top"/>
          </w:tcPr>
          <w:p w:rsidR="00226B4A" w:rsidRPr="00226B4A" w:rsidRDefault="00226B4A" w:rsidP="00EC6807">
            <w:pPr>
              <w:cnfStyle w:val="000000010000" w:firstRow="0" w:lastRow="0" w:firstColumn="0" w:lastColumn="0" w:oddVBand="0" w:evenVBand="0" w:oddHBand="0" w:evenHBand="1" w:firstRowFirstColumn="0" w:firstRowLastColumn="0" w:lastRowFirstColumn="0" w:lastRowLastColumn="0"/>
            </w:pPr>
            <w:r w:rsidRPr="00226B4A">
              <w:t>16</w:t>
            </w:r>
            <w:r w:rsidR="00EC6807">
              <w:t>0</w:t>
            </w:r>
            <w:r w:rsidRPr="00226B4A">
              <w:t>.5</w:t>
            </w:r>
          </w:p>
        </w:tc>
        <w:tc>
          <w:tcPr>
            <w:tcW w:w="945" w:type="dxa"/>
            <w:vAlign w:val="top"/>
          </w:tcPr>
          <w:p w:rsidR="00226B4A" w:rsidRPr="00226B4A" w:rsidRDefault="00226B4A" w:rsidP="008D0E96">
            <w:pPr>
              <w:cnfStyle w:val="000000010000" w:firstRow="0" w:lastRow="0" w:firstColumn="0" w:lastColumn="0" w:oddVBand="0" w:evenVBand="0" w:oddHBand="0" w:evenHBand="1" w:firstRowFirstColumn="0" w:firstRowLastColumn="0" w:lastRowFirstColumn="0" w:lastRowLastColumn="0"/>
            </w:pPr>
            <w:r w:rsidRPr="00226B4A">
              <w:t>82</w:t>
            </w:r>
            <w:r w:rsidR="00EC6807">
              <w:t>0</w:t>
            </w:r>
            <w:r w:rsidRPr="00226B4A">
              <w:t>.</w:t>
            </w:r>
            <w:r w:rsidR="008D0E96">
              <w:t>7</w:t>
            </w:r>
          </w:p>
        </w:tc>
      </w:tr>
      <w:tr w:rsidR="00226B4A" w:rsidRPr="004D68D6" w:rsidTr="00EC6807">
        <w:trPr>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tcPr>
          <w:p w:rsidR="00226B4A" w:rsidRPr="00226B4A" w:rsidRDefault="00226B4A" w:rsidP="00226B4A">
            <w:r w:rsidRPr="00226B4A">
              <w:t>Operating expenditure</w:t>
            </w:r>
          </w:p>
        </w:tc>
        <w:tc>
          <w:tcPr>
            <w:tcW w:w="945" w:type="dxa"/>
            <w:noWrap/>
            <w:vAlign w:val="top"/>
          </w:tcPr>
          <w:p w:rsidR="00226B4A" w:rsidRPr="00226B4A" w:rsidRDefault="008D0E96" w:rsidP="00EC6807">
            <w:pPr>
              <w:cnfStyle w:val="000000000000" w:firstRow="0" w:lastRow="0" w:firstColumn="0" w:lastColumn="0" w:oddVBand="0" w:evenVBand="0" w:oddHBand="0" w:evenHBand="0" w:firstRowFirstColumn="0" w:firstRowLastColumn="0" w:lastRowFirstColumn="0" w:lastRowLastColumn="0"/>
            </w:pPr>
            <w:r>
              <w:t>377.7</w:t>
            </w:r>
          </w:p>
        </w:tc>
        <w:tc>
          <w:tcPr>
            <w:tcW w:w="945" w:type="dxa"/>
            <w:noWrap/>
            <w:vAlign w:val="top"/>
          </w:tcPr>
          <w:p w:rsidR="00226B4A" w:rsidRPr="00226B4A" w:rsidRDefault="008D0E96" w:rsidP="00EC6807">
            <w:pPr>
              <w:cnfStyle w:val="000000000000" w:firstRow="0" w:lastRow="0" w:firstColumn="0" w:lastColumn="0" w:oddVBand="0" w:evenVBand="0" w:oddHBand="0" w:evenHBand="0" w:firstRowFirstColumn="0" w:firstRowLastColumn="0" w:lastRowFirstColumn="0" w:lastRowLastColumn="0"/>
            </w:pPr>
            <w:r>
              <w:t>392.3</w:t>
            </w:r>
          </w:p>
        </w:tc>
        <w:tc>
          <w:tcPr>
            <w:tcW w:w="945" w:type="dxa"/>
            <w:vAlign w:val="top"/>
          </w:tcPr>
          <w:p w:rsidR="00226B4A" w:rsidRPr="00226B4A" w:rsidRDefault="008D0E96" w:rsidP="00EC6807">
            <w:pPr>
              <w:cnfStyle w:val="000000000000" w:firstRow="0" w:lastRow="0" w:firstColumn="0" w:lastColumn="0" w:oddVBand="0" w:evenVBand="0" w:oddHBand="0" w:evenHBand="0" w:firstRowFirstColumn="0" w:firstRowLastColumn="0" w:lastRowFirstColumn="0" w:lastRowLastColumn="0"/>
            </w:pPr>
            <w:r>
              <w:t>409.2</w:t>
            </w:r>
          </w:p>
        </w:tc>
        <w:tc>
          <w:tcPr>
            <w:tcW w:w="945" w:type="dxa"/>
            <w:vAlign w:val="top"/>
          </w:tcPr>
          <w:p w:rsidR="00226B4A" w:rsidRPr="00226B4A" w:rsidRDefault="008D0E96" w:rsidP="00EC6807">
            <w:pPr>
              <w:cnfStyle w:val="000000000000" w:firstRow="0" w:lastRow="0" w:firstColumn="0" w:lastColumn="0" w:oddVBand="0" w:evenVBand="0" w:oddHBand="0" w:evenHBand="0" w:firstRowFirstColumn="0" w:firstRowLastColumn="0" w:lastRowFirstColumn="0" w:lastRowLastColumn="0"/>
            </w:pPr>
            <w:r>
              <w:t>412.8</w:t>
            </w:r>
          </w:p>
        </w:tc>
        <w:tc>
          <w:tcPr>
            <w:tcW w:w="945" w:type="dxa"/>
            <w:vAlign w:val="top"/>
          </w:tcPr>
          <w:p w:rsidR="00226B4A" w:rsidRPr="00226B4A" w:rsidRDefault="008D0E96" w:rsidP="00EC6807">
            <w:pPr>
              <w:cnfStyle w:val="000000000000" w:firstRow="0" w:lastRow="0" w:firstColumn="0" w:lastColumn="0" w:oddVBand="0" w:evenVBand="0" w:oddHBand="0" w:evenHBand="0" w:firstRowFirstColumn="0" w:firstRowLastColumn="0" w:lastRowFirstColumn="0" w:lastRowLastColumn="0"/>
            </w:pPr>
            <w:r>
              <w:t>429.1</w:t>
            </w:r>
          </w:p>
        </w:tc>
        <w:tc>
          <w:tcPr>
            <w:tcW w:w="945" w:type="dxa"/>
            <w:vAlign w:val="top"/>
          </w:tcPr>
          <w:p w:rsidR="00226B4A" w:rsidRPr="00226B4A" w:rsidRDefault="008D0E96" w:rsidP="00EC6807">
            <w:pPr>
              <w:cnfStyle w:val="000000000000" w:firstRow="0" w:lastRow="0" w:firstColumn="0" w:lastColumn="0" w:oddVBand="0" w:evenVBand="0" w:oddHBand="0" w:evenHBand="0" w:firstRowFirstColumn="0" w:firstRowLastColumn="0" w:lastRowFirstColumn="0" w:lastRowLastColumn="0"/>
            </w:pPr>
            <w:r>
              <w:t>2021.1</w:t>
            </w:r>
          </w:p>
        </w:tc>
      </w:tr>
      <w:tr w:rsidR="00226B4A" w:rsidRPr="004D68D6" w:rsidTr="00EC6807">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tcPr>
          <w:p w:rsidR="00226B4A" w:rsidRPr="00226B4A" w:rsidRDefault="00EC6807" w:rsidP="00EC6807">
            <w:r>
              <w:t xml:space="preserve">Revenue </w:t>
            </w:r>
            <w:proofErr w:type="spellStart"/>
            <w:r>
              <w:t>adjustments</w:t>
            </w:r>
            <w:r w:rsidRPr="00EC6807">
              <w:rPr>
                <w:rStyle w:val="AERsuperscript"/>
              </w:rPr>
              <w:t>a</w:t>
            </w:r>
            <w:proofErr w:type="spellEnd"/>
          </w:p>
        </w:tc>
        <w:tc>
          <w:tcPr>
            <w:tcW w:w="945" w:type="dxa"/>
            <w:noWrap/>
            <w:vAlign w:val="top"/>
          </w:tcPr>
          <w:p w:rsidR="00226B4A" w:rsidRPr="00226B4A" w:rsidRDefault="00226B4A" w:rsidP="00226B4A">
            <w:pPr>
              <w:cnfStyle w:val="000000010000" w:firstRow="0" w:lastRow="0" w:firstColumn="0" w:lastColumn="0" w:oddVBand="0" w:evenVBand="0" w:oddHBand="0" w:evenHBand="1" w:firstRowFirstColumn="0" w:firstRowLastColumn="0" w:lastRowFirstColumn="0" w:lastRowLastColumn="0"/>
            </w:pPr>
            <w:r w:rsidRPr="00226B4A">
              <w:t>81.1</w:t>
            </w:r>
          </w:p>
        </w:tc>
        <w:tc>
          <w:tcPr>
            <w:tcW w:w="945" w:type="dxa"/>
            <w:noWrap/>
            <w:vAlign w:val="top"/>
          </w:tcPr>
          <w:p w:rsidR="00226B4A" w:rsidRPr="00226B4A" w:rsidRDefault="00226B4A" w:rsidP="00226B4A">
            <w:pPr>
              <w:cnfStyle w:val="000000010000" w:firstRow="0" w:lastRow="0" w:firstColumn="0" w:lastColumn="0" w:oddVBand="0" w:evenVBand="0" w:oddHBand="0" w:evenHBand="1" w:firstRowFirstColumn="0" w:firstRowLastColumn="0" w:lastRowFirstColumn="0" w:lastRowLastColumn="0"/>
            </w:pPr>
            <w:r w:rsidRPr="00226B4A">
              <w:t>75.0</w:t>
            </w:r>
          </w:p>
        </w:tc>
        <w:tc>
          <w:tcPr>
            <w:tcW w:w="945" w:type="dxa"/>
            <w:vAlign w:val="top"/>
          </w:tcPr>
          <w:p w:rsidR="00226B4A" w:rsidRPr="00226B4A" w:rsidRDefault="00226B4A" w:rsidP="00226B4A">
            <w:pPr>
              <w:cnfStyle w:val="000000010000" w:firstRow="0" w:lastRow="0" w:firstColumn="0" w:lastColumn="0" w:oddVBand="0" w:evenVBand="0" w:oddHBand="0" w:evenHBand="1" w:firstRowFirstColumn="0" w:firstRowLastColumn="0" w:lastRowFirstColumn="0" w:lastRowLastColumn="0"/>
            </w:pPr>
            <w:r w:rsidRPr="00226B4A">
              <w:t>60.6</w:t>
            </w:r>
          </w:p>
        </w:tc>
        <w:tc>
          <w:tcPr>
            <w:tcW w:w="945" w:type="dxa"/>
            <w:vAlign w:val="top"/>
          </w:tcPr>
          <w:p w:rsidR="00226B4A" w:rsidRPr="00226B4A" w:rsidRDefault="00226B4A" w:rsidP="00226B4A">
            <w:pPr>
              <w:cnfStyle w:val="000000010000" w:firstRow="0" w:lastRow="0" w:firstColumn="0" w:lastColumn="0" w:oddVBand="0" w:evenVBand="0" w:oddHBand="0" w:evenHBand="1" w:firstRowFirstColumn="0" w:firstRowLastColumn="0" w:lastRowFirstColumn="0" w:lastRowLastColumn="0"/>
            </w:pPr>
            <w:r w:rsidRPr="00226B4A">
              <w:t>43.3</w:t>
            </w:r>
          </w:p>
        </w:tc>
        <w:tc>
          <w:tcPr>
            <w:tcW w:w="945" w:type="dxa"/>
            <w:vAlign w:val="top"/>
          </w:tcPr>
          <w:p w:rsidR="00226B4A" w:rsidRPr="00226B4A" w:rsidRDefault="00226B4A" w:rsidP="00226B4A">
            <w:pPr>
              <w:cnfStyle w:val="000000010000" w:firstRow="0" w:lastRow="0" w:firstColumn="0" w:lastColumn="0" w:oddVBand="0" w:evenVBand="0" w:oddHBand="0" w:evenHBand="1" w:firstRowFirstColumn="0" w:firstRowLastColumn="0" w:lastRowFirstColumn="0" w:lastRowLastColumn="0"/>
            </w:pPr>
            <w:r w:rsidRPr="00226B4A">
              <w:t>1.1</w:t>
            </w:r>
          </w:p>
        </w:tc>
        <w:tc>
          <w:tcPr>
            <w:tcW w:w="945" w:type="dxa"/>
            <w:vAlign w:val="top"/>
          </w:tcPr>
          <w:p w:rsidR="00226B4A" w:rsidRPr="00226B4A" w:rsidRDefault="00226B4A" w:rsidP="00226B4A">
            <w:pPr>
              <w:cnfStyle w:val="000000010000" w:firstRow="0" w:lastRow="0" w:firstColumn="0" w:lastColumn="0" w:oddVBand="0" w:evenVBand="0" w:oddHBand="0" w:evenHBand="1" w:firstRowFirstColumn="0" w:firstRowLastColumn="0" w:lastRowFirstColumn="0" w:lastRowLastColumn="0"/>
            </w:pPr>
            <w:r w:rsidRPr="00226B4A">
              <w:t>261.2</w:t>
            </w:r>
          </w:p>
        </w:tc>
      </w:tr>
      <w:tr w:rsidR="00226B4A" w:rsidRPr="004D68D6" w:rsidTr="00EC6807">
        <w:trPr>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tcPr>
          <w:p w:rsidR="00226B4A" w:rsidRPr="00226B4A" w:rsidRDefault="00226B4A" w:rsidP="00226B4A">
            <w:r w:rsidRPr="00226B4A">
              <w:t>Net tax allowance</w:t>
            </w:r>
          </w:p>
        </w:tc>
        <w:tc>
          <w:tcPr>
            <w:tcW w:w="945" w:type="dxa"/>
            <w:noWrap/>
            <w:vAlign w:val="top"/>
          </w:tcPr>
          <w:p w:rsidR="00226B4A" w:rsidRPr="00226B4A" w:rsidRDefault="00226B4A" w:rsidP="00226B4A">
            <w:pPr>
              <w:cnfStyle w:val="000000000000" w:firstRow="0" w:lastRow="0" w:firstColumn="0" w:lastColumn="0" w:oddVBand="0" w:evenVBand="0" w:oddHBand="0" w:evenHBand="0" w:firstRowFirstColumn="0" w:firstRowLastColumn="0" w:lastRowFirstColumn="0" w:lastRowLastColumn="0"/>
            </w:pPr>
            <w:r w:rsidRPr="00226B4A">
              <w:t>51.6</w:t>
            </w:r>
          </w:p>
        </w:tc>
        <w:tc>
          <w:tcPr>
            <w:tcW w:w="945" w:type="dxa"/>
            <w:noWrap/>
            <w:vAlign w:val="top"/>
          </w:tcPr>
          <w:p w:rsidR="00226B4A" w:rsidRPr="00226B4A" w:rsidRDefault="00226B4A" w:rsidP="00226B4A">
            <w:pPr>
              <w:cnfStyle w:val="000000000000" w:firstRow="0" w:lastRow="0" w:firstColumn="0" w:lastColumn="0" w:oddVBand="0" w:evenVBand="0" w:oddHBand="0" w:evenHBand="0" w:firstRowFirstColumn="0" w:firstRowLastColumn="0" w:lastRowFirstColumn="0" w:lastRowLastColumn="0"/>
            </w:pPr>
            <w:r w:rsidRPr="00226B4A">
              <w:t>58.5</w:t>
            </w:r>
          </w:p>
        </w:tc>
        <w:tc>
          <w:tcPr>
            <w:tcW w:w="945" w:type="dxa"/>
            <w:vAlign w:val="top"/>
          </w:tcPr>
          <w:p w:rsidR="00226B4A" w:rsidRPr="00226B4A" w:rsidRDefault="00226B4A" w:rsidP="00226B4A">
            <w:pPr>
              <w:cnfStyle w:val="000000000000" w:firstRow="0" w:lastRow="0" w:firstColumn="0" w:lastColumn="0" w:oddVBand="0" w:evenVBand="0" w:oddHBand="0" w:evenHBand="0" w:firstRowFirstColumn="0" w:firstRowLastColumn="0" w:lastRowFirstColumn="0" w:lastRowLastColumn="0"/>
            </w:pPr>
            <w:r w:rsidRPr="00226B4A">
              <w:t>65.6</w:t>
            </w:r>
          </w:p>
        </w:tc>
        <w:tc>
          <w:tcPr>
            <w:tcW w:w="945" w:type="dxa"/>
            <w:vAlign w:val="top"/>
          </w:tcPr>
          <w:p w:rsidR="00226B4A" w:rsidRPr="00226B4A" w:rsidRDefault="00226B4A" w:rsidP="00EC6807">
            <w:pPr>
              <w:cnfStyle w:val="000000000000" w:firstRow="0" w:lastRow="0" w:firstColumn="0" w:lastColumn="0" w:oddVBand="0" w:evenVBand="0" w:oddHBand="0" w:evenHBand="0" w:firstRowFirstColumn="0" w:firstRowLastColumn="0" w:lastRowFirstColumn="0" w:lastRowLastColumn="0"/>
            </w:pPr>
            <w:r w:rsidRPr="00226B4A">
              <w:t>67.</w:t>
            </w:r>
            <w:r w:rsidR="00EC6807">
              <w:t>2</w:t>
            </w:r>
          </w:p>
        </w:tc>
        <w:tc>
          <w:tcPr>
            <w:tcW w:w="945" w:type="dxa"/>
            <w:vAlign w:val="top"/>
          </w:tcPr>
          <w:p w:rsidR="00226B4A" w:rsidRPr="00226B4A" w:rsidRDefault="00226B4A" w:rsidP="00EC6807">
            <w:pPr>
              <w:cnfStyle w:val="000000000000" w:firstRow="0" w:lastRow="0" w:firstColumn="0" w:lastColumn="0" w:oddVBand="0" w:evenVBand="0" w:oddHBand="0" w:evenHBand="0" w:firstRowFirstColumn="0" w:firstRowLastColumn="0" w:lastRowFirstColumn="0" w:lastRowLastColumn="0"/>
            </w:pPr>
            <w:r w:rsidRPr="00226B4A">
              <w:t>61.</w:t>
            </w:r>
            <w:r w:rsidR="00EC6807">
              <w:t>4</w:t>
            </w:r>
          </w:p>
        </w:tc>
        <w:tc>
          <w:tcPr>
            <w:tcW w:w="945" w:type="dxa"/>
            <w:vAlign w:val="top"/>
          </w:tcPr>
          <w:p w:rsidR="00226B4A" w:rsidRPr="00226B4A" w:rsidRDefault="00226B4A" w:rsidP="00EC6807">
            <w:pPr>
              <w:cnfStyle w:val="000000000000" w:firstRow="0" w:lastRow="0" w:firstColumn="0" w:lastColumn="0" w:oddVBand="0" w:evenVBand="0" w:oddHBand="0" w:evenHBand="0" w:firstRowFirstColumn="0" w:firstRowLastColumn="0" w:lastRowFirstColumn="0" w:lastRowLastColumn="0"/>
            </w:pPr>
            <w:r w:rsidRPr="00226B4A">
              <w:t>304.</w:t>
            </w:r>
            <w:r w:rsidR="00EC6807">
              <w:t>3</w:t>
            </w:r>
          </w:p>
        </w:tc>
      </w:tr>
      <w:tr w:rsidR="00226B4A" w:rsidRPr="004D68D6" w:rsidTr="00EC6807">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tcPr>
          <w:p w:rsidR="00226B4A" w:rsidRPr="00226B4A" w:rsidRDefault="00226B4A" w:rsidP="00226B4A">
            <w:r w:rsidRPr="00226B4A">
              <w:t xml:space="preserve">Metering, ANS &amp; ERW net </w:t>
            </w:r>
            <w:proofErr w:type="spellStart"/>
            <w:r w:rsidRPr="00226B4A">
              <w:t>costs</w:t>
            </w:r>
            <w:r w:rsidR="00EC6807">
              <w:rPr>
                <w:rStyle w:val="AERsuperscript"/>
              </w:rPr>
              <w:t>b</w:t>
            </w:r>
            <w:proofErr w:type="spellEnd"/>
          </w:p>
        </w:tc>
        <w:tc>
          <w:tcPr>
            <w:tcW w:w="945" w:type="dxa"/>
            <w:noWrap/>
            <w:vAlign w:val="top"/>
          </w:tcPr>
          <w:p w:rsidR="00226B4A" w:rsidRPr="00226B4A" w:rsidRDefault="00EC6807" w:rsidP="00226B4A">
            <w:pPr>
              <w:cnfStyle w:val="000000010000" w:firstRow="0" w:lastRow="0" w:firstColumn="0" w:lastColumn="0" w:oddVBand="0" w:evenVBand="0" w:oddHBand="0" w:evenHBand="1" w:firstRowFirstColumn="0" w:firstRowLastColumn="0" w:lastRowFirstColumn="0" w:lastRowLastColumn="0"/>
            </w:pPr>
            <w:r>
              <w:t>62.6</w:t>
            </w:r>
          </w:p>
        </w:tc>
        <w:tc>
          <w:tcPr>
            <w:tcW w:w="945" w:type="dxa"/>
            <w:noWrap/>
            <w:vAlign w:val="top"/>
          </w:tcPr>
          <w:p w:rsidR="00226B4A" w:rsidRPr="00226B4A" w:rsidRDefault="00226B4A" w:rsidP="00226B4A">
            <w:pPr>
              <w:cnfStyle w:val="000000010000" w:firstRow="0" w:lastRow="0" w:firstColumn="0" w:lastColumn="0" w:oddVBand="0" w:evenVBand="0" w:oddHBand="0" w:evenHBand="1" w:firstRowFirstColumn="0" w:firstRowLastColumn="0" w:lastRowFirstColumn="0" w:lastRowLastColumn="0"/>
            </w:pPr>
            <w:r w:rsidRPr="00226B4A">
              <w:t>0.0</w:t>
            </w:r>
          </w:p>
        </w:tc>
        <w:tc>
          <w:tcPr>
            <w:tcW w:w="945" w:type="dxa"/>
            <w:vAlign w:val="top"/>
          </w:tcPr>
          <w:p w:rsidR="00226B4A" w:rsidRPr="00226B4A" w:rsidRDefault="00226B4A" w:rsidP="00226B4A">
            <w:pPr>
              <w:cnfStyle w:val="000000010000" w:firstRow="0" w:lastRow="0" w:firstColumn="0" w:lastColumn="0" w:oddVBand="0" w:evenVBand="0" w:oddHBand="0" w:evenHBand="1" w:firstRowFirstColumn="0" w:firstRowLastColumn="0" w:lastRowFirstColumn="0" w:lastRowLastColumn="0"/>
            </w:pPr>
            <w:r w:rsidRPr="00226B4A">
              <w:t>0.0</w:t>
            </w:r>
          </w:p>
        </w:tc>
        <w:tc>
          <w:tcPr>
            <w:tcW w:w="945" w:type="dxa"/>
            <w:vAlign w:val="top"/>
          </w:tcPr>
          <w:p w:rsidR="00226B4A" w:rsidRPr="00226B4A" w:rsidRDefault="00226B4A" w:rsidP="00226B4A">
            <w:pPr>
              <w:cnfStyle w:val="000000010000" w:firstRow="0" w:lastRow="0" w:firstColumn="0" w:lastColumn="0" w:oddVBand="0" w:evenVBand="0" w:oddHBand="0" w:evenHBand="1" w:firstRowFirstColumn="0" w:firstRowLastColumn="0" w:lastRowFirstColumn="0" w:lastRowLastColumn="0"/>
            </w:pPr>
            <w:r w:rsidRPr="00226B4A">
              <w:t>0.0</w:t>
            </w:r>
          </w:p>
        </w:tc>
        <w:tc>
          <w:tcPr>
            <w:tcW w:w="945" w:type="dxa"/>
            <w:vAlign w:val="top"/>
          </w:tcPr>
          <w:p w:rsidR="00226B4A" w:rsidRPr="00226B4A" w:rsidRDefault="00226B4A" w:rsidP="00226B4A">
            <w:pPr>
              <w:cnfStyle w:val="000000010000" w:firstRow="0" w:lastRow="0" w:firstColumn="0" w:lastColumn="0" w:oddVBand="0" w:evenVBand="0" w:oddHBand="0" w:evenHBand="1" w:firstRowFirstColumn="0" w:firstRowLastColumn="0" w:lastRowFirstColumn="0" w:lastRowLastColumn="0"/>
            </w:pPr>
            <w:r w:rsidRPr="00226B4A">
              <w:t>0.0</w:t>
            </w:r>
          </w:p>
        </w:tc>
        <w:tc>
          <w:tcPr>
            <w:tcW w:w="945" w:type="dxa"/>
            <w:vAlign w:val="top"/>
          </w:tcPr>
          <w:p w:rsidR="00226B4A" w:rsidRPr="00226B4A" w:rsidRDefault="008D0E96" w:rsidP="00226B4A">
            <w:pPr>
              <w:cnfStyle w:val="000000010000" w:firstRow="0" w:lastRow="0" w:firstColumn="0" w:lastColumn="0" w:oddVBand="0" w:evenVBand="0" w:oddHBand="0" w:evenHBand="1" w:firstRowFirstColumn="0" w:firstRowLastColumn="0" w:lastRowFirstColumn="0" w:lastRowLastColumn="0"/>
            </w:pPr>
            <w:r>
              <w:t>62.6</w:t>
            </w:r>
          </w:p>
        </w:tc>
      </w:tr>
      <w:tr w:rsidR="00226B4A" w:rsidRPr="004D68D6" w:rsidTr="00EC6807">
        <w:trPr>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hideMark/>
          </w:tcPr>
          <w:p w:rsidR="00226B4A" w:rsidRPr="00226B4A" w:rsidRDefault="00226B4A" w:rsidP="00226B4A">
            <w:r w:rsidRPr="00226B4A">
              <w:t>Annual revenue requirement (unsmoothed)</w:t>
            </w:r>
          </w:p>
        </w:tc>
        <w:tc>
          <w:tcPr>
            <w:tcW w:w="945" w:type="dxa"/>
            <w:noWrap/>
            <w:vAlign w:val="top"/>
          </w:tcPr>
          <w:p w:rsidR="00226B4A" w:rsidRPr="00226B4A" w:rsidRDefault="00226B4A" w:rsidP="008D0E96">
            <w:pPr>
              <w:cnfStyle w:val="000000000000" w:firstRow="0" w:lastRow="0" w:firstColumn="0" w:lastColumn="0" w:oddVBand="0" w:evenVBand="0" w:oddHBand="0" w:evenHBand="0" w:firstRowFirstColumn="0" w:firstRowLastColumn="0" w:lastRowFirstColumn="0" w:lastRowLastColumn="0"/>
            </w:pPr>
            <w:r w:rsidRPr="00226B4A">
              <w:t>15</w:t>
            </w:r>
            <w:r w:rsidR="00EC6807">
              <w:t>4</w:t>
            </w:r>
            <w:r w:rsidR="008D0E96">
              <w:t>6</w:t>
            </w:r>
            <w:r w:rsidR="00EC6807">
              <w:t>.</w:t>
            </w:r>
            <w:r w:rsidR="008D0E96">
              <w:t>0</w:t>
            </w:r>
          </w:p>
        </w:tc>
        <w:tc>
          <w:tcPr>
            <w:tcW w:w="945" w:type="dxa"/>
            <w:noWrap/>
            <w:vAlign w:val="top"/>
          </w:tcPr>
          <w:p w:rsidR="00226B4A" w:rsidRPr="00226B4A" w:rsidRDefault="00226B4A" w:rsidP="008D0E96">
            <w:pPr>
              <w:cnfStyle w:val="000000000000" w:firstRow="0" w:lastRow="0" w:firstColumn="0" w:lastColumn="0" w:oddVBand="0" w:evenVBand="0" w:oddHBand="0" w:evenHBand="0" w:firstRowFirstColumn="0" w:firstRowLastColumn="0" w:lastRowFirstColumn="0" w:lastRowLastColumn="0"/>
            </w:pPr>
            <w:r w:rsidRPr="00226B4A">
              <w:t>15</w:t>
            </w:r>
            <w:r w:rsidR="00EC6807">
              <w:t>40.</w:t>
            </w:r>
            <w:r w:rsidR="008D0E96">
              <w:t>9</w:t>
            </w:r>
          </w:p>
        </w:tc>
        <w:tc>
          <w:tcPr>
            <w:tcW w:w="945" w:type="dxa"/>
            <w:vAlign w:val="top"/>
          </w:tcPr>
          <w:p w:rsidR="00226B4A" w:rsidRPr="00226B4A" w:rsidRDefault="00226B4A" w:rsidP="008D0E96">
            <w:pPr>
              <w:cnfStyle w:val="000000000000" w:firstRow="0" w:lastRow="0" w:firstColumn="0" w:lastColumn="0" w:oddVBand="0" w:evenVBand="0" w:oddHBand="0" w:evenHBand="0" w:firstRowFirstColumn="0" w:firstRowLastColumn="0" w:lastRowFirstColumn="0" w:lastRowLastColumn="0"/>
            </w:pPr>
            <w:r w:rsidRPr="00226B4A">
              <w:t>1</w:t>
            </w:r>
            <w:r w:rsidR="00EC6807">
              <w:t>60</w:t>
            </w:r>
            <w:r w:rsidR="008D0E96">
              <w:t>3.2</w:t>
            </w:r>
          </w:p>
        </w:tc>
        <w:tc>
          <w:tcPr>
            <w:tcW w:w="945" w:type="dxa"/>
            <w:vAlign w:val="top"/>
          </w:tcPr>
          <w:p w:rsidR="00226B4A" w:rsidRPr="00226B4A" w:rsidRDefault="00226B4A" w:rsidP="008D0E96">
            <w:pPr>
              <w:cnfStyle w:val="000000000000" w:firstRow="0" w:lastRow="0" w:firstColumn="0" w:lastColumn="0" w:oddVBand="0" w:evenVBand="0" w:oddHBand="0" w:evenHBand="0" w:firstRowFirstColumn="0" w:firstRowLastColumn="0" w:lastRowFirstColumn="0" w:lastRowLastColumn="0"/>
            </w:pPr>
            <w:r w:rsidRPr="00226B4A">
              <w:t>158</w:t>
            </w:r>
            <w:r w:rsidR="008D0E96">
              <w:t>8.5</w:t>
            </w:r>
          </w:p>
        </w:tc>
        <w:tc>
          <w:tcPr>
            <w:tcW w:w="945" w:type="dxa"/>
            <w:vAlign w:val="top"/>
          </w:tcPr>
          <w:p w:rsidR="00226B4A" w:rsidRPr="00226B4A" w:rsidRDefault="00226B4A" w:rsidP="008D0E96">
            <w:pPr>
              <w:cnfStyle w:val="000000000000" w:firstRow="0" w:lastRow="0" w:firstColumn="0" w:lastColumn="0" w:oddVBand="0" w:evenVBand="0" w:oddHBand="0" w:evenHBand="0" w:firstRowFirstColumn="0" w:firstRowLastColumn="0" w:lastRowFirstColumn="0" w:lastRowLastColumn="0"/>
            </w:pPr>
            <w:r w:rsidRPr="00226B4A">
              <w:t>158</w:t>
            </w:r>
            <w:r w:rsidR="008D0E96">
              <w:t>8.4</w:t>
            </w:r>
          </w:p>
        </w:tc>
        <w:tc>
          <w:tcPr>
            <w:tcW w:w="945" w:type="dxa"/>
            <w:vAlign w:val="top"/>
          </w:tcPr>
          <w:p w:rsidR="00226B4A" w:rsidRPr="00226B4A" w:rsidRDefault="00226B4A" w:rsidP="008D0E96">
            <w:pPr>
              <w:cnfStyle w:val="000000000000" w:firstRow="0" w:lastRow="0" w:firstColumn="0" w:lastColumn="0" w:oddVBand="0" w:evenVBand="0" w:oddHBand="0" w:evenHBand="0" w:firstRowFirstColumn="0" w:firstRowLastColumn="0" w:lastRowFirstColumn="0" w:lastRowLastColumn="0"/>
            </w:pPr>
            <w:r w:rsidRPr="00226B4A">
              <w:t>78</w:t>
            </w:r>
            <w:r w:rsidR="00EC6807">
              <w:t>6</w:t>
            </w:r>
            <w:r w:rsidR="008D0E96">
              <w:t>7.0</w:t>
            </w:r>
          </w:p>
        </w:tc>
      </w:tr>
      <w:tr w:rsidR="00226B4A" w:rsidRPr="004D68D6" w:rsidTr="00EC6807">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hideMark/>
          </w:tcPr>
          <w:p w:rsidR="00226B4A" w:rsidRPr="00226B4A" w:rsidRDefault="00226B4A" w:rsidP="00226B4A">
            <w:pPr>
              <w:rPr>
                <w:rStyle w:val="Strong"/>
              </w:rPr>
            </w:pPr>
            <w:r w:rsidRPr="00226B4A">
              <w:rPr>
                <w:rStyle w:val="Strong"/>
              </w:rPr>
              <w:t>Annual expected revenue (smoothed)</w:t>
            </w:r>
          </w:p>
        </w:tc>
        <w:tc>
          <w:tcPr>
            <w:tcW w:w="945" w:type="dxa"/>
            <w:noWrap/>
            <w:vAlign w:val="top"/>
          </w:tcPr>
          <w:p w:rsidR="00226B4A" w:rsidRPr="00D97B8F" w:rsidRDefault="00226B4A" w:rsidP="00226B4A">
            <w:pPr>
              <w:cnfStyle w:val="000000010000" w:firstRow="0" w:lastRow="0" w:firstColumn="0" w:lastColumn="0" w:oddVBand="0" w:evenVBand="0" w:oddHBand="0" w:evenHBand="1" w:firstRowFirstColumn="0" w:firstRowLastColumn="0" w:lastRowFirstColumn="0" w:lastRowLastColumn="0"/>
              <w:rPr>
                <w:rStyle w:val="Strong"/>
              </w:rPr>
            </w:pPr>
            <w:r w:rsidRPr="00D97B8F">
              <w:rPr>
                <w:rStyle w:val="Strong"/>
              </w:rPr>
              <w:t>1956.4</w:t>
            </w:r>
          </w:p>
        </w:tc>
        <w:tc>
          <w:tcPr>
            <w:tcW w:w="945" w:type="dxa"/>
            <w:noWrap/>
            <w:vAlign w:val="top"/>
          </w:tcPr>
          <w:p w:rsidR="00226B4A" w:rsidRPr="00D97B8F" w:rsidRDefault="008D0E96" w:rsidP="00EC6807">
            <w:pPr>
              <w:cnfStyle w:val="000000010000" w:firstRow="0" w:lastRow="0" w:firstColumn="0" w:lastColumn="0" w:oddVBand="0" w:evenVBand="0" w:oddHBand="0" w:evenHBand="1" w:firstRowFirstColumn="0" w:firstRowLastColumn="0" w:lastRowFirstColumn="0" w:lastRowLastColumn="0"/>
              <w:rPr>
                <w:rStyle w:val="Strong"/>
              </w:rPr>
            </w:pPr>
            <w:r>
              <w:rPr>
                <w:rStyle w:val="Strong"/>
              </w:rPr>
              <w:t>1507.0</w:t>
            </w:r>
          </w:p>
        </w:tc>
        <w:tc>
          <w:tcPr>
            <w:tcW w:w="945" w:type="dxa"/>
            <w:vAlign w:val="top"/>
          </w:tcPr>
          <w:p w:rsidR="00226B4A" w:rsidRPr="00D97B8F" w:rsidRDefault="008D0E96" w:rsidP="00EC6807">
            <w:pPr>
              <w:cnfStyle w:val="000000010000" w:firstRow="0" w:lastRow="0" w:firstColumn="0" w:lastColumn="0" w:oddVBand="0" w:evenVBand="0" w:oddHBand="0" w:evenHBand="1" w:firstRowFirstColumn="0" w:firstRowLastColumn="0" w:lastRowFirstColumn="0" w:lastRowLastColumn="0"/>
              <w:rPr>
                <w:rStyle w:val="Strong"/>
              </w:rPr>
            </w:pPr>
            <w:r>
              <w:rPr>
                <w:rStyle w:val="Strong"/>
              </w:rPr>
              <w:t>1450.3</w:t>
            </w:r>
          </w:p>
        </w:tc>
        <w:tc>
          <w:tcPr>
            <w:tcW w:w="945" w:type="dxa"/>
            <w:vAlign w:val="top"/>
          </w:tcPr>
          <w:p w:rsidR="00226B4A" w:rsidRPr="00D97B8F" w:rsidRDefault="008D0E96" w:rsidP="00EC6807">
            <w:pPr>
              <w:cnfStyle w:val="000000010000" w:firstRow="0" w:lastRow="0" w:firstColumn="0" w:lastColumn="0" w:oddVBand="0" w:evenVBand="0" w:oddHBand="0" w:evenHBand="1" w:firstRowFirstColumn="0" w:firstRowLastColumn="0" w:lastRowFirstColumn="0" w:lastRowLastColumn="0"/>
              <w:rPr>
                <w:rStyle w:val="Strong"/>
              </w:rPr>
            </w:pPr>
            <w:r>
              <w:rPr>
                <w:rStyle w:val="Strong"/>
              </w:rPr>
              <w:t>1440.2</w:t>
            </w:r>
          </w:p>
        </w:tc>
        <w:tc>
          <w:tcPr>
            <w:tcW w:w="945" w:type="dxa"/>
            <w:vAlign w:val="top"/>
          </w:tcPr>
          <w:p w:rsidR="00226B4A" w:rsidRPr="00D97B8F" w:rsidRDefault="008D0E96" w:rsidP="00EC6807">
            <w:pPr>
              <w:cnfStyle w:val="000000010000" w:firstRow="0" w:lastRow="0" w:firstColumn="0" w:lastColumn="0" w:oddVBand="0" w:evenVBand="0" w:oddHBand="0" w:evenHBand="1" w:firstRowFirstColumn="0" w:firstRowLastColumn="0" w:lastRowFirstColumn="0" w:lastRowLastColumn="0"/>
              <w:rPr>
                <w:rStyle w:val="Strong"/>
              </w:rPr>
            </w:pPr>
            <w:r>
              <w:rPr>
                <w:rStyle w:val="Strong"/>
              </w:rPr>
              <w:t>1430.3</w:t>
            </w:r>
          </w:p>
        </w:tc>
        <w:tc>
          <w:tcPr>
            <w:tcW w:w="945" w:type="dxa"/>
            <w:vAlign w:val="top"/>
          </w:tcPr>
          <w:p w:rsidR="00226B4A" w:rsidRPr="00D97B8F" w:rsidRDefault="008D0E96" w:rsidP="00EC6807">
            <w:pPr>
              <w:cnfStyle w:val="000000010000" w:firstRow="0" w:lastRow="0" w:firstColumn="0" w:lastColumn="0" w:oddVBand="0" w:evenVBand="0" w:oddHBand="0" w:evenHBand="1" w:firstRowFirstColumn="0" w:firstRowLastColumn="0" w:lastRowFirstColumn="0" w:lastRowLastColumn="0"/>
              <w:rPr>
                <w:rStyle w:val="Strong"/>
              </w:rPr>
            </w:pPr>
            <w:r>
              <w:rPr>
                <w:rStyle w:val="Strong"/>
              </w:rPr>
              <w:t>7784.2</w:t>
            </w:r>
          </w:p>
        </w:tc>
      </w:tr>
      <w:tr w:rsidR="00DB12E8" w:rsidRPr="004D68D6" w:rsidTr="00EC6807">
        <w:trPr>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hideMark/>
          </w:tcPr>
          <w:p w:rsidR="00DB12E8" w:rsidRPr="004D68D6" w:rsidRDefault="00DB12E8" w:rsidP="004D68D6">
            <w:r w:rsidRPr="004D68D6">
              <w:lastRenderedPageBreak/>
              <w:t xml:space="preserve">X </w:t>
            </w:r>
            <w:proofErr w:type="spellStart"/>
            <w:r w:rsidRPr="004D68D6">
              <w:t>factor</w:t>
            </w:r>
            <w:r w:rsidR="00EC6807">
              <w:rPr>
                <w:rStyle w:val="AERsuperscript"/>
              </w:rPr>
              <w:t>c</w:t>
            </w:r>
            <w:proofErr w:type="spellEnd"/>
          </w:p>
        </w:tc>
        <w:tc>
          <w:tcPr>
            <w:tcW w:w="945" w:type="dxa"/>
            <w:noWrap/>
            <w:vAlign w:val="top"/>
          </w:tcPr>
          <w:p w:rsidR="00DB12E8" w:rsidRPr="004D68D6" w:rsidRDefault="00D862BC" w:rsidP="0006069F">
            <w:pPr>
              <w:cnfStyle w:val="000000000000" w:firstRow="0" w:lastRow="0" w:firstColumn="0" w:lastColumn="0" w:oddVBand="0" w:evenVBand="0" w:oddHBand="0" w:evenHBand="0" w:firstRowFirstColumn="0" w:firstRowLastColumn="0" w:lastRowFirstColumn="0" w:lastRowLastColumn="0"/>
            </w:pPr>
            <w:r>
              <w:t>n/a</w:t>
            </w:r>
            <w:r w:rsidR="0006069F">
              <w:rPr>
                <w:rStyle w:val="AERsuperscript"/>
              </w:rPr>
              <w:t>d</w:t>
            </w:r>
          </w:p>
        </w:tc>
        <w:tc>
          <w:tcPr>
            <w:tcW w:w="945" w:type="dxa"/>
            <w:noWrap/>
            <w:vAlign w:val="top"/>
          </w:tcPr>
          <w:p w:rsidR="00DB12E8" w:rsidRPr="004D68D6" w:rsidRDefault="00226B4A" w:rsidP="008D0E96">
            <w:pPr>
              <w:cnfStyle w:val="000000000000" w:firstRow="0" w:lastRow="0" w:firstColumn="0" w:lastColumn="0" w:oddVBand="0" w:evenVBand="0" w:oddHBand="0" w:evenHBand="0" w:firstRowFirstColumn="0" w:firstRowLastColumn="0" w:lastRowFirstColumn="0" w:lastRowLastColumn="0"/>
            </w:pPr>
            <w:r>
              <w:t>2</w:t>
            </w:r>
            <w:r w:rsidR="008D0E96">
              <w:t>4.77</w:t>
            </w:r>
            <w:r w:rsidR="00D862BC">
              <w:t>%</w:t>
            </w:r>
          </w:p>
        </w:tc>
        <w:tc>
          <w:tcPr>
            <w:tcW w:w="945" w:type="dxa"/>
            <w:vAlign w:val="top"/>
          </w:tcPr>
          <w:p w:rsidR="00DB12E8" w:rsidRPr="004D68D6" w:rsidRDefault="008D0E96" w:rsidP="008D0E96">
            <w:pPr>
              <w:cnfStyle w:val="000000000000" w:firstRow="0" w:lastRow="0" w:firstColumn="0" w:lastColumn="0" w:oddVBand="0" w:evenVBand="0" w:oddHBand="0" w:evenHBand="0" w:firstRowFirstColumn="0" w:firstRowLastColumn="0" w:lastRowFirstColumn="0" w:lastRowLastColumn="0"/>
            </w:pPr>
            <w:r>
              <w:t>6</w:t>
            </w:r>
            <w:r w:rsidR="00226B4A">
              <w:t>.00</w:t>
            </w:r>
            <w:r w:rsidR="00D862BC">
              <w:t>%</w:t>
            </w:r>
          </w:p>
        </w:tc>
        <w:tc>
          <w:tcPr>
            <w:tcW w:w="945" w:type="dxa"/>
            <w:vAlign w:val="top"/>
          </w:tcPr>
          <w:p w:rsidR="00DB12E8" w:rsidRPr="004D68D6" w:rsidRDefault="00EC6807" w:rsidP="00EC6807">
            <w:pPr>
              <w:cnfStyle w:val="000000000000" w:firstRow="0" w:lastRow="0" w:firstColumn="0" w:lastColumn="0" w:oddVBand="0" w:evenVBand="0" w:oddHBand="0" w:evenHBand="0" w:firstRowFirstColumn="0" w:firstRowLastColumn="0" w:lastRowFirstColumn="0" w:lastRowLastColumn="0"/>
            </w:pPr>
            <w:r>
              <w:t>3</w:t>
            </w:r>
            <w:r w:rsidR="00226B4A">
              <w:t>.00</w:t>
            </w:r>
            <w:r w:rsidR="00D862BC">
              <w:t>%</w:t>
            </w:r>
          </w:p>
        </w:tc>
        <w:tc>
          <w:tcPr>
            <w:tcW w:w="945" w:type="dxa"/>
            <w:vAlign w:val="top"/>
          </w:tcPr>
          <w:p w:rsidR="00DB12E8" w:rsidRPr="004D68D6" w:rsidRDefault="00226B4A" w:rsidP="00760B38">
            <w:pPr>
              <w:cnfStyle w:val="000000000000" w:firstRow="0" w:lastRow="0" w:firstColumn="0" w:lastColumn="0" w:oddVBand="0" w:evenVBand="0" w:oddHBand="0" w:evenHBand="0" w:firstRowFirstColumn="0" w:firstRowLastColumn="0" w:lastRowFirstColumn="0" w:lastRowLastColumn="0"/>
            </w:pPr>
            <w:r>
              <w:t>3.00</w:t>
            </w:r>
            <w:r w:rsidR="00D862BC">
              <w:t>%</w:t>
            </w:r>
          </w:p>
        </w:tc>
        <w:tc>
          <w:tcPr>
            <w:tcW w:w="945" w:type="dxa"/>
            <w:vAlign w:val="top"/>
          </w:tcPr>
          <w:p w:rsidR="00DB12E8" w:rsidRPr="004D68D6" w:rsidRDefault="00D862BC" w:rsidP="004D68D6">
            <w:pPr>
              <w:cnfStyle w:val="000000000000" w:firstRow="0" w:lastRow="0" w:firstColumn="0" w:lastColumn="0" w:oddVBand="0" w:evenVBand="0" w:oddHBand="0" w:evenHBand="0" w:firstRowFirstColumn="0" w:firstRowLastColumn="0" w:lastRowFirstColumn="0" w:lastRowLastColumn="0"/>
            </w:pPr>
            <w:r>
              <w:t>n/a</w:t>
            </w:r>
          </w:p>
        </w:tc>
      </w:tr>
    </w:tbl>
    <w:p w:rsidR="00DB12E8" w:rsidRDefault="00DB12E8" w:rsidP="00DB12E8">
      <w:pPr>
        <w:pStyle w:val="AERtablesource"/>
      </w:pPr>
      <w:r>
        <w:t xml:space="preserve">Source: </w:t>
      </w:r>
      <w:r>
        <w:tab/>
        <w:t>AER analysis.</w:t>
      </w:r>
      <w:r w:rsidRPr="004647BC">
        <w:t xml:space="preserve"> </w:t>
      </w:r>
    </w:p>
    <w:p w:rsidR="00EC6807" w:rsidRDefault="00DB12E8" w:rsidP="00DB12E8">
      <w:pPr>
        <w:pStyle w:val="AERtablesource"/>
      </w:pPr>
      <w:r>
        <w:t>(a)</w:t>
      </w:r>
      <w:r>
        <w:tab/>
      </w:r>
      <w:r w:rsidR="00EC6807">
        <w:t>Revenue adjustments include efficiency benefit sharing scheme carry-overs and forecast demand management incentive allowance (DMIA).</w:t>
      </w:r>
    </w:p>
    <w:p w:rsidR="00DB12E8" w:rsidRDefault="00EC6807" w:rsidP="00DB12E8">
      <w:pPr>
        <w:pStyle w:val="AERtablesource"/>
      </w:pPr>
      <w:r>
        <w:t>(b)</w:t>
      </w:r>
      <w:r>
        <w:tab/>
      </w:r>
      <w:r w:rsidR="00DB12E8" w:rsidRPr="005B601A">
        <w:t>These are the efficient net costs of metering and ancillary network services</w:t>
      </w:r>
      <w:r w:rsidR="00DB12E8">
        <w:t xml:space="preserve"> and emergency recoverable works</w:t>
      </w:r>
      <w:r w:rsidR="00DB12E8" w:rsidRPr="005B601A">
        <w:t xml:space="preserve"> as determined by the AER. They reflect the difference between the costs and any offsetting revenues recovered by the service provider through separate charges.</w:t>
      </w:r>
      <w:r w:rsidR="00DB12E8">
        <w:t xml:space="preserve"> </w:t>
      </w:r>
    </w:p>
    <w:p w:rsidR="00760B38" w:rsidRPr="004647BC" w:rsidRDefault="00760B38" w:rsidP="00760B38">
      <w:pPr>
        <w:pStyle w:val="AERtablesource"/>
      </w:pPr>
      <w:r>
        <w:t>(</w:t>
      </w:r>
      <w:r w:rsidR="00EC6807">
        <w:t>c</w:t>
      </w:r>
      <w:r>
        <w:t>)</w:t>
      </w:r>
      <w:r>
        <w:tab/>
      </w:r>
      <w:r w:rsidRPr="001C2DB8">
        <w:t xml:space="preserve">The X factor </w:t>
      </w:r>
      <w:r>
        <w:t xml:space="preserve">from 2016–17 to 2018–19 </w:t>
      </w:r>
      <w:r w:rsidRPr="001C2DB8">
        <w:t>will be revised to reflect the annual return on debt update.</w:t>
      </w:r>
      <w:r>
        <w:t xml:space="preserve"> Under the CPI–X framework, the X factor measures the real rate of change in annual expected revenue from one year to the next. A negative X factor represents a real increase in revenue. Conversely, a positive X factor represents a real decrease in revenue.</w:t>
      </w:r>
    </w:p>
    <w:p w:rsidR="00DB12E8" w:rsidRDefault="00DB12E8" w:rsidP="00760B38">
      <w:pPr>
        <w:pStyle w:val="AERtablesource"/>
      </w:pPr>
      <w:r>
        <w:t>(</w:t>
      </w:r>
      <w:r w:rsidR="00EC6807">
        <w:t>d</w:t>
      </w:r>
      <w:r>
        <w:t>)</w:t>
      </w:r>
      <w:r>
        <w:tab/>
        <w:t xml:space="preserve">In our transitional decision, we determined the placeholder revenue for 2014–15. In this </w:t>
      </w:r>
      <w:r w:rsidR="00D97B8F">
        <w:t>final</w:t>
      </w:r>
      <w:r>
        <w:t xml:space="preserve"> decision to update the 2014–15 revenue for our assessment of efficient costs we determined X factors for the final four years of the 2014–19 period. This is to adjust Ausgrid's total revenue requirement for the 2015–19 regulatory control period for the difference between the placeholder revenue and our decision on Ausgrid's efficient costs for 2014–15.</w:t>
      </w:r>
    </w:p>
    <w:p w:rsidR="00DB12E8" w:rsidRDefault="00DB12E8" w:rsidP="00DB12E8">
      <w:pPr>
        <w:pStyle w:val="Caption"/>
      </w:pPr>
      <w:bookmarkStart w:id="18" w:name="_Ref403478012"/>
      <w:r>
        <w:t xml:space="preserve">Table </w:t>
      </w:r>
      <w:fldSimple w:instr=" STYLEREF 1 \s ">
        <w:r w:rsidR="00A11853">
          <w:rPr>
            <w:noProof/>
          </w:rPr>
          <w:t>1</w:t>
        </w:r>
      </w:fldSimple>
      <w:r w:rsidR="00A32071">
        <w:t>.</w:t>
      </w:r>
      <w:fldSimple w:instr=" SEQ Table \* ARABIC \s 1 ">
        <w:r w:rsidR="00A11853">
          <w:rPr>
            <w:noProof/>
          </w:rPr>
          <w:t>2</w:t>
        </w:r>
      </w:fldSimple>
      <w:bookmarkEnd w:id="18"/>
      <w:r>
        <w:tab/>
        <w:t xml:space="preserve">AER's </w:t>
      </w:r>
      <w:r w:rsidR="004D68D6">
        <w:t>final</w:t>
      </w:r>
      <w:r>
        <w:t xml:space="preserve"> decision on Ausgrid's revenues for 2014–19 period – transmission ($million, nominal) </w:t>
      </w:r>
    </w:p>
    <w:tbl>
      <w:tblPr>
        <w:tblStyle w:val="AERtable-numbers"/>
        <w:tblW w:w="8755" w:type="dxa"/>
        <w:tblLayout w:type="fixed"/>
        <w:tblLook w:val="04A0" w:firstRow="1" w:lastRow="0" w:firstColumn="1" w:lastColumn="0" w:noHBand="0" w:noVBand="1"/>
      </w:tblPr>
      <w:tblGrid>
        <w:gridCol w:w="3085"/>
        <w:gridCol w:w="945"/>
        <w:gridCol w:w="945"/>
        <w:gridCol w:w="945"/>
        <w:gridCol w:w="945"/>
        <w:gridCol w:w="945"/>
        <w:gridCol w:w="945"/>
      </w:tblGrid>
      <w:tr w:rsidR="00DB12E8" w:rsidRPr="004D68D6" w:rsidTr="00E55B78">
        <w:trPr>
          <w:cnfStyle w:val="100000000000" w:firstRow="1" w:lastRow="0" w:firstColumn="0" w:lastColumn="0" w:oddVBand="0" w:evenVBand="0" w:oddHBand="0"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085" w:type="dxa"/>
            <w:noWrap/>
            <w:hideMark/>
          </w:tcPr>
          <w:p w:rsidR="00DB12E8" w:rsidRPr="004D68D6" w:rsidRDefault="00DB12E8" w:rsidP="004D68D6">
            <w:r w:rsidRPr="004D68D6">
              <w:t> </w:t>
            </w:r>
          </w:p>
        </w:tc>
        <w:tc>
          <w:tcPr>
            <w:tcW w:w="945" w:type="dxa"/>
            <w:noWrap/>
            <w:hideMark/>
          </w:tcPr>
          <w:p w:rsidR="00DB12E8" w:rsidRPr="004D68D6" w:rsidRDefault="00DB12E8" w:rsidP="004D68D6">
            <w:pPr>
              <w:cnfStyle w:val="100000000000" w:firstRow="1" w:lastRow="0" w:firstColumn="0" w:lastColumn="0" w:oddVBand="0" w:evenVBand="0" w:oddHBand="0" w:evenHBand="0" w:firstRowFirstColumn="0" w:firstRowLastColumn="0" w:lastRowFirstColumn="0" w:lastRowLastColumn="0"/>
            </w:pPr>
            <w:r w:rsidRPr="004D68D6">
              <w:t>2014–15</w:t>
            </w:r>
          </w:p>
        </w:tc>
        <w:tc>
          <w:tcPr>
            <w:tcW w:w="945" w:type="dxa"/>
            <w:noWrap/>
            <w:hideMark/>
          </w:tcPr>
          <w:p w:rsidR="00DB12E8" w:rsidRPr="004D68D6" w:rsidRDefault="00DB12E8" w:rsidP="004D68D6">
            <w:pPr>
              <w:cnfStyle w:val="100000000000" w:firstRow="1" w:lastRow="0" w:firstColumn="0" w:lastColumn="0" w:oddVBand="0" w:evenVBand="0" w:oddHBand="0" w:evenHBand="0" w:firstRowFirstColumn="0" w:firstRowLastColumn="0" w:lastRowFirstColumn="0" w:lastRowLastColumn="0"/>
            </w:pPr>
            <w:r w:rsidRPr="004D68D6">
              <w:t>2015–16</w:t>
            </w:r>
          </w:p>
        </w:tc>
        <w:tc>
          <w:tcPr>
            <w:tcW w:w="945" w:type="dxa"/>
          </w:tcPr>
          <w:p w:rsidR="00DB12E8" w:rsidRPr="004D68D6" w:rsidRDefault="00DB12E8" w:rsidP="004D68D6">
            <w:pPr>
              <w:cnfStyle w:val="100000000000" w:firstRow="1" w:lastRow="0" w:firstColumn="0" w:lastColumn="0" w:oddVBand="0" w:evenVBand="0" w:oddHBand="0" w:evenHBand="0" w:firstRowFirstColumn="0" w:firstRowLastColumn="0" w:lastRowFirstColumn="0" w:lastRowLastColumn="0"/>
            </w:pPr>
            <w:r w:rsidRPr="004D68D6">
              <w:t>2016–17</w:t>
            </w:r>
          </w:p>
        </w:tc>
        <w:tc>
          <w:tcPr>
            <w:tcW w:w="945" w:type="dxa"/>
          </w:tcPr>
          <w:p w:rsidR="00DB12E8" w:rsidRPr="004D68D6" w:rsidRDefault="00DB12E8" w:rsidP="004D68D6">
            <w:pPr>
              <w:cnfStyle w:val="100000000000" w:firstRow="1" w:lastRow="0" w:firstColumn="0" w:lastColumn="0" w:oddVBand="0" w:evenVBand="0" w:oddHBand="0" w:evenHBand="0" w:firstRowFirstColumn="0" w:firstRowLastColumn="0" w:lastRowFirstColumn="0" w:lastRowLastColumn="0"/>
            </w:pPr>
            <w:r w:rsidRPr="004D68D6">
              <w:t>2017–18</w:t>
            </w:r>
          </w:p>
        </w:tc>
        <w:tc>
          <w:tcPr>
            <w:tcW w:w="945" w:type="dxa"/>
          </w:tcPr>
          <w:p w:rsidR="00DB12E8" w:rsidRPr="004D68D6" w:rsidRDefault="00DB12E8" w:rsidP="004D68D6">
            <w:pPr>
              <w:cnfStyle w:val="100000000000" w:firstRow="1" w:lastRow="0" w:firstColumn="0" w:lastColumn="0" w:oddVBand="0" w:evenVBand="0" w:oddHBand="0" w:evenHBand="0" w:firstRowFirstColumn="0" w:firstRowLastColumn="0" w:lastRowFirstColumn="0" w:lastRowLastColumn="0"/>
            </w:pPr>
            <w:r w:rsidRPr="004D68D6">
              <w:t>2018–19</w:t>
            </w:r>
          </w:p>
        </w:tc>
        <w:tc>
          <w:tcPr>
            <w:tcW w:w="945" w:type="dxa"/>
          </w:tcPr>
          <w:p w:rsidR="00DB12E8" w:rsidRPr="004D68D6" w:rsidRDefault="00DB12E8" w:rsidP="004D68D6">
            <w:pPr>
              <w:cnfStyle w:val="100000000000" w:firstRow="1" w:lastRow="0" w:firstColumn="0" w:lastColumn="0" w:oddVBand="0" w:evenVBand="0" w:oddHBand="0" w:evenHBand="0" w:firstRowFirstColumn="0" w:firstRowLastColumn="0" w:lastRowFirstColumn="0" w:lastRowLastColumn="0"/>
            </w:pPr>
            <w:r w:rsidRPr="004D68D6">
              <w:t>Total</w:t>
            </w:r>
          </w:p>
        </w:tc>
      </w:tr>
      <w:tr w:rsidR="00226B4A" w:rsidRPr="004D68D6" w:rsidTr="00E55B78">
        <w:trPr>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hideMark/>
          </w:tcPr>
          <w:p w:rsidR="00226B4A" w:rsidRPr="00226B4A" w:rsidRDefault="00226B4A" w:rsidP="00226B4A">
            <w:r w:rsidRPr="00226B4A">
              <w:t>Return on capital</w:t>
            </w:r>
          </w:p>
        </w:tc>
        <w:tc>
          <w:tcPr>
            <w:tcW w:w="945" w:type="dxa"/>
            <w:noWrap/>
            <w:vAlign w:val="top"/>
          </w:tcPr>
          <w:p w:rsidR="00226B4A" w:rsidRPr="00226B4A" w:rsidRDefault="00226B4A" w:rsidP="00226B4A">
            <w:pPr>
              <w:cnfStyle w:val="000000000000" w:firstRow="0" w:lastRow="0" w:firstColumn="0" w:lastColumn="0" w:oddVBand="0" w:evenVBand="0" w:oddHBand="0" w:evenHBand="0" w:firstRowFirstColumn="0" w:firstRowLastColumn="0" w:lastRowFirstColumn="0" w:lastRowLastColumn="0"/>
            </w:pPr>
            <w:r w:rsidRPr="00226B4A">
              <w:t>137.3</w:t>
            </w:r>
          </w:p>
        </w:tc>
        <w:tc>
          <w:tcPr>
            <w:tcW w:w="945" w:type="dxa"/>
            <w:noWrap/>
            <w:vAlign w:val="top"/>
          </w:tcPr>
          <w:p w:rsidR="00226B4A" w:rsidRPr="00226B4A" w:rsidRDefault="00226B4A" w:rsidP="000739F0">
            <w:pPr>
              <w:cnfStyle w:val="000000000000" w:firstRow="0" w:lastRow="0" w:firstColumn="0" w:lastColumn="0" w:oddVBand="0" w:evenVBand="0" w:oddHBand="0" w:evenHBand="0" w:firstRowFirstColumn="0" w:firstRowLastColumn="0" w:lastRowFirstColumn="0" w:lastRowLastColumn="0"/>
            </w:pPr>
            <w:r w:rsidRPr="00226B4A">
              <w:t>136.</w:t>
            </w:r>
            <w:r w:rsidR="000739F0">
              <w:t>9</w:t>
            </w:r>
          </w:p>
        </w:tc>
        <w:tc>
          <w:tcPr>
            <w:tcW w:w="945" w:type="dxa"/>
            <w:vAlign w:val="top"/>
          </w:tcPr>
          <w:p w:rsidR="00226B4A" w:rsidRPr="00226B4A" w:rsidRDefault="00226B4A" w:rsidP="000739F0">
            <w:pPr>
              <w:cnfStyle w:val="000000000000" w:firstRow="0" w:lastRow="0" w:firstColumn="0" w:lastColumn="0" w:oddVBand="0" w:evenVBand="0" w:oddHBand="0" w:evenHBand="0" w:firstRowFirstColumn="0" w:firstRowLastColumn="0" w:lastRowFirstColumn="0" w:lastRowLastColumn="0"/>
            </w:pPr>
            <w:r w:rsidRPr="00226B4A">
              <w:t>13</w:t>
            </w:r>
            <w:r w:rsidR="00EC6807">
              <w:t>9.</w:t>
            </w:r>
            <w:r w:rsidR="000739F0">
              <w:t>4</w:t>
            </w:r>
          </w:p>
        </w:tc>
        <w:tc>
          <w:tcPr>
            <w:tcW w:w="945" w:type="dxa"/>
            <w:vAlign w:val="top"/>
          </w:tcPr>
          <w:p w:rsidR="00226B4A" w:rsidRPr="00226B4A" w:rsidRDefault="00226B4A" w:rsidP="000739F0">
            <w:pPr>
              <w:cnfStyle w:val="000000000000" w:firstRow="0" w:lastRow="0" w:firstColumn="0" w:lastColumn="0" w:oddVBand="0" w:evenVBand="0" w:oddHBand="0" w:evenHBand="0" w:firstRowFirstColumn="0" w:firstRowLastColumn="0" w:lastRowFirstColumn="0" w:lastRowLastColumn="0"/>
            </w:pPr>
            <w:r w:rsidRPr="00226B4A">
              <w:t>14</w:t>
            </w:r>
            <w:r w:rsidR="000739F0">
              <w:t>6.2</w:t>
            </w:r>
          </w:p>
        </w:tc>
        <w:tc>
          <w:tcPr>
            <w:tcW w:w="945" w:type="dxa"/>
            <w:vAlign w:val="top"/>
          </w:tcPr>
          <w:p w:rsidR="00226B4A" w:rsidRPr="00226B4A" w:rsidRDefault="00226B4A" w:rsidP="000739F0">
            <w:pPr>
              <w:cnfStyle w:val="000000000000" w:firstRow="0" w:lastRow="0" w:firstColumn="0" w:lastColumn="0" w:oddVBand="0" w:evenVBand="0" w:oddHBand="0" w:evenHBand="0" w:firstRowFirstColumn="0" w:firstRowLastColumn="0" w:lastRowFirstColumn="0" w:lastRowLastColumn="0"/>
            </w:pPr>
            <w:r w:rsidRPr="00226B4A">
              <w:t>148.</w:t>
            </w:r>
            <w:r w:rsidR="000739F0">
              <w:t>9</w:t>
            </w:r>
          </w:p>
        </w:tc>
        <w:tc>
          <w:tcPr>
            <w:tcW w:w="945" w:type="dxa"/>
            <w:vAlign w:val="top"/>
          </w:tcPr>
          <w:p w:rsidR="00226B4A" w:rsidRPr="00226B4A" w:rsidRDefault="00226B4A" w:rsidP="000739F0">
            <w:pPr>
              <w:cnfStyle w:val="000000000000" w:firstRow="0" w:lastRow="0" w:firstColumn="0" w:lastColumn="0" w:oddVBand="0" w:evenVBand="0" w:oddHBand="0" w:evenHBand="0" w:firstRowFirstColumn="0" w:firstRowLastColumn="0" w:lastRowFirstColumn="0" w:lastRowLastColumn="0"/>
            </w:pPr>
            <w:r w:rsidRPr="00226B4A">
              <w:t>70</w:t>
            </w:r>
            <w:r w:rsidR="000739F0">
              <w:t>8.6</w:t>
            </w:r>
          </w:p>
        </w:tc>
      </w:tr>
      <w:tr w:rsidR="00226B4A" w:rsidRPr="004D68D6" w:rsidTr="00E55B78">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tcPr>
          <w:p w:rsidR="00226B4A" w:rsidRPr="00226B4A" w:rsidRDefault="00226B4A" w:rsidP="00226B4A">
            <w:r w:rsidRPr="00226B4A">
              <w:t>Regulatory depreciation</w:t>
            </w:r>
          </w:p>
        </w:tc>
        <w:tc>
          <w:tcPr>
            <w:tcW w:w="945" w:type="dxa"/>
            <w:noWrap/>
            <w:vAlign w:val="top"/>
          </w:tcPr>
          <w:p w:rsidR="00226B4A" w:rsidRPr="00226B4A" w:rsidRDefault="00226B4A" w:rsidP="000739F0">
            <w:pPr>
              <w:cnfStyle w:val="000000010000" w:firstRow="0" w:lastRow="0" w:firstColumn="0" w:lastColumn="0" w:oddVBand="0" w:evenVBand="0" w:oddHBand="0" w:evenHBand="1" w:firstRowFirstColumn="0" w:firstRowLastColumn="0" w:lastRowFirstColumn="0" w:lastRowLastColumn="0"/>
            </w:pPr>
            <w:r w:rsidRPr="00226B4A">
              <w:t>1</w:t>
            </w:r>
            <w:r w:rsidR="000739F0">
              <w:t>4.5</w:t>
            </w:r>
          </w:p>
        </w:tc>
        <w:tc>
          <w:tcPr>
            <w:tcW w:w="945" w:type="dxa"/>
            <w:noWrap/>
            <w:vAlign w:val="top"/>
          </w:tcPr>
          <w:p w:rsidR="00226B4A" w:rsidRPr="00226B4A" w:rsidRDefault="00226B4A" w:rsidP="000739F0">
            <w:pPr>
              <w:cnfStyle w:val="000000010000" w:firstRow="0" w:lastRow="0" w:firstColumn="0" w:lastColumn="0" w:oddVBand="0" w:evenVBand="0" w:oddHBand="0" w:evenHBand="1" w:firstRowFirstColumn="0" w:firstRowLastColumn="0" w:lastRowFirstColumn="0" w:lastRowLastColumn="0"/>
            </w:pPr>
            <w:r w:rsidRPr="00226B4A">
              <w:t>18.</w:t>
            </w:r>
            <w:r w:rsidR="000739F0">
              <w:t>4</w:t>
            </w:r>
          </w:p>
        </w:tc>
        <w:tc>
          <w:tcPr>
            <w:tcW w:w="945" w:type="dxa"/>
            <w:vAlign w:val="top"/>
          </w:tcPr>
          <w:p w:rsidR="00226B4A" w:rsidRPr="00226B4A" w:rsidRDefault="00226B4A" w:rsidP="000739F0">
            <w:pPr>
              <w:cnfStyle w:val="000000010000" w:firstRow="0" w:lastRow="0" w:firstColumn="0" w:lastColumn="0" w:oddVBand="0" w:evenVBand="0" w:oddHBand="0" w:evenHBand="1" w:firstRowFirstColumn="0" w:firstRowLastColumn="0" w:lastRowFirstColumn="0" w:lastRowLastColumn="0"/>
            </w:pPr>
            <w:r w:rsidRPr="00226B4A">
              <w:t>2</w:t>
            </w:r>
            <w:r w:rsidR="000739F0">
              <w:t>2.9</w:t>
            </w:r>
          </w:p>
        </w:tc>
        <w:tc>
          <w:tcPr>
            <w:tcW w:w="945" w:type="dxa"/>
            <w:vAlign w:val="top"/>
          </w:tcPr>
          <w:p w:rsidR="00226B4A" w:rsidRPr="00226B4A" w:rsidRDefault="00226B4A" w:rsidP="000739F0">
            <w:pPr>
              <w:cnfStyle w:val="000000010000" w:firstRow="0" w:lastRow="0" w:firstColumn="0" w:lastColumn="0" w:oddVBand="0" w:evenVBand="0" w:oddHBand="0" w:evenHBand="1" w:firstRowFirstColumn="0" w:firstRowLastColumn="0" w:lastRowFirstColumn="0" w:lastRowLastColumn="0"/>
            </w:pPr>
            <w:r w:rsidRPr="00226B4A">
              <w:t>20.</w:t>
            </w:r>
            <w:r w:rsidR="000739F0">
              <w:t>6</w:t>
            </w:r>
          </w:p>
        </w:tc>
        <w:tc>
          <w:tcPr>
            <w:tcW w:w="945" w:type="dxa"/>
            <w:vAlign w:val="top"/>
          </w:tcPr>
          <w:p w:rsidR="00226B4A" w:rsidRPr="00226B4A" w:rsidRDefault="00226B4A" w:rsidP="000739F0">
            <w:pPr>
              <w:cnfStyle w:val="000000010000" w:firstRow="0" w:lastRow="0" w:firstColumn="0" w:lastColumn="0" w:oddVBand="0" w:evenVBand="0" w:oddHBand="0" w:evenHBand="1" w:firstRowFirstColumn="0" w:firstRowLastColumn="0" w:lastRowFirstColumn="0" w:lastRowLastColumn="0"/>
            </w:pPr>
            <w:r w:rsidRPr="00226B4A">
              <w:t>20.</w:t>
            </w:r>
            <w:r w:rsidR="000739F0">
              <w:t>5</w:t>
            </w:r>
          </w:p>
        </w:tc>
        <w:tc>
          <w:tcPr>
            <w:tcW w:w="945" w:type="dxa"/>
            <w:vAlign w:val="top"/>
          </w:tcPr>
          <w:p w:rsidR="00226B4A" w:rsidRPr="00226B4A" w:rsidRDefault="000739F0" w:rsidP="00EC6807">
            <w:pPr>
              <w:cnfStyle w:val="000000010000" w:firstRow="0" w:lastRow="0" w:firstColumn="0" w:lastColumn="0" w:oddVBand="0" w:evenVBand="0" w:oddHBand="0" w:evenHBand="1" w:firstRowFirstColumn="0" w:firstRowLastColumn="0" w:lastRowFirstColumn="0" w:lastRowLastColumn="0"/>
            </w:pPr>
            <w:r>
              <w:t>96.8</w:t>
            </w:r>
          </w:p>
        </w:tc>
      </w:tr>
      <w:tr w:rsidR="00226B4A" w:rsidRPr="004D68D6" w:rsidTr="00E55B78">
        <w:trPr>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tcPr>
          <w:p w:rsidR="00226B4A" w:rsidRPr="00226B4A" w:rsidRDefault="00226B4A" w:rsidP="00226B4A">
            <w:r w:rsidRPr="00226B4A">
              <w:t>Operating expenditure</w:t>
            </w:r>
          </w:p>
        </w:tc>
        <w:tc>
          <w:tcPr>
            <w:tcW w:w="945" w:type="dxa"/>
            <w:noWrap/>
            <w:vAlign w:val="top"/>
          </w:tcPr>
          <w:p w:rsidR="00226B4A" w:rsidRPr="00226B4A" w:rsidRDefault="008D0E96" w:rsidP="00EC6807">
            <w:pPr>
              <w:cnfStyle w:val="000000000000" w:firstRow="0" w:lastRow="0" w:firstColumn="0" w:lastColumn="0" w:oddVBand="0" w:evenVBand="0" w:oddHBand="0" w:evenHBand="0" w:firstRowFirstColumn="0" w:firstRowLastColumn="0" w:lastRowFirstColumn="0" w:lastRowLastColumn="0"/>
            </w:pPr>
            <w:r>
              <w:t>30.0</w:t>
            </w:r>
          </w:p>
        </w:tc>
        <w:tc>
          <w:tcPr>
            <w:tcW w:w="945" w:type="dxa"/>
            <w:noWrap/>
            <w:vAlign w:val="top"/>
          </w:tcPr>
          <w:p w:rsidR="00226B4A" w:rsidRPr="00226B4A" w:rsidRDefault="00E55B78" w:rsidP="00226B4A">
            <w:pPr>
              <w:cnfStyle w:val="000000000000" w:firstRow="0" w:lastRow="0" w:firstColumn="0" w:lastColumn="0" w:oddVBand="0" w:evenVBand="0" w:oddHBand="0" w:evenHBand="0" w:firstRowFirstColumn="0" w:firstRowLastColumn="0" w:lastRowFirstColumn="0" w:lastRowLastColumn="0"/>
            </w:pPr>
            <w:r>
              <w:t>31.1</w:t>
            </w:r>
          </w:p>
        </w:tc>
        <w:tc>
          <w:tcPr>
            <w:tcW w:w="945" w:type="dxa"/>
            <w:vAlign w:val="top"/>
          </w:tcPr>
          <w:p w:rsidR="00226B4A" w:rsidRPr="00226B4A" w:rsidRDefault="008D0E96" w:rsidP="00226B4A">
            <w:pPr>
              <w:cnfStyle w:val="000000000000" w:firstRow="0" w:lastRow="0" w:firstColumn="0" w:lastColumn="0" w:oddVBand="0" w:evenVBand="0" w:oddHBand="0" w:evenHBand="0" w:firstRowFirstColumn="0" w:firstRowLastColumn="0" w:lastRowFirstColumn="0" w:lastRowLastColumn="0"/>
            </w:pPr>
            <w:r>
              <w:t>32.7</w:t>
            </w:r>
          </w:p>
        </w:tc>
        <w:tc>
          <w:tcPr>
            <w:tcW w:w="945" w:type="dxa"/>
            <w:vAlign w:val="top"/>
          </w:tcPr>
          <w:p w:rsidR="00226B4A" w:rsidRPr="00226B4A" w:rsidRDefault="008D0E96" w:rsidP="00226B4A">
            <w:pPr>
              <w:cnfStyle w:val="000000000000" w:firstRow="0" w:lastRow="0" w:firstColumn="0" w:lastColumn="0" w:oddVBand="0" w:evenVBand="0" w:oddHBand="0" w:evenHBand="0" w:firstRowFirstColumn="0" w:firstRowLastColumn="0" w:lastRowFirstColumn="0" w:lastRowLastColumn="0"/>
            </w:pPr>
            <w:r>
              <w:t>32.2</w:t>
            </w:r>
          </w:p>
        </w:tc>
        <w:tc>
          <w:tcPr>
            <w:tcW w:w="945" w:type="dxa"/>
            <w:vAlign w:val="top"/>
          </w:tcPr>
          <w:p w:rsidR="00226B4A" w:rsidRPr="00226B4A" w:rsidRDefault="00E55B78" w:rsidP="00226B4A">
            <w:pPr>
              <w:cnfStyle w:val="000000000000" w:firstRow="0" w:lastRow="0" w:firstColumn="0" w:lastColumn="0" w:oddVBand="0" w:evenVBand="0" w:oddHBand="0" w:evenHBand="0" w:firstRowFirstColumn="0" w:firstRowLastColumn="0" w:lastRowFirstColumn="0" w:lastRowLastColumn="0"/>
            </w:pPr>
            <w:r>
              <w:t>33.4</w:t>
            </w:r>
          </w:p>
        </w:tc>
        <w:tc>
          <w:tcPr>
            <w:tcW w:w="945" w:type="dxa"/>
            <w:vAlign w:val="top"/>
          </w:tcPr>
          <w:p w:rsidR="00226B4A" w:rsidRPr="00226B4A" w:rsidRDefault="008D0E96" w:rsidP="00226B4A">
            <w:pPr>
              <w:cnfStyle w:val="000000000000" w:firstRow="0" w:lastRow="0" w:firstColumn="0" w:lastColumn="0" w:oddVBand="0" w:evenVBand="0" w:oddHBand="0" w:evenHBand="0" w:firstRowFirstColumn="0" w:firstRowLastColumn="0" w:lastRowFirstColumn="0" w:lastRowLastColumn="0"/>
            </w:pPr>
            <w:r>
              <w:t>159.4</w:t>
            </w:r>
          </w:p>
        </w:tc>
      </w:tr>
      <w:tr w:rsidR="00226B4A" w:rsidRPr="004D68D6" w:rsidTr="00E55B78">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tcPr>
          <w:p w:rsidR="00226B4A" w:rsidRPr="00226B4A" w:rsidRDefault="00E55B78" w:rsidP="00E55B78">
            <w:r>
              <w:t xml:space="preserve">Revenue </w:t>
            </w:r>
            <w:proofErr w:type="spellStart"/>
            <w:r>
              <w:t>adjustments</w:t>
            </w:r>
            <w:r w:rsidRPr="00E55B78">
              <w:rPr>
                <w:rStyle w:val="AERsuperscript"/>
              </w:rPr>
              <w:t>a</w:t>
            </w:r>
            <w:proofErr w:type="spellEnd"/>
          </w:p>
        </w:tc>
        <w:tc>
          <w:tcPr>
            <w:tcW w:w="945" w:type="dxa"/>
            <w:noWrap/>
            <w:vAlign w:val="top"/>
          </w:tcPr>
          <w:p w:rsidR="00226B4A" w:rsidRPr="00226B4A" w:rsidRDefault="00226B4A" w:rsidP="00226B4A">
            <w:pPr>
              <w:cnfStyle w:val="000000010000" w:firstRow="0" w:lastRow="0" w:firstColumn="0" w:lastColumn="0" w:oddVBand="0" w:evenVBand="0" w:oddHBand="0" w:evenHBand="1" w:firstRowFirstColumn="0" w:firstRowLastColumn="0" w:lastRowFirstColumn="0" w:lastRowLastColumn="0"/>
            </w:pPr>
            <w:r w:rsidRPr="00226B4A">
              <w:t>5.8</w:t>
            </w:r>
          </w:p>
        </w:tc>
        <w:tc>
          <w:tcPr>
            <w:tcW w:w="945" w:type="dxa"/>
            <w:noWrap/>
            <w:vAlign w:val="top"/>
          </w:tcPr>
          <w:p w:rsidR="00226B4A" w:rsidRPr="00226B4A" w:rsidRDefault="00226B4A" w:rsidP="00226B4A">
            <w:pPr>
              <w:cnfStyle w:val="000000010000" w:firstRow="0" w:lastRow="0" w:firstColumn="0" w:lastColumn="0" w:oddVBand="0" w:evenVBand="0" w:oddHBand="0" w:evenHBand="1" w:firstRowFirstColumn="0" w:firstRowLastColumn="0" w:lastRowFirstColumn="0" w:lastRowLastColumn="0"/>
            </w:pPr>
            <w:r w:rsidRPr="00226B4A">
              <w:t>5.4</w:t>
            </w:r>
          </w:p>
        </w:tc>
        <w:tc>
          <w:tcPr>
            <w:tcW w:w="945" w:type="dxa"/>
            <w:vAlign w:val="top"/>
          </w:tcPr>
          <w:p w:rsidR="00226B4A" w:rsidRPr="00226B4A" w:rsidRDefault="00226B4A" w:rsidP="00226B4A">
            <w:pPr>
              <w:cnfStyle w:val="000000010000" w:firstRow="0" w:lastRow="0" w:firstColumn="0" w:lastColumn="0" w:oddVBand="0" w:evenVBand="0" w:oddHBand="0" w:evenHBand="1" w:firstRowFirstColumn="0" w:firstRowLastColumn="0" w:lastRowFirstColumn="0" w:lastRowLastColumn="0"/>
            </w:pPr>
            <w:r w:rsidRPr="00226B4A">
              <w:t>4.3</w:t>
            </w:r>
          </w:p>
        </w:tc>
        <w:tc>
          <w:tcPr>
            <w:tcW w:w="945" w:type="dxa"/>
            <w:vAlign w:val="top"/>
          </w:tcPr>
          <w:p w:rsidR="00226B4A" w:rsidRPr="00226B4A" w:rsidRDefault="00226B4A" w:rsidP="00226B4A">
            <w:pPr>
              <w:cnfStyle w:val="000000010000" w:firstRow="0" w:lastRow="0" w:firstColumn="0" w:lastColumn="0" w:oddVBand="0" w:evenVBand="0" w:oddHBand="0" w:evenHBand="1" w:firstRowFirstColumn="0" w:firstRowLastColumn="0" w:lastRowFirstColumn="0" w:lastRowLastColumn="0"/>
            </w:pPr>
            <w:r w:rsidRPr="00226B4A">
              <w:t>3.1</w:t>
            </w:r>
          </w:p>
        </w:tc>
        <w:tc>
          <w:tcPr>
            <w:tcW w:w="945" w:type="dxa"/>
            <w:vAlign w:val="top"/>
          </w:tcPr>
          <w:p w:rsidR="00226B4A" w:rsidRPr="00226B4A" w:rsidRDefault="00226B4A" w:rsidP="00226B4A">
            <w:pPr>
              <w:cnfStyle w:val="000000010000" w:firstRow="0" w:lastRow="0" w:firstColumn="0" w:lastColumn="0" w:oddVBand="0" w:evenVBand="0" w:oddHBand="0" w:evenHBand="1" w:firstRowFirstColumn="0" w:firstRowLastColumn="0" w:lastRowFirstColumn="0" w:lastRowLastColumn="0"/>
            </w:pPr>
            <w:r w:rsidRPr="00226B4A">
              <w:t>0.0</w:t>
            </w:r>
          </w:p>
        </w:tc>
        <w:tc>
          <w:tcPr>
            <w:tcW w:w="945" w:type="dxa"/>
            <w:vAlign w:val="top"/>
          </w:tcPr>
          <w:p w:rsidR="00226B4A" w:rsidRPr="00226B4A" w:rsidRDefault="00226B4A" w:rsidP="00226B4A">
            <w:pPr>
              <w:cnfStyle w:val="000000010000" w:firstRow="0" w:lastRow="0" w:firstColumn="0" w:lastColumn="0" w:oddVBand="0" w:evenVBand="0" w:oddHBand="0" w:evenHBand="1" w:firstRowFirstColumn="0" w:firstRowLastColumn="0" w:lastRowFirstColumn="0" w:lastRowLastColumn="0"/>
            </w:pPr>
            <w:r w:rsidRPr="00226B4A">
              <w:t>18.6</w:t>
            </w:r>
          </w:p>
        </w:tc>
      </w:tr>
      <w:tr w:rsidR="00226B4A" w:rsidRPr="004D68D6" w:rsidTr="00E55B78">
        <w:trPr>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tcPr>
          <w:p w:rsidR="00226B4A" w:rsidRPr="00226B4A" w:rsidRDefault="00226B4A" w:rsidP="00226B4A">
            <w:r w:rsidRPr="00226B4A">
              <w:t>Net tax allowance</w:t>
            </w:r>
          </w:p>
        </w:tc>
        <w:tc>
          <w:tcPr>
            <w:tcW w:w="945" w:type="dxa"/>
            <w:noWrap/>
            <w:vAlign w:val="top"/>
          </w:tcPr>
          <w:p w:rsidR="00226B4A" w:rsidRPr="00226B4A" w:rsidRDefault="000739F0" w:rsidP="00226B4A">
            <w:pPr>
              <w:cnfStyle w:val="000000000000" w:firstRow="0" w:lastRow="0" w:firstColumn="0" w:lastColumn="0" w:oddVBand="0" w:evenVBand="0" w:oddHBand="0" w:evenHBand="0" w:firstRowFirstColumn="0" w:firstRowLastColumn="0" w:lastRowFirstColumn="0" w:lastRowLastColumn="0"/>
            </w:pPr>
            <w:r>
              <w:t>5.2</w:t>
            </w:r>
          </w:p>
        </w:tc>
        <w:tc>
          <w:tcPr>
            <w:tcW w:w="945" w:type="dxa"/>
            <w:noWrap/>
            <w:vAlign w:val="top"/>
          </w:tcPr>
          <w:p w:rsidR="00226B4A" w:rsidRPr="00226B4A" w:rsidRDefault="00226B4A" w:rsidP="00226B4A">
            <w:pPr>
              <w:cnfStyle w:val="000000000000" w:firstRow="0" w:lastRow="0" w:firstColumn="0" w:lastColumn="0" w:oddVBand="0" w:evenVBand="0" w:oddHBand="0" w:evenHBand="0" w:firstRowFirstColumn="0" w:firstRowLastColumn="0" w:lastRowFirstColumn="0" w:lastRowLastColumn="0"/>
            </w:pPr>
            <w:r w:rsidRPr="00226B4A">
              <w:t>5.5</w:t>
            </w:r>
          </w:p>
        </w:tc>
        <w:tc>
          <w:tcPr>
            <w:tcW w:w="945" w:type="dxa"/>
            <w:vAlign w:val="top"/>
          </w:tcPr>
          <w:p w:rsidR="00226B4A" w:rsidRPr="00226B4A" w:rsidRDefault="008D0E96" w:rsidP="00E55B78">
            <w:pPr>
              <w:cnfStyle w:val="000000000000" w:firstRow="0" w:lastRow="0" w:firstColumn="0" w:lastColumn="0" w:oddVBand="0" w:evenVBand="0" w:oddHBand="0" w:evenHBand="0" w:firstRowFirstColumn="0" w:firstRowLastColumn="0" w:lastRowFirstColumn="0" w:lastRowLastColumn="0"/>
            </w:pPr>
            <w:r>
              <w:t>6.3</w:t>
            </w:r>
          </w:p>
        </w:tc>
        <w:tc>
          <w:tcPr>
            <w:tcW w:w="945" w:type="dxa"/>
            <w:vAlign w:val="top"/>
          </w:tcPr>
          <w:p w:rsidR="00226B4A" w:rsidRPr="00226B4A" w:rsidRDefault="00226B4A" w:rsidP="00226B4A">
            <w:pPr>
              <w:cnfStyle w:val="000000000000" w:firstRow="0" w:lastRow="0" w:firstColumn="0" w:lastColumn="0" w:oddVBand="0" w:evenVBand="0" w:oddHBand="0" w:evenHBand="0" w:firstRowFirstColumn="0" w:firstRowLastColumn="0" w:lastRowFirstColumn="0" w:lastRowLastColumn="0"/>
            </w:pPr>
            <w:r w:rsidRPr="00226B4A">
              <w:t>6.1</w:t>
            </w:r>
          </w:p>
        </w:tc>
        <w:tc>
          <w:tcPr>
            <w:tcW w:w="945" w:type="dxa"/>
            <w:vAlign w:val="top"/>
          </w:tcPr>
          <w:p w:rsidR="00226B4A" w:rsidRPr="00226B4A" w:rsidRDefault="008D0E96" w:rsidP="00E55B78">
            <w:pPr>
              <w:cnfStyle w:val="000000000000" w:firstRow="0" w:lastRow="0" w:firstColumn="0" w:lastColumn="0" w:oddVBand="0" w:evenVBand="0" w:oddHBand="0" w:evenHBand="0" w:firstRowFirstColumn="0" w:firstRowLastColumn="0" w:lastRowFirstColumn="0" w:lastRowLastColumn="0"/>
            </w:pPr>
            <w:r>
              <w:t>5.9</w:t>
            </w:r>
          </w:p>
        </w:tc>
        <w:tc>
          <w:tcPr>
            <w:tcW w:w="945" w:type="dxa"/>
            <w:vAlign w:val="top"/>
          </w:tcPr>
          <w:p w:rsidR="00226B4A" w:rsidRPr="00226B4A" w:rsidRDefault="000739F0" w:rsidP="00E55B78">
            <w:pPr>
              <w:cnfStyle w:val="000000000000" w:firstRow="0" w:lastRow="0" w:firstColumn="0" w:lastColumn="0" w:oddVBand="0" w:evenVBand="0" w:oddHBand="0" w:evenHBand="0" w:firstRowFirstColumn="0" w:firstRowLastColumn="0" w:lastRowFirstColumn="0" w:lastRowLastColumn="0"/>
            </w:pPr>
            <w:r>
              <w:t>28.9</w:t>
            </w:r>
          </w:p>
        </w:tc>
      </w:tr>
      <w:tr w:rsidR="00226B4A" w:rsidRPr="004D68D6" w:rsidTr="00E55B78">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hideMark/>
          </w:tcPr>
          <w:p w:rsidR="00226B4A" w:rsidRPr="00226B4A" w:rsidRDefault="00226B4A" w:rsidP="00226B4A">
            <w:r w:rsidRPr="00226B4A">
              <w:t>Annual revenue requirement (unsmoothed)</w:t>
            </w:r>
          </w:p>
        </w:tc>
        <w:tc>
          <w:tcPr>
            <w:tcW w:w="945" w:type="dxa"/>
            <w:noWrap/>
            <w:vAlign w:val="top"/>
          </w:tcPr>
          <w:p w:rsidR="00226B4A" w:rsidRPr="00226B4A" w:rsidRDefault="00226B4A" w:rsidP="000739F0">
            <w:pPr>
              <w:cnfStyle w:val="000000010000" w:firstRow="0" w:lastRow="0" w:firstColumn="0" w:lastColumn="0" w:oddVBand="0" w:evenVBand="0" w:oddHBand="0" w:evenHBand="1" w:firstRowFirstColumn="0" w:firstRowLastColumn="0" w:lastRowFirstColumn="0" w:lastRowLastColumn="0"/>
            </w:pPr>
            <w:r w:rsidRPr="00226B4A">
              <w:t>19</w:t>
            </w:r>
            <w:r w:rsidR="000739F0">
              <w:t>2.8</w:t>
            </w:r>
          </w:p>
        </w:tc>
        <w:tc>
          <w:tcPr>
            <w:tcW w:w="945" w:type="dxa"/>
            <w:noWrap/>
            <w:vAlign w:val="top"/>
          </w:tcPr>
          <w:p w:rsidR="00226B4A" w:rsidRPr="00226B4A" w:rsidRDefault="00226B4A" w:rsidP="000739F0">
            <w:pPr>
              <w:cnfStyle w:val="000000010000" w:firstRow="0" w:lastRow="0" w:firstColumn="0" w:lastColumn="0" w:oddVBand="0" w:evenVBand="0" w:oddHBand="0" w:evenHBand="1" w:firstRowFirstColumn="0" w:firstRowLastColumn="0" w:lastRowFirstColumn="0" w:lastRowLastColumn="0"/>
            </w:pPr>
            <w:r w:rsidRPr="00226B4A">
              <w:t>19</w:t>
            </w:r>
            <w:r w:rsidR="00E55B78">
              <w:t>7</w:t>
            </w:r>
            <w:r w:rsidRPr="00226B4A">
              <w:t>.</w:t>
            </w:r>
            <w:r w:rsidR="000739F0">
              <w:t>3</w:t>
            </w:r>
          </w:p>
        </w:tc>
        <w:tc>
          <w:tcPr>
            <w:tcW w:w="945" w:type="dxa"/>
            <w:vAlign w:val="top"/>
          </w:tcPr>
          <w:p w:rsidR="00226B4A" w:rsidRPr="00226B4A" w:rsidRDefault="00226B4A" w:rsidP="000739F0">
            <w:pPr>
              <w:cnfStyle w:val="000000010000" w:firstRow="0" w:lastRow="0" w:firstColumn="0" w:lastColumn="0" w:oddVBand="0" w:evenVBand="0" w:oddHBand="0" w:evenHBand="1" w:firstRowFirstColumn="0" w:firstRowLastColumn="0" w:lastRowFirstColumn="0" w:lastRowLastColumn="0"/>
            </w:pPr>
            <w:r w:rsidRPr="00226B4A">
              <w:t>20</w:t>
            </w:r>
            <w:r w:rsidR="00E55B78">
              <w:t>5</w:t>
            </w:r>
            <w:r w:rsidRPr="00226B4A">
              <w:t>.</w:t>
            </w:r>
            <w:r w:rsidR="000739F0">
              <w:t>5</w:t>
            </w:r>
          </w:p>
        </w:tc>
        <w:tc>
          <w:tcPr>
            <w:tcW w:w="945" w:type="dxa"/>
            <w:vAlign w:val="top"/>
          </w:tcPr>
          <w:p w:rsidR="00226B4A" w:rsidRPr="00226B4A" w:rsidRDefault="00226B4A" w:rsidP="000739F0">
            <w:pPr>
              <w:cnfStyle w:val="000000010000" w:firstRow="0" w:lastRow="0" w:firstColumn="0" w:lastColumn="0" w:oddVBand="0" w:evenVBand="0" w:oddHBand="0" w:evenHBand="1" w:firstRowFirstColumn="0" w:firstRowLastColumn="0" w:lastRowFirstColumn="0" w:lastRowLastColumn="0"/>
            </w:pPr>
            <w:r w:rsidRPr="00226B4A">
              <w:t>20</w:t>
            </w:r>
            <w:r w:rsidR="008D0E96">
              <w:t>8.</w:t>
            </w:r>
            <w:r w:rsidR="000739F0">
              <w:t>1</w:t>
            </w:r>
          </w:p>
        </w:tc>
        <w:tc>
          <w:tcPr>
            <w:tcW w:w="945" w:type="dxa"/>
            <w:vAlign w:val="top"/>
          </w:tcPr>
          <w:p w:rsidR="00226B4A" w:rsidRPr="00226B4A" w:rsidRDefault="00226B4A" w:rsidP="000739F0">
            <w:pPr>
              <w:cnfStyle w:val="000000010000" w:firstRow="0" w:lastRow="0" w:firstColumn="0" w:lastColumn="0" w:oddVBand="0" w:evenVBand="0" w:oddHBand="0" w:evenHBand="1" w:firstRowFirstColumn="0" w:firstRowLastColumn="0" w:lastRowFirstColumn="0" w:lastRowLastColumn="0"/>
            </w:pPr>
            <w:r w:rsidRPr="00226B4A">
              <w:t>20</w:t>
            </w:r>
            <w:r w:rsidR="00E55B78">
              <w:t>8</w:t>
            </w:r>
            <w:r w:rsidRPr="00226B4A">
              <w:t>.</w:t>
            </w:r>
            <w:r w:rsidR="000739F0">
              <w:t>6</w:t>
            </w:r>
          </w:p>
        </w:tc>
        <w:tc>
          <w:tcPr>
            <w:tcW w:w="945" w:type="dxa"/>
            <w:vAlign w:val="top"/>
          </w:tcPr>
          <w:p w:rsidR="00226B4A" w:rsidRPr="00226B4A" w:rsidRDefault="00226B4A" w:rsidP="000739F0">
            <w:pPr>
              <w:cnfStyle w:val="000000010000" w:firstRow="0" w:lastRow="0" w:firstColumn="0" w:lastColumn="0" w:oddVBand="0" w:evenVBand="0" w:oddHBand="0" w:evenHBand="1" w:firstRowFirstColumn="0" w:firstRowLastColumn="0" w:lastRowFirstColumn="0" w:lastRowLastColumn="0"/>
            </w:pPr>
            <w:r w:rsidRPr="00226B4A">
              <w:t>101</w:t>
            </w:r>
            <w:r w:rsidR="000739F0">
              <w:t>2.3</w:t>
            </w:r>
          </w:p>
        </w:tc>
      </w:tr>
      <w:tr w:rsidR="00226B4A" w:rsidRPr="004D68D6" w:rsidTr="00E55B78">
        <w:trPr>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hideMark/>
          </w:tcPr>
          <w:p w:rsidR="00226B4A" w:rsidRPr="00226B4A" w:rsidRDefault="00226B4A" w:rsidP="00226B4A">
            <w:pPr>
              <w:rPr>
                <w:rStyle w:val="Strong"/>
              </w:rPr>
            </w:pPr>
            <w:r w:rsidRPr="00226B4A">
              <w:rPr>
                <w:rStyle w:val="Strong"/>
              </w:rPr>
              <w:t>Annual expected revenue (smoothed)</w:t>
            </w:r>
          </w:p>
        </w:tc>
        <w:tc>
          <w:tcPr>
            <w:tcW w:w="945" w:type="dxa"/>
            <w:noWrap/>
            <w:vAlign w:val="top"/>
          </w:tcPr>
          <w:p w:rsidR="00226B4A" w:rsidRPr="00D97B8F" w:rsidRDefault="00226B4A" w:rsidP="00226B4A">
            <w:pPr>
              <w:cnfStyle w:val="000000000000" w:firstRow="0" w:lastRow="0" w:firstColumn="0" w:lastColumn="0" w:oddVBand="0" w:evenVBand="0" w:oddHBand="0" w:evenHBand="0" w:firstRowFirstColumn="0" w:firstRowLastColumn="0" w:lastRowFirstColumn="0" w:lastRowLastColumn="0"/>
              <w:rPr>
                <w:rStyle w:val="Strong"/>
              </w:rPr>
            </w:pPr>
            <w:r w:rsidRPr="00D97B8F">
              <w:rPr>
                <w:rStyle w:val="Strong"/>
              </w:rPr>
              <w:t>252.3</w:t>
            </w:r>
          </w:p>
        </w:tc>
        <w:tc>
          <w:tcPr>
            <w:tcW w:w="945" w:type="dxa"/>
            <w:noWrap/>
            <w:vAlign w:val="top"/>
          </w:tcPr>
          <w:p w:rsidR="00226B4A" w:rsidRPr="00D97B8F" w:rsidRDefault="00226B4A" w:rsidP="000739F0">
            <w:pPr>
              <w:cnfStyle w:val="000000000000" w:firstRow="0" w:lastRow="0" w:firstColumn="0" w:lastColumn="0" w:oddVBand="0" w:evenVBand="0" w:oddHBand="0" w:evenHBand="0" w:firstRowFirstColumn="0" w:firstRowLastColumn="0" w:lastRowFirstColumn="0" w:lastRowLastColumn="0"/>
              <w:rPr>
                <w:rStyle w:val="Strong"/>
              </w:rPr>
            </w:pPr>
            <w:r w:rsidRPr="00D97B8F">
              <w:rPr>
                <w:rStyle w:val="Strong"/>
              </w:rPr>
              <w:t>1</w:t>
            </w:r>
            <w:r w:rsidR="000739F0">
              <w:rPr>
                <w:rStyle w:val="Strong"/>
              </w:rPr>
              <w:t>86.3</w:t>
            </w:r>
          </w:p>
        </w:tc>
        <w:tc>
          <w:tcPr>
            <w:tcW w:w="945" w:type="dxa"/>
            <w:vAlign w:val="top"/>
          </w:tcPr>
          <w:p w:rsidR="00226B4A" w:rsidRPr="00D97B8F" w:rsidRDefault="00226B4A" w:rsidP="000739F0">
            <w:pPr>
              <w:cnfStyle w:val="000000000000" w:firstRow="0" w:lastRow="0" w:firstColumn="0" w:lastColumn="0" w:oddVBand="0" w:evenVBand="0" w:oddHBand="0" w:evenHBand="0" w:firstRowFirstColumn="0" w:firstRowLastColumn="0" w:lastRowFirstColumn="0" w:lastRowLastColumn="0"/>
              <w:rPr>
                <w:rStyle w:val="Strong"/>
              </w:rPr>
            </w:pPr>
            <w:r w:rsidRPr="00D97B8F">
              <w:rPr>
                <w:rStyle w:val="Strong"/>
              </w:rPr>
              <w:t>18</w:t>
            </w:r>
            <w:r w:rsidR="000739F0">
              <w:rPr>
                <w:rStyle w:val="Strong"/>
              </w:rPr>
              <w:t>6.9</w:t>
            </w:r>
          </w:p>
        </w:tc>
        <w:tc>
          <w:tcPr>
            <w:tcW w:w="945" w:type="dxa"/>
            <w:vAlign w:val="top"/>
          </w:tcPr>
          <w:p w:rsidR="00226B4A" w:rsidRPr="00D97B8F" w:rsidRDefault="00226B4A" w:rsidP="000739F0">
            <w:pPr>
              <w:cnfStyle w:val="000000000000" w:firstRow="0" w:lastRow="0" w:firstColumn="0" w:lastColumn="0" w:oddVBand="0" w:evenVBand="0" w:oddHBand="0" w:evenHBand="0" w:firstRowFirstColumn="0" w:firstRowLastColumn="0" w:lastRowFirstColumn="0" w:lastRowLastColumn="0"/>
              <w:rPr>
                <w:rStyle w:val="Strong"/>
              </w:rPr>
            </w:pPr>
            <w:r w:rsidRPr="00D97B8F">
              <w:rPr>
                <w:rStyle w:val="Strong"/>
              </w:rPr>
              <w:t>18</w:t>
            </w:r>
            <w:r w:rsidR="00E55B78">
              <w:rPr>
                <w:rStyle w:val="Strong"/>
              </w:rPr>
              <w:t>7</w:t>
            </w:r>
            <w:r w:rsidRPr="00D97B8F">
              <w:rPr>
                <w:rStyle w:val="Strong"/>
              </w:rPr>
              <w:t>.</w:t>
            </w:r>
            <w:r w:rsidR="000739F0">
              <w:rPr>
                <w:rStyle w:val="Strong"/>
              </w:rPr>
              <w:t>5</w:t>
            </w:r>
          </w:p>
        </w:tc>
        <w:tc>
          <w:tcPr>
            <w:tcW w:w="945" w:type="dxa"/>
            <w:vAlign w:val="top"/>
          </w:tcPr>
          <w:p w:rsidR="00226B4A" w:rsidRPr="00D97B8F" w:rsidRDefault="00226B4A" w:rsidP="000739F0">
            <w:pPr>
              <w:cnfStyle w:val="000000000000" w:firstRow="0" w:lastRow="0" w:firstColumn="0" w:lastColumn="0" w:oddVBand="0" w:evenVBand="0" w:oddHBand="0" w:evenHBand="0" w:firstRowFirstColumn="0" w:firstRowLastColumn="0" w:lastRowFirstColumn="0" w:lastRowLastColumn="0"/>
              <w:rPr>
                <w:rStyle w:val="Strong"/>
              </w:rPr>
            </w:pPr>
            <w:r w:rsidRPr="00D97B8F">
              <w:rPr>
                <w:rStyle w:val="Strong"/>
              </w:rPr>
              <w:t>18</w:t>
            </w:r>
            <w:r w:rsidR="000739F0">
              <w:rPr>
                <w:rStyle w:val="Strong"/>
              </w:rPr>
              <w:t>8.1</w:t>
            </w:r>
          </w:p>
        </w:tc>
        <w:tc>
          <w:tcPr>
            <w:tcW w:w="945" w:type="dxa"/>
            <w:vAlign w:val="top"/>
          </w:tcPr>
          <w:p w:rsidR="00226B4A" w:rsidRPr="00D97B8F" w:rsidRDefault="00226B4A" w:rsidP="000739F0">
            <w:pPr>
              <w:cnfStyle w:val="000000000000" w:firstRow="0" w:lastRow="0" w:firstColumn="0" w:lastColumn="0" w:oddVBand="0" w:evenVBand="0" w:oddHBand="0" w:evenHBand="0" w:firstRowFirstColumn="0" w:firstRowLastColumn="0" w:lastRowFirstColumn="0" w:lastRowLastColumn="0"/>
              <w:rPr>
                <w:rStyle w:val="Strong"/>
              </w:rPr>
            </w:pPr>
            <w:r w:rsidRPr="00D97B8F">
              <w:rPr>
                <w:rStyle w:val="Strong"/>
              </w:rPr>
              <w:t>100</w:t>
            </w:r>
            <w:r w:rsidR="000739F0">
              <w:rPr>
                <w:rStyle w:val="Strong"/>
              </w:rPr>
              <w:t>1.1</w:t>
            </w:r>
          </w:p>
        </w:tc>
      </w:tr>
      <w:tr w:rsidR="00DB12E8" w:rsidRPr="004D68D6" w:rsidTr="00E55B78">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hideMark/>
          </w:tcPr>
          <w:p w:rsidR="00DB12E8" w:rsidRPr="004D68D6" w:rsidRDefault="00DB12E8" w:rsidP="004D68D6">
            <w:r w:rsidRPr="004D68D6">
              <w:t xml:space="preserve">X </w:t>
            </w:r>
            <w:proofErr w:type="spellStart"/>
            <w:r w:rsidRPr="004D68D6">
              <w:t>factor</w:t>
            </w:r>
            <w:r w:rsidR="00E55B78">
              <w:rPr>
                <w:rStyle w:val="AERsuperscript"/>
              </w:rPr>
              <w:t>b</w:t>
            </w:r>
            <w:proofErr w:type="spellEnd"/>
          </w:p>
        </w:tc>
        <w:tc>
          <w:tcPr>
            <w:tcW w:w="945" w:type="dxa"/>
            <w:noWrap/>
            <w:vAlign w:val="top"/>
          </w:tcPr>
          <w:p w:rsidR="00DB12E8" w:rsidRPr="004D68D6" w:rsidRDefault="00DB12E8" w:rsidP="004D68D6">
            <w:pPr>
              <w:cnfStyle w:val="000000010000" w:firstRow="0" w:lastRow="0" w:firstColumn="0" w:lastColumn="0" w:oddVBand="0" w:evenVBand="0" w:oddHBand="0" w:evenHBand="1" w:firstRowFirstColumn="0" w:firstRowLastColumn="0" w:lastRowFirstColumn="0" w:lastRowLastColumn="0"/>
            </w:pPr>
            <w:r w:rsidRPr="004D68D6">
              <w:t>n/a</w:t>
            </w:r>
            <w:r w:rsidR="00E55B78">
              <w:rPr>
                <w:rStyle w:val="AERsuperscript"/>
              </w:rPr>
              <w:t>c</w:t>
            </w:r>
          </w:p>
        </w:tc>
        <w:tc>
          <w:tcPr>
            <w:tcW w:w="945" w:type="dxa"/>
            <w:noWrap/>
            <w:vAlign w:val="top"/>
          </w:tcPr>
          <w:p w:rsidR="00DB12E8" w:rsidRPr="004D68D6" w:rsidRDefault="00DB12E8" w:rsidP="000739F0">
            <w:pPr>
              <w:cnfStyle w:val="000000010000" w:firstRow="0" w:lastRow="0" w:firstColumn="0" w:lastColumn="0" w:oddVBand="0" w:evenVBand="0" w:oddHBand="0" w:evenHBand="1" w:firstRowFirstColumn="0" w:firstRowLastColumn="0" w:lastRowFirstColumn="0" w:lastRowLastColumn="0"/>
            </w:pPr>
            <w:r w:rsidRPr="004D68D6">
              <w:t>2</w:t>
            </w:r>
            <w:r w:rsidR="000739F0">
              <w:t>7.89</w:t>
            </w:r>
            <w:r w:rsidRPr="004D68D6">
              <w:t>%</w:t>
            </w:r>
          </w:p>
        </w:tc>
        <w:tc>
          <w:tcPr>
            <w:tcW w:w="945" w:type="dxa"/>
            <w:vAlign w:val="top"/>
          </w:tcPr>
          <w:p w:rsidR="00DB12E8" w:rsidRPr="004D68D6" w:rsidRDefault="000739F0" w:rsidP="000739F0">
            <w:pPr>
              <w:cnfStyle w:val="000000010000" w:firstRow="0" w:lastRow="0" w:firstColumn="0" w:lastColumn="0" w:oddVBand="0" w:evenVBand="0" w:oddHBand="0" w:evenHBand="1" w:firstRowFirstColumn="0" w:firstRowLastColumn="0" w:lastRowFirstColumn="0" w:lastRowLastColumn="0"/>
            </w:pPr>
            <w:r>
              <w:t>2</w:t>
            </w:r>
            <w:r w:rsidR="00E55B78">
              <w:t>.0</w:t>
            </w:r>
            <w:r w:rsidR="00226B4A">
              <w:t>0</w:t>
            </w:r>
            <w:r w:rsidR="00DB12E8" w:rsidRPr="004D68D6">
              <w:t>%</w:t>
            </w:r>
          </w:p>
        </w:tc>
        <w:tc>
          <w:tcPr>
            <w:tcW w:w="945" w:type="dxa"/>
            <w:vAlign w:val="top"/>
          </w:tcPr>
          <w:p w:rsidR="00DB12E8" w:rsidRPr="004D68D6" w:rsidRDefault="00226B4A" w:rsidP="000739F0">
            <w:pPr>
              <w:cnfStyle w:val="000000010000" w:firstRow="0" w:lastRow="0" w:firstColumn="0" w:lastColumn="0" w:oddVBand="0" w:evenVBand="0" w:oddHBand="0" w:evenHBand="1" w:firstRowFirstColumn="0" w:firstRowLastColumn="0" w:lastRowFirstColumn="0" w:lastRowLastColumn="0"/>
            </w:pPr>
            <w:r>
              <w:t>2.</w:t>
            </w:r>
            <w:r w:rsidR="000739F0">
              <w:t>0</w:t>
            </w:r>
            <w:r>
              <w:t>0</w:t>
            </w:r>
            <w:r w:rsidR="00DB12E8" w:rsidRPr="004D68D6">
              <w:t>%</w:t>
            </w:r>
          </w:p>
        </w:tc>
        <w:tc>
          <w:tcPr>
            <w:tcW w:w="945" w:type="dxa"/>
            <w:vAlign w:val="top"/>
          </w:tcPr>
          <w:p w:rsidR="00DB12E8" w:rsidRPr="004D68D6" w:rsidRDefault="00E55B78" w:rsidP="00E55B78">
            <w:pPr>
              <w:cnfStyle w:val="000000010000" w:firstRow="0" w:lastRow="0" w:firstColumn="0" w:lastColumn="0" w:oddVBand="0" w:evenVBand="0" w:oddHBand="0" w:evenHBand="1" w:firstRowFirstColumn="0" w:firstRowLastColumn="0" w:lastRowFirstColumn="0" w:lastRowLastColumn="0"/>
            </w:pPr>
            <w:r>
              <w:t>2.0</w:t>
            </w:r>
            <w:r w:rsidR="00226B4A">
              <w:t>0</w:t>
            </w:r>
            <w:r w:rsidR="00DB12E8" w:rsidRPr="004D68D6">
              <w:t>%</w:t>
            </w:r>
          </w:p>
        </w:tc>
        <w:tc>
          <w:tcPr>
            <w:tcW w:w="945" w:type="dxa"/>
            <w:vAlign w:val="top"/>
          </w:tcPr>
          <w:p w:rsidR="00DB12E8" w:rsidRPr="004D68D6" w:rsidRDefault="00DB12E8" w:rsidP="004D68D6">
            <w:pPr>
              <w:cnfStyle w:val="000000010000" w:firstRow="0" w:lastRow="0" w:firstColumn="0" w:lastColumn="0" w:oddVBand="0" w:evenVBand="0" w:oddHBand="0" w:evenHBand="1" w:firstRowFirstColumn="0" w:firstRowLastColumn="0" w:lastRowFirstColumn="0" w:lastRowLastColumn="0"/>
            </w:pPr>
            <w:r w:rsidRPr="004D68D6">
              <w:t>n/a</w:t>
            </w:r>
          </w:p>
        </w:tc>
      </w:tr>
    </w:tbl>
    <w:p w:rsidR="00DB12E8" w:rsidRDefault="00DB12E8" w:rsidP="00DB12E8">
      <w:pPr>
        <w:pStyle w:val="AERtablesource"/>
      </w:pPr>
      <w:r>
        <w:t>Source:</w:t>
      </w:r>
      <w:r>
        <w:tab/>
        <w:t>AER analysis.</w:t>
      </w:r>
      <w:r w:rsidRPr="00BA6A6F">
        <w:t xml:space="preserve"> </w:t>
      </w:r>
    </w:p>
    <w:p w:rsidR="00E55B78" w:rsidRDefault="00DB12E8" w:rsidP="00DB12E8">
      <w:pPr>
        <w:pStyle w:val="AERtablesource"/>
      </w:pPr>
      <w:r>
        <w:t>(a)</w:t>
      </w:r>
      <w:r>
        <w:tab/>
      </w:r>
      <w:r w:rsidR="00E55B78">
        <w:t>Revenue adjustments include efficiency benefit sharing scheme carry-overs.</w:t>
      </w:r>
    </w:p>
    <w:p w:rsidR="00E0504F" w:rsidRDefault="00E55B78" w:rsidP="00DB12E8">
      <w:pPr>
        <w:pStyle w:val="AERtablesource"/>
      </w:pPr>
      <w:r>
        <w:t>(b)</w:t>
      </w:r>
      <w:r>
        <w:tab/>
      </w:r>
      <w:r w:rsidR="00E0504F" w:rsidRPr="001C2DB8">
        <w:t xml:space="preserve">The X factor </w:t>
      </w:r>
      <w:r w:rsidR="00E0504F">
        <w:t xml:space="preserve">from 2016–17 to 2018–19 </w:t>
      </w:r>
      <w:r w:rsidR="00E0504F" w:rsidRPr="001C2DB8">
        <w:t>will be revised to reflect the annual return on debt update.</w:t>
      </w:r>
      <w:r w:rsidR="00E0504F">
        <w:t xml:space="preserve"> Under the CPI–X framework, the X factor measures the real rate of change in annual expected revenue from one year to the next. A negative X factor represents a real increase in revenue. Conversely, a positive X factor represents a real decrease in revenue.</w:t>
      </w:r>
    </w:p>
    <w:p w:rsidR="004D68D6" w:rsidRDefault="00E0504F" w:rsidP="00DB12E8">
      <w:pPr>
        <w:pStyle w:val="AERtablesource"/>
      </w:pPr>
      <w:r>
        <w:t>(</w:t>
      </w:r>
      <w:r w:rsidR="00E55B78">
        <w:t>c</w:t>
      </w:r>
      <w:r>
        <w:t>)</w:t>
      </w:r>
      <w:r>
        <w:tab/>
      </w:r>
      <w:r w:rsidR="00DB12E8">
        <w:t xml:space="preserve">In our transitional decision, we determined the placeholder revenue for 2014–15. In this </w:t>
      </w:r>
      <w:r w:rsidR="00D97B8F">
        <w:t>final</w:t>
      </w:r>
      <w:r w:rsidR="00DB12E8">
        <w:t xml:space="preserve"> decision to update the 2014–15 revenue for our assessment of efficient costs we determined X factors f</w:t>
      </w:r>
      <w:r w:rsidR="004D68D6">
        <w:t xml:space="preserve">or the final four years of the </w:t>
      </w:r>
      <w:r w:rsidR="00DB12E8">
        <w:t>2014–19 period. This is to adjust Ausgrid's total revenue requirement for the 2015–19 regulatory control period for the difference between the placeholder revenue and our decision on Ausgrid's efficient costs for 2014–15.</w:t>
      </w:r>
      <w:r w:rsidR="00DB12E8" w:rsidDel="0025192B">
        <w:t xml:space="preserve"> </w:t>
      </w:r>
    </w:p>
    <w:p w:rsidR="00B75433" w:rsidRDefault="00B75433" w:rsidP="00B75433"/>
    <w:p w:rsidR="00F76B9F" w:rsidRPr="00B75433" w:rsidRDefault="00F76B9F" w:rsidP="00B75433"/>
    <w:p w:rsidR="00DE563D" w:rsidRPr="001754EE" w:rsidRDefault="009B6F84" w:rsidP="001754EE">
      <w:pPr>
        <w:pStyle w:val="Heading2"/>
      </w:pPr>
      <w:bookmarkStart w:id="19" w:name="_Toc416180096"/>
      <w:r>
        <w:t>Ausgrid</w:t>
      </w:r>
      <w:r w:rsidR="00415F31" w:rsidRPr="001754EE">
        <w:t>’s revised</w:t>
      </w:r>
      <w:r w:rsidR="00DE563D" w:rsidRPr="001754EE">
        <w:t xml:space="preserve"> proposal</w:t>
      </w:r>
      <w:bookmarkEnd w:id="13"/>
      <w:bookmarkEnd w:id="19"/>
    </w:p>
    <w:p w:rsidR="004D68D6" w:rsidRDefault="004D68D6" w:rsidP="004D68D6">
      <w:pPr>
        <w:numPr>
          <w:ilvl w:val="0"/>
          <w:numId w:val="25"/>
        </w:numPr>
      </w:pPr>
      <w:r>
        <w:t xml:space="preserve">Ausgrid's revised proposal included a total revenue requirement of $10577.0 million ($ nominal) for its distribution network and $1369.6 million ($ nominal) for its transmission network. </w:t>
      </w:r>
      <w:r>
        <w:fldChar w:fldCharType="begin"/>
      </w:r>
      <w:r>
        <w:instrText xml:space="preserve"> REF _Ref401571489 \h </w:instrText>
      </w:r>
      <w:r>
        <w:fldChar w:fldCharType="separate"/>
      </w:r>
      <w:r w:rsidR="00A11853">
        <w:t xml:space="preserve">Table </w:t>
      </w:r>
      <w:r w:rsidR="00A11853">
        <w:rPr>
          <w:noProof/>
        </w:rPr>
        <w:t>1</w:t>
      </w:r>
      <w:r w:rsidR="00A11853">
        <w:t>.</w:t>
      </w:r>
      <w:r w:rsidR="00A11853">
        <w:rPr>
          <w:noProof/>
        </w:rPr>
        <w:t>3</w:t>
      </w:r>
      <w:r>
        <w:fldChar w:fldCharType="end"/>
      </w:r>
      <w:r>
        <w:t xml:space="preserve"> show</w:t>
      </w:r>
      <w:r w:rsidR="00E0504F">
        <w:t>s</w:t>
      </w:r>
      <w:r>
        <w:t xml:space="preserve"> </w:t>
      </w:r>
      <w:proofErr w:type="spellStart"/>
      <w:r>
        <w:t>Ausgrid's</w:t>
      </w:r>
      <w:proofErr w:type="spellEnd"/>
      <w:r>
        <w:t xml:space="preserve"> </w:t>
      </w:r>
      <w:r w:rsidR="00E0504F">
        <w:t xml:space="preserve">revised </w:t>
      </w:r>
      <w:r>
        <w:t>proposed</w:t>
      </w:r>
      <w:r w:rsidR="00E0504F">
        <w:t xml:space="preserve"> distribution</w:t>
      </w:r>
      <w:r>
        <w:t xml:space="preserve"> building block costs</w:t>
      </w:r>
      <w:r w:rsidR="00E0504F">
        <w:t>,</w:t>
      </w:r>
      <w:r>
        <w:t xml:space="preserve"> </w:t>
      </w:r>
      <w:r w:rsidR="00E0504F">
        <w:t xml:space="preserve">the </w:t>
      </w:r>
      <w:r>
        <w:t>ARR</w:t>
      </w:r>
      <w:r w:rsidR="00E0504F">
        <w:t>,</w:t>
      </w:r>
      <w:r>
        <w:t xml:space="preserve"> expected revenue</w:t>
      </w:r>
      <w:r w:rsidR="00E0504F">
        <w:t xml:space="preserve"> and X factor</w:t>
      </w:r>
      <w:r>
        <w:t xml:space="preserve"> for each year of the 2014–19 period. </w:t>
      </w:r>
      <w:r w:rsidR="00E0504F">
        <w:fldChar w:fldCharType="begin"/>
      </w:r>
      <w:r w:rsidR="00E0504F">
        <w:instrText xml:space="preserve"> REF _Ref401571505 \h </w:instrText>
      </w:r>
      <w:r w:rsidR="00E0504F">
        <w:fldChar w:fldCharType="separate"/>
      </w:r>
      <w:r w:rsidR="00A11853">
        <w:t xml:space="preserve">Table </w:t>
      </w:r>
      <w:r w:rsidR="00A11853">
        <w:rPr>
          <w:noProof/>
        </w:rPr>
        <w:t>1</w:t>
      </w:r>
      <w:r w:rsidR="00A11853">
        <w:t>.</w:t>
      </w:r>
      <w:r w:rsidR="00A11853">
        <w:rPr>
          <w:noProof/>
        </w:rPr>
        <w:t>4</w:t>
      </w:r>
      <w:r w:rsidR="00E0504F">
        <w:fldChar w:fldCharType="end"/>
      </w:r>
      <w:r w:rsidR="00E0504F">
        <w:t xml:space="preserve"> shows the same for its transmission network.</w:t>
      </w:r>
    </w:p>
    <w:p w:rsidR="004D68D6" w:rsidRDefault="004D68D6" w:rsidP="004D68D6">
      <w:pPr>
        <w:pStyle w:val="Caption"/>
      </w:pPr>
      <w:bookmarkStart w:id="20" w:name="_Ref401571489"/>
      <w:r>
        <w:t xml:space="preserve">Table </w:t>
      </w:r>
      <w:fldSimple w:instr=" STYLEREF 1 \s ">
        <w:r w:rsidR="00A11853">
          <w:rPr>
            <w:noProof/>
          </w:rPr>
          <w:t>1</w:t>
        </w:r>
      </w:fldSimple>
      <w:r w:rsidR="00A32071">
        <w:t>.</w:t>
      </w:r>
      <w:fldSimple w:instr=" SEQ Table \* ARABIC \s 1 ">
        <w:r w:rsidR="00A11853">
          <w:rPr>
            <w:noProof/>
          </w:rPr>
          <w:t>3</w:t>
        </w:r>
      </w:fldSimple>
      <w:bookmarkEnd w:id="20"/>
      <w:r>
        <w:tab/>
        <w:t xml:space="preserve">Ausgrid's </w:t>
      </w:r>
      <w:r w:rsidR="00022011">
        <w:t xml:space="preserve">revised </w:t>
      </w:r>
      <w:r>
        <w:t xml:space="preserve">proposed revenues for the 2014–19 period – distribution ($million, nominal) </w:t>
      </w:r>
    </w:p>
    <w:tbl>
      <w:tblPr>
        <w:tblStyle w:val="AERtable-numbers"/>
        <w:tblW w:w="8755" w:type="dxa"/>
        <w:tblLayout w:type="fixed"/>
        <w:tblLook w:val="04A0" w:firstRow="1" w:lastRow="0" w:firstColumn="1" w:lastColumn="0" w:noHBand="0" w:noVBand="1"/>
      </w:tblPr>
      <w:tblGrid>
        <w:gridCol w:w="3085"/>
        <w:gridCol w:w="945"/>
        <w:gridCol w:w="945"/>
        <w:gridCol w:w="945"/>
        <w:gridCol w:w="945"/>
        <w:gridCol w:w="945"/>
        <w:gridCol w:w="945"/>
      </w:tblGrid>
      <w:tr w:rsidR="00022011" w:rsidRPr="00022011" w:rsidTr="007A7874">
        <w:trPr>
          <w:cnfStyle w:val="100000000000" w:firstRow="1" w:lastRow="0" w:firstColumn="0" w:lastColumn="0" w:oddVBand="0" w:evenVBand="0" w:oddHBand="0"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085" w:type="dxa"/>
            <w:noWrap/>
            <w:hideMark/>
          </w:tcPr>
          <w:p w:rsidR="004D68D6" w:rsidRPr="00022011" w:rsidRDefault="004D68D6" w:rsidP="00022011">
            <w:r w:rsidRPr="00022011">
              <w:t> </w:t>
            </w:r>
          </w:p>
        </w:tc>
        <w:tc>
          <w:tcPr>
            <w:tcW w:w="945" w:type="dxa"/>
            <w:noWrap/>
            <w:hideMark/>
          </w:tcPr>
          <w:p w:rsidR="004D68D6" w:rsidRPr="00022011" w:rsidRDefault="004D68D6" w:rsidP="00022011">
            <w:pPr>
              <w:cnfStyle w:val="100000000000" w:firstRow="1" w:lastRow="0" w:firstColumn="0" w:lastColumn="0" w:oddVBand="0" w:evenVBand="0" w:oddHBand="0" w:evenHBand="0" w:firstRowFirstColumn="0" w:firstRowLastColumn="0" w:lastRowFirstColumn="0" w:lastRowLastColumn="0"/>
            </w:pPr>
            <w:r w:rsidRPr="00022011">
              <w:t>2014–15</w:t>
            </w:r>
          </w:p>
        </w:tc>
        <w:tc>
          <w:tcPr>
            <w:tcW w:w="945" w:type="dxa"/>
            <w:noWrap/>
            <w:hideMark/>
          </w:tcPr>
          <w:p w:rsidR="004D68D6" w:rsidRPr="00022011" w:rsidRDefault="004D68D6" w:rsidP="00022011">
            <w:pPr>
              <w:cnfStyle w:val="100000000000" w:firstRow="1" w:lastRow="0" w:firstColumn="0" w:lastColumn="0" w:oddVBand="0" w:evenVBand="0" w:oddHBand="0" w:evenHBand="0" w:firstRowFirstColumn="0" w:firstRowLastColumn="0" w:lastRowFirstColumn="0" w:lastRowLastColumn="0"/>
            </w:pPr>
            <w:r w:rsidRPr="00022011">
              <w:t>2015–16</w:t>
            </w:r>
          </w:p>
        </w:tc>
        <w:tc>
          <w:tcPr>
            <w:tcW w:w="945" w:type="dxa"/>
          </w:tcPr>
          <w:p w:rsidR="004D68D6" w:rsidRPr="00022011" w:rsidRDefault="004D68D6" w:rsidP="00022011">
            <w:pPr>
              <w:cnfStyle w:val="100000000000" w:firstRow="1" w:lastRow="0" w:firstColumn="0" w:lastColumn="0" w:oddVBand="0" w:evenVBand="0" w:oddHBand="0" w:evenHBand="0" w:firstRowFirstColumn="0" w:firstRowLastColumn="0" w:lastRowFirstColumn="0" w:lastRowLastColumn="0"/>
            </w:pPr>
            <w:r w:rsidRPr="00022011">
              <w:t>2016–17</w:t>
            </w:r>
          </w:p>
        </w:tc>
        <w:tc>
          <w:tcPr>
            <w:tcW w:w="945" w:type="dxa"/>
          </w:tcPr>
          <w:p w:rsidR="004D68D6" w:rsidRPr="00022011" w:rsidRDefault="004D68D6" w:rsidP="00022011">
            <w:pPr>
              <w:cnfStyle w:val="100000000000" w:firstRow="1" w:lastRow="0" w:firstColumn="0" w:lastColumn="0" w:oddVBand="0" w:evenVBand="0" w:oddHBand="0" w:evenHBand="0" w:firstRowFirstColumn="0" w:firstRowLastColumn="0" w:lastRowFirstColumn="0" w:lastRowLastColumn="0"/>
            </w:pPr>
            <w:r w:rsidRPr="00022011">
              <w:t>2017–18</w:t>
            </w:r>
          </w:p>
        </w:tc>
        <w:tc>
          <w:tcPr>
            <w:tcW w:w="945" w:type="dxa"/>
          </w:tcPr>
          <w:p w:rsidR="004D68D6" w:rsidRPr="00022011" w:rsidRDefault="004D68D6" w:rsidP="00022011">
            <w:pPr>
              <w:cnfStyle w:val="100000000000" w:firstRow="1" w:lastRow="0" w:firstColumn="0" w:lastColumn="0" w:oddVBand="0" w:evenVBand="0" w:oddHBand="0" w:evenHBand="0" w:firstRowFirstColumn="0" w:firstRowLastColumn="0" w:lastRowFirstColumn="0" w:lastRowLastColumn="0"/>
            </w:pPr>
            <w:r w:rsidRPr="00022011">
              <w:t>2018–19</w:t>
            </w:r>
          </w:p>
        </w:tc>
        <w:tc>
          <w:tcPr>
            <w:tcW w:w="945" w:type="dxa"/>
          </w:tcPr>
          <w:p w:rsidR="004D68D6" w:rsidRPr="00022011" w:rsidRDefault="004D68D6" w:rsidP="00022011">
            <w:pPr>
              <w:cnfStyle w:val="100000000000" w:firstRow="1" w:lastRow="0" w:firstColumn="0" w:lastColumn="0" w:oddVBand="0" w:evenVBand="0" w:oddHBand="0" w:evenHBand="0" w:firstRowFirstColumn="0" w:firstRowLastColumn="0" w:lastRowFirstColumn="0" w:lastRowLastColumn="0"/>
            </w:pPr>
            <w:r w:rsidRPr="00022011">
              <w:t>Total</w:t>
            </w:r>
          </w:p>
        </w:tc>
      </w:tr>
      <w:tr w:rsidR="00022011" w:rsidRPr="00022011" w:rsidTr="007A7874">
        <w:trPr>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hideMark/>
          </w:tcPr>
          <w:p w:rsidR="004D68D6" w:rsidRPr="00022011" w:rsidRDefault="004D68D6" w:rsidP="00022011">
            <w:r w:rsidRPr="00022011">
              <w:t>Return on capital</w:t>
            </w:r>
          </w:p>
        </w:tc>
        <w:tc>
          <w:tcPr>
            <w:tcW w:w="945" w:type="dxa"/>
            <w:noWrap/>
            <w:vAlign w:val="top"/>
          </w:tcPr>
          <w:p w:rsidR="004D68D6" w:rsidRPr="00022011" w:rsidRDefault="004D68D6" w:rsidP="00022011">
            <w:pPr>
              <w:cnfStyle w:val="000000000000" w:firstRow="0" w:lastRow="0" w:firstColumn="0" w:lastColumn="0" w:oddVBand="0" w:evenVBand="0" w:oddHBand="0" w:evenHBand="0" w:firstRowFirstColumn="0" w:firstRowLastColumn="0" w:lastRowFirstColumn="0" w:lastRowLastColumn="0"/>
            </w:pPr>
            <w:r w:rsidRPr="00022011">
              <w:t>1084.</w:t>
            </w:r>
            <w:r w:rsidR="00022011">
              <w:t>0</w:t>
            </w:r>
          </w:p>
        </w:tc>
        <w:tc>
          <w:tcPr>
            <w:tcW w:w="945" w:type="dxa"/>
            <w:noWrap/>
            <w:vAlign w:val="top"/>
          </w:tcPr>
          <w:p w:rsidR="004D68D6" w:rsidRPr="00022011" w:rsidRDefault="00022011" w:rsidP="00022011">
            <w:pPr>
              <w:cnfStyle w:val="000000000000" w:firstRow="0" w:lastRow="0" w:firstColumn="0" w:lastColumn="0" w:oddVBand="0" w:evenVBand="0" w:oddHBand="0" w:evenHBand="0" w:firstRowFirstColumn="0" w:firstRowLastColumn="0" w:lastRowFirstColumn="0" w:lastRowLastColumn="0"/>
            </w:pPr>
            <w:r>
              <w:t>1134.4</w:t>
            </w:r>
          </w:p>
        </w:tc>
        <w:tc>
          <w:tcPr>
            <w:tcW w:w="945" w:type="dxa"/>
            <w:vAlign w:val="top"/>
          </w:tcPr>
          <w:p w:rsidR="004D68D6" w:rsidRPr="00022011" w:rsidRDefault="004D68D6" w:rsidP="00022011">
            <w:pPr>
              <w:cnfStyle w:val="000000000000" w:firstRow="0" w:lastRow="0" w:firstColumn="0" w:lastColumn="0" w:oddVBand="0" w:evenVBand="0" w:oddHBand="0" w:evenHBand="0" w:firstRowFirstColumn="0" w:firstRowLastColumn="0" w:lastRowFirstColumn="0" w:lastRowLastColumn="0"/>
            </w:pPr>
            <w:r w:rsidRPr="00022011">
              <w:t>11</w:t>
            </w:r>
            <w:r w:rsidR="00022011">
              <w:t>90</w:t>
            </w:r>
            <w:r w:rsidRPr="00022011">
              <w:t>.</w:t>
            </w:r>
            <w:r w:rsidR="00022011">
              <w:t>1</w:t>
            </w:r>
          </w:p>
        </w:tc>
        <w:tc>
          <w:tcPr>
            <w:tcW w:w="945" w:type="dxa"/>
            <w:vAlign w:val="top"/>
          </w:tcPr>
          <w:p w:rsidR="004D68D6" w:rsidRPr="00022011" w:rsidRDefault="004D68D6" w:rsidP="00022011">
            <w:pPr>
              <w:cnfStyle w:val="000000000000" w:firstRow="0" w:lastRow="0" w:firstColumn="0" w:lastColumn="0" w:oddVBand="0" w:evenVBand="0" w:oddHBand="0" w:evenHBand="0" w:firstRowFirstColumn="0" w:firstRowLastColumn="0" w:lastRowFirstColumn="0" w:lastRowLastColumn="0"/>
            </w:pPr>
            <w:r w:rsidRPr="00022011">
              <w:t>12</w:t>
            </w:r>
            <w:r w:rsidR="00022011">
              <w:t>38</w:t>
            </w:r>
            <w:r w:rsidRPr="00022011">
              <w:t>.</w:t>
            </w:r>
            <w:r w:rsidR="00022011">
              <w:t>6</w:t>
            </w:r>
          </w:p>
        </w:tc>
        <w:tc>
          <w:tcPr>
            <w:tcW w:w="945" w:type="dxa"/>
            <w:vAlign w:val="top"/>
          </w:tcPr>
          <w:p w:rsidR="004D68D6" w:rsidRPr="00022011" w:rsidRDefault="004D68D6" w:rsidP="00022011">
            <w:pPr>
              <w:cnfStyle w:val="000000000000" w:firstRow="0" w:lastRow="0" w:firstColumn="0" w:lastColumn="0" w:oddVBand="0" w:evenVBand="0" w:oddHBand="0" w:evenHBand="0" w:firstRowFirstColumn="0" w:firstRowLastColumn="0" w:lastRowFirstColumn="0" w:lastRowLastColumn="0"/>
            </w:pPr>
            <w:r w:rsidRPr="00022011">
              <w:t>1</w:t>
            </w:r>
            <w:r w:rsidR="00022011">
              <w:t>289.3</w:t>
            </w:r>
          </w:p>
        </w:tc>
        <w:tc>
          <w:tcPr>
            <w:tcW w:w="945" w:type="dxa"/>
            <w:vAlign w:val="top"/>
          </w:tcPr>
          <w:p w:rsidR="004D68D6" w:rsidRPr="00022011" w:rsidRDefault="00022011" w:rsidP="00022011">
            <w:pPr>
              <w:cnfStyle w:val="000000000000" w:firstRow="0" w:lastRow="0" w:firstColumn="0" w:lastColumn="0" w:oddVBand="0" w:evenVBand="0" w:oddHBand="0" w:evenHBand="0" w:firstRowFirstColumn="0" w:firstRowLastColumn="0" w:lastRowFirstColumn="0" w:lastRowLastColumn="0"/>
            </w:pPr>
            <w:r>
              <w:t>5936.4</w:t>
            </w:r>
          </w:p>
        </w:tc>
      </w:tr>
      <w:tr w:rsidR="00022011" w:rsidRPr="00022011" w:rsidTr="007A7874">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tcPr>
          <w:p w:rsidR="004D68D6" w:rsidRPr="00022011" w:rsidRDefault="004D68D6" w:rsidP="00022011">
            <w:r w:rsidRPr="00022011">
              <w:t>Regulatory depreciation</w:t>
            </w:r>
          </w:p>
        </w:tc>
        <w:tc>
          <w:tcPr>
            <w:tcW w:w="945" w:type="dxa"/>
            <w:noWrap/>
            <w:vAlign w:val="top"/>
          </w:tcPr>
          <w:p w:rsidR="004D68D6" w:rsidRPr="00022011" w:rsidRDefault="004D68D6" w:rsidP="00022011">
            <w:pPr>
              <w:cnfStyle w:val="000000010000" w:firstRow="0" w:lastRow="0" w:firstColumn="0" w:lastColumn="0" w:oddVBand="0" w:evenVBand="0" w:oddHBand="0" w:evenHBand="1" w:firstRowFirstColumn="0" w:firstRowLastColumn="0" w:lastRowFirstColumn="0" w:lastRowLastColumn="0"/>
            </w:pPr>
            <w:r w:rsidRPr="00022011">
              <w:t>1</w:t>
            </w:r>
            <w:r w:rsidR="00022011">
              <w:t>32.6</w:t>
            </w:r>
          </w:p>
        </w:tc>
        <w:tc>
          <w:tcPr>
            <w:tcW w:w="945" w:type="dxa"/>
            <w:noWrap/>
            <w:vAlign w:val="top"/>
          </w:tcPr>
          <w:p w:rsidR="004D68D6" w:rsidRPr="00022011" w:rsidRDefault="004D68D6" w:rsidP="00022011">
            <w:pPr>
              <w:cnfStyle w:val="000000010000" w:firstRow="0" w:lastRow="0" w:firstColumn="0" w:lastColumn="0" w:oddVBand="0" w:evenVBand="0" w:oddHBand="0" w:evenHBand="1" w:firstRowFirstColumn="0" w:firstRowLastColumn="0" w:lastRowFirstColumn="0" w:lastRowLastColumn="0"/>
            </w:pPr>
            <w:r w:rsidRPr="00022011">
              <w:t>1</w:t>
            </w:r>
            <w:r w:rsidR="00022011">
              <w:t>52.3</w:t>
            </w:r>
          </w:p>
        </w:tc>
        <w:tc>
          <w:tcPr>
            <w:tcW w:w="945" w:type="dxa"/>
            <w:vAlign w:val="top"/>
          </w:tcPr>
          <w:p w:rsidR="004D68D6" w:rsidRPr="00022011" w:rsidRDefault="004D68D6" w:rsidP="00022011">
            <w:pPr>
              <w:cnfStyle w:val="000000010000" w:firstRow="0" w:lastRow="0" w:firstColumn="0" w:lastColumn="0" w:oddVBand="0" w:evenVBand="0" w:oddHBand="0" w:evenHBand="1" w:firstRowFirstColumn="0" w:firstRowLastColumn="0" w:lastRowFirstColumn="0" w:lastRowLastColumn="0"/>
            </w:pPr>
            <w:r w:rsidRPr="00022011">
              <w:t>1</w:t>
            </w:r>
            <w:r w:rsidR="00022011">
              <w:t>74.1</w:t>
            </w:r>
          </w:p>
        </w:tc>
        <w:tc>
          <w:tcPr>
            <w:tcW w:w="945" w:type="dxa"/>
            <w:vAlign w:val="top"/>
          </w:tcPr>
          <w:p w:rsidR="004D68D6" w:rsidRPr="00022011" w:rsidRDefault="004D68D6" w:rsidP="00022011">
            <w:pPr>
              <w:cnfStyle w:val="000000010000" w:firstRow="0" w:lastRow="0" w:firstColumn="0" w:lastColumn="0" w:oddVBand="0" w:evenVBand="0" w:oddHBand="0" w:evenHBand="1" w:firstRowFirstColumn="0" w:firstRowLastColumn="0" w:lastRowFirstColumn="0" w:lastRowLastColumn="0"/>
            </w:pPr>
            <w:r w:rsidRPr="00022011">
              <w:t>1</w:t>
            </w:r>
            <w:r w:rsidR="00022011">
              <w:t>44.9</w:t>
            </w:r>
          </w:p>
        </w:tc>
        <w:tc>
          <w:tcPr>
            <w:tcW w:w="945" w:type="dxa"/>
            <w:vAlign w:val="top"/>
          </w:tcPr>
          <w:p w:rsidR="004D68D6" w:rsidRPr="00022011" w:rsidRDefault="004D68D6" w:rsidP="00022011">
            <w:pPr>
              <w:cnfStyle w:val="000000010000" w:firstRow="0" w:lastRow="0" w:firstColumn="0" w:lastColumn="0" w:oddVBand="0" w:evenVBand="0" w:oddHBand="0" w:evenHBand="1" w:firstRowFirstColumn="0" w:firstRowLastColumn="0" w:lastRowFirstColumn="0" w:lastRowLastColumn="0"/>
            </w:pPr>
            <w:r w:rsidRPr="00022011">
              <w:t>14</w:t>
            </w:r>
            <w:r w:rsidR="00022011">
              <w:t>6.7</w:t>
            </w:r>
          </w:p>
        </w:tc>
        <w:tc>
          <w:tcPr>
            <w:tcW w:w="945" w:type="dxa"/>
            <w:vAlign w:val="top"/>
          </w:tcPr>
          <w:p w:rsidR="004D68D6" w:rsidRPr="00022011" w:rsidRDefault="005C1A7C" w:rsidP="00022011">
            <w:pPr>
              <w:cnfStyle w:val="000000010000" w:firstRow="0" w:lastRow="0" w:firstColumn="0" w:lastColumn="0" w:oddVBand="0" w:evenVBand="0" w:oddHBand="0" w:evenHBand="1" w:firstRowFirstColumn="0" w:firstRowLastColumn="0" w:lastRowFirstColumn="0" w:lastRowLastColumn="0"/>
            </w:pPr>
            <w:r>
              <w:t>750.5</w:t>
            </w:r>
          </w:p>
        </w:tc>
      </w:tr>
      <w:tr w:rsidR="00022011" w:rsidRPr="00022011" w:rsidTr="007A7874">
        <w:trPr>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tcPr>
          <w:p w:rsidR="004D68D6" w:rsidRPr="00022011" w:rsidRDefault="004D68D6" w:rsidP="00022011">
            <w:r w:rsidRPr="00022011">
              <w:t xml:space="preserve">Operating </w:t>
            </w:r>
            <w:proofErr w:type="spellStart"/>
            <w:r w:rsidRPr="00022011">
              <w:t>expenditure</w:t>
            </w:r>
            <w:r w:rsidR="00E55B78" w:rsidRPr="007A7874">
              <w:rPr>
                <w:rStyle w:val="AERsuperscript"/>
              </w:rPr>
              <w:t>a</w:t>
            </w:r>
            <w:proofErr w:type="spellEnd"/>
          </w:p>
        </w:tc>
        <w:tc>
          <w:tcPr>
            <w:tcW w:w="945" w:type="dxa"/>
            <w:noWrap/>
            <w:vAlign w:val="top"/>
          </w:tcPr>
          <w:p w:rsidR="004D68D6" w:rsidRPr="00022011" w:rsidRDefault="004D68D6" w:rsidP="00022011">
            <w:pPr>
              <w:cnfStyle w:val="000000000000" w:firstRow="0" w:lastRow="0" w:firstColumn="0" w:lastColumn="0" w:oddVBand="0" w:evenVBand="0" w:oddHBand="0" w:evenHBand="0" w:firstRowFirstColumn="0" w:firstRowLastColumn="0" w:lastRowFirstColumn="0" w:lastRowLastColumn="0"/>
            </w:pPr>
            <w:r w:rsidRPr="00022011">
              <w:t>5</w:t>
            </w:r>
            <w:r w:rsidR="00022011">
              <w:t>11.5</w:t>
            </w:r>
          </w:p>
        </w:tc>
        <w:tc>
          <w:tcPr>
            <w:tcW w:w="945" w:type="dxa"/>
            <w:noWrap/>
            <w:vAlign w:val="top"/>
          </w:tcPr>
          <w:p w:rsidR="004D68D6" w:rsidRPr="00022011" w:rsidRDefault="004D68D6" w:rsidP="00022011">
            <w:pPr>
              <w:cnfStyle w:val="000000000000" w:firstRow="0" w:lastRow="0" w:firstColumn="0" w:lastColumn="0" w:oddVBand="0" w:evenVBand="0" w:oddHBand="0" w:evenHBand="0" w:firstRowFirstColumn="0" w:firstRowLastColumn="0" w:lastRowFirstColumn="0" w:lastRowLastColumn="0"/>
            </w:pPr>
            <w:r w:rsidRPr="00022011">
              <w:t>5</w:t>
            </w:r>
            <w:r w:rsidR="00022011">
              <w:t>4</w:t>
            </w:r>
            <w:r w:rsidRPr="00022011">
              <w:t>5</w:t>
            </w:r>
            <w:r w:rsidR="00022011">
              <w:t>.</w:t>
            </w:r>
            <w:r w:rsidRPr="00022011">
              <w:t>8</w:t>
            </w:r>
          </w:p>
        </w:tc>
        <w:tc>
          <w:tcPr>
            <w:tcW w:w="945" w:type="dxa"/>
            <w:vAlign w:val="top"/>
          </w:tcPr>
          <w:p w:rsidR="004D68D6" w:rsidRPr="00022011" w:rsidRDefault="004D68D6" w:rsidP="00022011">
            <w:pPr>
              <w:cnfStyle w:val="000000000000" w:firstRow="0" w:lastRow="0" w:firstColumn="0" w:lastColumn="0" w:oddVBand="0" w:evenVBand="0" w:oddHBand="0" w:evenHBand="0" w:firstRowFirstColumn="0" w:firstRowLastColumn="0" w:lastRowFirstColumn="0" w:lastRowLastColumn="0"/>
            </w:pPr>
            <w:r w:rsidRPr="00022011">
              <w:t>5</w:t>
            </w:r>
            <w:r w:rsidR="00022011">
              <w:t>43.5</w:t>
            </w:r>
          </w:p>
        </w:tc>
        <w:tc>
          <w:tcPr>
            <w:tcW w:w="945" w:type="dxa"/>
            <w:vAlign w:val="top"/>
          </w:tcPr>
          <w:p w:rsidR="004D68D6" w:rsidRPr="00022011" w:rsidRDefault="004D68D6" w:rsidP="00022011">
            <w:pPr>
              <w:cnfStyle w:val="000000000000" w:firstRow="0" w:lastRow="0" w:firstColumn="0" w:lastColumn="0" w:oddVBand="0" w:evenVBand="0" w:oddHBand="0" w:evenHBand="0" w:firstRowFirstColumn="0" w:firstRowLastColumn="0" w:lastRowFirstColumn="0" w:lastRowLastColumn="0"/>
            </w:pPr>
            <w:r w:rsidRPr="00022011">
              <w:t>5</w:t>
            </w:r>
            <w:r w:rsidR="00022011">
              <w:t>53.7</w:t>
            </w:r>
          </w:p>
        </w:tc>
        <w:tc>
          <w:tcPr>
            <w:tcW w:w="945" w:type="dxa"/>
            <w:vAlign w:val="top"/>
          </w:tcPr>
          <w:p w:rsidR="004D68D6" w:rsidRPr="00022011" w:rsidRDefault="00022011" w:rsidP="00022011">
            <w:pPr>
              <w:cnfStyle w:val="000000000000" w:firstRow="0" w:lastRow="0" w:firstColumn="0" w:lastColumn="0" w:oddVBand="0" w:evenVBand="0" w:oddHBand="0" w:evenHBand="0" w:firstRowFirstColumn="0" w:firstRowLastColumn="0" w:lastRowFirstColumn="0" w:lastRowLastColumn="0"/>
            </w:pPr>
            <w:r>
              <w:t>5</w:t>
            </w:r>
            <w:r w:rsidR="004D68D6" w:rsidRPr="00022011">
              <w:t>6</w:t>
            </w:r>
            <w:r>
              <w:t>5.9</w:t>
            </w:r>
          </w:p>
        </w:tc>
        <w:tc>
          <w:tcPr>
            <w:tcW w:w="945" w:type="dxa"/>
            <w:vAlign w:val="top"/>
          </w:tcPr>
          <w:p w:rsidR="004D68D6" w:rsidRPr="00022011" w:rsidRDefault="004D68D6" w:rsidP="00022011">
            <w:pPr>
              <w:cnfStyle w:val="000000000000" w:firstRow="0" w:lastRow="0" w:firstColumn="0" w:lastColumn="0" w:oddVBand="0" w:evenVBand="0" w:oddHBand="0" w:evenHBand="0" w:firstRowFirstColumn="0" w:firstRowLastColumn="0" w:lastRowFirstColumn="0" w:lastRowLastColumn="0"/>
            </w:pPr>
            <w:r w:rsidRPr="00022011">
              <w:t>2</w:t>
            </w:r>
            <w:r w:rsidR="00022011">
              <w:t>720.4</w:t>
            </w:r>
          </w:p>
        </w:tc>
      </w:tr>
      <w:tr w:rsidR="00022011" w:rsidRPr="00022011" w:rsidTr="007A7874">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tcPr>
          <w:p w:rsidR="004D68D6" w:rsidRPr="00022011" w:rsidRDefault="004D68D6" w:rsidP="00022011">
            <w:r w:rsidRPr="00022011">
              <w:t>Efficiency benefit sharing scheme (carryover amounts)</w:t>
            </w:r>
          </w:p>
        </w:tc>
        <w:tc>
          <w:tcPr>
            <w:tcW w:w="945" w:type="dxa"/>
            <w:noWrap/>
            <w:vAlign w:val="top"/>
          </w:tcPr>
          <w:p w:rsidR="004D68D6" w:rsidRPr="00022011" w:rsidRDefault="004D68D6" w:rsidP="00022011">
            <w:pPr>
              <w:cnfStyle w:val="000000010000" w:firstRow="0" w:lastRow="0" w:firstColumn="0" w:lastColumn="0" w:oddVBand="0" w:evenVBand="0" w:oddHBand="0" w:evenHBand="1" w:firstRowFirstColumn="0" w:firstRowLastColumn="0" w:lastRowFirstColumn="0" w:lastRowLastColumn="0"/>
            </w:pPr>
            <w:r w:rsidRPr="00022011">
              <w:t>95.3</w:t>
            </w:r>
          </w:p>
        </w:tc>
        <w:tc>
          <w:tcPr>
            <w:tcW w:w="945" w:type="dxa"/>
            <w:noWrap/>
            <w:vAlign w:val="top"/>
          </w:tcPr>
          <w:p w:rsidR="004D68D6" w:rsidRPr="00022011" w:rsidRDefault="004D68D6" w:rsidP="00022011">
            <w:pPr>
              <w:cnfStyle w:val="000000010000" w:firstRow="0" w:lastRow="0" w:firstColumn="0" w:lastColumn="0" w:oddVBand="0" w:evenVBand="0" w:oddHBand="0" w:evenHBand="1" w:firstRowFirstColumn="0" w:firstRowLastColumn="0" w:lastRowFirstColumn="0" w:lastRowLastColumn="0"/>
            </w:pPr>
            <w:r w:rsidRPr="00022011">
              <w:t>106</w:t>
            </w:r>
            <w:r w:rsidR="00022011">
              <w:t>.6</w:t>
            </w:r>
          </w:p>
        </w:tc>
        <w:tc>
          <w:tcPr>
            <w:tcW w:w="945" w:type="dxa"/>
            <w:vAlign w:val="top"/>
          </w:tcPr>
          <w:p w:rsidR="004D68D6" w:rsidRPr="00022011" w:rsidRDefault="004D68D6" w:rsidP="00022011">
            <w:pPr>
              <w:cnfStyle w:val="000000010000" w:firstRow="0" w:lastRow="0" w:firstColumn="0" w:lastColumn="0" w:oddVBand="0" w:evenVBand="0" w:oddHBand="0" w:evenHBand="1" w:firstRowFirstColumn="0" w:firstRowLastColumn="0" w:lastRowFirstColumn="0" w:lastRowLastColumn="0"/>
            </w:pPr>
            <w:r w:rsidRPr="00022011">
              <w:t>83.7</w:t>
            </w:r>
          </w:p>
        </w:tc>
        <w:tc>
          <w:tcPr>
            <w:tcW w:w="945" w:type="dxa"/>
            <w:vAlign w:val="top"/>
          </w:tcPr>
          <w:p w:rsidR="004D68D6" w:rsidRPr="00022011" w:rsidRDefault="004D68D6" w:rsidP="00022011">
            <w:pPr>
              <w:cnfStyle w:val="000000010000" w:firstRow="0" w:lastRow="0" w:firstColumn="0" w:lastColumn="0" w:oddVBand="0" w:evenVBand="0" w:oddHBand="0" w:evenHBand="1" w:firstRowFirstColumn="0" w:firstRowLastColumn="0" w:lastRowFirstColumn="0" w:lastRowLastColumn="0"/>
            </w:pPr>
            <w:r w:rsidRPr="00022011">
              <w:t>138.2</w:t>
            </w:r>
          </w:p>
        </w:tc>
        <w:tc>
          <w:tcPr>
            <w:tcW w:w="945" w:type="dxa"/>
            <w:vAlign w:val="top"/>
          </w:tcPr>
          <w:p w:rsidR="004D68D6" w:rsidRPr="00022011" w:rsidRDefault="004D68D6" w:rsidP="00022011">
            <w:pPr>
              <w:cnfStyle w:val="000000010000" w:firstRow="0" w:lastRow="0" w:firstColumn="0" w:lastColumn="0" w:oddVBand="0" w:evenVBand="0" w:oddHBand="0" w:evenHBand="1" w:firstRowFirstColumn="0" w:firstRowLastColumn="0" w:lastRowFirstColumn="0" w:lastRowLastColumn="0"/>
            </w:pPr>
            <w:r w:rsidRPr="00022011">
              <w:t>0.0</w:t>
            </w:r>
          </w:p>
        </w:tc>
        <w:tc>
          <w:tcPr>
            <w:tcW w:w="945" w:type="dxa"/>
            <w:vAlign w:val="top"/>
          </w:tcPr>
          <w:p w:rsidR="004D68D6" w:rsidRPr="00022011" w:rsidRDefault="004D68D6" w:rsidP="00022011">
            <w:pPr>
              <w:cnfStyle w:val="000000010000" w:firstRow="0" w:lastRow="0" w:firstColumn="0" w:lastColumn="0" w:oddVBand="0" w:evenVBand="0" w:oddHBand="0" w:evenHBand="1" w:firstRowFirstColumn="0" w:firstRowLastColumn="0" w:lastRowFirstColumn="0" w:lastRowLastColumn="0"/>
            </w:pPr>
            <w:r w:rsidRPr="00022011">
              <w:t>423.</w:t>
            </w:r>
            <w:r w:rsidR="00022011">
              <w:t>8</w:t>
            </w:r>
          </w:p>
        </w:tc>
      </w:tr>
      <w:tr w:rsidR="00022011" w:rsidRPr="00022011" w:rsidTr="007A7874">
        <w:trPr>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tcPr>
          <w:p w:rsidR="004D68D6" w:rsidRPr="00022011" w:rsidRDefault="004D68D6" w:rsidP="00022011">
            <w:r w:rsidRPr="00022011">
              <w:t>Net tax allowance</w:t>
            </w:r>
          </w:p>
        </w:tc>
        <w:tc>
          <w:tcPr>
            <w:tcW w:w="945" w:type="dxa"/>
            <w:noWrap/>
            <w:vAlign w:val="top"/>
          </w:tcPr>
          <w:p w:rsidR="004D68D6" w:rsidRPr="00022011" w:rsidRDefault="004D68D6" w:rsidP="00022011">
            <w:pPr>
              <w:cnfStyle w:val="000000000000" w:firstRow="0" w:lastRow="0" w:firstColumn="0" w:lastColumn="0" w:oddVBand="0" w:evenVBand="0" w:oddHBand="0" w:evenHBand="0" w:firstRowFirstColumn="0" w:firstRowLastColumn="0" w:lastRowFirstColumn="0" w:lastRowLastColumn="0"/>
            </w:pPr>
            <w:r w:rsidRPr="00022011">
              <w:t>1</w:t>
            </w:r>
            <w:r w:rsidR="00022011">
              <w:t>35</w:t>
            </w:r>
            <w:r w:rsidRPr="00022011">
              <w:t>.</w:t>
            </w:r>
            <w:r w:rsidR="00022011">
              <w:t>7</w:t>
            </w:r>
          </w:p>
        </w:tc>
        <w:tc>
          <w:tcPr>
            <w:tcW w:w="945" w:type="dxa"/>
            <w:noWrap/>
            <w:vAlign w:val="top"/>
          </w:tcPr>
          <w:p w:rsidR="004D68D6" w:rsidRPr="00022011" w:rsidRDefault="00022011" w:rsidP="00022011">
            <w:pPr>
              <w:cnfStyle w:val="000000000000" w:firstRow="0" w:lastRow="0" w:firstColumn="0" w:lastColumn="0" w:oddVBand="0" w:evenVBand="0" w:oddHBand="0" w:evenHBand="0" w:firstRowFirstColumn="0" w:firstRowLastColumn="0" w:lastRowFirstColumn="0" w:lastRowLastColumn="0"/>
            </w:pPr>
            <w:r>
              <w:t>149.5</w:t>
            </w:r>
          </w:p>
        </w:tc>
        <w:tc>
          <w:tcPr>
            <w:tcW w:w="945" w:type="dxa"/>
            <w:vAlign w:val="top"/>
          </w:tcPr>
          <w:p w:rsidR="004D68D6" w:rsidRPr="00022011" w:rsidRDefault="004D68D6" w:rsidP="00022011">
            <w:pPr>
              <w:cnfStyle w:val="000000000000" w:firstRow="0" w:lastRow="0" w:firstColumn="0" w:lastColumn="0" w:oddVBand="0" w:evenVBand="0" w:oddHBand="0" w:evenHBand="0" w:firstRowFirstColumn="0" w:firstRowLastColumn="0" w:lastRowFirstColumn="0" w:lastRowLastColumn="0"/>
            </w:pPr>
            <w:r w:rsidRPr="00022011">
              <w:t>1</w:t>
            </w:r>
            <w:r w:rsidR="00022011">
              <w:t>55.1</w:t>
            </w:r>
          </w:p>
        </w:tc>
        <w:tc>
          <w:tcPr>
            <w:tcW w:w="945" w:type="dxa"/>
            <w:vAlign w:val="top"/>
          </w:tcPr>
          <w:p w:rsidR="004D68D6" w:rsidRPr="00022011" w:rsidRDefault="004D68D6" w:rsidP="00022011">
            <w:pPr>
              <w:cnfStyle w:val="000000000000" w:firstRow="0" w:lastRow="0" w:firstColumn="0" w:lastColumn="0" w:oddVBand="0" w:evenVBand="0" w:oddHBand="0" w:evenHBand="0" w:firstRowFirstColumn="0" w:firstRowLastColumn="0" w:lastRowFirstColumn="0" w:lastRowLastColumn="0"/>
            </w:pPr>
            <w:r w:rsidRPr="00022011">
              <w:t>1</w:t>
            </w:r>
            <w:r w:rsidR="00022011">
              <w:t>75.5</w:t>
            </w:r>
          </w:p>
        </w:tc>
        <w:tc>
          <w:tcPr>
            <w:tcW w:w="945" w:type="dxa"/>
            <w:vAlign w:val="top"/>
          </w:tcPr>
          <w:p w:rsidR="004D68D6" w:rsidRPr="00022011" w:rsidRDefault="004D68D6" w:rsidP="00022011">
            <w:pPr>
              <w:cnfStyle w:val="000000000000" w:firstRow="0" w:lastRow="0" w:firstColumn="0" w:lastColumn="0" w:oddVBand="0" w:evenVBand="0" w:oddHBand="0" w:evenHBand="0" w:firstRowFirstColumn="0" w:firstRowLastColumn="0" w:lastRowFirstColumn="0" w:lastRowLastColumn="0"/>
            </w:pPr>
            <w:r w:rsidRPr="00022011">
              <w:t>13</w:t>
            </w:r>
            <w:r w:rsidR="00022011">
              <w:t>0.0</w:t>
            </w:r>
          </w:p>
        </w:tc>
        <w:tc>
          <w:tcPr>
            <w:tcW w:w="945" w:type="dxa"/>
            <w:vAlign w:val="top"/>
          </w:tcPr>
          <w:p w:rsidR="004D68D6" w:rsidRPr="00022011" w:rsidRDefault="00022011" w:rsidP="00022011">
            <w:pPr>
              <w:cnfStyle w:val="000000000000" w:firstRow="0" w:lastRow="0" w:firstColumn="0" w:lastColumn="0" w:oddVBand="0" w:evenVBand="0" w:oddHBand="0" w:evenHBand="0" w:firstRowFirstColumn="0" w:firstRowLastColumn="0" w:lastRowFirstColumn="0" w:lastRowLastColumn="0"/>
            </w:pPr>
            <w:r>
              <w:t>745.8</w:t>
            </w:r>
          </w:p>
        </w:tc>
      </w:tr>
      <w:tr w:rsidR="00022011" w:rsidRPr="00022011" w:rsidTr="007A7874">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hideMark/>
          </w:tcPr>
          <w:p w:rsidR="004D68D6" w:rsidRPr="00022011" w:rsidRDefault="004D68D6" w:rsidP="00022011">
            <w:r w:rsidRPr="00022011">
              <w:t>Annual revenue requirement (unsmoothed)</w:t>
            </w:r>
          </w:p>
        </w:tc>
        <w:tc>
          <w:tcPr>
            <w:tcW w:w="945" w:type="dxa"/>
            <w:noWrap/>
            <w:vAlign w:val="top"/>
          </w:tcPr>
          <w:p w:rsidR="004D68D6" w:rsidRPr="00022011" w:rsidRDefault="004D68D6" w:rsidP="00022011">
            <w:pPr>
              <w:cnfStyle w:val="000000010000" w:firstRow="0" w:lastRow="0" w:firstColumn="0" w:lastColumn="0" w:oddVBand="0" w:evenVBand="0" w:oddHBand="0" w:evenHBand="1" w:firstRowFirstColumn="0" w:firstRowLastColumn="0" w:lastRowFirstColumn="0" w:lastRowLastColumn="0"/>
            </w:pPr>
            <w:r w:rsidRPr="00022011">
              <w:t>195</w:t>
            </w:r>
            <w:r w:rsidR="00022011">
              <w:t>9</w:t>
            </w:r>
            <w:r w:rsidRPr="00022011">
              <w:t>.</w:t>
            </w:r>
            <w:r w:rsidR="00022011">
              <w:t>0</w:t>
            </w:r>
          </w:p>
        </w:tc>
        <w:tc>
          <w:tcPr>
            <w:tcW w:w="945" w:type="dxa"/>
            <w:noWrap/>
            <w:vAlign w:val="top"/>
          </w:tcPr>
          <w:p w:rsidR="004D68D6" w:rsidRPr="00022011" w:rsidRDefault="004D68D6" w:rsidP="00022011">
            <w:pPr>
              <w:cnfStyle w:val="000000010000" w:firstRow="0" w:lastRow="0" w:firstColumn="0" w:lastColumn="0" w:oddVBand="0" w:evenVBand="0" w:oddHBand="0" w:evenHBand="1" w:firstRowFirstColumn="0" w:firstRowLastColumn="0" w:lastRowFirstColumn="0" w:lastRowLastColumn="0"/>
            </w:pPr>
            <w:r w:rsidRPr="00022011">
              <w:t>20</w:t>
            </w:r>
            <w:r w:rsidR="00022011">
              <w:t>88</w:t>
            </w:r>
            <w:r w:rsidRPr="00022011">
              <w:t>.</w:t>
            </w:r>
            <w:r w:rsidR="00022011">
              <w:t>7</w:t>
            </w:r>
          </w:p>
        </w:tc>
        <w:tc>
          <w:tcPr>
            <w:tcW w:w="945" w:type="dxa"/>
            <w:vAlign w:val="top"/>
          </w:tcPr>
          <w:p w:rsidR="004D68D6" w:rsidRPr="00022011" w:rsidRDefault="00022011" w:rsidP="00022011">
            <w:pPr>
              <w:cnfStyle w:val="000000010000" w:firstRow="0" w:lastRow="0" w:firstColumn="0" w:lastColumn="0" w:oddVBand="0" w:evenVBand="0" w:oddHBand="0" w:evenHBand="1" w:firstRowFirstColumn="0" w:firstRowLastColumn="0" w:lastRowFirstColumn="0" w:lastRowLastColumn="0"/>
            </w:pPr>
            <w:r>
              <w:t>2146.6</w:t>
            </w:r>
          </w:p>
        </w:tc>
        <w:tc>
          <w:tcPr>
            <w:tcW w:w="945" w:type="dxa"/>
            <w:vAlign w:val="top"/>
          </w:tcPr>
          <w:p w:rsidR="004D68D6" w:rsidRPr="00022011" w:rsidRDefault="004D68D6" w:rsidP="00022011">
            <w:pPr>
              <w:cnfStyle w:val="000000010000" w:firstRow="0" w:lastRow="0" w:firstColumn="0" w:lastColumn="0" w:oddVBand="0" w:evenVBand="0" w:oddHBand="0" w:evenHBand="1" w:firstRowFirstColumn="0" w:firstRowLastColumn="0" w:lastRowFirstColumn="0" w:lastRowLastColumn="0"/>
            </w:pPr>
            <w:r w:rsidRPr="00022011">
              <w:t>22</w:t>
            </w:r>
            <w:r w:rsidR="00022011">
              <w:t>50.</w:t>
            </w:r>
            <w:r w:rsidRPr="00022011">
              <w:t>9</w:t>
            </w:r>
          </w:p>
        </w:tc>
        <w:tc>
          <w:tcPr>
            <w:tcW w:w="945" w:type="dxa"/>
            <w:vAlign w:val="top"/>
          </w:tcPr>
          <w:p w:rsidR="004D68D6" w:rsidRPr="00022011" w:rsidRDefault="004D68D6" w:rsidP="00022011">
            <w:pPr>
              <w:cnfStyle w:val="000000010000" w:firstRow="0" w:lastRow="0" w:firstColumn="0" w:lastColumn="0" w:oddVBand="0" w:evenVBand="0" w:oddHBand="0" w:evenHBand="1" w:firstRowFirstColumn="0" w:firstRowLastColumn="0" w:lastRowFirstColumn="0" w:lastRowLastColumn="0"/>
            </w:pPr>
            <w:r w:rsidRPr="00022011">
              <w:t>2</w:t>
            </w:r>
            <w:r w:rsidR="00022011">
              <w:t>131.8</w:t>
            </w:r>
          </w:p>
        </w:tc>
        <w:tc>
          <w:tcPr>
            <w:tcW w:w="945" w:type="dxa"/>
            <w:vAlign w:val="top"/>
          </w:tcPr>
          <w:p w:rsidR="004D68D6" w:rsidRPr="00022011" w:rsidRDefault="005C1A7C" w:rsidP="00022011">
            <w:pPr>
              <w:cnfStyle w:val="000000010000" w:firstRow="0" w:lastRow="0" w:firstColumn="0" w:lastColumn="0" w:oddVBand="0" w:evenVBand="0" w:oddHBand="0" w:evenHBand="1" w:firstRowFirstColumn="0" w:firstRowLastColumn="0" w:lastRowFirstColumn="0" w:lastRowLastColumn="0"/>
            </w:pPr>
            <w:r>
              <w:t>10577.0</w:t>
            </w:r>
          </w:p>
        </w:tc>
      </w:tr>
      <w:tr w:rsidR="00022011" w:rsidRPr="00D862BC" w:rsidTr="007A7874">
        <w:trPr>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hideMark/>
          </w:tcPr>
          <w:p w:rsidR="004D68D6" w:rsidRPr="007A7874" w:rsidRDefault="004D68D6" w:rsidP="00022011">
            <w:pPr>
              <w:rPr>
                <w:rStyle w:val="Strong"/>
              </w:rPr>
            </w:pPr>
            <w:r w:rsidRPr="007A7874">
              <w:rPr>
                <w:rStyle w:val="Strong"/>
              </w:rPr>
              <w:t>Annual expected revenue (smoothed)</w:t>
            </w:r>
          </w:p>
        </w:tc>
        <w:tc>
          <w:tcPr>
            <w:tcW w:w="945" w:type="dxa"/>
            <w:noWrap/>
            <w:vAlign w:val="top"/>
          </w:tcPr>
          <w:p w:rsidR="004D68D6" w:rsidRPr="007A7874" w:rsidRDefault="005C1A7C" w:rsidP="00022011">
            <w:pPr>
              <w:cnfStyle w:val="000000000000" w:firstRow="0" w:lastRow="0" w:firstColumn="0" w:lastColumn="0" w:oddVBand="0" w:evenVBand="0" w:oddHBand="0" w:evenHBand="0" w:firstRowFirstColumn="0" w:firstRowLastColumn="0" w:lastRowFirstColumn="0" w:lastRowLastColumn="0"/>
              <w:rPr>
                <w:rStyle w:val="Strong"/>
              </w:rPr>
            </w:pPr>
            <w:r w:rsidRPr="007A7874">
              <w:rPr>
                <w:rStyle w:val="Strong"/>
              </w:rPr>
              <w:t>1956.4</w:t>
            </w:r>
          </w:p>
        </w:tc>
        <w:tc>
          <w:tcPr>
            <w:tcW w:w="945" w:type="dxa"/>
            <w:noWrap/>
            <w:vAlign w:val="top"/>
          </w:tcPr>
          <w:p w:rsidR="004D68D6" w:rsidRPr="007A7874" w:rsidRDefault="005C1A7C" w:rsidP="00022011">
            <w:pPr>
              <w:cnfStyle w:val="000000000000" w:firstRow="0" w:lastRow="0" w:firstColumn="0" w:lastColumn="0" w:oddVBand="0" w:evenVBand="0" w:oddHBand="0" w:evenHBand="0" w:firstRowFirstColumn="0" w:firstRowLastColumn="0" w:lastRowFirstColumn="0" w:lastRowLastColumn="0"/>
              <w:rPr>
                <w:rStyle w:val="Strong"/>
              </w:rPr>
            </w:pPr>
            <w:r w:rsidRPr="007A7874">
              <w:rPr>
                <w:rStyle w:val="Strong"/>
              </w:rPr>
              <w:t>2075.5</w:t>
            </w:r>
          </w:p>
        </w:tc>
        <w:tc>
          <w:tcPr>
            <w:tcW w:w="945" w:type="dxa"/>
            <w:vAlign w:val="top"/>
          </w:tcPr>
          <w:p w:rsidR="004D68D6" w:rsidRPr="007A7874" w:rsidRDefault="005C1A7C" w:rsidP="00022011">
            <w:pPr>
              <w:cnfStyle w:val="000000000000" w:firstRow="0" w:lastRow="0" w:firstColumn="0" w:lastColumn="0" w:oddVBand="0" w:evenVBand="0" w:oddHBand="0" w:evenHBand="0" w:firstRowFirstColumn="0" w:firstRowLastColumn="0" w:lastRowFirstColumn="0" w:lastRowLastColumn="0"/>
              <w:rPr>
                <w:rStyle w:val="Strong"/>
              </w:rPr>
            </w:pPr>
            <w:r w:rsidRPr="007A7874">
              <w:rPr>
                <w:rStyle w:val="Strong"/>
              </w:rPr>
              <w:t>2129.9</w:t>
            </w:r>
          </w:p>
        </w:tc>
        <w:tc>
          <w:tcPr>
            <w:tcW w:w="945" w:type="dxa"/>
            <w:vAlign w:val="top"/>
          </w:tcPr>
          <w:p w:rsidR="004D68D6" w:rsidRPr="007A7874" w:rsidRDefault="005C1A7C" w:rsidP="00022011">
            <w:pPr>
              <w:cnfStyle w:val="000000000000" w:firstRow="0" w:lastRow="0" w:firstColumn="0" w:lastColumn="0" w:oddVBand="0" w:evenVBand="0" w:oddHBand="0" w:evenHBand="0" w:firstRowFirstColumn="0" w:firstRowLastColumn="0" w:lastRowFirstColumn="0" w:lastRowLastColumn="0"/>
              <w:rPr>
                <w:rStyle w:val="Strong"/>
              </w:rPr>
            </w:pPr>
            <w:r w:rsidRPr="007A7874">
              <w:rPr>
                <w:rStyle w:val="Strong"/>
              </w:rPr>
              <w:t>2185.7</w:t>
            </w:r>
          </w:p>
        </w:tc>
        <w:tc>
          <w:tcPr>
            <w:tcW w:w="945" w:type="dxa"/>
            <w:vAlign w:val="top"/>
          </w:tcPr>
          <w:p w:rsidR="004D68D6" w:rsidRPr="007A7874" w:rsidRDefault="005C1A7C" w:rsidP="00022011">
            <w:pPr>
              <w:cnfStyle w:val="000000000000" w:firstRow="0" w:lastRow="0" w:firstColumn="0" w:lastColumn="0" w:oddVBand="0" w:evenVBand="0" w:oddHBand="0" w:evenHBand="0" w:firstRowFirstColumn="0" w:firstRowLastColumn="0" w:lastRowFirstColumn="0" w:lastRowLastColumn="0"/>
              <w:rPr>
                <w:rStyle w:val="Strong"/>
              </w:rPr>
            </w:pPr>
            <w:r w:rsidRPr="007A7874">
              <w:rPr>
                <w:rStyle w:val="Strong"/>
              </w:rPr>
              <w:t>2243.0</w:t>
            </w:r>
          </w:p>
        </w:tc>
        <w:tc>
          <w:tcPr>
            <w:tcW w:w="945" w:type="dxa"/>
            <w:vAlign w:val="top"/>
          </w:tcPr>
          <w:p w:rsidR="004D68D6" w:rsidRPr="007A7874" w:rsidRDefault="005C1A7C" w:rsidP="00022011">
            <w:pPr>
              <w:cnfStyle w:val="000000000000" w:firstRow="0" w:lastRow="0" w:firstColumn="0" w:lastColumn="0" w:oddVBand="0" w:evenVBand="0" w:oddHBand="0" w:evenHBand="0" w:firstRowFirstColumn="0" w:firstRowLastColumn="0" w:lastRowFirstColumn="0" w:lastRowLastColumn="0"/>
              <w:rPr>
                <w:rStyle w:val="Strong"/>
              </w:rPr>
            </w:pPr>
            <w:r w:rsidRPr="007A7874">
              <w:rPr>
                <w:rStyle w:val="Strong"/>
              </w:rPr>
              <w:t>1059</w:t>
            </w:r>
            <w:r w:rsidR="00E55B78">
              <w:rPr>
                <w:rStyle w:val="Strong"/>
              </w:rPr>
              <w:t>0</w:t>
            </w:r>
            <w:r w:rsidRPr="007A7874">
              <w:rPr>
                <w:rStyle w:val="Strong"/>
              </w:rPr>
              <w:t>.7</w:t>
            </w:r>
          </w:p>
        </w:tc>
      </w:tr>
      <w:tr w:rsidR="00022011" w:rsidRPr="00022011" w:rsidTr="007A7874">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hideMark/>
          </w:tcPr>
          <w:p w:rsidR="004D68D6" w:rsidRPr="00022011" w:rsidRDefault="004D68D6" w:rsidP="00022011">
            <w:r w:rsidRPr="00022011">
              <w:t>X factor</w:t>
            </w:r>
          </w:p>
        </w:tc>
        <w:tc>
          <w:tcPr>
            <w:tcW w:w="945" w:type="dxa"/>
            <w:noWrap/>
            <w:vAlign w:val="top"/>
          </w:tcPr>
          <w:p w:rsidR="004D68D6" w:rsidRPr="00022011" w:rsidRDefault="00022011" w:rsidP="00022011">
            <w:pPr>
              <w:cnfStyle w:val="000000010000" w:firstRow="0" w:lastRow="0" w:firstColumn="0" w:lastColumn="0" w:oddVBand="0" w:evenVBand="0" w:oddHBand="0" w:evenHBand="1" w:firstRowFirstColumn="0" w:firstRowLastColumn="0" w:lastRowFirstColumn="0" w:lastRowLastColumn="0"/>
            </w:pPr>
            <w:r>
              <w:t>9.48</w:t>
            </w:r>
            <w:r w:rsidR="004D68D6" w:rsidRPr="00022011">
              <w:t>%</w:t>
            </w:r>
          </w:p>
        </w:tc>
        <w:tc>
          <w:tcPr>
            <w:tcW w:w="945" w:type="dxa"/>
            <w:noWrap/>
            <w:vAlign w:val="top"/>
          </w:tcPr>
          <w:p w:rsidR="004D68D6" w:rsidRPr="00022011" w:rsidRDefault="004D68D6" w:rsidP="00022011">
            <w:pPr>
              <w:cnfStyle w:val="000000010000" w:firstRow="0" w:lastRow="0" w:firstColumn="0" w:lastColumn="0" w:oddVBand="0" w:evenVBand="0" w:oddHBand="0" w:evenHBand="1" w:firstRowFirstColumn="0" w:firstRowLastColumn="0" w:lastRowFirstColumn="0" w:lastRowLastColumn="0"/>
            </w:pPr>
            <w:r w:rsidRPr="00022011">
              <w:t>–3</w:t>
            </w:r>
            <w:r w:rsidR="00022011">
              <w:t>.50</w:t>
            </w:r>
            <w:r w:rsidRPr="00022011">
              <w:t>%</w:t>
            </w:r>
          </w:p>
        </w:tc>
        <w:tc>
          <w:tcPr>
            <w:tcW w:w="945" w:type="dxa"/>
            <w:vAlign w:val="top"/>
          </w:tcPr>
          <w:p w:rsidR="004D68D6" w:rsidRPr="00022011" w:rsidRDefault="00022011" w:rsidP="00022011">
            <w:pPr>
              <w:cnfStyle w:val="000000010000" w:firstRow="0" w:lastRow="0" w:firstColumn="0" w:lastColumn="0" w:oddVBand="0" w:evenVBand="0" w:oddHBand="0" w:evenHBand="1" w:firstRowFirstColumn="0" w:firstRowLastColumn="0" w:lastRowFirstColumn="0" w:lastRowLastColumn="0"/>
            </w:pPr>
            <w:r>
              <w:t>–</w:t>
            </w:r>
            <w:r w:rsidR="004D68D6" w:rsidRPr="00022011">
              <w:t>0.</w:t>
            </w:r>
            <w:r>
              <w:t>1</w:t>
            </w:r>
            <w:r w:rsidR="004D68D6" w:rsidRPr="00022011">
              <w:t>2%</w:t>
            </w:r>
          </w:p>
        </w:tc>
        <w:tc>
          <w:tcPr>
            <w:tcW w:w="945" w:type="dxa"/>
            <w:vAlign w:val="top"/>
          </w:tcPr>
          <w:p w:rsidR="004D68D6" w:rsidRPr="00022011" w:rsidRDefault="004D68D6" w:rsidP="00022011">
            <w:pPr>
              <w:cnfStyle w:val="000000010000" w:firstRow="0" w:lastRow="0" w:firstColumn="0" w:lastColumn="0" w:oddVBand="0" w:evenVBand="0" w:oddHBand="0" w:evenHBand="1" w:firstRowFirstColumn="0" w:firstRowLastColumn="0" w:lastRowFirstColumn="0" w:lastRowLastColumn="0"/>
            </w:pPr>
            <w:r w:rsidRPr="00022011">
              <w:t>–0.</w:t>
            </w:r>
            <w:r w:rsidR="00022011">
              <w:t>1</w:t>
            </w:r>
            <w:r w:rsidRPr="00022011">
              <w:t>2%</w:t>
            </w:r>
          </w:p>
        </w:tc>
        <w:tc>
          <w:tcPr>
            <w:tcW w:w="945" w:type="dxa"/>
            <w:vAlign w:val="top"/>
          </w:tcPr>
          <w:p w:rsidR="004D68D6" w:rsidRPr="00022011" w:rsidRDefault="004D68D6" w:rsidP="00B431B6">
            <w:pPr>
              <w:cnfStyle w:val="000000010000" w:firstRow="0" w:lastRow="0" w:firstColumn="0" w:lastColumn="0" w:oddVBand="0" w:evenVBand="0" w:oddHBand="0" w:evenHBand="1" w:firstRowFirstColumn="0" w:firstRowLastColumn="0" w:lastRowFirstColumn="0" w:lastRowLastColumn="0"/>
            </w:pPr>
            <w:r w:rsidRPr="00022011">
              <w:t>–0.</w:t>
            </w:r>
            <w:r w:rsidR="00022011">
              <w:t>1</w:t>
            </w:r>
            <w:r w:rsidR="00B431B6">
              <w:t>2%</w:t>
            </w:r>
          </w:p>
        </w:tc>
        <w:tc>
          <w:tcPr>
            <w:tcW w:w="945" w:type="dxa"/>
            <w:vAlign w:val="top"/>
          </w:tcPr>
          <w:p w:rsidR="004D68D6" w:rsidRPr="00022011" w:rsidRDefault="004D68D6" w:rsidP="00022011">
            <w:pPr>
              <w:cnfStyle w:val="000000010000" w:firstRow="0" w:lastRow="0" w:firstColumn="0" w:lastColumn="0" w:oddVBand="0" w:evenVBand="0" w:oddHBand="0" w:evenHBand="1" w:firstRowFirstColumn="0" w:firstRowLastColumn="0" w:lastRowFirstColumn="0" w:lastRowLastColumn="0"/>
            </w:pPr>
            <w:r w:rsidRPr="00022011">
              <w:t>n/a</w:t>
            </w:r>
          </w:p>
        </w:tc>
      </w:tr>
    </w:tbl>
    <w:p w:rsidR="004D68D6" w:rsidRDefault="004D68D6" w:rsidP="004D68D6">
      <w:pPr>
        <w:pStyle w:val="AERtablesource"/>
      </w:pPr>
      <w:r>
        <w:t>Source:</w:t>
      </w:r>
      <w:r>
        <w:tab/>
      </w:r>
      <w:r w:rsidRPr="00B23683">
        <w:t xml:space="preserve">Ausgrid, </w:t>
      </w:r>
      <w:r w:rsidRPr="00B23683">
        <w:rPr>
          <w:rStyle w:val="AERtextitalic"/>
        </w:rPr>
        <w:t>R</w:t>
      </w:r>
      <w:r w:rsidR="00022011">
        <w:rPr>
          <w:rStyle w:val="AERtextitalic"/>
        </w:rPr>
        <w:t>evised r</w:t>
      </w:r>
      <w:r w:rsidRPr="00B23683">
        <w:rPr>
          <w:rStyle w:val="AERtextitalic"/>
        </w:rPr>
        <w:t>egulatory proposal</w:t>
      </w:r>
      <w:r w:rsidRPr="00B23683">
        <w:t>, J</w:t>
      </w:r>
      <w:r w:rsidR="00022011">
        <w:t>anuary 2015</w:t>
      </w:r>
      <w:r w:rsidRPr="00B23683">
        <w:t>. Attachment 4.0</w:t>
      </w:r>
      <w:r w:rsidR="00022011">
        <w:t>8</w:t>
      </w:r>
      <w:r w:rsidRPr="00B23683">
        <w:t>.</w:t>
      </w:r>
    </w:p>
    <w:p w:rsidR="00E55B78" w:rsidRPr="00E55B78" w:rsidRDefault="00E55B78" w:rsidP="00E55B78">
      <w:pPr>
        <w:pStyle w:val="AERtablesource"/>
      </w:pPr>
      <w:r>
        <w:t>(a)</w:t>
      </w:r>
      <w:r>
        <w:tab/>
      </w:r>
      <w:proofErr w:type="spellStart"/>
      <w:r>
        <w:t>Ausgrid's</w:t>
      </w:r>
      <w:proofErr w:type="spellEnd"/>
      <w:r>
        <w:t xml:space="preserve"> revised proposal </w:t>
      </w:r>
      <w:proofErr w:type="spellStart"/>
      <w:r>
        <w:t>opex</w:t>
      </w:r>
      <w:proofErr w:type="spellEnd"/>
      <w:r>
        <w:t xml:space="preserve"> included DMIA and D</w:t>
      </w:r>
      <w:r w:rsidR="009F5863">
        <w:t>-</w:t>
      </w:r>
      <w:r>
        <w:t xml:space="preserve">factor amounts. </w:t>
      </w:r>
    </w:p>
    <w:p w:rsidR="004D68D6" w:rsidRDefault="004D68D6" w:rsidP="004D68D6">
      <w:pPr>
        <w:pStyle w:val="Caption"/>
      </w:pPr>
      <w:bookmarkStart w:id="21" w:name="_Ref401571505"/>
      <w:r>
        <w:t xml:space="preserve">Table </w:t>
      </w:r>
      <w:fldSimple w:instr=" STYLEREF 1 \s ">
        <w:r w:rsidR="00A11853">
          <w:rPr>
            <w:noProof/>
          </w:rPr>
          <w:t>1</w:t>
        </w:r>
      </w:fldSimple>
      <w:r w:rsidR="00A32071">
        <w:t>.</w:t>
      </w:r>
      <w:fldSimple w:instr=" SEQ Table \* ARABIC \s 1 ">
        <w:r w:rsidR="00A11853">
          <w:rPr>
            <w:noProof/>
          </w:rPr>
          <w:t>4</w:t>
        </w:r>
      </w:fldSimple>
      <w:bookmarkEnd w:id="21"/>
      <w:r>
        <w:tab/>
        <w:t xml:space="preserve">Ausgrid's </w:t>
      </w:r>
      <w:r w:rsidR="00022011">
        <w:t xml:space="preserve">revised </w:t>
      </w:r>
      <w:r>
        <w:t xml:space="preserve">proposed revenues for the 2014–19 period – transmission ($million, nominal) </w:t>
      </w:r>
    </w:p>
    <w:tbl>
      <w:tblPr>
        <w:tblStyle w:val="AERtable-numbers"/>
        <w:tblW w:w="8755" w:type="dxa"/>
        <w:tblLayout w:type="fixed"/>
        <w:tblLook w:val="04A0" w:firstRow="1" w:lastRow="0" w:firstColumn="1" w:lastColumn="0" w:noHBand="0" w:noVBand="1"/>
      </w:tblPr>
      <w:tblGrid>
        <w:gridCol w:w="3085"/>
        <w:gridCol w:w="945"/>
        <w:gridCol w:w="945"/>
        <w:gridCol w:w="945"/>
        <w:gridCol w:w="945"/>
        <w:gridCol w:w="945"/>
        <w:gridCol w:w="945"/>
      </w:tblGrid>
      <w:tr w:rsidR="00022011" w:rsidRPr="00022011" w:rsidTr="0006069F">
        <w:trPr>
          <w:cnfStyle w:val="100000000000" w:firstRow="1" w:lastRow="0" w:firstColumn="0" w:lastColumn="0" w:oddVBand="0" w:evenVBand="0" w:oddHBand="0"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085" w:type="dxa"/>
            <w:noWrap/>
            <w:hideMark/>
          </w:tcPr>
          <w:p w:rsidR="004D68D6" w:rsidRPr="00022011" w:rsidRDefault="004D68D6" w:rsidP="00022011">
            <w:r w:rsidRPr="00022011">
              <w:t> </w:t>
            </w:r>
          </w:p>
        </w:tc>
        <w:tc>
          <w:tcPr>
            <w:tcW w:w="945" w:type="dxa"/>
            <w:noWrap/>
            <w:hideMark/>
          </w:tcPr>
          <w:p w:rsidR="004D68D6" w:rsidRPr="00022011" w:rsidRDefault="004D68D6" w:rsidP="00022011">
            <w:pPr>
              <w:cnfStyle w:val="100000000000" w:firstRow="1" w:lastRow="0" w:firstColumn="0" w:lastColumn="0" w:oddVBand="0" w:evenVBand="0" w:oddHBand="0" w:evenHBand="0" w:firstRowFirstColumn="0" w:firstRowLastColumn="0" w:lastRowFirstColumn="0" w:lastRowLastColumn="0"/>
            </w:pPr>
            <w:r w:rsidRPr="00022011">
              <w:t>2014–15</w:t>
            </w:r>
          </w:p>
        </w:tc>
        <w:tc>
          <w:tcPr>
            <w:tcW w:w="945" w:type="dxa"/>
            <w:noWrap/>
            <w:hideMark/>
          </w:tcPr>
          <w:p w:rsidR="004D68D6" w:rsidRPr="00022011" w:rsidRDefault="004D68D6" w:rsidP="00022011">
            <w:pPr>
              <w:cnfStyle w:val="100000000000" w:firstRow="1" w:lastRow="0" w:firstColumn="0" w:lastColumn="0" w:oddVBand="0" w:evenVBand="0" w:oddHBand="0" w:evenHBand="0" w:firstRowFirstColumn="0" w:firstRowLastColumn="0" w:lastRowFirstColumn="0" w:lastRowLastColumn="0"/>
            </w:pPr>
            <w:r w:rsidRPr="00022011">
              <w:t>2015–16</w:t>
            </w:r>
          </w:p>
        </w:tc>
        <w:tc>
          <w:tcPr>
            <w:tcW w:w="945" w:type="dxa"/>
          </w:tcPr>
          <w:p w:rsidR="004D68D6" w:rsidRPr="00022011" w:rsidRDefault="004D68D6" w:rsidP="00022011">
            <w:pPr>
              <w:cnfStyle w:val="100000000000" w:firstRow="1" w:lastRow="0" w:firstColumn="0" w:lastColumn="0" w:oddVBand="0" w:evenVBand="0" w:oddHBand="0" w:evenHBand="0" w:firstRowFirstColumn="0" w:firstRowLastColumn="0" w:lastRowFirstColumn="0" w:lastRowLastColumn="0"/>
            </w:pPr>
            <w:r w:rsidRPr="00022011">
              <w:t>2016–17</w:t>
            </w:r>
          </w:p>
        </w:tc>
        <w:tc>
          <w:tcPr>
            <w:tcW w:w="945" w:type="dxa"/>
          </w:tcPr>
          <w:p w:rsidR="004D68D6" w:rsidRPr="00022011" w:rsidRDefault="004D68D6" w:rsidP="00022011">
            <w:pPr>
              <w:cnfStyle w:val="100000000000" w:firstRow="1" w:lastRow="0" w:firstColumn="0" w:lastColumn="0" w:oddVBand="0" w:evenVBand="0" w:oddHBand="0" w:evenHBand="0" w:firstRowFirstColumn="0" w:firstRowLastColumn="0" w:lastRowFirstColumn="0" w:lastRowLastColumn="0"/>
            </w:pPr>
            <w:r w:rsidRPr="00022011">
              <w:t>2017–18</w:t>
            </w:r>
          </w:p>
        </w:tc>
        <w:tc>
          <w:tcPr>
            <w:tcW w:w="945" w:type="dxa"/>
          </w:tcPr>
          <w:p w:rsidR="004D68D6" w:rsidRPr="00022011" w:rsidRDefault="004D68D6" w:rsidP="00022011">
            <w:pPr>
              <w:cnfStyle w:val="100000000000" w:firstRow="1" w:lastRow="0" w:firstColumn="0" w:lastColumn="0" w:oddVBand="0" w:evenVBand="0" w:oddHBand="0" w:evenHBand="0" w:firstRowFirstColumn="0" w:firstRowLastColumn="0" w:lastRowFirstColumn="0" w:lastRowLastColumn="0"/>
            </w:pPr>
            <w:r w:rsidRPr="00022011">
              <w:t>2018–19</w:t>
            </w:r>
          </w:p>
        </w:tc>
        <w:tc>
          <w:tcPr>
            <w:tcW w:w="945" w:type="dxa"/>
          </w:tcPr>
          <w:p w:rsidR="004D68D6" w:rsidRPr="00022011" w:rsidRDefault="004D68D6" w:rsidP="00022011">
            <w:pPr>
              <w:cnfStyle w:val="100000000000" w:firstRow="1" w:lastRow="0" w:firstColumn="0" w:lastColumn="0" w:oddVBand="0" w:evenVBand="0" w:oddHBand="0" w:evenHBand="0" w:firstRowFirstColumn="0" w:firstRowLastColumn="0" w:lastRowFirstColumn="0" w:lastRowLastColumn="0"/>
            </w:pPr>
            <w:r w:rsidRPr="00022011">
              <w:t>Total</w:t>
            </w:r>
          </w:p>
        </w:tc>
      </w:tr>
      <w:tr w:rsidR="004D68D6" w:rsidRPr="00022011" w:rsidTr="0006069F">
        <w:trPr>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hideMark/>
          </w:tcPr>
          <w:p w:rsidR="004D68D6" w:rsidRPr="00022011" w:rsidRDefault="004D68D6" w:rsidP="00022011">
            <w:r w:rsidRPr="00022011">
              <w:t>Return on capital</w:t>
            </w:r>
          </w:p>
        </w:tc>
        <w:tc>
          <w:tcPr>
            <w:tcW w:w="945" w:type="dxa"/>
            <w:noWrap/>
            <w:vAlign w:val="top"/>
          </w:tcPr>
          <w:p w:rsidR="004D68D6" w:rsidRPr="00022011" w:rsidRDefault="004D68D6" w:rsidP="005C1A7C">
            <w:pPr>
              <w:cnfStyle w:val="000000000000" w:firstRow="0" w:lastRow="0" w:firstColumn="0" w:lastColumn="0" w:oddVBand="0" w:evenVBand="0" w:oddHBand="0" w:evenHBand="0" w:firstRowFirstColumn="0" w:firstRowLastColumn="0" w:lastRowFirstColumn="0" w:lastRowLastColumn="0"/>
            </w:pPr>
            <w:r w:rsidRPr="00022011">
              <w:t>18</w:t>
            </w:r>
            <w:r w:rsidR="005C1A7C">
              <w:t>0</w:t>
            </w:r>
            <w:r w:rsidRPr="00022011">
              <w:t>.</w:t>
            </w:r>
            <w:r w:rsidR="005C1A7C">
              <w:t>1</w:t>
            </w:r>
          </w:p>
        </w:tc>
        <w:tc>
          <w:tcPr>
            <w:tcW w:w="945" w:type="dxa"/>
            <w:noWrap/>
            <w:vAlign w:val="top"/>
          </w:tcPr>
          <w:p w:rsidR="004D68D6" w:rsidRPr="00022011" w:rsidRDefault="005C1A7C" w:rsidP="005C1A7C">
            <w:pPr>
              <w:cnfStyle w:val="000000000000" w:firstRow="0" w:lastRow="0" w:firstColumn="0" w:lastColumn="0" w:oddVBand="0" w:evenVBand="0" w:oddHBand="0" w:evenHBand="0" w:firstRowFirstColumn="0" w:firstRowLastColumn="0" w:lastRowFirstColumn="0" w:lastRowLastColumn="0"/>
            </w:pPr>
            <w:r>
              <w:t>182.7</w:t>
            </w:r>
          </w:p>
        </w:tc>
        <w:tc>
          <w:tcPr>
            <w:tcW w:w="945" w:type="dxa"/>
            <w:vAlign w:val="top"/>
          </w:tcPr>
          <w:p w:rsidR="004D68D6" w:rsidRPr="00022011" w:rsidRDefault="005C1A7C" w:rsidP="00022011">
            <w:pPr>
              <w:cnfStyle w:val="000000000000" w:firstRow="0" w:lastRow="0" w:firstColumn="0" w:lastColumn="0" w:oddVBand="0" w:evenVBand="0" w:oddHBand="0" w:evenHBand="0" w:firstRowFirstColumn="0" w:firstRowLastColumn="0" w:lastRowFirstColumn="0" w:lastRowLastColumn="0"/>
            </w:pPr>
            <w:r>
              <w:t>188.4</w:t>
            </w:r>
          </w:p>
        </w:tc>
        <w:tc>
          <w:tcPr>
            <w:tcW w:w="945" w:type="dxa"/>
            <w:vAlign w:val="top"/>
          </w:tcPr>
          <w:p w:rsidR="004D68D6" w:rsidRPr="00022011" w:rsidRDefault="005C1A7C" w:rsidP="00022011">
            <w:pPr>
              <w:cnfStyle w:val="000000000000" w:firstRow="0" w:lastRow="0" w:firstColumn="0" w:lastColumn="0" w:oddVBand="0" w:evenVBand="0" w:oddHBand="0" w:evenHBand="0" w:firstRowFirstColumn="0" w:firstRowLastColumn="0" w:lastRowFirstColumn="0" w:lastRowLastColumn="0"/>
            </w:pPr>
            <w:r>
              <w:t>200.5</w:t>
            </w:r>
          </w:p>
        </w:tc>
        <w:tc>
          <w:tcPr>
            <w:tcW w:w="945" w:type="dxa"/>
            <w:vAlign w:val="top"/>
          </w:tcPr>
          <w:p w:rsidR="004D68D6" w:rsidRPr="00022011" w:rsidRDefault="005C1A7C" w:rsidP="00022011">
            <w:pPr>
              <w:cnfStyle w:val="000000000000" w:firstRow="0" w:lastRow="0" w:firstColumn="0" w:lastColumn="0" w:oddVBand="0" w:evenVBand="0" w:oddHBand="0" w:evenHBand="0" w:firstRowFirstColumn="0" w:firstRowLastColumn="0" w:lastRowFirstColumn="0" w:lastRowLastColumn="0"/>
            </w:pPr>
            <w:r>
              <w:t>205.3</w:t>
            </w:r>
          </w:p>
        </w:tc>
        <w:tc>
          <w:tcPr>
            <w:tcW w:w="945" w:type="dxa"/>
            <w:vAlign w:val="top"/>
          </w:tcPr>
          <w:p w:rsidR="004D68D6" w:rsidRPr="00022011" w:rsidRDefault="005C1A7C" w:rsidP="00022011">
            <w:pPr>
              <w:cnfStyle w:val="000000000000" w:firstRow="0" w:lastRow="0" w:firstColumn="0" w:lastColumn="0" w:oddVBand="0" w:evenVBand="0" w:oddHBand="0" w:evenHBand="0" w:firstRowFirstColumn="0" w:firstRowLastColumn="0" w:lastRowFirstColumn="0" w:lastRowLastColumn="0"/>
            </w:pPr>
            <w:r>
              <w:t>957.1</w:t>
            </w:r>
          </w:p>
        </w:tc>
      </w:tr>
      <w:tr w:rsidR="00022011" w:rsidRPr="00022011" w:rsidTr="0006069F">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tcPr>
          <w:p w:rsidR="004D68D6" w:rsidRPr="00022011" w:rsidRDefault="004D68D6" w:rsidP="00022011">
            <w:r w:rsidRPr="00022011">
              <w:t>Regulatory depreciation</w:t>
            </w:r>
          </w:p>
        </w:tc>
        <w:tc>
          <w:tcPr>
            <w:tcW w:w="945" w:type="dxa"/>
            <w:noWrap/>
            <w:vAlign w:val="top"/>
          </w:tcPr>
          <w:p w:rsidR="004D68D6" w:rsidRPr="00022011" w:rsidRDefault="005C1A7C" w:rsidP="00022011">
            <w:pPr>
              <w:cnfStyle w:val="000000010000" w:firstRow="0" w:lastRow="0" w:firstColumn="0" w:lastColumn="0" w:oddVBand="0" w:evenVBand="0" w:oddHBand="0" w:evenHBand="1" w:firstRowFirstColumn="0" w:firstRowLastColumn="0" w:lastRowFirstColumn="0" w:lastRowLastColumn="0"/>
            </w:pPr>
            <w:r>
              <w:t>12.2</w:t>
            </w:r>
          </w:p>
        </w:tc>
        <w:tc>
          <w:tcPr>
            <w:tcW w:w="945" w:type="dxa"/>
            <w:noWrap/>
            <w:vAlign w:val="top"/>
          </w:tcPr>
          <w:p w:rsidR="004D68D6" w:rsidRPr="00022011" w:rsidRDefault="005C1A7C" w:rsidP="00022011">
            <w:pPr>
              <w:cnfStyle w:val="000000010000" w:firstRow="0" w:lastRow="0" w:firstColumn="0" w:lastColumn="0" w:oddVBand="0" w:evenVBand="0" w:oddHBand="0" w:evenHBand="1" w:firstRowFirstColumn="0" w:firstRowLastColumn="0" w:lastRowFirstColumn="0" w:lastRowLastColumn="0"/>
            </w:pPr>
            <w:r>
              <w:t>16.1</w:t>
            </w:r>
          </w:p>
        </w:tc>
        <w:tc>
          <w:tcPr>
            <w:tcW w:w="945" w:type="dxa"/>
            <w:vAlign w:val="top"/>
          </w:tcPr>
          <w:p w:rsidR="004D68D6" w:rsidRPr="00022011" w:rsidRDefault="005C1A7C" w:rsidP="00022011">
            <w:pPr>
              <w:cnfStyle w:val="000000010000" w:firstRow="0" w:lastRow="0" w:firstColumn="0" w:lastColumn="0" w:oddVBand="0" w:evenVBand="0" w:oddHBand="0" w:evenHBand="1" w:firstRowFirstColumn="0" w:firstRowLastColumn="0" w:lastRowFirstColumn="0" w:lastRowLastColumn="0"/>
            </w:pPr>
            <w:r>
              <w:t>20.9</w:t>
            </w:r>
          </w:p>
        </w:tc>
        <w:tc>
          <w:tcPr>
            <w:tcW w:w="945" w:type="dxa"/>
            <w:vAlign w:val="top"/>
          </w:tcPr>
          <w:p w:rsidR="004D68D6" w:rsidRPr="00022011" w:rsidRDefault="005C1A7C" w:rsidP="00022011">
            <w:pPr>
              <w:cnfStyle w:val="000000010000" w:firstRow="0" w:lastRow="0" w:firstColumn="0" w:lastColumn="0" w:oddVBand="0" w:evenVBand="0" w:oddHBand="0" w:evenHBand="1" w:firstRowFirstColumn="0" w:firstRowLastColumn="0" w:lastRowFirstColumn="0" w:lastRowLastColumn="0"/>
            </w:pPr>
            <w:r>
              <w:t>18.6</w:t>
            </w:r>
          </w:p>
        </w:tc>
        <w:tc>
          <w:tcPr>
            <w:tcW w:w="945" w:type="dxa"/>
            <w:vAlign w:val="top"/>
          </w:tcPr>
          <w:p w:rsidR="004D68D6" w:rsidRPr="00022011" w:rsidRDefault="005C1A7C" w:rsidP="00022011">
            <w:pPr>
              <w:cnfStyle w:val="000000010000" w:firstRow="0" w:lastRow="0" w:firstColumn="0" w:lastColumn="0" w:oddVBand="0" w:evenVBand="0" w:oddHBand="0" w:evenHBand="1" w:firstRowFirstColumn="0" w:firstRowLastColumn="0" w:lastRowFirstColumn="0" w:lastRowLastColumn="0"/>
            </w:pPr>
            <w:r>
              <w:t>18.6</w:t>
            </w:r>
          </w:p>
        </w:tc>
        <w:tc>
          <w:tcPr>
            <w:tcW w:w="945" w:type="dxa"/>
            <w:vAlign w:val="top"/>
          </w:tcPr>
          <w:p w:rsidR="004D68D6" w:rsidRPr="00022011" w:rsidRDefault="005C1A7C" w:rsidP="00022011">
            <w:pPr>
              <w:cnfStyle w:val="000000010000" w:firstRow="0" w:lastRow="0" w:firstColumn="0" w:lastColumn="0" w:oddVBand="0" w:evenVBand="0" w:oddHBand="0" w:evenHBand="1" w:firstRowFirstColumn="0" w:firstRowLastColumn="0" w:lastRowFirstColumn="0" w:lastRowLastColumn="0"/>
            </w:pPr>
            <w:r>
              <w:t>86.4</w:t>
            </w:r>
          </w:p>
        </w:tc>
      </w:tr>
      <w:tr w:rsidR="004D68D6" w:rsidRPr="00022011" w:rsidTr="0006069F">
        <w:trPr>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tcPr>
          <w:p w:rsidR="004D68D6" w:rsidRPr="00022011" w:rsidRDefault="004D68D6" w:rsidP="00022011">
            <w:r w:rsidRPr="00022011">
              <w:t>Operating expenditure</w:t>
            </w:r>
          </w:p>
        </w:tc>
        <w:tc>
          <w:tcPr>
            <w:tcW w:w="945" w:type="dxa"/>
            <w:noWrap/>
            <w:vAlign w:val="top"/>
          </w:tcPr>
          <w:p w:rsidR="004D68D6" w:rsidRPr="00022011" w:rsidRDefault="005C1A7C" w:rsidP="00022011">
            <w:pPr>
              <w:cnfStyle w:val="000000000000" w:firstRow="0" w:lastRow="0" w:firstColumn="0" w:lastColumn="0" w:oddVBand="0" w:evenVBand="0" w:oddHBand="0" w:evenHBand="0" w:firstRowFirstColumn="0" w:firstRowLastColumn="0" w:lastRowFirstColumn="0" w:lastRowLastColumn="0"/>
            </w:pPr>
            <w:r>
              <w:t>40.3</w:t>
            </w:r>
          </w:p>
        </w:tc>
        <w:tc>
          <w:tcPr>
            <w:tcW w:w="945" w:type="dxa"/>
            <w:noWrap/>
            <w:vAlign w:val="top"/>
          </w:tcPr>
          <w:p w:rsidR="004D68D6" w:rsidRPr="00022011" w:rsidRDefault="005C1A7C" w:rsidP="00022011">
            <w:pPr>
              <w:cnfStyle w:val="000000000000" w:firstRow="0" w:lastRow="0" w:firstColumn="0" w:lastColumn="0" w:oddVBand="0" w:evenVBand="0" w:oddHBand="0" w:evenHBand="0" w:firstRowFirstColumn="0" w:firstRowLastColumn="0" w:lastRowFirstColumn="0" w:lastRowLastColumn="0"/>
            </w:pPr>
            <w:r>
              <w:t>43.3</w:t>
            </w:r>
          </w:p>
        </w:tc>
        <w:tc>
          <w:tcPr>
            <w:tcW w:w="945" w:type="dxa"/>
            <w:vAlign w:val="top"/>
          </w:tcPr>
          <w:p w:rsidR="004D68D6" w:rsidRPr="00022011" w:rsidRDefault="005C1A7C" w:rsidP="00022011">
            <w:pPr>
              <w:cnfStyle w:val="000000000000" w:firstRow="0" w:lastRow="0" w:firstColumn="0" w:lastColumn="0" w:oddVBand="0" w:evenVBand="0" w:oddHBand="0" w:evenHBand="0" w:firstRowFirstColumn="0" w:firstRowLastColumn="0" w:lastRowFirstColumn="0" w:lastRowLastColumn="0"/>
            </w:pPr>
            <w:r>
              <w:t>43.3</w:t>
            </w:r>
          </w:p>
        </w:tc>
        <w:tc>
          <w:tcPr>
            <w:tcW w:w="945" w:type="dxa"/>
            <w:vAlign w:val="top"/>
          </w:tcPr>
          <w:p w:rsidR="004D68D6" w:rsidRPr="00022011" w:rsidRDefault="005C1A7C" w:rsidP="00022011">
            <w:pPr>
              <w:cnfStyle w:val="000000000000" w:firstRow="0" w:lastRow="0" w:firstColumn="0" w:lastColumn="0" w:oddVBand="0" w:evenVBand="0" w:oddHBand="0" w:evenHBand="0" w:firstRowFirstColumn="0" w:firstRowLastColumn="0" w:lastRowFirstColumn="0" w:lastRowLastColumn="0"/>
            </w:pPr>
            <w:r>
              <w:t>43.1</w:t>
            </w:r>
          </w:p>
        </w:tc>
        <w:tc>
          <w:tcPr>
            <w:tcW w:w="945" w:type="dxa"/>
            <w:vAlign w:val="top"/>
          </w:tcPr>
          <w:p w:rsidR="004D68D6" w:rsidRPr="00022011" w:rsidRDefault="005C1A7C" w:rsidP="00022011">
            <w:pPr>
              <w:cnfStyle w:val="000000000000" w:firstRow="0" w:lastRow="0" w:firstColumn="0" w:lastColumn="0" w:oddVBand="0" w:evenVBand="0" w:oddHBand="0" w:evenHBand="0" w:firstRowFirstColumn="0" w:firstRowLastColumn="0" w:lastRowFirstColumn="0" w:lastRowLastColumn="0"/>
            </w:pPr>
            <w:r>
              <w:t>44.0</w:t>
            </w:r>
          </w:p>
        </w:tc>
        <w:tc>
          <w:tcPr>
            <w:tcW w:w="945" w:type="dxa"/>
            <w:vAlign w:val="top"/>
          </w:tcPr>
          <w:p w:rsidR="004D68D6" w:rsidRPr="00022011" w:rsidRDefault="005C1A7C" w:rsidP="00022011">
            <w:pPr>
              <w:cnfStyle w:val="000000000000" w:firstRow="0" w:lastRow="0" w:firstColumn="0" w:lastColumn="0" w:oddVBand="0" w:evenVBand="0" w:oddHBand="0" w:evenHBand="0" w:firstRowFirstColumn="0" w:firstRowLastColumn="0" w:lastRowFirstColumn="0" w:lastRowLastColumn="0"/>
            </w:pPr>
            <w:r>
              <w:t>214.1</w:t>
            </w:r>
          </w:p>
        </w:tc>
      </w:tr>
      <w:tr w:rsidR="00022011" w:rsidRPr="00022011" w:rsidTr="0006069F">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tcPr>
          <w:p w:rsidR="004D68D6" w:rsidRPr="00022011" w:rsidRDefault="004D68D6" w:rsidP="00022011">
            <w:r w:rsidRPr="00022011">
              <w:t>Efficiency benefit sharing scheme (carryover amounts)</w:t>
            </w:r>
          </w:p>
        </w:tc>
        <w:tc>
          <w:tcPr>
            <w:tcW w:w="945" w:type="dxa"/>
            <w:noWrap/>
            <w:vAlign w:val="top"/>
          </w:tcPr>
          <w:p w:rsidR="004D68D6" w:rsidRPr="00022011" w:rsidRDefault="005C1A7C" w:rsidP="00022011">
            <w:pPr>
              <w:cnfStyle w:val="000000010000" w:firstRow="0" w:lastRow="0" w:firstColumn="0" w:lastColumn="0" w:oddVBand="0" w:evenVBand="0" w:oddHBand="0" w:evenHBand="1" w:firstRowFirstColumn="0" w:firstRowLastColumn="0" w:lastRowFirstColumn="0" w:lastRowLastColumn="0"/>
            </w:pPr>
            <w:r>
              <w:t>6.9</w:t>
            </w:r>
          </w:p>
        </w:tc>
        <w:tc>
          <w:tcPr>
            <w:tcW w:w="945" w:type="dxa"/>
            <w:noWrap/>
            <w:vAlign w:val="top"/>
          </w:tcPr>
          <w:p w:rsidR="004D68D6" w:rsidRPr="00022011" w:rsidRDefault="005C1A7C" w:rsidP="00022011">
            <w:pPr>
              <w:cnfStyle w:val="000000010000" w:firstRow="0" w:lastRow="0" w:firstColumn="0" w:lastColumn="0" w:oddVBand="0" w:evenVBand="0" w:oddHBand="0" w:evenHBand="1" w:firstRowFirstColumn="0" w:firstRowLastColumn="0" w:lastRowFirstColumn="0" w:lastRowLastColumn="0"/>
            </w:pPr>
            <w:r>
              <w:t>7.8</w:t>
            </w:r>
          </w:p>
        </w:tc>
        <w:tc>
          <w:tcPr>
            <w:tcW w:w="945" w:type="dxa"/>
            <w:vAlign w:val="top"/>
          </w:tcPr>
          <w:p w:rsidR="004D68D6" w:rsidRPr="00022011" w:rsidRDefault="005C1A7C" w:rsidP="00022011">
            <w:pPr>
              <w:cnfStyle w:val="000000010000" w:firstRow="0" w:lastRow="0" w:firstColumn="0" w:lastColumn="0" w:oddVBand="0" w:evenVBand="0" w:oddHBand="0" w:evenHBand="1" w:firstRowFirstColumn="0" w:firstRowLastColumn="0" w:lastRowFirstColumn="0" w:lastRowLastColumn="0"/>
            </w:pPr>
            <w:r>
              <w:t>6.1</w:t>
            </w:r>
          </w:p>
        </w:tc>
        <w:tc>
          <w:tcPr>
            <w:tcW w:w="945" w:type="dxa"/>
            <w:vAlign w:val="top"/>
          </w:tcPr>
          <w:p w:rsidR="004D68D6" w:rsidRPr="00022011" w:rsidRDefault="005C1A7C" w:rsidP="00022011">
            <w:pPr>
              <w:cnfStyle w:val="000000010000" w:firstRow="0" w:lastRow="0" w:firstColumn="0" w:lastColumn="0" w:oddVBand="0" w:evenVBand="0" w:oddHBand="0" w:evenHBand="1" w:firstRowFirstColumn="0" w:firstRowLastColumn="0" w:lastRowFirstColumn="0" w:lastRowLastColumn="0"/>
            </w:pPr>
            <w:r>
              <w:t>10.1</w:t>
            </w:r>
          </w:p>
        </w:tc>
        <w:tc>
          <w:tcPr>
            <w:tcW w:w="945" w:type="dxa"/>
            <w:vAlign w:val="top"/>
          </w:tcPr>
          <w:p w:rsidR="004D68D6" w:rsidRPr="00022011" w:rsidRDefault="0006069F" w:rsidP="0006069F">
            <w:pPr>
              <w:tabs>
                <w:tab w:val="center" w:pos="364"/>
                <w:tab w:val="right" w:pos="729"/>
              </w:tabs>
              <w:jc w:val="left"/>
              <w:cnfStyle w:val="000000010000" w:firstRow="0" w:lastRow="0" w:firstColumn="0" w:lastColumn="0" w:oddVBand="0" w:evenVBand="0" w:oddHBand="0" w:evenHBand="1" w:firstRowFirstColumn="0" w:firstRowLastColumn="0" w:lastRowFirstColumn="0" w:lastRowLastColumn="0"/>
            </w:pPr>
            <w:r>
              <w:tab/>
            </w:r>
            <w:r>
              <w:tab/>
              <w:t>0.</w:t>
            </w:r>
            <w:r w:rsidR="005C1A7C">
              <w:t>0</w:t>
            </w:r>
          </w:p>
        </w:tc>
        <w:tc>
          <w:tcPr>
            <w:tcW w:w="945" w:type="dxa"/>
            <w:vAlign w:val="top"/>
          </w:tcPr>
          <w:p w:rsidR="004D68D6" w:rsidRPr="00022011" w:rsidRDefault="005C1A7C" w:rsidP="00022011">
            <w:pPr>
              <w:cnfStyle w:val="000000010000" w:firstRow="0" w:lastRow="0" w:firstColumn="0" w:lastColumn="0" w:oddVBand="0" w:evenVBand="0" w:oddHBand="0" w:evenHBand="1" w:firstRowFirstColumn="0" w:firstRowLastColumn="0" w:lastRowFirstColumn="0" w:lastRowLastColumn="0"/>
            </w:pPr>
            <w:r>
              <w:t>30.9</w:t>
            </w:r>
          </w:p>
        </w:tc>
      </w:tr>
      <w:tr w:rsidR="004D68D6" w:rsidRPr="00022011" w:rsidTr="0006069F">
        <w:trPr>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tcPr>
          <w:p w:rsidR="004D68D6" w:rsidRPr="00022011" w:rsidRDefault="004D68D6" w:rsidP="00022011">
            <w:r w:rsidRPr="00022011">
              <w:t>Net tax allowance</w:t>
            </w:r>
          </w:p>
        </w:tc>
        <w:tc>
          <w:tcPr>
            <w:tcW w:w="945" w:type="dxa"/>
            <w:noWrap/>
            <w:vAlign w:val="top"/>
          </w:tcPr>
          <w:p w:rsidR="004D68D6" w:rsidRPr="00022011" w:rsidRDefault="005C1A7C" w:rsidP="00C070E6">
            <w:pPr>
              <w:cnfStyle w:val="000000000000" w:firstRow="0" w:lastRow="0" w:firstColumn="0" w:lastColumn="0" w:oddVBand="0" w:evenVBand="0" w:oddHBand="0" w:evenHBand="0" w:firstRowFirstColumn="0" w:firstRowLastColumn="0" w:lastRowFirstColumn="0" w:lastRowLastColumn="0"/>
            </w:pPr>
            <w:r>
              <w:t>15.</w:t>
            </w:r>
            <w:r w:rsidR="00C070E6">
              <w:t>1</w:t>
            </w:r>
          </w:p>
        </w:tc>
        <w:tc>
          <w:tcPr>
            <w:tcW w:w="945" w:type="dxa"/>
            <w:noWrap/>
            <w:vAlign w:val="top"/>
          </w:tcPr>
          <w:p w:rsidR="004D68D6" w:rsidRPr="00022011" w:rsidRDefault="005C1A7C" w:rsidP="00C070E6">
            <w:pPr>
              <w:cnfStyle w:val="000000000000" w:firstRow="0" w:lastRow="0" w:firstColumn="0" w:lastColumn="0" w:oddVBand="0" w:evenVBand="0" w:oddHBand="0" w:evenHBand="0" w:firstRowFirstColumn="0" w:firstRowLastColumn="0" w:lastRowFirstColumn="0" w:lastRowLastColumn="0"/>
            </w:pPr>
            <w:r>
              <w:t>15.</w:t>
            </w:r>
            <w:r w:rsidR="00C070E6">
              <w:t>9</w:t>
            </w:r>
          </w:p>
        </w:tc>
        <w:tc>
          <w:tcPr>
            <w:tcW w:w="945" w:type="dxa"/>
            <w:vAlign w:val="top"/>
          </w:tcPr>
          <w:p w:rsidR="004D68D6" w:rsidRPr="00022011" w:rsidRDefault="005C1A7C" w:rsidP="00022011">
            <w:pPr>
              <w:cnfStyle w:val="000000000000" w:firstRow="0" w:lastRow="0" w:firstColumn="0" w:lastColumn="0" w:oddVBand="0" w:evenVBand="0" w:oddHBand="0" w:evenHBand="0" w:firstRowFirstColumn="0" w:firstRowLastColumn="0" w:lastRowFirstColumn="0" w:lastRowLastColumn="0"/>
            </w:pPr>
            <w:r>
              <w:t>16.7</w:t>
            </w:r>
          </w:p>
        </w:tc>
        <w:tc>
          <w:tcPr>
            <w:tcW w:w="945" w:type="dxa"/>
            <w:vAlign w:val="top"/>
          </w:tcPr>
          <w:p w:rsidR="004D68D6" w:rsidRPr="00022011" w:rsidRDefault="005C1A7C" w:rsidP="00022011">
            <w:pPr>
              <w:cnfStyle w:val="000000000000" w:firstRow="0" w:lastRow="0" w:firstColumn="0" w:lastColumn="0" w:oddVBand="0" w:evenVBand="0" w:oddHBand="0" w:evenHBand="0" w:firstRowFirstColumn="0" w:firstRowLastColumn="0" w:lastRowFirstColumn="0" w:lastRowLastColumn="0"/>
            </w:pPr>
            <w:r>
              <w:t>18.2</w:t>
            </w:r>
          </w:p>
        </w:tc>
        <w:tc>
          <w:tcPr>
            <w:tcW w:w="945" w:type="dxa"/>
            <w:vAlign w:val="top"/>
          </w:tcPr>
          <w:p w:rsidR="004D68D6" w:rsidRPr="00022011" w:rsidRDefault="005C1A7C" w:rsidP="00022011">
            <w:pPr>
              <w:cnfStyle w:val="000000000000" w:firstRow="0" w:lastRow="0" w:firstColumn="0" w:lastColumn="0" w:oddVBand="0" w:evenVBand="0" w:oddHBand="0" w:evenHBand="0" w:firstRowFirstColumn="0" w:firstRowLastColumn="0" w:lastRowFirstColumn="0" w:lastRowLastColumn="0"/>
            </w:pPr>
            <w:r>
              <w:t>15.3</w:t>
            </w:r>
          </w:p>
        </w:tc>
        <w:tc>
          <w:tcPr>
            <w:tcW w:w="945" w:type="dxa"/>
            <w:vAlign w:val="top"/>
          </w:tcPr>
          <w:p w:rsidR="004D68D6" w:rsidRPr="00022011" w:rsidRDefault="005C1A7C" w:rsidP="00022011">
            <w:pPr>
              <w:cnfStyle w:val="000000000000" w:firstRow="0" w:lastRow="0" w:firstColumn="0" w:lastColumn="0" w:oddVBand="0" w:evenVBand="0" w:oddHBand="0" w:evenHBand="0" w:firstRowFirstColumn="0" w:firstRowLastColumn="0" w:lastRowFirstColumn="0" w:lastRowLastColumn="0"/>
            </w:pPr>
            <w:r>
              <w:t>81.1</w:t>
            </w:r>
          </w:p>
        </w:tc>
      </w:tr>
      <w:tr w:rsidR="00022011" w:rsidRPr="00022011" w:rsidTr="0006069F">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hideMark/>
          </w:tcPr>
          <w:p w:rsidR="004D68D6" w:rsidRPr="00022011" w:rsidRDefault="004D68D6" w:rsidP="00022011">
            <w:r w:rsidRPr="00022011">
              <w:t>Annual revenue requirement (unsmoothed)</w:t>
            </w:r>
          </w:p>
        </w:tc>
        <w:tc>
          <w:tcPr>
            <w:tcW w:w="945" w:type="dxa"/>
            <w:noWrap/>
            <w:vAlign w:val="top"/>
          </w:tcPr>
          <w:p w:rsidR="004D68D6" w:rsidRPr="00022011" w:rsidRDefault="005C1A7C" w:rsidP="00022011">
            <w:pPr>
              <w:cnfStyle w:val="000000010000" w:firstRow="0" w:lastRow="0" w:firstColumn="0" w:lastColumn="0" w:oddVBand="0" w:evenVBand="0" w:oddHBand="0" w:evenHBand="1" w:firstRowFirstColumn="0" w:firstRowLastColumn="0" w:lastRowFirstColumn="0" w:lastRowLastColumn="0"/>
            </w:pPr>
            <w:r>
              <w:t>254.6</w:t>
            </w:r>
          </w:p>
        </w:tc>
        <w:tc>
          <w:tcPr>
            <w:tcW w:w="945" w:type="dxa"/>
            <w:noWrap/>
            <w:vAlign w:val="top"/>
          </w:tcPr>
          <w:p w:rsidR="004D68D6" w:rsidRPr="00022011" w:rsidRDefault="005C1A7C" w:rsidP="00022011">
            <w:pPr>
              <w:cnfStyle w:val="000000010000" w:firstRow="0" w:lastRow="0" w:firstColumn="0" w:lastColumn="0" w:oddVBand="0" w:evenVBand="0" w:oddHBand="0" w:evenHBand="1" w:firstRowFirstColumn="0" w:firstRowLastColumn="0" w:lastRowFirstColumn="0" w:lastRowLastColumn="0"/>
            </w:pPr>
            <w:r>
              <w:t>265.8</w:t>
            </w:r>
          </w:p>
        </w:tc>
        <w:tc>
          <w:tcPr>
            <w:tcW w:w="945" w:type="dxa"/>
            <w:vAlign w:val="top"/>
          </w:tcPr>
          <w:p w:rsidR="004D68D6" w:rsidRPr="00022011" w:rsidRDefault="005C1A7C" w:rsidP="00022011">
            <w:pPr>
              <w:cnfStyle w:val="000000010000" w:firstRow="0" w:lastRow="0" w:firstColumn="0" w:lastColumn="0" w:oddVBand="0" w:evenVBand="0" w:oddHBand="0" w:evenHBand="1" w:firstRowFirstColumn="0" w:firstRowLastColumn="0" w:lastRowFirstColumn="0" w:lastRowLastColumn="0"/>
            </w:pPr>
            <w:r>
              <w:t>275.4</w:t>
            </w:r>
          </w:p>
        </w:tc>
        <w:tc>
          <w:tcPr>
            <w:tcW w:w="945" w:type="dxa"/>
            <w:vAlign w:val="top"/>
          </w:tcPr>
          <w:p w:rsidR="004D68D6" w:rsidRPr="00022011" w:rsidRDefault="005C1A7C" w:rsidP="00022011">
            <w:pPr>
              <w:cnfStyle w:val="000000010000" w:firstRow="0" w:lastRow="0" w:firstColumn="0" w:lastColumn="0" w:oddVBand="0" w:evenVBand="0" w:oddHBand="0" w:evenHBand="1" w:firstRowFirstColumn="0" w:firstRowLastColumn="0" w:lastRowFirstColumn="0" w:lastRowLastColumn="0"/>
            </w:pPr>
            <w:r>
              <w:t>290.5</w:t>
            </w:r>
          </w:p>
        </w:tc>
        <w:tc>
          <w:tcPr>
            <w:tcW w:w="945" w:type="dxa"/>
            <w:vAlign w:val="top"/>
          </w:tcPr>
          <w:p w:rsidR="004D68D6" w:rsidRPr="00022011" w:rsidRDefault="005C1A7C" w:rsidP="00022011">
            <w:pPr>
              <w:cnfStyle w:val="000000010000" w:firstRow="0" w:lastRow="0" w:firstColumn="0" w:lastColumn="0" w:oddVBand="0" w:evenVBand="0" w:oddHBand="0" w:evenHBand="1" w:firstRowFirstColumn="0" w:firstRowLastColumn="0" w:lastRowFirstColumn="0" w:lastRowLastColumn="0"/>
            </w:pPr>
            <w:r>
              <w:t>283.3</w:t>
            </w:r>
          </w:p>
        </w:tc>
        <w:tc>
          <w:tcPr>
            <w:tcW w:w="945" w:type="dxa"/>
            <w:vAlign w:val="top"/>
          </w:tcPr>
          <w:p w:rsidR="004D68D6" w:rsidRPr="00022011" w:rsidRDefault="005C1A7C" w:rsidP="0006069F">
            <w:pPr>
              <w:cnfStyle w:val="000000010000" w:firstRow="0" w:lastRow="0" w:firstColumn="0" w:lastColumn="0" w:oddVBand="0" w:evenVBand="0" w:oddHBand="0" w:evenHBand="1" w:firstRowFirstColumn="0" w:firstRowLastColumn="0" w:lastRowFirstColumn="0" w:lastRowLastColumn="0"/>
            </w:pPr>
            <w:r>
              <w:t>13</w:t>
            </w:r>
            <w:r w:rsidR="0006069F">
              <w:t>6</w:t>
            </w:r>
            <w:r>
              <w:t>9.6</w:t>
            </w:r>
          </w:p>
        </w:tc>
      </w:tr>
      <w:tr w:rsidR="004D68D6" w:rsidRPr="00D862BC" w:rsidTr="0006069F">
        <w:trPr>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hideMark/>
          </w:tcPr>
          <w:p w:rsidR="004D68D6" w:rsidRPr="0006069F" w:rsidRDefault="004D68D6" w:rsidP="00022011">
            <w:pPr>
              <w:rPr>
                <w:rStyle w:val="Strong"/>
              </w:rPr>
            </w:pPr>
            <w:r w:rsidRPr="0006069F">
              <w:rPr>
                <w:rStyle w:val="Strong"/>
              </w:rPr>
              <w:t>Annual expected revenue (smoothed)</w:t>
            </w:r>
          </w:p>
        </w:tc>
        <w:tc>
          <w:tcPr>
            <w:tcW w:w="945" w:type="dxa"/>
            <w:noWrap/>
            <w:vAlign w:val="top"/>
          </w:tcPr>
          <w:p w:rsidR="004D68D6" w:rsidRPr="0006069F" w:rsidRDefault="005C1A7C" w:rsidP="00022011">
            <w:pPr>
              <w:cnfStyle w:val="000000000000" w:firstRow="0" w:lastRow="0" w:firstColumn="0" w:lastColumn="0" w:oddVBand="0" w:evenVBand="0" w:oddHBand="0" w:evenHBand="0" w:firstRowFirstColumn="0" w:firstRowLastColumn="0" w:lastRowFirstColumn="0" w:lastRowLastColumn="0"/>
              <w:rPr>
                <w:rStyle w:val="Strong"/>
              </w:rPr>
            </w:pPr>
            <w:r w:rsidRPr="0006069F">
              <w:rPr>
                <w:rStyle w:val="Strong"/>
              </w:rPr>
              <w:t>252.3</w:t>
            </w:r>
          </w:p>
        </w:tc>
        <w:tc>
          <w:tcPr>
            <w:tcW w:w="945" w:type="dxa"/>
            <w:noWrap/>
            <w:vAlign w:val="top"/>
          </w:tcPr>
          <w:p w:rsidR="004D68D6" w:rsidRPr="0006069F" w:rsidRDefault="005C1A7C" w:rsidP="00022011">
            <w:pPr>
              <w:cnfStyle w:val="000000000000" w:firstRow="0" w:lastRow="0" w:firstColumn="0" w:lastColumn="0" w:oddVBand="0" w:evenVBand="0" w:oddHBand="0" w:evenHBand="0" w:firstRowFirstColumn="0" w:firstRowLastColumn="0" w:lastRowFirstColumn="0" w:lastRowLastColumn="0"/>
              <w:rPr>
                <w:rStyle w:val="Strong"/>
              </w:rPr>
            </w:pPr>
            <w:r w:rsidRPr="0006069F">
              <w:rPr>
                <w:rStyle w:val="Strong"/>
              </w:rPr>
              <w:t>262</w:t>
            </w:r>
            <w:r w:rsidR="00A82215">
              <w:rPr>
                <w:rStyle w:val="Strong"/>
              </w:rPr>
              <w:t>.</w:t>
            </w:r>
            <w:r w:rsidRPr="0006069F">
              <w:rPr>
                <w:rStyle w:val="Strong"/>
              </w:rPr>
              <w:t>9</w:t>
            </w:r>
          </w:p>
        </w:tc>
        <w:tc>
          <w:tcPr>
            <w:tcW w:w="945" w:type="dxa"/>
            <w:vAlign w:val="top"/>
          </w:tcPr>
          <w:p w:rsidR="004D68D6" w:rsidRPr="0006069F" w:rsidRDefault="005C1A7C" w:rsidP="00C070E6">
            <w:pPr>
              <w:cnfStyle w:val="000000000000" w:firstRow="0" w:lastRow="0" w:firstColumn="0" w:lastColumn="0" w:oddVBand="0" w:evenVBand="0" w:oddHBand="0" w:evenHBand="0" w:firstRowFirstColumn="0" w:firstRowLastColumn="0" w:lastRowFirstColumn="0" w:lastRowLastColumn="0"/>
              <w:rPr>
                <w:rStyle w:val="Strong"/>
              </w:rPr>
            </w:pPr>
            <w:r w:rsidRPr="0006069F">
              <w:rPr>
                <w:rStyle w:val="Strong"/>
              </w:rPr>
              <w:t>27</w:t>
            </w:r>
            <w:r w:rsidR="00C070E6">
              <w:rPr>
                <w:rStyle w:val="Strong"/>
              </w:rPr>
              <w:t>4.0</w:t>
            </w:r>
          </w:p>
        </w:tc>
        <w:tc>
          <w:tcPr>
            <w:tcW w:w="945" w:type="dxa"/>
            <w:vAlign w:val="top"/>
          </w:tcPr>
          <w:p w:rsidR="004D68D6" w:rsidRPr="0006069F" w:rsidRDefault="005C1A7C" w:rsidP="00022011">
            <w:pPr>
              <w:cnfStyle w:val="000000000000" w:firstRow="0" w:lastRow="0" w:firstColumn="0" w:lastColumn="0" w:oddVBand="0" w:evenVBand="0" w:oddHBand="0" w:evenHBand="0" w:firstRowFirstColumn="0" w:firstRowLastColumn="0" w:lastRowFirstColumn="0" w:lastRowLastColumn="0"/>
              <w:rPr>
                <w:rStyle w:val="Strong"/>
              </w:rPr>
            </w:pPr>
            <w:r w:rsidRPr="0006069F">
              <w:rPr>
                <w:rStyle w:val="Strong"/>
              </w:rPr>
              <w:t>285.5</w:t>
            </w:r>
          </w:p>
        </w:tc>
        <w:tc>
          <w:tcPr>
            <w:tcW w:w="945" w:type="dxa"/>
            <w:vAlign w:val="top"/>
          </w:tcPr>
          <w:p w:rsidR="004D68D6" w:rsidRPr="0006069F" w:rsidRDefault="005C1A7C" w:rsidP="00022011">
            <w:pPr>
              <w:cnfStyle w:val="000000000000" w:firstRow="0" w:lastRow="0" w:firstColumn="0" w:lastColumn="0" w:oddVBand="0" w:evenVBand="0" w:oddHBand="0" w:evenHBand="0" w:firstRowFirstColumn="0" w:firstRowLastColumn="0" w:lastRowFirstColumn="0" w:lastRowLastColumn="0"/>
              <w:rPr>
                <w:rStyle w:val="Strong"/>
              </w:rPr>
            </w:pPr>
            <w:r w:rsidRPr="0006069F">
              <w:rPr>
                <w:rStyle w:val="Strong"/>
              </w:rPr>
              <w:t>297.4</w:t>
            </w:r>
          </w:p>
        </w:tc>
        <w:tc>
          <w:tcPr>
            <w:tcW w:w="945" w:type="dxa"/>
            <w:vAlign w:val="top"/>
          </w:tcPr>
          <w:p w:rsidR="004D68D6" w:rsidRPr="0006069F" w:rsidRDefault="005C1A7C" w:rsidP="00022011">
            <w:pPr>
              <w:cnfStyle w:val="000000000000" w:firstRow="0" w:lastRow="0" w:firstColumn="0" w:lastColumn="0" w:oddVBand="0" w:evenVBand="0" w:oddHBand="0" w:evenHBand="0" w:firstRowFirstColumn="0" w:firstRowLastColumn="0" w:lastRowFirstColumn="0" w:lastRowLastColumn="0"/>
              <w:rPr>
                <w:rStyle w:val="Strong"/>
              </w:rPr>
            </w:pPr>
            <w:r w:rsidRPr="0006069F">
              <w:rPr>
                <w:rStyle w:val="Strong"/>
              </w:rPr>
              <w:t>1372.1</w:t>
            </w:r>
          </w:p>
        </w:tc>
      </w:tr>
      <w:tr w:rsidR="00022011" w:rsidRPr="00022011" w:rsidTr="0006069F">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hideMark/>
          </w:tcPr>
          <w:p w:rsidR="004D68D6" w:rsidRPr="00022011" w:rsidRDefault="004D68D6" w:rsidP="00022011">
            <w:r w:rsidRPr="00022011">
              <w:t>X factor</w:t>
            </w:r>
          </w:p>
        </w:tc>
        <w:tc>
          <w:tcPr>
            <w:tcW w:w="945" w:type="dxa"/>
            <w:noWrap/>
            <w:vAlign w:val="top"/>
          </w:tcPr>
          <w:p w:rsidR="004D68D6" w:rsidRPr="00022011" w:rsidRDefault="005C1A7C" w:rsidP="00022011">
            <w:pPr>
              <w:cnfStyle w:val="000000010000" w:firstRow="0" w:lastRow="0" w:firstColumn="0" w:lastColumn="0" w:oddVBand="0" w:evenVBand="0" w:oddHBand="0" w:evenHBand="1" w:firstRowFirstColumn="0" w:firstRowLastColumn="0" w:lastRowFirstColumn="0" w:lastRowLastColumn="0"/>
            </w:pPr>
            <w:r>
              <w:t>8.31</w:t>
            </w:r>
          </w:p>
        </w:tc>
        <w:tc>
          <w:tcPr>
            <w:tcW w:w="945" w:type="dxa"/>
            <w:noWrap/>
            <w:vAlign w:val="top"/>
          </w:tcPr>
          <w:p w:rsidR="004D68D6" w:rsidRPr="00022011" w:rsidRDefault="00B81674" w:rsidP="00022011">
            <w:pPr>
              <w:cnfStyle w:val="000000010000" w:firstRow="0" w:lastRow="0" w:firstColumn="0" w:lastColumn="0" w:oddVBand="0" w:evenVBand="0" w:oddHBand="0" w:evenHBand="1" w:firstRowFirstColumn="0" w:firstRowLastColumn="0" w:lastRowFirstColumn="0" w:lastRowLastColumn="0"/>
            </w:pPr>
            <w:r>
              <w:t>–</w:t>
            </w:r>
            <w:r w:rsidR="005C1A7C">
              <w:t>1.66</w:t>
            </w:r>
          </w:p>
        </w:tc>
        <w:tc>
          <w:tcPr>
            <w:tcW w:w="945" w:type="dxa"/>
            <w:vAlign w:val="top"/>
          </w:tcPr>
          <w:p w:rsidR="004D68D6" w:rsidRPr="00022011" w:rsidRDefault="00B81674" w:rsidP="00022011">
            <w:pPr>
              <w:cnfStyle w:val="000000010000" w:firstRow="0" w:lastRow="0" w:firstColumn="0" w:lastColumn="0" w:oddVBand="0" w:evenVBand="0" w:oddHBand="0" w:evenHBand="1" w:firstRowFirstColumn="0" w:firstRowLastColumn="0" w:lastRowFirstColumn="0" w:lastRowLastColumn="0"/>
            </w:pPr>
            <w:r>
              <w:t>–</w:t>
            </w:r>
            <w:r w:rsidR="005C1A7C">
              <w:t>1.66%</w:t>
            </w:r>
          </w:p>
        </w:tc>
        <w:tc>
          <w:tcPr>
            <w:tcW w:w="945" w:type="dxa"/>
            <w:vAlign w:val="top"/>
          </w:tcPr>
          <w:p w:rsidR="004D68D6" w:rsidRPr="00022011" w:rsidRDefault="00B81674" w:rsidP="005C1A7C">
            <w:pPr>
              <w:cnfStyle w:val="000000010000" w:firstRow="0" w:lastRow="0" w:firstColumn="0" w:lastColumn="0" w:oddVBand="0" w:evenVBand="0" w:oddHBand="0" w:evenHBand="1" w:firstRowFirstColumn="0" w:firstRowLastColumn="0" w:lastRowFirstColumn="0" w:lastRowLastColumn="0"/>
            </w:pPr>
            <w:r>
              <w:t>–</w:t>
            </w:r>
            <w:r w:rsidR="005C1A7C">
              <w:t>1.66</w:t>
            </w:r>
            <w:r w:rsidR="004D68D6" w:rsidRPr="00022011">
              <w:t>%</w:t>
            </w:r>
          </w:p>
        </w:tc>
        <w:tc>
          <w:tcPr>
            <w:tcW w:w="945" w:type="dxa"/>
            <w:vAlign w:val="top"/>
          </w:tcPr>
          <w:p w:rsidR="004D68D6" w:rsidRPr="00022011" w:rsidRDefault="00B81674" w:rsidP="00022011">
            <w:pPr>
              <w:cnfStyle w:val="000000010000" w:firstRow="0" w:lastRow="0" w:firstColumn="0" w:lastColumn="0" w:oddVBand="0" w:evenVBand="0" w:oddHBand="0" w:evenHBand="1" w:firstRowFirstColumn="0" w:firstRowLastColumn="0" w:lastRowFirstColumn="0" w:lastRowLastColumn="0"/>
            </w:pPr>
            <w:r>
              <w:t>–</w:t>
            </w:r>
            <w:r w:rsidR="005C1A7C">
              <w:t>1.66%</w:t>
            </w:r>
          </w:p>
        </w:tc>
        <w:tc>
          <w:tcPr>
            <w:tcW w:w="945" w:type="dxa"/>
            <w:vAlign w:val="top"/>
          </w:tcPr>
          <w:p w:rsidR="004D68D6" w:rsidRPr="00022011" w:rsidRDefault="004D68D6" w:rsidP="00022011">
            <w:pPr>
              <w:cnfStyle w:val="000000010000" w:firstRow="0" w:lastRow="0" w:firstColumn="0" w:lastColumn="0" w:oddVBand="0" w:evenVBand="0" w:oddHBand="0" w:evenHBand="1" w:firstRowFirstColumn="0" w:firstRowLastColumn="0" w:lastRowFirstColumn="0" w:lastRowLastColumn="0"/>
            </w:pPr>
            <w:r w:rsidRPr="00022011">
              <w:t>n/a</w:t>
            </w:r>
          </w:p>
        </w:tc>
      </w:tr>
    </w:tbl>
    <w:p w:rsidR="004D68D6" w:rsidRDefault="004D68D6" w:rsidP="004D68D6">
      <w:pPr>
        <w:pStyle w:val="AERtablesource"/>
      </w:pPr>
      <w:r>
        <w:lastRenderedPageBreak/>
        <w:t xml:space="preserve">Source: </w:t>
      </w:r>
      <w:r>
        <w:tab/>
      </w:r>
      <w:r w:rsidRPr="00B23683">
        <w:t xml:space="preserve">Ausgrid, </w:t>
      </w:r>
      <w:r w:rsidRPr="00B23683">
        <w:rPr>
          <w:rStyle w:val="AERtextitalic"/>
        </w:rPr>
        <w:t>R</w:t>
      </w:r>
      <w:r w:rsidR="00022011">
        <w:rPr>
          <w:rStyle w:val="AERtextitalic"/>
        </w:rPr>
        <w:t>evised r</w:t>
      </w:r>
      <w:r w:rsidRPr="00B23683">
        <w:rPr>
          <w:rStyle w:val="AERtextitalic"/>
        </w:rPr>
        <w:t>egulatory proposal</w:t>
      </w:r>
      <w:r w:rsidR="00022011">
        <w:t>, January</w:t>
      </w:r>
      <w:r w:rsidRPr="00B23683">
        <w:t xml:space="preserve"> 2014. Attachment 4.0</w:t>
      </w:r>
      <w:r w:rsidR="00022011">
        <w:t>9</w:t>
      </w:r>
      <w:r w:rsidRPr="00B23683">
        <w:t>.</w:t>
      </w:r>
    </w:p>
    <w:p w:rsidR="00DE563D" w:rsidRDefault="00DE563D" w:rsidP="001754EE">
      <w:pPr>
        <w:pStyle w:val="Heading2"/>
      </w:pPr>
      <w:bookmarkStart w:id="22" w:name="_Toc403144138"/>
      <w:bookmarkStart w:id="23" w:name="_Toc416180097"/>
      <w:r w:rsidRPr="001754EE">
        <w:t>AER’s</w:t>
      </w:r>
      <w:r>
        <w:t xml:space="preserve"> assessment approach</w:t>
      </w:r>
      <w:bookmarkEnd w:id="22"/>
      <w:bookmarkEnd w:id="23"/>
    </w:p>
    <w:p w:rsidR="00B431B6" w:rsidRDefault="00B431B6" w:rsidP="00B431B6">
      <w:r w:rsidRPr="00BD5D87">
        <w:t xml:space="preserve">We did not change our assessment approach for the </w:t>
      </w:r>
      <w:r>
        <w:t>ARR</w:t>
      </w:r>
      <w:r w:rsidRPr="00BD5D87">
        <w:t xml:space="preserve"> from our draft decision. Section 1.3 of our draft decision details that approach.</w:t>
      </w:r>
      <w:r w:rsidR="00D862BC">
        <w:t xml:space="preserve"> </w:t>
      </w:r>
      <w:r w:rsidR="0026476C">
        <w:t>As noted in the draft decision, w</w:t>
      </w:r>
      <w:r w:rsidR="00D862BC">
        <w:t>e have reviewed our revenue smoothing</w:t>
      </w:r>
      <w:r w:rsidR="0026476C">
        <w:t xml:space="preserve"> for the final decision and this </w:t>
      </w:r>
      <w:r w:rsidR="00D862BC">
        <w:t xml:space="preserve">is discussed further in section </w:t>
      </w:r>
      <w:r w:rsidR="0026476C">
        <w:fldChar w:fldCharType="begin"/>
      </w:r>
      <w:r w:rsidR="0026476C">
        <w:instrText xml:space="preserve"> REF _Ref416180122 \r \h </w:instrText>
      </w:r>
      <w:r w:rsidR="0026476C">
        <w:fldChar w:fldCharType="separate"/>
      </w:r>
      <w:r w:rsidR="00A11853">
        <w:t>1.4.2</w:t>
      </w:r>
      <w:r w:rsidR="0026476C">
        <w:fldChar w:fldCharType="end"/>
      </w:r>
    </w:p>
    <w:p w:rsidR="00DE563D" w:rsidRDefault="00DE563D" w:rsidP="001754EE">
      <w:pPr>
        <w:pStyle w:val="Heading2"/>
      </w:pPr>
      <w:bookmarkStart w:id="24" w:name="_Toc403144140"/>
      <w:bookmarkStart w:id="25" w:name="_Toc416180098"/>
      <w:r w:rsidRPr="001754EE">
        <w:t>Reasons</w:t>
      </w:r>
      <w:r>
        <w:t xml:space="preserve"> for </w:t>
      </w:r>
      <w:r w:rsidR="002016E7">
        <w:t>final</w:t>
      </w:r>
      <w:r>
        <w:t xml:space="preserve"> decision</w:t>
      </w:r>
      <w:bookmarkEnd w:id="24"/>
      <w:bookmarkEnd w:id="25"/>
      <w:r>
        <w:t xml:space="preserve"> </w:t>
      </w:r>
    </w:p>
    <w:p w:rsidR="00B431B6" w:rsidRDefault="00B81674" w:rsidP="00B431B6">
      <w:pPr>
        <w:numPr>
          <w:ilvl w:val="0"/>
          <w:numId w:val="25"/>
        </w:numPr>
      </w:pPr>
      <w:r>
        <w:t>For this final decision, w</w:t>
      </w:r>
      <w:r w:rsidR="00B431B6">
        <w:t>e determine</w:t>
      </w:r>
      <w:r w:rsidR="00B431B6" w:rsidRPr="009F3302">
        <w:t xml:space="preserve"> total revenue requirement</w:t>
      </w:r>
      <w:r w:rsidR="00B431B6">
        <w:t>s</w:t>
      </w:r>
      <w:r w:rsidR="00B431B6" w:rsidRPr="009F3302">
        <w:t xml:space="preserve"> of $</w:t>
      </w:r>
      <w:r w:rsidR="00226B4A">
        <w:t>78</w:t>
      </w:r>
      <w:r w:rsidR="0006069F">
        <w:t>6</w:t>
      </w:r>
      <w:r w:rsidR="00C070E6">
        <w:t>7.0</w:t>
      </w:r>
      <w:r w:rsidR="00BF59DD">
        <w:t> </w:t>
      </w:r>
      <w:r w:rsidR="00B431B6" w:rsidRPr="009F3302">
        <w:t xml:space="preserve">million </w:t>
      </w:r>
      <w:r w:rsidR="00B431B6">
        <w:t>and $</w:t>
      </w:r>
      <w:r w:rsidR="00226B4A">
        <w:t>101</w:t>
      </w:r>
      <w:r w:rsidR="000739F0">
        <w:t>2.3</w:t>
      </w:r>
      <w:r w:rsidR="00B431B6">
        <w:t xml:space="preserve"> million ($ n</w:t>
      </w:r>
      <w:r w:rsidR="00B431B6" w:rsidRPr="009F3302">
        <w:t xml:space="preserve">ominal) </w:t>
      </w:r>
      <w:r w:rsidR="00B431B6">
        <w:t xml:space="preserve">over the 2014–19 period </w:t>
      </w:r>
      <w:r w:rsidR="00B431B6" w:rsidRPr="009F3302">
        <w:t xml:space="preserve">for </w:t>
      </w:r>
      <w:r w:rsidR="00B431B6">
        <w:t xml:space="preserve">Ausgrid's distribution and transmission networks respectively. This is </w:t>
      </w:r>
      <w:r w:rsidR="00B431B6" w:rsidRPr="009F3302">
        <w:t>$</w:t>
      </w:r>
      <w:r w:rsidR="00226B4A">
        <w:t>27</w:t>
      </w:r>
      <w:r w:rsidR="0006069F">
        <w:t>1</w:t>
      </w:r>
      <w:r w:rsidR="00C070E6">
        <w:t>0.0</w:t>
      </w:r>
      <w:r w:rsidR="00B431B6">
        <w:t> </w:t>
      </w:r>
      <w:r w:rsidR="00B431B6" w:rsidRPr="009F3302">
        <w:t xml:space="preserve">million ($ nominal) or </w:t>
      </w:r>
      <w:r w:rsidR="00226B4A">
        <w:t>25.</w:t>
      </w:r>
      <w:r w:rsidR="0006069F">
        <w:t>6</w:t>
      </w:r>
      <w:r w:rsidR="00B431B6" w:rsidRPr="009F3302">
        <w:t xml:space="preserve"> per cent below </w:t>
      </w:r>
      <w:r w:rsidR="00B431B6">
        <w:t xml:space="preserve">Ausgrid's revised </w:t>
      </w:r>
      <w:r w:rsidR="00B431B6" w:rsidRPr="009F3302">
        <w:t xml:space="preserve">proposal </w:t>
      </w:r>
      <w:r w:rsidR="00B431B6">
        <w:t>for its distribution network and $</w:t>
      </w:r>
      <w:r w:rsidR="0006069F">
        <w:t>35</w:t>
      </w:r>
      <w:r w:rsidR="000739F0">
        <w:t>7.3</w:t>
      </w:r>
      <w:r w:rsidR="00B431B6">
        <w:t xml:space="preserve"> million ($</w:t>
      </w:r>
      <w:r w:rsidR="00BF59DD">
        <w:t> </w:t>
      </w:r>
      <w:r w:rsidR="00B431B6">
        <w:t xml:space="preserve">nominal) or </w:t>
      </w:r>
      <w:r w:rsidR="00226B4A">
        <w:t>2</w:t>
      </w:r>
      <w:r w:rsidR="000739F0">
        <w:t>6.1</w:t>
      </w:r>
      <w:r w:rsidR="00B431B6">
        <w:t xml:space="preserve"> per cent below Ausgrid's revised proposal for its transmission network. These revenues</w:t>
      </w:r>
      <w:r w:rsidR="00B431B6" w:rsidRPr="009F3302">
        <w:t xml:space="preserve"> reflect the impact of our </w:t>
      </w:r>
      <w:r w:rsidR="00B431B6">
        <w:t>final</w:t>
      </w:r>
      <w:r w:rsidR="00B431B6" w:rsidRPr="009F3302">
        <w:t xml:space="preserve"> decision on the various building block costs. </w:t>
      </w:r>
      <w:r w:rsidR="00B431B6">
        <w:fldChar w:fldCharType="begin"/>
      </w:r>
      <w:r w:rsidR="00B431B6">
        <w:instrText xml:space="preserve"> REF _Ref403482882 \h </w:instrText>
      </w:r>
      <w:r w:rsidR="00B431B6">
        <w:fldChar w:fldCharType="separate"/>
      </w:r>
      <w:r w:rsidR="00A11853">
        <w:t xml:space="preserve">Figure </w:t>
      </w:r>
      <w:r w:rsidR="00A11853">
        <w:rPr>
          <w:noProof/>
        </w:rPr>
        <w:t>1</w:t>
      </w:r>
      <w:r w:rsidR="00A11853">
        <w:t>.</w:t>
      </w:r>
      <w:r w:rsidR="00A11853">
        <w:rPr>
          <w:noProof/>
        </w:rPr>
        <w:t>3</w:t>
      </w:r>
      <w:r w:rsidR="00B431B6">
        <w:fldChar w:fldCharType="end"/>
      </w:r>
      <w:r w:rsidR="00B431B6" w:rsidRPr="009F3302">
        <w:t xml:space="preserve"> show</w:t>
      </w:r>
      <w:r w:rsidR="00E0504F">
        <w:t>s</w:t>
      </w:r>
      <w:r w:rsidR="00B431B6" w:rsidRPr="009F3302">
        <w:t xml:space="preserve"> the difference between </w:t>
      </w:r>
      <w:r w:rsidR="00B431B6">
        <w:t>Ausgrid</w:t>
      </w:r>
      <w:r w:rsidR="00B431B6" w:rsidRPr="009F3302">
        <w:t xml:space="preserve">'s </w:t>
      </w:r>
      <w:r w:rsidR="00B431B6">
        <w:t xml:space="preserve">revised </w:t>
      </w:r>
      <w:r w:rsidR="00B431B6" w:rsidRPr="009F3302">
        <w:t xml:space="preserve">proposed ARRs and </w:t>
      </w:r>
      <w:r w:rsidR="00B431B6">
        <w:t>our final</w:t>
      </w:r>
      <w:r w:rsidR="00B431B6" w:rsidRPr="009F3302">
        <w:t xml:space="preserve"> decision</w:t>
      </w:r>
      <w:r w:rsidR="00B431B6">
        <w:t xml:space="preserve"> for </w:t>
      </w:r>
      <w:r w:rsidR="00E0504F">
        <w:t>its</w:t>
      </w:r>
      <w:r w:rsidR="00B431B6">
        <w:t xml:space="preserve"> distribution network</w:t>
      </w:r>
      <w:r w:rsidR="00B431B6" w:rsidRPr="009F3302">
        <w:t>.</w:t>
      </w:r>
      <w:r w:rsidR="00E0504F" w:rsidRPr="00E0504F">
        <w:t xml:space="preserve"> </w:t>
      </w:r>
      <w:r w:rsidR="00E0504F">
        <w:fldChar w:fldCharType="begin"/>
      </w:r>
      <w:r w:rsidR="00E0504F">
        <w:instrText xml:space="preserve"> REF _Ref403482891 \h </w:instrText>
      </w:r>
      <w:r w:rsidR="00E0504F">
        <w:fldChar w:fldCharType="separate"/>
      </w:r>
      <w:r w:rsidR="00A11853">
        <w:t xml:space="preserve">Figure </w:t>
      </w:r>
      <w:r w:rsidR="00A11853">
        <w:rPr>
          <w:noProof/>
        </w:rPr>
        <w:t>1</w:t>
      </w:r>
      <w:r w:rsidR="00A11853">
        <w:t>.</w:t>
      </w:r>
      <w:r w:rsidR="00A11853">
        <w:rPr>
          <w:noProof/>
        </w:rPr>
        <w:t>4</w:t>
      </w:r>
      <w:r w:rsidR="00E0504F">
        <w:fldChar w:fldCharType="end"/>
      </w:r>
      <w:r w:rsidR="00E0504F">
        <w:t xml:space="preserve"> shows the same for Ausgrid's transmission network.</w:t>
      </w:r>
    </w:p>
    <w:p w:rsidR="00B431B6" w:rsidRDefault="00B431B6" w:rsidP="00B431B6">
      <w:pPr>
        <w:pStyle w:val="Caption"/>
      </w:pPr>
      <w:bookmarkStart w:id="26" w:name="_Ref403482882"/>
      <w:r>
        <w:t xml:space="preserve">Figure </w:t>
      </w:r>
      <w:fldSimple w:instr=" STYLEREF 1 \s ">
        <w:r w:rsidR="00A11853">
          <w:rPr>
            <w:noProof/>
          </w:rPr>
          <w:t>1</w:t>
        </w:r>
      </w:fldSimple>
      <w:r>
        <w:t>.</w:t>
      </w:r>
      <w:r w:rsidRPr="00B431B6">
        <w:fldChar w:fldCharType="begin"/>
      </w:r>
      <w:r>
        <w:instrText xml:space="preserve"> SEQ Figure \* ARABIC \s 1 </w:instrText>
      </w:r>
      <w:r w:rsidRPr="00B431B6">
        <w:fldChar w:fldCharType="separate"/>
      </w:r>
      <w:r w:rsidR="00A11853">
        <w:rPr>
          <w:noProof/>
        </w:rPr>
        <w:t>3</w:t>
      </w:r>
      <w:r w:rsidRPr="00B431B6">
        <w:fldChar w:fldCharType="end"/>
      </w:r>
      <w:bookmarkEnd w:id="26"/>
      <w:r>
        <w:tab/>
        <w:t xml:space="preserve">AER's final decision and Ausgrid's revised proposed annual revenue requirement – distribution ($million, nominal) </w:t>
      </w:r>
    </w:p>
    <w:p w:rsidR="0006069F" w:rsidRPr="0006069F" w:rsidRDefault="00E63959" w:rsidP="0006069F">
      <w:r w:rsidRPr="00E63959">
        <w:rPr>
          <w:noProof/>
          <w:lang w:eastAsia="en-AU"/>
        </w:rPr>
        <w:drawing>
          <wp:inline distT="0" distB="0" distL="0" distR="0" wp14:anchorId="15F08188" wp14:editId="46A5F7E0">
            <wp:extent cx="5382895" cy="3680233"/>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82895" cy="3680233"/>
                    </a:xfrm>
                    <a:prstGeom prst="rect">
                      <a:avLst/>
                    </a:prstGeom>
                    <a:noFill/>
                    <a:ln>
                      <a:noFill/>
                    </a:ln>
                  </pic:spPr>
                </pic:pic>
              </a:graphicData>
            </a:graphic>
          </wp:inline>
        </w:drawing>
      </w:r>
    </w:p>
    <w:p w:rsidR="00B431B6" w:rsidRPr="002370BB" w:rsidRDefault="00B431B6" w:rsidP="00B431B6">
      <w:pPr>
        <w:pStyle w:val="AERtablesource"/>
      </w:pPr>
      <w:r>
        <w:t>Source:</w:t>
      </w:r>
      <w:r>
        <w:tab/>
      </w:r>
      <w:r w:rsidRPr="002370BB">
        <w:t>AER analysis</w:t>
      </w:r>
      <w:r>
        <w:t xml:space="preserve">; </w:t>
      </w:r>
      <w:r w:rsidRPr="002370BB">
        <w:t xml:space="preserve">Ausgrid, </w:t>
      </w:r>
      <w:r w:rsidRPr="008624BE">
        <w:rPr>
          <w:rStyle w:val="AERtextitalic"/>
        </w:rPr>
        <w:t>R</w:t>
      </w:r>
      <w:r>
        <w:rPr>
          <w:rStyle w:val="AERtextitalic"/>
        </w:rPr>
        <w:t>evised r</w:t>
      </w:r>
      <w:r w:rsidRPr="008624BE">
        <w:rPr>
          <w:rStyle w:val="AERtextitalic"/>
        </w:rPr>
        <w:t>egulatory proposal</w:t>
      </w:r>
      <w:r w:rsidRPr="002370BB">
        <w:t xml:space="preserve">, </w:t>
      </w:r>
      <w:r>
        <w:t>January 2014, Attachment 4.08</w:t>
      </w:r>
      <w:r w:rsidRPr="002370BB">
        <w:t xml:space="preserve">. </w:t>
      </w:r>
    </w:p>
    <w:p w:rsidR="00B431B6" w:rsidRDefault="00B431B6" w:rsidP="00B431B6">
      <w:pPr>
        <w:pStyle w:val="AERtablesource"/>
      </w:pPr>
      <w:r w:rsidRPr="002370BB">
        <w:tab/>
      </w:r>
    </w:p>
    <w:p w:rsidR="0006069F" w:rsidRDefault="00B431B6" w:rsidP="0006069F">
      <w:pPr>
        <w:pStyle w:val="Caption"/>
      </w:pPr>
      <w:bookmarkStart w:id="27" w:name="_Ref403482891"/>
      <w:r>
        <w:lastRenderedPageBreak/>
        <w:t xml:space="preserve">Figure </w:t>
      </w:r>
      <w:fldSimple w:instr=" STYLEREF 1 \s ">
        <w:r w:rsidR="00A11853">
          <w:rPr>
            <w:noProof/>
          </w:rPr>
          <w:t>1</w:t>
        </w:r>
      </w:fldSimple>
      <w:r>
        <w:t>.</w:t>
      </w:r>
      <w:r w:rsidRPr="00B431B6">
        <w:fldChar w:fldCharType="begin"/>
      </w:r>
      <w:r>
        <w:instrText xml:space="preserve"> SEQ Figure \* ARABIC \s 1 </w:instrText>
      </w:r>
      <w:r w:rsidRPr="00B431B6">
        <w:fldChar w:fldCharType="separate"/>
      </w:r>
      <w:r w:rsidR="00A11853">
        <w:rPr>
          <w:noProof/>
        </w:rPr>
        <w:t>4</w:t>
      </w:r>
      <w:r w:rsidRPr="00B431B6">
        <w:fldChar w:fldCharType="end"/>
      </w:r>
      <w:bookmarkEnd w:id="27"/>
      <w:r>
        <w:tab/>
        <w:t xml:space="preserve">AER's final decision and Ausgrid's revised proposed annual revenue requirement – transmission ($million, nominal) </w:t>
      </w:r>
    </w:p>
    <w:p w:rsidR="00B431B6" w:rsidRDefault="00E63959" w:rsidP="0006069F">
      <w:pPr>
        <w:pStyle w:val="Caption"/>
      </w:pPr>
      <w:r w:rsidRPr="00E63959">
        <w:rPr>
          <w:noProof/>
          <w:lang w:eastAsia="en-AU"/>
        </w:rPr>
        <w:drawing>
          <wp:inline distT="0" distB="0" distL="0" distR="0" wp14:anchorId="530FEDDB" wp14:editId="2524D183">
            <wp:extent cx="5382895" cy="3680233"/>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82895" cy="3680233"/>
                    </a:xfrm>
                    <a:prstGeom prst="rect">
                      <a:avLst/>
                    </a:prstGeom>
                    <a:noFill/>
                    <a:ln>
                      <a:noFill/>
                    </a:ln>
                  </pic:spPr>
                </pic:pic>
              </a:graphicData>
            </a:graphic>
          </wp:inline>
        </w:drawing>
      </w:r>
    </w:p>
    <w:p w:rsidR="00B431B6" w:rsidRDefault="00B431B6" w:rsidP="00B431B6">
      <w:pPr>
        <w:pStyle w:val="AERtablesource"/>
      </w:pPr>
      <w:r>
        <w:t>Source:</w:t>
      </w:r>
      <w:r>
        <w:tab/>
        <w:t xml:space="preserve">AER analysis; Ausgrid, </w:t>
      </w:r>
      <w:r w:rsidRPr="002370BB">
        <w:rPr>
          <w:rStyle w:val="AERtextitalic"/>
        </w:rPr>
        <w:t>Regulatory proposal</w:t>
      </w:r>
      <w:r>
        <w:t xml:space="preserve">, May 2014, Attachment 4.02. </w:t>
      </w:r>
      <w:r>
        <w:tab/>
      </w:r>
    </w:p>
    <w:p w:rsidR="00B431B6" w:rsidRPr="009F3302" w:rsidRDefault="00B431B6" w:rsidP="00B431B6">
      <w:r w:rsidRPr="00C467BF">
        <w:t xml:space="preserve">The most significant changes to </w:t>
      </w:r>
      <w:r>
        <w:t>Ausgrid</w:t>
      </w:r>
      <w:r w:rsidRPr="00C467BF">
        <w:t xml:space="preserve">'s </w:t>
      </w:r>
      <w:r>
        <w:t xml:space="preserve">revised </w:t>
      </w:r>
      <w:r w:rsidRPr="00C467BF">
        <w:t xml:space="preserve">proposal include: a lower rate of return of </w:t>
      </w:r>
      <w:r w:rsidR="00101865">
        <w:t>2</w:t>
      </w:r>
      <w:r w:rsidR="0006069F">
        <w:t>.1</w:t>
      </w:r>
      <w:r w:rsidRPr="00C467BF">
        <w:t xml:space="preserve"> per cent </w:t>
      </w:r>
      <w:r w:rsidR="00B81674">
        <w:t>for 2014–15 and 2.</w:t>
      </w:r>
      <w:r w:rsidR="0006069F">
        <w:t>2</w:t>
      </w:r>
      <w:r w:rsidR="00B81674">
        <w:t xml:space="preserve"> per cent for 2015–19 </w:t>
      </w:r>
      <w:r w:rsidRPr="00C467BF">
        <w:t xml:space="preserve">(attachment </w:t>
      </w:r>
      <w:r>
        <w:t>3</w:t>
      </w:r>
      <w:r w:rsidRPr="00C467BF">
        <w:t xml:space="preserve">), a reduction in the capex allowance of </w:t>
      </w:r>
      <w:r w:rsidR="00101865">
        <w:t>16.</w:t>
      </w:r>
      <w:r w:rsidR="00CC5D12">
        <w:t>8</w:t>
      </w:r>
      <w:r w:rsidRPr="00C467BF">
        <w:t xml:space="preserve"> per cent (attachment </w:t>
      </w:r>
      <w:r>
        <w:t>6</w:t>
      </w:r>
      <w:r w:rsidRPr="00C467BF">
        <w:t xml:space="preserve">), and a reduction in the </w:t>
      </w:r>
      <w:proofErr w:type="spellStart"/>
      <w:r w:rsidRPr="00C467BF">
        <w:t>opex</w:t>
      </w:r>
      <w:proofErr w:type="spellEnd"/>
      <w:r w:rsidRPr="00C467BF">
        <w:t xml:space="preserve"> allowance of </w:t>
      </w:r>
      <w:r w:rsidR="00101865">
        <w:t>2</w:t>
      </w:r>
      <w:r w:rsidR="00BF59DD">
        <w:t>5.6</w:t>
      </w:r>
      <w:r w:rsidR="00C070E6" w:rsidRPr="00C467BF">
        <w:t xml:space="preserve"> </w:t>
      </w:r>
      <w:r w:rsidRPr="00C467BF">
        <w:t xml:space="preserve">per cent (attachment </w:t>
      </w:r>
      <w:r>
        <w:t>7</w:t>
      </w:r>
      <w:r w:rsidRPr="00C467BF">
        <w:t xml:space="preserve">). </w:t>
      </w:r>
    </w:p>
    <w:p w:rsidR="00B431B6" w:rsidRDefault="00B431B6" w:rsidP="00B431B6">
      <w:pPr>
        <w:pStyle w:val="Heading3"/>
      </w:pPr>
      <w:bookmarkStart w:id="28" w:name="_Ref403553894"/>
      <w:bookmarkStart w:id="29" w:name="_Toc404354909"/>
      <w:bookmarkStart w:id="30" w:name="_Toc416180099"/>
      <w:r>
        <w:t xml:space="preserve">Revenue </w:t>
      </w:r>
      <w:r w:rsidR="008230FD">
        <w:t>true-up</w:t>
      </w:r>
      <w:r>
        <w:t xml:space="preserve"> for transitional year</w:t>
      </w:r>
      <w:bookmarkEnd w:id="28"/>
      <w:bookmarkEnd w:id="29"/>
      <w:bookmarkEnd w:id="30"/>
    </w:p>
    <w:p w:rsidR="00B431B6" w:rsidRPr="009372B0" w:rsidRDefault="00B431B6" w:rsidP="00B431B6">
      <w:pPr>
        <w:numPr>
          <w:ilvl w:val="0"/>
          <w:numId w:val="25"/>
        </w:numPr>
      </w:pPr>
      <w:r w:rsidRPr="009372B0">
        <w:t>The five regulatory years f</w:t>
      </w:r>
      <w:r w:rsidR="00B81674">
        <w:t>or</w:t>
      </w:r>
      <w:r w:rsidRPr="009372B0">
        <w:t xml:space="preserve"> 2014</w:t>
      </w:r>
      <w:r w:rsidR="00B81674">
        <w:t>–</w:t>
      </w:r>
      <w:r w:rsidRPr="009372B0">
        <w:t>19 are split over two regulatory control periods due to the transitional rules.</w:t>
      </w:r>
      <w:r>
        <w:t xml:space="preserve"> </w:t>
      </w:r>
      <w:r w:rsidRPr="009372B0">
        <w:t>There is a 'transitional regulatory control period' for 2014</w:t>
      </w:r>
      <w:r w:rsidR="00EE5316">
        <w:t>–</w:t>
      </w:r>
      <w:r w:rsidRPr="009372B0">
        <w:t>15, and a 'subsequent regulatory control period' for 2015-19.</w:t>
      </w:r>
      <w:r w:rsidR="00EE5316">
        <w:rPr>
          <w:rStyle w:val="FootnoteReference"/>
        </w:rPr>
        <w:footnoteReference w:id="3"/>
      </w:r>
      <w:r w:rsidRPr="009372B0">
        <w:t xml:space="preserve"> We are required to make both a decision on the transitional placeholder revenue for 2014</w:t>
      </w:r>
      <w:r w:rsidR="00EE5316">
        <w:t>–</w:t>
      </w:r>
      <w:r w:rsidRPr="009372B0">
        <w:t>15</w:t>
      </w:r>
      <w:r>
        <w:t xml:space="preserve"> and then </w:t>
      </w:r>
      <w:r w:rsidRPr="009372B0">
        <w:t>a decision on the revenues for the full 2014-19 period.</w:t>
      </w:r>
      <w:r w:rsidR="00EE5316">
        <w:rPr>
          <w:rStyle w:val="FootnoteReference"/>
        </w:rPr>
        <w:footnoteReference w:id="4"/>
      </w:r>
      <w:r w:rsidRPr="009372B0">
        <w:t xml:space="preserve"> </w:t>
      </w:r>
    </w:p>
    <w:p w:rsidR="00B431B6" w:rsidRPr="009372B0" w:rsidRDefault="00B431B6" w:rsidP="00513B81">
      <w:pPr>
        <w:numPr>
          <w:ilvl w:val="0"/>
          <w:numId w:val="25"/>
        </w:numPr>
      </w:pPr>
      <w:r w:rsidRPr="009372B0">
        <w:t xml:space="preserve">In April 2014, </w:t>
      </w:r>
      <w:r>
        <w:t xml:space="preserve">as required under the transitional rules, </w:t>
      </w:r>
      <w:r w:rsidRPr="009372B0">
        <w:t xml:space="preserve">we conducted a high level review of </w:t>
      </w:r>
      <w:r>
        <w:t>Ausgrid</w:t>
      </w:r>
      <w:r w:rsidRPr="009372B0">
        <w:t>'s proposed revenue requirement for its transitional regulatory control period (2014</w:t>
      </w:r>
      <w:r w:rsidR="00EE5316">
        <w:t>–</w:t>
      </w:r>
      <w:r w:rsidRPr="009372B0">
        <w:t xml:space="preserve">15). </w:t>
      </w:r>
      <w:r>
        <w:t>We determined placeholder revenue</w:t>
      </w:r>
      <w:r w:rsidRPr="009372B0">
        <w:t xml:space="preserve"> allowance</w:t>
      </w:r>
      <w:r>
        <w:t>s</w:t>
      </w:r>
      <w:r w:rsidRPr="009372B0">
        <w:t xml:space="preserve"> </w:t>
      </w:r>
      <w:r>
        <w:t xml:space="preserve">of $1956.4 million for </w:t>
      </w:r>
      <w:r>
        <w:lastRenderedPageBreak/>
        <w:t>Ausgrid's distribution network</w:t>
      </w:r>
      <w:r>
        <w:rPr>
          <w:rStyle w:val="FootnoteReference"/>
        </w:rPr>
        <w:footnoteReference w:id="5"/>
      </w:r>
      <w:r w:rsidRPr="009372B0">
        <w:t xml:space="preserve"> </w:t>
      </w:r>
      <w:r>
        <w:t xml:space="preserve"> and $252.3 million ($ nominal) for Ausgrid's transmission network</w:t>
      </w:r>
      <w:r w:rsidRPr="009372B0">
        <w:t>.</w:t>
      </w:r>
      <w:r>
        <w:rPr>
          <w:rStyle w:val="FootnoteReference"/>
        </w:rPr>
        <w:footnoteReference w:id="6"/>
      </w:r>
      <w:r w:rsidRPr="009372B0">
        <w:t xml:space="preserve"> </w:t>
      </w:r>
      <w:r w:rsidR="00513B81" w:rsidRPr="00AA3FB9">
        <w:t>Th</w:t>
      </w:r>
      <w:r w:rsidR="00513B81">
        <w:t>e distribution</w:t>
      </w:r>
      <w:r w:rsidR="00513B81" w:rsidRPr="00AA3FB9">
        <w:t xml:space="preserve"> revenue includes all costs associated with standard control</w:t>
      </w:r>
      <w:r w:rsidR="00513B81">
        <w:t xml:space="preserve"> </w:t>
      </w:r>
      <w:r w:rsidR="00513B81" w:rsidRPr="00AA3FB9">
        <w:t>services, including type 5 and 6 metering services</w:t>
      </w:r>
      <w:r w:rsidR="00513B81">
        <w:t xml:space="preserve">, </w:t>
      </w:r>
      <w:r w:rsidR="00513B81" w:rsidRPr="00AA3FB9">
        <w:t xml:space="preserve">ancillary network services (ANS) </w:t>
      </w:r>
      <w:r w:rsidR="00513B81">
        <w:t xml:space="preserve">and emergency recoverable works (ERW), </w:t>
      </w:r>
      <w:r w:rsidR="00513B81" w:rsidRPr="00AA3FB9">
        <w:t>which were</w:t>
      </w:r>
      <w:r w:rsidR="00513B81">
        <w:t xml:space="preserve"> </w:t>
      </w:r>
      <w:r w:rsidR="00513B81" w:rsidRPr="00AA3FB9">
        <w:t xml:space="preserve">re-classified from standard control services </w:t>
      </w:r>
      <w:r w:rsidR="007E3B81">
        <w:t xml:space="preserve">(SCS) </w:t>
      </w:r>
      <w:r w:rsidR="00513B81" w:rsidRPr="00AA3FB9">
        <w:t xml:space="preserve">to alternative control services </w:t>
      </w:r>
      <w:r w:rsidR="00513B81">
        <w:t xml:space="preserve">(ACS) </w:t>
      </w:r>
      <w:r w:rsidR="00513B81" w:rsidRPr="00AA3FB9">
        <w:t>as at 1 July 2014. The</w:t>
      </w:r>
      <w:r w:rsidR="00513B81">
        <w:t xml:space="preserve"> </w:t>
      </w:r>
      <w:r w:rsidR="00513B81" w:rsidRPr="00AA3FB9">
        <w:t>transitional rules</w:t>
      </w:r>
      <w:r w:rsidR="00513B81">
        <w:rPr>
          <w:rStyle w:val="FootnoteReference"/>
        </w:rPr>
        <w:footnoteReference w:id="7"/>
      </w:r>
      <w:r w:rsidR="00513B81" w:rsidRPr="00AA3FB9">
        <w:t xml:space="preserve"> prevented the r</w:t>
      </w:r>
      <w:r w:rsidR="00513B81">
        <w:t xml:space="preserve">eallocation of type 5 and 6, </w:t>
      </w:r>
      <w:r w:rsidR="00513B81" w:rsidRPr="00AA3FB9">
        <w:t>ANS</w:t>
      </w:r>
      <w:r w:rsidR="00513B81">
        <w:t xml:space="preserve"> and ERW</w:t>
      </w:r>
      <w:r w:rsidR="00513B81" w:rsidRPr="00AA3FB9">
        <w:t xml:space="preserve"> costs in 2014–15 despite the</w:t>
      </w:r>
      <w:r w:rsidR="00513B81">
        <w:t xml:space="preserve"> </w:t>
      </w:r>
      <w:r w:rsidR="00513B81" w:rsidRPr="00AA3FB9">
        <w:t>change in classification from standard control services to alternative control services as at</w:t>
      </w:r>
      <w:r w:rsidR="00513B81">
        <w:t xml:space="preserve"> </w:t>
      </w:r>
      <w:r w:rsidR="00513B81" w:rsidRPr="00AA3FB9">
        <w:t>1 July 2014.</w:t>
      </w:r>
      <w:r w:rsidR="00513B81">
        <w:rPr>
          <w:rStyle w:val="FootnoteReference"/>
        </w:rPr>
        <w:footnoteReference w:id="8"/>
      </w:r>
    </w:p>
    <w:p w:rsidR="00B431B6" w:rsidRDefault="00B431B6" w:rsidP="00B431B6">
      <w:pPr>
        <w:numPr>
          <w:ilvl w:val="0"/>
          <w:numId w:val="25"/>
        </w:numPr>
      </w:pPr>
      <w:r w:rsidRPr="009372B0">
        <w:t xml:space="preserve">In </w:t>
      </w:r>
      <w:r w:rsidR="00170E6A">
        <w:t>our</w:t>
      </w:r>
      <w:r w:rsidRPr="009372B0">
        <w:t xml:space="preserve"> draft decision, we ma</w:t>
      </w:r>
      <w:r w:rsidR="00170E6A">
        <w:t>de</w:t>
      </w:r>
      <w:r w:rsidRPr="009372B0">
        <w:t xml:space="preserve"> a full regulatory determination for the years 2015</w:t>
      </w:r>
      <w:r>
        <w:t>–</w:t>
      </w:r>
      <w:r w:rsidRPr="009372B0">
        <w:t>16 to 2018</w:t>
      </w:r>
      <w:r>
        <w:t>–</w:t>
      </w:r>
      <w:r w:rsidRPr="009372B0">
        <w:t xml:space="preserve">19 for </w:t>
      </w:r>
      <w:r>
        <w:t>Ausgrid</w:t>
      </w:r>
      <w:r w:rsidRPr="009372B0">
        <w:t xml:space="preserve">, and </w:t>
      </w:r>
      <w:r>
        <w:t>we account</w:t>
      </w:r>
      <w:r w:rsidR="00170E6A">
        <w:t>ed</w:t>
      </w:r>
      <w:r>
        <w:t xml:space="preserve"> for any adjustment amount related to the </w:t>
      </w:r>
      <w:r w:rsidRPr="009372B0">
        <w:t>transitional regulatory control period (2014</w:t>
      </w:r>
      <w:r>
        <w:t>–</w:t>
      </w:r>
      <w:r w:rsidRPr="009372B0">
        <w:t xml:space="preserve">15). </w:t>
      </w:r>
      <w:r>
        <w:t>As part of this</w:t>
      </w:r>
      <w:r w:rsidRPr="009372B0">
        <w:t xml:space="preserve">, we </w:t>
      </w:r>
      <w:r w:rsidR="00170E6A">
        <w:t>we</w:t>
      </w:r>
      <w:r w:rsidRPr="009372B0">
        <w:t>re required to determine ARR</w:t>
      </w:r>
      <w:r>
        <w:t>s</w:t>
      </w:r>
      <w:r w:rsidRPr="009372B0">
        <w:t xml:space="preserve"> for </w:t>
      </w:r>
      <w:r>
        <w:t xml:space="preserve">each year of </w:t>
      </w:r>
      <w:r w:rsidRPr="009372B0">
        <w:t>the five year (2014</w:t>
      </w:r>
      <w:r>
        <w:t>–</w:t>
      </w:r>
      <w:r w:rsidRPr="009372B0">
        <w:t>19) period and use a net present value (NPV) neutral true-up mechanism to account for any difference between:</w:t>
      </w:r>
      <w:r>
        <w:rPr>
          <w:rStyle w:val="FootnoteReference"/>
        </w:rPr>
        <w:footnoteReference w:id="9"/>
      </w:r>
    </w:p>
    <w:p w:rsidR="00B431B6" w:rsidRPr="009372B0" w:rsidRDefault="00B431B6" w:rsidP="00B431B6">
      <w:pPr>
        <w:pStyle w:val="AERbulletlistfirststyle"/>
      </w:pPr>
      <w:r w:rsidRPr="009372B0">
        <w:t>the placeholder revenue for the transitional regulatory control period, and</w:t>
      </w:r>
    </w:p>
    <w:p w:rsidR="00B431B6" w:rsidRPr="00B431B6" w:rsidRDefault="00B431B6" w:rsidP="00B431B6">
      <w:pPr>
        <w:pStyle w:val="AERbulletlistfirststyle"/>
      </w:pPr>
      <w:r w:rsidRPr="009372B0">
        <w:t xml:space="preserve">the </w:t>
      </w:r>
      <w:r w:rsidRPr="00B431B6">
        <w:t>ARR for 2014–15 that is established through the full determination process.</w:t>
      </w:r>
    </w:p>
    <w:p w:rsidR="00170E6A" w:rsidRDefault="00170E6A" w:rsidP="00170E6A">
      <w:pPr>
        <w:numPr>
          <w:ilvl w:val="0"/>
          <w:numId w:val="25"/>
        </w:numPr>
      </w:pPr>
      <w:r>
        <w:t xml:space="preserve">Ausgrid's revised proposal </w:t>
      </w:r>
      <w:r w:rsidR="009F5863">
        <w:t>agreed with</w:t>
      </w:r>
      <w:r>
        <w:t xml:space="preserve"> our approach for the true-up</w:t>
      </w:r>
      <w:r w:rsidR="007E3B81">
        <w:t xml:space="preserve"> for both </w:t>
      </w:r>
      <w:r w:rsidR="009F5863">
        <w:t>SCS</w:t>
      </w:r>
      <w:r w:rsidR="007E3B81">
        <w:t xml:space="preserve"> and </w:t>
      </w:r>
      <w:r w:rsidR="009F5863">
        <w:t>ACS</w:t>
      </w:r>
      <w:r>
        <w:t>.</w:t>
      </w:r>
      <w:r w:rsidR="007E3B81">
        <w:rPr>
          <w:rStyle w:val="FootnoteReference"/>
        </w:rPr>
        <w:footnoteReference w:id="10"/>
      </w:r>
      <w:r w:rsidR="002A5203">
        <w:t xml:space="preserve"> </w:t>
      </w:r>
      <w:r w:rsidR="009F5863">
        <w:t xml:space="preserve">Its revised proposal distribution PTRM adopted our approach to true-up the 2014–15 revenue for SCS. </w:t>
      </w:r>
      <w:r w:rsidR="002A5203">
        <w:t>Howe</w:t>
      </w:r>
      <w:r w:rsidR="007E3B81">
        <w:t>ver</w:t>
      </w:r>
      <w:r w:rsidR="009F5863">
        <w:t>,</w:t>
      </w:r>
      <w:r w:rsidR="007E3B81">
        <w:t xml:space="preserve"> Ausgrid's distribution PTRM did not adjust its revised proposal </w:t>
      </w:r>
      <w:r w:rsidR="009F5863">
        <w:t xml:space="preserve">SCS </w:t>
      </w:r>
      <w:r w:rsidR="007E3B81">
        <w:t xml:space="preserve">revenues </w:t>
      </w:r>
      <w:r w:rsidR="009F5863">
        <w:t>to include</w:t>
      </w:r>
      <w:r w:rsidR="007E3B81">
        <w:t xml:space="preserve"> the </w:t>
      </w:r>
      <w:r w:rsidR="009F5863">
        <w:t xml:space="preserve">true-up of 2014–15 </w:t>
      </w:r>
      <w:r w:rsidR="007E3B81">
        <w:t xml:space="preserve">revenue from </w:t>
      </w:r>
      <w:r w:rsidR="009F5863">
        <w:t>ACS</w:t>
      </w:r>
      <w:r w:rsidR="007E3B81">
        <w:t xml:space="preserve">. Therefore, we adjusted Ausgrid's </w:t>
      </w:r>
      <w:r w:rsidR="009F5863">
        <w:t xml:space="preserve">revised </w:t>
      </w:r>
      <w:r w:rsidR="007E3B81">
        <w:t xml:space="preserve">proposed </w:t>
      </w:r>
      <w:r w:rsidR="009F5863">
        <w:t xml:space="preserve">distribution smoothed </w:t>
      </w:r>
      <w:r w:rsidR="007E3B81">
        <w:t>revenues to include</w:t>
      </w:r>
      <w:r w:rsidR="009F5863">
        <w:t xml:space="preserve"> the 2014–15</w:t>
      </w:r>
      <w:r w:rsidR="007E3B81">
        <w:t xml:space="preserve"> revenue for ACS </w:t>
      </w:r>
      <w:r w:rsidR="009F5863">
        <w:t>to allow comparison with our final decision</w:t>
      </w:r>
      <w:r w:rsidR="007E3B81">
        <w:t xml:space="preserve">. </w:t>
      </w:r>
    </w:p>
    <w:p w:rsidR="00EE5316" w:rsidRDefault="00EE5316" w:rsidP="00EE5316">
      <w:pPr>
        <w:numPr>
          <w:ilvl w:val="0"/>
          <w:numId w:val="25"/>
        </w:numPr>
      </w:pPr>
      <w:r>
        <w:t xml:space="preserve">In its submission to the draft decision, AGL opposed including </w:t>
      </w:r>
      <w:proofErr w:type="spellStart"/>
      <w:r>
        <w:t>o</w:t>
      </w:r>
      <w:r w:rsidRPr="00F050A8">
        <w:t>pe</w:t>
      </w:r>
      <w:r>
        <w:t>x</w:t>
      </w:r>
      <w:proofErr w:type="spellEnd"/>
      <w:r w:rsidRPr="00F050A8">
        <w:t xml:space="preserve"> </w:t>
      </w:r>
      <w:r>
        <w:t xml:space="preserve">in </w:t>
      </w:r>
      <w:r w:rsidRPr="00F050A8">
        <w:t>the 2014</w:t>
      </w:r>
      <w:r>
        <w:t>–</w:t>
      </w:r>
      <w:r w:rsidRPr="00F050A8">
        <w:t>15 true-up</w:t>
      </w:r>
      <w:r>
        <w:t xml:space="preserve">. AGL considered it punitive to include </w:t>
      </w:r>
      <w:proofErr w:type="spellStart"/>
      <w:r>
        <w:t>opex</w:t>
      </w:r>
      <w:proofErr w:type="spellEnd"/>
      <w:r>
        <w:t xml:space="preserve"> in the true-up because </w:t>
      </w:r>
      <w:r w:rsidRPr="00F050A8">
        <w:t>these businesses have little control over the 2014</w:t>
      </w:r>
      <w:r>
        <w:t>–</w:t>
      </w:r>
      <w:r w:rsidRPr="00F050A8">
        <w:t xml:space="preserve">15 </w:t>
      </w:r>
      <w:proofErr w:type="spellStart"/>
      <w:r>
        <w:t>opex</w:t>
      </w:r>
      <w:proofErr w:type="spellEnd"/>
      <w:r w:rsidRPr="00F050A8">
        <w:t xml:space="preserve"> at this point in time</w:t>
      </w:r>
      <w:r>
        <w:t>.</w:t>
      </w:r>
      <w:r>
        <w:rPr>
          <w:rStyle w:val="FootnoteReference"/>
        </w:rPr>
        <w:footnoteReference w:id="11"/>
      </w:r>
      <w:r>
        <w:t xml:space="preserve"> We consider that the transitional rules require a true-up to be performed for</w:t>
      </w:r>
      <w:r w:rsidR="00151605">
        <w:t xml:space="preserve"> the</w:t>
      </w:r>
      <w:r>
        <w:t xml:space="preserve"> </w:t>
      </w:r>
      <w:r w:rsidR="00151605">
        <w:t>difference between the revenue</w:t>
      </w:r>
      <w:r>
        <w:t xml:space="preserve"> determined in this full determination and the placeholder revenue for the transitional year.</w:t>
      </w:r>
      <w:r>
        <w:rPr>
          <w:rStyle w:val="FootnoteReference"/>
        </w:rPr>
        <w:footnoteReference w:id="12"/>
      </w:r>
      <w:r>
        <w:t xml:space="preserve"> This requires us to include our final decision on the </w:t>
      </w:r>
      <w:proofErr w:type="spellStart"/>
      <w:r>
        <w:t>opex</w:t>
      </w:r>
      <w:proofErr w:type="spellEnd"/>
      <w:r>
        <w:t xml:space="preserve"> allowance for 2014–15 as part of our true-up.</w:t>
      </w:r>
    </w:p>
    <w:p w:rsidR="008230FD" w:rsidRDefault="00B431B6" w:rsidP="00B431B6">
      <w:pPr>
        <w:numPr>
          <w:ilvl w:val="0"/>
          <w:numId w:val="25"/>
        </w:numPr>
      </w:pPr>
      <w:r w:rsidRPr="009372B0">
        <w:lastRenderedPageBreak/>
        <w:t xml:space="preserve">Our </w:t>
      </w:r>
      <w:r w:rsidR="00170E6A">
        <w:t>final</w:t>
      </w:r>
      <w:r w:rsidRPr="009372B0">
        <w:t xml:space="preserve"> decision </w:t>
      </w:r>
      <w:r w:rsidR="008230FD">
        <w:t>approves</w:t>
      </w:r>
      <w:r w:rsidRPr="009372B0">
        <w:t xml:space="preserve"> 2014</w:t>
      </w:r>
      <w:r>
        <w:t>–</w:t>
      </w:r>
      <w:r w:rsidRPr="009372B0">
        <w:t>15 ARR</w:t>
      </w:r>
      <w:r>
        <w:t>s</w:t>
      </w:r>
      <w:r w:rsidRPr="009372B0">
        <w:t xml:space="preserve"> </w:t>
      </w:r>
      <w:r w:rsidR="00EE5316">
        <w:t xml:space="preserve">of </w:t>
      </w:r>
      <w:r w:rsidR="00EE5316" w:rsidRPr="009372B0">
        <w:t>$</w:t>
      </w:r>
      <w:r w:rsidR="00EE5316">
        <w:t>15</w:t>
      </w:r>
      <w:r w:rsidR="006D59E6">
        <w:t>4</w:t>
      </w:r>
      <w:r w:rsidR="00E6101B">
        <w:t>6.0</w:t>
      </w:r>
      <w:r w:rsidR="00EE5316" w:rsidRPr="009372B0">
        <w:t xml:space="preserve"> million</w:t>
      </w:r>
      <w:r w:rsidR="00EE5316">
        <w:t xml:space="preserve"> and $19</w:t>
      </w:r>
      <w:r w:rsidR="00E555FA">
        <w:t>2.8</w:t>
      </w:r>
      <w:r w:rsidR="00EE5316">
        <w:t xml:space="preserve"> million </w:t>
      </w:r>
      <w:r w:rsidRPr="009372B0">
        <w:t xml:space="preserve">for </w:t>
      </w:r>
      <w:proofErr w:type="spellStart"/>
      <w:r>
        <w:t>Ausgrid's</w:t>
      </w:r>
      <w:proofErr w:type="spellEnd"/>
      <w:r>
        <w:t xml:space="preserve"> distribution and transmission networks</w:t>
      </w:r>
      <w:r w:rsidRPr="009372B0">
        <w:t xml:space="preserve"> </w:t>
      </w:r>
      <w:r>
        <w:t>respectively</w:t>
      </w:r>
      <w:r w:rsidRPr="009372B0">
        <w:t xml:space="preserve">. </w:t>
      </w:r>
      <w:r w:rsidR="00513B81">
        <w:t xml:space="preserve">The distribution ARR for 2014–15 </w:t>
      </w:r>
      <w:r w:rsidR="00513B81" w:rsidRPr="00AA3FB9">
        <w:t xml:space="preserve">includes </w:t>
      </w:r>
      <w:r w:rsidR="00513B81">
        <w:t xml:space="preserve">our forecasts of efficient </w:t>
      </w:r>
      <w:r w:rsidR="00513B81" w:rsidRPr="00AA3FB9">
        <w:t>costs associated with standard control</w:t>
      </w:r>
      <w:r w:rsidR="00513B81">
        <w:t xml:space="preserve"> services. It also includes the costs associated with </w:t>
      </w:r>
      <w:r w:rsidR="00513B81" w:rsidRPr="00AA3FB9">
        <w:t xml:space="preserve">type 5 and 6 metering services and </w:t>
      </w:r>
      <w:r w:rsidR="00513B81">
        <w:t>other ACS consistent with the transitional rules</w:t>
      </w:r>
      <w:r w:rsidR="00513B81" w:rsidRPr="00AA3FB9">
        <w:t>.</w:t>
      </w:r>
      <w:r w:rsidR="00513B81">
        <w:rPr>
          <w:rStyle w:val="FootnoteReference"/>
        </w:rPr>
        <w:footnoteReference w:id="13"/>
      </w:r>
      <w:r w:rsidR="00513B81">
        <w:t xml:space="preserve"> We do not accept Ausgrid's revised proposed costs of $</w:t>
      </w:r>
      <w:r w:rsidR="00101865">
        <w:t>7</w:t>
      </w:r>
      <w:r w:rsidR="00376A14">
        <w:t>5.1</w:t>
      </w:r>
      <w:r w:rsidR="00513B81">
        <w:t> million associated with these services. Our final decision is to include a value of $</w:t>
      </w:r>
      <w:r w:rsidR="00303ABF">
        <w:t>62.6</w:t>
      </w:r>
      <w:r w:rsidR="00513B81">
        <w:t> million for the costs associated with these services.</w:t>
      </w:r>
      <w:r w:rsidR="00513B81">
        <w:rPr>
          <w:rStyle w:val="FootnoteReference"/>
        </w:rPr>
        <w:footnoteReference w:id="14"/>
      </w:r>
      <w:r w:rsidR="00513B81">
        <w:t xml:space="preserve"> The difference reflects our determination of efficient costs associated with providing these</w:t>
      </w:r>
      <w:r w:rsidR="00513B81" w:rsidRPr="00AA3FB9">
        <w:t xml:space="preserve"> services</w:t>
      </w:r>
      <w:r w:rsidR="00513B81">
        <w:t xml:space="preserve">. </w:t>
      </w:r>
      <w:r w:rsidRPr="009372B0">
        <w:t>Th</w:t>
      </w:r>
      <w:r w:rsidR="008230FD">
        <w:t>erefore,</w:t>
      </w:r>
      <w:r w:rsidR="008230FD" w:rsidRPr="008230FD">
        <w:t xml:space="preserve"> </w:t>
      </w:r>
      <w:r w:rsidR="008230FD">
        <w:t>the differences between the ARRs ($</w:t>
      </w:r>
      <w:r w:rsidR="00101865">
        <w:t>15</w:t>
      </w:r>
      <w:r w:rsidR="00303ABF">
        <w:t>4</w:t>
      </w:r>
      <w:r w:rsidR="00E6101B">
        <w:t>6.0</w:t>
      </w:r>
      <w:r w:rsidR="008230FD">
        <w:t xml:space="preserve"> million and $</w:t>
      </w:r>
      <w:r w:rsidR="00101865">
        <w:t>19</w:t>
      </w:r>
      <w:r w:rsidR="00E555FA">
        <w:t>2.8</w:t>
      </w:r>
      <w:r w:rsidR="008230FD">
        <w:t xml:space="preserve"> million respectively) and the placeholder revenues ($1</w:t>
      </w:r>
      <w:r w:rsidR="00D67D8F">
        <w:t>956.4</w:t>
      </w:r>
      <w:r w:rsidR="008230FD">
        <w:t xml:space="preserve"> million and $2</w:t>
      </w:r>
      <w:r w:rsidR="00D67D8F">
        <w:t>52.3</w:t>
      </w:r>
      <w:r w:rsidR="008230FD">
        <w:t xml:space="preserve"> million respectively) </w:t>
      </w:r>
      <w:r w:rsidR="00E974B2">
        <w:t>should</w:t>
      </w:r>
      <w:r w:rsidRPr="009372B0">
        <w:t xml:space="preserve"> be returned to customers. </w:t>
      </w:r>
    </w:p>
    <w:p w:rsidR="00B431B6" w:rsidRPr="009372B0" w:rsidRDefault="00B431B6" w:rsidP="00D67D8F">
      <w:pPr>
        <w:numPr>
          <w:ilvl w:val="0"/>
          <w:numId w:val="25"/>
        </w:numPr>
      </w:pPr>
      <w:r w:rsidRPr="009372B0">
        <w:t xml:space="preserve">To give effect to the true-up, we have set </w:t>
      </w:r>
      <w:r>
        <w:t>Ausgrid</w:t>
      </w:r>
      <w:r w:rsidRPr="009372B0">
        <w:t>'s first year expected revenue</w:t>
      </w:r>
      <w:r>
        <w:t>s</w:t>
      </w:r>
      <w:r w:rsidRPr="009372B0">
        <w:t xml:space="preserve"> in the PTRM</w:t>
      </w:r>
      <w:r>
        <w:t>s</w:t>
      </w:r>
      <w:r w:rsidRPr="009372B0">
        <w:t xml:space="preserve"> </w:t>
      </w:r>
      <w:r>
        <w:t xml:space="preserve">(transmission and distribution) </w:t>
      </w:r>
      <w:r w:rsidRPr="009372B0">
        <w:t>equal to the AER approved placeholder revenue</w:t>
      </w:r>
      <w:r>
        <w:t>s</w:t>
      </w:r>
      <w:r w:rsidRPr="009372B0">
        <w:t xml:space="preserve"> for 2014</w:t>
      </w:r>
      <w:r>
        <w:t>–</w:t>
      </w:r>
      <w:r w:rsidRPr="009372B0">
        <w:t>15</w:t>
      </w:r>
      <w:r w:rsidR="00D67D8F">
        <w:t xml:space="preserve"> of $1956.4 million and $252.3 million respectively</w:t>
      </w:r>
      <w:r>
        <w:t xml:space="preserve">. </w:t>
      </w:r>
      <w:r w:rsidRPr="009372B0">
        <w:t xml:space="preserve">This is the only practical option as </w:t>
      </w:r>
      <w:r>
        <w:t xml:space="preserve">distribution and transmission </w:t>
      </w:r>
      <w:r w:rsidRPr="009372B0">
        <w:t>prices were set for 2014</w:t>
      </w:r>
      <w:r>
        <w:t>–</w:t>
      </w:r>
      <w:r w:rsidRPr="009372B0">
        <w:t>15 based on th</w:t>
      </w:r>
      <w:r>
        <w:t>ese</w:t>
      </w:r>
      <w:r w:rsidRPr="009372B0">
        <w:t xml:space="preserve"> approved placeholder amount</w:t>
      </w:r>
      <w:r>
        <w:t>s</w:t>
      </w:r>
      <w:r w:rsidRPr="009372B0">
        <w:t xml:space="preserve">. However, this practicality also means that the difference in </w:t>
      </w:r>
      <w:r>
        <w:t>revenues</w:t>
      </w:r>
      <w:r w:rsidRPr="009372B0">
        <w:t xml:space="preserve"> for 2014</w:t>
      </w:r>
      <w:r>
        <w:t>–</w:t>
      </w:r>
      <w:r w:rsidRPr="009372B0">
        <w:t xml:space="preserve">15 between the transitional and full determinations will need to be accounted for in the </w:t>
      </w:r>
      <w:r>
        <w:t xml:space="preserve">2015–19 </w:t>
      </w:r>
      <w:r w:rsidRPr="009372B0">
        <w:t>regulatory control period. That is, the placeholder revenue for 2014-15 established from the transitional determination provides a base from which the expected revenues (smoothed) for the remaining four years of the 2014-19 period are calculated</w:t>
      </w:r>
      <w:r w:rsidR="008230FD">
        <w:t>. This is done</w:t>
      </w:r>
      <w:r w:rsidRPr="009372B0">
        <w:t xml:space="preserve"> through the determination of the X factors for </w:t>
      </w:r>
      <w:r w:rsidR="008230FD">
        <w:t xml:space="preserve">each of </w:t>
      </w:r>
      <w:r w:rsidRPr="009372B0">
        <w:t>the</w:t>
      </w:r>
      <w:r w:rsidR="008230FD">
        <w:t xml:space="preserve"> remaining</w:t>
      </w:r>
      <w:r w:rsidRPr="009372B0">
        <w:t xml:space="preserve"> years</w:t>
      </w:r>
      <w:r w:rsidR="008230FD">
        <w:t xml:space="preserve"> in that period</w:t>
      </w:r>
      <w:r w:rsidRPr="009372B0">
        <w:t>.</w:t>
      </w:r>
      <w:r w:rsidR="00E974B2">
        <w:rPr>
          <w:rStyle w:val="FootnoteReference"/>
        </w:rPr>
        <w:footnoteReference w:id="15"/>
      </w:r>
      <w:r w:rsidRPr="009372B0">
        <w:t xml:space="preserve"> This gives effect to the true-up requirements under the NER and </w:t>
      </w:r>
      <w:r>
        <w:t xml:space="preserve">returns </w:t>
      </w:r>
      <w:r w:rsidRPr="009372B0">
        <w:t>the difference</w:t>
      </w:r>
      <w:r>
        <w:t>s</w:t>
      </w:r>
      <w:r w:rsidRPr="009372B0">
        <w:t xml:space="preserve"> of $</w:t>
      </w:r>
      <w:r w:rsidR="00303ABF">
        <w:t>41</w:t>
      </w:r>
      <w:r w:rsidR="00267568">
        <w:t>0.4</w:t>
      </w:r>
      <w:r w:rsidRPr="009372B0">
        <w:t xml:space="preserve"> million </w:t>
      </w:r>
      <w:r>
        <w:t>for distribution and $</w:t>
      </w:r>
      <w:r w:rsidR="00303ABF">
        <w:t>5</w:t>
      </w:r>
      <w:r w:rsidR="00E555FA">
        <w:t>9.5</w:t>
      </w:r>
      <w:r w:rsidR="00267568">
        <w:t> </w:t>
      </w:r>
      <w:r>
        <w:t xml:space="preserve">million </w:t>
      </w:r>
      <w:r w:rsidR="00303ABF">
        <w:t xml:space="preserve">($ nominal) </w:t>
      </w:r>
      <w:r>
        <w:t xml:space="preserve">for transmission </w:t>
      </w:r>
      <w:r w:rsidRPr="009372B0">
        <w:t>to customers over the 2015</w:t>
      </w:r>
      <w:r>
        <w:t>–</w:t>
      </w:r>
      <w:r w:rsidRPr="009372B0">
        <w:t>19 regulatory control period (adjusted for the time value of money).</w:t>
      </w:r>
    </w:p>
    <w:p w:rsidR="00D67D8F" w:rsidRDefault="00D67D8F" w:rsidP="00303ABF">
      <w:pPr>
        <w:pStyle w:val="Heading3"/>
      </w:pPr>
      <w:bookmarkStart w:id="31" w:name="_Toc416180100"/>
      <w:bookmarkStart w:id="32" w:name="_Ref416180115"/>
      <w:bookmarkStart w:id="33" w:name="_Ref416180122"/>
      <w:r>
        <w:t>Smoothing of revenues</w:t>
      </w:r>
      <w:bookmarkEnd w:id="31"/>
      <w:bookmarkEnd w:id="32"/>
      <w:bookmarkEnd w:id="33"/>
    </w:p>
    <w:p w:rsidR="00D67D8F" w:rsidRDefault="00D67D8F" w:rsidP="00D67D8F">
      <w:pPr>
        <w:numPr>
          <w:ilvl w:val="0"/>
          <w:numId w:val="25"/>
        </w:numPr>
      </w:pPr>
      <w:r>
        <w:t>The smoothing profile of revenues has been impacted significantly by the shortened subsequent regulatory control period</w:t>
      </w:r>
      <w:r w:rsidR="00513B81">
        <w:t>,</w:t>
      </w:r>
      <w:r>
        <w:t xml:space="preserve"> the requirement for a true-up of the 2014–15 placeholder revenue</w:t>
      </w:r>
      <w:r w:rsidR="00513B81">
        <w:t>,</w:t>
      </w:r>
      <w:r w:rsidR="00513B81" w:rsidRPr="00513B81">
        <w:t xml:space="preserve"> </w:t>
      </w:r>
      <w:r w:rsidR="00513B81">
        <w:t xml:space="preserve">and </w:t>
      </w:r>
      <w:r w:rsidR="00C173E3">
        <w:t xml:space="preserve">in the case of distribution revenues, </w:t>
      </w:r>
      <w:r w:rsidR="00513B81">
        <w:t>the removal of metering and other ACS (such as ANS and ERW) costs from standard control services from 1 July 2015</w:t>
      </w:r>
      <w:r>
        <w:t>. The true-up for 2014–15</w:t>
      </w:r>
      <w:r w:rsidR="00C173E3">
        <w:t>,</w:t>
      </w:r>
      <w:r>
        <w:t xml:space="preserve"> </w:t>
      </w:r>
      <w:r w:rsidR="00513B81">
        <w:t xml:space="preserve">and </w:t>
      </w:r>
      <w:r w:rsidR="00C173E3">
        <w:t xml:space="preserve">in the case of distribution revenues, </w:t>
      </w:r>
      <w:r w:rsidR="00513B81">
        <w:t xml:space="preserve">the removal of metering and other ACS costs from standard control services </w:t>
      </w:r>
      <w:r>
        <w:t>ha</w:t>
      </w:r>
      <w:r w:rsidR="00C173E3">
        <w:t>ve</w:t>
      </w:r>
      <w:r>
        <w:t xml:space="preserve"> significant impact</w:t>
      </w:r>
      <w:r w:rsidR="00C173E3">
        <w:t>s</w:t>
      </w:r>
      <w:r>
        <w:t xml:space="preserve"> on the decrease in revenues from 2014–15 to 2015–16.</w:t>
      </w:r>
    </w:p>
    <w:p w:rsidR="00D67D8F" w:rsidRDefault="00D67D8F" w:rsidP="00D67D8F">
      <w:pPr>
        <w:numPr>
          <w:ilvl w:val="0"/>
          <w:numId w:val="25"/>
        </w:numPr>
      </w:pPr>
      <w:r>
        <w:t xml:space="preserve">The NSW service providers submitted that the draft decision smoothing profile did not provide them with the appropriate opportunity to improve tariff efficiency and equity </w:t>
      </w:r>
      <w:r>
        <w:lastRenderedPageBreak/>
        <w:t>without imposing price shocks. The submission suggested a smoothing profile that applied a staged reduction in revenues to achieve the significant reductions in revenues.</w:t>
      </w:r>
      <w:r>
        <w:rPr>
          <w:rStyle w:val="FootnoteReference"/>
        </w:rPr>
        <w:footnoteReference w:id="16"/>
      </w:r>
      <w:r>
        <w:t xml:space="preserve"> </w:t>
      </w:r>
    </w:p>
    <w:p w:rsidR="00D67D8F" w:rsidRDefault="00E974B2" w:rsidP="00D67D8F">
      <w:pPr>
        <w:numPr>
          <w:ilvl w:val="0"/>
          <w:numId w:val="25"/>
        </w:numPr>
      </w:pPr>
      <w:r>
        <w:t xml:space="preserve">For this final decision, </w:t>
      </w:r>
      <w:r w:rsidRPr="00A30460">
        <w:t xml:space="preserve">the expected </w:t>
      </w:r>
      <w:r>
        <w:t>revenue</w:t>
      </w:r>
      <w:r w:rsidRPr="00A30460">
        <w:t xml:space="preserve"> in the last year of the regulatory control period </w:t>
      </w:r>
      <w:r>
        <w:t xml:space="preserve">is not required </w:t>
      </w:r>
      <w:r w:rsidRPr="00A30460">
        <w:t xml:space="preserve">to be as close as reasonably possible to the </w:t>
      </w:r>
      <w:r>
        <w:t>ARR</w:t>
      </w:r>
      <w:r w:rsidRPr="00A30460">
        <w:t xml:space="preserve"> for that year</w:t>
      </w:r>
      <w:r>
        <w:t>, due to the transitional provisions</w:t>
      </w:r>
      <w:r w:rsidRPr="00A30460">
        <w:t>.</w:t>
      </w:r>
      <w:r>
        <w:rPr>
          <w:rStyle w:val="FootnoteReference"/>
        </w:rPr>
        <w:footnoteReference w:id="17"/>
      </w:r>
      <w:r w:rsidRPr="00A30460">
        <w:t xml:space="preserve"> </w:t>
      </w:r>
      <w:r w:rsidRPr="007118FB">
        <w:t xml:space="preserve">Typically, we would target a divergence of less than 3 per cent between the expected revenue and ARR for the last year of the regulatory control period, if this can promote smoother price changes over the regulatory control period. However, </w:t>
      </w:r>
      <w:r>
        <w:t>as a result of</w:t>
      </w:r>
      <w:r w:rsidRPr="007118FB">
        <w:t xml:space="preserve"> the shor</w:t>
      </w:r>
      <w:r>
        <w:t xml:space="preserve">tened regulatory control period, </w:t>
      </w:r>
      <w:r w:rsidRPr="007118FB">
        <w:t>the required true-up for 2014–15</w:t>
      </w:r>
      <w:r>
        <w:t xml:space="preserve"> and, in the case of distribution revenues, that metering and other ACS costs are removed from standard control services from 1 July 2015, w</w:t>
      </w:r>
      <w:r w:rsidR="00B431B6" w:rsidRPr="00294715">
        <w:t xml:space="preserve">e consider that our </w:t>
      </w:r>
      <w:r w:rsidR="00D67D8F">
        <w:t>final decision</w:t>
      </w:r>
      <w:r w:rsidR="00B431B6" w:rsidRPr="00294715">
        <w:t xml:space="preserve"> X factors </w:t>
      </w:r>
      <w:r w:rsidR="00D67D8F">
        <w:t>results in a revenue profile that</w:t>
      </w:r>
      <w:r>
        <w:t xml:space="preserve"> is reasonable</w:t>
      </w:r>
      <w:r w:rsidR="00D67D8F">
        <w:t xml:space="preserve"> </w:t>
      </w:r>
      <w:r>
        <w:t xml:space="preserve">and </w:t>
      </w:r>
      <w:r w:rsidR="00D67D8F">
        <w:t xml:space="preserve">reflects the NSW service providers' preferred smoothing profile outlined in its submission. We have allowed the difference between smoothed and unsmoothed revenues in the last year of the 2014–19 period to diverge more than would be usual. This approach smooths the revenues further than in the draft decision and allows for a more gradual path for lower revenues over the 2014–19 period. </w:t>
      </w:r>
    </w:p>
    <w:p w:rsidR="00B431B6" w:rsidRPr="00294715" w:rsidRDefault="00D67D8F" w:rsidP="00B431B6">
      <w:pPr>
        <w:numPr>
          <w:ilvl w:val="0"/>
          <w:numId w:val="25"/>
        </w:numPr>
      </w:pPr>
      <w:r>
        <w:t>Our final decision smoothing profile</w:t>
      </w:r>
      <w:r w:rsidR="00980979">
        <w:t>s</w:t>
      </w:r>
      <w:r>
        <w:t xml:space="preserve"> result</w:t>
      </w:r>
      <w:r w:rsidR="00980979">
        <w:t xml:space="preserve"> in</w:t>
      </w:r>
      <w:r>
        <w:t xml:space="preserve"> </w:t>
      </w:r>
      <w:r w:rsidR="00B431B6" w:rsidRPr="00294715">
        <w:t>difference</w:t>
      </w:r>
      <w:r w:rsidR="00980979">
        <w:t>s</w:t>
      </w:r>
      <w:r w:rsidR="00B431B6" w:rsidRPr="00294715">
        <w:t xml:space="preserve"> between the expected revenue</w:t>
      </w:r>
      <w:r w:rsidR="00980979">
        <w:t>s</w:t>
      </w:r>
      <w:r w:rsidR="00B431B6" w:rsidRPr="00294715">
        <w:t xml:space="preserve"> and ARR</w:t>
      </w:r>
      <w:r w:rsidR="00980979">
        <w:t>s</w:t>
      </w:r>
      <w:r w:rsidR="00B431B6" w:rsidRPr="00294715">
        <w:t xml:space="preserve"> for 2018–19 </w:t>
      </w:r>
      <w:r>
        <w:t>of</w:t>
      </w:r>
      <w:r w:rsidR="00B431B6" w:rsidRPr="00294715">
        <w:t xml:space="preserve"> around </w:t>
      </w:r>
      <w:r w:rsidR="00267568">
        <w:t>10</w:t>
      </w:r>
      <w:r w:rsidR="00303ABF">
        <w:t xml:space="preserve"> </w:t>
      </w:r>
      <w:r w:rsidR="00E555FA">
        <w:t xml:space="preserve">per cent </w:t>
      </w:r>
      <w:r w:rsidR="00B431B6">
        <w:t>for distribution and transmission</w:t>
      </w:r>
      <w:r w:rsidR="00B431B6" w:rsidRPr="00294715">
        <w:t>.</w:t>
      </w:r>
      <w:r w:rsidR="00151605">
        <w:rPr>
          <w:rStyle w:val="FootnoteReference"/>
        </w:rPr>
        <w:footnoteReference w:id="18"/>
      </w:r>
      <w:r w:rsidR="00B431B6" w:rsidRPr="00294715">
        <w:t xml:space="preserve"> While th</w:t>
      </w:r>
      <w:r w:rsidR="00B431B6">
        <w:t xml:space="preserve">ese </w:t>
      </w:r>
      <w:r w:rsidR="00B431B6" w:rsidRPr="00294715">
        <w:t>divergence</w:t>
      </w:r>
      <w:r w:rsidR="00B431B6">
        <w:t>s</w:t>
      </w:r>
      <w:r w:rsidR="00B431B6" w:rsidRPr="00294715">
        <w:t xml:space="preserve"> </w:t>
      </w:r>
      <w:r w:rsidR="00B431B6">
        <w:t>are</w:t>
      </w:r>
      <w:r w:rsidR="00B431B6" w:rsidRPr="00294715">
        <w:t xml:space="preserve"> significant, </w:t>
      </w:r>
      <w:r w:rsidR="00B431B6">
        <w:t>the smoothing</w:t>
      </w:r>
      <w:r w:rsidR="00B431B6" w:rsidRPr="00294715">
        <w:t xml:space="preserve"> avoids the situation of a larger price decrease in 2015–16 followed by significant price increases for the remaining three years of the regulatory control period. </w:t>
      </w:r>
    </w:p>
    <w:p w:rsidR="00F76B9F" w:rsidRPr="001A725A" w:rsidRDefault="00A32071" w:rsidP="00F76B9F">
      <w:pPr>
        <w:numPr>
          <w:ilvl w:val="0"/>
          <w:numId w:val="25"/>
        </w:numPr>
      </w:pPr>
      <w:r>
        <w:fldChar w:fldCharType="begin"/>
      </w:r>
      <w:r>
        <w:instrText xml:space="preserve"> REF _Ref416179532 \h </w:instrText>
      </w:r>
      <w:r>
        <w:fldChar w:fldCharType="separate"/>
      </w:r>
      <w:r w:rsidR="00A11853">
        <w:t xml:space="preserve">Table </w:t>
      </w:r>
      <w:r w:rsidR="00A11853">
        <w:rPr>
          <w:noProof/>
        </w:rPr>
        <w:t>1</w:t>
      </w:r>
      <w:r w:rsidR="00A11853">
        <w:t>.</w:t>
      </w:r>
      <w:r w:rsidR="00A11853">
        <w:rPr>
          <w:noProof/>
        </w:rPr>
        <w:t>5</w:t>
      </w:r>
      <w:r>
        <w:fldChar w:fldCharType="end"/>
      </w:r>
      <w:r>
        <w:t xml:space="preserve"> and </w:t>
      </w:r>
      <w:r>
        <w:fldChar w:fldCharType="begin"/>
      </w:r>
      <w:r>
        <w:instrText xml:space="preserve"> REF _Ref416179538 \h </w:instrText>
      </w:r>
      <w:r>
        <w:fldChar w:fldCharType="separate"/>
      </w:r>
      <w:r w:rsidR="00A11853">
        <w:t xml:space="preserve">Table </w:t>
      </w:r>
      <w:r w:rsidR="00A11853">
        <w:rPr>
          <w:noProof/>
        </w:rPr>
        <w:t>1</w:t>
      </w:r>
      <w:r w:rsidR="00A11853">
        <w:t>.</w:t>
      </w:r>
      <w:r w:rsidR="00A11853">
        <w:rPr>
          <w:noProof/>
        </w:rPr>
        <w:t>6</w:t>
      </w:r>
      <w:r>
        <w:fldChar w:fldCharType="end"/>
      </w:r>
      <w:r>
        <w:t xml:space="preserve"> </w:t>
      </w:r>
      <w:r w:rsidRPr="00F95B9F">
        <w:t>show the expected revenues (smoothed) of A</w:t>
      </w:r>
      <w:r>
        <w:t>usgrid</w:t>
      </w:r>
      <w:r w:rsidRPr="00F95B9F">
        <w:t xml:space="preserve">'s </w:t>
      </w:r>
      <w:r>
        <w:t xml:space="preserve">revised </w:t>
      </w:r>
      <w:r w:rsidRPr="00F95B9F">
        <w:t xml:space="preserve">proposal and our </w:t>
      </w:r>
      <w:r>
        <w:t>final</w:t>
      </w:r>
      <w:r w:rsidRPr="00F95B9F">
        <w:t xml:space="preserve"> decision expected revenues (smoothed) for A</w:t>
      </w:r>
      <w:r>
        <w:t>usgrid</w:t>
      </w:r>
      <w:r w:rsidRPr="00F95B9F">
        <w:t>'s distribution and transmission networks respectively. Both use the 2014–15 placeholder revenues as a base to account for the true-up.</w:t>
      </w:r>
    </w:p>
    <w:p w:rsidR="00A32071" w:rsidRDefault="00A32071" w:rsidP="00A32071">
      <w:pPr>
        <w:pStyle w:val="Caption"/>
      </w:pPr>
      <w:bookmarkStart w:id="34" w:name="_Ref416179532"/>
      <w:proofErr w:type="gramStart"/>
      <w:r>
        <w:t xml:space="preserve">Table </w:t>
      </w:r>
      <w:proofErr w:type="gramEnd"/>
      <w:r w:rsidR="000E14AE">
        <w:fldChar w:fldCharType="begin"/>
      </w:r>
      <w:r w:rsidR="000E14AE">
        <w:instrText xml:space="preserve"> STYLEREF 1 \s </w:instrText>
      </w:r>
      <w:r w:rsidR="000E14AE">
        <w:fldChar w:fldCharType="separate"/>
      </w:r>
      <w:r w:rsidR="00A11853">
        <w:rPr>
          <w:noProof/>
        </w:rPr>
        <w:t>1</w:t>
      </w:r>
      <w:r w:rsidR="000E14AE">
        <w:rPr>
          <w:noProof/>
        </w:rPr>
        <w:fldChar w:fldCharType="end"/>
      </w:r>
      <w:proofErr w:type="gramStart"/>
      <w:r>
        <w:t>.</w:t>
      </w:r>
      <w:proofErr w:type="gramEnd"/>
      <w:r w:rsidR="00F76B9F">
        <w:fldChar w:fldCharType="begin"/>
      </w:r>
      <w:r w:rsidR="00F76B9F">
        <w:instrText xml:space="preserve"> SEQ Table \* ARABIC \s 1 </w:instrText>
      </w:r>
      <w:r w:rsidR="00F76B9F">
        <w:fldChar w:fldCharType="separate"/>
      </w:r>
      <w:r w:rsidR="00A11853">
        <w:rPr>
          <w:noProof/>
        </w:rPr>
        <w:t>5</w:t>
      </w:r>
      <w:r w:rsidR="00F76B9F">
        <w:rPr>
          <w:noProof/>
        </w:rPr>
        <w:fldChar w:fldCharType="end"/>
      </w:r>
      <w:bookmarkEnd w:id="34"/>
      <w:r>
        <w:tab/>
        <w:t>Ausgrid's revised proposal and</w:t>
      </w:r>
      <w:r w:rsidR="00445763">
        <w:t xml:space="preserve"> </w:t>
      </w:r>
      <w:r>
        <w:t>AER's final decision smoothed expected revenues for the 2014–19 period – distribution</w:t>
      </w:r>
      <w:r w:rsidRPr="001A725A">
        <w:t xml:space="preserve"> </w:t>
      </w:r>
      <w:r>
        <w:t>($million, nominal)</w:t>
      </w:r>
    </w:p>
    <w:tbl>
      <w:tblPr>
        <w:tblStyle w:val="AERtable-numbers"/>
        <w:tblW w:w="0" w:type="auto"/>
        <w:tblLook w:val="04A0" w:firstRow="1" w:lastRow="0" w:firstColumn="1" w:lastColumn="0" w:noHBand="0" w:noVBand="1"/>
      </w:tblPr>
      <w:tblGrid>
        <w:gridCol w:w="2829"/>
        <w:gridCol w:w="1084"/>
        <w:gridCol w:w="1195"/>
        <w:gridCol w:w="1195"/>
        <w:gridCol w:w="1195"/>
        <w:gridCol w:w="1195"/>
      </w:tblGrid>
      <w:tr w:rsidR="00A32071" w:rsidTr="00A822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tcPr>
          <w:p w:rsidR="00A32071" w:rsidRDefault="00A32071" w:rsidP="00A32071"/>
        </w:tc>
        <w:tc>
          <w:tcPr>
            <w:tcW w:w="1084" w:type="dxa"/>
          </w:tcPr>
          <w:p w:rsidR="00A32071" w:rsidRDefault="00A32071" w:rsidP="00A32071">
            <w:pPr>
              <w:cnfStyle w:val="100000000000" w:firstRow="1" w:lastRow="0" w:firstColumn="0" w:lastColumn="0" w:oddVBand="0" w:evenVBand="0" w:oddHBand="0" w:evenHBand="0" w:firstRowFirstColumn="0" w:firstRowLastColumn="0" w:lastRowFirstColumn="0" w:lastRowLastColumn="0"/>
            </w:pPr>
            <w:r>
              <w:t>2014–15</w:t>
            </w:r>
          </w:p>
        </w:tc>
        <w:tc>
          <w:tcPr>
            <w:tcW w:w="1195" w:type="dxa"/>
          </w:tcPr>
          <w:p w:rsidR="00A32071" w:rsidRDefault="00A32071" w:rsidP="00A32071">
            <w:pPr>
              <w:cnfStyle w:val="100000000000" w:firstRow="1" w:lastRow="0" w:firstColumn="0" w:lastColumn="0" w:oddVBand="0" w:evenVBand="0" w:oddHBand="0" w:evenHBand="0" w:firstRowFirstColumn="0" w:firstRowLastColumn="0" w:lastRowFirstColumn="0" w:lastRowLastColumn="0"/>
            </w:pPr>
            <w:r>
              <w:t>2015–16</w:t>
            </w:r>
          </w:p>
        </w:tc>
        <w:tc>
          <w:tcPr>
            <w:tcW w:w="1195" w:type="dxa"/>
          </w:tcPr>
          <w:p w:rsidR="00A32071" w:rsidRDefault="00A32071" w:rsidP="00A32071">
            <w:pPr>
              <w:cnfStyle w:val="100000000000" w:firstRow="1" w:lastRow="0" w:firstColumn="0" w:lastColumn="0" w:oddVBand="0" w:evenVBand="0" w:oddHBand="0" w:evenHBand="0" w:firstRowFirstColumn="0" w:firstRowLastColumn="0" w:lastRowFirstColumn="0" w:lastRowLastColumn="0"/>
            </w:pPr>
            <w:r>
              <w:t>2016–17</w:t>
            </w:r>
          </w:p>
        </w:tc>
        <w:tc>
          <w:tcPr>
            <w:tcW w:w="1195" w:type="dxa"/>
          </w:tcPr>
          <w:p w:rsidR="00A32071" w:rsidRDefault="00A32071" w:rsidP="00A32071">
            <w:pPr>
              <w:cnfStyle w:val="100000000000" w:firstRow="1" w:lastRow="0" w:firstColumn="0" w:lastColumn="0" w:oddVBand="0" w:evenVBand="0" w:oddHBand="0" w:evenHBand="0" w:firstRowFirstColumn="0" w:firstRowLastColumn="0" w:lastRowFirstColumn="0" w:lastRowLastColumn="0"/>
            </w:pPr>
            <w:r>
              <w:t>2017–18</w:t>
            </w:r>
          </w:p>
        </w:tc>
        <w:tc>
          <w:tcPr>
            <w:tcW w:w="1195" w:type="dxa"/>
          </w:tcPr>
          <w:p w:rsidR="00A32071" w:rsidRDefault="00A32071" w:rsidP="00A32071">
            <w:pPr>
              <w:cnfStyle w:val="100000000000" w:firstRow="1" w:lastRow="0" w:firstColumn="0" w:lastColumn="0" w:oddVBand="0" w:evenVBand="0" w:oddHBand="0" w:evenHBand="0" w:firstRowFirstColumn="0" w:firstRowLastColumn="0" w:lastRowFirstColumn="0" w:lastRowLastColumn="0"/>
            </w:pPr>
            <w:r>
              <w:t>2018–19</w:t>
            </w:r>
          </w:p>
        </w:tc>
      </w:tr>
      <w:tr w:rsidR="00AC1E91" w:rsidTr="00A82215">
        <w:tc>
          <w:tcPr>
            <w:cnfStyle w:val="001000000000" w:firstRow="0" w:lastRow="0" w:firstColumn="1" w:lastColumn="0" w:oddVBand="0" w:evenVBand="0" w:oddHBand="0" w:evenHBand="0" w:firstRowFirstColumn="0" w:firstRowLastColumn="0" w:lastRowFirstColumn="0" w:lastRowLastColumn="0"/>
            <w:tcW w:w="2829" w:type="dxa"/>
          </w:tcPr>
          <w:p w:rsidR="00AC1E91" w:rsidRPr="00AC1E91" w:rsidRDefault="00AC1E91" w:rsidP="00AC1E91">
            <w:proofErr w:type="spellStart"/>
            <w:r w:rsidRPr="00AC1E91">
              <w:t>Ausgrid's</w:t>
            </w:r>
            <w:proofErr w:type="spellEnd"/>
            <w:r w:rsidRPr="00AC1E91">
              <w:t xml:space="preserve"> revised </w:t>
            </w:r>
            <w:proofErr w:type="spellStart"/>
            <w:r w:rsidRPr="00AC1E91">
              <w:t>proposal</w:t>
            </w:r>
            <w:r w:rsidR="00866CC9" w:rsidRPr="00037501">
              <w:rPr>
                <w:rStyle w:val="AERsuperscript"/>
              </w:rPr>
              <w:t>a</w:t>
            </w:r>
            <w:proofErr w:type="spellEnd"/>
          </w:p>
        </w:tc>
        <w:tc>
          <w:tcPr>
            <w:tcW w:w="1084" w:type="dxa"/>
            <w:vAlign w:val="top"/>
          </w:tcPr>
          <w:p w:rsidR="00AC1E91" w:rsidRPr="00AC1E91" w:rsidRDefault="00AC1E91" w:rsidP="00AC1E91">
            <w:pPr>
              <w:cnfStyle w:val="000000000000" w:firstRow="0" w:lastRow="0" w:firstColumn="0" w:lastColumn="0" w:oddVBand="0" w:evenVBand="0" w:oddHBand="0" w:evenHBand="0" w:firstRowFirstColumn="0" w:firstRowLastColumn="0" w:lastRowFirstColumn="0" w:lastRowLastColumn="0"/>
            </w:pPr>
            <w:r w:rsidRPr="00AC1E91">
              <w:t>1956.4</w:t>
            </w:r>
          </w:p>
        </w:tc>
        <w:tc>
          <w:tcPr>
            <w:tcW w:w="1195" w:type="dxa"/>
            <w:vAlign w:val="top"/>
          </w:tcPr>
          <w:p w:rsidR="00AC1E91" w:rsidRPr="00AC1E91" w:rsidRDefault="00AC1E91" w:rsidP="00866CC9">
            <w:pPr>
              <w:cnfStyle w:val="000000000000" w:firstRow="0" w:lastRow="0" w:firstColumn="0" w:lastColumn="0" w:oddVBand="0" w:evenVBand="0" w:oddHBand="0" w:evenHBand="0" w:firstRowFirstColumn="0" w:firstRowLastColumn="0" w:lastRowFirstColumn="0" w:lastRowLastColumn="0"/>
            </w:pPr>
            <w:r w:rsidRPr="00AC1E91">
              <w:t>20</w:t>
            </w:r>
            <w:r w:rsidR="00866CC9">
              <w:t>97.8</w:t>
            </w:r>
          </w:p>
        </w:tc>
        <w:tc>
          <w:tcPr>
            <w:tcW w:w="1195" w:type="dxa"/>
            <w:vAlign w:val="top"/>
          </w:tcPr>
          <w:p w:rsidR="00AC1E91" w:rsidRPr="00AC1E91" w:rsidRDefault="00AC1E91" w:rsidP="00866CC9">
            <w:pPr>
              <w:cnfStyle w:val="000000000000" w:firstRow="0" w:lastRow="0" w:firstColumn="0" w:lastColumn="0" w:oddVBand="0" w:evenVBand="0" w:oddHBand="0" w:evenHBand="0" w:firstRowFirstColumn="0" w:firstRowLastColumn="0" w:lastRowFirstColumn="0" w:lastRowLastColumn="0"/>
            </w:pPr>
            <w:r w:rsidRPr="00AC1E91">
              <w:t>21</w:t>
            </w:r>
            <w:r w:rsidR="00866CC9">
              <w:t>52.8</w:t>
            </w:r>
          </w:p>
        </w:tc>
        <w:tc>
          <w:tcPr>
            <w:tcW w:w="1195" w:type="dxa"/>
            <w:vAlign w:val="top"/>
          </w:tcPr>
          <w:p w:rsidR="00AC1E91" w:rsidRPr="00AC1E91" w:rsidRDefault="00AC1E91" w:rsidP="00866CC9">
            <w:pPr>
              <w:cnfStyle w:val="000000000000" w:firstRow="0" w:lastRow="0" w:firstColumn="0" w:lastColumn="0" w:oddVBand="0" w:evenVBand="0" w:oddHBand="0" w:evenHBand="0" w:firstRowFirstColumn="0" w:firstRowLastColumn="0" w:lastRowFirstColumn="0" w:lastRowLastColumn="0"/>
            </w:pPr>
            <w:r w:rsidRPr="00AC1E91">
              <w:t>2</w:t>
            </w:r>
            <w:r w:rsidR="00866CC9">
              <w:t>209.2</w:t>
            </w:r>
          </w:p>
        </w:tc>
        <w:tc>
          <w:tcPr>
            <w:tcW w:w="1195" w:type="dxa"/>
            <w:vAlign w:val="top"/>
          </w:tcPr>
          <w:p w:rsidR="00AC1E91" w:rsidRPr="00AC1E91" w:rsidRDefault="00037501" w:rsidP="00037501">
            <w:pPr>
              <w:cnfStyle w:val="000000000000" w:firstRow="0" w:lastRow="0" w:firstColumn="0" w:lastColumn="0" w:oddVBand="0" w:evenVBand="0" w:oddHBand="0" w:evenHBand="0" w:firstRowFirstColumn="0" w:firstRowLastColumn="0" w:lastRowFirstColumn="0" w:lastRowLastColumn="0"/>
            </w:pPr>
            <w:r>
              <w:t>2131.8</w:t>
            </w:r>
          </w:p>
        </w:tc>
      </w:tr>
      <w:tr w:rsidR="00AC1E91" w:rsidTr="00A822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tcPr>
          <w:p w:rsidR="00AC1E91" w:rsidRPr="00AC1E91" w:rsidRDefault="00AC1E91" w:rsidP="00AC1E91">
            <w:r w:rsidRPr="00AC1E91">
              <w:t>X factor</w:t>
            </w:r>
          </w:p>
        </w:tc>
        <w:tc>
          <w:tcPr>
            <w:tcW w:w="1084" w:type="dxa"/>
            <w:vAlign w:val="top"/>
          </w:tcPr>
          <w:p w:rsidR="00AC1E91" w:rsidRPr="00AC1E91" w:rsidRDefault="00866CC9" w:rsidP="00866CC9">
            <w:pPr>
              <w:cnfStyle w:val="000000010000" w:firstRow="0" w:lastRow="0" w:firstColumn="0" w:lastColumn="0" w:oddVBand="0" w:evenVBand="0" w:oddHBand="0" w:evenHBand="1" w:firstRowFirstColumn="0" w:firstRowLastColumn="0" w:lastRowFirstColumn="0" w:lastRowLastColumn="0"/>
            </w:pPr>
            <w:r>
              <w:t>n/a</w:t>
            </w:r>
          </w:p>
        </w:tc>
        <w:tc>
          <w:tcPr>
            <w:tcW w:w="1195" w:type="dxa"/>
            <w:vAlign w:val="top"/>
          </w:tcPr>
          <w:p w:rsidR="00AC1E91" w:rsidRPr="00AC1E91" w:rsidRDefault="00E974B2" w:rsidP="00037501">
            <w:pPr>
              <w:cnfStyle w:val="000000010000" w:firstRow="0" w:lastRow="0" w:firstColumn="0" w:lastColumn="0" w:oddVBand="0" w:evenVBand="0" w:oddHBand="0" w:evenHBand="1" w:firstRowFirstColumn="0" w:firstRowLastColumn="0" w:lastRowFirstColumn="0" w:lastRowLastColumn="0"/>
            </w:pPr>
            <w:r>
              <w:t>–</w:t>
            </w:r>
            <w:r w:rsidR="00037501">
              <w:t>4.61</w:t>
            </w:r>
            <w:r w:rsidR="00AC1E91" w:rsidRPr="00AC1E91">
              <w:t>%</w:t>
            </w:r>
          </w:p>
        </w:tc>
        <w:tc>
          <w:tcPr>
            <w:tcW w:w="1195" w:type="dxa"/>
            <w:vAlign w:val="top"/>
          </w:tcPr>
          <w:p w:rsidR="00AC1E91" w:rsidRPr="00AC1E91" w:rsidRDefault="00E974B2" w:rsidP="00AC1E91">
            <w:pPr>
              <w:cnfStyle w:val="000000010000" w:firstRow="0" w:lastRow="0" w:firstColumn="0" w:lastColumn="0" w:oddVBand="0" w:evenVBand="0" w:oddHBand="0" w:evenHBand="1" w:firstRowFirstColumn="0" w:firstRowLastColumn="0" w:lastRowFirstColumn="0" w:lastRowLastColumn="0"/>
            </w:pPr>
            <w:r>
              <w:t>–</w:t>
            </w:r>
            <w:r w:rsidR="00AC1E91" w:rsidRPr="00AC1E91">
              <w:t>0.12%</w:t>
            </w:r>
          </w:p>
        </w:tc>
        <w:tc>
          <w:tcPr>
            <w:tcW w:w="1195" w:type="dxa"/>
            <w:vAlign w:val="top"/>
          </w:tcPr>
          <w:p w:rsidR="00AC1E91" w:rsidRPr="00AC1E91" w:rsidRDefault="00E974B2" w:rsidP="00AC1E91">
            <w:pPr>
              <w:cnfStyle w:val="000000010000" w:firstRow="0" w:lastRow="0" w:firstColumn="0" w:lastColumn="0" w:oddVBand="0" w:evenVBand="0" w:oddHBand="0" w:evenHBand="1" w:firstRowFirstColumn="0" w:firstRowLastColumn="0" w:lastRowFirstColumn="0" w:lastRowLastColumn="0"/>
            </w:pPr>
            <w:r>
              <w:t>–</w:t>
            </w:r>
            <w:r w:rsidR="00AC1E91" w:rsidRPr="00AC1E91">
              <w:t>0.12%</w:t>
            </w:r>
          </w:p>
        </w:tc>
        <w:tc>
          <w:tcPr>
            <w:tcW w:w="1195" w:type="dxa"/>
            <w:vAlign w:val="top"/>
          </w:tcPr>
          <w:p w:rsidR="00AC1E91" w:rsidRPr="00AC1E91" w:rsidRDefault="00E974B2" w:rsidP="00AC1E91">
            <w:pPr>
              <w:cnfStyle w:val="000000010000" w:firstRow="0" w:lastRow="0" w:firstColumn="0" w:lastColumn="0" w:oddVBand="0" w:evenVBand="0" w:oddHBand="0" w:evenHBand="1" w:firstRowFirstColumn="0" w:firstRowLastColumn="0" w:lastRowFirstColumn="0" w:lastRowLastColumn="0"/>
            </w:pPr>
            <w:r>
              <w:t>–</w:t>
            </w:r>
            <w:r w:rsidR="00AC1E91" w:rsidRPr="00AC1E91">
              <w:t>0.12%</w:t>
            </w:r>
          </w:p>
        </w:tc>
      </w:tr>
      <w:tr w:rsidR="00A82215" w:rsidTr="003E2E56">
        <w:tc>
          <w:tcPr>
            <w:cnfStyle w:val="001000000000" w:firstRow="0" w:lastRow="0" w:firstColumn="1" w:lastColumn="0" w:oddVBand="0" w:evenVBand="0" w:oddHBand="0" w:evenHBand="0" w:firstRowFirstColumn="0" w:firstRowLastColumn="0" w:lastRowFirstColumn="0" w:lastRowLastColumn="0"/>
            <w:tcW w:w="2829" w:type="dxa"/>
          </w:tcPr>
          <w:p w:rsidR="00A82215" w:rsidRPr="00A82215" w:rsidRDefault="00A82215" w:rsidP="00A82215">
            <w:r w:rsidRPr="00A82215">
              <w:t>AER final decision</w:t>
            </w:r>
          </w:p>
        </w:tc>
        <w:tc>
          <w:tcPr>
            <w:tcW w:w="1084" w:type="dxa"/>
            <w:vAlign w:val="top"/>
          </w:tcPr>
          <w:p w:rsidR="00A82215" w:rsidRPr="00A82215" w:rsidRDefault="00A82215" w:rsidP="00A82215">
            <w:pPr>
              <w:cnfStyle w:val="000000000000" w:firstRow="0" w:lastRow="0" w:firstColumn="0" w:lastColumn="0" w:oddVBand="0" w:evenVBand="0" w:oddHBand="0" w:evenHBand="0" w:firstRowFirstColumn="0" w:firstRowLastColumn="0" w:lastRowFirstColumn="0" w:lastRowLastColumn="0"/>
            </w:pPr>
            <w:r w:rsidRPr="00A82215">
              <w:t>1956.4</w:t>
            </w:r>
          </w:p>
        </w:tc>
        <w:tc>
          <w:tcPr>
            <w:tcW w:w="1195" w:type="dxa"/>
            <w:vAlign w:val="bottom"/>
          </w:tcPr>
          <w:p w:rsidR="00A82215" w:rsidRPr="00A82215" w:rsidRDefault="00A82215" w:rsidP="00A82215">
            <w:pPr>
              <w:cnfStyle w:val="000000000000" w:firstRow="0" w:lastRow="0" w:firstColumn="0" w:lastColumn="0" w:oddVBand="0" w:evenVBand="0" w:oddHBand="0" w:evenHBand="0" w:firstRowFirstColumn="0" w:firstRowLastColumn="0" w:lastRowFirstColumn="0" w:lastRowLastColumn="0"/>
            </w:pPr>
            <w:r w:rsidRPr="00A82215">
              <w:t>1507.0</w:t>
            </w:r>
          </w:p>
        </w:tc>
        <w:tc>
          <w:tcPr>
            <w:tcW w:w="1195" w:type="dxa"/>
            <w:vAlign w:val="bottom"/>
          </w:tcPr>
          <w:p w:rsidR="00A82215" w:rsidRPr="00A82215" w:rsidRDefault="00A82215" w:rsidP="00A82215">
            <w:pPr>
              <w:cnfStyle w:val="000000000000" w:firstRow="0" w:lastRow="0" w:firstColumn="0" w:lastColumn="0" w:oddVBand="0" w:evenVBand="0" w:oddHBand="0" w:evenHBand="0" w:firstRowFirstColumn="0" w:firstRowLastColumn="0" w:lastRowFirstColumn="0" w:lastRowLastColumn="0"/>
            </w:pPr>
            <w:r w:rsidRPr="00A82215">
              <w:t>1450.3</w:t>
            </w:r>
          </w:p>
        </w:tc>
        <w:tc>
          <w:tcPr>
            <w:tcW w:w="1195" w:type="dxa"/>
            <w:vAlign w:val="bottom"/>
          </w:tcPr>
          <w:p w:rsidR="00A82215" w:rsidRPr="00A82215" w:rsidRDefault="00A82215" w:rsidP="00A82215">
            <w:pPr>
              <w:cnfStyle w:val="000000000000" w:firstRow="0" w:lastRow="0" w:firstColumn="0" w:lastColumn="0" w:oddVBand="0" w:evenVBand="0" w:oddHBand="0" w:evenHBand="0" w:firstRowFirstColumn="0" w:firstRowLastColumn="0" w:lastRowFirstColumn="0" w:lastRowLastColumn="0"/>
            </w:pPr>
            <w:r w:rsidRPr="00A82215">
              <w:t>1440.2</w:t>
            </w:r>
          </w:p>
        </w:tc>
        <w:tc>
          <w:tcPr>
            <w:tcW w:w="1195" w:type="dxa"/>
            <w:vAlign w:val="bottom"/>
          </w:tcPr>
          <w:p w:rsidR="00A82215" w:rsidRPr="00A82215" w:rsidRDefault="00A82215" w:rsidP="00A82215">
            <w:pPr>
              <w:cnfStyle w:val="000000000000" w:firstRow="0" w:lastRow="0" w:firstColumn="0" w:lastColumn="0" w:oddVBand="0" w:evenVBand="0" w:oddHBand="0" w:evenHBand="0" w:firstRowFirstColumn="0" w:firstRowLastColumn="0" w:lastRowFirstColumn="0" w:lastRowLastColumn="0"/>
            </w:pPr>
            <w:r w:rsidRPr="00A82215">
              <w:t>1430.3</w:t>
            </w:r>
          </w:p>
        </w:tc>
      </w:tr>
      <w:tr w:rsidR="00A82215" w:rsidTr="003E2E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tcPr>
          <w:p w:rsidR="00A82215" w:rsidRPr="00A82215" w:rsidRDefault="00A82215" w:rsidP="00A82215">
            <w:r w:rsidRPr="00A82215">
              <w:t>X factor</w:t>
            </w:r>
          </w:p>
        </w:tc>
        <w:tc>
          <w:tcPr>
            <w:tcW w:w="1084" w:type="dxa"/>
            <w:vAlign w:val="top"/>
          </w:tcPr>
          <w:p w:rsidR="00A82215" w:rsidRPr="00A82215" w:rsidRDefault="00A82215" w:rsidP="00A82215">
            <w:pPr>
              <w:cnfStyle w:val="000000010000" w:firstRow="0" w:lastRow="0" w:firstColumn="0" w:lastColumn="0" w:oddVBand="0" w:evenVBand="0" w:oddHBand="0" w:evenHBand="1" w:firstRowFirstColumn="0" w:firstRowLastColumn="0" w:lastRowFirstColumn="0" w:lastRowLastColumn="0"/>
            </w:pPr>
            <w:r w:rsidRPr="00A82215">
              <w:t>n/a</w:t>
            </w:r>
          </w:p>
        </w:tc>
        <w:tc>
          <w:tcPr>
            <w:tcW w:w="1195" w:type="dxa"/>
            <w:vAlign w:val="bottom"/>
          </w:tcPr>
          <w:p w:rsidR="00A82215" w:rsidRPr="00A82215" w:rsidRDefault="00A82215" w:rsidP="00A82215">
            <w:pPr>
              <w:cnfStyle w:val="000000010000" w:firstRow="0" w:lastRow="0" w:firstColumn="0" w:lastColumn="0" w:oddVBand="0" w:evenVBand="0" w:oddHBand="0" w:evenHBand="1" w:firstRowFirstColumn="0" w:firstRowLastColumn="0" w:lastRowFirstColumn="0" w:lastRowLastColumn="0"/>
            </w:pPr>
            <w:r w:rsidRPr="00A82215">
              <w:t>24.77%</w:t>
            </w:r>
          </w:p>
        </w:tc>
        <w:tc>
          <w:tcPr>
            <w:tcW w:w="1195" w:type="dxa"/>
            <w:vAlign w:val="bottom"/>
          </w:tcPr>
          <w:p w:rsidR="00A82215" w:rsidRPr="00A82215" w:rsidRDefault="00A82215" w:rsidP="00A82215">
            <w:pPr>
              <w:cnfStyle w:val="000000010000" w:firstRow="0" w:lastRow="0" w:firstColumn="0" w:lastColumn="0" w:oddVBand="0" w:evenVBand="0" w:oddHBand="0" w:evenHBand="1" w:firstRowFirstColumn="0" w:firstRowLastColumn="0" w:lastRowFirstColumn="0" w:lastRowLastColumn="0"/>
            </w:pPr>
            <w:r w:rsidRPr="00A82215">
              <w:t>6.0</w:t>
            </w:r>
            <w:r>
              <w:t>0</w:t>
            </w:r>
            <w:r w:rsidRPr="00A82215">
              <w:t>%</w:t>
            </w:r>
          </w:p>
        </w:tc>
        <w:tc>
          <w:tcPr>
            <w:tcW w:w="1195" w:type="dxa"/>
            <w:vAlign w:val="top"/>
          </w:tcPr>
          <w:p w:rsidR="00A82215" w:rsidRPr="00A82215" w:rsidRDefault="00A82215" w:rsidP="00A82215">
            <w:pPr>
              <w:cnfStyle w:val="000000010000" w:firstRow="0" w:lastRow="0" w:firstColumn="0" w:lastColumn="0" w:oddVBand="0" w:evenVBand="0" w:oddHBand="0" w:evenHBand="1" w:firstRowFirstColumn="0" w:firstRowLastColumn="0" w:lastRowFirstColumn="0" w:lastRowLastColumn="0"/>
            </w:pPr>
            <w:r w:rsidRPr="00A82215">
              <w:t>3.00%</w:t>
            </w:r>
          </w:p>
        </w:tc>
        <w:tc>
          <w:tcPr>
            <w:tcW w:w="1195" w:type="dxa"/>
            <w:vAlign w:val="top"/>
          </w:tcPr>
          <w:p w:rsidR="00A82215" w:rsidRPr="00A82215" w:rsidRDefault="00A82215" w:rsidP="00A82215">
            <w:pPr>
              <w:cnfStyle w:val="000000010000" w:firstRow="0" w:lastRow="0" w:firstColumn="0" w:lastColumn="0" w:oddVBand="0" w:evenVBand="0" w:oddHBand="0" w:evenHBand="1" w:firstRowFirstColumn="0" w:firstRowLastColumn="0" w:lastRowFirstColumn="0" w:lastRowLastColumn="0"/>
            </w:pPr>
            <w:r w:rsidRPr="00A82215">
              <w:t>3.00%</w:t>
            </w:r>
          </w:p>
        </w:tc>
      </w:tr>
    </w:tbl>
    <w:p w:rsidR="00A32071" w:rsidRDefault="00A32071" w:rsidP="00A32071">
      <w:pPr>
        <w:pStyle w:val="AERtablesource"/>
        <w:numPr>
          <w:ilvl w:val="0"/>
          <w:numId w:val="25"/>
        </w:numPr>
      </w:pPr>
      <w:r>
        <w:lastRenderedPageBreak/>
        <w:t>Source:</w:t>
      </w:r>
      <w:r>
        <w:tab/>
        <w:t xml:space="preserve">Ausgrid, </w:t>
      </w:r>
      <w:r w:rsidRPr="004052CB">
        <w:rPr>
          <w:rStyle w:val="AERtextitalic"/>
        </w:rPr>
        <w:t xml:space="preserve">Revised </w:t>
      </w:r>
      <w:r>
        <w:rPr>
          <w:rStyle w:val="AERtextitalic"/>
        </w:rPr>
        <w:t>r</w:t>
      </w:r>
      <w:r w:rsidRPr="001079F8">
        <w:rPr>
          <w:rStyle w:val="AERtextitalic"/>
        </w:rPr>
        <w:t>egulatory proposal</w:t>
      </w:r>
      <w:r>
        <w:t>, January 2015, Attachment 4.08.</w:t>
      </w:r>
    </w:p>
    <w:p w:rsidR="00866CC9" w:rsidRDefault="00A32071" w:rsidP="00A32071">
      <w:pPr>
        <w:pStyle w:val="AERtablesource"/>
        <w:numPr>
          <w:ilvl w:val="0"/>
          <w:numId w:val="25"/>
        </w:numPr>
      </w:pPr>
      <w:r>
        <w:tab/>
        <w:t>AER analysis.</w:t>
      </w:r>
    </w:p>
    <w:p w:rsidR="00A32071" w:rsidRDefault="00866CC9" w:rsidP="00A32071">
      <w:pPr>
        <w:pStyle w:val="AERtablesource"/>
        <w:numPr>
          <w:ilvl w:val="0"/>
          <w:numId w:val="25"/>
        </w:numPr>
      </w:pPr>
      <w:r>
        <w:t xml:space="preserve">(a) </w:t>
      </w:r>
      <w:r>
        <w:tab/>
        <w:t xml:space="preserve">Ausgrid's revised proposal revenue was adjusted to include ACS revenue of $72 million ($ nominal) for </w:t>
      </w:r>
      <w:r>
        <w:tab/>
        <w:t>metering, ANS and ERW for 2014–15.</w:t>
      </w:r>
      <w:r w:rsidR="00A32071">
        <w:t xml:space="preserve"> </w:t>
      </w:r>
      <w:r>
        <w:t>The smoothed revenue</w:t>
      </w:r>
      <w:r w:rsidR="009F5863">
        <w:t>s</w:t>
      </w:r>
      <w:r>
        <w:t xml:space="preserve"> presented reflect this adjustment to </w:t>
      </w:r>
      <w:r w:rsidR="009F5863">
        <w:tab/>
      </w:r>
      <w:r>
        <w:t>Ausgrid's</w:t>
      </w:r>
      <w:r w:rsidR="0093262C">
        <w:t xml:space="preserve"> </w:t>
      </w:r>
      <w:r>
        <w:t>revised proposal PTRM.</w:t>
      </w:r>
    </w:p>
    <w:p w:rsidR="00A32071" w:rsidRDefault="00A32071" w:rsidP="00A32071">
      <w:pPr>
        <w:pStyle w:val="Caption"/>
      </w:pPr>
      <w:bookmarkStart w:id="35" w:name="_Ref416179538"/>
      <w:r>
        <w:t xml:space="preserve">Table </w:t>
      </w:r>
      <w:fldSimple w:instr=" STYLEREF 1 \s ">
        <w:r w:rsidR="00A11853">
          <w:rPr>
            <w:noProof/>
          </w:rPr>
          <w:t>1</w:t>
        </w:r>
      </w:fldSimple>
      <w:r>
        <w:t>.</w:t>
      </w:r>
      <w:fldSimple w:instr=" SEQ Table \* ARABIC \s 1 ">
        <w:r w:rsidR="00A11853">
          <w:rPr>
            <w:noProof/>
          </w:rPr>
          <w:t>6</w:t>
        </w:r>
      </w:fldSimple>
      <w:bookmarkEnd w:id="35"/>
      <w:r>
        <w:tab/>
        <w:t xml:space="preserve">Ausgrid's revised proposal </w:t>
      </w:r>
      <w:r w:rsidR="00445763">
        <w:t xml:space="preserve">and </w:t>
      </w:r>
      <w:r>
        <w:t>AER's final decision smoothed expected revenues for the 2014–19 period – transmission ($million, nominal)</w:t>
      </w:r>
    </w:p>
    <w:tbl>
      <w:tblPr>
        <w:tblStyle w:val="AERtable-numbers"/>
        <w:tblW w:w="0" w:type="auto"/>
        <w:tblLook w:val="04A0" w:firstRow="1" w:lastRow="0" w:firstColumn="1" w:lastColumn="0" w:noHBand="0" w:noVBand="1"/>
      </w:tblPr>
      <w:tblGrid>
        <w:gridCol w:w="3369"/>
        <w:gridCol w:w="992"/>
        <w:gridCol w:w="1134"/>
        <w:gridCol w:w="1134"/>
        <w:gridCol w:w="992"/>
        <w:gridCol w:w="1072"/>
      </w:tblGrid>
      <w:tr w:rsidR="00E555FA" w:rsidTr="00513B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A32071" w:rsidRDefault="00A32071" w:rsidP="00A32071"/>
        </w:tc>
        <w:tc>
          <w:tcPr>
            <w:tcW w:w="992" w:type="dxa"/>
          </w:tcPr>
          <w:p w:rsidR="00A32071" w:rsidRDefault="00A32071" w:rsidP="00A32071">
            <w:pPr>
              <w:cnfStyle w:val="100000000000" w:firstRow="1" w:lastRow="0" w:firstColumn="0" w:lastColumn="0" w:oddVBand="0" w:evenVBand="0" w:oddHBand="0" w:evenHBand="0" w:firstRowFirstColumn="0" w:firstRowLastColumn="0" w:lastRowFirstColumn="0" w:lastRowLastColumn="0"/>
            </w:pPr>
            <w:r>
              <w:t>2014–15</w:t>
            </w:r>
          </w:p>
        </w:tc>
        <w:tc>
          <w:tcPr>
            <w:tcW w:w="1134" w:type="dxa"/>
          </w:tcPr>
          <w:p w:rsidR="00A32071" w:rsidRDefault="00A32071" w:rsidP="00A32071">
            <w:pPr>
              <w:cnfStyle w:val="100000000000" w:firstRow="1" w:lastRow="0" w:firstColumn="0" w:lastColumn="0" w:oddVBand="0" w:evenVBand="0" w:oddHBand="0" w:evenHBand="0" w:firstRowFirstColumn="0" w:firstRowLastColumn="0" w:lastRowFirstColumn="0" w:lastRowLastColumn="0"/>
            </w:pPr>
            <w:r>
              <w:t>2015–16</w:t>
            </w:r>
          </w:p>
        </w:tc>
        <w:tc>
          <w:tcPr>
            <w:tcW w:w="1134" w:type="dxa"/>
          </w:tcPr>
          <w:p w:rsidR="00A32071" w:rsidRDefault="00A32071" w:rsidP="00A32071">
            <w:pPr>
              <w:cnfStyle w:val="100000000000" w:firstRow="1" w:lastRow="0" w:firstColumn="0" w:lastColumn="0" w:oddVBand="0" w:evenVBand="0" w:oddHBand="0" w:evenHBand="0" w:firstRowFirstColumn="0" w:firstRowLastColumn="0" w:lastRowFirstColumn="0" w:lastRowLastColumn="0"/>
            </w:pPr>
            <w:r>
              <w:t>2016–17</w:t>
            </w:r>
          </w:p>
        </w:tc>
        <w:tc>
          <w:tcPr>
            <w:tcW w:w="992" w:type="dxa"/>
          </w:tcPr>
          <w:p w:rsidR="00A32071" w:rsidRDefault="00A32071" w:rsidP="00A32071">
            <w:pPr>
              <w:cnfStyle w:val="100000000000" w:firstRow="1" w:lastRow="0" w:firstColumn="0" w:lastColumn="0" w:oddVBand="0" w:evenVBand="0" w:oddHBand="0" w:evenHBand="0" w:firstRowFirstColumn="0" w:firstRowLastColumn="0" w:lastRowFirstColumn="0" w:lastRowLastColumn="0"/>
            </w:pPr>
            <w:r>
              <w:t>2017–18</w:t>
            </w:r>
          </w:p>
        </w:tc>
        <w:tc>
          <w:tcPr>
            <w:tcW w:w="1072" w:type="dxa"/>
          </w:tcPr>
          <w:p w:rsidR="00A32071" w:rsidRDefault="00A32071" w:rsidP="00A32071">
            <w:pPr>
              <w:cnfStyle w:val="100000000000" w:firstRow="1" w:lastRow="0" w:firstColumn="0" w:lastColumn="0" w:oddVBand="0" w:evenVBand="0" w:oddHBand="0" w:evenHBand="0" w:firstRowFirstColumn="0" w:firstRowLastColumn="0" w:lastRowFirstColumn="0" w:lastRowLastColumn="0"/>
            </w:pPr>
            <w:r>
              <w:t>2018–19</w:t>
            </w:r>
          </w:p>
        </w:tc>
      </w:tr>
      <w:tr w:rsidR="00E555FA" w:rsidTr="00464793">
        <w:tc>
          <w:tcPr>
            <w:cnfStyle w:val="001000000000" w:firstRow="0" w:lastRow="0" w:firstColumn="1" w:lastColumn="0" w:oddVBand="0" w:evenVBand="0" w:oddHBand="0" w:evenHBand="0" w:firstRowFirstColumn="0" w:firstRowLastColumn="0" w:lastRowFirstColumn="0" w:lastRowLastColumn="0"/>
            <w:tcW w:w="3369" w:type="dxa"/>
          </w:tcPr>
          <w:p w:rsidR="005C360D" w:rsidRPr="005C360D" w:rsidRDefault="005C360D" w:rsidP="005C360D">
            <w:proofErr w:type="spellStart"/>
            <w:r w:rsidRPr="005C360D">
              <w:t>Ausgrid's</w:t>
            </w:r>
            <w:proofErr w:type="spellEnd"/>
            <w:r w:rsidRPr="005C360D">
              <w:t xml:space="preserve"> revised proposal</w:t>
            </w:r>
          </w:p>
        </w:tc>
        <w:tc>
          <w:tcPr>
            <w:tcW w:w="992" w:type="dxa"/>
            <w:vAlign w:val="top"/>
          </w:tcPr>
          <w:p w:rsidR="005C360D" w:rsidRPr="005C360D" w:rsidRDefault="005C360D" w:rsidP="005C360D">
            <w:pPr>
              <w:cnfStyle w:val="000000000000" w:firstRow="0" w:lastRow="0" w:firstColumn="0" w:lastColumn="0" w:oddVBand="0" w:evenVBand="0" w:oddHBand="0" w:evenHBand="0" w:firstRowFirstColumn="0" w:firstRowLastColumn="0" w:lastRowFirstColumn="0" w:lastRowLastColumn="0"/>
            </w:pPr>
            <w:r w:rsidRPr="005C360D">
              <w:t>252.3</w:t>
            </w:r>
          </w:p>
        </w:tc>
        <w:tc>
          <w:tcPr>
            <w:tcW w:w="1134" w:type="dxa"/>
            <w:vAlign w:val="top"/>
          </w:tcPr>
          <w:p w:rsidR="005C360D" w:rsidRPr="005C360D" w:rsidRDefault="005C360D" w:rsidP="005C360D">
            <w:pPr>
              <w:cnfStyle w:val="000000000000" w:firstRow="0" w:lastRow="0" w:firstColumn="0" w:lastColumn="0" w:oddVBand="0" w:evenVBand="0" w:oddHBand="0" w:evenHBand="0" w:firstRowFirstColumn="0" w:firstRowLastColumn="0" w:lastRowFirstColumn="0" w:lastRowLastColumn="0"/>
            </w:pPr>
            <w:r w:rsidRPr="005C360D">
              <w:t>262.9</w:t>
            </w:r>
          </w:p>
        </w:tc>
        <w:tc>
          <w:tcPr>
            <w:tcW w:w="1134" w:type="dxa"/>
            <w:vAlign w:val="top"/>
          </w:tcPr>
          <w:p w:rsidR="005C360D" w:rsidRPr="005C360D" w:rsidRDefault="005C360D" w:rsidP="005C360D">
            <w:pPr>
              <w:cnfStyle w:val="000000000000" w:firstRow="0" w:lastRow="0" w:firstColumn="0" w:lastColumn="0" w:oddVBand="0" w:evenVBand="0" w:oddHBand="0" w:evenHBand="0" w:firstRowFirstColumn="0" w:firstRowLastColumn="0" w:lastRowFirstColumn="0" w:lastRowLastColumn="0"/>
            </w:pPr>
            <w:r w:rsidRPr="005C360D">
              <w:t>274.0</w:t>
            </w:r>
          </w:p>
        </w:tc>
        <w:tc>
          <w:tcPr>
            <w:tcW w:w="992" w:type="dxa"/>
            <w:vAlign w:val="top"/>
          </w:tcPr>
          <w:p w:rsidR="005C360D" w:rsidRPr="005C360D" w:rsidRDefault="005C360D" w:rsidP="005C360D">
            <w:pPr>
              <w:cnfStyle w:val="000000000000" w:firstRow="0" w:lastRow="0" w:firstColumn="0" w:lastColumn="0" w:oddVBand="0" w:evenVBand="0" w:oddHBand="0" w:evenHBand="0" w:firstRowFirstColumn="0" w:firstRowLastColumn="0" w:lastRowFirstColumn="0" w:lastRowLastColumn="0"/>
            </w:pPr>
            <w:r w:rsidRPr="005C360D">
              <w:t>285.5</w:t>
            </w:r>
          </w:p>
        </w:tc>
        <w:tc>
          <w:tcPr>
            <w:tcW w:w="1072" w:type="dxa"/>
            <w:vAlign w:val="top"/>
          </w:tcPr>
          <w:p w:rsidR="005C360D" w:rsidRPr="005C360D" w:rsidRDefault="005C360D" w:rsidP="005C360D">
            <w:pPr>
              <w:cnfStyle w:val="000000000000" w:firstRow="0" w:lastRow="0" w:firstColumn="0" w:lastColumn="0" w:oddVBand="0" w:evenVBand="0" w:oddHBand="0" w:evenHBand="0" w:firstRowFirstColumn="0" w:firstRowLastColumn="0" w:lastRowFirstColumn="0" w:lastRowLastColumn="0"/>
            </w:pPr>
            <w:r w:rsidRPr="005C360D">
              <w:t>297.5</w:t>
            </w:r>
          </w:p>
        </w:tc>
      </w:tr>
      <w:tr w:rsidR="00E555FA" w:rsidTr="004647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5C360D" w:rsidRPr="005C360D" w:rsidRDefault="005C360D" w:rsidP="005C360D">
            <w:r w:rsidRPr="005C360D">
              <w:t>X factor</w:t>
            </w:r>
          </w:p>
        </w:tc>
        <w:tc>
          <w:tcPr>
            <w:tcW w:w="992" w:type="dxa"/>
            <w:vAlign w:val="top"/>
          </w:tcPr>
          <w:p w:rsidR="005C360D" w:rsidRPr="005C360D" w:rsidRDefault="006A208C" w:rsidP="006A208C">
            <w:pPr>
              <w:cnfStyle w:val="000000010000" w:firstRow="0" w:lastRow="0" w:firstColumn="0" w:lastColumn="0" w:oddVBand="0" w:evenVBand="0" w:oddHBand="0" w:evenHBand="1" w:firstRowFirstColumn="0" w:firstRowLastColumn="0" w:lastRowFirstColumn="0" w:lastRowLastColumn="0"/>
            </w:pPr>
            <w:r>
              <w:t>n/a</w:t>
            </w:r>
          </w:p>
        </w:tc>
        <w:tc>
          <w:tcPr>
            <w:tcW w:w="1134" w:type="dxa"/>
            <w:vAlign w:val="top"/>
          </w:tcPr>
          <w:p w:rsidR="005C360D" w:rsidRPr="005C360D" w:rsidRDefault="00E974B2" w:rsidP="005C360D">
            <w:pPr>
              <w:cnfStyle w:val="000000010000" w:firstRow="0" w:lastRow="0" w:firstColumn="0" w:lastColumn="0" w:oddVBand="0" w:evenVBand="0" w:oddHBand="0" w:evenHBand="1" w:firstRowFirstColumn="0" w:firstRowLastColumn="0" w:lastRowFirstColumn="0" w:lastRowLastColumn="0"/>
            </w:pPr>
            <w:r>
              <w:t>–</w:t>
            </w:r>
            <w:r w:rsidR="005C360D" w:rsidRPr="005C360D">
              <w:t>1.66%</w:t>
            </w:r>
          </w:p>
        </w:tc>
        <w:tc>
          <w:tcPr>
            <w:tcW w:w="1134" w:type="dxa"/>
            <w:vAlign w:val="top"/>
          </w:tcPr>
          <w:p w:rsidR="005C360D" w:rsidRPr="005C360D" w:rsidRDefault="00E974B2" w:rsidP="005C360D">
            <w:pPr>
              <w:cnfStyle w:val="000000010000" w:firstRow="0" w:lastRow="0" w:firstColumn="0" w:lastColumn="0" w:oddVBand="0" w:evenVBand="0" w:oddHBand="0" w:evenHBand="1" w:firstRowFirstColumn="0" w:firstRowLastColumn="0" w:lastRowFirstColumn="0" w:lastRowLastColumn="0"/>
            </w:pPr>
            <w:r>
              <w:t>–</w:t>
            </w:r>
            <w:r w:rsidR="005C360D" w:rsidRPr="005C360D">
              <w:t>1.66%</w:t>
            </w:r>
          </w:p>
        </w:tc>
        <w:tc>
          <w:tcPr>
            <w:tcW w:w="992" w:type="dxa"/>
            <w:vAlign w:val="top"/>
          </w:tcPr>
          <w:p w:rsidR="005C360D" w:rsidRPr="005C360D" w:rsidRDefault="00E974B2" w:rsidP="005C360D">
            <w:pPr>
              <w:cnfStyle w:val="000000010000" w:firstRow="0" w:lastRow="0" w:firstColumn="0" w:lastColumn="0" w:oddVBand="0" w:evenVBand="0" w:oddHBand="0" w:evenHBand="1" w:firstRowFirstColumn="0" w:firstRowLastColumn="0" w:lastRowFirstColumn="0" w:lastRowLastColumn="0"/>
            </w:pPr>
            <w:r>
              <w:t>–</w:t>
            </w:r>
            <w:r w:rsidR="005C360D" w:rsidRPr="005C360D">
              <w:t>1.66%</w:t>
            </w:r>
          </w:p>
        </w:tc>
        <w:tc>
          <w:tcPr>
            <w:tcW w:w="1072" w:type="dxa"/>
            <w:vAlign w:val="top"/>
          </w:tcPr>
          <w:p w:rsidR="005C360D" w:rsidRPr="005C360D" w:rsidRDefault="00E974B2" w:rsidP="005C360D">
            <w:pPr>
              <w:cnfStyle w:val="000000010000" w:firstRow="0" w:lastRow="0" w:firstColumn="0" w:lastColumn="0" w:oddVBand="0" w:evenVBand="0" w:oddHBand="0" w:evenHBand="1" w:firstRowFirstColumn="0" w:firstRowLastColumn="0" w:lastRowFirstColumn="0" w:lastRowLastColumn="0"/>
            </w:pPr>
            <w:r>
              <w:t>–</w:t>
            </w:r>
            <w:r w:rsidR="005C360D" w:rsidRPr="005C360D">
              <w:t>1.66%</w:t>
            </w:r>
          </w:p>
        </w:tc>
      </w:tr>
      <w:tr w:rsidR="00E555FA" w:rsidTr="000739F0">
        <w:tc>
          <w:tcPr>
            <w:cnfStyle w:val="001000000000" w:firstRow="0" w:lastRow="0" w:firstColumn="1" w:lastColumn="0" w:oddVBand="0" w:evenVBand="0" w:oddHBand="0" w:evenHBand="0" w:firstRowFirstColumn="0" w:firstRowLastColumn="0" w:lastRowFirstColumn="0" w:lastRowLastColumn="0"/>
            <w:tcW w:w="3369" w:type="dxa"/>
          </w:tcPr>
          <w:p w:rsidR="00A82215" w:rsidRPr="00A82215" w:rsidRDefault="00A82215" w:rsidP="00A82215">
            <w:r w:rsidRPr="00A82215">
              <w:t>AER final decision</w:t>
            </w:r>
          </w:p>
        </w:tc>
        <w:tc>
          <w:tcPr>
            <w:tcW w:w="992" w:type="dxa"/>
            <w:vAlign w:val="top"/>
          </w:tcPr>
          <w:p w:rsidR="00A82215" w:rsidRPr="00A82215" w:rsidRDefault="00A82215" w:rsidP="00A82215">
            <w:pPr>
              <w:cnfStyle w:val="000000000000" w:firstRow="0" w:lastRow="0" w:firstColumn="0" w:lastColumn="0" w:oddVBand="0" w:evenVBand="0" w:oddHBand="0" w:evenHBand="0" w:firstRowFirstColumn="0" w:firstRowLastColumn="0" w:lastRowFirstColumn="0" w:lastRowLastColumn="0"/>
            </w:pPr>
            <w:r w:rsidRPr="00A82215">
              <w:t>252.3</w:t>
            </w:r>
          </w:p>
        </w:tc>
        <w:tc>
          <w:tcPr>
            <w:tcW w:w="1134" w:type="dxa"/>
            <w:vAlign w:val="bottom"/>
          </w:tcPr>
          <w:p w:rsidR="00A82215" w:rsidRPr="00A82215" w:rsidRDefault="00A82215" w:rsidP="00E555FA">
            <w:pPr>
              <w:cnfStyle w:val="000000000000" w:firstRow="0" w:lastRow="0" w:firstColumn="0" w:lastColumn="0" w:oddVBand="0" w:evenVBand="0" w:oddHBand="0" w:evenHBand="0" w:firstRowFirstColumn="0" w:firstRowLastColumn="0" w:lastRowFirstColumn="0" w:lastRowLastColumn="0"/>
            </w:pPr>
            <w:r w:rsidRPr="00A82215">
              <w:t>1</w:t>
            </w:r>
            <w:r w:rsidR="00E555FA">
              <w:t>86.3</w:t>
            </w:r>
          </w:p>
        </w:tc>
        <w:tc>
          <w:tcPr>
            <w:tcW w:w="1134" w:type="dxa"/>
            <w:vAlign w:val="bottom"/>
          </w:tcPr>
          <w:p w:rsidR="00A82215" w:rsidRPr="00A82215" w:rsidRDefault="00A82215" w:rsidP="00E555FA">
            <w:pPr>
              <w:cnfStyle w:val="000000000000" w:firstRow="0" w:lastRow="0" w:firstColumn="0" w:lastColumn="0" w:oddVBand="0" w:evenVBand="0" w:oddHBand="0" w:evenHBand="0" w:firstRowFirstColumn="0" w:firstRowLastColumn="0" w:lastRowFirstColumn="0" w:lastRowLastColumn="0"/>
            </w:pPr>
            <w:r w:rsidRPr="00A82215">
              <w:t>18</w:t>
            </w:r>
            <w:r w:rsidR="00E555FA">
              <w:t>6.9</w:t>
            </w:r>
          </w:p>
        </w:tc>
        <w:tc>
          <w:tcPr>
            <w:tcW w:w="992" w:type="dxa"/>
            <w:vAlign w:val="bottom"/>
          </w:tcPr>
          <w:p w:rsidR="00A82215" w:rsidRPr="00A82215" w:rsidRDefault="00A82215" w:rsidP="00E555FA">
            <w:pPr>
              <w:cnfStyle w:val="000000000000" w:firstRow="0" w:lastRow="0" w:firstColumn="0" w:lastColumn="0" w:oddVBand="0" w:evenVBand="0" w:oddHBand="0" w:evenHBand="0" w:firstRowFirstColumn="0" w:firstRowLastColumn="0" w:lastRowFirstColumn="0" w:lastRowLastColumn="0"/>
            </w:pPr>
            <w:r w:rsidRPr="00A82215">
              <w:t>187.</w:t>
            </w:r>
            <w:r w:rsidR="00E555FA">
              <w:t>5</w:t>
            </w:r>
          </w:p>
        </w:tc>
        <w:tc>
          <w:tcPr>
            <w:tcW w:w="1072" w:type="dxa"/>
            <w:vAlign w:val="bottom"/>
          </w:tcPr>
          <w:p w:rsidR="00A82215" w:rsidRPr="00A82215" w:rsidRDefault="00A82215" w:rsidP="00E555FA">
            <w:pPr>
              <w:cnfStyle w:val="000000000000" w:firstRow="0" w:lastRow="0" w:firstColumn="0" w:lastColumn="0" w:oddVBand="0" w:evenVBand="0" w:oddHBand="0" w:evenHBand="0" w:firstRowFirstColumn="0" w:firstRowLastColumn="0" w:lastRowFirstColumn="0" w:lastRowLastColumn="0"/>
            </w:pPr>
            <w:r w:rsidRPr="00A82215">
              <w:t>18</w:t>
            </w:r>
            <w:r w:rsidR="00E555FA">
              <w:t>8.1</w:t>
            </w:r>
          </w:p>
        </w:tc>
      </w:tr>
      <w:tr w:rsidR="00E555FA" w:rsidTr="004647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5C360D" w:rsidRPr="005C360D" w:rsidRDefault="005C360D" w:rsidP="005C360D">
            <w:r w:rsidRPr="005C360D">
              <w:t>X factor</w:t>
            </w:r>
          </w:p>
        </w:tc>
        <w:tc>
          <w:tcPr>
            <w:tcW w:w="992" w:type="dxa"/>
            <w:vAlign w:val="top"/>
          </w:tcPr>
          <w:p w:rsidR="005C360D" w:rsidRPr="005C360D" w:rsidRDefault="006A208C" w:rsidP="006A208C">
            <w:pPr>
              <w:cnfStyle w:val="000000010000" w:firstRow="0" w:lastRow="0" w:firstColumn="0" w:lastColumn="0" w:oddVBand="0" w:evenVBand="0" w:oddHBand="0" w:evenHBand="1" w:firstRowFirstColumn="0" w:firstRowLastColumn="0" w:lastRowFirstColumn="0" w:lastRowLastColumn="0"/>
            </w:pPr>
            <w:r>
              <w:t>n/a</w:t>
            </w:r>
          </w:p>
        </w:tc>
        <w:tc>
          <w:tcPr>
            <w:tcW w:w="1134" w:type="dxa"/>
            <w:vAlign w:val="top"/>
          </w:tcPr>
          <w:p w:rsidR="005C360D" w:rsidRPr="005C360D" w:rsidRDefault="005C360D" w:rsidP="00E555FA">
            <w:pPr>
              <w:cnfStyle w:val="000000010000" w:firstRow="0" w:lastRow="0" w:firstColumn="0" w:lastColumn="0" w:oddVBand="0" w:evenVBand="0" w:oddHBand="0" w:evenHBand="1" w:firstRowFirstColumn="0" w:firstRowLastColumn="0" w:lastRowFirstColumn="0" w:lastRowLastColumn="0"/>
            </w:pPr>
            <w:r w:rsidRPr="005C360D">
              <w:t>2</w:t>
            </w:r>
            <w:r w:rsidR="00E555FA">
              <w:t>7.89</w:t>
            </w:r>
            <w:r w:rsidRPr="005C360D">
              <w:t>%</w:t>
            </w:r>
          </w:p>
        </w:tc>
        <w:tc>
          <w:tcPr>
            <w:tcW w:w="1134" w:type="dxa"/>
            <w:vAlign w:val="top"/>
          </w:tcPr>
          <w:p w:rsidR="005C360D" w:rsidRPr="005C360D" w:rsidRDefault="00464793" w:rsidP="00464793">
            <w:pPr>
              <w:cnfStyle w:val="000000010000" w:firstRow="0" w:lastRow="0" w:firstColumn="0" w:lastColumn="0" w:oddVBand="0" w:evenVBand="0" w:oddHBand="0" w:evenHBand="1" w:firstRowFirstColumn="0" w:firstRowLastColumn="0" w:lastRowFirstColumn="0" w:lastRowLastColumn="0"/>
            </w:pPr>
            <w:r>
              <w:t>4.00</w:t>
            </w:r>
            <w:r w:rsidR="005C360D" w:rsidRPr="005C360D">
              <w:t>%</w:t>
            </w:r>
          </w:p>
        </w:tc>
        <w:tc>
          <w:tcPr>
            <w:tcW w:w="992" w:type="dxa"/>
            <w:vAlign w:val="top"/>
          </w:tcPr>
          <w:p w:rsidR="005C360D" w:rsidRPr="005C360D" w:rsidRDefault="005C360D" w:rsidP="005C360D">
            <w:pPr>
              <w:cnfStyle w:val="000000010000" w:firstRow="0" w:lastRow="0" w:firstColumn="0" w:lastColumn="0" w:oddVBand="0" w:evenVBand="0" w:oddHBand="0" w:evenHBand="1" w:firstRowFirstColumn="0" w:firstRowLastColumn="0" w:lastRowFirstColumn="0" w:lastRowLastColumn="0"/>
            </w:pPr>
            <w:r w:rsidRPr="005C360D">
              <w:t>2.50%</w:t>
            </w:r>
          </w:p>
        </w:tc>
        <w:tc>
          <w:tcPr>
            <w:tcW w:w="1072" w:type="dxa"/>
            <w:vAlign w:val="top"/>
          </w:tcPr>
          <w:p w:rsidR="005C360D" w:rsidRPr="005C360D" w:rsidRDefault="00464793" w:rsidP="00464793">
            <w:pPr>
              <w:cnfStyle w:val="000000010000" w:firstRow="0" w:lastRow="0" w:firstColumn="0" w:lastColumn="0" w:oddVBand="0" w:evenVBand="0" w:oddHBand="0" w:evenHBand="1" w:firstRowFirstColumn="0" w:firstRowLastColumn="0" w:lastRowFirstColumn="0" w:lastRowLastColumn="0"/>
            </w:pPr>
            <w:r>
              <w:t>2</w:t>
            </w:r>
            <w:r w:rsidR="005C360D" w:rsidRPr="005C360D">
              <w:t>.00%</w:t>
            </w:r>
          </w:p>
        </w:tc>
      </w:tr>
    </w:tbl>
    <w:p w:rsidR="00A32071" w:rsidRDefault="00A32071" w:rsidP="00A32071">
      <w:pPr>
        <w:pStyle w:val="AERtablesource"/>
        <w:numPr>
          <w:ilvl w:val="0"/>
          <w:numId w:val="25"/>
        </w:numPr>
      </w:pPr>
      <w:r>
        <w:t>Source:</w:t>
      </w:r>
      <w:r>
        <w:tab/>
        <w:t xml:space="preserve">Ausgrid, </w:t>
      </w:r>
      <w:r w:rsidRPr="004052CB">
        <w:rPr>
          <w:rStyle w:val="AERtextitalic"/>
        </w:rPr>
        <w:t xml:space="preserve">Revised </w:t>
      </w:r>
      <w:r>
        <w:rPr>
          <w:rStyle w:val="AERtextitalic"/>
        </w:rPr>
        <w:t>r</w:t>
      </w:r>
      <w:r w:rsidRPr="001079F8">
        <w:rPr>
          <w:rStyle w:val="AERtextitalic"/>
        </w:rPr>
        <w:t>egulatory proposal</w:t>
      </w:r>
      <w:r>
        <w:t>, January 2015, Attachment 4.09.</w:t>
      </w:r>
    </w:p>
    <w:p w:rsidR="00A32071" w:rsidRDefault="00A32071" w:rsidP="00A32071">
      <w:pPr>
        <w:pStyle w:val="AERtablesource"/>
        <w:numPr>
          <w:ilvl w:val="0"/>
          <w:numId w:val="25"/>
        </w:numPr>
      </w:pPr>
      <w:r>
        <w:tab/>
        <w:t>AER analysis.</w:t>
      </w:r>
      <w:r w:rsidRPr="002F06A0">
        <w:t xml:space="preserve"> </w:t>
      </w:r>
    </w:p>
    <w:p w:rsidR="00B431B6" w:rsidRDefault="00B431B6" w:rsidP="00B431B6">
      <w:pPr>
        <w:numPr>
          <w:ilvl w:val="0"/>
          <w:numId w:val="25"/>
        </w:numPr>
      </w:pPr>
      <w:r w:rsidRPr="00513686">
        <w:t xml:space="preserve">We note that Ausgrid's transmission network has an under-recovery of $20 million in its allowed </w:t>
      </w:r>
      <w:r>
        <w:t>transmission revenue</w:t>
      </w:r>
      <w:r w:rsidRPr="00513686">
        <w:t xml:space="preserve"> for 2013–14.</w:t>
      </w:r>
      <w:r>
        <w:rPr>
          <w:rStyle w:val="FootnoteReference"/>
        </w:rPr>
        <w:footnoteReference w:id="19"/>
      </w:r>
      <w:r w:rsidRPr="00513686">
        <w:t xml:space="preserve"> Under a revenue cap Ausgrid can recover this amount in </w:t>
      </w:r>
      <w:r>
        <w:t>future</w:t>
      </w:r>
      <w:r w:rsidRPr="00513686">
        <w:t xml:space="preserve"> years. We have no role in considering the regulatory treatment of this under-recovery in this decision. Any decision by Ausgrid to recover this revenue in later years would affect transmission prices for its customer</w:t>
      </w:r>
      <w:r>
        <w:t>s</w:t>
      </w:r>
      <w:r w:rsidRPr="00513686">
        <w:t xml:space="preserve"> independently of our determination for the 2014–19 period.</w:t>
      </w:r>
    </w:p>
    <w:p w:rsidR="00A32071" w:rsidRPr="007F7AA6" w:rsidRDefault="00A32071" w:rsidP="00A32071">
      <w:pPr>
        <w:pStyle w:val="Heading3"/>
      </w:pPr>
      <w:bookmarkStart w:id="36" w:name="_Toc416180101"/>
      <w:bookmarkStart w:id="37" w:name="_Toc404354910"/>
      <w:r w:rsidRPr="007F7AA6">
        <w:t>Shared assets</w:t>
      </w:r>
      <w:bookmarkEnd w:id="36"/>
    </w:p>
    <w:p w:rsidR="00A32071" w:rsidRPr="007F7AA6" w:rsidRDefault="00A32071" w:rsidP="00A32071">
      <w:pPr>
        <w:numPr>
          <w:ilvl w:val="0"/>
          <w:numId w:val="25"/>
        </w:numPr>
      </w:pPr>
      <w:r>
        <w:t xml:space="preserve">In the draft decision, we considered that Ausgrid's forecast shared asset unregulated revenues do not meet the minimum threshold for adjustments to be made to its </w:t>
      </w:r>
      <w:r>
        <w:br/>
        <w:t>ARR.</w:t>
      </w:r>
      <w:r>
        <w:rPr>
          <w:rStyle w:val="FootnoteReference"/>
        </w:rPr>
        <w:footnoteReference w:id="20"/>
      </w:r>
      <w:r>
        <w:t xml:space="preserve"> </w:t>
      </w:r>
      <w:r w:rsidRPr="00165F17">
        <w:t xml:space="preserve">We continue to </w:t>
      </w:r>
      <w:r>
        <w:t>maintain</w:t>
      </w:r>
      <w:r w:rsidRPr="00165F17">
        <w:t xml:space="preserve"> this view. </w:t>
      </w:r>
      <w:r>
        <w:t xml:space="preserve">Our final decision is therefore consistent with our draft decision. </w:t>
      </w:r>
    </w:p>
    <w:p w:rsidR="00B431B6" w:rsidRPr="00B431B6" w:rsidRDefault="00B431B6" w:rsidP="00B431B6">
      <w:pPr>
        <w:pStyle w:val="Heading3"/>
      </w:pPr>
      <w:bookmarkStart w:id="38" w:name="_Toc416180102"/>
      <w:r w:rsidRPr="00F37EDD">
        <w:t>Indicative</w:t>
      </w:r>
      <w:r w:rsidRPr="00B431B6">
        <w:t xml:space="preserve"> average distribution price impact</w:t>
      </w:r>
      <w:bookmarkEnd w:id="37"/>
      <w:bookmarkEnd w:id="38"/>
    </w:p>
    <w:p w:rsidR="00B431B6" w:rsidRDefault="00B431B6" w:rsidP="00B431B6">
      <w:pPr>
        <w:numPr>
          <w:ilvl w:val="0"/>
          <w:numId w:val="25"/>
        </w:numPr>
      </w:pPr>
      <w:r w:rsidRPr="00446442">
        <w:t xml:space="preserve">Our </w:t>
      </w:r>
      <w:r w:rsidR="00D236F1">
        <w:t>final</w:t>
      </w:r>
      <w:r w:rsidRPr="00446442">
        <w:t xml:space="preserve"> decision on </w:t>
      </w:r>
      <w:r>
        <w:t>Ausgrid's</w:t>
      </w:r>
      <w:r w:rsidRPr="00446442">
        <w:t xml:space="preserve"> expected revenues ultimately affects the prices consumers pay for electricity. </w:t>
      </w:r>
      <w:r>
        <w:t xml:space="preserve">There are several steps required </w:t>
      </w:r>
      <w:r w:rsidR="0097618C">
        <w:t>in</w:t>
      </w:r>
      <w:r>
        <w:t xml:space="preserve"> translat</w:t>
      </w:r>
      <w:r w:rsidR="0097618C">
        <w:t>ing</w:t>
      </w:r>
      <w:r>
        <w:t xml:space="preserve"> our revenue decision to a price impact, and the steps are different depending on the network component:</w:t>
      </w:r>
    </w:p>
    <w:p w:rsidR="00B431B6" w:rsidRPr="00B431B6" w:rsidRDefault="00B431B6" w:rsidP="00B431B6">
      <w:pPr>
        <w:pStyle w:val="AERbulletlistfirststyle"/>
      </w:pPr>
      <w:r>
        <w:lastRenderedPageBreak/>
        <w:t xml:space="preserve">For Ausgrid's distribution assets, </w:t>
      </w:r>
      <w:r w:rsidRPr="00B431B6">
        <w:t>we regulat</w:t>
      </w:r>
      <w:r w:rsidR="00E974B2">
        <w:t>e</w:t>
      </w:r>
      <w:r w:rsidRPr="00B431B6">
        <w:t xml:space="preserve"> standard control services under a revenue cap form of control. This means the adjustments that we have made to Ausgrid's expected revenues do not directly translate to price impacts. This is because Ausgrid's revenue is fixed under the revenue cap form of control, so changes in the consumption of electricity will affect the prices ultimately charged to consumers. We are not required to establish the distribution prices for Ausgrid as part of this determination. However, we will assess Ausgrid's annual pricing proposals before the commencement of </w:t>
      </w:r>
      <w:r w:rsidR="00E974B2">
        <w:t>each</w:t>
      </w:r>
      <w:r w:rsidRPr="00B431B6">
        <w:t xml:space="preserve"> regulatory year for the 201</w:t>
      </w:r>
      <w:r w:rsidR="00E974B2">
        <w:t>5</w:t>
      </w:r>
      <w:r w:rsidRPr="00B431B6">
        <w:t xml:space="preserve">–19 </w:t>
      </w:r>
      <w:r w:rsidR="00E974B2">
        <w:t xml:space="preserve">regulatory control </w:t>
      </w:r>
      <w:proofErr w:type="gramStart"/>
      <w:r w:rsidRPr="00B431B6">
        <w:t>period</w:t>
      </w:r>
      <w:proofErr w:type="gramEnd"/>
      <w:r w:rsidRPr="00B431B6">
        <w:t xml:space="preserve"> </w:t>
      </w:r>
      <w:r w:rsidR="00E974B2">
        <w:t>to administer the pricing requirements of</w:t>
      </w:r>
      <w:r w:rsidRPr="00B431B6">
        <w:t xml:space="preserve"> this distribution determination.</w:t>
      </w:r>
    </w:p>
    <w:p w:rsidR="00B431B6" w:rsidRPr="00B431B6" w:rsidRDefault="00B431B6" w:rsidP="00B431B6">
      <w:pPr>
        <w:pStyle w:val="AERbulletlistfirststyle"/>
      </w:pPr>
      <w:r>
        <w:t xml:space="preserve">For Ausgrid's transmission assets, we are </w:t>
      </w:r>
      <w:r w:rsidRPr="00B431B6">
        <w:t xml:space="preserve">also regulating </w:t>
      </w:r>
      <w:r w:rsidR="0097618C">
        <w:t xml:space="preserve">transmission </w:t>
      </w:r>
      <w:r w:rsidRPr="00B431B6">
        <w:t xml:space="preserve">standard control services under a revenue cap. Similar to distribution, this means that changes in consumption of electricity will affect the prices charged to consumers. Further, transmission charges are collected with regard to the entire transmission network across NSW and the ACT, since the Ausgrid transmission assets are an embedded component of the broader transmission network. TransGrid, which is the coordinating </w:t>
      </w:r>
      <w:r w:rsidR="0097618C">
        <w:t>transmission network service provider (</w:t>
      </w:r>
      <w:r w:rsidRPr="00B431B6">
        <w:t>TNSP</w:t>
      </w:r>
      <w:r w:rsidR="0097618C">
        <w:t>)</w:t>
      </w:r>
      <w:r w:rsidRPr="00B431B6">
        <w:t xml:space="preserve"> for this network region, establishes transmission charges and then provides Ausgrid with its portion of revenues.</w:t>
      </w:r>
      <w:r w:rsidR="00E974B2">
        <w:rPr>
          <w:rStyle w:val="FootnoteReference"/>
        </w:rPr>
        <w:footnoteReference w:id="21"/>
      </w:r>
    </w:p>
    <w:p w:rsidR="00B431B6" w:rsidRDefault="00B431B6" w:rsidP="00B431B6">
      <w:pPr>
        <w:numPr>
          <w:ilvl w:val="0"/>
          <w:numId w:val="25"/>
        </w:numPr>
      </w:pPr>
      <w:r w:rsidRPr="00446442">
        <w:t xml:space="preserve">For this </w:t>
      </w:r>
      <w:r w:rsidR="00D236F1">
        <w:t>final</w:t>
      </w:r>
      <w:r w:rsidRPr="00446442">
        <w:t xml:space="preserve"> decision, we have estimated some indicative average distribution </w:t>
      </w:r>
      <w:r>
        <w:t xml:space="preserve">and transmission </w:t>
      </w:r>
      <w:r w:rsidRPr="00446442">
        <w:t xml:space="preserve">price impacts flowing from our determination on the expected revenues for </w:t>
      </w:r>
      <w:r>
        <w:t>Ausgrid</w:t>
      </w:r>
      <w:r w:rsidRPr="00446442">
        <w:t xml:space="preserve"> over the 2014</w:t>
      </w:r>
      <w:r>
        <w:t>–</w:t>
      </w:r>
      <w:r w:rsidRPr="00446442">
        <w:t xml:space="preserve">19 </w:t>
      </w:r>
      <w:proofErr w:type="gramStart"/>
      <w:r w:rsidRPr="00446442">
        <w:t>period</w:t>
      </w:r>
      <w:proofErr w:type="gramEnd"/>
      <w:r w:rsidRPr="00446442">
        <w:t xml:space="preserve">. </w:t>
      </w:r>
      <w:r>
        <w:fldChar w:fldCharType="begin"/>
      </w:r>
      <w:r>
        <w:instrText xml:space="preserve"> REF _Ref402793878 \h </w:instrText>
      </w:r>
      <w:r>
        <w:fldChar w:fldCharType="separate"/>
      </w:r>
      <w:r w:rsidR="00A11853">
        <w:t xml:space="preserve">Figure </w:t>
      </w:r>
      <w:r w:rsidR="00A11853">
        <w:rPr>
          <w:noProof/>
        </w:rPr>
        <w:t>1</w:t>
      </w:r>
      <w:r w:rsidR="00A11853">
        <w:t>.</w:t>
      </w:r>
      <w:r w:rsidR="00A11853">
        <w:rPr>
          <w:noProof/>
        </w:rPr>
        <w:t>5</w:t>
      </w:r>
      <w:r>
        <w:fldChar w:fldCharType="end"/>
      </w:r>
      <w:r w:rsidRPr="00446442">
        <w:t xml:space="preserve"> </w:t>
      </w:r>
      <w:r>
        <w:t xml:space="preserve">and </w:t>
      </w:r>
      <w:r>
        <w:fldChar w:fldCharType="begin"/>
      </w:r>
      <w:r>
        <w:instrText xml:space="preserve"> REF _Ref402793935 \h </w:instrText>
      </w:r>
      <w:r>
        <w:fldChar w:fldCharType="separate"/>
      </w:r>
      <w:r w:rsidR="00A11853">
        <w:t xml:space="preserve">Figure </w:t>
      </w:r>
      <w:r w:rsidR="00A11853">
        <w:rPr>
          <w:noProof/>
        </w:rPr>
        <w:t>1</w:t>
      </w:r>
      <w:r w:rsidR="00A11853">
        <w:t>.</w:t>
      </w:r>
      <w:r w:rsidR="00A11853">
        <w:rPr>
          <w:noProof/>
        </w:rPr>
        <w:t>6</w:t>
      </w:r>
      <w:r>
        <w:fldChar w:fldCharType="end"/>
      </w:r>
      <w:r>
        <w:t xml:space="preserve"> </w:t>
      </w:r>
      <w:r w:rsidRPr="00446442">
        <w:t xml:space="preserve">show </w:t>
      </w:r>
      <w:proofErr w:type="spellStart"/>
      <w:r>
        <w:t>Ausgrid</w:t>
      </w:r>
      <w:r w:rsidRPr="00446442">
        <w:t>'s</w:t>
      </w:r>
      <w:proofErr w:type="spellEnd"/>
      <w:r w:rsidRPr="00446442">
        <w:t xml:space="preserve"> indicative price path</w:t>
      </w:r>
      <w:r>
        <w:t>s (distribution and transmission)</w:t>
      </w:r>
      <w:r w:rsidRPr="00446442">
        <w:t xml:space="preserve"> based on the expected revenues established in our </w:t>
      </w:r>
      <w:r w:rsidR="009A02C6">
        <w:t>final</w:t>
      </w:r>
      <w:r w:rsidRPr="00446442">
        <w:t xml:space="preserve"> decision compared to its</w:t>
      </w:r>
      <w:r w:rsidR="009A02C6">
        <w:t xml:space="preserve"> revised</w:t>
      </w:r>
      <w:r w:rsidRPr="00446442">
        <w:t xml:space="preserve"> propos</w:t>
      </w:r>
      <w:r>
        <w:t>al</w:t>
      </w:r>
      <w:r w:rsidRPr="00446442">
        <w:t xml:space="preserve">. </w:t>
      </w:r>
      <w:r>
        <w:t>For Ausgrid's distribution network w</w:t>
      </w:r>
      <w:r w:rsidRPr="00446442">
        <w:t xml:space="preserve">e used the </w:t>
      </w:r>
      <w:r>
        <w:t xml:space="preserve">data on </w:t>
      </w:r>
      <w:r w:rsidRPr="00446442">
        <w:t xml:space="preserve">price </w:t>
      </w:r>
      <w:r>
        <w:t>changes</w:t>
      </w:r>
      <w:r w:rsidRPr="00446442">
        <w:t xml:space="preserve"> </w:t>
      </w:r>
      <w:r>
        <w:t>Ausgrid</w:t>
      </w:r>
      <w:r w:rsidRPr="00446442">
        <w:t xml:space="preserve"> provided in </w:t>
      </w:r>
      <w:r>
        <w:t xml:space="preserve">its </w:t>
      </w:r>
      <w:r w:rsidR="009A02C6">
        <w:t xml:space="preserve">revised </w:t>
      </w:r>
      <w:r>
        <w:t>proposal, which appeared to be consistent with price cap calculations.</w:t>
      </w:r>
      <w:r w:rsidRPr="00446442">
        <w:t xml:space="preserve"> </w:t>
      </w:r>
      <w:r>
        <w:t xml:space="preserve">We have adopted the data </w:t>
      </w:r>
      <w:r w:rsidRPr="00446442">
        <w:t xml:space="preserve">to determine the movement in overall prices. </w:t>
      </w:r>
      <w:r>
        <w:t>For Ausgrid's transmission network, noting that transmission prices will be established by TransGrid for the entire NSW transmission network, we can estimate average prices by dividing total revenue with total forecast energy consumed in NSW. The energy is based on the forecast for NSW by AEMO.</w:t>
      </w:r>
      <w:r w:rsidRPr="00F15277">
        <w:rPr>
          <w:rStyle w:val="FootnoteReference"/>
        </w:rPr>
        <w:footnoteReference w:id="22"/>
      </w:r>
      <w:r>
        <w:t xml:space="preserve"> </w:t>
      </w:r>
      <w:r w:rsidRPr="00446442">
        <w:t>For presentational purposes, the prices are scaled so that the price index begins at 1.0 in 2013</w:t>
      </w:r>
      <w:r>
        <w:t>–</w:t>
      </w:r>
      <w:r w:rsidRPr="00446442">
        <w:t>14.</w:t>
      </w:r>
      <w:r w:rsidRPr="00F15277">
        <w:t xml:space="preserve"> The index provides a simple overall measure of the relative movement in expected distribution and transmission prices over the 2014–19 </w:t>
      </w:r>
      <w:proofErr w:type="gramStart"/>
      <w:r w:rsidRPr="00F15277">
        <w:t>period</w:t>
      </w:r>
      <w:proofErr w:type="gramEnd"/>
      <w:r w:rsidRPr="00F15277">
        <w:t>.</w:t>
      </w:r>
    </w:p>
    <w:p w:rsidR="00F76B9F" w:rsidRDefault="00F76B9F" w:rsidP="00B431B6">
      <w:pPr>
        <w:numPr>
          <w:ilvl w:val="0"/>
          <w:numId w:val="25"/>
        </w:numPr>
      </w:pPr>
    </w:p>
    <w:p w:rsidR="00B431B6" w:rsidRDefault="00B431B6" w:rsidP="00B431B6">
      <w:pPr>
        <w:pStyle w:val="Caption"/>
      </w:pPr>
      <w:bookmarkStart w:id="39" w:name="_Ref402793878"/>
      <w:proofErr w:type="gramStart"/>
      <w:r>
        <w:lastRenderedPageBreak/>
        <w:t xml:space="preserve">Figure </w:t>
      </w:r>
      <w:r w:rsidR="006B77CA">
        <w:fldChar w:fldCharType="begin"/>
      </w:r>
      <w:r w:rsidR="006B77CA">
        <w:instrText xml:space="preserve"> STYLEREF 1 \s </w:instrText>
      </w:r>
      <w:r w:rsidR="006B77CA">
        <w:fldChar w:fldCharType="separate"/>
      </w:r>
      <w:r w:rsidR="00A11853">
        <w:rPr>
          <w:noProof/>
        </w:rPr>
        <w:t>1</w:t>
      </w:r>
      <w:r w:rsidR="006B77CA">
        <w:rPr>
          <w:noProof/>
        </w:rPr>
        <w:fldChar w:fldCharType="end"/>
      </w:r>
      <w:r>
        <w:t>.</w:t>
      </w:r>
      <w:proofErr w:type="gramEnd"/>
      <w:r w:rsidRPr="00B431B6">
        <w:fldChar w:fldCharType="begin"/>
      </w:r>
      <w:r>
        <w:instrText xml:space="preserve"> SEQ Figure \* ARABIC \s 1 </w:instrText>
      </w:r>
      <w:r w:rsidRPr="00B431B6">
        <w:fldChar w:fldCharType="separate"/>
      </w:r>
      <w:r w:rsidR="00A11853">
        <w:rPr>
          <w:noProof/>
        </w:rPr>
        <w:t>5</w:t>
      </w:r>
      <w:r w:rsidRPr="00B431B6">
        <w:fldChar w:fldCharType="end"/>
      </w:r>
      <w:bookmarkEnd w:id="39"/>
      <w:r>
        <w:tab/>
        <w:t xml:space="preserve">AER's </w:t>
      </w:r>
      <w:r w:rsidR="009A02C6">
        <w:t xml:space="preserve">final </w:t>
      </w:r>
      <w:r>
        <w:t>decision and Ausgrid's</w:t>
      </w:r>
      <w:r w:rsidR="009A02C6">
        <w:t xml:space="preserve"> revised</w:t>
      </w:r>
      <w:r>
        <w:t xml:space="preserve"> proposed indicative price paths – distribution (nominal price index) </w:t>
      </w:r>
    </w:p>
    <w:p w:rsidR="00B431B6" w:rsidRDefault="00A82215" w:rsidP="00A82215">
      <w:pPr>
        <w:numPr>
          <w:ilvl w:val="0"/>
          <w:numId w:val="25"/>
        </w:numPr>
      </w:pPr>
      <w:r w:rsidRPr="00A82215">
        <w:rPr>
          <w:noProof/>
          <w:lang w:eastAsia="en-AU"/>
        </w:rPr>
        <w:drawing>
          <wp:inline distT="0" distB="0" distL="0" distR="0" wp14:anchorId="0BEABDEB" wp14:editId="47849199">
            <wp:extent cx="5382895" cy="3015131"/>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82895" cy="3015131"/>
                    </a:xfrm>
                    <a:prstGeom prst="rect">
                      <a:avLst/>
                    </a:prstGeom>
                    <a:noFill/>
                    <a:ln>
                      <a:noFill/>
                    </a:ln>
                  </pic:spPr>
                </pic:pic>
              </a:graphicData>
            </a:graphic>
          </wp:inline>
        </w:drawing>
      </w:r>
    </w:p>
    <w:p w:rsidR="00B431B6" w:rsidRDefault="00B431B6" w:rsidP="00B431B6">
      <w:pPr>
        <w:pStyle w:val="AERtablesource"/>
      </w:pPr>
      <w:r>
        <w:t>Source:</w:t>
      </w:r>
      <w:r>
        <w:tab/>
        <w:t xml:space="preserve">AER analysis. </w:t>
      </w:r>
    </w:p>
    <w:p w:rsidR="00B431B6" w:rsidRDefault="00B431B6" w:rsidP="00B431B6">
      <w:pPr>
        <w:pStyle w:val="AERtablesource"/>
      </w:pPr>
      <w:r>
        <w:t>Notes:</w:t>
      </w:r>
      <w:r>
        <w:tab/>
      </w:r>
      <w:r w:rsidRPr="00FC0C64">
        <w:t xml:space="preserve">The nominal price index is calculated by the AER based on the indicative weighted average price changes submitted by </w:t>
      </w:r>
      <w:r>
        <w:t>Ausgrid</w:t>
      </w:r>
      <w:r w:rsidRPr="00FC0C64">
        <w:t xml:space="preserve"> in its</w:t>
      </w:r>
      <w:r w:rsidR="009A02C6">
        <w:t xml:space="preserve"> revised</w:t>
      </w:r>
      <w:r w:rsidRPr="00FC0C64">
        <w:t xml:space="preserve"> </w:t>
      </w:r>
      <w:r>
        <w:t xml:space="preserve">proposal, </w:t>
      </w:r>
      <w:r w:rsidRPr="00FC0C64">
        <w:t xml:space="preserve">and adjusting for the change in overall revenue substituted by the AER.  </w:t>
      </w:r>
    </w:p>
    <w:p w:rsidR="00B431B6" w:rsidRPr="0083510F" w:rsidRDefault="00B431B6" w:rsidP="00B431B6">
      <w:pPr>
        <w:pStyle w:val="Caption"/>
      </w:pPr>
      <w:bookmarkStart w:id="40" w:name="_Ref402793935"/>
      <w:proofErr w:type="gramStart"/>
      <w:r>
        <w:t xml:space="preserve">Figure </w:t>
      </w:r>
      <w:r w:rsidR="006B77CA">
        <w:fldChar w:fldCharType="begin"/>
      </w:r>
      <w:r w:rsidR="006B77CA">
        <w:instrText xml:space="preserve"> STYLEREF 1 \s </w:instrText>
      </w:r>
      <w:r w:rsidR="006B77CA">
        <w:fldChar w:fldCharType="separate"/>
      </w:r>
      <w:r w:rsidR="00A11853">
        <w:rPr>
          <w:noProof/>
        </w:rPr>
        <w:t>1</w:t>
      </w:r>
      <w:r w:rsidR="006B77CA">
        <w:rPr>
          <w:noProof/>
        </w:rPr>
        <w:fldChar w:fldCharType="end"/>
      </w:r>
      <w:r>
        <w:t>.</w:t>
      </w:r>
      <w:proofErr w:type="gramEnd"/>
      <w:r w:rsidRPr="00B431B6">
        <w:fldChar w:fldCharType="begin"/>
      </w:r>
      <w:r>
        <w:instrText xml:space="preserve"> SEQ Figure \* ARABIC \s 1 </w:instrText>
      </w:r>
      <w:r w:rsidRPr="00B431B6">
        <w:fldChar w:fldCharType="separate"/>
      </w:r>
      <w:r w:rsidR="00A11853">
        <w:rPr>
          <w:noProof/>
        </w:rPr>
        <w:t>6</w:t>
      </w:r>
      <w:r w:rsidRPr="00B431B6">
        <w:fldChar w:fldCharType="end"/>
      </w:r>
      <w:bookmarkEnd w:id="40"/>
      <w:r>
        <w:tab/>
      </w:r>
      <w:r w:rsidRPr="0083510F">
        <w:t xml:space="preserve">AER's </w:t>
      </w:r>
      <w:r w:rsidR="009A02C6">
        <w:t>final</w:t>
      </w:r>
      <w:r w:rsidRPr="0083510F">
        <w:t xml:space="preserve"> decision and Ausgrid's</w:t>
      </w:r>
      <w:r w:rsidR="009A02C6">
        <w:t xml:space="preserve"> revised</w:t>
      </w:r>
      <w:r w:rsidRPr="0083510F">
        <w:t xml:space="preserve"> proposed indicative price paths </w:t>
      </w:r>
      <w:r>
        <w:t>–</w:t>
      </w:r>
      <w:r w:rsidRPr="0083510F">
        <w:t xml:space="preserve"> </w:t>
      </w:r>
      <w:r>
        <w:t>transmission</w:t>
      </w:r>
      <w:r w:rsidRPr="0083510F">
        <w:t xml:space="preserve"> (nominal price index) </w:t>
      </w:r>
    </w:p>
    <w:p w:rsidR="00B431B6" w:rsidRDefault="000D63EF" w:rsidP="000D63EF">
      <w:pPr>
        <w:numPr>
          <w:ilvl w:val="0"/>
          <w:numId w:val="25"/>
        </w:numPr>
      </w:pPr>
      <w:r w:rsidRPr="000D63EF">
        <w:rPr>
          <w:noProof/>
          <w:lang w:eastAsia="en-AU"/>
        </w:rPr>
        <w:drawing>
          <wp:inline distT="0" distB="0" distL="0" distR="0" wp14:anchorId="0FE34D1E" wp14:editId="1E123066">
            <wp:extent cx="5382895" cy="3035132"/>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82895" cy="3035132"/>
                    </a:xfrm>
                    <a:prstGeom prst="rect">
                      <a:avLst/>
                    </a:prstGeom>
                    <a:noFill/>
                    <a:ln>
                      <a:noFill/>
                    </a:ln>
                  </pic:spPr>
                </pic:pic>
              </a:graphicData>
            </a:graphic>
          </wp:inline>
        </w:drawing>
      </w:r>
    </w:p>
    <w:p w:rsidR="00B431B6" w:rsidRDefault="00B431B6" w:rsidP="00B431B6">
      <w:pPr>
        <w:pStyle w:val="AERtablesource"/>
      </w:pPr>
      <w:r>
        <w:t xml:space="preserve">Source: </w:t>
      </w:r>
      <w:r>
        <w:tab/>
        <w:t xml:space="preserve">AER analysis. </w:t>
      </w:r>
    </w:p>
    <w:p w:rsidR="00B431B6" w:rsidRPr="009B6EC8" w:rsidRDefault="00B431B6" w:rsidP="00B431B6">
      <w:pPr>
        <w:pStyle w:val="AERtablesource"/>
      </w:pPr>
      <w:r>
        <w:lastRenderedPageBreak/>
        <w:t>Notes:</w:t>
      </w:r>
      <w:r>
        <w:tab/>
        <w:t xml:space="preserve">The nominal price index is calculated by the AER based on overall revenue and the (state wide) transmission network energy forecasts used for TransGrid (the NSW/ACT transmission network service provider).  </w:t>
      </w:r>
    </w:p>
    <w:p w:rsidR="00B431B6" w:rsidRPr="00446442" w:rsidRDefault="00B431B6" w:rsidP="00B431B6">
      <w:pPr>
        <w:numPr>
          <w:ilvl w:val="0"/>
          <w:numId w:val="25"/>
        </w:numPr>
      </w:pPr>
      <w:r w:rsidRPr="00481870">
        <w:t xml:space="preserve">We estimate that our </w:t>
      </w:r>
      <w:r w:rsidR="009A02C6">
        <w:t>final</w:t>
      </w:r>
      <w:r w:rsidRPr="00481870">
        <w:t xml:space="preserve"> decision on </w:t>
      </w:r>
      <w:r>
        <w:t>Ausgrid</w:t>
      </w:r>
      <w:r w:rsidRPr="00481870">
        <w:t xml:space="preserve">'s annual expected revenue will result in a decrease to average distribution charges by about </w:t>
      </w:r>
      <w:r w:rsidR="00B95DDA">
        <w:t>6.</w:t>
      </w:r>
      <w:r w:rsidR="00CC1A6F">
        <w:t>1</w:t>
      </w:r>
      <w:r w:rsidR="00CC1A6F" w:rsidRPr="00481870">
        <w:t xml:space="preserve"> </w:t>
      </w:r>
      <w:r w:rsidRPr="00481870">
        <w:t xml:space="preserve">per cent per annum over the 2014–19 </w:t>
      </w:r>
      <w:proofErr w:type="gramStart"/>
      <w:r w:rsidRPr="00481870">
        <w:t>period</w:t>
      </w:r>
      <w:proofErr w:type="gramEnd"/>
      <w:r w:rsidRPr="00481870">
        <w:t xml:space="preserve"> in nominal terms. </w:t>
      </w:r>
      <w:r w:rsidR="00E974B2" w:rsidRPr="00E606D6">
        <w:t>This amount includes a forecast inflation rate of 2.</w:t>
      </w:r>
      <w:r w:rsidR="00E974B2">
        <w:t>38</w:t>
      </w:r>
      <w:r w:rsidR="00E974B2" w:rsidRPr="00E606D6">
        <w:t xml:space="preserve"> per cent per annum. In real terms we estimate average distribution charges to decline by </w:t>
      </w:r>
      <w:r w:rsidR="00CC1A6F">
        <w:t>9.2</w:t>
      </w:r>
      <w:r w:rsidR="00E974B2" w:rsidRPr="00E606D6">
        <w:t xml:space="preserve"> per cent per annum, compared to a decline of </w:t>
      </w:r>
      <w:r w:rsidR="00E974B2">
        <w:t>0.</w:t>
      </w:r>
      <w:r w:rsidR="00CC1A6F">
        <w:t>4</w:t>
      </w:r>
      <w:r w:rsidR="00CC1A6F" w:rsidRPr="00E606D6">
        <w:t xml:space="preserve"> </w:t>
      </w:r>
      <w:r w:rsidR="00E974B2" w:rsidRPr="00E606D6">
        <w:t xml:space="preserve">per cent proposed by </w:t>
      </w:r>
      <w:r w:rsidR="00E974B2">
        <w:t>Ausgrid</w:t>
      </w:r>
      <w:r w:rsidR="00EC0F4E">
        <w:t xml:space="preserve"> (based on Ausgrid's proposed forecast inflation rate of 2.50 per cent per annum)</w:t>
      </w:r>
      <w:r w:rsidR="00E974B2" w:rsidRPr="00E606D6">
        <w:t>.</w:t>
      </w:r>
      <w:r w:rsidR="00E974B2">
        <w:t xml:space="preserve"> </w:t>
      </w:r>
      <w:r w:rsidRPr="00F15277">
        <w:rPr>
          <w:rStyle w:val="AERbody"/>
        </w:rPr>
        <w:t xml:space="preserve">Our transitional determination resulted in an expected reduction in distribution charges of about </w:t>
      </w:r>
      <w:r w:rsidR="00450D4B">
        <w:rPr>
          <w:rStyle w:val="AERbody"/>
        </w:rPr>
        <w:t>5.8</w:t>
      </w:r>
      <w:r>
        <w:rPr>
          <w:rStyle w:val="AERbody"/>
        </w:rPr>
        <w:t> </w:t>
      </w:r>
      <w:r w:rsidRPr="00F15277">
        <w:rPr>
          <w:rStyle w:val="AERbody"/>
        </w:rPr>
        <w:t xml:space="preserve">per cent in 2014–15. We estimate that our </w:t>
      </w:r>
      <w:r w:rsidR="009A02C6">
        <w:rPr>
          <w:rStyle w:val="AERbody"/>
        </w:rPr>
        <w:t>final</w:t>
      </w:r>
      <w:r w:rsidRPr="00F15277">
        <w:rPr>
          <w:rStyle w:val="AERbody"/>
        </w:rPr>
        <w:t xml:space="preserve"> decision will further reduce distribution charges by another </w:t>
      </w:r>
      <w:r w:rsidR="00B95DDA">
        <w:rPr>
          <w:rStyle w:val="AERbody"/>
        </w:rPr>
        <w:t>2</w:t>
      </w:r>
      <w:r w:rsidR="00A01662">
        <w:rPr>
          <w:rStyle w:val="AERbody"/>
        </w:rPr>
        <w:t>1.6</w:t>
      </w:r>
      <w:r>
        <w:rPr>
          <w:rStyle w:val="AERbody"/>
        </w:rPr>
        <w:t> </w:t>
      </w:r>
      <w:r w:rsidRPr="00F15277">
        <w:rPr>
          <w:rStyle w:val="AERbody"/>
        </w:rPr>
        <w:t xml:space="preserve">per cent in 2015–16, followed by </w:t>
      </w:r>
      <w:r w:rsidR="00B95DDA">
        <w:rPr>
          <w:rStyle w:val="AERbody"/>
        </w:rPr>
        <w:t>decreases</w:t>
      </w:r>
      <w:r w:rsidRPr="00F15277">
        <w:rPr>
          <w:rStyle w:val="AERbody"/>
        </w:rPr>
        <w:t xml:space="preserve"> of about </w:t>
      </w:r>
      <w:r w:rsidR="00B95DDA">
        <w:rPr>
          <w:rStyle w:val="AERbody"/>
        </w:rPr>
        <w:t>2.</w:t>
      </w:r>
      <w:r w:rsidR="00A01662">
        <w:rPr>
          <w:rStyle w:val="AERbody"/>
        </w:rPr>
        <w:t>1</w:t>
      </w:r>
      <w:r>
        <w:rPr>
          <w:rStyle w:val="AERbody"/>
        </w:rPr>
        <w:t> </w:t>
      </w:r>
      <w:r w:rsidRPr="00F15277">
        <w:rPr>
          <w:rStyle w:val="AERbody"/>
        </w:rPr>
        <w:t xml:space="preserve">per cent per annum from 2016–17 to 2018–19. </w:t>
      </w:r>
      <w:r w:rsidRPr="00481870">
        <w:t xml:space="preserve">This compares to the nominal increase of approximately </w:t>
      </w:r>
      <w:r w:rsidR="00A01662">
        <w:t>10.4</w:t>
      </w:r>
      <w:r w:rsidRPr="00481870">
        <w:t xml:space="preserve"> per cent per annum </w:t>
      </w:r>
      <w:r w:rsidR="00EC0F4E">
        <w:t xml:space="preserve">in 2015–16, followed by increases of </w:t>
      </w:r>
      <w:r w:rsidR="00A01662">
        <w:t>2.2</w:t>
      </w:r>
      <w:r w:rsidR="00EC0F4E">
        <w:t xml:space="preserve"> per cent per annum from 2016–17 to 2018–19</w:t>
      </w:r>
      <w:r w:rsidR="009A02C6">
        <w:t xml:space="preserve"> in Ausgrid's revised proposal</w:t>
      </w:r>
      <w:r w:rsidRPr="00481870">
        <w:t>.</w:t>
      </w:r>
    </w:p>
    <w:p w:rsidR="00B431B6" w:rsidRDefault="00B431B6" w:rsidP="00B431B6">
      <w:pPr>
        <w:numPr>
          <w:ilvl w:val="0"/>
          <w:numId w:val="25"/>
        </w:numPr>
      </w:pPr>
      <w:r>
        <w:fldChar w:fldCharType="begin"/>
      </w:r>
      <w:r>
        <w:instrText xml:space="preserve"> REF _Ref404354253 \h </w:instrText>
      </w:r>
      <w:r>
        <w:fldChar w:fldCharType="separate"/>
      </w:r>
      <w:r w:rsidR="00A11853">
        <w:t xml:space="preserve">Table </w:t>
      </w:r>
      <w:r w:rsidR="00A11853">
        <w:rPr>
          <w:noProof/>
        </w:rPr>
        <w:t>1</w:t>
      </w:r>
      <w:r w:rsidR="00A11853">
        <w:t>.</w:t>
      </w:r>
      <w:r w:rsidR="00A11853">
        <w:rPr>
          <w:noProof/>
        </w:rPr>
        <w:t>7</w:t>
      </w:r>
      <w:r>
        <w:fldChar w:fldCharType="end"/>
      </w:r>
      <w:r>
        <w:t xml:space="preserve"> and </w:t>
      </w:r>
      <w:r>
        <w:fldChar w:fldCharType="begin"/>
      </w:r>
      <w:r>
        <w:instrText xml:space="preserve"> REF _Ref401573580 \h </w:instrText>
      </w:r>
      <w:r>
        <w:fldChar w:fldCharType="separate"/>
      </w:r>
      <w:r w:rsidR="00A11853">
        <w:t xml:space="preserve">Table </w:t>
      </w:r>
      <w:r w:rsidR="00A11853">
        <w:rPr>
          <w:noProof/>
        </w:rPr>
        <w:t>1</w:t>
      </w:r>
      <w:r w:rsidR="00A11853">
        <w:t>.</w:t>
      </w:r>
      <w:r w:rsidR="00A11853">
        <w:rPr>
          <w:noProof/>
        </w:rPr>
        <w:t>8</w:t>
      </w:r>
      <w:r>
        <w:fldChar w:fldCharType="end"/>
      </w:r>
      <w:r>
        <w:t xml:space="preserve"> display the comparison of the price impacts of Ausgrid's </w:t>
      </w:r>
      <w:r w:rsidR="009A02C6">
        <w:t xml:space="preserve">revised </w:t>
      </w:r>
      <w:r>
        <w:t xml:space="preserve">proposal and our </w:t>
      </w:r>
      <w:r w:rsidR="009A02C6">
        <w:t>final</w:t>
      </w:r>
      <w:r>
        <w:t xml:space="preserve"> decision revenue allowance for its distribution and transmission networks respectively.</w:t>
      </w:r>
    </w:p>
    <w:p w:rsidR="00B431B6" w:rsidRDefault="00B431B6" w:rsidP="00B431B6">
      <w:pPr>
        <w:pStyle w:val="Caption"/>
      </w:pPr>
      <w:bookmarkStart w:id="41" w:name="_Ref401573569"/>
      <w:bookmarkStart w:id="42" w:name="_Ref404354253"/>
      <w:proofErr w:type="gramStart"/>
      <w:r>
        <w:t xml:space="preserve">Table </w:t>
      </w:r>
      <w:r w:rsidR="006B77CA">
        <w:fldChar w:fldCharType="begin"/>
      </w:r>
      <w:r w:rsidR="006B77CA">
        <w:instrText xml:space="preserve"> STYLEREF 1 \s </w:instrText>
      </w:r>
      <w:r w:rsidR="006B77CA">
        <w:fldChar w:fldCharType="separate"/>
      </w:r>
      <w:r w:rsidR="00A11853">
        <w:rPr>
          <w:noProof/>
        </w:rPr>
        <w:t>1</w:t>
      </w:r>
      <w:r w:rsidR="006B77CA">
        <w:rPr>
          <w:noProof/>
        </w:rPr>
        <w:fldChar w:fldCharType="end"/>
      </w:r>
      <w:r w:rsidR="00A32071">
        <w:t>.</w:t>
      </w:r>
      <w:proofErr w:type="gramEnd"/>
      <w:r w:rsidR="00A32071">
        <w:fldChar w:fldCharType="begin"/>
      </w:r>
      <w:r w:rsidR="00A32071">
        <w:instrText xml:space="preserve"> SEQ Table \* ARABIC \s 1 </w:instrText>
      </w:r>
      <w:r w:rsidR="00A32071">
        <w:fldChar w:fldCharType="separate"/>
      </w:r>
      <w:r w:rsidR="00A11853">
        <w:rPr>
          <w:noProof/>
        </w:rPr>
        <w:t>7</w:t>
      </w:r>
      <w:r w:rsidR="00A32071">
        <w:fldChar w:fldCharType="end"/>
      </w:r>
      <w:bookmarkEnd w:id="41"/>
      <w:bookmarkEnd w:id="42"/>
      <w:r>
        <w:tab/>
        <w:t xml:space="preserve">Comparison of revenue and price impacts of Ausgrid's </w:t>
      </w:r>
      <w:r w:rsidR="009A02C6">
        <w:t xml:space="preserve">revised </w:t>
      </w:r>
      <w:r>
        <w:t xml:space="preserve">proposal and AER's </w:t>
      </w:r>
      <w:r w:rsidR="009A02C6">
        <w:t>final</w:t>
      </w:r>
      <w:r>
        <w:t xml:space="preserve"> decision – distribution</w:t>
      </w:r>
    </w:p>
    <w:tbl>
      <w:tblPr>
        <w:tblStyle w:val="AERtable-numbers"/>
        <w:tblW w:w="8755" w:type="dxa"/>
        <w:tblLayout w:type="fixed"/>
        <w:tblLook w:val="04A0" w:firstRow="1" w:lastRow="0" w:firstColumn="1" w:lastColumn="0" w:noHBand="0" w:noVBand="1"/>
      </w:tblPr>
      <w:tblGrid>
        <w:gridCol w:w="2660"/>
        <w:gridCol w:w="1015"/>
        <w:gridCol w:w="1016"/>
        <w:gridCol w:w="1016"/>
        <w:gridCol w:w="1016"/>
        <w:gridCol w:w="1016"/>
        <w:gridCol w:w="1016"/>
      </w:tblGrid>
      <w:tr w:rsidR="00B431B6" w:rsidRPr="009A02C6" w:rsidTr="009A02C6">
        <w:trPr>
          <w:cnfStyle w:val="100000000000" w:firstRow="1" w:lastRow="0" w:firstColumn="0" w:lastColumn="0" w:oddVBand="0" w:evenVBand="0" w:oddHBand="0"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660" w:type="dxa"/>
            <w:noWrap/>
            <w:hideMark/>
          </w:tcPr>
          <w:p w:rsidR="00B431B6" w:rsidRPr="009A02C6" w:rsidRDefault="00B431B6" w:rsidP="009A02C6">
            <w:r w:rsidRPr="009A02C6">
              <w:t> </w:t>
            </w:r>
          </w:p>
        </w:tc>
        <w:tc>
          <w:tcPr>
            <w:tcW w:w="1015" w:type="dxa"/>
            <w:noWrap/>
            <w:hideMark/>
          </w:tcPr>
          <w:p w:rsidR="00B431B6" w:rsidRPr="009A02C6" w:rsidRDefault="00B431B6" w:rsidP="009A02C6">
            <w:pPr>
              <w:cnfStyle w:val="100000000000" w:firstRow="1" w:lastRow="0" w:firstColumn="0" w:lastColumn="0" w:oddVBand="0" w:evenVBand="0" w:oddHBand="0" w:evenHBand="0" w:firstRowFirstColumn="0" w:firstRowLastColumn="0" w:lastRowFirstColumn="0" w:lastRowLastColumn="0"/>
            </w:pPr>
            <w:r w:rsidRPr="009A02C6">
              <w:t>2013–14</w:t>
            </w:r>
          </w:p>
        </w:tc>
        <w:tc>
          <w:tcPr>
            <w:tcW w:w="1016" w:type="dxa"/>
          </w:tcPr>
          <w:p w:rsidR="00B431B6" w:rsidRPr="009A02C6" w:rsidRDefault="00B431B6" w:rsidP="009A02C6">
            <w:pPr>
              <w:cnfStyle w:val="100000000000" w:firstRow="1" w:lastRow="0" w:firstColumn="0" w:lastColumn="0" w:oddVBand="0" w:evenVBand="0" w:oddHBand="0" w:evenHBand="0" w:firstRowFirstColumn="0" w:firstRowLastColumn="0" w:lastRowFirstColumn="0" w:lastRowLastColumn="0"/>
            </w:pPr>
            <w:r w:rsidRPr="009A02C6">
              <w:t>2014–15</w:t>
            </w:r>
          </w:p>
        </w:tc>
        <w:tc>
          <w:tcPr>
            <w:tcW w:w="1016" w:type="dxa"/>
          </w:tcPr>
          <w:p w:rsidR="00B431B6" w:rsidRPr="009A02C6" w:rsidRDefault="00B431B6" w:rsidP="009A02C6">
            <w:pPr>
              <w:cnfStyle w:val="100000000000" w:firstRow="1" w:lastRow="0" w:firstColumn="0" w:lastColumn="0" w:oddVBand="0" w:evenVBand="0" w:oddHBand="0" w:evenHBand="0" w:firstRowFirstColumn="0" w:firstRowLastColumn="0" w:lastRowFirstColumn="0" w:lastRowLastColumn="0"/>
            </w:pPr>
            <w:r w:rsidRPr="009A02C6">
              <w:t>2015–16</w:t>
            </w:r>
          </w:p>
        </w:tc>
        <w:tc>
          <w:tcPr>
            <w:tcW w:w="1016" w:type="dxa"/>
          </w:tcPr>
          <w:p w:rsidR="00B431B6" w:rsidRPr="009A02C6" w:rsidRDefault="00B431B6" w:rsidP="009A02C6">
            <w:pPr>
              <w:cnfStyle w:val="100000000000" w:firstRow="1" w:lastRow="0" w:firstColumn="0" w:lastColumn="0" w:oddVBand="0" w:evenVBand="0" w:oddHBand="0" w:evenHBand="0" w:firstRowFirstColumn="0" w:firstRowLastColumn="0" w:lastRowFirstColumn="0" w:lastRowLastColumn="0"/>
            </w:pPr>
            <w:r w:rsidRPr="009A02C6">
              <w:t>2016–17</w:t>
            </w:r>
          </w:p>
        </w:tc>
        <w:tc>
          <w:tcPr>
            <w:tcW w:w="1016" w:type="dxa"/>
          </w:tcPr>
          <w:p w:rsidR="00B431B6" w:rsidRPr="009A02C6" w:rsidRDefault="00B431B6" w:rsidP="009A02C6">
            <w:pPr>
              <w:cnfStyle w:val="100000000000" w:firstRow="1" w:lastRow="0" w:firstColumn="0" w:lastColumn="0" w:oddVBand="0" w:evenVBand="0" w:oddHBand="0" w:evenHBand="0" w:firstRowFirstColumn="0" w:firstRowLastColumn="0" w:lastRowFirstColumn="0" w:lastRowLastColumn="0"/>
            </w:pPr>
            <w:r w:rsidRPr="009A02C6">
              <w:t>2017–18</w:t>
            </w:r>
          </w:p>
        </w:tc>
        <w:tc>
          <w:tcPr>
            <w:tcW w:w="1016" w:type="dxa"/>
            <w:noWrap/>
            <w:hideMark/>
          </w:tcPr>
          <w:p w:rsidR="00B431B6" w:rsidRPr="009A02C6" w:rsidRDefault="00B431B6" w:rsidP="009A02C6">
            <w:pPr>
              <w:cnfStyle w:val="100000000000" w:firstRow="1" w:lastRow="0" w:firstColumn="0" w:lastColumn="0" w:oddVBand="0" w:evenVBand="0" w:oddHBand="0" w:evenHBand="0" w:firstRowFirstColumn="0" w:firstRowLastColumn="0" w:lastRowFirstColumn="0" w:lastRowLastColumn="0"/>
            </w:pPr>
            <w:r w:rsidRPr="009A02C6">
              <w:t>2018–19</w:t>
            </w:r>
          </w:p>
        </w:tc>
      </w:tr>
      <w:tr w:rsidR="00B431B6" w:rsidRPr="009A02C6" w:rsidTr="009A02C6">
        <w:trPr>
          <w:trHeight w:val="190"/>
        </w:trPr>
        <w:tc>
          <w:tcPr>
            <w:cnfStyle w:val="001000000000" w:firstRow="0" w:lastRow="0" w:firstColumn="1" w:lastColumn="0" w:oddVBand="0" w:evenVBand="0" w:oddHBand="0" w:evenHBand="0" w:firstRowFirstColumn="0" w:firstRowLastColumn="0" w:lastRowFirstColumn="0" w:lastRowLastColumn="0"/>
            <w:tcW w:w="2660" w:type="dxa"/>
            <w:noWrap/>
            <w:vAlign w:val="top"/>
            <w:hideMark/>
          </w:tcPr>
          <w:p w:rsidR="00B431B6" w:rsidRPr="009A02C6" w:rsidRDefault="00B431B6" w:rsidP="009A02C6">
            <w:pPr>
              <w:rPr>
                <w:rStyle w:val="Strong"/>
              </w:rPr>
            </w:pPr>
            <w:r w:rsidRPr="009A02C6">
              <w:rPr>
                <w:rStyle w:val="Strong"/>
              </w:rPr>
              <w:t xml:space="preserve">Ausgrid </w:t>
            </w:r>
            <w:r w:rsidR="009A02C6">
              <w:rPr>
                <w:rStyle w:val="Strong"/>
              </w:rPr>
              <w:t xml:space="preserve">revised </w:t>
            </w:r>
            <w:r w:rsidRPr="009A02C6">
              <w:rPr>
                <w:rStyle w:val="Strong"/>
              </w:rPr>
              <w:t>proposal</w:t>
            </w:r>
          </w:p>
        </w:tc>
        <w:tc>
          <w:tcPr>
            <w:tcW w:w="1015" w:type="dxa"/>
            <w:noWrap/>
          </w:tcPr>
          <w:p w:rsidR="00B431B6" w:rsidRPr="009A02C6" w:rsidRDefault="00B431B6" w:rsidP="009A02C6">
            <w:pPr>
              <w:cnfStyle w:val="000000000000" w:firstRow="0" w:lastRow="0" w:firstColumn="0" w:lastColumn="0" w:oddVBand="0" w:evenVBand="0" w:oddHBand="0" w:evenHBand="0" w:firstRowFirstColumn="0" w:firstRowLastColumn="0" w:lastRowFirstColumn="0" w:lastRowLastColumn="0"/>
            </w:pPr>
          </w:p>
        </w:tc>
        <w:tc>
          <w:tcPr>
            <w:tcW w:w="1016" w:type="dxa"/>
          </w:tcPr>
          <w:p w:rsidR="00B431B6" w:rsidRPr="009A02C6" w:rsidRDefault="00B431B6" w:rsidP="009A02C6">
            <w:pPr>
              <w:cnfStyle w:val="000000000000" w:firstRow="0" w:lastRow="0" w:firstColumn="0" w:lastColumn="0" w:oddVBand="0" w:evenVBand="0" w:oddHBand="0" w:evenHBand="0" w:firstRowFirstColumn="0" w:firstRowLastColumn="0" w:lastRowFirstColumn="0" w:lastRowLastColumn="0"/>
            </w:pPr>
          </w:p>
        </w:tc>
        <w:tc>
          <w:tcPr>
            <w:tcW w:w="1016" w:type="dxa"/>
          </w:tcPr>
          <w:p w:rsidR="00B431B6" w:rsidRPr="009A02C6" w:rsidRDefault="00B431B6" w:rsidP="009A02C6">
            <w:pPr>
              <w:cnfStyle w:val="000000000000" w:firstRow="0" w:lastRow="0" w:firstColumn="0" w:lastColumn="0" w:oddVBand="0" w:evenVBand="0" w:oddHBand="0" w:evenHBand="0" w:firstRowFirstColumn="0" w:firstRowLastColumn="0" w:lastRowFirstColumn="0" w:lastRowLastColumn="0"/>
            </w:pPr>
          </w:p>
        </w:tc>
        <w:tc>
          <w:tcPr>
            <w:tcW w:w="1016" w:type="dxa"/>
          </w:tcPr>
          <w:p w:rsidR="00B431B6" w:rsidRPr="009A02C6" w:rsidRDefault="00B431B6" w:rsidP="009A02C6">
            <w:pPr>
              <w:cnfStyle w:val="000000000000" w:firstRow="0" w:lastRow="0" w:firstColumn="0" w:lastColumn="0" w:oddVBand="0" w:evenVBand="0" w:oddHBand="0" w:evenHBand="0" w:firstRowFirstColumn="0" w:firstRowLastColumn="0" w:lastRowFirstColumn="0" w:lastRowLastColumn="0"/>
            </w:pPr>
          </w:p>
        </w:tc>
        <w:tc>
          <w:tcPr>
            <w:tcW w:w="1016" w:type="dxa"/>
          </w:tcPr>
          <w:p w:rsidR="00B431B6" w:rsidRPr="009A02C6" w:rsidRDefault="00B431B6" w:rsidP="009A02C6">
            <w:pPr>
              <w:cnfStyle w:val="000000000000" w:firstRow="0" w:lastRow="0" w:firstColumn="0" w:lastColumn="0" w:oddVBand="0" w:evenVBand="0" w:oddHBand="0" w:evenHBand="0" w:firstRowFirstColumn="0" w:firstRowLastColumn="0" w:lastRowFirstColumn="0" w:lastRowLastColumn="0"/>
            </w:pPr>
          </w:p>
        </w:tc>
        <w:tc>
          <w:tcPr>
            <w:tcW w:w="1016" w:type="dxa"/>
            <w:noWrap/>
          </w:tcPr>
          <w:p w:rsidR="00B431B6" w:rsidRPr="009A02C6" w:rsidRDefault="00B431B6" w:rsidP="009A02C6">
            <w:pPr>
              <w:cnfStyle w:val="000000000000" w:firstRow="0" w:lastRow="0" w:firstColumn="0" w:lastColumn="0" w:oddVBand="0" w:evenVBand="0" w:oddHBand="0" w:evenHBand="0" w:firstRowFirstColumn="0" w:firstRowLastColumn="0" w:lastRowFirstColumn="0" w:lastRowLastColumn="0"/>
            </w:pPr>
          </w:p>
        </w:tc>
      </w:tr>
      <w:tr w:rsidR="00B431B6" w:rsidRPr="009A02C6" w:rsidTr="009A02C6">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660" w:type="dxa"/>
            <w:noWrap/>
            <w:vAlign w:val="top"/>
            <w:hideMark/>
          </w:tcPr>
          <w:p w:rsidR="00B431B6" w:rsidRPr="009A02C6" w:rsidRDefault="00B431B6" w:rsidP="009A02C6">
            <w:r w:rsidRPr="009A02C6">
              <w:t>Revenue ($m, nominal)</w:t>
            </w:r>
            <w:r w:rsidR="00E06D64" w:rsidRPr="0093262C">
              <w:rPr>
                <w:rStyle w:val="AERsuperscript"/>
              </w:rPr>
              <w:t>a</w:t>
            </w:r>
          </w:p>
        </w:tc>
        <w:tc>
          <w:tcPr>
            <w:tcW w:w="1015" w:type="dxa"/>
            <w:noWrap/>
            <w:vAlign w:val="top"/>
          </w:tcPr>
          <w:p w:rsidR="00B431B6" w:rsidRPr="009A02C6" w:rsidRDefault="000D63EF" w:rsidP="009A02C6">
            <w:pPr>
              <w:cnfStyle w:val="000000010000" w:firstRow="0" w:lastRow="0" w:firstColumn="0" w:lastColumn="0" w:oddVBand="0" w:evenVBand="0" w:oddHBand="0" w:evenHBand="1" w:firstRowFirstColumn="0" w:firstRowLastColumn="0" w:lastRowFirstColumn="0" w:lastRowLastColumn="0"/>
            </w:pPr>
            <w:r>
              <w:t>2120.1</w:t>
            </w:r>
          </w:p>
        </w:tc>
        <w:tc>
          <w:tcPr>
            <w:tcW w:w="1016" w:type="dxa"/>
            <w:vAlign w:val="top"/>
          </w:tcPr>
          <w:p w:rsidR="00B431B6" w:rsidRPr="009A02C6" w:rsidRDefault="00B431B6" w:rsidP="009A02C6">
            <w:pPr>
              <w:cnfStyle w:val="000000010000" w:firstRow="0" w:lastRow="0" w:firstColumn="0" w:lastColumn="0" w:oddVBand="0" w:evenVBand="0" w:oddHBand="0" w:evenHBand="1" w:firstRowFirstColumn="0" w:firstRowLastColumn="0" w:lastRowFirstColumn="0" w:lastRowLastColumn="0"/>
            </w:pPr>
            <w:r w:rsidRPr="009A02C6">
              <w:t>1956.4</w:t>
            </w:r>
          </w:p>
        </w:tc>
        <w:tc>
          <w:tcPr>
            <w:tcW w:w="1016" w:type="dxa"/>
            <w:vAlign w:val="top"/>
          </w:tcPr>
          <w:p w:rsidR="00B431B6" w:rsidRPr="009A02C6" w:rsidRDefault="00B431B6" w:rsidP="00E06D64">
            <w:pPr>
              <w:cnfStyle w:val="000000010000" w:firstRow="0" w:lastRow="0" w:firstColumn="0" w:lastColumn="0" w:oddVBand="0" w:evenVBand="0" w:oddHBand="0" w:evenHBand="1" w:firstRowFirstColumn="0" w:firstRowLastColumn="0" w:lastRowFirstColumn="0" w:lastRowLastColumn="0"/>
            </w:pPr>
            <w:r w:rsidRPr="009A02C6">
              <w:t>2</w:t>
            </w:r>
            <w:r w:rsidR="00E06D64">
              <w:t>097.8</w:t>
            </w:r>
          </w:p>
        </w:tc>
        <w:tc>
          <w:tcPr>
            <w:tcW w:w="1016" w:type="dxa"/>
            <w:vAlign w:val="top"/>
          </w:tcPr>
          <w:p w:rsidR="00B431B6" w:rsidRPr="009A02C6" w:rsidRDefault="00B431B6" w:rsidP="00E06D64">
            <w:pPr>
              <w:cnfStyle w:val="000000010000" w:firstRow="0" w:lastRow="0" w:firstColumn="0" w:lastColumn="0" w:oddVBand="0" w:evenVBand="0" w:oddHBand="0" w:evenHBand="1" w:firstRowFirstColumn="0" w:firstRowLastColumn="0" w:lastRowFirstColumn="0" w:lastRowLastColumn="0"/>
            </w:pPr>
            <w:r w:rsidRPr="009A02C6">
              <w:t>21</w:t>
            </w:r>
            <w:r w:rsidR="00E06D64">
              <w:t>52.8</w:t>
            </w:r>
          </w:p>
        </w:tc>
        <w:tc>
          <w:tcPr>
            <w:tcW w:w="1016" w:type="dxa"/>
            <w:vAlign w:val="top"/>
          </w:tcPr>
          <w:p w:rsidR="00B431B6" w:rsidRPr="009A02C6" w:rsidRDefault="00B431B6" w:rsidP="00E06D64">
            <w:pPr>
              <w:cnfStyle w:val="000000010000" w:firstRow="0" w:lastRow="0" w:firstColumn="0" w:lastColumn="0" w:oddVBand="0" w:evenVBand="0" w:oddHBand="0" w:evenHBand="1" w:firstRowFirstColumn="0" w:firstRowLastColumn="0" w:lastRowFirstColumn="0" w:lastRowLastColumn="0"/>
            </w:pPr>
            <w:r w:rsidRPr="009A02C6">
              <w:t>22</w:t>
            </w:r>
            <w:r w:rsidR="00E06D64">
              <w:t>09.2</w:t>
            </w:r>
          </w:p>
        </w:tc>
        <w:tc>
          <w:tcPr>
            <w:tcW w:w="1016" w:type="dxa"/>
            <w:noWrap/>
            <w:vAlign w:val="top"/>
          </w:tcPr>
          <w:p w:rsidR="00B431B6" w:rsidRPr="009A02C6" w:rsidRDefault="00B431B6" w:rsidP="00E06D64">
            <w:pPr>
              <w:cnfStyle w:val="000000010000" w:firstRow="0" w:lastRow="0" w:firstColumn="0" w:lastColumn="0" w:oddVBand="0" w:evenVBand="0" w:oddHBand="0" w:evenHBand="1" w:firstRowFirstColumn="0" w:firstRowLastColumn="0" w:lastRowFirstColumn="0" w:lastRowLastColumn="0"/>
            </w:pPr>
            <w:r w:rsidRPr="009A02C6">
              <w:t>2</w:t>
            </w:r>
            <w:r w:rsidR="00E06D64">
              <w:t>267.1</w:t>
            </w:r>
          </w:p>
        </w:tc>
      </w:tr>
      <w:tr w:rsidR="00B431B6" w:rsidRPr="009A02C6" w:rsidTr="009A02C6">
        <w:trPr>
          <w:trHeight w:val="190"/>
        </w:trPr>
        <w:tc>
          <w:tcPr>
            <w:cnfStyle w:val="001000000000" w:firstRow="0" w:lastRow="0" w:firstColumn="1" w:lastColumn="0" w:oddVBand="0" w:evenVBand="0" w:oddHBand="0" w:evenHBand="0" w:firstRowFirstColumn="0" w:firstRowLastColumn="0" w:lastRowFirstColumn="0" w:lastRowLastColumn="0"/>
            <w:tcW w:w="2660" w:type="dxa"/>
            <w:noWrap/>
            <w:vAlign w:val="top"/>
            <w:hideMark/>
          </w:tcPr>
          <w:p w:rsidR="00B431B6" w:rsidRPr="009A02C6" w:rsidRDefault="00B431B6" w:rsidP="009A02C6">
            <w:r w:rsidRPr="009A02C6">
              <w:t>Price path (nominal index)</w:t>
            </w:r>
          </w:p>
        </w:tc>
        <w:tc>
          <w:tcPr>
            <w:tcW w:w="1015" w:type="dxa"/>
            <w:noWrap/>
            <w:vAlign w:val="top"/>
          </w:tcPr>
          <w:p w:rsidR="00B431B6" w:rsidRPr="009A02C6" w:rsidRDefault="00B431B6" w:rsidP="009A02C6">
            <w:pPr>
              <w:cnfStyle w:val="000000000000" w:firstRow="0" w:lastRow="0" w:firstColumn="0" w:lastColumn="0" w:oddVBand="0" w:evenVBand="0" w:oddHBand="0" w:evenHBand="0" w:firstRowFirstColumn="0" w:firstRowLastColumn="0" w:lastRowFirstColumn="0" w:lastRowLastColumn="0"/>
            </w:pPr>
            <w:r w:rsidRPr="009A02C6">
              <w:t>1.00</w:t>
            </w:r>
          </w:p>
        </w:tc>
        <w:tc>
          <w:tcPr>
            <w:tcW w:w="1016" w:type="dxa"/>
            <w:vAlign w:val="top"/>
          </w:tcPr>
          <w:p w:rsidR="00B431B6" w:rsidRPr="009A02C6" w:rsidRDefault="00B431B6" w:rsidP="00E06D64">
            <w:pPr>
              <w:cnfStyle w:val="000000000000" w:firstRow="0" w:lastRow="0" w:firstColumn="0" w:lastColumn="0" w:oddVBand="0" w:evenVBand="0" w:oddHBand="0" w:evenHBand="0" w:firstRowFirstColumn="0" w:firstRowLastColumn="0" w:lastRowFirstColumn="0" w:lastRowLastColumn="0"/>
            </w:pPr>
            <w:r w:rsidRPr="009A02C6">
              <w:t>0.9</w:t>
            </w:r>
            <w:r w:rsidR="00E06D64">
              <w:t>4</w:t>
            </w:r>
          </w:p>
        </w:tc>
        <w:tc>
          <w:tcPr>
            <w:tcW w:w="1016" w:type="dxa"/>
            <w:vAlign w:val="top"/>
          </w:tcPr>
          <w:p w:rsidR="00B431B6" w:rsidRPr="009A02C6" w:rsidRDefault="00B431B6" w:rsidP="00E06D64">
            <w:pPr>
              <w:cnfStyle w:val="000000000000" w:firstRow="0" w:lastRow="0" w:firstColumn="0" w:lastColumn="0" w:oddVBand="0" w:evenVBand="0" w:oddHBand="0" w:evenHBand="0" w:firstRowFirstColumn="0" w:firstRowLastColumn="0" w:lastRowFirstColumn="0" w:lastRowLastColumn="0"/>
            </w:pPr>
            <w:r w:rsidRPr="009A02C6">
              <w:t>1.0</w:t>
            </w:r>
            <w:r w:rsidR="00E06D64">
              <w:t>4</w:t>
            </w:r>
          </w:p>
        </w:tc>
        <w:tc>
          <w:tcPr>
            <w:tcW w:w="1016" w:type="dxa"/>
            <w:vAlign w:val="top"/>
          </w:tcPr>
          <w:p w:rsidR="00B431B6" w:rsidRPr="009A02C6" w:rsidRDefault="00B431B6" w:rsidP="009A02C6">
            <w:pPr>
              <w:cnfStyle w:val="000000000000" w:firstRow="0" w:lastRow="0" w:firstColumn="0" w:lastColumn="0" w:oddVBand="0" w:evenVBand="0" w:oddHBand="0" w:evenHBand="0" w:firstRowFirstColumn="0" w:firstRowLastColumn="0" w:lastRowFirstColumn="0" w:lastRowLastColumn="0"/>
            </w:pPr>
            <w:r w:rsidRPr="009A02C6">
              <w:t>1.07</w:t>
            </w:r>
          </w:p>
        </w:tc>
        <w:tc>
          <w:tcPr>
            <w:tcW w:w="1016" w:type="dxa"/>
            <w:vAlign w:val="top"/>
          </w:tcPr>
          <w:p w:rsidR="00B431B6" w:rsidRPr="009A02C6" w:rsidRDefault="00B431B6" w:rsidP="00E06D64">
            <w:pPr>
              <w:cnfStyle w:val="000000000000" w:firstRow="0" w:lastRow="0" w:firstColumn="0" w:lastColumn="0" w:oddVBand="0" w:evenVBand="0" w:oddHBand="0" w:evenHBand="0" w:firstRowFirstColumn="0" w:firstRowLastColumn="0" w:lastRowFirstColumn="0" w:lastRowLastColumn="0"/>
            </w:pPr>
            <w:r w:rsidRPr="009A02C6">
              <w:t>1.0</w:t>
            </w:r>
            <w:r w:rsidR="00E06D64">
              <w:t>9</w:t>
            </w:r>
          </w:p>
        </w:tc>
        <w:tc>
          <w:tcPr>
            <w:tcW w:w="1016" w:type="dxa"/>
            <w:noWrap/>
            <w:vAlign w:val="top"/>
          </w:tcPr>
          <w:p w:rsidR="00B431B6" w:rsidRPr="009A02C6" w:rsidRDefault="00B431B6" w:rsidP="00E06D64">
            <w:pPr>
              <w:cnfStyle w:val="000000000000" w:firstRow="0" w:lastRow="0" w:firstColumn="0" w:lastColumn="0" w:oddVBand="0" w:evenVBand="0" w:oddHBand="0" w:evenHBand="0" w:firstRowFirstColumn="0" w:firstRowLastColumn="0" w:lastRowFirstColumn="0" w:lastRowLastColumn="0"/>
            </w:pPr>
            <w:r w:rsidRPr="009A02C6">
              <w:t>1.1</w:t>
            </w:r>
            <w:r w:rsidR="00E06D64">
              <w:t>1</w:t>
            </w:r>
          </w:p>
        </w:tc>
      </w:tr>
      <w:tr w:rsidR="00B431B6" w:rsidRPr="009A02C6" w:rsidTr="009A02C6">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660" w:type="dxa"/>
            <w:noWrap/>
            <w:vAlign w:val="top"/>
            <w:hideMark/>
          </w:tcPr>
          <w:p w:rsidR="00B431B6" w:rsidRPr="009A02C6" w:rsidRDefault="00B431B6" w:rsidP="009A02C6">
            <w:r w:rsidRPr="009A02C6">
              <w:t>Revenue (change %)</w:t>
            </w:r>
          </w:p>
        </w:tc>
        <w:tc>
          <w:tcPr>
            <w:tcW w:w="1015" w:type="dxa"/>
            <w:noWrap/>
            <w:vAlign w:val="top"/>
          </w:tcPr>
          <w:p w:rsidR="00B431B6" w:rsidRPr="009A02C6" w:rsidRDefault="00B431B6" w:rsidP="009A02C6">
            <w:pPr>
              <w:cnfStyle w:val="000000010000" w:firstRow="0" w:lastRow="0" w:firstColumn="0" w:lastColumn="0" w:oddVBand="0" w:evenVBand="0" w:oddHBand="0" w:evenHBand="1" w:firstRowFirstColumn="0" w:firstRowLastColumn="0" w:lastRowFirstColumn="0" w:lastRowLastColumn="0"/>
            </w:pPr>
          </w:p>
        </w:tc>
        <w:tc>
          <w:tcPr>
            <w:tcW w:w="1016" w:type="dxa"/>
            <w:vAlign w:val="top"/>
          </w:tcPr>
          <w:p w:rsidR="00B431B6" w:rsidRPr="009A02C6" w:rsidRDefault="000D63EF" w:rsidP="009A02C6">
            <w:pPr>
              <w:cnfStyle w:val="000000010000" w:firstRow="0" w:lastRow="0" w:firstColumn="0" w:lastColumn="0" w:oddVBand="0" w:evenVBand="0" w:oddHBand="0" w:evenHBand="1" w:firstRowFirstColumn="0" w:firstRowLastColumn="0" w:lastRowFirstColumn="0" w:lastRowLastColumn="0"/>
            </w:pPr>
            <w:r>
              <w:t>–7.7</w:t>
            </w:r>
            <w:r w:rsidR="00B431B6" w:rsidRPr="009A02C6">
              <w:t>%</w:t>
            </w:r>
          </w:p>
        </w:tc>
        <w:tc>
          <w:tcPr>
            <w:tcW w:w="1016" w:type="dxa"/>
            <w:vAlign w:val="top"/>
          </w:tcPr>
          <w:p w:rsidR="00B431B6" w:rsidRPr="009A02C6" w:rsidRDefault="00E06D64" w:rsidP="00E06D64">
            <w:pPr>
              <w:cnfStyle w:val="000000010000" w:firstRow="0" w:lastRow="0" w:firstColumn="0" w:lastColumn="0" w:oddVBand="0" w:evenVBand="0" w:oddHBand="0" w:evenHBand="1" w:firstRowFirstColumn="0" w:firstRowLastColumn="0" w:lastRowFirstColumn="0" w:lastRowLastColumn="0"/>
            </w:pPr>
            <w:r>
              <w:t>7</w:t>
            </w:r>
            <w:r w:rsidR="00B431B6" w:rsidRPr="009A02C6">
              <w:t>.2%</w:t>
            </w:r>
          </w:p>
        </w:tc>
        <w:tc>
          <w:tcPr>
            <w:tcW w:w="1016" w:type="dxa"/>
            <w:vAlign w:val="top"/>
          </w:tcPr>
          <w:p w:rsidR="00B431B6" w:rsidRPr="009A02C6" w:rsidRDefault="00B431B6" w:rsidP="00E06D64">
            <w:pPr>
              <w:cnfStyle w:val="000000010000" w:firstRow="0" w:lastRow="0" w:firstColumn="0" w:lastColumn="0" w:oddVBand="0" w:evenVBand="0" w:oddHBand="0" w:evenHBand="1" w:firstRowFirstColumn="0" w:firstRowLastColumn="0" w:lastRowFirstColumn="0" w:lastRowLastColumn="0"/>
            </w:pPr>
            <w:r w:rsidRPr="009A02C6">
              <w:t>2.</w:t>
            </w:r>
            <w:r w:rsidR="00E06D64">
              <w:t>6</w:t>
            </w:r>
            <w:r w:rsidRPr="009A02C6">
              <w:t>%</w:t>
            </w:r>
          </w:p>
        </w:tc>
        <w:tc>
          <w:tcPr>
            <w:tcW w:w="1016" w:type="dxa"/>
            <w:vAlign w:val="top"/>
          </w:tcPr>
          <w:p w:rsidR="00B431B6" w:rsidRPr="009A02C6" w:rsidRDefault="00E06D64" w:rsidP="00E06D64">
            <w:pPr>
              <w:cnfStyle w:val="000000010000" w:firstRow="0" w:lastRow="0" w:firstColumn="0" w:lastColumn="0" w:oddVBand="0" w:evenVBand="0" w:oddHBand="0" w:evenHBand="1" w:firstRowFirstColumn="0" w:firstRowLastColumn="0" w:lastRowFirstColumn="0" w:lastRowLastColumn="0"/>
            </w:pPr>
            <w:r>
              <w:t>2.6</w:t>
            </w:r>
            <w:r w:rsidR="00B431B6" w:rsidRPr="009A02C6">
              <w:t>%</w:t>
            </w:r>
          </w:p>
        </w:tc>
        <w:tc>
          <w:tcPr>
            <w:tcW w:w="1016" w:type="dxa"/>
            <w:noWrap/>
            <w:vAlign w:val="top"/>
          </w:tcPr>
          <w:p w:rsidR="00B431B6" w:rsidRPr="009A02C6" w:rsidRDefault="00E06D64" w:rsidP="00E06D64">
            <w:pPr>
              <w:cnfStyle w:val="000000010000" w:firstRow="0" w:lastRow="0" w:firstColumn="0" w:lastColumn="0" w:oddVBand="0" w:evenVBand="0" w:oddHBand="0" w:evenHBand="1" w:firstRowFirstColumn="0" w:firstRowLastColumn="0" w:lastRowFirstColumn="0" w:lastRowLastColumn="0"/>
            </w:pPr>
            <w:r>
              <w:t>2.6</w:t>
            </w:r>
            <w:r w:rsidR="00B431B6" w:rsidRPr="009A02C6">
              <w:t>%</w:t>
            </w:r>
          </w:p>
        </w:tc>
      </w:tr>
      <w:tr w:rsidR="00B431B6" w:rsidRPr="009A02C6" w:rsidTr="009A02C6">
        <w:trPr>
          <w:trHeight w:val="190"/>
        </w:trPr>
        <w:tc>
          <w:tcPr>
            <w:cnfStyle w:val="001000000000" w:firstRow="0" w:lastRow="0" w:firstColumn="1" w:lastColumn="0" w:oddVBand="0" w:evenVBand="0" w:oddHBand="0" w:evenHBand="0" w:firstRowFirstColumn="0" w:firstRowLastColumn="0" w:lastRowFirstColumn="0" w:lastRowLastColumn="0"/>
            <w:tcW w:w="2660" w:type="dxa"/>
            <w:noWrap/>
            <w:vAlign w:val="top"/>
          </w:tcPr>
          <w:p w:rsidR="00B431B6" w:rsidRPr="009A02C6" w:rsidRDefault="00B431B6" w:rsidP="009A02C6">
            <w:r w:rsidRPr="009A02C6">
              <w:t>Price path (change %)</w:t>
            </w:r>
          </w:p>
        </w:tc>
        <w:tc>
          <w:tcPr>
            <w:tcW w:w="1015" w:type="dxa"/>
            <w:noWrap/>
            <w:vAlign w:val="top"/>
          </w:tcPr>
          <w:p w:rsidR="00B431B6" w:rsidRPr="009A02C6" w:rsidRDefault="00B431B6" w:rsidP="009A02C6">
            <w:pPr>
              <w:cnfStyle w:val="000000000000" w:firstRow="0" w:lastRow="0" w:firstColumn="0" w:lastColumn="0" w:oddVBand="0" w:evenVBand="0" w:oddHBand="0" w:evenHBand="0" w:firstRowFirstColumn="0" w:firstRowLastColumn="0" w:lastRowFirstColumn="0" w:lastRowLastColumn="0"/>
            </w:pPr>
          </w:p>
        </w:tc>
        <w:tc>
          <w:tcPr>
            <w:tcW w:w="1016" w:type="dxa"/>
            <w:vAlign w:val="top"/>
          </w:tcPr>
          <w:p w:rsidR="00B431B6" w:rsidRPr="009A02C6" w:rsidRDefault="00B431B6" w:rsidP="00E06D64">
            <w:pPr>
              <w:cnfStyle w:val="000000000000" w:firstRow="0" w:lastRow="0" w:firstColumn="0" w:lastColumn="0" w:oddVBand="0" w:evenVBand="0" w:oddHBand="0" w:evenHBand="0" w:firstRowFirstColumn="0" w:firstRowLastColumn="0" w:lastRowFirstColumn="0" w:lastRowLastColumn="0"/>
            </w:pPr>
            <w:r w:rsidRPr="009A02C6">
              <w:t>–</w:t>
            </w:r>
            <w:r w:rsidR="00E06D64">
              <w:t>5.8</w:t>
            </w:r>
            <w:r w:rsidRPr="009A02C6">
              <w:t>%</w:t>
            </w:r>
          </w:p>
        </w:tc>
        <w:tc>
          <w:tcPr>
            <w:tcW w:w="1016" w:type="dxa"/>
            <w:vAlign w:val="top"/>
          </w:tcPr>
          <w:p w:rsidR="00B431B6" w:rsidRPr="009A02C6" w:rsidRDefault="00E06D64" w:rsidP="00E06D64">
            <w:pPr>
              <w:cnfStyle w:val="000000000000" w:firstRow="0" w:lastRow="0" w:firstColumn="0" w:lastColumn="0" w:oddVBand="0" w:evenVBand="0" w:oddHBand="0" w:evenHBand="0" w:firstRowFirstColumn="0" w:firstRowLastColumn="0" w:lastRowFirstColumn="0" w:lastRowLastColumn="0"/>
            </w:pPr>
            <w:r>
              <w:t>10.4</w:t>
            </w:r>
            <w:r w:rsidR="00B431B6" w:rsidRPr="009A02C6">
              <w:t>%</w:t>
            </w:r>
          </w:p>
        </w:tc>
        <w:tc>
          <w:tcPr>
            <w:tcW w:w="1016" w:type="dxa"/>
            <w:vAlign w:val="top"/>
          </w:tcPr>
          <w:p w:rsidR="00B431B6" w:rsidRPr="009A02C6" w:rsidRDefault="00E06D64" w:rsidP="00E06D64">
            <w:pPr>
              <w:cnfStyle w:val="000000000000" w:firstRow="0" w:lastRow="0" w:firstColumn="0" w:lastColumn="0" w:oddVBand="0" w:evenVBand="0" w:oddHBand="0" w:evenHBand="0" w:firstRowFirstColumn="0" w:firstRowLastColumn="0" w:lastRowFirstColumn="0" w:lastRowLastColumn="0"/>
            </w:pPr>
            <w:r>
              <w:t>2.5</w:t>
            </w:r>
            <w:r w:rsidR="00B431B6" w:rsidRPr="009A02C6">
              <w:t>%</w:t>
            </w:r>
          </w:p>
        </w:tc>
        <w:tc>
          <w:tcPr>
            <w:tcW w:w="1016" w:type="dxa"/>
            <w:vAlign w:val="top"/>
          </w:tcPr>
          <w:p w:rsidR="00B431B6" w:rsidRPr="009A02C6" w:rsidRDefault="00E06D64" w:rsidP="00E06D64">
            <w:pPr>
              <w:cnfStyle w:val="000000000000" w:firstRow="0" w:lastRow="0" w:firstColumn="0" w:lastColumn="0" w:oddVBand="0" w:evenVBand="0" w:oddHBand="0" w:evenHBand="0" w:firstRowFirstColumn="0" w:firstRowLastColumn="0" w:lastRowFirstColumn="0" w:lastRowLastColumn="0"/>
            </w:pPr>
            <w:r>
              <w:t>2.1</w:t>
            </w:r>
            <w:r w:rsidR="00B431B6" w:rsidRPr="009A02C6">
              <w:t>%</w:t>
            </w:r>
          </w:p>
        </w:tc>
        <w:tc>
          <w:tcPr>
            <w:tcW w:w="1016" w:type="dxa"/>
            <w:noWrap/>
            <w:vAlign w:val="top"/>
          </w:tcPr>
          <w:p w:rsidR="00B431B6" w:rsidRPr="009A02C6" w:rsidRDefault="00E06D64" w:rsidP="00E06D64">
            <w:pPr>
              <w:cnfStyle w:val="000000000000" w:firstRow="0" w:lastRow="0" w:firstColumn="0" w:lastColumn="0" w:oddVBand="0" w:evenVBand="0" w:oddHBand="0" w:evenHBand="0" w:firstRowFirstColumn="0" w:firstRowLastColumn="0" w:lastRowFirstColumn="0" w:lastRowLastColumn="0"/>
            </w:pPr>
            <w:r>
              <w:t>2.1</w:t>
            </w:r>
            <w:r w:rsidR="00B431B6" w:rsidRPr="009A02C6">
              <w:t>%</w:t>
            </w:r>
          </w:p>
        </w:tc>
      </w:tr>
      <w:tr w:rsidR="00B431B6" w:rsidRPr="009A02C6" w:rsidTr="009A02C6">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660" w:type="dxa"/>
            <w:noWrap/>
            <w:vAlign w:val="top"/>
          </w:tcPr>
          <w:p w:rsidR="00B431B6" w:rsidRPr="009A02C6" w:rsidRDefault="00B431B6" w:rsidP="009A02C6">
            <w:pPr>
              <w:rPr>
                <w:rStyle w:val="Strong"/>
              </w:rPr>
            </w:pPr>
            <w:r w:rsidRPr="009A02C6">
              <w:rPr>
                <w:rStyle w:val="Strong"/>
              </w:rPr>
              <w:t xml:space="preserve">AER </w:t>
            </w:r>
            <w:r w:rsidR="009A02C6">
              <w:rPr>
                <w:rStyle w:val="Strong"/>
              </w:rPr>
              <w:t>final</w:t>
            </w:r>
            <w:r w:rsidRPr="009A02C6">
              <w:rPr>
                <w:rStyle w:val="Strong"/>
              </w:rPr>
              <w:t xml:space="preserve"> decision</w:t>
            </w:r>
          </w:p>
        </w:tc>
        <w:tc>
          <w:tcPr>
            <w:tcW w:w="1015" w:type="dxa"/>
            <w:noWrap/>
          </w:tcPr>
          <w:p w:rsidR="00B431B6" w:rsidRPr="009A02C6" w:rsidRDefault="00B431B6" w:rsidP="009A02C6">
            <w:pPr>
              <w:cnfStyle w:val="000000010000" w:firstRow="0" w:lastRow="0" w:firstColumn="0" w:lastColumn="0" w:oddVBand="0" w:evenVBand="0" w:oddHBand="0" w:evenHBand="1" w:firstRowFirstColumn="0" w:firstRowLastColumn="0" w:lastRowFirstColumn="0" w:lastRowLastColumn="0"/>
            </w:pPr>
          </w:p>
        </w:tc>
        <w:tc>
          <w:tcPr>
            <w:tcW w:w="1016" w:type="dxa"/>
          </w:tcPr>
          <w:p w:rsidR="00B431B6" w:rsidRPr="009A02C6" w:rsidRDefault="00B431B6" w:rsidP="009A02C6">
            <w:pPr>
              <w:cnfStyle w:val="000000010000" w:firstRow="0" w:lastRow="0" w:firstColumn="0" w:lastColumn="0" w:oddVBand="0" w:evenVBand="0" w:oddHBand="0" w:evenHBand="1" w:firstRowFirstColumn="0" w:firstRowLastColumn="0" w:lastRowFirstColumn="0" w:lastRowLastColumn="0"/>
            </w:pPr>
          </w:p>
        </w:tc>
        <w:tc>
          <w:tcPr>
            <w:tcW w:w="1016" w:type="dxa"/>
          </w:tcPr>
          <w:p w:rsidR="00B431B6" w:rsidRPr="009A02C6" w:rsidRDefault="00B431B6" w:rsidP="009A02C6">
            <w:pPr>
              <w:cnfStyle w:val="000000010000" w:firstRow="0" w:lastRow="0" w:firstColumn="0" w:lastColumn="0" w:oddVBand="0" w:evenVBand="0" w:oddHBand="0" w:evenHBand="1" w:firstRowFirstColumn="0" w:firstRowLastColumn="0" w:lastRowFirstColumn="0" w:lastRowLastColumn="0"/>
            </w:pPr>
          </w:p>
        </w:tc>
        <w:tc>
          <w:tcPr>
            <w:tcW w:w="1016" w:type="dxa"/>
          </w:tcPr>
          <w:p w:rsidR="00B431B6" w:rsidRPr="009A02C6" w:rsidRDefault="00B431B6" w:rsidP="009A02C6">
            <w:pPr>
              <w:cnfStyle w:val="000000010000" w:firstRow="0" w:lastRow="0" w:firstColumn="0" w:lastColumn="0" w:oddVBand="0" w:evenVBand="0" w:oddHBand="0" w:evenHBand="1" w:firstRowFirstColumn="0" w:firstRowLastColumn="0" w:lastRowFirstColumn="0" w:lastRowLastColumn="0"/>
            </w:pPr>
          </w:p>
        </w:tc>
        <w:tc>
          <w:tcPr>
            <w:tcW w:w="1016" w:type="dxa"/>
          </w:tcPr>
          <w:p w:rsidR="00B431B6" w:rsidRPr="009A02C6" w:rsidRDefault="00B431B6" w:rsidP="009A02C6">
            <w:pPr>
              <w:cnfStyle w:val="000000010000" w:firstRow="0" w:lastRow="0" w:firstColumn="0" w:lastColumn="0" w:oddVBand="0" w:evenVBand="0" w:oddHBand="0" w:evenHBand="1" w:firstRowFirstColumn="0" w:firstRowLastColumn="0" w:lastRowFirstColumn="0" w:lastRowLastColumn="0"/>
            </w:pPr>
          </w:p>
        </w:tc>
        <w:tc>
          <w:tcPr>
            <w:tcW w:w="1016" w:type="dxa"/>
            <w:noWrap/>
          </w:tcPr>
          <w:p w:rsidR="00B431B6" w:rsidRPr="009A02C6" w:rsidRDefault="00B431B6" w:rsidP="009A02C6">
            <w:pPr>
              <w:cnfStyle w:val="000000010000" w:firstRow="0" w:lastRow="0" w:firstColumn="0" w:lastColumn="0" w:oddVBand="0" w:evenVBand="0" w:oddHBand="0" w:evenHBand="1" w:firstRowFirstColumn="0" w:firstRowLastColumn="0" w:lastRowFirstColumn="0" w:lastRowLastColumn="0"/>
            </w:pPr>
          </w:p>
        </w:tc>
      </w:tr>
      <w:tr w:rsidR="00B431B6" w:rsidRPr="009A02C6" w:rsidTr="009A02C6">
        <w:trPr>
          <w:trHeight w:val="190"/>
        </w:trPr>
        <w:tc>
          <w:tcPr>
            <w:cnfStyle w:val="001000000000" w:firstRow="0" w:lastRow="0" w:firstColumn="1" w:lastColumn="0" w:oddVBand="0" w:evenVBand="0" w:oddHBand="0" w:evenHBand="0" w:firstRowFirstColumn="0" w:firstRowLastColumn="0" w:lastRowFirstColumn="0" w:lastRowLastColumn="0"/>
            <w:tcW w:w="2660" w:type="dxa"/>
            <w:noWrap/>
            <w:vAlign w:val="top"/>
          </w:tcPr>
          <w:p w:rsidR="00B431B6" w:rsidRPr="009A02C6" w:rsidRDefault="00B431B6" w:rsidP="009A02C6">
            <w:r w:rsidRPr="009A02C6">
              <w:t>Revenue ($m, nominal)</w:t>
            </w:r>
          </w:p>
        </w:tc>
        <w:tc>
          <w:tcPr>
            <w:tcW w:w="1015" w:type="dxa"/>
            <w:noWrap/>
            <w:vAlign w:val="top"/>
          </w:tcPr>
          <w:p w:rsidR="00B431B6" w:rsidRPr="009A02C6" w:rsidRDefault="000D63EF" w:rsidP="009A02C6">
            <w:pPr>
              <w:cnfStyle w:val="000000000000" w:firstRow="0" w:lastRow="0" w:firstColumn="0" w:lastColumn="0" w:oddVBand="0" w:evenVBand="0" w:oddHBand="0" w:evenHBand="0" w:firstRowFirstColumn="0" w:firstRowLastColumn="0" w:lastRowFirstColumn="0" w:lastRowLastColumn="0"/>
            </w:pPr>
            <w:r>
              <w:t>2120.1</w:t>
            </w:r>
          </w:p>
        </w:tc>
        <w:tc>
          <w:tcPr>
            <w:tcW w:w="1016" w:type="dxa"/>
            <w:vAlign w:val="top"/>
          </w:tcPr>
          <w:p w:rsidR="00B431B6" w:rsidRPr="009A02C6" w:rsidRDefault="00B431B6" w:rsidP="009A02C6">
            <w:pPr>
              <w:cnfStyle w:val="000000000000" w:firstRow="0" w:lastRow="0" w:firstColumn="0" w:lastColumn="0" w:oddVBand="0" w:evenVBand="0" w:oddHBand="0" w:evenHBand="0" w:firstRowFirstColumn="0" w:firstRowLastColumn="0" w:lastRowFirstColumn="0" w:lastRowLastColumn="0"/>
            </w:pPr>
            <w:r w:rsidRPr="009A02C6">
              <w:t>1956.4</w:t>
            </w:r>
          </w:p>
        </w:tc>
        <w:tc>
          <w:tcPr>
            <w:tcW w:w="1016" w:type="dxa"/>
            <w:vAlign w:val="top"/>
          </w:tcPr>
          <w:p w:rsidR="00B431B6" w:rsidRPr="009A02C6" w:rsidRDefault="00B431B6" w:rsidP="00E06D64">
            <w:pPr>
              <w:cnfStyle w:val="000000000000" w:firstRow="0" w:lastRow="0" w:firstColumn="0" w:lastColumn="0" w:oddVBand="0" w:evenVBand="0" w:oddHBand="0" w:evenHBand="0" w:firstRowFirstColumn="0" w:firstRowLastColumn="0" w:lastRowFirstColumn="0" w:lastRowLastColumn="0"/>
            </w:pPr>
            <w:r w:rsidRPr="009A02C6">
              <w:t>1</w:t>
            </w:r>
            <w:r w:rsidR="00E06D64">
              <w:t>507.0</w:t>
            </w:r>
          </w:p>
        </w:tc>
        <w:tc>
          <w:tcPr>
            <w:tcW w:w="1016" w:type="dxa"/>
            <w:vAlign w:val="top"/>
          </w:tcPr>
          <w:p w:rsidR="00B431B6" w:rsidRPr="009A02C6" w:rsidRDefault="00B431B6" w:rsidP="00E06D64">
            <w:pPr>
              <w:cnfStyle w:val="000000000000" w:firstRow="0" w:lastRow="0" w:firstColumn="0" w:lastColumn="0" w:oddVBand="0" w:evenVBand="0" w:oddHBand="0" w:evenHBand="0" w:firstRowFirstColumn="0" w:firstRowLastColumn="0" w:lastRowFirstColumn="0" w:lastRowLastColumn="0"/>
            </w:pPr>
            <w:r w:rsidRPr="009A02C6">
              <w:t>14</w:t>
            </w:r>
            <w:r w:rsidR="00E06D64">
              <w:t>50.3</w:t>
            </w:r>
          </w:p>
        </w:tc>
        <w:tc>
          <w:tcPr>
            <w:tcW w:w="1016" w:type="dxa"/>
            <w:vAlign w:val="top"/>
          </w:tcPr>
          <w:p w:rsidR="00B431B6" w:rsidRPr="009A02C6" w:rsidRDefault="00B431B6" w:rsidP="00E06D64">
            <w:pPr>
              <w:cnfStyle w:val="000000000000" w:firstRow="0" w:lastRow="0" w:firstColumn="0" w:lastColumn="0" w:oddVBand="0" w:evenVBand="0" w:oddHBand="0" w:evenHBand="0" w:firstRowFirstColumn="0" w:firstRowLastColumn="0" w:lastRowFirstColumn="0" w:lastRowLastColumn="0"/>
            </w:pPr>
            <w:r w:rsidRPr="009A02C6">
              <w:t>14</w:t>
            </w:r>
            <w:r w:rsidR="00E06D64">
              <w:t>40.2</w:t>
            </w:r>
          </w:p>
        </w:tc>
        <w:tc>
          <w:tcPr>
            <w:tcW w:w="1016" w:type="dxa"/>
            <w:noWrap/>
            <w:vAlign w:val="top"/>
          </w:tcPr>
          <w:p w:rsidR="00B431B6" w:rsidRPr="009A02C6" w:rsidRDefault="00B431B6" w:rsidP="00E06D64">
            <w:pPr>
              <w:cnfStyle w:val="000000000000" w:firstRow="0" w:lastRow="0" w:firstColumn="0" w:lastColumn="0" w:oddVBand="0" w:evenVBand="0" w:oddHBand="0" w:evenHBand="0" w:firstRowFirstColumn="0" w:firstRowLastColumn="0" w:lastRowFirstColumn="0" w:lastRowLastColumn="0"/>
            </w:pPr>
            <w:r w:rsidRPr="009A02C6">
              <w:t>14</w:t>
            </w:r>
            <w:r w:rsidR="00E06D64">
              <w:t>30.3</w:t>
            </w:r>
          </w:p>
        </w:tc>
      </w:tr>
      <w:tr w:rsidR="00B431B6" w:rsidRPr="009A02C6" w:rsidTr="009A02C6">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660" w:type="dxa"/>
            <w:noWrap/>
            <w:vAlign w:val="top"/>
          </w:tcPr>
          <w:p w:rsidR="00B431B6" w:rsidRPr="009A02C6" w:rsidRDefault="00B431B6" w:rsidP="009A02C6">
            <w:r w:rsidRPr="009A02C6">
              <w:t>Price path (nominal index)</w:t>
            </w:r>
          </w:p>
        </w:tc>
        <w:tc>
          <w:tcPr>
            <w:tcW w:w="1015" w:type="dxa"/>
            <w:noWrap/>
            <w:vAlign w:val="top"/>
          </w:tcPr>
          <w:p w:rsidR="00B431B6" w:rsidRPr="009A02C6" w:rsidRDefault="00B431B6" w:rsidP="009A02C6">
            <w:pPr>
              <w:cnfStyle w:val="000000010000" w:firstRow="0" w:lastRow="0" w:firstColumn="0" w:lastColumn="0" w:oddVBand="0" w:evenVBand="0" w:oddHBand="0" w:evenHBand="1" w:firstRowFirstColumn="0" w:firstRowLastColumn="0" w:lastRowFirstColumn="0" w:lastRowLastColumn="0"/>
            </w:pPr>
            <w:r w:rsidRPr="009A02C6">
              <w:t>1.00</w:t>
            </w:r>
          </w:p>
        </w:tc>
        <w:tc>
          <w:tcPr>
            <w:tcW w:w="1016" w:type="dxa"/>
            <w:vAlign w:val="top"/>
          </w:tcPr>
          <w:p w:rsidR="00B431B6" w:rsidRPr="009A02C6" w:rsidRDefault="00B431B6" w:rsidP="00E06D64">
            <w:pPr>
              <w:cnfStyle w:val="000000010000" w:firstRow="0" w:lastRow="0" w:firstColumn="0" w:lastColumn="0" w:oddVBand="0" w:evenVBand="0" w:oddHBand="0" w:evenHBand="1" w:firstRowFirstColumn="0" w:firstRowLastColumn="0" w:lastRowFirstColumn="0" w:lastRowLastColumn="0"/>
            </w:pPr>
            <w:r w:rsidRPr="009A02C6">
              <w:t>0.9</w:t>
            </w:r>
            <w:r w:rsidR="00E06D64">
              <w:t>4</w:t>
            </w:r>
          </w:p>
        </w:tc>
        <w:tc>
          <w:tcPr>
            <w:tcW w:w="1016" w:type="dxa"/>
            <w:vAlign w:val="top"/>
          </w:tcPr>
          <w:p w:rsidR="00B431B6" w:rsidRPr="009A02C6" w:rsidRDefault="00B431B6" w:rsidP="00E06D64">
            <w:pPr>
              <w:cnfStyle w:val="000000010000" w:firstRow="0" w:lastRow="0" w:firstColumn="0" w:lastColumn="0" w:oddVBand="0" w:evenVBand="0" w:oddHBand="0" w:evenHBand="1" w:firstRowFirstColumn="0" w:firstRowLastColumn="0" w:lastRowFirstColumn="0" w:lastRowLastColumn="0"/>
            </w:pPr>
            <w:r w:rsidRPr="009A02C6">
              <w:t>0.</w:t>
            </w:r>
            <w:r w:rsidR="00E06D64">
              <w:t>74</w:t>
            </w:r>
          </w:p>
        </w:tc>
        <w:tc>
          <w:tcPr>
            <w:tcW w:w="1016" w:type="dxa"/>
            <w:vAlign w:val="top"/>
          </w:tcPr>
          <w:p w:rsidR="00B431B6" w:rsidRPr="009A02C6" w:rsidRDefault="00B431B6" w:rsidP="00E06D64">
            <w:pPr>
              <w:cnfStyle w:val="000000010000" w:firstRow="0" w:lastRow="0" w:firstColumn="0" w:lastColumn="0" w:oddVBand="0" w:evenVBand="0" w:oddHBand="0" w:evenHBand="1" w:firstRowFirstColumn="0" w:firstRowLastColumn="0" w:lastRowFirstColumn="0" w:lastRowLastColumn="0"/>
            </w:pPr>
            <w:r w:rsidRPr="009A02C6">
              <w:t>0.7</w:t>
            </w:r>
            <w:r w:rsidR="00E06D64">
              <w:t>1</w:t>
            </w:r>
          </w:p>
        </w:tc>
        <w:tc>
          <w:tcPr>
            <w:tcW w:w="1016" w:type="dxa"/>
            <w:vAlign w:val="top"/>
          </w:tcPr>
          <w:p w:rsidR="00B431B6" w:rsidRPr="009A02C6" w:rsidRDefault="00B431B6" w:rsidP="009A02C6">
            <w:pPr>
              <w:cnfStyle w:val="000000010000" w:firstRow="0" w:lastRow="0" w:firstColumn="0" w:lastColumn="0" w:oddVBand="0" w:evenVBand="0" w:oddHBand="0" w:evenHBand="1" w:firstRowFirstColumn="0" w:firstRowLastColumn="0" w:lastRowFirstColumn="0" w:lastRowLastColumn="0"/>
            </w:pPr>
            <w:r w:rsidRPr="009A02C6">
              <w:t>0.70</w:t>
            </w:r>
          </w:p>
        </w:tc>
        <w:tc>
          <w:tcPr>
            <w:tcW w:w="1016" w:type="dxa"/>
            <w:noWrap/>
            <w:vAlign w:val="top"/>
          </w:tcPr>
          <w:p w:rsidR="00B431B6" w:rsidRPr="009A02C6" w:rsidRDefault="00B431B6" w:rsidP="00E06D64">
            <w:pPr>
              <w:cnfStyle w:val="000000010000" w:firstRow="0" w:lastRow="0" w:firstColumn="0" w:lastColumn="0" w:oddVBand="0" w:evenVBand="0" w:oddHBand="0" w:evenHBand="1" w:firstRowFirstColumn="0" w:firstRowLastColumn="0" w:lastRowFirstColumn="0" w:lastRowLastColumn="0"/>
            </w:pPr>
            <w:r w:rsidRPr="009A02C6">
              <w:t>0.</w:t>
            </w:r>
            <w:r w:rsidR="00E06D64">
              <w:t>69</w:t>
            </w:r>
          </w:p>
        </w:tc>
      </w:tr>
      <w:tr w:rsidR="00B431B6" w:rsidRPr="009A02C6" w:rsidTr="009A02C6">
        <w:trPr>
          <w:trHeight w:val="190"/>
        </w:trPr>
        <w:tc>
          <w:tcPr>
            <w:cnfStyle w:val="001000000000" w:firstRow="0" w:lastRow="0" w:firstColumn="1" w:lastColumn="0" w:oddVBand="0" w:evenVBand="0" w:oddHBand="0" w:evenHBand="0" w:firstRowFirstColumn="0" w:firstRowLastColumn="0" w:lastRowFirstColumn="0" w:lastRowLastColumn="0"/>
            <w:tcW w:w="2660" w:type="dxa"/>
            <w:noWrap/>
            <w:vAlign w:val="top"/>
          </w:tcPr>
          <w:p w:rsidR="00B431B6" w:rsidRPr="009A02C6" w:rsidRDefault="00B431B6" w:rsidP="009A02C6">
            <w:r w:rsidRPr="009A02C6">
              <w:t>Revenue (change %)</w:t>
            </w:r>
          </w:p>
        </w:tc>
        <w:tc>
          <w:tcPr>
            <w:tcW w:w="1015" w:type="dxa"/>
            <w:noWrap/>
            <w:vAlign w:val="top"/>
          </w:tcPr>
          <w:p w:rsidR="00B431B6" w:rsidRPr="009A02C6" w:rsidRDefault="00B431B6" w:rsidP="009A02C6">
            <w:pPr>
              <w:cnfStyle w:val="000000000000" w:firstRow="0" w:lastRow="0" w:firstColumn="0" w:lastColumn="0" w:oddVBand="0" w:evenVBand="0" w:oddHBand="0" w:evenHBand="0" w:firstRowFirstColumn="0" w:firstRowLastColumn="0" w:lastRowFirstColumn="0" w:lastRowLastColumn="0"/>
            </w:pPr>
          </w:p>
        </w:tc>
        <w:tc>
          <w:tcPr>
            <w:tcW w:w="1016" w:type="dxa"/>
            <w:vAlign w:val="top"/>
          </w:tcPr>
          <w:p w:rsidR="00B431B6" w:rsidRPr="009A02C6" w:rsidRDefault="000D63EF" w:rsidP="009A02C6">
            <w:pPr>
              <w:cnfStyle w:val="000000000000" w:firstRow="0" w:lastRow="0" w:firstColumn="0" w:lastColumn="0" w:oddVBand="0" w:evenVBand="0" w:oddHBand="0" w:evenHBand="0" w:firstRowFirstColumn="0" w:firstRowLastColumn="0" w:lastRowFirstColumn="0" w:lastRowLastColumn="0"/>
            </w:pPr>
            <w:r>
              <w:t>–7.7</w:t>
            </w:r>
            <w:r w:rsidR="00B431B6" w:rsidRPr="009A02C6">
              <w:t>%</w:t>
            </w:r>
          </w:p>
        </w:tc>
        <w:tc>
          <w:tcPr>
            <w:tcW w:w="1016" w:type="dxa"/>
            <w:vAlign w:val="top"/>
          </w:tcPr>
          <w:p w:rsidR="00B431B6" w:rsidRPr="009A02C6" w:rsidRDefault="00B431B6" w:rsidP="00E06D64">
            <w:pPr>
              <w:cnfStyle w:val="000000000000" w:firstRow="0" w:lastRow="0" w:firstColumn="0" w:lastColumn="0" w:oddVBand="0" w:evenVBand="0" w:oddHBand="0" w:evenHBand="0" w:firstRowFirstColumn="0" w:firstRowLastColumn="0" w:lastRowFirstColumn="0" w:lastRowLastColumn="0"/>
            </w:pPr>
            <w:r w:rsidRPr="009A02C6">
              <w:t>–2</w:t>
            </w:r>
            <w:r w:rsidR="00E06D64">
              <w:t>3.0</w:t>
            </w:r>
            <w:r w:rsidRPr="009A02C6">
              <w:t>%</w:t>
            </w:r>
          </w:p>
        </w:tc>
        <w:tc>
          <w:tcPr>
            <w:tcW w:w="1016" w:type="dxa"/>
            <w:vAlign w:val="top"/>
          </w:tcPr>
          <w:p w:rsidR="00B431B6" w:rsidRPr="009A02C6" w:rsidRDefault="00E06D64" w:rsidP="00E06D64">
            <w:pPr>
              <w:cnfStyle w:val="000000000000" w:firstRow="0" w:lastRow="0" w:firstColumn="0" w:lastColumn="0" w:oddVBand="0" w:evenVBand="0" w:oddHBand="0" w:evenHBand="0" w:firstRowFirstColumn="0" w:firstRowLastColumn="0" w:lastRowFirstColumn="0" w:lastRowLastColumn="0"/>
            </w:pPr>
            <w:r>
              <w:t>–3.8</w:t>
            </w:r>
            <w:r w:rsidR="00B431B6" w:rsidRPr="009A02C6">
              <w:t>%</w:t>
            </w:r>
          </w:p>
        </w:tc>
        <w:tc>
          <w:tcPr>
            <w:tcW w:w="1016" w:type="dxa"/>
            <w:vAlign w:val="top"/>
          </w:tcPr>
          <w:p w:rsidR="00B431B6" w:rsidRPr="009A02C6" w:rsidRDefault="00E06D64" w:rsidP="00E06D64">
            <w:pPr>
              <w:cnfStyle w:val="000000000000" w:firstRow="0" w:lastRow="0" w:firstColumn="0" w:lastColumn="0" w:oddVBand="0" w:evenVBand="0" w:oddHBand="0" w:evenHBand="0" w:firstRowFirstColumn="0" w:firstRowLastColumn="0" w:lastRowFirstColumn="0" w:lastRowLastColumn="0"/>
            </w:pPr>
            <w:r>
              <w:t>–0.7</w:t>
            </w:r>
            <w:r w:rsidR="00B431B6" w:rsidRPr="009A02C6">
              <w:t>%</w:t>
            </w:r>
          </w:p>
        </w:tc>
        <w:tc>
          <w:tcPr>
            <w:tcW w:w="1016" w:type="dxa"/>
            <w:noWrap/>
            <w:vAlign w:val="top"/>
          </w:tcPr>
          <w:p w:rsidR="00B431B6" w:rsidRPr="009A02C6" w:rsidRDefault="00E06D64" w:rsidP="00E06D64">
            <w:pPr>
              <w:cnfStyle w:val="000000000000" w:firstRow="0" w:lastRow="0" w:firstColumn="0" w:lastColumn="0" w:oddVBand="0" w:evenVBand="0" w:oddHBand="0" w:evenHBand="0" w:firstRowFirstColumn="0" w:firstRowLastColumn="0" w:lastRowFirstColumn="0" w:lastRowLastColumn="0"/>
            </w:pPr>
            <w:r>
              <w:t>–0.7</w:t>
            </w:r>
            <w:r w:rsidR="00B431B6" w:rsidRPr="009A02C6">
              <w:t>%</w:t>
            </w:r>
          </w:p>
        </w:tc>
      </w:tr>
      <w:tr w:rsidR="00B431B6" w:rsidRPr="009A02C6" w:rsidTr="009A02C6">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660" w:type="dxa"/>
            <w:noWrap/>
            <w:vAlign w:val="top"/>
          </w:tcPr>
          <w:p w:rsidR="00B431B6" w:rsidRPr="009A02C6" w:rsidRDefault="00B431B6" w:rsidP="009A02C6">
            <w:r w:rsidRPr="009A02C6">
              <w:t>Price path (change %)</w:t>
            </w:r>
          </w:p>
        </w:tc>
        <w:tc>
          <w:tcPr>
            <w:tcW w:w="1015" w:type="dxa"/>
            <w:noWrap/>
            <w:vAlign w:val="top"/>
          </w:tcPr>
          <w:p w:rsidR="00B431B6" w:rsidRPr="009A02C6" w:rsidRDefault="00B431B6" w:rsidP="009A02C6">
            <w:pPr>
              <w:cnfStyle w:val="000000010000" w:firstRow="0" w:lastRow="0" w:firstColumn="0" w:lastColumn="0" w:oddVBand="0" w:evenVBand="0" w:oddHBand="0" w:evenHBand="1" w:firstRowFirstColumn="0" w:firstRowLastColumn="0" w:lastRowFirstColumn="0" w:lastRowLastColumn="0"/>
            </w:pPr>
          </w:p>
        </w:tc>
        <w:tc>
          <w:tcPr>
            <w:tcW w:w="1016" w:type="dxa"/>
            <w:vAlign w:val="top"/>
          </w:tcPr>
          <w:p w:rsidR="00B431B6" w:rsidRPr="009A02C6" w:rsidRDefault="00B431B6" w:rsidP="00E06D64">
            <w:pPr>
              <w:cnfStyle w:val="000000010000" w:firstRow="0" w:lastRow="0" w:firstColumn="0" w:lastColumn="0" w:oddVBand="0" w:evenVBand="0" w:oddHBand="0" w:evenHBand="1" w:firstRowFirstColumn="0" w:firstRowLastColumn="0" w:lastRowFirstColumn="0" w:lastRowLastColumn="0"/>
            </w:pPr>
            <w:r w:rsidRPr="009A02C6">
              <w:t>–</w:t>
            </w:r>
            <w:r w:rsidR="00E06D64">
              <w:t>5.8</w:t>
            </w:r>
            <w:r w:rsidRPr="009A02C6">
              <w:t>%</w:t>
            </w:r>
          </w:p>
        </w:tc>
        <w:tc>
          <w:tcPr>
            <w:tcW w:w="1016" w:type="dxa"/>
            <w:vAlign w:val="top"/>
          </w:tcPr>
          <w:p w:rsidR="00B431B6" w:rsidRPr="009A02C6" w:rsidRDefault="00B431B6" w:rsidP="00E06D64">
            <w:pPr>
              <w:cnfStyle w:val="000000010000" w:firstRow="0" w:lastRow="0" w:firstColumn="0" w:lastColumn="0" w:oddVBand="0" w:evenVBand="0" w:oddHBand="0" w:evenHBand="1" w:firstRowFirstColumn="0" w:firstRowLastColumn="0" w:lastRowFirstColumn="0" w:lastRowLastColumn="0"/>
            </w:pPr>
            <w:r w:rsidRPr="009A02C6">
              <w:t>–</w:t>
            </w:r>
            <w:r w:rsidR="00E06D64">
              <w:t>21.6</w:t>
            </w:r>
            <w:r w:rsidRPr="009A02C6">
              <w:t>%</w:t>
            </w:r>
          </w:p>
        </w:tc>
        <w:tc>
          <w:tcPr>
            <w:tcW w:w="1016" w:type="dxa"/>
            <w:vAlign w:val="top"/>
          </w:tcPr>
          <w:p w:rsidR="00B431B6" w:rsidRPr="009A02C6" w:rsidRDefault="00E06D64" w:rsidP="00E06D64">
            <w:pPr>
              <w:cnfStyle w:val="000000010000" w:firstRow="0" w:lastRow="0" w:firstColumn="0" w:lastColumn="0" w:oddVBand="0" w:evenVBand="0" w:oddHBand="0" w:evenHBand="1" w:firstRowFirstColumn="0" w:firstRowLastColumn="0" w:lastRowFirstColumn="0" w:lastRowLastColumn="0"/>
            </w:pPr>
            <w:r>
              <w:t>–3.9</w:t>
            </w:r>
            <w:r w:rsidR="00B431B6" w:rsidRPr="009A02C6">
              <w:t>%</w:t>
            </w:r>
          </w:p>
        </w:tc>
        <w:tc>
          <w:tcPr>
            <w:tcW w:w="1016" w:type="dxa"/>
            <w:vAlign w:val="top"/>
          </w:tcPr>
          <w:p w:rsidR="00B431B6" w:rsidRPr="009A02C6" w:rsidRDefault="00B431B6" w:rsidP="00E06D64">
            <w:pPr>
              <w:cnfStyle w:val="000000010000" w:firstRow="0" w:lastRow="0" w:firstColumn="0" w:lastColumn="0" w:oddVBand="0" w:evenVBand="0" w:oddHBand="0" w:evenHBand="1" w:firstRowFirstColumn="0" w:firstRowLastColumn="0" w:lastRowFirstColumn="0" w:lastRowLastColumn="0"/>
            </w:pPr>
            <w:r w:rsidRPr="009A02C6">
              <w:t>–</w:t>
            </w:r>
            <w:r w:rsidR="00E06D64">
              <w:t>1.2</w:t>
            </w:r>
            <w:r w:rsidRPr="009A02C6">
              <w:t>%</w:t>
            </w:r>
          </w:p>
        </w:tc>
        <w:tc>
          <w:tcPr>
            <w:tcW w:w="1016" w:type="dxa"/>
            <w:noWrap/>
            <w:vAlign w:val="top"/>
          </w:tcPr>
          <w:p w:rsidR="00B431B6" w:rsidRPr="009A02C6" w:rsidRDefault="00B431B6" w:rsidP="00E06D64">
            <w:pPr>
              <w:cnfStyle w:val="000000010000" w:firstRow="0" w:lastRow="0" w:firstColumn="0" w:lastColumn="0" w:oddVBand="0" w:evenVBand="0" w:oddHBand="0" w:evenHBand="1" w:firstRowFirstColumn="0" w:firstRowLastColumn="0" w:lastRowFirstColumn="0" w:lastRowLastColumn="0"/>
            </w:pPr>
            <w:r w:rsidRPr="009A02C6">
              <w:t>–</w:t>
            </w:r>
            <w:r w:rsidR="00E06D64">
              <w:t>1.2</w:t>
            </w:r>
            <w:r w:rsidRPr="009A02C6">
              <w:t>%</w:t>
            </w:r>
          </w:p>
        </w:tc>
      </w:tr>
    </w:tbl>
    <w:p w:rsidR="00E06D64" w:rsidRDefault="00B431B6" w:rsidP="00B431B6">
      <w:pPr>
        <w:pStyle w:val="AERtablesource"/>
      </w:pPr>
      <w:r>
        <w:t>Source:</w:t>
      </w:r>
      <w:r>
        <w:tab/>
        <w:t xml:space="preserve">AER analysis. </w:t>
      </w:r>
    </w:p>
    <w:p w:rsidR="00B431B6" w:rsidRDefault="00E06D64" w:rsidP="00B431B6">
      <w:pPr>
        <w:pStyle w:val="AERtablesource"/>
      </w:pPr>
      <w:r>
        <w:t>(a)</w:t>
      </w:r>
      <w:r>
        <w:tab/>
      </w:r>
      <w:proofErr w:type="spellStart"/>
      <w:r>
        <w:t>Ausgrid's</w:t>
      </w:r>
      <w:proofErr w:type="spellEnd"/>
      <w:r>
        <w:t xml:space="preserve"> revised proposal smoothed revenue has been adjusted to allow for the true-up of proposed ACS and ERW revenues of $72.1 million ($ nominal) in 2014–15. This results in a revised X factor of –4.61 per cent for 2015–16.</w:t>
      </w:r>
    </w:p>
    <w:p w:rsidR="00B431B6" w:rsidRDefault="00B431B6" w:rsidP="00B431B6">
      <w:pPr>
        <w:pStyle w:val="Caption"/>
      </w:pPr>
      <w:bookmarkStart w:id="43" w:name="_Ref401573580"/>
      <w:proofErr w:type="gramStart"/>
      <w:r>
        <w:lastRenderedPageBreak/>
        <w:t xml:space="preserve">Table </w:t>
      </w:r>
      <w:r w:rsidR="006B77CA">
        <w:fldChar w:fldCharType="begin"/>
      </w:r>
      <w:r w:rsidR="006B77CA">
        <w:instrText xml:space="preserve"> STYLEREF 1 \s </w:instrText>
      </w:r>
      <w:r w:rsidR="006B77CA">
        <w:fldChar w:fldCharType="separate"/>
      </w:r>
      <w:r w:rsidR="00A11853">
        <w:rPr>
          <w:noProof/>
        </w:rPr>
        <w:t>1</w:t>
      </w:r>
      <w:r w:rsidR="006B77CA">
        <w:rPr>
          <w:noProof/>
        </w:rPr>
        <w:fldChar w:fldCharType="end"/>
      </w:r>
      <w:r w:rsidR="00A32071">
        <w:t>.</w:t>
      </w:r>
      <w:proofErr w:type="gramEnd"/>
      <w:r w:rsidR="00F76B9F">
        <w:fldChar w:fldCharType="begin"/>
      </w:r>
      <w:r w:rsidR="00F76B9F">
        <w:instrText xml:space="preserve"> SEQ Table \* ARABIC \s 1 </w:instrText>
      </w:r>
      <w:r w:rsidR="00F76B9F">
        <w:fldChar w:fldCharType="separate"/>
      </w:r>
      <w:r w:rsidR="00A11853">
        <w:rPr>
          <w:noProof/>
        </w:rPr>
        <w:t>8</w:t>
      </w:r>
      <w:r w:rsidR="00F76B9F">
        <w:rPr>
          <w:noProof/>
        </w:rPr>
        <w:fldChar w:fldCharType="end"/>
      </w:r>
      <w:bookmarkEnd w:id="43"/>
      <w:r>
        <w:tab/>
        <w:t xml:space="preserve">Comparison of revenue and price impacts of Ausgrid's </w:t>
      </w:r>
      <w:r w:rsidR="009A02C6">
        <w:t xml:space="preserve">revised </w:t>
      </w:r>
      <w:r>
        <w:t xml:space="preserve">proposal and AER's </w:t>
      </w:r>
      <w:r w:rsidR="009A02C6">
        <w:t>final</w:t>
      </w:r>
      <w:r>
        <w:t xml:space="preserve"> decision – transmission</w:t>
      </w:r>
    </w:p>
    <w:tbl>
      <w:tblPr>
        <w:tblStyle w:val="AERtable-numbers"/>
        <w:tblW w:w="8755" w:type="dxa"/>
        <w:tblLayout w:type="fixed"/>
        <w:tblLook w:val="04A0" w:firstRow="1" w:lastRow="0" w:firstColumn="1" w:lastColumn="0" w:noHBand="0" w:noVBand="1"/>
      </w:tblPr>
      <w:tblGrid>
        <w:gridCol w:w="2660"/>
        <w:gridCol w:w="1015"/>
        <w:gridCol w:w="1016"/>
        <w:gridCol w:w="1016"/>
        <w:gridCol w:w="1016"/>
        <w:gridCol w:w="1016"/>
        <w:gridCol w:w="1016"/>
      </w:tblGrid>
      <w:tr w:rsidR="00B431B6" w:rsidRPr="00B95EBB" w:rsidTr="009A02C6">
        <w:trPr>
          <w:cnfStyle w:val="100000000000" w:firstRow="1" w:lastRow="0" w:firstColumn="0" w:lastColumn="0" w:oddVBand="0" w:evenVBand="0" w:oddHBand="0"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660" w:type="dxa"/>
            <w:noWrap/>
            <w:hideMark/>
          </w:tcPr>
          <w:p w:rsidR="00B431B6" w:rsidRPr="00B95EBB" w:rsidRDefault="00B431B6" w:rsidP="00B95EBB">
            <w:r w:rsidRPr="00B95EBB">
              <w:t> </w:t>
            </w:r>
          </w:p>
        </w:tc>
        <w:tc>
          <w:tcPr>
            <w:tcW w:w="1015" w:type="dxa"/>
            <w:noWrap/>
            <w:hideMark/>
          </w:tcPr>
          <w:p w:rsidR="00B431B6" w:rsidRPr="00B95EBB" w:rsidRDefault="00B431B6" w:rsidP="00B95EBB">
            <w:pPr>
              <w:cnfStyle w:val="100000000000" w:firstRow="1" w:lastRow="0" w:firstColumn="0" w:lastColumn="0" w:oddVBand="0" w:evenVBand="0" w:oddHBand="0" w:evenHBand="0" w:firstRowFirstColumn="0" w:firstRowLastColumn="0" w:lastRowFirstColumn="0" w:lastRowLastColumn="0"/>
            </w:pPr>
            <w:r w:rsidRPr="00B95EBB">
              <w:t>2013–14</w:t>
            </w:r>
          </w:p>
        </w:tc>
        <w:tc>
          <w:tcPr>
            <w:tcW w:w="1016" w:type="dxa"/>
          </w:tcPr>
          <w:p w:rsidR="00B431B6" w:rsidRPr="00B95EBB" w:rsidRDefault="00B431B6" w:rsidP="00B95EBB">
            <w:pPr>
              <w:cnfStyle w:val="100000000000" w:firstRow="1" w:lastRow="0" w:firstColumn="0" w:lastColumn="0" w:oddVBand="0" w:evenVBand="0" w:oddHBand="0" w:evenHBand="0" w:firstRowFirstColumn="0" w:firstRowLastColumn="0" w:lastRowFirstColumn="0" w:lastRowLastColumn="0"/>
            </w:pPr>
            <w:r w:rsidRPr="00B95EBB">
              <w:t>2014–15</w:t>
            </w:r>
          </w:p>
        </w:tc>
        <w:tc>
          <w:tcPr>
            <w:tcW w:w="1016" w:type="dxa"/>
          </w:tcPr>
          <w:p w:rsidR="00B431B6" w:rsidRPr="00B95EBB" w:rsidRDefault="00B431B6" w:rsidP="00B95EBB">
            <w:pPr>
              <w:cnfStyle w:val="100000000000" w:firstRow="1" w:lastRow="0" w:firstColumn="0" w:lastColumn="0" w:oddVBand="0" w:evenVBand="0" w:oddHBand="0" w:evenHBand="0" w:firstRowFirstColumn="0" w:firstRowLastColumn="0" w:lastRowFirstColumn="0" w:lastRowLastColumn="0"/>
            </w:pPr>
            <w:r w:rsidRPr="00B95EBB">
              <w:t>2015–16</w:t>
            </w:r>
          </w:p>
        </w:tc>
        <w:tc>
          <w:tcPr>
            <w:tcW w:w="1016" w:type="dxa"/>
          </w:tcPr>
          <w:p w:rsidR="00B431B6" w:rsidRPr="00B95EBB" w:rsidRDefault="00B431B6" w:rsidP="00B95EBB">
            <w:pPr>
              <w:cnfStyle w:val="100000000000" w:firstRow="1" w:lastRow="0" w:firstColumn="0" w:lastColumn="0" w:oddVBand="0" w:evenVBand="0" w:oddHBand="0" w:evenHBand="0" w:firstRowFirstColumn="0" w:firstRowLastColumn="0" w:lastRowFirstColumn="0" w:lastRowLastColumn="0"/>
            </w:pPr>
            <w:r w:rsidRPr="00B95EBB">
              <w:t>2016–17</w:t>
            </w:r>
          </w:p>
        </w:tc>
        <w:tc>
          <w:tcPr>
            <w:tcW w:w="1016" w:type="dxa"/>
          </w:tcPr>
          <w:p w:rsidR="00B431B6" w:rsidRPr="00B95EBB" w:rsidRDefault="00B431B6" w:rsidP="00B95EBB">
            <w:pPr>
              <w:cnfStyle w:val="100000000000" w:firstRow="1" w:lastRow="0" w:firstColumn="0" w:lastColumn="0" w:oddVBand="0" w:evenVBand="0" w:oddHBand="0" w:evenHBand="0" w:firstRowFirstColumn="0" w:firstRowLastColumn="0" w:lastRowFirstColumn="0" w:lastRowLastColumn="0"/>
            </w:pPr>
            <w:r w:rsidRPr="00B95EBB">
              <w:t>2017–18</w:t>
            </w:r>
          </w:p>
        </w:tc>
        <w:tc>
          <w:tcPr>
            <w:tcW w:w="1016" w:type="dxa"/>
            <w:noWrap/>
            <w:hideMark/>
          </w:tcPr>
          <w:p w:rsidR="00B431B6" w:rsidRPr="00B95EBB" w:rsidRDefault="00B431B6" w:rsidP="00B95EBB">
            <w:pPr>
              <w:cnfStyle w:val="100000000000" w:firstRow="1" w:lastRow="0" w:firstColumn="0" w:lastColumn="0" w:oddVBand="0" w:evenVBand="0" w:oddHBand="0" w:evenHBand="0" w:firstRowFirstColumn="0" w:firstRowLastColumn="0" w:lastRowFirstColumn="0" w:lastRowLastColumn="0"/>
            </w:pPr>
            <w:r w:rsidRPr="00B95EBB">
              <w:t>2018–19</w:t>
            </w:r>
          </w:p>
        </w:tc>
      </w:tr>
      <w:tr w:rsidR="00B431B6" w:rsidRPr="009A02C6" w:rsidTr="009A02C6">
        <w:trPr>
          <w:trHeight w:val="190"/>
        </w:trPr>
        <w:tc>
          <w:tcPr>
            <w:cnfStyle w:val="001000000000" w:firstRow="0" w:lastRow="0" w:firstColumn="1" w:lastColumn="0" w:oddVBand="0" w:evenVBand="0" w:oddHBand="0" w:evenHBand="0" w:firstRowFirstColumn="0" w:firstRowLastColumn="0" w:lastRowFirstColumn="0" w:lastRowLastColumn="0"/>
            <w:tcW w:w="2660" w:type="dxa"/>
            <w:noWrap/>
            <w:vAlign w:val="top"/>
            <w:hideMark/>
          </w:tcPr>
          <w:p w:rsidR="00B431B6" w:rsidRPr="009A02C6" w:rsidRDefault="00B431B6" w:rsidP="009A02C6">
            <w:pPr>
              <w:rPr>
                <w:rStyle w:val="Strong"/>
              </w:rPr>
            </w:pPr>
            <w:proofErr w:type="spellStart"/>
            <w:r w:rsidRPr="009A02C6">
              <w:rPr>
                <w:rStyle w:val="Strong"/>
              </w:rPr>
              <w:t>Ausgrid</w:t>
            </w:r>
            <w:proofErr w:type="spellEnd"/>
            <w:r w:rsidRPr="009A02C6">
              <w:rPr>
                <w:rStyle w:val="Strong"/>
              </w:rPr>
              <w:t xml:space="preserve"> </w:t>
            </w:r>
            <w:r w:rsidR="009A02C6">
              <w:rPr>
                <w:rStyle w:val="Strong"/>
              </w:rPr>
              <w:t xml:space="preserve">revised </w:t>
            </w:r>
            <w:r w:rsidRPr="009A02C6">
              <w:rPr>
                <w:rStyle w:val="Strong"/>
              </w:rPr>
              <w:t>proposal</w:t>
            </w:r>
          </w:p>
        </w:tc>
        <w:tc>
          <w:tcPr>
            <w:tcW w:w="1015" w:type="dxa"/>
            <w:noWrap/>
          </w:tcPr>
          <w:p w:rsidR="00B431B6" w:rsidRPr="009A02C6" w:rsidRDefault="00B431B6" w:rsidP="009A02C6">
            <w:pPr>
              <w:cnfStyle w:val="000000000000" w:firstRow="0" w:lastRow="0" w:firstColumn="0" w:lastColumn="0" w:oddVBand="0" w:evenVBand="0" w:oddHBand="0" w:evenHBand="0" w:firstRowFirstColumn="0" w:firstRowLastColumn="0" w:lastRowFirstColumn="0" w:lastRowLastColumn="0"/>
            </w:pPr>
          </w:p>
        </w:tc>
        <w:tc>
          <w:tcPr>
            <w:tcW w:w="1016" w:type="dxa"/>
          </w:tcPr>
          <w:p w:rsidR="00B431B6" w:rsidRPr="009A02C6" w:rsidRDefault="00B431B6" w:rsidP="009A02C6">
            <w:pPr>
              <w:cnfStyle w:val="000000000000" w:firstRow="0" w:lastRow="0" w:firstColumn="0" w:lastColumn="0" w:oddVBand="0" w:evenVBand="0" w:oddHBand="0" w:evenHBand="0" w:firstRowFirstColumn="0" w:firstRowLastColumn="0" w:lastRowFirstColumn="0" w:lastRowLastColumn="0"/>
            </w:pPr>
          </w:p>
        </w:tc>
        <w:tc>
          <w:tcPr>
            <w:tcW w:w="1016" w:type="dxa"/>
          </w:tcPr>
          <w:p w:rsidR="00B431B6" w:rsidRPr="009A02C6" w:rsidRDefault="00B431B6" w:rsidP="009A02C6">
            <w:pPr>
              <w:cnfStyle w:val="000000000000" w:firstRow="0" w:lastRow="0" w:firstColumn="0" w:lastColumn="0" w:oddVBand="0" w:evenVBand="0" w:oddHBand="0" w:evenHBand="0" w:firstRowFirstColumn="0" w:firstRowLastColumn="0" w:lastRowFirstColumn="0" w:lastRowLastColumn="0"/>
            </w:pPr>
          </w:p>
        </w:tc>
        <w:tc>
          <w:tcPr>
            <w:tcW w:w="1016" w:type="dxa"/>
          </w:tcPr>
          <w:p w:rsidR="00B431B6" w:rsidRPr="009A02C6" w:rsidRDefault="00B431B6" w:rsidP="009A02C6">
            <w:pPr>
              <w:cnfStyle w:val="000000000000" w:firstRow="0" w:lastRow="0" w:firstColumn="0" w:lastColumn="0" w:oddVBand="0" w:evenVBand="0" w:oddHBand="0" w:evenHBand="0" w:firstRowFirstColumn="0" w:firstRowLastColumn="0" w:lastRowFirstColumn="0" w:lastRowLastColumn="0"/>
            </w:pPr>
          </w:p>
        </w:tc>
        <w:tc>
          <w:tcPr>
            <w:tcW w:w="1016" w:type="dxa"/>
          </w:tcPr>
          <w:p w:rsidR="00B431B6" w:rsidRPr="009A02C6" w:rsidRDefault="00B431B6" w:rsidP="009A02C6">
            <w:pPr>
              <w:cnfStyle w:val="000000000000" w:firstRow="0" w:lastRow="0" w:firstColumn="0" w:lastColumn="0" w:oddVBand="0" w:evenVBand="0" w:oddHBand="0" w:evenHBand="0" w:firstRowFirstColumn="0" w:firstRowLastColumn="0" w:lastRowFirstColumn="0" w:lastRowLastColumn="0"/>
            </w:pPr>
          </w:p>
        </w:tc>
        <w:tc>
          <w:tcPr>
            <w:tcW w:w="1016" w:type="dxa"/>
            <w:noWrap/>
          </w:tcPr>
          <w:p w:rsidR="00B431B6" w:rsidRPr="009A02C6" w:rsidRDefault="00B431B6" w:rsidP="009A02C6">
            <w:pPr>
              <w:cnfStyle w:val="000000000000" w:firstRow="0" w:lastRow="0" w:firstColumn="0" w:lastColumn="0" w:oddVBand="0" w:evenVBand="0" w:oddHBand="0" w:evenHBand="0" w:firstRowFirstColumn="0" w:firstRowLastColumn="0" w:lastRowFirstColumn="0" w:lastRowLastColumn="0"/>
            </w:pPr>
          </w:p>
        </w:tc>
      </w:tr>
      <w:tr w:rsidR="00B431B6" w:rsidRPr="009A02C6" w:rsidTr="009A02C6">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660" w:type="dxa"/>
            <w:noWrap/>
            <w:vAlign w:val="top"/>
            <w:hideMark/>
          </w:tcPr>
          <w:p w:rsidR="00B431B6" w:rsidRPr="009A02C6" w:rsidRDefault="00B431B6" w:rsidP="009A02C6">
            <w:r w:rsidRPr="009A02C6">
              <w:t>Revenue ($m, nominal)</w:t>
            </w:r>
          </w:p>
        </w:tc>
        <w:tc>
          <w:tcPr>
            <w:tcW w:w="1015" w:type="dxa"/>
            <w:noWrap/>
            <w:vAlign w:val="top"/>
          </w:tcPr>
          <w:p w:rsidR="00B431B6" w:rsidRPr="009A02C6" w:rsidRDefault="00B431B6" w:rsidP="009A02C6">
            <w:pPr>
              <w:cnfStyle w:val="000000010000" w:firstRow="0" w:lastRow="0" w:firstColumn="0" w:lastColumn="0" w:oddVBand="0" w:evenVBand="0" w:oddHBand="0" w:evenHBand="1" w:firstRowFirstColumn="0" w:firstRowLastColumn="0" w:lastRowFirstColumn="0" w:lastRowLastColumn="0"/>
            </w:pPr>
            <w:r w:rsidRPr="009A02C6">
              <w:t>268.5</w:t>
            </w:r>
          </w:p>
        </w:tc>
        <w:tc>
          <w:tcPr>
            <w:tcW w:w="1016" w:type="dxa"/>
            <w:vAlign w:val="top"/>
          </w:tcPr>
          <w:p w:rsidR="00B431B6" w:rsidRPr="009A02C6" w:rsidRDefault="00B431B6" w:rsidP="009A02C6">
            <w:pPr>
              <w:cnfStyle w:val="000000010000" w:firstRow="0" w:lastRow="0" w:firstColumn="0" w:lastColumn="0" w:oddVBand="0" w:evenVBand="0" w:oddHBand="0" w:evenHBand="1" w:firstRowFirstColumn="0" w:firstRowLastColumn="0" w:lastRowFirstColumn="0" w:lastRowLastColumn="0"/>
            </w:pPr>
            <w:r w:rsidRPr="009A02C6">
              <w:t>252.3</w:t>
            </w:r>
          </w:p>
        </w:tc>
        <w:tc>
          <w:tcPr>
            <w:tcW w:w="1016" w:type="dxa"/>
            <w:vAlign w:val="top"/>
          </w:tcPr>
          <w:p w:rsidR="00B431B6" w:rsidRPr="009A02C6" w:rsidRDefault="00C45844" w:rsidP="00E06D64">
            <w:pPr>
              <w:cnfStyle w:val="000000010000" w:firstRow="0" w:lastRow="0" w:firstColumn="0" w:lastColumn="0" w:oddVBand="0" w:evenVBand="0" w:oddHBand="0" w:evenHBand="1" w:firstRowFirstColumn="0" w:firstRowLastColumn="0" w:lastRowFirstColumn="0" w:lastRowLastColumn="0"/>
            </w:pPr>
            <w:r>
              <w:t>262.9</w:t>
            </w:r>
          </w:p>
        </w:tc>
        <w:tc>
          <w:tcPr>
            <w:tcW w:w="1016" w:type="dxa"/>
            <w:vAlign w:val="top"/>
          </w:tcPr>
          <w:p w:rsidR="00B431B6" w:rsidRPr="009A02C6" w:rsidRDefault="006F2C2C" w:rsidP="006F2C2C">
            <w:pPr>
              <w:cnfStyle w:val="000000010000" w:firstRow="0" w:lastRow="0" w:firstColumn="0" w:lastColumn="0" w:oddVBand="0" w:evenVBand="0" w:oddHBand="0" w:evenHBand="1" w:firstRowFirstColumn="0" w:firstRowLastColumn="0" w:lastRowFirstColumn="0" w:lastRowLastColumn="0"/>
            </w:pPr>
            <w:r>
              <w:t>274.0</w:t>
            </w:r>
          </w:p>
        </w:tc>
        <w:tc>
          <w:tcPr>
            <w:tcW w:w="1016" w:type="dxa"/>
            <w:vAlign w:val="top"/>
          </w:tcPr>
          <w:p w:rsidR="00B431B6" w:rsidRPr="009A02C6" w:rsidRDefault="006F2C2C" w:rsidP="006F2C2C">
            <w:pPr>
              <w:cnfStyle w:val="000000010000" w:firstRow="0" w:lastRow="0" w:firstColumn="0" w:lastColumn="0" w:oddVBand="0" w:evenVBand="0" w:oddHBand="0" w:evenHBand="1" w:firstRowFirstColumn="0" w:firstRowLastColumn="0" w:lastRowFirstColumn="0" w:lastRowLastColumn="0"/>
            </w:pPr>
            <w:r>
              <w:t>285.5</w:t>
            </w:r>
          </w:p>
        </w:tc>
        <w:tc>
          <w:tcPr>
            <w:tcW w:w="1016" w:type="dxa"/>
            <w:noWrap/>
            <w:vAlign w:val="top"/>
          </w:tcPr>
          <w:p w:rsidR="00B431B6" w:rsidRPr="009A02C6" w:rsidRDefault="006F2C2C" w:rsidP="006F2C2C">
            <w:pPr>
              <w:cnfStyle w:val="000000010000" w:firstRow="0" w:lastRow="0" w:firstColumn="0" w:lastColumn="0" w:oddVBand="0" w:evenVBand="0" w:oddHBand="0" w:evenHBand="1" w:firstRowFirstColumn="0" w:firstRowLastColumn="0" w:lastRowFirstColumn="0" w:lastRowLastColumn="0"/>
            </w:pPr>
            <w:r>
              <w:t>297.5</w:t>
            </w:r>
          </w:p>
        </w:tc>
      </w:tr>
      <w:tr w:rsidR="00B431B6" w:rsidRPr="009A02C6" w:rsidTr="009A02C6">
        <w:trPr>
          <w:trHeight w:val="190"/>
        </w:trPr>
        <w:tc>
          <w:tcPr>
            <w:cnfStyle w:val="001000000000" w:firstRow="0" w:lastRow="0" w:firstColumn="1" w:lastColumn="0" w:oddVBand="0" w:evenVBand="0" w:oddHBand="0" w:evenHBand="0" w:firstRowFirstColumn="0" w:firstRowLastColumn="0" w:lastRowFirstColumn="0" w:lastRowLastColumn="0"/>
            <w:tcW w:w="2660" w:type="dxa"/>
            <w:noWrap/>
            <w:vAlign w:val="top"/>
            <w:hideMark/>
          </w:tcPr>
          <w:p w:rsidR="00B431B6" w:rsidRPr="009A02C6" w:rsidRDefault="00B431B6" w:rsidP="009A02C6">
            <w:r w:rsidRPr="009A02C6">
              <w:t>Price path (nominal index)</w:t>
            </w:r>
          </w:p>
        </w:tc>
        <w:tc>
          <w:tcPr>
            <w:tcW w:w="1015" w:type="dxa"/>
            <w:noWrap/>
            <w:vAlign w:val="top"/>
          </w:tcPr>
          <w:p w:rsidR="00B431B6" w:rsidRPr="009A02C6" w:rsidRDefault="00B431B6" w:rsidP="009A02C6">
            <w:pPr>
              <w:cnfStyle w:val="000000000000" w:firstRow="0" w:lastRow="0" w:firstColumn="0" w:lastColumn="0" w:oddVBand="0" w:evenVBand="0" w:oddHBand="0" w:evenHBand="0" w:firstRowFirstColumn="0" w:firstRowLastColumn="0" w:lastRowFirstColumn="0" w:lastRowLastColumn="0"/>
            </w:pPr>
            <w:r w:rsidRPr="009A02C6">
              <w:t>1.00</w:t>
            </w:r>
          </w:p>
        </w:tc>
        <w:tc>
          <w:tcPr>
            <w:tcW w:w="1016" w:type="dxa"/>
            <w:vAlign w:val="top"/>
          </w:tcPr>
          <w:p w:rsidR="00B431B6" w:rsidRPr="009A02C6" w:rsidRDefault="00B431B6" w:rsidP="006F2C2C">
            <w:pPr>
              <w:cnfStyle w:val="000000000000" w:firstRow="0" w:lastRow="0" w:firstColumn="0" w:lastColumn="0" w:oddVBand="0" w:evenVBand="0" w:oddHBand="0" w:evenHBand="0" w:firstRowFirstColumn="0" w:firstRowLastColumn="0" w:lastRowFirstColumn="0" w:lastRowLastColumn="0"/>
            </w:pPr>
            <w:r w:rsidRPr="009A02C6">
              <w:t>0.9</w:t>
            </w:r>
            <w:r w:rsidR="006F2C2C">
              <w:t>5</w:t>
            </w:r>
          </w:p>
        </w:tc>
        <w:tc>
          <w:tcPr>
            <w:tcW w:w="1016" w:type="dxa"/>
            <w:vAlign w:val="top"/>
          </w:tcPr>
          <w:p w:rsidR="00B431B6" w:rsidRPr="009A02C6" w:rsidRDefault="006F2C2C" w:rsidP="006F2C2C">
            <w:pPr>
              <w:cnfStyle w:val="000000000000" w:firstRow="0" w:lastRow="0" w:firstColumn="0" w:lastColumn="0" w:oddVBand="0" w:evenVBand="0" w:oddHBand="0" w:evenHBand="0" w:firstRowFirstColumn="0" w:firstRowLastColumn="0" w:lastRowFirstColumn="0" w:lastRowLastColumn="0"/>
            </w:pPr>
            <w:r>
              <w:t>0.99</w:t>
            </w:r>
          </w:p>
        </w:tc>
        <w:tc>
          <w:tcPr>
            <w:tcW w:w="1016" w:type="dxa"/>
            <w:vAlign w:val="top"/>
          </w:tcPr>
          <w:p w:rsidR="00B431B6" w:rsidRPr="009A02C6" w:rsidRDefault="006F2C2C" w:rsidP="006F2C2C">
            <w:pPr>
              <w:cnfStyle w:val="000000000000" w:firstRow="0" w:lastRow="0" w:firstColumn="0" w:lastColumn="0" w:oddVBand="0" w:evenVBand="0" w:oddHBand="0" w:evenHBand="0" w:firstRowFirstColumn="0" w:firstRowLastColumn="0" w:lastRowFirstColumn="0" w:lastRowLastColumn="0"/>
            </w:pPr>
            <w:r>
              <w:t>1.02</w:t>
            </w:r>
          </w:p>
        </w:tc>
        <w:tc>
          <w:tcPr>
            <w:tcW w:w="1016" w:type="dxa"/>
            <w:vAlign w:val="top"/>
          </w:tcPr>
          <w:p w:rsidR="00B431B6" w:rsidRPr="009A02C6" w:rsidRDefault="006F2C2C" w:rsidP="006F2C2C">
            <w:pPr>
              <w:cnfStyle w:val="000000000000" w:firstRow="0" w:lastRow="0" w:firstColumn="0" w:lastColumn="0" w:oddVBand="0" w:evenVBand="0" w:oddHBand="0" w:evenHBand="0" w:firstRowFirstColumn="0" w:firstRowLastColumn="0" w:lastRowFirstColumn="0" w:lastRowLastColumn="0"/>
            </w:pPr>
            <w:r>
              <w:t>1.06</w:t>
            </w:r>
          </w:p>
        </w:tc>
        <w:tc>
          <w:tcPr>
            <w:tcW w:w="1016" w:type="dxa"/>
            <w:noWrap/>
            <w:vAlign w:val="top"/>
          </w:tcPr>
          <w:p w:rsidR="00B431B6" w:rsidRPr="009A02C6" w:rsidRDefault="006F2C2C" w:rsidP="006F2C2C">
            <w:pPr>
              <w:cnfStyle w:val="000000000000" w:firstRow="0" w:lastRow="0" w:firstColumn="0" w:lastColumn="0" w:oddVBand="0" w:evenVBand="0" w:oddHBand="0" w:evenHBand="0" w:firstRowFirstColumn="0" w:firstRowLastColumn="0" w:lastRowFirstColumn="0" w:lastRowLastColumn="0"/>
            </w:pPr>
            <w:r>
              <w:t>1.10</w:t>
            </w:r>
          </w:p>
        </w:tc>
      </w:tr>
      <w:tr w:rsidR="00B431B6" w:rsidRPr="009A02C6" w:rsidTr="009A02C6">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660" w:type="dxa"/>
            <w:noWrap/>
            <w:vAlign w:val="top"/>
            <w:hideMark/>
          </w:tcPr>
          <w:p w:rsidR="00B431B6" w:rsidRPr="009A02C6" w:rsidRDefault="00B431B6" w:rsidP="009A02C6">
            <w:r w:rsidRPr="009A02C6">
              <w:t>Revenue (change %)</w:t>
            </w:r>
          </w:p>
        </w:tc>
        <w:tc>
          <w:tcPr>
            <w:tcW w:w="1015" w:type="dxa"/>
            <w:noWrap/>
            <w:vAlign w:val="top"/>
          </w:tcPr>
          <w:p w:rsidR="00B431B6" w:rsidRPr="009A02C6" w:rsidRDefault="00B431B6" w:rsidP="009A02C6">
            <w:pPr>
              <w:cnfStyle w:val="000000010000" w:firstRow="0" w:lastRow="0" w:firstColumn="0" w:lastColumn="0" w:oddVBand="0" w:evenVBand="0" w:oddHBand="0" w:evenHBand="1" w:firstRowFirstColumn="0" w:firstRowLastColumn="0" w:lastRowFirstColumn="0" w:lastRowLastColumn="0"/>
            </w:pPr>
          </w:p>
        </w:tc>
        <w:tc>
          <w:tcPr>
            <w:tcW w:w="1016" w:type="dxa"/>
            <w:vAlign w:val="top"/>
          </w:tcPr>
          <w:p w:rsidR="00B431B6" w:rsidRPr="009A02C6" w:rsidRDefault="00B431B6" w:rsidP="009A02C6">
            <w:pPr>
              <w:cnfStyle w:val="000000010000" w:firstRow="0" w:lastRow="0" w:firstColumn="0" w:lastColumn="0" w:oddVBand="0" w:evenVBand="0" w:oddHBand="0" w:evenHBand="1" w:firstRowFirstColumn="0" w:firstRowLastColumn="0" w:lastRowFirstColumn="0" w:lastRowLastColumn="0"/>
            </w:pPr>
            <w:r w:rsidRPr="009A02C6">
              <w:t>–6.0%</w:t>
            </w:r>
          </w:p>
        </w:tc>
        <w:tc>
          <w:tcPr>
            <w:tcW w:w="1016" w:type="dxa"/>
            <w:vAlign w:val="top"/>
          </w:tcPr>
          <w:p w:rsidR="00B431B6" w:rsidRPr="009A02C6" w:rsidRDefault="006F2C2C" w:rsidP="006F2C2C">
            <w:pPr>
              <w:cnfStyle w:val="000000010000" w:firstRow="0" w:lastRow="0" w:firstColumn="0" w:lastColumn="0" w:oddVBand="0" w:evenVBand="0" w:oddHBand="0" w:evenHBand="1" w:firstRowFirstColumn="0" w:firstRowLastColumn="0" w:lastRowFirstColumn="0" w:lastRowLastColumn="0"/>
            </w:pPr>
            <w:r>
              <w:t>4.2</w:t>
            </w:r>
            <w:r w:rsidR="00B431B6" w:rsidRPr="009A02C6">
              <w:t>%</w:t>
            </w:r>
          </w:p>
        </w:tc>
        <w:tc>
          <w:tcPr>
            <w:tcW w:w="1016" w:type="dxa"/>
            <w:vAlign w:val="top"/>
          </w:tcPr>
          <w:p w:rsidR="00B431B6" w:rsidRPr="009A02C6" w:rsidRDefault="006F2C2C" w:rsidP="006F2C2C">
            <w:pPr>
              <w:cnfStyle w:val="000000010000" w:firstRow="0" w:lastRow="0" w:firstColumn="0" w:lastColumn="0" w:oddVBand="0" w:evenVBand="0" w:oddHBand="0" w:evenHBand="1" w:firstRowFirstColumn="0" w:firstRowLastColumn="0" w:lastRowFirstColumn="0" w:lastRowLastColumn="0"/>
            </w:pPr>
            <w:r>
              <w:t>4.2</w:t>
            </w:r>
            <w:r w:rsidR="00B431B6" w:rsidRPr="009A02C6">
              <w:t>%</w:t>
            </w:r>
          </w:p>
        </w:tc>
        <w:tc>
          <w:tcPr>
            <w:tcW w:w="1016" w:type="dxa"/>
            <w:vAlign w:val="top"/>
          </w:tcPr>
          <w:p w:rsidR="00B431B6" w:rsidRPr="009A02C6" w:rsidRDefault="006F2C2C" w:rsidP="006F2C2C">
            <w:pPr>
              <w:cnfStyle w:val="000000010000" w:firstRow="0" w:lastRow="0" w:firstColumn="0" w:lastColumn="0" w:oddVBand="0" w:evenVBand="0" w:oddHBand="0" w:evenHBand="1" w:firstRowFirstColumn="0" w:firstRowLastColumn="0" w:lastRowFirstColumn="0" w:lastRowLastColumn="0"/>
            </w:pPr>
            <w:r>
              <w:t>4.2</w:t>
            </w:r>
            <w:r w:rsidR="00B431B6" w:rsidRPr="009A02C6">
              <w:t>%</w:t>
            </w:r>
          </w:p>
        </w:tc>
        <w:tc>
          <w:tcPr>
            <w:tcW w:w="1016" w:type="dxa"/>
            <w:noWrap/>
            <w:vAlign w:val="top"/>
          </w:tcPr>
          <w:p w:rsidR="00B431B6" w:rsidRPr="009A02C6" w:rsidRDefault="006F2C2C" w:rsidP="006F2C2C">
            <w:pPr>
              <w:cnfStyle w:val="000000010000" w:firstRow="0" w:lastRow="0" w:firstColumn="0" w:lastColumn="0" w:oddVBand="0" w:evenVBand="0" w:oddHBand="0" w:evenHBand="1" w:firstRowFirstColumn="0" w:firstRowLastColumn="0" w:lastRowFirstColumn="0" w:lastRowLastColumn="0"/>
            </w:pPr>
            <w:r>
              <w:t>4.2</w:t>
            </w:r>
            <w:r w:rsidR="00B431B6" w:rsidRPr="009A02C6">
              <w:t>%</w:t>
            </w:r>
          </w:p>
        </w:tc>
      </w:tr>
      <w:tr w:rsidR="00B431B6" w:rsidRPr="009A02C6" w:rsidTr="009A02C6">
        <w:trPr>
          <w:trHeight w:val="190"/>
        </w:trPr>
        <w:tc>
          <w:tcPr>
            <w:cnfStyle w:val="001000000000" w:firstRow="0" w:lastRow="0" w:firstColumn="1" w:lastColumn="0" w:oddVBand="0" w:evenVBand="0" w:oddHBand="0" w:evenHBand="0" w:firstRowFirstColumn="0" w:firstRowLastColumn="0" w:lastRowFirstColumn="0" w:lastRowLastColumn="0"/>
            <w:tcW w:w="2660" w:type="dxa"/>
            <w:noWrap/>
            <w:vAlign w:val="top"/>
          </w:tcPr>
          <w:p w:rsidR="00B431B6" w:rsidRPr="009A02C6" w:rsidRDefault="00B431B6" w:rsidP="009A02C6">
            <w:r w:rsidRPr="009A02C6">
              <w:t>Price path (change %)</w:t>
            </w:r>
          </w:p>
        </w:tc>
        <w:tc>
          <w:tcPr>
            <w:tcW w:w="1015" w:type="dxa"/>
            <w:noWrap/>
            <w:vAlign w:val="top"/>
          </w:tcPr>
          <w:p w:rsidR="00B431B6" w:rsidRPr="009A02C6" w:rsidRDefault="00B431B6" w:rsidP="009A02C6">
            <w:pPr>
              <w:cnfStyle w:val="000000000000" w:firstRow="0" w:lastRow="0" w:firstColumn="0" w:lastColumn="0" w:oddVBand="0" w:evenVBand="0" w:oddHBand="0" w:evenHBand="0" w:firstRowFirstColumn="0" w:firstRowLastColumn="0" w:lastRowFirstColumn="0" w:lastRowLastColumn="0"/>
            </w:pPr>
          </w:p>
        </w:tc>
        <w:tc>
          <w:tcPr>
            <w:tcW w:w="1016" w:type="dxa"/>
            <w:vAlign w:val="top"/>
          </w:tcPr>
          <w:p w:rsidR="00B431B6" w:rsidRPr="009A02C6" w:rsidRDefault="00B431B6" w:rsidP="009A02C6">
            <w:pPr>
              <w:cnfStyle w:val="000000000000" w:firstRow="0" w:lastRow="0" w:firstColumn="0" w:lastColumn="0" w:oddVBand="0" w:evenVBand="0" w:oddHBand="0" w:evenHBand="0" w:firstRowFirstColumn="0" w:firstRowLastColumn="0" w:lastRowFirstColumn="0" w:lastRowLastColumn="0"/>
            </w:pPr>
            <w:r w:rsidRPr="009A02C6">
              <w:t>–4.7%</w:t>
            </w:r>
          </w:p>
        </w:tc>
        <w:tc>
          <w:tcPr>
            <w:tcW w:w="1016" w:type="dxa"/>
            <w:vAlign w:val="top"/>
          </w:tcPr>
          <w:p w:rsidR="00B431B6" w:rsidRPr="009A02C6" w:rsidRDefault="006F2C2C" w:rsidP="006F2C2C">
            <w:pPr>
              <w:cnfStyle w:val="000000000000" w:firstRow="0" w:lastRow="0" w:firstColumn="0" w:lastColumn="0" w:oddVBand="0" w:evenVBand="0" w:oddHBand="0" w:evenHBand="0" w:firstRowFirstColumn="0" w:firstRowLastColumn="0" w:lastRowFirstColumn="0" w:lastRowLastColumn="0"/>
            </w:pPr>
            <w:r>
              <w:t>3.5</w:t>
            </w:r>
            <w:r w:rsidR="00B431B6" w:rsidRPr="009A02C6">
              <w:t>%</w:t>
            </w:r>
          </w:p>
        </w:tc>
        <w:tc>
          <w:tcPr>
            <w:tcW w:w="1016" w:type="dxa"/>
            <w:vAlign w:val="top"/>
          </w:tcPr>
          <w:p w:rsidR="00B431B6" w:rsidRPr="009A02C6" w:rsidRDefault="006F2C2C" w:rsidP="006F2C2C">
            <w:pPr>
              <w:cnfStyle w:val="000000000000" w:firstRow="0" w:lastRow="0" w:firstColumn="0" w:lastColumn="0" w:oddVBand="0" w:evenVBand="0" w:oddHBand="0" w:evenHBand="0" w:firstRowFirstColumn="0" w:firstRowLastColumn="0" w:lastRowFirstColumn="0" w:lastRowLastColumn="0"/>
            </w:pPr>
            <w:r>
              <w:t>3.7</w:t>
            </w:r>
            <w:r w:rsidR="00B431B6" w:rsidRPr="009A02C6">
              <w:t>%</w:t>
            </w:r>
          </w:p>
        </w:tc>
        <w:tc>
          <w:tcPr>
            <w:tcW w:w="1016" w:type="dxa"/>
            <w:vAlign w:val="top"/>
          </w:tcPr>
          <w:p w:rsidR="00B431B6" w:rsidRPr="009A02C6" w:rsidRDefault="006F2C2C" w:rsidP="006F2C2C">
            <w:pPr>
              <w:cnfStyle w:val="000000000000" w:firstRow="0" w:lastRow="0" w:firstColumn="0" w:lastColumn="0" w:oddVBand="0" w:evenVBand="0" w:oddHBand="0" w:evenHBand="0" w:firstRowFirstColumn="0" w:firstRowLastColumn="0" w:lastRowFirstColumn="0" w:lastRowLastColumn="0"/>
            </w:pPr>
            <w:r>
              <w:t>3.7</w:t>
            </w:r>
            <w:r w:rsidR="00B431B6" w:rsidRPr="009A02C6">
              <w:t>%</w:t>
            </w:r>
          </w:p>
        </w:tc>
        <w:tc>
          <w:tcPr>
            <w:tcW w:w="1016" w:type="dxa"/>
            <w:noWrap/>
            <w:vAlign w:val="top"/>
          </w:tcPr>
          <w:p w:rsidR="00B431B6" w:rsidRPr="009A02C6" w:rsidRDefault="006F2C2C" w:rsidP="006F2C2C">
            <w:pPr>
              <w:cnfStyle w:val="000000000000" w:firstRow="0" w:lastRow="0" w:firstColumn="0" w:lastColumn="0" w:oddVBand="0" w:evenVBand="0" w:oddHBand="0" w:evenHBand="0" w:firstRowFirstColumn="0" w:firstRowLastColumn="0" w:lastRowFirstColumn="0" w:lastRowLastColumn="0"/>
            </w:pPr>
            <w:r>
              <w:t>3.7</w:t>
            </w:r>
            <w:r w:rsidR="00B431B6" w:rsidRPr="009A02C6">
              <w:t>%</w:t>
            </w:r>
          </w:p>
        </w:tc>
      </w:tr>
      <w:tr w:rsidR="00B431B6" w:rsidRPr="009A02C6" w:rsidTr="009A02C6">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660" w:type="dxa"/>
            <w:noWrap/>
            <w:vAlign w:val="top"/>
          </w:tcPr>
          <w:p w:rsidR="00B431B6" w:rsidRPr="009A02C6" w:rsidRDefault="00B431B6" w:rsidP="009A02C6">
            <w:pPr>
              <w:rPr>
                <w:rStyle w:val="Strong"/>
              </w:rPr>
            </w:pPr>
            <w:r w:rsidRPr="009A02C6">
              <w:rPr>
                <w:rStyle w:val="Strong"/>
              </w:rPr>
              <w:t xml:space="preserve">AER </w:t>
            </w:r>
            <w:r w:rsidR="009A02C6">
              <w:rPr>
                <w:rStyle w:val="Strong"/>
              </w:rPr>
              <w:t>final</w:t>
            </w:r>
            <w:r w:rsidRPr="009A02C6">
              <w:rPr>
                <w:rStyle w:val="Strong"/>
              </w:rPr>
              <w:t xml:space="preserve"> decision</w:t>
            </w:r>
          </w:p>
        </w:tc>
        <w:tc>
          <w:tcPr>
            <w:tcW w:w="1015" w:type="dxa"/>
            <w:noWrap/>
          </w:tcPr>
          <w:p w:rsidR="00B431B6" w:rsidRPr="009A02C6" w:rsidRDefault="00B431B6" w:rsidP="009A02C6">
            <w:pPr>
              <w:cnfStyle w:val="000000010000" w:firstRow="0" w:lastRow="0" w:firstColumn="0" w:lastColumn="0" w:oddVBand="0" w:evenVBand="0" w:oddHBand="0" w:evenHBand="1" w:firstRowFirstColumn="0" w:firstRowLastColumn="0" w:lastRowFirstColumn="0" w:lastRowLastColumn="0"/>
            </w:pPr>
          </w:p>
        </w:tc>
        <w:tc>
          <w:tcPr>
            <w:tcW w:w="1016" w:type="dxa"/>
          </w:tcPr>
          <w:p w:rsidR="00B431B6" w:rsidRPr="009A02C6" w:rsidRDefault="00B431B6" w:rsidP="009A02C6">
            <w:pPr>
              <w:cnfStyle w:val="000000010000" w:firstRow="0" w:lastRow="0" w:firstColumn="0" w:lastColumn="0" w:oddVBand="0" w:evenVBand="0" w:oddHBand="0" w:evenHBand="1" w:firstRowFirstColumn="0" w:firstRowLastColumn="0" w:lastRowFirstColumn="0" w:lastRowLastColumn="0"/>
            </w:pPr>
          </w:p>
        </w:tc>
        <w:tc>
          <w:tcPr>
            <w:tcW w:w="1016" w:type="dxa"/>
          </w:tcPr>
          <w:p w:rsidR="00B431B6" w:rsidRPr="009A02C6" w:rsidRDefault="00B431B6" w:rsidP="009A02C6">
            <w:pPr>
              <w:cnfStyle w:val="000000010000" w:firstRow="0" w:lastRow="0" w:firstColumn="0" w:lastColumn="0" w:oddVBand="0" w:evenVBand="0" w:oddHBand="0" w:evenHBand="1" w:firstRowFirstColumn="0" w:firstRowLastColumn="0" w:lastRowFirstColumn="0" w:lastRowLastColumn="0"/>
            </w:pPr>
          </w:p>
        </w:tc>
        <w:tc>
          <w:tcPr>
            <w:tcW w:w="1016" w:type="dxa"/>
          </w:tcPr>
          <w:p w:rsidR="00B431B6" w:rsidRPr="009A02C6" w:rsidRDefault="00B431B6" w:rsidP="009A02C6">
            <w:pPr>
              <w:cnfStyle w:val="000000010000" w:firstRow="0" w:lastRow="0" w:firstColumn="0" w:lastColumn="0" w:oddVBand="0" w:evenVBand="0" w:oddHBand="0" w:evenHBand="1" w:firstRowFirstColumn="0" w:firstRowLastColumn="0" w:lastRowFirstColumn="0" w:lastRowLastColumn="0"/>
            </w:pPr>
          </w:p>
        </w:tc>
        <w:tc>
          <w:tcPr>
            <w:tcW w:w="1016" w:type="dxa"/>
          </w:tcPr>
          <w:p w:rsidR="00B431B6" w:rsidRPr="009A02C6" w:rsidRDefault="00B431B6" w:rsidP="009A02C6">
            <w:pPr>
              <w:cnfStyle w:val="000000010000" w:firstRow="0" w:lastRow="0" w:firstColumn="0" w:lastColumn="0" w:oddVBand="0" w:evenVBand="0" w:oddHBand="0" w:evenHBand="1" w:firstRowFirstColumn="0" w:firstRowLastColumn="0" w:lastRowFirstColumn="0" w:lastRowLastColumn="0"/>
            </w:pPr>
          </w:p>
        </w:tc>
        <w:tc>
          <w:tcPr>
            <w:tcW w:w="1016" w:type="dxa"/>
            <w:noWrap/>
          </w:tcPr>
          <w:p w:rsidR="00B431B6" w:rsidRPr="009A02C6" w:rsidRDefault="00B431B6" w:rsidP="009A02C6">
            <w:pPr>
              <w:cnfStyle w:val="000000010000" w:firstRow="0" w:lastRow="0" w:firstColumn="0" w:lastColumn="0" w:oddVBand="0" w:evenVBand="0" w:oddHBand="0" w:evenHBand="1" w:firstRowFirstColumn="0" w:firstRowLastColumn="0" w:lastRowFirstColumn="0" w:lastRowLastColumn="0"/>
            </w:pPr>
          </w:p>
        </w:tc>
      </w:tr>
      <w:tr w:rsidR="00B431B6" w:rsidRPr="009A02C6" w:rsidTr="009A02C6">
        <w:trPr>
          <w:trHeight w:val="190"/>
        </w:trPr>
        <w:tc>
          <w:tcPr>
            <w:cnfStyle w:val="001000000000" w:firstRow="0" w:lastRow="0" w:firstColumn="1" w:lastColumn="0" w:oddVBand="0" w:evenVBand="0" w:oddHBand="0" w:evenHBand="0" w:firstRowFirstColumn="0" w:firstRowLastColumn="0" w:lastRowFirstColumn="0" w:lastRowLastColumn="0"/>
            <w:tcW w:w="2660" w:type="dxa"/>
            <w:noWrap/>
            <w:vAlign w:val="top"/>
          </w:tcPr>
          <w:p w:rsidR="00B431B6" w:rsidRPr="009A02C6" w:rsidRDefault="00B431B6" w:rsidP="009A02C6">
            <w:r w:rsidRPr="009A02C6">
              <w:t>Revenue ($m, nominal)</w:t>
            </w:r>
          </w:p>
        </w:tc>
        <w:tc>
          <w:tcPr>
            <w:tcW w:w="1015" w:type="dxa"/>
            <w:noWrap/>
            <w:vAlign w:val="top"/>
          </w:tcPr>
          <w:p w:rsidR="00B431B6" w:rsidRPr="009A02C6" w:rsidRDefault="00B431B6" w:rsidP="009A02C6">
            <w:pPr>
              <w:cnfStyle w:val="000000000000" w:firstRow="0" w:lastRow="0" w:firstColumn="0" w:lastColumn="0" w:oddVBand="0" w:evenVBand="0" w:oddHBand="0" w:evenHBand="0" w:firstRowFirstColumn="0" w:firstRowLastColumn="0" w:lastRowFirstColumn="0" w:lastRowLastColumn="0"/>
            </w:pPr>
            <w:r w:rsidRPr="009A02C6">
              <w:t>268.5</w:t>
            </w:r>
          </w:p>
        </w:tc>
        <w:tc>
          <w:tcPr>
            <w:tcW w:w="1016" w:type="dxa"/>
            <w:vAlign w:val="top"/>
          </w:tcPr>
          <w:p w:rsidR="00B431B6" w:rsidRPr="009A02C6" w:rsidRDefault="00B431B6" w:rsidP="009A02C6">
            <w:pPr>
              <w:cnfStyle w:val="000000000000" w:firstRow="0" w:lastRow="0" w:firstColumn="0" w:lastColumn="0" w:oddVBand="0" w:evenVBand="0" w:oddHBand="0" w:evenHBand="0" w:firstRowFirstColumn="0" w:firstRowLastColumn="0" w:lastRowFirstColumn="0" w:lastRowLastColumn="0"/>
            </w:pPr>
            <w:r w:rsidRPr="009A02C6">
              <w:t>252.3</w:t>
            </w:r>
          </w:p>
        </w:tc>
        <w:tc>
          <w:tcPr>
            <w:tcW w:w="1016" w:type="dxa"/>
            <w:vAlign w:val="top"/>
          </w:tcPr>
          <w:p w:rsidR="00B431B6" w:rsidRPr="009A02C6" w:rsidRDefault="006F2C2C" w:rsidP="00E06D64">
            <w:pPr>
              <w:cnfStyle w:val="000000000000" w:firstRow="0" w:lastRow="0" w:firstColumn="0" w:lastColumn="0" w:oddVBand="0" w:evenVBand="0" w:oddHBand="0" w:evenHBand="0" w:firstRowFirstColumn="0" w:firstRowLastColumn="0" w:lastRowFirstColumn="0" w:lastRowLastColumn="0"/>
            </w:pPr>
            <w:r>
              <w:t>190.</w:t>
            </w:r>
            <w:r w:rsidR="00E06D64">
              <w:t>8</w:t>
            </w:r>
          </w:p>
        </w:tc>
        <w:tc>
          <w:tcPr>
            <w:tcW w:w="1016" w:type="dxa"/>
            <w:vAlign w:val="top"/>
          </w:tcPr>
          <w:p w:rsidR="00B431B6" w:rsidRPr="009A02C6" w:rsidRDefault="006F2C2C" w:rsidP="006F2C2C">
            <w:pPr>
              <w:cnfStyle w:val="000000000000" w:firstRow="0" w:lastRow="0" w:firstColumn="0" w:lastColumn="0" w:oddVBand="0" w:evenVBand="0" w:oddHBand="0" w:evenHBand="0" w:firstRowFirstColumn="0" w:firstRowLastColumn="0" w:lastRowFirstColumn="0" w:lastRowLastColumn="0"/>
            </w:pPr>
            <w:r>
              <w:t>187.5</w:t>
            </w:r>
          </w:p>
        </w:tc>
        <w:tc>
          <w:tcPr>
            <w:tcW w:w="1016" w:type="dxa"/>
            <w:vAlign w:val="top"/>
          </w:tcPr>
          <w:p w:rsidR="00B431B6" w:rsidRPr="009A02C6" w:rsidRDefault="006F2C2C" w:rsidP="00E06D64">
            <w:pPr>
              <w:cnfStyle w:val="000000000000" w:firstRow="0" w:lastRow="0" w:firstColumn="0" w:lastColumn="0" w:oddVBand="0" w:evenVBand="0" w:oddHBand="0" w:evenHBand="0" w:firstRowFirstColumn="0" w:firstRowLastColumn="0" w:lastRowFirstColumn="0" w:lastRowLastColumn="0"/>
            </w:pPr>
            <w:r>
              <w:t>187.</w:t>
            </w:r>
            <w:r w:rsidR="00E06D64">
              <w:t>2</w:t>
            </w:r>
          </w:p>
        </w:tc>
        <w:tc>
          <w:tcPr>
            <w:tcW w:w="1016" w:type="dxa"/>
            <w:noWrap/>
            <w:vAlign w:val="top"/>
          </w:tcPr>
          <w:p w:rsidR="00B431B6" w:rsidRPr="009A02C6" w:rsidRDefault="006F2C2C" w:rsidP="00E06D64">
            <w:pPr>
              <w:cnfStyle w:val="000000000000" w:firstRow="0" w:lastRow="0" w:firstColumn="0" w:lastColumn="0" w:oddVBand="0" w:evenVBand="0" w:oddHBand="0" w:evenHBand="0" w:firstRowFirstColumn="0" w:firstRowLastColumn="0" w:lastRowFirstColumn="0" w:lastRowLastColumn="0"/>
            </w:pPr>
            <w:r>
              <w:t>187.</w:t>
            </w:r>
            <w:r w:rsidR="00E06D64">
              <w:t>8</w:t>
            </w:r>
          </w:p>
        </w:tc>
      </w:tr>
      <w:tr w:rsidR="00B431B6" w:rsidRPr="009A02C6" w:rsidTr="009A02C6">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660" w:type="dxa"/>
            <w:noWrap/>
            <w:vAlign w:val="top"/>
          </w:tcPr>
          <w:p w:rsidR="00B431B6" w:rsidRPr="009A02C6" w:rsidRDefault="00B431B6" w:rsidP="009A02C6">
            <w:r w:rsidRPr="009A02C6">
              <w:t>Price path (nominal index)</w:t>
            </w:r>
          </w:p>
        </w:tc>
        <w:tc>
          <w:tcPr>
            <w:tcW w:w="1015" w:type="dxa"/>
            <w:noWrap/>
            <w:vAlign w:val="top"/>
          </w:tcPr>
          <w:p w:rsidR="00B431B6" w:rsidRPr="009A02C6" w:rsidRDefault="00B431B6" w:rsidP="009A02C6">
            <w:pPr>
              <w:cnfStyle w:val="000000010000" w:firstRow="0" w:lastRow="0" w:firstColumn="0" w:lastColumn="0" w:oddVBand="0" w:evenVBand="0" w:oddHBand="0" w:evenHBand="1" w:firstRowFirstColumn="0" w:firstRowLastColumn="0" w:lastRowFirstColumn="0" w:lastRowLastColumn="0"/>
            </w:pPr>
            <w:r w:rsidRPr="009A02C6">
              <w:t>1.00</w:t>
            </w:r>
          </w:p>
        </w:tc>
        <w:tc>
          <w:tcPr>
            <w:tcW w:w="1016" w:type="dxa"/>
            <w:vAlign w:val="top"/>
          </w:tcPr>
          <w:p w:rsidR="00B431B6" w:rsidRPr="009A02C6" w:rsidRDefault="00B431B6" w:rsidP="006F2C2C">
            <w:pPr>
              <w:cnfStyle w:val="000000010000" w:firstRow="0" w:lastRow="0" w:firstColumn="0" w:lastColumn="0" w:oddVBand="0" w:evenVBand="0" w:oddHBand="0" w:evenHBand="1" w:firstRowFirstColumn="0" w:firstRowLastColumn="0" w:lastRowFirstColumn="0" w:lastRowLastColumn="0"/>
            </w:pPr>
            <w:r w:rsidRPr="009A02C6">
              <w:t>0.9</w:t>
            </w:r>
            <w:r w:rsidR="006F2C2C">
              <w:t>5</w:t>
            </w:r>
          </w:p>
        </w:tc>
        <w:tc>
          <w:tcPr>
            <w:tcW w:w="1016" w:type="dxa"/>
            <w:vAlign w:val="top"/>
          </w:tcPr>
          <w:p w:rsidR="00B431B6" w:rsidRPr="009A02C6" w:rsidRDefault="00B431B6" w:rsidP="006F2C2C">
            <w:pPr>
              <w:cnfStyle w:val="000000010000" w:firstRow="0" w:lastRow="0" w:firstColumn="0" w:lastColumn="0" w:oddVBand="0" w:evenVBand="0" w:oddHBand="0" w:evenHBand="1" w:firstRowFirstColumn="0" w:firstRowLastColumn="0" w:lastRowFirstColumn="0" w:lastRowLastColumn="0"/>
            </w:pPr>
            <w:r w:rsidRPr="009A02C6">
              <w:t>0.</w:t>
            </w:r>
            <w:r w:rsidR="006F2C2C">
              <w:t>72</w:t>
            </w:r>
          </w:p>
        </w:tc>
        <w:tc>
          <w:tcPr>
            <w:tcW w:w="1016" w:type="dxa"/>
            <w:vAlign w:val="top"/>
          </w:tcPr>
          <w:p w:rsidR="00B431B6" w:rsidRPr="009A02C6" w:rsidRDefault="00B431B6" w:rsidP="006F2C2C">
            <w:pPr>
              <w:cnfStyle w:val="000000010000" w:firstRow="0" w:lastRow="0" w:firstColumn="0" w:lastColumn="0" w:oddVBand="0" w:evenVBand="0" w:oddHBand="0" w:evenHBand="1" w:firstRowFirstColumn="0" w:firstRowLastColumn="0" w:lastRowFirstColumn="0" w:lastRowLastColumn="0"/>
            </w:pPr>
            <w:r w:rsidRPr="009A02C6">
              <w:t>0.7</w:t>
            </w:r>
            <w:r w:rsidR="006F2C2C">
              <w:t>0</w:t>
            </w:r>
          </w:p>
        </w:tc>
        <w:tc>
          <w:tcPr>
            <w:tcW w:w="1016" w:type="dxa"/>
            <w:vAlign w:val="top"/>
          </w:tcPr>
          <w:p w:rsidR="00B431B6" w:rsidRPr="009A02C6" w:rsidRDefault="00B431B6" w:rsidP="006F2C2C">
            <w:pPr>
              <w:cnfStyle w:val="000000010000" w:firstRow="0" w:lastRow="0" w:firstColumn="0" w:lastColumn="0" w:oddVBand="0" w:evenVBand="0" w:oddHBand="0" w:evenHBand="1" w:firstRowFirstColumn="0" w:firstRowLastColumn="0" w:lastRowFirstColumn="0" w:lastRowLastColumn="0"/>
            </w:pPr>
            <w:r w:rsidRPr="009A02C6">
              <w:t>0.7</w:t>
            </w:r>
            <w:r w:rsidR="006F2C2C">
              <w:t>0</w:t>
            </w:r>
          </w:p>
        </w:tc>
        <w:tc>
          <w:tcPr>
            <w:tcW w:w="1016" w:type="dxa"/>
            <w:noWrap/>
            <w:vAlign w:val="top"/>
          </w:tcPr>
          <w:p w:rsidR="00B431B6" w:rsidRPr="009A02C6" w:rsidRDefault="00B431B6" w:rsidP="006F2C2C">
            <w:pPr>
              <w:cnfStyle w:val="000000010000" w:firstRow="0" w:lastRow="0" w:firstColumn="0" w:lastColumn="0" w:oddVBand="0" w:evenVBand="0" w:oddHBand="0" w:evenHBand="1" w:firstRowFirstColumn="0" w:firstRowLastColumn="0" w:lastRowFirstColumn="0" w:lastRowLastColumn="0"/>
            </w:pPr>
            <w:r w:rsidRPr="009A02C6">
              <w:t>0.</w:t>
            </w:r>
            <w:r w:rsidR="006F2C2C">
              <w:t>69</w:t>
            </w:r>
          </w:p>
        </w:tc>
      </w:tr>
      <w:tr w:rsidR="00B431B6" w:rsidRPr="009A02C6" w:rsidTr="009A02C6">
        <w:trPr>
          <w:trHeight w:val="190"/>
        </w:trPr>
        <w:tc>
          <w:tcPr>
            <w:cnfStyle w:val="001000000000" w:firstRow="0" w:lastRow="0" w:firstColumn="1" w:lastColumn="0" w:oddVBand="0" w:evenVBand="0" w:oddHBand="0" w:evenHBand="0" w:firstRowFirstColumn="0" w:firstRowLastColumn="0" w:lastRowFirstColumn="0" w:lastRowLastColumn="0"/>
            <w:tcW w:w="2660" w:type="dxa"/>
            <w:noWrap/>
            <w:vAlign w:val="top"/>
          </w:tcPr>
          <w:p w:rsidR="00B431B6" w:rsidRPr="009A02C6" w:rsidRDefault="00B431B6" w:rsidP="009A02C6">
            <w:r w:rsidRPr="009A02C6">
              <w:t>Revenue (change %)</w:t>
            </w:r>
          </w:p>
        </w:tc>
        <w:tc>
          <w:tcPr>
            <w:tcW w:w="1015" w:type="dxa"/>
            <w:noWrap/>
            <w:vAlign w:val="top"/>
          </w:tcPr>
          <w:p w:rsidR="00B431B6" w:rsidRPr="009A02C6" w:rsidRDefault="00B431B6" w:rsidP="009A02C6">
            <w:pPr>
              <w:cnfStyle w:val="000000000000" w:firstRow="0" w:lastRow="0" w:firstColumn="0" w:lastColumn="0" w:oddVBand="0" w:evenVBand="0" w:oddHBand="0" w:evenHBand="0" w:firstRowFirstColumn="0" w:firstRowLastColumn="0" w:lastRowFirstColumn="0" w:lastRowLastColumn="0"/>
            </w:pPr>
          </w:p>
        </w:tc>
        <w:tc>
          <w:tcPr>
            <w:tcW w:w="1016" w:type="dxa"/>
            <w:vAlign w:val="top"/>
          </w:tcPr>
          <w:p w:rsidR="00B431B6" w:rsidRPr="009A02C6" w:rsidRDefault="00B431B6" w:rsidP="009A02C6">
            <w:pPr>
              <w:cnfStyle w:val="000000000000" w:firstRow="0" w:lastRow="0" w:firstColumn="0" w:lastColumn="0" w:oddVBand="0" w:evenVBand="0" w:oddHBand="0" w:evenHBand="0" w:firstRowFirstColumn="0" w:firstRowLastColumn="0" w:lastRowFirstColumn="0" w:lastRowLastColumn="0"/>
            </w:pPr>
            <w:r w:rsidRPr="009A02C6">
              <w:t>–6.0%</w:t>
            </w:r>
          </w:p>
        </w:tc>
        <w:tc>
          <w:tcPr>
            <w:tcW w:w="1016" w:type="dxa"/>
            <w:vAlign w:val="top"/>
          </w:tcPr>
          <w:p w:rsidR="00B431B6" w:rsidRPr="009A02C6" w:rsidRDefault="00B431B6" w:rsidP="00392431">
            <w:pPr>
              <w:cnfStyle w:val="000000000000" w:firstRow="0" w:lastRow="0" w:firstColumn="0" w:lastColumn="0" w:oddVBand="0" w:evenVBand="0" w:oddHBand="0" w:evenHBand="0" w:firstRowFirstColumn="0" w:firstRowLastColumn="0" w:lastRowFirstColumn="0" w:lastRowLastColumn="0"/>
            </w:pPr>
            <w:r w:rsidRPr="009A02C6">
              <w:t>–2</w:t>
            </w:r>
            <w:r w:rsidR="00392431">
              <w:t>4.4</w:t>
            </w:r>
            <w:r w:rsidRPr="009A02C6">
              <w:t>%</w:t>
            </w:r>
          </w:p>
        </w:tc>
        <w:tc>
          <w:tcPr>
            <w:tcW w:w="1016" w:type="dxa"/>
            <w:vAlign w:val="top"/>
          </w:tcPr>
          <w:p w:rsidR="00B431B6" w:rsidRPr="009A02C6" w:rsidRDefault="00392431" w:rsidP="009A02C6">
            <w:pPr>
              <w:cnfStyle w:val="000000000000" w:firstRow="0" w:lastRow="0" w:firstColumn="0" w:lastColumn="0" w:oddVBand="0" w:evenVBand="0" w:oddHBand="0" w:evenHBand="0" w:firstRowFirstColumn="0" w:firstRowLastColumn="0" w:lastRowFirstColumn="0" w:lastRowLastColumn="0"/>
            </w:pPr>
            <w:r>
              <w:t>–1.7</w:t>
            </w:r>
            <w:r w:rsidR="00B431B6" w:rsidRPr="009A02C6">
              <w:t>2.5%</w:t>
            </w:r>
          </w:p>
        </w:tc>
        <w:tc>
          <w:tcPr>
            <w:tcW w:w="1016" w:type="dxa"/>
            <w:vAlign w:val="top"/>
          </w:tcPr>
          <w:p w:rsidR="00B431B6" w:rsidRPr="009A02C6" w:rsidRDefault="00392431" w:rsidP="00392431">
            <w:pPr>
              <w:cnfStyle w:val="000000000000" w:firstRow="0" w:lastRow="0" w:firstColumn="0" w:lastColumn="0" w:oddVBand="0" w:evenVBand="0" w:oddHBand="0" w:evenHBand="0" w:firstRowFirstColumn="0" w:firstRowLastColumn="0" w:lastRowFirstColumn="0" w:lastRowLastColumn="0"/>
            </w:pPr>
            <w:r>
              <w:t>–0.2</w:t>
            </w:r>
            <w:r w:rsidR="00B431B6" w:rsidRPr="009A02C6">
              <w:t>%</w:t>
            </w:r>
          </w:p>
        </w:tc>
        <w:tc>
          <w:tcPr>
            <w:tcW w:w="1016" w:type="dxa"/>
            <w:noWrap/>
            <w:vAlign w:val="top"/>
          </w:tcPr>
          <w:p w:rsidR="00B431B6" w:rsidRPr="009A02C6" w:rsidRDefault="00392431" w:rsidP="00392431">
            <w:pPr>
              <w:cnfStyle w:val="000000000000" w:firstRow="0" w:lastRow="0" w:firstColumn="0" w:lastColumn="0" w:oddVBand="0" w:evenVBand="0" w:oddHBand="0" w:evenHBand="0" w:firstRowFirstColumn="0" w:firstRowLastColumn="0" w:lastRowFirstColumn="0" w:lastRowLastColumn="0"/>
            </w:pPr>
            <w:r>
              <w:t>0.3</w:t>
            </w:r>
            <w:r w:rsidR="00B431B6" w:rsidRPr="009A02C6">
              <w:t>%</w:t>
            </w:r>
          </w:p>
        </w:tc>
      </w:tr>
      <w:tr w:rsidR="00B431B6" w:rsidRPr="009A02C6" w:rsidTr="009A02C6">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660" w:type="dxa"/>
            <w:noWrap/>
            <w:vAlign w:val="top"/>
          </w:tcPr>
          <w:p w:rsidR="00B431B6" w:rsidRPr="009A02C6" w:rsidRDefault="00B431B6" w:rsidP="009A02C6">
            <w:r w:rsidRPr="009A02C6">
              <w:t>Price path (change %)</w:t>
            </w:r>
          </w:p>
        </w:tc>
        <w:tc>
          <w:tcPr>
            <w:tcW w:w="1015" w:type="dxa"/>
            <w:noWrap/>
            <w:vAlign w:val="top"/>
          </w:tcPr>
          <w:p w:rsidR="00B431B6" w:rsidRPr="009A02C6" w:rsidRDefault="00B431B6" w:rsidP="009A02C6">
            <w:pPr>
              <w:cnfStyle w:val="000000010000" w:firstRow="0" w:lastRow="0" w:firstColumn="0" w:lastColumn="0" w:oddVBand="0" w:evenVBand="0" w:oddHBand="0" w:evenHBand="1" w:firstRowFirstColumn="0" w:firstRowLastColumn="0" w:lastRowFirstColumn="0" w:lastRowLastColumn="0"/>
            </w:pPr>
          </w:p>
        </w:tc>
        <w:tc>
          <w:tcPr>
            <w:tcW w:w="1016" w:type="dxa"/>
            <w:vAlign w:val="top"/>
          </w:tcPr>
          <w:p w:rsidR="00B431B6" w:rsidRPr="009A02C6" w:rsidRDefault="00B431B6" w:rsidP="009A02C6">
            <w:pPr>
              <w:cnfStyle w:val="000000010000" w:firstRow="0" w:lastRow="0" w:firstColumn="0" w:lastColumn="0" w:oddVBand="0" w:evenVBand="0" w:oddHBand="0" w:evenHBand="1" w:firstRowFirstColumn="0" w:firstRowLastColumn="0" w:lastRowFirstColumn="0" w:lastRowLastColumn="0"/>
            </w:pPr>
            <w:r w:rsidRPr="009A02C6">
              <w:t>–4.7%</w:t>
            </w:r>
          </w:p>
        </w:tc>
        <w:tc>
          <w:tcPr>
            <w:tcW w:w="1016" w:type="dxa"/>
            <w:vAlign w:val="top"/>
          </w:tcPr>
          <w:p w:rsidR="00B431B6" w:rsidRPr="009A02C6" w:rsidRDefault="00B431B6" w:rsidP="00392431">
            <w:pPr>
              <w:cnfStyle w:val="000000010000" w:firstRow="0" w:lastRow="0" w:firstColumn="0" w:lastColumn="0" w:oddVBand="0" w:evenVBand="0" w:oddHBand="0" w:evenHBand="1" w:firstRowFirstColumn="0" w:firstRowLastColumn="0" w:lastRowFirstColumn="0" w:lastRowLastColumn="0"/>
            </w:pPr>
            <w:r w:rsidRPr="009A02C6">
              <w:t>–2</w:t>
            </w:r>
            <w:r w:rsidR="00392431">
              <w:t>4.9</w:t>
            </w:r>
            <w:r w:rsidRPr="009A02C6">
              <w:t>%</w:t>
            </w:r>
          </w:p>
        </w:tc>
        <w:tc>
          <w:tcPr>
            <w:tcW w:w="1016" w:type="dxa"/>
            <w:vAlign w:val="top"/>
          </w:tcPr>
          <w:p w:rsidR="00B431B6" w:rsidRPr="009A02C6" w:rsidRDefault="00392431" w:rsidP="00392431">
            <w:pPr>
              <w:cnfStyle w:val="000000010000" w:firstRow="0" w:lastRow="0" w:firstColumn="0" w:lastColumn="0" w:oddVBand="0" w:evenVBand="0" w:oddHBand="0" w:evenHBand="1" w:firstRowFirstColumn="0" w:firstRowLastColumn="0" w:lastRowFirstColumn="0" w:lastRowLastColumn="0"/>
            </w:pPr>
            <w:r>
              <w:t>–</w:t>
            </w:r>
            <w:r w:rsidR="00B431B6" w:rsidRPr="009A02C6">
              <w:t>2.</w:t>
            </w:r>
            <w:r>
              <w:t>2</w:t>
            </w:r>
            <w:r w:rsidR="00B431B6" w:rsidRPr="009A02C6">
              <w:t>%</w:t>
            </w:r>
          </w:p>
        </w:tc>
        <w:tc>
          <w:tcPr>
            <w:tcW w:w="1016" w:type="dxa"/>
            <w:vAlign w:val="top"/>
          </w:tcPr>
          <w:p w:rsidR="00B431B6" w:rsidRPr="009A02C6" w:rsidRDefault="00392431" w:rsidP="00392431">
            <w:pPr>
              <w:cnfStyle w:val="000000010000" w:firstRow="0" w:lastRow="0" w:firstColumn="0" w:lastColumn="0" w:oddVBand="0" w:evenVBand="0" w:oddHBand="0" w:evenHBand="1" w:firstRowFirstColumn="0" w:firstRowLastColumn="0" w:lastRowFirstColumn="0" w:lastRowLastColumn="0"/>
            </w:pPr>
            <w:r>
              <w:t>–0.6</w:t>
            </w:r>
            <w:r w:rsidR="00B431B6" w:rsidRPr="009A02C6">
              <w:t>%</w:t>
            </w:r>
          </w:p>
        </w:tc>
        <w:tc>
          <w:tcPr>
            <w:tcW w:w="1016" w:type="dxa"/>
            <w:noWrap/>
            <w:vAlign w:val="top"/>
          </w:tcPr>
          <w:p w:rsidR="00B431B6" w:rsidRPr="009A02C6" w:rsidRDefault="00392431" w:rsidP="00392431">
            <w:pPr>
              <w:cnfStyle w:val="000000010000" w:firstRow="0" w:lastRow="0" w:firstColumn="0" w:lastColumn="0" w:oddVBand="0" w:evenVBand="0" w:oddHBand="0" w:evenHBand="1" w:firstRowFirstColumn="0" w:firstRowLastColumn="0" w:lastRowFirstColumn="0" w:lastRowLastColumn="0"/>
            </w:pPr>
            <w:r>
              <w:t>–0.1</w:t>
            </w:r>
            <w:r w:rsidR="00B431B6" w:rsidRPr="009A02C6">
              <w:t>%</w:t>
            </w:r>
          </w:p>
        </w:tc>
      </w:tr>
    </w:tbl>
    <w:p w:rsidR="00B431B6" w:rsidRDefault="00B431B6" w:rsidP="00B431B6">
      <w:pPr>
        <w:pStyle w:val="AERtablesource"/>
      </w:pPr>
      <w:r>
        <w:t>Source:</w:t>
      </w:r>
      <w:r>
        <w:tab/>
        <w:t xml:space="preserve">AER analysis. </w:t>
      </w:r>
    </w:p>
    <w:p w:rsidR="00525EAA" w:rsidRDefault="00B431B6" w:rsidP="00B431B6">
      <w:pPr>
        <w:numPr>
          <w:ilvl w:val="0"/>
          <w:numId w:val="25"/>
        </w:numPr>
      </w:pPr>
      <w:r w:rsidRPr="00481870">
        <w:t xml:space="preserve">Distribution charges represent approximately </w:t>
      </w:r>
      <w:r w:rsidR="00B95DDA">
        <w:t>3</w:t>
      </w:r>
      <w:r w:rsidR="006A208C">
        <w:t>9</w:t>
      </w:r>
      <w:r>
        <w:t> </w:t>
      </w:r>
      <w:r w:rsidRPr="00481870">
        <w:t xml:space="preserve">per cent on average of </w:t>
      </w:r>
      <w:r>
        <w:t>Ausgrid</w:t>
      </w:r>
      <w:r w:rsidRPr="00481870">
        <w:t xml:space="preserve">'s typical customer's annual electricity </w:t>
      </w:r>
      <w:r>
        <w:t>bill</w:t>
      </w:r>
      <w:r w:rsidRPr="00481870">
        <w:t>.</w:t>
      </w:r>
      <w:r>
        <w:rPr>
          <w:rStyle w:val="FootnoteReference"/>
        </w:rPr>
        <w:footnoteReference w:id="23"/>
      </w:r>
      <w:r w:rsidRPr="00481870">
        <w:t xml:space="preserve"> We expect that our </w:t>
      </w:r>
      <w:r w:rsidR="009A02C6">
        <w:t>final</w:t>
      </w:r>
      <w:r w:rsidRPr="00481870">
        <w:t xml:space="preserve"> decision, </w:t>
      </w:r>
      <w:r w:rsidR="00A86964">
        <w:t xml:space="preserve">holding all </w:t>
      </w:r>
      <w:r w:rsidRPr="00481870">
        <w:t xml:space="preserve">other </w:t>
      </w:r>
      <w:r w:rsidR="00A86964">
        <w:t>components of the bill constant</w:t>
      </w:r>
      <w:r w:rsidRPr="00481870">
        <w:t xml:space="preserve">, will reduce the average </w:t>
      </w:r>
      <w:r>
        <w:t xml:space="preserve">annual </w:t>
      </w:r>
      <w:r w:rsidRPr="00481870">
        <w:t xml:space="preserve">electricity </w:t>
      </w:r>
      <w:r>
        <w:t>bills for</w:t>
      </w:r>
      <w:r w:rsidRPr="00481870">
        <w:t xml:space="preserve"> residential customer</w:t>
      </w:r>
      <w:r>
        <w:t>s</w:t>
      </w:r>
      <w:r w:rsidRPr="00481870">
        <w:t xml:space="preserve"> in </w:t>
      </w:r>
      <w:r>
        <w:t>Ausgrid</w:t>
      </w:r>
      <w:r w:rsidRPr="00481870">
        <w:t xml:space="preserve">'s network. This is because we estimate that our </w:t>
      </w:r>
      <w:r w:rsidR="009A02C6">
        <w:t xml:space="preserve">final </w:t>
      </w:r>
      <w:r w:rsidRPr="00481870">
        <w:t xml:space="preserve">decision will result in lower distribution charges on average over the 2014–19 period compared to </w:t>
      </w:r>
      <w:r>
        <w:t>Ausgrid</w:t>
      </w:r>
      <w:r w:rsidRPr="00481870">
        <w:t xml:space="preserve">'s </w:t>
      </w:r>
      <w:r w:rsidR="009A02C6">
        <w:t xml:space="preserve">revised </w:t>
      </w:r>
      <w:r w:rsidRPr="00481870">
        <w:t xml:space="preserve">proposal as discussed above. </w:t>
      </w:r>
    </w:p>
    <w:p w:rsidR="00B431B6" w:rsidRPr="00481870" w:rsidRDefault="00A86964" w:rsidP="00B431B6">
      <w:pPr>
        <w:numPr>
          <w:ilvl w:val="0"/>
          <w:numId w:val="25"/>
        </w:numPr>
      </w:pPr>
      <w:r>
        <w:t>Based on</w:t>
      </w:r>
      <w:r w:rsidR="00B431B6" w:rsidRPr="00481870">
        <w:t xml:space="preserve"> the lower distribution charges </w:t>
      </w:r>
      <w:r w:rsidR="00B431B6">
        <w:t xml:space="preserve">from our transitional determination </w:t>
      </w:r>
      <w:r>
        <w:t>passing</w:t>
      </w:r>
      <w:r w:rsidR="00B431B6" w:rsidRPr="00481870">
        <w:t xml:space="preserve"> through to customers, the average </w:t>
      </w:r>
      <w:r w:rsidR="00B431B6">
        <w:t xml:space="preserve">annual </w:t>
      </w:r>
      <w:r w:rsidR="00B431B6" w:rsidRPr="00481870">
        <w:t xml:space="preserve">electricity </w:t>
      </w:r>
      <w:r w:rsidR="00B431B6">
        <w:t>bill</w:t>
      </w:r>
      <w:r w:rsidR="00B431B6" w:rsidRPr="00481870">
        <w:t xml:space="preserve"> for </w:t>
      </w:r>
      <w:r w:rsidR="00B431B6">
        <w:t>Ausgrid</w:t>
      </w:r>
      <w:r w:rsidR="00B431B6" w:rsidRPr="00481870">
        <w:t>'s residential customers could be expected to reduce by about $</w:t>
      </w:r>
      <w:r w:rsidR="006F2C2C">
        <w:t>47</w:t>
      </w:r>
      <w:r w:rsidR="00B431B6" w:rsidRPr="00481870">
        <w:t xml:space="preserve"> or </w:t>
      </w:r>
      <w:r w:rsidR="006F2C2C">
        <w:t>2.2</w:t>
      </w:r>
      <w:r w:rsidR="00B431B6" w:rsidRPr="00481870">
        <w:t xml:space="preserve"> per cent ($ nominal) </w:t>
      </w:r>
      <w:r w:rsidR="00B431B6">
        <w:t xml:space="preserve">in </w:t>
      </w:r>
      <w:r w:rsidR="00B431B6" w:rsidRPr="00481870">
        <w:t>2014–</w:t>
      </w:r>
      <w:r w:rsidR="00B431B6">
        <w:t>15</w:t>
      </w:r>
      <w:r w:rsidR="00B431B6" w:rsidRPr="00481870">
        <w:t xml:space="preserve">. </w:t>
      </w:r>
      <w:r w:rsidR="002945F5">
        <w:t>Based on</w:t>
      </w:r>
      <w:r w:rsidR="00B431B6" w:rsidRPr="00FC41A0">
        <w:t xml:space="preserve"> the distribution charges from our </w:t>
      </w:r>
      <w:r w:rsidR="009A02C6">
        <w:t xml:space="preserve">final </w:t>
      </w:r>
      <w:r w:rsidR="00B431B6" w:rsidRPr="00FC41A0">
        <w:t xml:space="preserve">decision </w:t>
      </w:r>
      <w:r w:rsidR="002945F5">
        <w:t>passing</w:t>
      </w:r>
      <w:r w:rsidR="00B431B6" w:rsidRPr="00FC41A0">
        <w:t xml:space="preserve"> through to c</w:t>
      </w:r>
      <w:r w:rsidR="00B431B6">
        <w:t>ustomers</w:t>
      </w:r>
      <w:r w:rsidR="00B431B6" w:rsidRPr="00FC41A0">
        <w:t xml:space="preserve">, we would expect </w:t>
      </w:r>
      <w:r w:rsidR="00B431B6">
        <w:t xml:space="preserve">the </w:t>
      </w:r>
      <w:r w:rsidR="00B431B6" w:rsidRPr="00FC41A0">
        <w:t xml:space="preserve">average </w:t>
      </w:r>
      <w:r w:rsidR="00B431B6">
        <w:t xml:space="preserve">annual </w:t>
      </w:r>
      <w:r w:rsidR="00B431B6" w:rsidRPr="00FC41A0">
        <w:t xml:space="preserve">electricity </w:t>
      </w:r>
      <w:r w:rsidR="00B431B6">
        <w:t>bill for</w:t>
      </w:r>
      <w:r w:rsidR="00B431B6" w:rsidRPr="00FC41A0">
        <w:t xml:space="preserve"> residential </w:t>
      </w:r>
      <w:r w:rsidR="00B431B6">
        <w:t xml:space="preserve">customers </w:t>
      </w:r>
      <w:r w:rsidR="00B431B6" w:rsidRPr="00FC41A0">
        <w:t>to reduce by a further $</w:t>
      </w:r>
      <w:r w:rsidR="006F2C2C">
        <w:t>1</w:t>
      </w:r>
      <w:r w:rsidR="00392431">
        <w:t>65</w:t>
      </w:r>
      <w:r w:rsidR="00B431B6" w:rsidRPr="00FC41A0">
        <w:t xml:space="preserve"> or </w:t>
      </w:r>
      <w:r w:rsidR="006F2C2C">
        <w:t>8.</w:t>
      </w:r>
      <w:r w:rsidR="00392431">
        <w:t>0</w:t>
      </w:r>
      <w:r w:rsidR="00B431B6" w:rsidRPr="00FC41A0">
        <w:t xml:space="preserve"> per cent in 2015–16. This would be followed by </w:t>
      </w:r>
      <w:r w:rsidR="006F2C2C">
        <w:t>reductions</w:t>
      </w:r>
      <w:r w:rsidR="00B431B6" w:rsidRPr="00FC41A0">
        <w:t xml:space="preserve"> of about $</w:t>
      </w:r>
      <w:r w:rsidR="006F2C2C">
        <w:t>1</w:t>
      </w:r>
      <w:r w:rsidR="00392431">
        <w:t>2</w:t>
      </w:r>
      <w:r w:rsidR="00B431B6" w:rsidRPr="00FC41A0">
        <w:t xml:space="preserve"> or </w:t>
      </w:r>
      <w:r w:rsidR="006F2C2C">
        <w:t>0.</w:t>
      </w:r>
      <w:r w:rsidR="00392431">
        <w:t>7</w:t>
      </w:r>
      <w:r w:rsidR="00B431B6" w:rsidRPr="00FC41A0">
        <w:t> per cent ($ nominal) per annum from 2016–17 to 2018–19</w:t>
      </w:r>
      <w:r w:rsidR="00B431B6">
        <w:t xml:space="preserve">. </w:t>
      </w:r>
      <w:r w:rsidR="00FC2FE2">
        <w:t>By</w:t>
      </w:r>
      <w:r w:rsidR="00B431B6" w:rsidRPr="00481870">
        <w:t xml:space="preserve"> comparison, </w:t>
      </w:r>
      <w:r w:rsidR="00FC2FE2">
        <w:t>had</w:t>
      </w:r>
      <w:r w:rsidR="00B431B6" w:rsidRPr="00481870">
        <w:t xml:space="preserve"> we accepted </w:t>
      </w:r>
      <w:r w:rsidR="00B431B6">
        <w:t>Ausgrid</w:t>
      </w:r>
      <w:r w:rsidR="00B431B6" w:rsidRPr="00481870">
        <w:t xml:space="preserve">'s </w:t>
      </w:r>
      <w:r w:rsidR="009A02C6">
        <w:t xml:space="preserve">revised </w:t>
      </w:r>
      <w:r w:rsidR="00B431B6" w:rsidRPr="00481870">
        <w:t xml:space="preserve">proposal, the average </w:t>
      </w:r>
      <w:r w:rsidR="00B431B6">
        <w:t xml:space="preserve">annual electricity bill for residential </w:t>
      </w:r>
      <w:r w:rsidR="00B431B6" w:rsidRPr="00481870">
        <w:t>customer</w:t>
      </w:r>
      <w:r w:rsidR="00B431B6">
        <w:t>s</w:t>
      </w:r>
      <w:r w:rsidR="00B431B6" w:rsidRPr="00481870">
        <w:t xml:space="preserve"> would increase by $</w:t>
      </w:r>
      <w:r w:rsidR="00450D4B">
        <w:t>79</w:t>
      </w:r>
      <w:r w:rsidR="00450D4B" w:rsidRPr="00481870">
        <w:t xml:space="preserve"> </w:t>
      </w:r>
      <w:r w:rsidR="00B431B6" w:rsidRPr="00481870">
        <w:t xml:space="preserve">or </w:t>
      </w:r>
      <w:r w:rsidR="00450D4B">
        <w:t>3.8</w:t>
      </w:r>
      <w:r w:rsidR="00B431B6" w:rsidRPr="00481870">
        <w:t xml:space="preserve"> per cent </w:t>
      </w:r>
      <w:r w:rsidR="00450D4B" w:rsidRPr="00450D4B">
        <w:t>in 2015–16. This would</w:t>
      </w:r>
      <w:r w:rsidR="00450D4B">
        <w:t xml:space="preserve"> be followed by increases of </w:t>
      </w:r>
      <w:r w:rsidR="000E4CDB">
        <w:t xml:space="preserve">approximately </w:t>
      </w:r>
      <w:r w:rsidR="00450D4B">
        <w:t>$19 (0.9</w:t>
      </w:r>
      <w:r w:rsidR="00450D4B" w:rsidRPr="00450D4B">
        <w:t xml:space="preserve"> per cent)</w:t>
      </w:r>
      <w:r w:rsidR="00B431B6" w:rsidRPr="00481870">
        <w:t xml:space="preserve"> per annum</w:t>
      </w:r>
      <w:r w:rsidR="00B431B6">
        <w:t xml:space="preserve"> </w:t>
      </w:r>
      <w:r w:rsidR="000E4CDB">
        <w:t>between</w:t>
      </w:r>
      <w:r w:rsidR="00311A17">
        <w:t xml:space="preserve"> </w:t>
      </w:r>
      <w:r w:rsidR="00B431B6">
        <w:t>201</w:t>
      </w:r>
      <w:r w:rsidR="00450D4B">
        <w:t>6</w:t>
      </w:r>
      <w:r w:rsidR="000E4CDB">
        <w:t>–17 and 2018</w:t>
      </w:r>
      <w:r w:rsidR="00B431B6">
        <w:t>–19</w:t>
      </w:r>
      <w:r w:rsidR="00B431B6" w:rsidRPr="00481870">
        <w:t xml:space="preserve">. </w:t>
      </w:r>
    </w:p>
    <w:p w:rsidR="00B431B6" w:rsidRPr="00481870" w:rsidRDefault="00B431B6" w:rsidP="00B431B6">
      <w:pPr>
        <w:numPr>
          <w:ilvl w:val="0"/>
          <w:numId w:val="25"/>
        </w:numPr>
      </w:pPr>
      <w:r w:rsidRPr="00481870">
        <w:t>Our estimate</w:t>
      </w:r>
      <w:r w:rsidR="00FC2FE2">
        <w:t xml:space="preserve"> of the</w:t>
      </w:r>
      <w:r w:rsidRPr="00481870">
        <w:t xml:space="preserve"> potential impact</w:t>
      </w:r>
      <w:r w:rsidR="00FC2FE2">
        <w:t xml:space="preserve"> our final decision will have for Ausgrid's residential customers</w:t>
      </w:r>
      <w:r w:rsidRPr="00481870">
        <w:t xml:space="preserve"> is based on the typical annual electricity usage of 6500</w:t>
      </w:r>
      <w:r w:rsidR="009A02C6">
        <w:t> </w:t>
      </w:r>
      <w:r w:rsidRPr="00481870">
        <w:t xml:space="preserve">kWh per annum for </w:t>
      </w:r>
      <w:r w:rsidRPr="00481870">
        <w:lastRenderedPageBreak/>
        <w:t>a residential customer in NSW.</w:t>
      </w:r>
      <w:r>
        <w:rPr>
          <w:rStyle w:val="FootnoteReference"/>
        </w:rPr>
        <w:footnoteReference w:id="24"/>
      </w:r>
      <w:r w:rsidRPr="00481870">
        <w:t xml:space="preserve"> Therefore</w:t>
      </w:r>
      <w:r w:rsidR="00FC2FE2">
        <w:t>,</w:t>
      </w:r>
      <w:r w:rsidRPr="00481870">
        <w:t xml:space="preserve"> customers with different usage will experience different changes in their </w:t>
      </w:r>
      <w:r>
        <w:t>bills</w:t>
      </w:r>
      <w:r w:rsidRPr="00481870">
        <w:t xml:space="preserve">. We also note that there are other factors, such as transmission network costs, wholesale and retail costs, which affect electricity </w:t>
      </w:r>
      <w:r>
        <w:t>bills</w:t>
      </w:r>
      <w:r w:rsidRPr="00481870">
        <w:t xml:space="preserve">. </w:t>
      </w:r>
    </w:p>
    <w:p w:rsidR="00B431B6" w:rsidRDefault="00B431B6" w:rsidP="00B431B6">
      <w:pPr>
        <w:numPr>
          <w:ilvl w:val="0"/>
          <w:numId w:val="25"/>
        </w:numPr>
      </w:pPr>
      <w:r w:rsidRPr="00481870">
        <w:t>Similarly, for an average small business customer in NSW that uses approximately 10</w:t>
      </w:r>
      <w:r w:rsidR="00FC2FE2">
        <w:t> </w:t>
      </w:r>
      <w:proofErr w:type="spellStart"/>
      <w:r w:rsidR="002D2A7D">
        <w:t>M</w:t>
      </w:r>
      <w:r w:rsidRPr="00481870">
        <w:t>Wh</w:t>
      </w:r>
      <w:proofErr w:type="spellEnd"/>
      <w:r w:rsidRPr="00481870">
        <w:t xml:space="preserve"> of electricity per annum, our </w:t>
      </w:r>
      <w:r w:rsidR="009A02C6">
        <w:t>final</w:t>
      </w:r>
      <w:r w:rsidRPr="00481870">
        <w:t xml:space="preserve"> decision for </w:t>
      </w:r>
      <w:r>
        <w:t>Ausgrid</w:t>
      </w:r>
      <w:r w:rsidRPr="00481870">
        <w:t xml:space="preserve"> is expected to lead to lower average annual electricity </w:t>
      </w:r>
      <w:r>
        <w:t>bill</w:t>
      </w:r>
      <w:r w:rsidRPr="00481870">
        <w:t xml:space="preserve">s. We estimate that </w:t>
      </w:r>
      <w:r w:rsidR="002945F5">
        <w:t>based on</w:t>
      </w:r>
      <w:r w:rsidRPr="00481870">
        <w:t xml:space="preserve"> the lower distribution charges arising from our </w:t>
      </w:r>
      <w:r>
        <w:t>transitional determination</w:t>
      </w:r>
      <w:r w:rsidRPr="00481870">
        <w:t xml:space="preserve"> </w:t>
      </w:r>
      <w:r w:rsidR="002945F5">
        <w:t>passing</w:t>
      </w:r>
      <w:r w:rsidRPr="00481870">
        <w:t xml:space="preserve"> through to customers, the average annual </w:t>
      </w:r>
      <w:r>
        <w:t xml:space="preserve">electricity bill for </w:t>
      </w:r>
      <w:r w:rsidRPr="00481870">
        <w:t xml:space="preserve">small business customers in </w:t>
      </w:r>
      <w:r>
        <w:t>Ausgrid</w:t>
      </w:r>
      <w:r w:rsidRPr="00481870">
        <w:t>'s network could be expected to reduce by about $</w:t>
      </w:r>
      <w:r w:rsidR="006F2C2C">
        <w:t>75</w:t>
      </w:r>
      <w:r w:rsidRPr="00481870">
        <w:t xml:space="preserve"> or </w:t>
      </w:r>
      <w:r w:rsidR="006F2C2C">
        <w:t>2.2</w:t>
      </w:r>
      <w:r w:rsidRPr="00481870">
        <w:t xml:space="preserve"> per cent ($ nominal)  </w:t>
      </w:r>
      <w:r>
        <w:t>in</w:t>
      </w:r>
      <w:r w:rsidRPr="00481870">
        <w:t xml:space="preserve"> 2014–</w:t>
      </w:r>
      <w:r>
        <w:t>15</w:t>
      </w:r>
      <w:r w:rsidRPr="00481870">
        <w:t xml:space="preserve">. </w:t>
      </w:r>
      <w:r w:rsidR="002945F5">
        <w:t>Based on</w:t>
      </w:r>
      <w:r w:rsidRPr="0054495D">
        <w:t xml:space="preserve"> the lower distribution charges from our </w:t>
      </w:r>
      <w:r w:rsidR="009A02C6">
        <w:t>final</w:t>
      </w:r>
      <w:r w:rsidRPr="0054495D">
        <w:t xml:space="preserve"> decision </w:t>
      </w:r>
      <w:r w:rsidR="002945F5">
        <w:t>passing</w:t>
      </w:r>
      <w:r w:rsidRPr="0054495D">
        <w:t xml:space="preserve"> through to customers, we would expect </w:t>
      </w:r>
      <w:r>
        <w:t xml:space="preserve">the </w:t>
      </w:r>
      <w:r w:rsidRPr="0054495D">
        <w:t>average</w:t>
      </w:r>
      <w:r>
        <w:t xml:space="preserve"> annual electricity bill for</w:t>
      </w:r>
      <w:r w:rsidRPr="0054495D">
        <w:t xml:space="preserve"> small business </w:t>
      </w:r>
      <w:r>
        <w:t>customers</w:t>
      </w:r>
      <w:r w:rsidRPr="0054495D">
        <w:t xml:space="preserve"> to reduce by a further $</w:t>
      </w:r>
      <w:r w:rsidR="006F2C2C">
        <w:t>2</w:t>
      </w:r>
      <w:r w:rsidR="00392431">
        <w:t>64</w:t>
      </w:r>
      <w:r w:rsidRPr="0054495D">
        <w:t xml:space="preserve"> or </w:t>
      </w:r>
      <w:r w:rsidR="006F2C2C">
        <w:t>8.</w:t>
      </w:r>
      <w:r w:rsidR="00392431">
        <w:t>0</w:t>
      </w:r>
      <w:r w:rsidRPr="0054495D">
        <w:t xml:space="preserve"> per cent in 2015–16. This would be followed by </w:t>
      </w:r>
      <w:r w:rsidR="006F2C2C">
        <w:t>reductions</w:t>
      </w:r>
      <w:r w:rsidRPr="0054495D">
        <w:t xml:space="preserve"> of about $</w:t>
      </w:r>
      <w:r w:rsidR="000E4CDB">
        <w:t>20</w:t>
      </w:r>
      <w:r w:rsidR="000E4CDB" w:rsidRPr="0054495D">
        <w:t xml:space="preserve"> </w:t>
      </w:r>
      <w:r w:rsidRPr="0054495D">
        <w:t xml:space="preserve">or </w:t>
      </w:r>
      <w:r w:rsidR="006F2C2C">
        <w:t>0.</w:t>
      </w:r>
      <w:r w:rsidR="00392431">
        <w:t>7</w:t>
      </w:r>
      <w:r w:rsidRPr="0054495D">
        <w:t xml:space="preserve"> per cent ($ nominal) per annum from 2016–17 to 2018–19. </w:t>
      </w:r>
      <w:r w:rsidR="00FC2FE2">
        <w:t>By</w:t>
      </w:r>
      <w:r w:rsidRPr="00481870">
        <w:t xml:space="preserve"> comparison, </w:t>
      </w:r>
      <w:r w:rsidR="00FC2FE2">
        <w:t>had</w:t>
      </w:r>
      <w:r w:rsidRPr="00481870">
        <w:t xml:space="preserve"> we accepted </w:t>
      </w:r>
      <w:r>
        <w:t>Ausgrid</w:t>
      </w:r>
      <w:r w:rsidRPr="00481870">
        <w:t xml:space="preserve">'s </w:t>
      </w:r>
      <w:r w:rsidR="009A02C6">
        <w:t xml:space="preserve">revised </w:t>
      </w:r>
      <w:r w:rsidRPr="00481870">
        <w:t xml:space="preserve">proposal, the average </w:t>
      </w:r>
      <w:r>
        <w:t xml:space="preserve">annual electricity bill for </w:t>
      </w:r>
      <w:r w:rsidRPr="00481870">
        <w:t xml:space="preserve">small business customers would increase by </w:t>
      </w:r>
      <w:r w:rsidR="000E4CDB">
        <w:t xml:space="preserve">$127 or 3.8 per cent in 2015–16. This would be followed by increases of approximately </w:t>
      </w:r>
      <w:r w:rsidRPr="00481870">
        <w:t>$</w:t>
      </w:r>
      <w:r w:rsidR="00392431">
        <w:t>31</w:t>
      </w:r>
      <w:r w:rsidRPr="00481870">
        <w:t xml:space="preserve"> or </w:t>
      </w:r>
      <w:r w:rsidR="00392431">
        <w:t>0.9</w:t>
      </w:r>
      <w:r w:rsidRPr="00481870">
        <w:t xml:space="preserve"> </w:t>
      </w:r>
      <w:r>
        <w:t>p</w:t>
      </w:r>
      <w:r w:rsidRPr="00481870">
        <w:t>er cent ($ nominal) per annum</w:t>
      </w:r>
      <w:r>
        <w:t xml:space="preserve"> </w:t>
      </w:r>
      <w:r w:rsidR="000E4CDB">
        <w:t>between 2016–17 and 2018</w:t>
      </w:r>
      <w:r>
        <w:t>–19</w:t>
      </w:r>
      <w:r w:rsidRPr="00481870">
        <w:t xml:space="preserve">. </w:t>
      </w:r>
    </w:p>
    <w:p w:rsidR="00B431B6" w:rsidRDefault="00B431B6" w:rsidP="00B431B6">
      <w:pPr>
        <w:numPr>
          <w:ilvl w:val="0"/>
          <w:numId w:val="25"/>
        </w:numPr>
      </w:pPr>
      <w:r>
        <w:fldChar w:fldCharType="begin"/>
      </w:r>
      <w:r>
        <w:instrText xml:space="preserve"> REF _Ref404354417 \h </w:instrText>
      </w:r>
      <w:r>
        <w:fldChar w:fldCharType="separate"/>
      </w:r>
      <w:r w:rsidR="00A11853">
        <w:t xml:space="preserve">Table </w:t>
      </w:r>
      <w:r w:rsidR="00A11853">
        <w:rPr>
          <w:noProof/>
        </w:rPr>
        <w:t>1</w:t>
      </w:r>
      <w:r w:rsidR="00A11853">
        <w:t>.</w:t>
      </w:r>
      <w:r w:rsidR="00A11853">
        <w:rPr>
          <w:noProof/>
        </w:rPr>
        <w:t>9</w:t>
      </w:r>
      <w:r>
        <w:fldChar w:fldCharType="end"/>
      </w:r>
      <w:r>
        <w:t xml:space="preserve"> </w:t>
      </w:r>
      <w:r w:rsidRPr="001A0446">
        <w:t xml:space="preserve">shows the estimated annual average impact of our </w:t>
      </w:r>
      <w:r w:rsidR="009A02C6">
        <w:t>final</w:t>
      </w:r>
      <w:r w:rsidRPr="001A0446">
        <w:t xml:space="preserve"> decision for Ausgrid's distribution network over the 2014–19 period on the average residential and small business customers' annual electricity bills. </w:t>
      </w:r>
    </w:p>
    <w:p w:rsidR="00525EAA" w:rsidRPr="00DF2291" w:rsidRDefault="00525EAA" w:rsidP="00525EAA">
      <w:pPr>
        <w:numPr>
          <w:ilvl w:val="0"/>
          <w:numId w:val="25"/>
        </w:numPr>
      </w:pPr>
      <w:bookmarkStart w:id="44" w:name="_Toc404354911"/>
      <w:r w:rsidRPr="00DF2291">
        <w:t xml:space="preserve">Our </w:t>
      </w:r>
      <w:r>
        <w:t>final</w:t>
      </w:r>
      <w:r w:rsidRPr="00DF2291">
        <w:t xml:space="preserve"> decision revenues for </w:t>
      </w:r>
      <w:proofErr w:type="spellStart"/>
      <w:r w:rsidRPr="00DF2291">
        <w:t>Ausgrid's</w:t>
      </w:r>
      <w:proofErr w:type="spellEnd"/>
      <w:r w:rsidRPr="00DF2291">
        <w:t xml:space="preserve"> transmission network make up a relatively small proportion of the overall transmission revenues applicable to NSW/ACT. TransGrid is the main transmission network service provider in NSW/ACT, and we are setting its revenue requirements concurrent with this process. </w:t>
      </w:r>
      <w:proofErr w:type="spellStart"/>
      <w:r w:rsidRPr="00DF2291">
        <w:t>Ausgrid</w:t>
      </w:r>
      <w:proofErr w:type="spellEnd"/>
      <w:r w:rsidRPr="00DF2291">
        <w:t xml:space="preserve"> collects its transmission revenues from TransGrid, </w:t>
      </w:r>
      <w:r>
        <w:t>the</w:t>
      </w:r>
      <w:r w:rsidRPr="00DF2291">
        <w:t xml:space="preserve"> coordinating TNSP for NSW/ACT. In estimating the indicative impact of our </w:t>
      </w:r>
      <w:r>
        <w:t>final</w:t>
      </w:r>
      <w:r w:rsidRPr="00DF2291">
        <w:t xml:space="preserve"> decision on transmission charges, we include </w:t>
      </w:r>
      <w:proofErr w:type="spellStart"/>
      <w:r w:rsidRPr="00DF2291">
        <w:t>Ausgrid's</w:t>
      </w:r>
      <w:proofErr w:type="spellEnd"/>
      <w:r w:rsidRPr="00DF2291">
        <w:t xml:space="preserve"> transmission revenues with TransGrid's revenues.</w:t>
      </w:r>
      <w:r w:rsidRPr="00DF2291">
        <w:rPr>
          <w:rStyle w:val="FootnoteReference"/>
        </w:rPr>
        <w:footnoteReference w:id="25"/>
      </w:r>
      <w:r w:rsidRPr="00DF2291">
        <w:t xml:space="preserve"> We discuss the overall transmission price impact in our </w:t>
      </w:r>
      <w:r>
        <w:t>final</w:t>
      </w:r>
      <w:r w:rsidRPr="00DF2291">
        <w:t xml:space="preserve"> decision for TransGrid.</w:t>
      </w:r>
    </w:p>
    <w:bookmarkEnd w:id="44"/>
    <w:p w:rsidR="00525EAA" w:rsidRPr="007F7AA6" w:rsidRDefault="00525EAA" w:rsidP="00525EAA">
      <w:pPr>
        <w:numPr>
          <w:ilvl w:val="0"/>
          <w:numId w:val="25"/>
        </w:numPr>
      </w:pPr>
    </w:p>
    <w:p w:rsidR="00525EAA" w:rsidRDefault="00525EAA" w:rsidP="00525EAA"/>
    <w:p w:rsidR="00525EAA" w:rsidRDefault="00525EAA" w:rsidP="00525EAA"/>
    <w:p w:rsidR="00525EAA" w:rsidRDefault="00525EAA" w:rsidP="00525EAA"/>
    <w:p w:rsidR="00525EAA" w:rsidRPr="001A0446" w:rsidRDefault="00525EAA" w:rsidP="00525EAA"/>
    <w:p w:rsidR="00B431B6" w:rsidRDefault="00B431B6" w:rsidP="00B431B6">
      <w:pPr>
        <w:pStyle w:val="Caption"/>
      </w:pPr>
      <w:bookmarkStart w:id="45" w:name="_Ref401574064"/>
      <w:bookmarkStart w:id="46" w:name="_Ref404354417"/>
      <w:proofErr w:type="gramStart"/>
      <w:r>
        <w:lastRenderedPageBreak/>
        <w:t xml:space="preserve">Table </w:t>
      </w:r>
      <w:r w:rsidR="006B77CA">
        <w:fldChar w:fldCharType="begin"/>
      </w:r>
      <w:r w:rsidR="006B77CA">
        <w:instrText xml:space="preserve"> STYLEREF 1 \s </w:instrText>
      </w:r>
      <w:r w:rsidR="006B77CA">
        <w:fldChar w:fldCharType="separate"/>
      </w:r>
      <w:r w:rsidR="00A11853">
        <w:rPr>
          <w:noProof/>
        </w:rPr>
        <w:t>1</w:t>
      </w:r>
      <w:r w:rsidR="006B77CA">
        <w:rPr>
          <w:noProof/>
        </w:rPr>
        <w:fldChar w:fldCharType="end"/>
      </w:r>
      <w:r w:rsidR="00A32071">
        <w:t>.</w:t>
      </w:r>
      <w:proofErr w:type="gramEnd"/>
      <w:r w:rsidR="006B77CA">
        <w:fldChar w:fldCharType="begin"/>
      </w:r>
      <w:r w:rsidR="006B77CA">
        <w:instrText xml:space="preserve"> SEQ Table \* ARABIC \s 1 </w:instrText>
      </w:r>
      <w:r w:rsidR="006B77CA">
        <w:fldChar w:fldCharType="separate"/>
      </w:r>
      <w:r w:rsidR="00A11853">
        <w:rPr>
          <w:noProof/>
        </w:rPr>
        <w:t>9</w:t>
      </w:r>
      <w:r w:rsidR="006B77CA">
        <w:rPr>
          <w:noProof/>
        </w:rPr>
        <w:fldChar w:fldCharType="end"/>
      </w:r>
      <w:bookmarkEnd w:id="45"/>
      <w:bookmarkEnd w:id="46"/>
      <w:r>
        <w:tab/>
        <w:t xml:space="preserve">Estimated impact of Ausgrid's </w:t>
      </w:r>
      <w:r w:rsidR="009A02C6">
        <w:t xml:space="preserve">revised </w:t>
      </w:r>
      <w:r>
        <w:t xml:space="preserve">proposal and AER's </w:t>
      </w:r>
      <w:r w:rsidR="0053757E">
        <w:t>final</w:t>
      </w:r>
      <w:r>
        <w:t xml:space="preserve"> decision on annual electricity bills for the 2014–19 period ($ nominal)</w:t>
      </w:r>
      <w:r w:rsidDel="006E6462">
        <w:t xml:space="preserve"> </w:t>
      </w:r>
    </w:p>
    <w:tbl>
      <w:tblPr>
        <w:tblStyle w:val="AERtable-text0"/>
        <w:tblW w:w="4936" w:type="pct"/>
        <w:tblLayout w:type="fixed"/>
        <w:tblLook w:val="04A0" w:firstRow="1" w:lastRow="0" w:firstColumn="1" w:lastColumn="0" w:noHBand="0" w:noVBand="1"/>
      </w:tblPr>
      <w:tblGrid>
        <w:gridCol w:w="1951"/>
        <w:gridCol w:w="850"/>
        <w:gridCol w:w="1135"/>
        <w:gridCol w:w="1274"/>
        <w:gridCol w:w="1135"/>
        <w:gridCol w:w="1133"/>
        <w:gridCol w:w="1104"/>
      </w:tblGrid>
      <w:tr w:rsidR="00B95EBB" w:rsidRPr="00B95EBB" w:rsidTr="00B95EBB">
        <w:trPr>
          <w:cnfStyle w:val="100000000000" w:firstRow="1" w:lastRow="0" w:firstColumn="0" w:lastColumn="0" w:oddVBand="0" w:evenVBand="0" w:oddHBand="0" w:evenHBand="0" w:firstRowFirstColumn="0" w:firstRowLastColumn="0" w:lastRowFirstColumn="0" w:lastRowLastColumn="0"/>
          <w:trHeight w:val="298"/>
        </w:trPr>
        <w:tc>
          <w:tcPr>
            <w:tcW w:w="1137" w:type="pct"/>
            <w:noWrap/>
            <w:hideMark/>
          </w:tcPr>
          <w:p w:rsidR="00B431B6" w:rsidRPr="00B95EBB" w:rsidRDefault="00B431B6" w:rsidP="00B95EBB">
            <w:r w:rsidRPr="00B95EBB">
              <w:t> </w:t>
            </w:r>
          </w:p>
        </w:tc>
        <w:tc>
          <w:tcPr>
            <w:tcW w:w="495" w:type="pct"/>
            <w:noWrap/>
            <w:hideMark/>
          </w:tcPr>
          <w:p w:rsidR="00B431B6" w:rsidRPr="00B95EBB" w:rsidRDefault="00B431B6" w:rsidP="00B95EBB">
            <w:r w:rsidRPr="00B95EBB">
              <w:t>2013–14</w:t>
            </w:r>
          </w:p>
        </w:tc>
        <w:tc>
          <w:tcPr>
            <w:tcW w:w="661" w:type="pct"/>
            <w:noWrap/>
            <w:hideMark/>
          </w:tcPr>
          <w:p w:rsidR="00B431B6" w:rsidRPr="00B95EBB" w:rsidRDefault="00B431B6" w:rsidP="00B95EBB">
            <w:r w:rsidRPr="00B95EBB">
              <w:t>2014–15</w:t>
            </w:r>
          </w:p>
        </w:tc>
        <w:tc>
          <w:tcPr>
            <w:tcW w:w="742" w:type="pct"/>
            <w:noWrap/>
            <w:hideMark/>
          </w:tcPr>
          <w:p w:rsidR="00B431B6" w:rsidRPr="00B95EBB" w:rsidRDefault="00B431B6" w:rsidP="00B95EBB">
            <w:r w:rsidRPr="00B95EBB">
              <w:t>2015–16</w:t>
            </w:r>
          </w:p>
        </w:tc>
        <w:tc>
          <w:tcPr>
            <w:tcW w:w="661" w:type="pct"/>
            <w:noWrap/>
            <w:hideMark/>
          </w:tcPr>
          <w:p w:rsidR="00B431B6" w:rsidRPr="00B95EBB" w:rsidRDefault="00B431B6" w:rsidP="00B95EBB">
            <w:r w:rsidRPr="00B95EBB">
              <w:t>2016–17</w:t>
            </w:r>
          </w:p>
        </w:tc>
        <w:tc>
          <w:tcPr>
            <w:tcW w:w="660" w:type="pct"/>
            <w:noWrap/>
            <w:hideMark/>
          </w:tcPr>
          <w:p w:rsidR="00B431B6" w:rsidRPr="00B95EBB" w:rsidRDefault="00B431B6" w:rsidP="00B95EBB">
            <w:r w:rsidRPr="00B95EBB">
              <w:t>2017–18</w:t>
            </w:r>
          </w:p>
        </w:tc>
        <w:tc>
          <w:tcPr>
            <w:tcW w:w="643" w:type="pct"/>
            <w:noWrap/>
            <w:hideMark/>
          </w:tcPr>
          <w:p w:rsidR="00B431B6" w:rsidRPr="00B95EBB" w:rsidRDefault="00B431B6" w:rsidP="00B95EBB">
            <w:r w:rsidRPr="00B95EBB">
              <w:t>2018–19</w:t>
            </w:r>
          </w:p>
        </w:tc>
      </w:tr>
      <w:tr w:rsidR="00B95EBB" w:rsidRPr="009A02C6" w:rsidTr="00B95EBB">
        <w:trPr>
          <w:trHeight w:val="298"/>
        </w:trPr>
        <w:tc>
          <w:tcPr>
            <w:tcW w:w="1632" w:type="pct"/>
            <w:gridSpan w:val="2"/>
            <w:noWrap/>
          </w:tcPr>
          <w:p w:rsidR="00B95EBB" w:rsidRPr="00B95EBB" w:rsidRDefault="00B95EBB" w:rsidP="00B95EBB">
            <w:pPr>
              <w:rPr>
                <w:rStyle w:val="Strong"/>
              </w:rPr>
            </w:pPr>
            <w:proofErr w:type="spellStart"/>
            <w:r w:rsidRPr="00B95EBB">
              <w:rPr>
                <w:rStyle w:val="Strong"/>
              </w:rPr>
              <w:t>Ausgrid</w:t>
            </w:r>
            <w:proofErr w:type="spellEnd"/>
            <w:r w:rsidRPr="00B95EBB">
              <w:rPr>
                <w:rStyle w:val="Strong"/>
              </w:rPr>
              <w:t xml:space="preserve"> revised proposal</w:t>
            </w:r>
          </w:p>
        </w:tc>
        <w:tc>
          <w:tcPr>
            <w:tcW w:w="661" w:type="pct"/>
            <w:noWrap/>
            <w:vAlign w:val="top"/>
          </w:tcPr>
          <w:p w:rsidR="00B95EBB" w:rsidRPr="003E2E56" w:rsidRDefault="00B95EBB" w:rsidP="003E2E56">
            <w:pPr>
              <w:pStyle w:val="AERtabletextright"/>
              <w:rPr>
                <w:rStyle w:val="AERtextsize8"/>
              </w:rPr>
            </w:pPr>
          </w:p>
        </w:tc>
        <w:tc>
          <w:tcPr>
            <w:tcW w:w="742" w:type="pct"/>
            <w:noWrap/>
            <w:vAlign w:val="top"/>
          </w:tcPr>
          <w:p w:rsidR="00B95EBB" w:rsidRPr="003E2E56" w:rsidRDefault="00B95EBB" w:rsidP="003E2E56">
            <w:pPr>
              <w:pStyle w:val="AERtabletextright"/>
              <w:rPr>
                <w:rStyle w:val="AERtextsize8"/>
              </w:rPr>
            </w:pPr>
          </w:p>
        </w:tc>
        <w:tc>
          <w:tcPr>
            <w:tcW w:w="661" w:type="pct"/>
            <w:noWrap/>
            <w:vAlign w:val="top"/>
          </w:tcPr>
          <w:p w:rsidR="00B95EBB" w:rsidRPr="003E2E56" w:rsidRDefault="00B95EBB" w:rsidP="003E2E56">
            <w:pPr>
              <w:pStyle w:val="AERtabletextright"/>
              <w:rPr>
                <w:rStyle w:val="AERtextsize8"/>
              </w:rPr>
            </w:pPr>
          </w:p>
        </w:tc>
        <w:tc>
          <w:tcPr>
            <w:tcW w:w="660" w:type="pct"/>
            <w:noWrap/>
            <w:vAlign w:val="top"/>
          </w:tcPr>
          <w:p w:rsidR="00B95EBB" w:rsidRPr="003E2E56" w:rsidRDefault="00B95EBB" w:rsidP="003E2E56">
            <w:pPr>
              <w:pStyle w:val="AERtabletextright"/>
              <w:rPr>
                <w:rStyle w:val="AERtextsize8"/>
              </w:rPr>
            </w:pPr>
          </w:p>
        </w:tc>
        <w:tc>
          <w:tcPr>
            <w:tcW w:w="643" w:type="pct"/>
            <w:noWrap/>
            <w:vAlign w:val="top"/>
          </w:tcPr>
          <w:p w:rsidR="00B95EBB" w:rsidRPr="003E2E56" w:rsidRDefault="00B95EBB" w:rsidP="003E2E56">
            <w:pPr>
              <w:pStyle w:val="AERtabletextright"/>
              <w:rPr>
                <w:rStyle w:val="AERtextsize8"/>
              </w:rPr>
            </w:pPr>
          </w:p>
        </w:tc>
      </w:tr>
      <w:tr w:rsidR="00B95EBB" w:rsidRPr="009A02C6" w:rsidTr="00B95EBB">
        <w:trPr>
          <w:cnfStyle w:val="000000010000" w:firstRow="0" w:lastRow="0" w:firstColumn="0" w:lastColumn="0" w:oddVBand="0" w:evenVBand="0" w:oddHBand="0" w:evenHBand="1" w:firstRowFirstColumn="0" w:firstRowLastColumn="0" w:lastRowFirstColumn="0" w:lastRowLastColumn="0"/>
          <w:trHeight w:val="298"/>
        </w:trPr>
        <w:tc>
          <w:tcPr>
            <w:tcW w:w="1137" w:type="pct"/>
            <w:noWrap/>
            <w:hideMark/>
          </w:tcPr>
          <w:p w:rsidR="00B431B6" w:rsidRPr="009A02C6" w:rsidRDefault="00B431B6" w:rsidP="009A02C6">
            <w:r w:rsidRPr="009A02C6">
              <w:t xml:space="preserve">Residential annual </w:t>
            </w:r>
            <w:proofErr w:type="spellStart"/>
            <w:r w:rsidRPr="009A02C6">
              <w:t>bill</w:t>
            </w:r>
            <w:r w:rsidRPr="009E052A">
              <w:rPr>
                <w:rStyle w:val="AERsuperscript"/>
              </w:rPr>
              <w:t>a</w:t>
            </w:r>
            <w:proofErr w:type="spellEnd"/>
          </w:p>
        </w:tc>
        <w:tc>
          <w:tcPr>
            <w:tcW w:w="495" w:type="pct"/>
            <w:noWrap/>
            <w:vAlign w:val="top"/>
          </w:tcPr>
          <w:p w:rsidR="00B431B6" w:rsidRPr="003E2E56" w:rsidRDefault="00B431B6" w:rsidP="00E63959">
            <w:pPr>
              <w:pStyle w:val="AERtabletextright"/>
              <w:rPr>
                <w:rStyle w:val="AERtextsize8"/>
              </w:rPr>
            </w:pPr>
            <w:r w:rsidRPr="003E2E56">
              <w:rPr>
                <w:rStyle w:val="AERtextsize8"/>
              </w:rPr>
              <w:t>2106</w:t>
            </w:r>
          </w:p>
        </w:tc>
        <w:tc>
          <w:tcPr>
            <w:tcW w:w="661" w:type="pct"/>
            <w:noWrap/>
            <w:vAlign w:val="top"/>
          </w:tcPr>
          <w:p w:rsidR="00B431B6" w:rsidRPr="003E2E56" w:rsidRDefault="00B431B6" w:rsidP="003E2E56">
            <w:pPr>
              <w:pStyle w:val="AERtabletextright"/>
              <w:rPr>
                <w:rStyle w:val="AERtextsize8"/>
              </w:rPr>
            </w:pPr>
            <w:r w:rsidRPr="003E2E56">
              <w:rPr>
                <w:rStyle w:val="AERtextsize8"/>
              </w:rPr>
              <w:t>20</w:t>
            </w:r>
            <w:r w:rsidR="006F2C2C" w:rsidRPr="003E2E56">
              <w:rPr>
                <w:rStyle w:val="AERtextsize8"/>
              </w:rPr>
              <w:t>59</w:t>
            </w:r>
          </w:p>
        </w:tc>
        <w:tc>
          <w:tcPr>
            <w:tcW w:w="742" w:type="pct"/>
            <w:noWrap/>
            <w:vAlign w:val="top"/>
          </w:tcPr>
          <w:p w:rsidR="00B431B6" w:rsidRPr="003E2E56" w:rsidRDefault="00B431B6" w:rsidP="003E2E56">
            <w:pPr>
              <w:pStyle w:val="AERtabletextright"/>
              <w:rPr>
                <w:rStyle w:val="AERtextsize8"/>
              </w:rPr>
            </w:pPr>
            <w:r w:rsidRPr="003E2E56">
              <w:rPr>
                <w:rStyle w:val="AERtextsize8"/>
              </w:rPr>
              <w:t>213</w:t>
            </w:r>
            <w:r w:rsidR="006F2C2C" w:rsidRPr="003E2E56">
              <w:rPr>
                <w:rStyle w:val="AERtextsize8"/>
              </w:rPr>
              <w:t>8</w:t>
            </w:r>
          </w:p>
        </w:tc>
        <w:tc>
          <w:tcPr>
            <w:tcW w:w="661" w:type="pct"/>
            <w:noWrap/>
            <w:vAlign w:val="top"/>
          </w:tcPr>
          <w:p w:rsidR="00B431B6" w:rsidRPr="003E2E56" w:rsidRDefault="00B431B6" w:rsidP="003E2E56">
            <w:pPr>
              <w:pStyle w:val="AERtabletextright"/>
              <w:rPr>
                <w:rStyle w:val="AERtextsize8"/>
              </w:rPr>
            </w:pPr>
            <w:r w:rsidRPr="003E2E56">
              <w:rPr>
                <w:rStyle w:val="AERtextsize8"/>
              </w:rPr>
              <w:t>215</w:t>
            </w:r>
            <w:r w:rsidR="006F2C2C" w:rsidRPr="003E2E56">
              <w:rPr>
                <w:rStyle w:val="AERtextsize8"/>
              </w:rPr>
              <w:t>9</w:t>
            </w:r>
          </w:p>
        </w:tc>
        <w:tc>
          <w:tcPr>
            <w:tcW w:w="660" w:type="pct"/>
            <w:noWrap/>
            <w:vAlign w:val="top"/>
          </w:tcPr>
          <w:p w:rsidR="00B431B6" w:rsidRPr="003E2E56" w:rsidRDefault="00B431B6" w:rsidP="003E2E56">
            <w:pPr>
              <w:pStyle w:val="AERtabletextright"/>
              <w:rPr>
                <w:rStyle w:val="AERtextsize8"/>
              </w:rPr>
            </w:pPr>
            <w:r w:rsidRPr="003E2E56">
              <w:rPr>
                <w:rStyle w:val="AERtextsize8"/>
              </w:rPr>
              <w:t>21</w:t>
            </w:r>
            <w:r w:rsidR="006F2C2C" w:rsidRPr="003E2E56">
              <w:rPr>
                <w:rStyle w:val="AERtextsize8"/>
              </w:rPr>
              <w:t>77</w:t>
            </w:r>
          </w:p>
        </w:tc>
        <w:tc>
          <w:tcPr>
            <w:tcW w:w="643" w:type="pct"/>
            <w:noWrap/>
            <w:vAlign w:val="top"/>
          </w:tcPr>
          <w:p w:rsidR="00B431B6" w:rsidRPr="003E2E56" w:rsidRDefault="00B431B6" w:rsidP="003E2E56">
            <w:pPr>
              <w:pStyle w:val="AERtabletextright"/>
              <w:rPr>
                <w:rStyle w:val="AERtextsize8"/>
              </w:rPr>
            </w:pPr>
            <w:r w:rsidRPr="003E2E56">
              <w:rPr>
                <w:rStyle w:val="AERtextsize8"/>
              </w:rPr>
              <w:t>21</w:t>
            </w:r>
            <w:r w:rsidR="006F2C2C" w:rsidRPr="003E2E56">
              <w:rPr>
                <w:rStyle w:val="AERtextsize8"/>
              </w:rPr>
              <w:t>96</w:t>
            </w:r>
          </w:p>
        </w:tc>
      </w:tr>
      <w:tr w:rsidR="00B95EBB" w:rsidRPr="009A02C6" w:rsidTr="00B95EBB">
        <w:trPr>
          <w:trHeight w:val="298"/>
        </w:trPr>
        <w:tc>
          <w:tcPr>
            <w:tcW w:w="1137" w:type="pct"/>
            <w:noWrap/>
            <w:hideMark/>
          </w:tcPr>
          <w:p w:rsidR="00B431B6" w:rsidRPr="009A02C6" w:rsidRDefault="00B431B6" w:rsidP="009A02C6">
            <w:r w:rsidRPr="009A02C6">
              <w:t>Annual change</w:t>
            </w:r>
          </w:p>
        </w:tc>
        <w:tc>
          <w:tcPr>
            <w:tcW w:w="495" w:type="pct"/>
            <w:noWrap/>
            <w:vAlign w:val="top"/>
          </w:tcPr>
          <w:p w:rsidR="00B431B6" w:rsidRPr="003E2E56" w:rsidRDefault="00B431B6" w:rsidP="003E2E56">
            <w:pPr>
              <w:pStyle w:val="AERtabletextright"/>
              <w:rPr>
                <w:rStyle w:val="AERtextsize8"/>
              </w:rPr>
            </w:pPr>
          </w:p>
        </w:tc>
        <w:tc>
          <w:tcPr>
            <w:tcW w:w="661" w:type="pct"/>
            <w:noWrap/>
            <w:vAlign w:val="top"/>
          </w:tcPr>
          <w:p w:rsidR="00B431B6" w:rsidRPr="003E2E56" w:rsidRDefault="00B431B6" w:rsidP="00B95EBB">
            <w:pPr>
              <w:pStyle w:val="AERtabletextright"/>
              <w:rPr>
                <w:rStyle w:val="AERtextsize8"/>
              </w:rPr>
            </w:pPr>
            <w:r w:rsidRPr="003E2E56">
              <w:rPr>
                <w:rStyle w:val="AERtextsize8"/>
              </w:rPr>
              <w:t>–</w:t>
            </w:r>
            <w:r w:rsidR="006F2C2C" w:rsidRPr="003E2E56">
              <w:rPr>
                <w:rStyle w:val="AERtextsize8"/>
              </w:rPr>
              <w:t>47</w:t>
            </w:r>
            <w:r w:rsidR="00B95EBB">
              <w:rPr>
                <w:rStyle w:val="AERtextsize8"/>
              </w:rPr>
              <w:t xml:space="preserve"> </w:t>
            </w:r>
            <w:r w:rsidRPr="003E2E56">
              <w:rPr>
                <w:rStyle w:val="AERtextsize8"/>
              </w:rPr>
              <w:t>(–</w:t>
            </w:r>
            <w:r w:rsidR="00FA56A2" w:rsidRPr="003E2E56">
              <w:rPr>
                <w:rStyle w:val="AERtextsize8"/>
              </w:rPr>
              <w:t>2.2</w:t>
            </w:r>
            <w:r w:rsidRPr="003E2E56">
              <w:rPr>
                <w:rStyle w:val="AERtextsize8"/>
              </w:rPr>
              <w:t>%)</w:t>
            </w:r>
          </w:p>
        </w:tc>
        <w:tc>
          <w:tcPr>
            <w:tcW w:w="742" w:type="pct"/>
            <w:noWrap/>
            <w:vAlign w:val="top"/>
          </w:tcPr>
          <w:p w:rsidR="00B431B6" w:rsidRPr="003E2E56" w:rsidRDefault="00FA56A2" w:rsidP="00B95EBB">
            <w:pPr>
              <w:pStyle w:val="AERtabletextright"/>
              <w:rPr>
                <w:rStyle w:val="AERtextsize8"/>
              </w:rPr>
            </w:pPr>
            <w:r w:rsidRPr="003E2E56">
              <w:rPr>
                <w:rStyle w:val="AERtextsize8"/>
              </w:rPr>
              <w:t>79</w:t>
            </w:r>
            <w:r w:rsidR="00B95EBB">
              <w:rPr>
                <w:rStyle w:val="AERtextsize8"/>
              </w:rPr>
              <w:t xml:space="preserve"> </w:t>
            </w:r>
            <w:r w:rsidR="00B431B6" w:rsidRPr="003E2E56">
              <w:rPr>
                <w:rStyle w:val="AERtextsize8"/>
              </w:rPr>
              <w:t>(</w:t>
            </w:r>
            <w:r w:rsidRPr="003E2E56">
              <w:rPr>
                <w:rStyle w:val="AERtextsize8"/>
              </w:rPr>
              <w:t>3.8</w:t>
            </w:r>
            <w:r w:rsidR="00B431B6" w:rsidRPr="003E2E56">
              <w:rPr>
                <w:rStyle w:val="AERtextsize8"/>
              </w:rPr>
              <w:t>%)</w:t>
            </w:r>
          </w:p>
        </w:tc>
        <w:tc>
          <w:tcPr>
            <w:tcW w:w="661" w:type="pct"/>
            <w:noWrap/>
            <w:vAlign w:val="top"/>
          </w:tcPr>
          <w:p w:rsidR="00B431B6" w:rsidRPr="003E2E56" w:rsidRDefault="00FA56A2" w:rsidP="00B95EBB">
            <w:pPr>
              <w:pStyle w:val="AERtabletextright"/>
              <w:rPr>
                <w:rStyle w:val="AERtextsize8"/>
              </w:rPr>
            </w:pPr>
            <w:r w:rsidRPr="003E2E56">
              <w:rPr>
                <w:rStyle w:val="AERtextsize8"/>
              </w:rPr>
              <w:t>21</w:t>
            </w:r>
            <w:r w:rsidR="00B95EBB">
              <w:rPr>
                <w:rStyle w:val="AERtextsize8"/>
              </w:rPr>
              <w:t xml:space="preserve"> </w:t>
            </w:r>
            <w:r w:rsidR="00B431B6" w:rsidRPr="003E2E56">
              <w:rPr>
                <w:rStyle w:val="AERtextsize8"/>
              </w:rPr>
              <w:t>(</w:t>
            </w:r>
            <w:r w:rsidRPr="003E2E56">
              <w:rPr>
                <w:rStyle w:val="AERtextsize8"/>
              </w:rPr>
              <w:t>1.0</w:t>
            </w:r>
            <w:r w:rsidR="00B431B6" w:rsidRPr="003E2E56">
              <w:rPr>
                <w:rStyle w:val="AERtextsize8"/>
              </w:rPr>
              <w:t>%)</w:t>
            </w:r>
          </w:p>
        </w:tc>
        <w:tc>
          <w:tcPr>
            <w:tcW w:w="660" w:type="pct"/>
            <w:noWrap/>
            <w:vAlign w:val="top"/>
          </w:tcPr>
          <w:p w:rsidR="00B431B6" w:rsidRPr="003E2E56" w:rsidRDefault="00FA56A2" w:rsidP="00B95EBB">
            <w:pPr>
              <w:pStyle w:val="AERtabletextright"/>
              <w:rPr>
                <w:rStyle w:val="AERtextsize8"/>
              </w:rPr>
            </w:pPr>
            <w:r w:rsidRPr="003E2E56">
              <w:rPr>
                <w:rStyle w:val="AERtextsize8"/>
              </w:rPr>
              <w:t>18</w:t>
            </w:r>
            <w:r w:rsidR="00B95EBB">
              <w:rPr>
                <w:rStyle w:val="AERtextsize8"/>
              </w:rPr>
              <w:t xml:space="preserve"> </w:t>
            </w:r>
            <w:r w:rsidR="00B431B6" w:rsidRPr="003E2E56">
              <w:rPr>
                <w:rStyle w:val="AERtextsize8"/>
              </w:rPr>
              <w:t>(0.</w:t>
            </w:r>
            <w:r w:rsidRPr="003E2E56">
              <w:rPr>
                <w:rStyle w:val="AERtextsize8"/>
              </w:rPr>
              <w:t>8</w:t>
            </w:r>
            <w:r w:rsidR="00B431B6" w:rsidRPr="003E2E56">
              <w:rPr>
                <w:rStyle w:val="AERtextsize8"/>
              </w:rPr>
              <w:t>%)</w:t>
            </w:r>
          </w:p>
        </w:tc>
        <w:tc>
          <w:tcPr>
            <w:tcW w:w="643" w:type="pct"/>
            <w:noWrap/>
            <w:vAlign w:val="top"/>
          </w:tcPr>
          <w:p w:rsidR="00B431B6" w:rsidRPr="003E2E56" w:rsidRDefault="00FA56A2" w:rsidP="00B95EBB">
            <w:pPr>
              <w:pStyle w:val="AERtabletextright"/>
              <w:rPr>
                <w:rStyle w:val="AERtextsize8"/>
              </w:rPr>
            </w:pPr>
            <w:r w:rsidRPr="003E2E56">
              <w:rPr>
                <w:rStyle w:val="AERtextsize8"/>
              </w:rPr>
              <w:t>1</w:t>
            </w:r>
            <w:r w:rsidR="00B431B6" w:rsidRPr="003E2E56">
              <w:rPr>
                <w:rStyle w:val="AERtextsize8"/>
              </w:rPr>
              <w:t>9</w:t>
            </w:r>
            <w:r w:rsidR="00B95EBB">
              <w:rPr>
                <w:rStyle w:val="AERtextsize8"/>
              </w:rPr>
              <w:t xml:space="preserve"> </w:t>
            </w:r>
            <w:r w:rsidR="00B431B6" w:rsidRPr="003E2E56">
              <w:rPr>
                <w:rStyle w:val="AERtextsize8"/>
              </w:rPr>
              <w:t>(0.</w:t>
            </w:r>
            <w:r w:rsidRPr="003E2E56">
              <w:rPr>
                <w:rStyle w:val="AERtextsize8"/>
              </w:rPr>
              <w:t>9</w:t>
            </w:r>
            <w:r w:rsidR="00B431B6" w:rsidRPr="003E2E56">
              <w:rPr>
                <w:rStyle w:val="AERtextsize8"/>
              </w:rPr>
              <w:t>%)</w:t>
            </w:r>
          </w:p>
        </w:tc>
      </w:tr>
      <w:tr w:rsidR="00B95EBB" w:rsidRPr="009A02C6" w:rsidTr="00B95EBB">
        <w:trPr>
          <w:cnfStyle w:val="000000010000" w:firstRow="0" w:lastRow="0" w:firstColumn="0" w:lastColumn="0" w:oddVBand="0" w:evenVBand="0" w:oddHBand="0" w:evenHBand="1" w:firstRowFirstColumn="0" w:firstRowLastColumn="0" w:lastRowFirstColumn="0" w:lastRowLastColumn="0"/>
          <w:trHeight w:val="298"/>
        </w:trPr>
        <w:tc>
          <w:tcPr>
            <w:tcW w:w="1137" w:type="pct"/>
            <w:noWrap/>
            <w:hideMark/>
          </w:tcPr>
          <w:p w:rsidR="00B431B6" w:rsidRPr="009A02C6" w:rsidRDefault="00B431B6" w:rsidP="009A02C6">
            <w:r w:rsidRPr="009A02C6">
              <w:t xml:space="preserve">Small business annual </w:t>
            </w:r>
            <w:proofErr w:type="spellStart"/>
            <w:r w:rsidRPr="009A02C6">
              <w:t>bill</w:t>
            </w:r>
            <w:r w:rsidRPr="009E052A">
              <w:rPr>
                <w:rStyle w:val="AERsuperscript"/>
              </w:rPr>
              <w:t>b</w:t>
            </w:r>
            <w:proofErr w:type="spellEnd"/>
          </w:p>
        </w:tc>
        <w:tc>
          <w:tcPr>
            <w:tcW w:w="495" w:type="pct"/>
            <w:noWrap/>
            <w:vAlign w:val="top"/>
          </w:tcPr>
          <w:p w:rsidR="00B431B6" w:rsidRPr="003E2E56" w:rsidRDefault="00B431B6" w:rsidP="00E63959">
            <w:pPr>
              <w:pStyle w:val="AERtabletextright"/>
              <w:rPr>
                <w:rStyle w:val="AERtextsize8"/>
              </w:rPr>
            </w:pPr>
            <w:r w:rsidRPr="003E2E56">
              <w:rPr>
                <w:rStyle w:val="AERtextsize8"/>
              </w:rPr>
              <w:t>3374</w:t>
            </w:r>
          </w:p>
        </w:tc>
        <w:tc>
          <w:tcPr>
            <w:tcW w:w="661" w:type="pct"/>
            <w:noWrap/>
            <w:vAlign w:val="top"/>
          </w:tcPr>
          <w:p w:rsidR="00B431B6" w:rsidRPr="003E2E56" w:rsidRDefault="00FA56A2" w:rsidP="003E2E56">
            <w:pPr>
              <w:pStyle w:val="AERtabletextright"/>
              <w:rPr>
                <w:rStyle w:val="AERtextsize8"/>
              </w:rPr>
            </w:pPr>
            <w:r w:rsidRPr="003E2E56">
              <w:rPr>
                <w:rStyle w:val="AERtextsize8"/>
              </w:rPr>
              <w:t>3299</w:t>
            </w:r>
          </w:p>
        </w:tc>
        <w:tc>
          <w:tcPr>
            <w:tcW w:w="742" w:type="pct"/>
            <w:noWrap/>
            <w:vAlign w:val="top"/>
          </w:tcPr>
          <w:p w:rsidR="00B431B6" w:rsidRPr="003E2E56" w:rsidRDefault="00B431B6" w:rsidP="003E2E56">
            <w:pPr>
              <w:pStyle w:val="AERtabletextright"/>
              <w:rPr>
                <w:rStyle w:val="AERtextsize8"/>
              </w:rPr>
            </w:pPr>
            <w:r w:rsidRPr="003E2E56">
              <w:rPr>
                <w:rStyle w:val="AERtextsize8"/>
              </w:rPr>
              <w:t>342</w:t>
            </w:r>
            <w:r w:rsidR="00FA56A2" w:rsidRPr="003E2E56">
              <w:rPr>
                <w:rStyle w:val="AERtextsize8"/>
              </w:rPr>
              <w:t>6</w:t>
            </w:r>
          </w:p>
        </w:tc>
        <w:tc>
          <w:tcPr>
            <w:tcW w:w="661" w:type="pct"/>
            <w:noWrap/>
            <w:vAlign w:val="top"/>
          </w:tcPr>
          <w:p w:rsidR="00B431B6" w:rsidRPr="003E2E56" w:rsidRDefault="00B431B6" w:rsidP="003E2E56">
            <w:pPr>
              <w:pStyle w:val="AERtabletextright"/>
              <w:rPr>
                <w:rStyle w:val="AERtextsize8"/>
              </w:rPr>
            </w:pPr>
            <w:r w:rsidRPr="003E2E56">
              <w:rPr>
                <w:rStyle w:val="AERtextsize8"/>
              </w:rPr>
              <w:t>345</w:t>
            </w:r>
            <w:r w:rsidR="00FA56A2" w:rsidRPr="003E2E56">
              <w:rPr>
                <w:rStyle w:val="AERtextsize8"/>
              </w:rPr>
              <w:t>9</w:t>
            </w:r>
          </w:p>
        </w:tc>
        <w:tc>
          <w:tcPr>
            <w:tcW w:w="660" w:type="pct"/>
            <w:noWrap/>
            <w:vAlign w:val="top"/>
          </w:tcPr>
          <w:p w:rsidR="00B431B6" w:rsidRPr="003E2E56" w:rsidRDefault="00B431B6" w:rsidP="003E2E56">
            <w:pPr>
              <w:pStyle w:val="AERtabletextright"/>
              <w:rPr>
                <w:rStyle w:val="AERtextsize8"/>
              </w:rPr>
            </w:pPr>
            <w:r w:rsidRPr="003E2E56">
              <w:rPr>
                <w:rStyle w:val="AERtextsize8"/>
              </w:rPr>
              <w:t>34</w:t>
            </w:r>
            <w:r w:rsidR="00FA56A2" w:rsidRPr="003E2E56">
              <w:rPr>
                <w:rStyle w:val="AERtextsize8"/>
              </w:rPr>
              <w:t>88</w:t>
            </w:r>
          </w:p>
        </w:tc>
        <w:tc>
          <w:tcPr>
            <w:tcW w:w="643" w:type="pct"/>
            <w:noWrap/>
            <w:vAlign w:val="top"/>
          </w:tcPr>
          <w:p w:rsidR="00B431B6" w:rsidRPr="003E2E56" w:rsidRDefault="00B431B6" w:rsidP="003E2E56">
            <w:pPr>
              <w:pStyle w:val="AERtabletextright"/>
              <w:rPr>
                <w:rStyle w:val="AERtextsize8"/>
              </w:rPr>
            </w:pPr>
            <w:r w:rsidRPr="003E2E56">
              <w:rPr>
                <w:rStyle w:val="AERtextsize8"/>
              </w:rPr>
              <w:t>3</w:t>
            </w:r>
            <w:r w:rsidR="00FA56A2" w:rsidRPr="003E2E56">
              <w:rPr>
                <w:rStyle w:val="AERtextsize8"/>
              </w:rPr>
              <w:t>51</w:t>
            </w:r>
            <w:r w:rsidRPr="003E2E56">
              <w:rPr>
                <w:rStyle w:val="AERtextsize8"/>
              </w:rPr>
              <w:t>8</w:t>
            </w:r>
          </w:p>
        </w:tc>
      </w:tr>
      <w:tr w:rsidR="00B95EBB" w:rsidRPr="009A02C6" w:rsidTr="00B95EBB">
        <w:trPr>
          <w:trHeight w:val="298"/>
        </w:trPr>
        <w:tc>
          <w:tcPr>
            <w:tcW w:w="1137" w:type="pct"/>
            <w:noWrap/>
            <w:hideMark/>
          </w:tcPr>
          <w:p w:rsidR="00B431B6" w:rsidRPr="009A02C6" w:rsidRDefault="00B431B6" w:rsidP="009A02C6">
            <w:r w:rsidRPr="009A02C6">
              <w:t>Annual change</w:t>
            </w:r>
          </w:p>
        </w:tc>
        <w:tc>
          <w:tcPr>
            <w:tcW w:w="495" w:type="pct"/>
            <w:noWrap/>
            <w:vAlign w:val="top"/>
          </w:tcPr>
          <w:p w:rsidR="00B431B6" w:rsidRPr="003E2E56" w:rsidRDefault="00B431B6" w:rsidP="003E2E56">
            <w:pPr>
              <w:pStyle w:val="AERtabletextright"/>
              <w:rPr>
                <w:rStyle w:val="AERtextsize8"/>
              </w:rPr>
            </w:pPr>
          </w:p>
        </w:tc>
        <w:tc>
          <w:tcPr>
            <w:tcW w:w="661" w:type="pct"/>
            <w:noWrap/>
            <w:vAlign w:val="top"/>
          </w:tcPr>
          <w:p w:rsidR="00B431B6" w:rsidRPr="003E2E56" w:rsidRDefault="00B431B6" w:rsidP="00B95EBB">
            <w:pPr>
              <w:pStyle w:val="AERtabletextright"/>
              <w:rPr>
                <w:rStyle w:val="AERtextsize8"/>
              </w:rPr>
            </w:pPr>
            <w:r w:rsidRPr="003E2E56">
              <w:rPr>
                <w:rStyle w:val="AERtextsize8"/>
              </w:rPr>
              <w:t>–</w:t>
            </w:r>
            <w:r w:rsidR="00FA56A2" w:rsidRPr="003E2E56">
              <w:rPr>
                <w:rStyle w:val="AERtextsize8"/>
              </w:rPr>
              <w:t>75</w:t>
            </w:r>
            <w:r w:rsidR="00B95EBB">
              <w:rPr>
                <w:rStyle w:val="AERtextsize8"/>
              </w:rPr>
              <w:t xml:space="preserve"> </w:t>
            </w:r>
            <w:r w:rsidRPr="003E2E56">
              <w:rPr>
                <w:rStyle w:val="AERtextsize8"/>
              </w:rPr>
              <w:t>(–</w:t>
            </w:r>
            <w:r w:rsidR="00FA56A2" w:rsidRPr="003E2E56">
              <w:rPr>
                <w:rStyle w:val="AERtextsize8"/>
              </w:rPr>
              <w:t>2</w:t>
            </w:r>
            <w:r w:rsidRPr="003E2E56">
              <w:rPr>
                <w:rStyle w:val="AERtextsize8"/>
              </w:rPr>
              <w:t>.2%)</w:t>
            </w:r>
          </w:p>
        </w:tc>
        <w:tc>
          <w:tcPr>
            <w:tcW w:w="742" w:type="pct"/>
            <w:noWrap/>
            <w:vAlign w:val="top"/>
          </w:tcPr>
          <w:p w:rsidR="00B431B6" w:rsidRPr="003E2E56" w:rsidRDefault="00FA56A2" w:rsidP="00B95EBB">
            <w:pPr>
              <w:pStyle w:val="AERtabletextright"/>
              <w:rPr>
                <w:rStyle w:val="AERtextsize8"/>
              </w:rPr>
            </w:pPr>
            <w:r w:rsidRPr="003E2E56">
              <w:rPr>
                <w:rStyle w:val="AERtextsize8"/>
              </w:rPr>
              <w:t>127</w:t>
            </w:r>
            <w:r w:rsidR="00B431B6" w:rsidRPr="003E2E56">
              <w:rPr>
                <w:rStyle w:val="AERtextsize8"/>
              </w:rPr>
              <w:t xml:space="preserve"> (</w:t>
            </w:r>
            <w:r w:rsidRPr="003E2E56">
              <w:rPr>
                <w:rStyle w:val="AERtextsize8"/>
              </w:rPr>
              <w:t>3.8</w:t>
            </w:r>
            <w:r w:rsidR="00B431B6" w:rsidRPr="003E2E56">
              <w:rPr>
                <w:rStyle w:val="AERtextsize8"/>
              </w:rPr>
              <w:t>%)</w:t>
            </w:r>
          </w:p>
        </w:tc>
        <w:tc>
          <w:tcPr>
            <w:tcW w:w="661" w:type="pct"/>
            <w:noWrap/>
            <w:vAlign w:val="top"/>
          </w:tcPr>
          <w:p w:rsidR="00B431B6" w:rsidRPr="003E2E56" w:rsidRDefault="00FA56A2" w:rsidP="00B95EBB">
            <w:pPr>
              <w:pStyle w:val="AERtabletextright"/>
              <w:rPr>
                <w:rStyle w:val="AERtextsize8"/>
              </w:rPr>
            </w:pPr>
            <w:r w:rsidRPr="003E2E56">
              <w:rPr>
                <w:rStyle w:val="AERtextsize8"/>
              </w:rPr>
              <w:t>34</w:t>
            </w:r>
            <w:r w:rsidR="00B95EBB">
              <w:rPr>
                <w:rStyle w:val="AERtextsize8"/>
              </w:rPr>
              <w:t xml:space="preserve"> </w:t>
            </w:r>
            <w:r w:rsidR="00B431B6" w:rsidRPr="003E2E56">
              <w:rPr>
                <w:rStyle w:val="AERtextsize8"/>
              </w:rPr>
              <w:t>(</w:t>
            </w:r>
            <w:r w:rsidRPr="003E2E56">
              <w:rPr>
                <w:rStyle w:val="AERtextsize8"/>
              </w:rPr>
              <w:t>1.0</w:t>
            </w:r>
            <w:r w:rsidR="00B431B6" w:rsidRPr="003E2E56">
              <w:rPr>
                <w:rStyle w:val="AERtextsize8"/>
              </w:rPr>
              <w:t>%)</w:t>
            </w:r>
          </w:p>
        </w:tc>
        <w:tc>
          <w:tcPr>
            <w:tcW w:w="660" w:type="pct"/>
            <w:noWrap/>
            <w:vAlign w:val="top"/>
          </w:tcPr>
          <w:p w:rsidR="00B431B6" w:rsidRPr="003E2E56" w:rsidRDefault="00FA56A2" w:rsidP="00B95EBB">
            <w:pPr>
              <w:pStyle w:val="AERtabletextright"/>
              <w:rPr>
                <w:rStyle w:val="AERtextsize8"/>
              </w:rPr>
            </w:pPr>
            <w:r w:rsidRPr="003E2E56">
              <w:rPr>
                <w:rStyle w:val="AERtextsize8"/>
              </w:rPr>
              <w:t>29</w:t>
            </w:r>
            <w:r w:rsidR="00B431B6" w:rsidRPr="003E2E56">
              <w:rPr>
                <w:rStyle w:val="AERtextsize8"/>
              </w:rPr>
              <w:t xml:space="preserve"> (0.</w:t>
            </w:r>
            <w:r w:rsidRPr="003E2E56">
              <w:rPr>
                <w:rStyle w:val="AERtextsize8"/>
              </w:rPr>
              <w:t>8</w:t>
            </w:r>
            <w:r w:rsidR="00B431B6" w:rsidRPr="003E2E56">
              <w:rPr>
                <w:rStyle w:val="AERtextsize8"/>
              </w:rPr>
              <w:t>%)</w:t>
            </w:r>
          </w:p>
        </w:tc>
        <w:tc>
          <w:tcPr>
            <w:tcW w:w="643" w:type="pct"/>
            <w:noWrap/>
            <w:vAlign w:val="top"/>
          </w:tcPr>
          <w:p w:rsidR="00B431B6" w:rsidRPr="003E2E56" w:rsidRDefault="00FA56A2" w:rsidP="00B95EBB">
            <w:pPr>
              <w:pStyle w:val="AERtabletextright"/>
              <w:rPr>
                <w:rStyle w:val="AERtextsize8"/>
              </w:rPr>
            </w:pPr>
            <w:r w:rsidRPr="003E2E56">
              <w:rPr>
                <w:rStyle w:val="AERtextsize8"/>
              </w:rPr>
              <w:t>30</w:t>
            </w:r>
            <w:r w:rsidR="00B95EBB">
              <w:rPr>
                <w:rStyle w:val="AERtextsize8"/>
              </w:rPr>
              <w:t xml:space="preserve"> </w:t>
            </w:r>
            <w:r w:rsidR="00B431B6" w:rsidRPr="003E2E56">
              <w:rPr>
                <w:rStyle w:val="AERtextsize8"/>
              </w:rPr>
              <w:t>(0.</w:t>
            </w:r>
            <w:r w:rsidRPr="003E2E56">
              <w:rPr>
                <w:rStyle w:val="AERtextsize8"/>
              </w:rPr>
              <w:t>9</w:t>
            </w:r>
            <w:r w:rsidR="00B431B6" w:rsidRPr="003E2E56">
              <w:rPr>
                <w:rStyle w:val="AERtextsize8"/>
              </w:rPr>
              <w:t>%)</w:t>
            </w:r>
          </w:p>
        </w:tc>
      </w:tr>
      <w:tr w:rsidR="00B95EBB" w:rsidRPr="009A02C6" w:rsidTr="00B95EBB">
        <w:trPr>
          <w:cnfStyle w:val="000000010000" w:firstRow="0" w:lastRow="0" w:firstColumn="0" w:lastColumn="0" w:oddVBand="0" w:evenVBand="0" w:oddHBand="0" w:evenHBand="1" w:firstRowFirstColumn="0" w:firstRowLastColumn="0" w:lastRowFirstColumn="0" w:lastRowLastColumn="0"/>
          <w:trHeight w:val="298"/>
        </w:trPr>
        <w:tc>
          <w:tcPr>
            <w:tcW w:w="1137" w:type="pct"/>
            <w:noWrap/>
            <w:hideMark/>
          </w:tcPr>
          <w:p w:rsidR="00B431B6" w:rsidRPr="009E052A" w:rsidRDefault="00B431B6" w:rsidP="009E052A">
            <w:pPr>
              <w:rPr>
                <w:rStyle w:val="Strong"/>
              </w:rPr>
            </w:pPr>
            <w:r w:rsidRPr="009E052A">
              <w:rPr>
                <w:rStyle w:val="Strong"/>
              </w:rPr>
              <w:t xml:space="preserve">AER </w:t>
            </w:r>
            <w:r w:rsidR="009E052A" w:rsidRPr="009E052A">
              <w:rPr>
                <w:rStyle w:val="Strong"/>
              </w:rPr>
              <w:t>final</w:t>
            </w:r>
            <w:r w:rsidRPr="009E052A">
              <w:rPr>
                <w:rStyle w:val="Strong"/>
              </w:rPr>
              <w:t xml:space="preserve"> decision</w:t>
            </w:r>
          </w:p>
        </w:tc>
        <w:tc>
          <w:tcPr>
            <w:tcW w:w="495" w:type="pct"/>
            <w:noWrap/>
          </w:tcPr>
          <w:p w:rsidR="00B431B6" w:rsidRPr="003E2E56" w:rsidRDefault="00B431B6" w:rsidP="003E2E56">
            <w:pPr>
              <w:pStyle w:val="AERtabletextright"/>
              <w:rPr>
                <w:rStyle w:val="AERtextsize8"/>
              </w:rPr>
            </w:pPr>
          </w:p>
        </w:tc>
        <w:tc>
          <w:tcPr>
            <w:tcW w:w="661" w:type="pct"/>
            <w:noWrap/>
            <w:vAlign w:val="top"/>
          </w:tcPr>
          <w:p w:rsidR="00B431B6" w:rsidRPr="003E2E56" w:rsidRDefault="00B431B6" w:rsidP="003E2E56">
            <w:pPr>
              <w:pStyle w:val="AERtabletextright"/>
              <w:rPr>
                <w:rStyle w:val="AERtextsize8"/>
              </w:rPr>
            </w:pPr>
          </w:p>
        </w:tc>
        <w:tc>
          <w:tcPr>
            <w:tcW w:w="742" w:type="pct"/>
            <w:noWrap/>
            <w:vAlign w:val="top"/>
          </w:tcPr>
          <w:p w:rsidR="00B431B6" w:rsidRPr="003E2E56" w:rsidRDefault="00B431B6" w:rsidP="003E2E56">
            <w:pPr>
              <w:pStyle w:val="AERtabletextright"/>
              <w:rPr>
                <w:rStyle w:val="AERtextsize8"/>
              </w:rPr>
            </w:pPr>
          </w:p>
        </w:tc>
        <w:tc>
          <w:tcPr>
            <w:tcW w:w="661" w:type="pct"/>
            <w:noWrap/>
            <w:vAlign w:val="top"/>
          </w:tcPr>
          <w:p w:rsidR="00B431B6" w:rsidRPr="003E2E56" w:rsidRDefault="00B431B6" w:rsidP="003E2E56">
            <w:pPr>
              <w:pStyle w:val="AERtabletextright"/>
              <w:rPr>
                <w:rStyle w:val="AERtextsize8"/>
              </w:rPr>
            </w:pPr>
          </w:p>
        </w:tc>
        <w:tc>
          <w:tcPr>
            <w:tcW w:w="660" w:type="pct"/>
            <w:noWrap/>
            <w:vAlign w:val="top"/>
          </w:tcPr>
          <w:p w:rsidR="00B431B6" w:rsidRPr="003E2E56" w:rsidRDefault="00B431B6" w:rsidP="003E2E56">
            <w:pPr>
              <w:pStyle w:val="AERtabletextright"/>
              <w:rPr>
                <w:rStyle w:val="AERtextsize8"/>
              </w:rPr>
            </w:pPr>
          </w:p>
        </w:tc>
        <w:tc>
          <w:tcPr>
            <w:tcW w:w="643" w:type="pct"/>
            <w:noWrap/>
            <w:vAlign w:val="top"/>
          </w:tcPr>
          <w:p w:rsidR="00B431B6" w:rsidRPr="003E2E56" w:rsidRDefault="00B431B6" w:rsidP="003E2E56">
            <w:pPr>
              <w:pStyle w:val="AERtabletextright"/>
              <w:rPr>
                <w:rStyle w:val="AERtextsize8"/>
              </w:rPr>
            </w:pPr>
          </w:p>
        </w:tc>
      </w:tr>
      <w:tr w:rsidR="00B95EBB" w:rsidRPr="009A02C6" w:rsidTr="00B95EBB">
        <w:trPr>
          <w:trHeight w:val="298"/>
        </w:trPr>
        <w:tc>
          <w:tcPr>
            <w:tcW w:w="1137" w:type="pct"/>
            <w:noWrap/>
            <w:hideMark/>
          </w:tcPr>
          <w:p w:rsidR="00B431B6" w:rsidRPr="009A02C6" w:rsidRDefault="00B431B6" w:rsidP="009A02C6">
            <w:r w:rsidRPr="009A02C6">
              <w:t xml:space="preserve">Residential annual </w:t>
            </w:r>
            <w:proofErr w:type="spellStart"/>
            <w:r w:rsidRPr="009A02C6">
              <w:t>bill</w:t>
            </w:r>
            <w:r w:rsidRPr="009E052A">
              <w:rPr>
                <w:rStyle w:val="AERsuperscript"/>
              </w:rPr>
              <w:t>a</w:t>
            </w:r>
            <w:proofErr w:type="spellEnd"/>
          </w:p>
        </w:tc>
        <w:tc>
          <w:tcPr>
            <w:tcW w:w="495" w:type="pct"/>
            <w:noWrap/>
            <w:vAlign w:val="top"/>
          </w:tcPr>
          <w:p w:rsidR="00B431B6" w:rsidRPr="003E2E56" w:rsidRDefault="00B431B6" w:rsidP="00E63959">
            <w:pPr>
              <w:pStyle w:val="AERtabletextright"/>
              <w:rPr>
                <w:rStyle w:val="AERtextsize8"/>
              </w:rPr>
            </w:pPr>
            <w:r w:rsidRPr="003E2E56">
              <w:rPr>
                <w:rStyle w:val="AERtextsize8"/>
              </w:rPr>
              <w:t>2106</w:t>
            </w:r>
          </w:p>
        </w:tc>
        <w:tc>
          <w:tcPr>
            <w:tcW w:w="661" w:type="pct"/>
            <w:noWrap/>
            <w:vAlign w:val="top"/>
          </w:tcPr>
          <w:p w:rsidR="00B431B6" w:rsidRPr="003E2E56" w:rsidRDefault="00B431B6" w:rsidP="003E2E56">
            <w:pPr>
              <w:pStyle w:val="AERtabletextright"/>
              <w:rPr>
                <w:rStyle w:val="AERtextsize8"/>
              </w:rPr>
            </w:pPr>
            <w:r w:rsidRPr="003E2E56">
              <w:rPr>
                <w:rStyle w:val="AERtextsize8"/>
              </w:rPr>
              <w:t>20</w:t>
            </w:r>
            <w:r w:rsidR="00FA56A2" w:rsidRPr="003E2E56">
              <w:rPr>
                <w:rStyle w:val="AERtextsize8"/>
              </w:rPr>
              <w:t>59</w:t>
            </w:r>
          </w:p>
        </w:tc>
        <w:tc>
          <w:tcPr>
            <w:tcW w:w="742" w:type="pct"/>
            <w:noWrap/>
            <w:vAlign w:val="top"/>
          </w:tcPr>
          <w:p w:rsidR="00B431B6" w:rsidRPr="003E2E56" w:rsidRDefault="00B431B6" w:rsidP="003E2E56">
            <w:pPr>
              <w:pStyle w:val="AERtabletextright"/>
              <w:rPr>
                <w:rStyle w:val="AERtextsize8"/>
              </w:rPr>
            </w:pPr>
            <w:r w:rsidRPr="003E2E56">
              <w:rPr>
                <w:rStyle w:val="AERtextsize8"/>
              </w:rPr>
              <w:t>18</w:t>
            </w:r>
            <w:r w:rsidR="003E2E56">
              <w:rPr>
                <w:rStyle w:val="AERtextsize8"/>
              </w:rPr>
              <w:t>94</w:t>
            </w:r>
          </w:p>
        </w:tc>
        <w:tc>
          <w:tcPr>
            <w:tcW w:w="661" w:type="pct"/>
            <w:noWrap/>
            <w:vAlign w:val="top"/>
          </w:tcPr>
          <w:p w:rsidR="00B431B6" w:rsidRPr="003E2E56" w:rsidRDefault="00B431B6" w:rsidP="003E2E56">
            <w:pPr>
              <w:pStyle w:val="AERtabletextright"/>
              <w:rPr>
                <w:rStyle w:val="AERtextsize8"/>
              </w:rPr>
            </w:pPr>
            <w:r w:rsidRPr="003E2E56">
              <w:rPr>
                <w:rStyle w:val="AERtextsize8"/>
              </w:rPr>
              <w:t>1</w:t>
            </w:r>
            <w:r w:rsidR="00FA56A2" w:rsidRPr="003E2E56">
              <w:rPr>
                <w:rStyle w:val="AERtextsize8"/>
              </w:rPr>
              <w:t>87</w:t>
            </w:r>
            <w:r w:rsidR="003E2E56">
              <w:rPr>
                <w:rStyle w:val="AERtextsize8"/>
              </w:rPr>
              <w:t>1</w:t>
            </w:r>
          </w:p>
        </w:tc>
        <w:tc>
          <w:tcPr>
            <w:tcW w:w="660" w:type="pct"/>
            <w:noWrap/>
            <w:vAlign w:val="top"/>
          </w:tcPr>
          <w:p w:rsidR="00B431B6" w:rsidRPr="003E2E56" w:rsidRDefault="00B431B6" w:rsidP="003E2E56">
            <w:pPr>
              <w:pStyle w:val="AERtabletextright"/>
              <w:rPr>
                <w:rStyle w:val="AERtextsize8"/>
              </w:rPr>
            </w:pPr>
            <w:r w:rsidRPr="003E2E56">
              <w:rPr>
                <w:rStyle w:val="AERtextsize8"/>
              </w:rPr>
              <w:t>1</w:t>
            </w:r>
            <w:r w:rsidR="00FA56A2" w:rsidRPr="003E2E56">
              <w:rPr>
                <w:rStyle w:val="AERtextsize8"/>
              </w:rPr>
              <w:t>86</w:t>
            </w:r>
            <w:r w:rsidR="003E2E56">
              <w:rPr>
                <w:rStyle w:val="AERtextsize8"/>
              </w:rPr>
              <w:t>4</w:t>
            </w:r>
          </w:p>
        </w:tc>
        <w:tc>
          <w:tcPr>
            <w:tcW w:w="643" w:type="pct"/>
            <w:noWrap/>
            <w:vAlign w:val="top"/>
          </w:tcPr>
          <w:p w:rsidR="00B431B6" w:rsidRPr="003E2E56" w:rsidRDefault="00B431B6" w:rsidP="003E2E56">
            <w:pPr>
              <w:pStyle w:val="AERtabletextright"/>
              <w:rPr>
                <w:rStyle w:val="AERtextsize8"/>
              </w:rPr>
            </w:pPr>
            <w:r w:rsidRPr="003E2E56">
              <w:rPr>
                <w:rStyle w:val="AERtextsize8"/>
              </w:rPr>
              <w:t>1</w:t>
            </w:r>
            <w:r w:rsidR="00FA56A2" w:rsidRPr="003E2E56">
              <w:rPr>
                <w:rStyle w:val="AERtextsize8"/>
              </w:rPr>
              <w:t>85</w:t>
            </w:r>
            <w:r w:rsidR="003E2E56">
              <w:rPr>
                <w:rStyle w:val="AERtextsize8"/>
              </w:rPr>
              <w:t>7</w:t>
            </w:r>
          </w:p>
        </w:tc>
      </w:tr>
      <w:tr w:rsidR="00B95EBB" w:rsidRPr="009A02C6" w:rsidTr="00B95EBB">
        <w:trPr>
          <w:cnfStyle w:val="000000010000" w:firstRow="0" w:lastRow="0" w:firstColumn="0" w:lastColumn="0" w:oddVBand="0" w:evenVBand="0" w:oddHBand="0" w:evenHBand="1" w:firstRowFirstColumn="0" w:firstRowLastColumn="0" w:lastRowFirstColumn="0" w:lastRowLastColumn="0"/>
          <w:trHeight w:val="298"/>
        </w:trPr>
        <w:tc>
          <w:tcPr>
            <w:tcW w:w="1137" w:type="pct"/>
            <w:noWrap/>
            <w:hideMark/>
          </w:tcPr>
          <w:p w:rsidR="00B431B6" w:rsidRPr="009A02C6" w:rsidRDefault="00B431B6" w:rsidP="009A02C6">
            <w:r w:rsidRPr="009A02C6">
              <w:t>Annual change</w:t>
            </w:r>
          </w:p>
        </w:tc>
        <w:tc>
          <w:tcPr>
            <w:tcW w:w="495" w:type="pct"/>
            <w:noWrap/>
            <w:vAlign w:val="top"/>
          </w:tcPr>
          <w:p w:rsidR="00B431B6" w:rsidRPr="003E2E56" w:rsidRDefault="00B431B6" w:rsidP="003E2E56">
            <w:pPr>
              <w:pStyle w:val="AERtabletextright"/>
              <w:rPr>
                <w:rStyle w:val="AERtextsize8"/>
              </w:rPr>
            </w:pPr>
          </w:p>
        </w:tc>
        <w:tc>
          <w:tcPr>
            <w:tcW w:w="661" w:type="pct"/>
            <w:noWrap/>
            <w:vAlign w:val="top"/>
          </w:tcPr>
          <w:p w:rsidR="00B431B6" w:rsidRPr="003E2E56" w:rsidRDefault="00B431B6" w:rsidP="00B95EBB">
            <w:pPr>
              <w:pStyle w:val="AERtabletextright"/>
              <w:rPr>
                <w:rStyle w:val="AERtextsize8"/>
              </w:rPr>
            </w:pPr>
            <w:r w:rsidRPr="003E2E56">
              <w:rPr>
                <w:rStyle w:val="AERtextsize8"/>
              </w:rPr>
              <w:t>–</w:t>
            </w:r>
            <w:r w:rsidR="00FA56A2" w:rsidRPr="003E2E56">
              <w:rPr>
                <w:rStyle w:val="AERtextsize8"/>
              </w:rPr>
              <w:t>47</w:t>
            </w:r>
            <w:r w:rsidR="00B95EBB">
              <w:rPr>
                <w:rStyle w:val="AERtextsize8"/>
              </w:rPr>
              <w:t xml:space="preserve"> </w:t>
            </w:r>
            <w:r w:rsidRPr="003E2E56">
              <w:rPr>
                <w:rStyle w:val="AERtextsize8"/>
              </w:rPr>
              <w:t>(–</w:t>
            </w:r>
            <w:r w:rsidR="00FA56A2" w:rsidRPr="003E2E56">
              <w:rPr>
                <w:rStyle w:val="AERtextsize8"/>
              </w:rPr>
              <w:t>2</w:t>
            </w:r>
            <w:r w:rsidRPr="003E2E56">
              <w:rPr>
                <w:rStyle w:val="AERtextsize8"/>
              </w:rPr>
              <w:t>.2%)</w:t>
            </w:r>
          </w:p>
        </w:tc>
        <w:tc>
          <w:tcPr>
            <w:tcW w:w="742" w:type="pct"/>
            <w:noWrap/>
            <w:vAlign w:val="top"/>
          </w:tcPr>
          <w:p w:rsidR="00B431B6" w:rsidRPr="003E2E56" w:rsidRDefault="00B431B6" w:rsidP="00650F97">
            <w:pPr>
              <w:pStyle w:val="AERtabletextright"/>
              <w:rPr>
                <w:rStyle w:val="AERtextsize8"/>
              </w:rPr>
            </w:pPr>
            <w:r w:rsidRPr="003E2E56">
              <w:rPr>
                <w:rStyle w:val="AERtextsize8"/>
              </w:rPr>
              <w:t>–</w:t>
            </w:r>
            <w:r w:rsidR="00FA56A2" w:rsidRPr="003E2E56">
              <w:rPr>
                <w:rStyle w:val="AERtextsize8"/>
              </w:rPr>
              <w:t>1</w:t>
            </w:r>
            <w:r w:rsidR="00650F97">
              <w:rPr>
                <w:rStyle w:val="AERtextsize8"/>
              </w:rPr>
              <w:t>65</w:t>
            </w:r>
            <w:r w:rsidR="00B95EBB">
              <w:rPr>
                <w:rStyle w:val="AERtextsize8"/>
              </w:rPr>
              <w:t xml:space="preserve"> </w:t>
            </w:r>
            <w:r w:rsidRPr="003E2E56">
              <w:rPr>
                <w:rStyle w:val="AERtextsize8"/>
              </w:rPr>
              <w:t>(–</w:t>
            </w:r>
            <w:r w:rsidR="00FA56A2" w:rsidRPr="003E2E56">
              <w:rPr>
                <w:rStyle w:val="AERtextsize8"/>
              </w:rPr>
              <w:t>8.</w:t>
            </w:r>
            <w:r w:rsidR="00650F97">
              <w:rPr>
                <w:rStyle w:val="AERtextsize8"/>
              </w:rPr>
              <w:t>0</w:t>
            </w:r>
            <w:r w:rsidRPr="003E2E56">
              <w:rPr>
                <w:rStyle w:val="AERtextsize8"/>
              </w:rPr>
              <w:t>%)</w:t>
            </w:r>
          </w:p>
        </w:tc>
        <w:tc>
          <w:tcPr>
            <w:tcW w:w="661" w:type="pct"/>
            <w:noWrap/>
            <w:vAlign w:val="top"/>
          </w:tcPr>
          <w:p w:rsidR="00B431B6" w:rsidRPr="003E2E56" w:rsidRDefault="00FA56A2" w:rsidP="00B95EBB">
            <w:pPr>
              <w:pStyle w:val="AERtabletextright"/>
              <w:rPr>
                <w:rStyle w:val="AERtextsize8"/>
              </w:rPr>
            </w:pPr>
            <w:r w:rsidRPr="003E2E56">
              <w:rPr>
                <w:rStyle w:val="AERtextsize8"/>
              </w:rPr>
              <w:t>–</w:t>
            </w:r>
            <w:r w:rsidR="00E63959">
              <w:rPr>
                <w:rStyle w:val="AERtextsize8"/>
              </w:rPr>
              <w:t>23</w:t>
            </w:r>
            <w:r w:rsidR="00B431B6" w:rsidRPr="003E2E56">
              <w:rPr>
                <w:rStyle w:val="AERtextsize8"/>
              </w:rPr>
              <w:t xml:space="preserve"> (</w:t>
            </w:r>
            <w:r w:rsidRPr="003E2E56">
              <w:rPr>
                <w:rStyle w:val="AERtextsize8"/>
              </w:rPr>
              <w:t>–</w:t>
            </w:r>
            <w:r w:rsidR="00E63959">
              <w:rPr>
                <w:rStyle w:val="AERtextsize8"/>
              </w:rPr>
              <w:t>1.2</w:t>
            </w:r>
            <w:r w:rsidR="00B431B6" w:rsidRPr="003E2E56">
              <w:rPr>
                <w:rStyle w:val="AERtextsize8"/>
              </w:rPr>
              <w:t>%)</w:t>
            </w:r>
          </w:p>
        </w:tc>
        <w:tc>
          <w:tcPr>
            <w:tcW w:w="660" w:type="pct"/>
            <w:noWrap/>
            <w:vAlign w:val="top"/>
          </w:tcPr>
          <w:p w:rsidR="00B431B6" w:rsidRPr="003E2E56" w:rsidRDefault="00FA56A2" w:rsidP="00B95EBB">
            <w:pPr>
              <w:pStyle w:val="AERtabletextright"/>
              <w:rPr>
                <w:rStyle w:val="AERtextsize8"/>
              </w:rPr>
            </w:pPr>
            <w:r w:rsidRPr="003E2E56">
              <w:rPr>
                <w:rStyle w:val="AERtextsize8"/>
              </w:rPr>
              <w:t>–7</w:t>
            </w:r>
            <w:r w:rsidR="00B95EBB">
              <w:rPr>
                <w:rStyle w:val="AERtextsize8"/>
              </w:rPr>
              <w:t xml:space="preserve"> </w:t>
            </w:r>
            <w:r w:rsidR="00B431B6" w:rsidRPr="003E2E56">
              <w:rPr>
                <w:rStyle w:val="AERtextsize8"/>
              </w:rPr>
              <w:t>(</w:t>
            </w:r>
            <w:r w:rsidRPr="003E2E56">
              <w:rPr>
                <w:rStyle w:val="AERtextsize8"/>
              </w:rPr>
              <w:t>–</w:t>
            </w:r>
            <w:r w:rsidR="00B431B6" w:rsidRPr="003E2E56">
              <w:rPr>
                <w:rStyle w:val="AERtextsize8"/>
              </w:rPr>
              <w:t>0.</w:t>
            </w:r>
            <w:r w:rsidRPr="003E2E56">
              <w:rPr>
                <w:rStyle w:val="AERtextsize8"/>
              </w:rPr>
              <w:t>4</w:t>
            </w:r>
            <w:r w:rsidR="00B431B6" w:rsidRPr="003E2E56">
              <w:rPr>
                <w:rStyle w:val="AERtextsize8"/>
              </w:rPr>
              <w:t>%)</w:t>
            </w:r>
          </w:p>
        </w:tc>
        <w:tc>
          <w:tcPr>
            <w:tcW w:w="643" w:type="pct"/>
            <w:noWrap/>
            <w:vAlign w:val="top"/>
          </w:tcPr>
          <w:p w:rsidR="00B431B6" w:rsidRPr="003E2E56" w:rsidRDefault="00FA56A2" w:rsidP="00B95EBB">
            <w:pPr>
              <w:pStyle w:val="AERtabletextright"/>
              <w:rPr>
                <w:rStyle w:val="AERtextsize8"/>
              </w:rPr>
            </w:pPr>
            <w:r w:rsidRPr="003E2E56">
              <w:rPr>
                <w:rStyle w:val="AERtextsize8"/>
              </w:rPr>
              <w:t>–7</w:t>
            </w:r>
            <w:r w:rsidR="00B431B6" w:rsidRPr="003E2E56">
              <w:rPr>
                <w:rStyle w:val="AERtextsize8"/>
              </w:rPr>
              <w:t xml:space="preserve"> (</w:t>
            </w:r>
            <w:r w:rsidRPr="003E2E56">
              <w:rPr>
                <w:rStyle w:val="AERtextsize8"/>
              </w:rPr>
              <w:t>–</w:t>
            </w:r>
            <w:r w:rsidR="00B431B6" w:rsidRPr="003E2E56">
              <w:rPr>
                <w:rStyle w:val="AERtextsize8"/>
              </w:rPr>
              <w:t>0.</w:t>
            </w:r>
            <w:r w:rsidRPr="003E2E56">
              <w:rPr>
                <w:rStyle w:val="AERtextsize8"/>
              </w:rPr>
              <w:t>4</w:t>
            </w:r>
            <w:r w:rsidR="00B431B6" w:rsidRPr="003E2E56">
              <w:rPr>
                <w:rStyle w:val="AERtextsize8"/>
              </w:rPr>
              <w:t>%)</w:t>
            </w:r>
          </w:p>
        </w:tc>
      </w:tr>
      <w:tr w:rsidR="00B95EBB" w:rsidRPr="009A02C6" w:rsidTr="00B95EBB">
        <w:trPr>
          <w:trHeight w:val="298"/>
        </w:trPr>
        <w:tc>
          <w:tcPr>
            <w:tcW w:w="1137" w:type="pct"/>
            <w:noWrap/>
            <w:hideMark/>
          </w:tcPr>
          <w:p w:rsidR="00B431B6" w:rsidRPr="009A02C6" w:rsidRDefault="00B431B6" w:rsidP="009A02C6">
            <w:r w:rsidRPr="009A02C6">
              <w:t xml:space="preserve">Small business annual </w:t>
            </w:r>
            <w:proofErr w:type="spellStart"/>
            <w:r w:rsidRPr="009A02C6">
              <w:t>bill</w:t>
            </w:r>
            <w:r w:rsidRPr="009E052A">
              <w:rPr>
                <w:rStyle w:val="AERsuperscript"/>
              </w:rPr>
              <w:t>b</w:t>
            </w:r>
            <w:proofErr w:type="spellEnd"/>
          </w:p>
        </w:tc>
        <w:tc>
          <w:tcPr>
            <w:tcW w:w="495" w:type="pct"/>
            <w:noWrap/>
            <w:vAlign w:val="top"/>
          </w:tcPr>
          <w:p w:rsidR="00B431B6" w:rsidRPr="003E2E56" w:rsidRDefault="00B431B6" w:rsidP="00E63959">
            <w:pPr>
              <w:pStyle w:val="AERtabletextright"/>
              <w:rPr>
                <w:rStyle w:val="AERtextsize8"/>
              </w:rPr>
            </w:pPr>
            <w:r w:rsidRPr="003E2E56">
              <w:rPr>
                <w:rStyle w:val="AERtextsize8"/>
              </w:rPr>
              <w:t>3374</w:t>
            </w:r>
          </w:p>
        </w:tc>
        <w:tc>
          <w:tcPr>
            <w:tcW w:w="661" w:type="pct"/>
            <w:noWrap/>
            <w:vAlign w:val="top"/>
          </w:tcPr>
          <w:p w:rsidR="00B431B6" w:rsidRPr="003E2E56" w:rsidRDefault="00B431B6" w:rsidP="003E2E56">
            <w:pPr>
              <w:pStyle w:val="AERtabletextright"/>
              <w:rPr>
                <w:rStyle w:val="AERtextsize8"/>
              </w:rPr>
            </w:pPr>
            <w:r w:rsidRPr="003E2E56">
              <w:rPr>
                <w:rStyle w:val="AERtextsize8"/>
              </w:rPr>
              <w:t>3</w:t>
            </w:r>
            <w:r w:rsidR="00FA56A2" w:rsidRPr="003E2E56">
              <w:rPr>
                <w:rStyle w:val="AERtextsize8"/>
              </w:rPr>
              <w:t>299</w:t>
            </w:r>
          </w:p>
        </w:tc>
        <w:tc>
          <w:tcPr>
            <w:tcW w:w="742" w:type="pct"/>
            <w:noWrap/>
            <w:vAlign w:val="top"/>
          </w:tcPr>
          <w:p w:rsidR="00B431B6" w:rsidRPr="003E2E56" w:rsidRDefault="00B431B6" w:rsidP="00E63959">
            <w:pPr>
              <w:pStyle w:val="AERtabletextright"/>
              <w:rPr>
                <w:rStyle w:val="AERtextsize8"/>
              </w:rPr>
            </w:pPr>
            <w:r w:rsidRPr="003E2E56">
              <w:rPr>
                <w:rStyle w:val="AERtextsize8"/>
              </w:rPr>
              <w:t>30</w:t>
            </w:r>
            <w:r w:rsidR="00E63959">
              <w:rPr>
                <w:rStyle w:val="AERtextsize8"/>
              </w:rPr>
              <w:t>35</w:t>
            </w:r>
          </w:p>
        </w:tc>
        <w:tc>
          <w:tcPr>
            <w:tcW w:w="661" w:type="pct"/>
            <w:noWrap/>
            <w:vAlign w:val="top"/>
          </w:tcPr>
          <w:p w:rsidR="00B431B6" w:rsidRPr="003E2E56" w:rsidRDefault="00E63959" w:rsidP="00E63959">
            <w:pPr>
              <w:pStyle w:val="AERtabletextright"/>
              <w:rPr>
                <w:rStyle w:val="AERtextsize8"/>
              </w:rPr>
            </w:pPr>
            <w:r>
              <w:rPr>
                <w:rStyle w:val="AERtextsize8"/>
              </w:rPr>
              <w:t>2998</w:t>
            </w:r>
          </w:p>
        </w:tc>
        <w:tc>
          <w:tcPr>
            <w:tcW w:w="660" w:type="pct"/>
            <w:noWrap/>
            <w:vAlign w:val="top"/>
          </w:tcPr>
          <w:p w:rsidR="00B431B6" w:rsidRPr="003E2E56" w:rsidRDefault="00FA56A2" w:rsidP="00E63959">
            <w:pPr>
              <w:pStyle w:val="AERtabletextright"/>
              <w:rPr>
                <w:rStyle w:val="AERtextsize8"/>
              </w:rPr>
            </w:pPr>
            <w:r w:rsidRPr="003E2E56">
              <w:rPr>
                <w:rStyle w:val="AERtextsize8"/>
              </w:rPr>
              <w:t>298</w:t>
            </w:r>
            <w:r w:rsidR="00E63959">
              <w:rPr>
                <w:rStyle w:val="AERtextsize8"/>
              </w:rPr>
              <w:t>7</w:t>
            </w:r>
          </w:p>
        </w:tc>
        <w:tc>
          <w:tcPr>
            <w:tcW w:w="643" w:type="pct"/>
            <w:noWrap/>
            <w:vAlign w:val="top"/>
          </w:tcPr>
          <w:p w:rsidR="00B431B6" w:rsidRPr="003E2E56" w:rsidRDefault="00FA56A2" w:rsidP="00E63959">
            <w:pPr>
              <w:pStyle w:val="AERtabletextright"/>
              <w:rPr>
                <w:rStyle w:val="AERtextsize8"/>
              </w:rPr>
            </w:pPr>
            <w:r w:rsidRPr="003E2E56">
              <w:rPr>
                <w:rStyle w:val="AERtextsize8"/>
              </w:rPr>
              <w:t>297</w:t>
            </w:r>
            <w:r w:rsidR="00E63959">
              <w:rPr>
                <w:rStyle w:val="AERtextsize8"/>
              </w:rPr>
              <w:t>6</w:t>
            </w:r>
          </w:p>
        </w:tc>
      </w:tr>
      <w:tr w:rsidR="00B95EBB" w:rsidRPr="009A02C6" w:rsidTr="00B95EBB">
        <w:trPr>
          <w:cnfStyle w:val="000000010000" w:firstRow="0" w:lastRow="0" w:firstColumn="0" w:lastColumn="0" w:oddVBand="0" w:evenVBand="0" w:oddHBand="0" w:evenHBand="1" w:firstRowFirstColumn="0" w:firstRowLastColumn="0" w:lastRowFirstColumn="0" w:lastRowLastColumn="0"/>
          <w:trHeight w:val="298"/>
        </w:trPr>
        <w:tc>
          <w:tcPr>
            <w:tcW w:w="1137" w:type="pct"/>
            <w:noWrap/>
            <w:hideMark/>
          </w:tcPr>
          <w:p w:rsidR="00B431B6" w:rsidRPr="009A02C6" w:rsidRDefault="00B431B6" w:rsidP="009A02C6">
            <w:r w:rsidRPr="009A02C6">
              <w:t>Annual change</w:t>
            </w:r>
          </w:p>
        </w:tc>
        <w:tc>
          <w:tcPr>
            <w:tcW w:w="495" w:type="pct"/>
            <w:noWrap/>
            <w:vAlign w:val="top"/>
          </w:tcPr>
          <w:p w:rsidR="00B431B6" w:rsidRPr="003E2E56" w:rsidRDefault="00B431B6" w:rsidP="003E2E56">
            <w:pPr>
              <w:pStyle w:val="AERtabletextright"/>
              <w:rPr>
                <w:rStyle w:val="AERtextsize8"/>
              </w:rPr>
            </w:pPr>
          </w:p>
        </w:tc>
        <w:tc>
          <w:tcPr>
            <w:tcW w:w="661" w:type="pct"/>
            <w:noWrap/>
            <w:vAlign w:val="top"/>
          </w:tcPr>
          <w:p w:rsidR="00B431B6" w:rsidRPr="003E2E56" w:rsidRDefault="00B431B6" w:rsidP="00B95EBB">
            <w:pPr>
              <w:pStyle w:val="AERtabletextright"/>
              <w:rPr>
                <w:rStyle w:val="AERtextsize8"/>
              </w:rPr>
            </w:pPr>
            <w:r w:rsidRPr="003E2E56">
              <w:rPr>
                <w:rStyle w:val="AERtextsize8"/>
              </w:rPr>
              <w:t>–</w:t>
            </w:r>
            <w:r w:rsidR="00FA56A2" w:rsidRPr="003E2E56">
              <w:rPr>
                <w:rStyle w:val="AERtextsize8"/>
              </w:rPr>
              <w:t>75</w:t>
            </w:r>
            <w:r w:rsidR="00B95EBB">
              <w:rPr>
                <w:rStyle w:val="AERtextsize8"/>
              </w:rPr>
              <w:t xml:space="preserve"> </w:t>
            </w:r>
            <w:r w:rsidRPr="003E2E56">
              <w:rPr>
                <w:rStyle w:val="AERtextsize8"/>
              </w:rPr>
              <w:t>(–</w:t>
            </w:r>
            <w:r w:rsidR="00FA56A2" w:rsidRPr="003E2E56">
              <w:rPr>
                <w:rStyle w:val="AERtextsize8"/>
              </w:rPr>
              <w:t>2.2</w:t>
            </w:r>
            <w:r w:rsidRPr="003E2E56">
              <w:rPr>
                <w:rStyle w:val="AERtextsize8"/>
              </w:rPr>
              <w:t>%)</w:t>
            </w:r>
          </w:p>
        </w:tc>
        <w:tc>
          <w:tcPr>
            <w:tcW w:w="742" w:type="pct"/>
            <w:noWrap/>
            <w:vAlign w:val="top"/>
          </w:tcPr>
          <w:p w:rsidR="00B431B6" w:rsidRPr="003E2E56" w:rsidRDefault="00B431B6" w:rsidP="00B95EBB">
            <w:pPr>
              <w:pStyle w:val="AERtabletextright"/>
              <w:rPr>
                <w:rStyle w:val="AERtextsize8"/>
              </w:rPr>
            </w:pPr>
            <w:r w:rsidRPr="003E2E56">
              <w:rPr>
                <w:rStyle w:val="AERtextsize8"/>
              </w:rPr>
              <w:t>–</w:t>
            </w:r>
            <w:r w:rsidR="00FA56A2" w:rsidRPr="003E2E56">
              <w:rPr>
                <w:rStyle w:val="AERtextsize8"/>
              </w:rPr>
              <w:t>2</w:t>
            </w:r>
            <w:r w:rsidR="00E63959">
              <w:rPr>
                <w:rStyle w:val="AERtextsize8"/>
              </w:rPr>
              <w:t>64</w:t>
            </w:r>
            <w:r w:rsidR="00B95EBB">
              <w:rPr>
                <w:rStyle w:val="AERtextsize8"/>
              </w:rPr>
              <w:t xml:space="preserve"> </w:t>
            </w:r>
            <w:r w:rsidRPr="003E2E56">
              <w:rPr>
                <w:rStyle w:val="AERtextsize8"/>
              </w:rPr>
              <w:t>(–</w:t>
            </w:r>
            <w:r w:rsidR="00FA56A2" w:rsidRPr="003E2E56">
              <w:rPr>
                <w:rStyle w:val="AERtextsize8"/>
              </w:rPr>
              <w:t>8.</w:t>
            </w:r>
            <w:r w:rsidR="00E63959">
              <w:rPr>
                <w:rStyle w:val="AERtextsize8"/>
              </w:rPr>
              <w:t>0</w:t>
            </w:r>
            <w:r w:rsidRPr="003E2E56">
              <w:rPr>
                <w:rStyle w:val="AERtextsize8"/>
              </w:rPr>
              <w:t>%)</w:t>
            </w:r>
          </w:p>
        </w:tc>
        <w:tc>
          <w:tcPr>
            <w:tcW w:w="661" w:type="pct"/>
            <w:noWrap/>
            <w:vAlign w:val="top"/>
          </w:tcPr>
          <w:p w:rsidR="00B431B6" w:rsidRPr="003E2E56" w:rsidRDefault="00FA56A2" w:rsidP="00B95EBB">
            <w:pPr>
              <w:pStyle w:val="AERtabletextright"/>
              <w:rPr>
                <w:rStyle w:val="AERtextsize8"/>
              </w:rPr>
            </w:pPr>
            <w:r w:rsidRPr="003E2E56">
              <w:rPr>
                <w:rStyle w:val="AERtextsize8"/>
              </w:rPr>
              <w:t>–</w:t>
            </w:r>
            <w:r w:rsidR="00E63959">
              <w:rPr>
                <w:rStyle w:val="AERtextsize8"/>
              </w:rPr>
              <w:t>3</w:t>
            </w:r>
            <w:r w:rsidRPr="003E2E56">
              <w:rPr>
                <w:rStyle w:val="AERtextsize8"/>
              </w:rPr>
              <w:t>7</w:t>
            </w:r>
            <w:r w:rsidR="00B95EBB">
              <w:rPr>
                <w:rStyle w:val="AERtextsize8"/>
              </w:rPr>
              <w:t xml:space="preserve"> </w:t>
            </w:r>
            <w:r w:rsidR="00B431B6" w:rsidRPr="003E2E56">
              <w:rPr>
                <w:rStyle w:val="AERtextsize8"/>
              </w:rPr>
              <w:t>(</w:t>
            </w:r>
            <w:r w:rsidRPr="003E2E56">
              <w:rPr>
                <w:rStyle w:val="AERtextsize8"/>
              </w:rPr>
              <w:t>–</w:t>
            </w:r>
            <w:r w:rsidR="00E63959">
              <w:rPr>
                <w:rStyle w:val="AERtextsize8"/>
              </w:rPr>
              <w:t>1.2</w:t>
            </w:r>
            <w:r w:rsidR="00B431B6" w:rsidRPr="003E2E56">
              <w:rPr>
                <w:rStyle w:val="AERtextsize8"/>
              </w:rPr>
              <w:t>%)</w:t>
            </w:r>
          </w:p>
        </w:tc>
        <w:tc>
          <w:tcPr>
            <w:tcW w:w="660" w:type="pct"/>
            <w:noWrap/>
            <w:vAlign w:val="top"/>
          </w:tcPr>
          <w:p w:rsidR="00B431B6" w:rsidRPr="003E2E56" w:rsidRDefault="00FA56A2" w:rsidP="00B95EBB">
            <w:pPr>
              <w:pStyle w:val="AERtabletextright"/>
              <w:rPr>
                <w:rStyle w:val="AERtextsize8"/>
              </w:rPr>
            </w:pPr>
            <w:r w:rsidRPr="003E2E56">
              <w:rPr>
                <w:rStyle w:val="AERtextsize8"/>
              </w:rPr>
              <w:t>–11</w:t>
            </w:r>
            <w:r w:rsidR="00B95EBB">
              <w:rPr>
                <w:rStyle w:val="AERtextsize8"/>
              </w:rPr>
              <w:t xml:space="preserve"> </w:t>
            </w:r>
            <w:r w:rsidR="00B431B6" w:rsidRPr="003E2E56">
              <w:rPr>
                <w:rStyle w:val="AERtextsize8"/>
              </w:rPr>
              <w:t>(</w:t>
            </w:r>
            <w:r w:rsidRPr="003E2E56">
              <w:rPr>
                <w:rStyle w:val="AERtextsize8"/>
              </w:rPr>
              <w:t>–</w:t>
            </w:r>
            <w:r w:rsidR="00B431B6" w:rsidRPr="003E2E56">
              <w:rPr>
                <w:rStyle w:val="AERtextsize8"/>
              </w:rPr>
              <w:t>0.</w:t>
            </w:r>
            <w:r w:rsidRPr="003E2E56">
              <w:rPr>
                <w:rStyle w:val="AERtextsize8"/>
              </w:rPr>
              <w:t>4</w:t>
            </w:r>
            <w:r w:rsidR="00B431B6" w:rsidRPr="003E2E56">
              <w:rPr>
                <w:rStyle w:val="AERtextsize8"/>
              </w:rPr>
              <w:t>%)</w:t>
            </w:r>
          </w:p>
        </w:tc>
        <w:tc>
          <w:tcPr>
            <w:tcW w:w="643" w:type="pct"/>
            <w:noWrap/>
            <w:vAlign w:val="top"/>
          </w:tcPr>
          <w:p w:rsidR="00B431B6" w:rsidRPr="003E2E56" w:rsidRDefault="00FA56A2" w:rsidP="00B95EBB">
            <w:pPr>
              <w:pStyle w:val="AERtabletextright"/>
              <w:rPr>
                <w:rStyle w:val="AERtextsize8"/>
              </w:rPr>
            </w:pPr>
            <w:r w:rsidRPr="003E2E56">
              <w:rPr>
                <w:rStyle w:val="AERtextsize8"/>
              </w:rPr>
              <w:t>–11</w:t>
            </w:r>
            <w:r w:rsidR="00B431B6" w:rsidRPr="003E2E56">
              <w:rPr>
                <w:rStyle w:val="AERtextsize8"/>
              </w:rPr>
              <w:t>(</w:t>
            </w:r>
            <w:r w:rsidRPr="003E2E56">
              <w:rPr>
                <w:rStyle w:val="AERtextsize8"/>
              </w:rPr>
              <w:t>–</w:t>
            </w:r>
            <w:r w:rsidR="00B431B6" w:rsidRPr="003E2E56">
              <w:rPr>
                <w:rStyle w:val="AERtextsize8"/>
              </w:rPr>
              <w:t>0.</w:t>
            </w:r>
            <w:r w:rsidRPr="003E2E56">
              <w:rPr>
                <w:rStyle w:val="AERtextsize8"/>
              </w:rPr>
              <w:t>4</w:t>
            </w:r>
            <w:r w:rsidR="00B431B6" w:rsidRPr="003E2E56">
              <w:rPr>
                <w:rStyle w:val="AERtextsize8"/>
              </w:rPr>
              <w:t>%)</w:t>
            </w:r>
          </w:p>
        </w:tc>
      </w:tr>
    </w:tbl>
    <w:p w:rsidR="00B431B6" w:rsidRDefault="00B431B6" w:rsidP="00B431B6">
      <w:pPr>
        <w:pStyle w:val="AERtablesource"/>
      </w:pPr>
      <w:r>
        <w:t>Source:</w:t>
      </w:r>
      <w:r>
        <w:tab/>
        <w:t xml:space="preserve">AER analysis; AER, </w:t>
      </w:r>
      <w:hyperlink r:id="rId20" w:history="1">
        <w:r w:rsidRPr="009E052A">
          <w:rPr>
            <w:rStyle w:val="Hyperlink"/>
            <w:sz w:val="16"/>
          </w:rPr>
          <w:t>Energy Made Easy</w:t>
        </w:r>
      </w:hyperlink>
      <w:r>
        <w:t xml:space="preserve">; IPART, </w:t>
      </w:r>
      <w:r w:rsidRPr="009E052A">
        <w:rPr>
          <w:rStyle w:val="AERtextitalic"/>
        </w:rPr>
        <w:t>Final report: Review of regulated retail prices for electricity - from 1 July 2013 to 30 June 2016</w:t>
      </w:r>
      <w:r>
        <w:t>, June 2013, p.5.</w:t>
      </w:r>
    </w:p>
    <w:p w:rsidR="00B431B6" w:rsidRDefault="00B431B6" w:rsidP="00B431B6">
      <w:pPr>
        <w:pStyle w:val="AERtablesource"/>
      </w:pPr>
      <w:r>
        <w:t>(a)</w:t>
      </w:r>
      <w:r>
        <w:tab/>
        <w:t>Based on annual bill for typical consumption of 6500KWh per year during the period 1 July 2013 to 30 June 2014. The charges reflect regulated price only. Sample postcode: 2112.</w:t>
      </w:r>
    </w:p>
    <w:p w:rsidR="00B431B6" w:rsidRDefault="00B431B6" w:rsidP="00B431B6">
      <w:pPr>
        <w:pStyle w:val="AERtablesource"/>
      </w:pPr>
      <w:r>
        <w:t>(b)</w:t>
      </w:r>
      <w:r>
        <w:tab/>
      </w:r>
      <w:r w:rsidRPr="00540B74">
        <w:t xml:space="preserve">Based on the annual </w:t>
      </w:r>
      <w:r>
        <w:t>bill</w:t>
      </w:r>
      <w:r w:rsidRPr="00540B74">
        <w:t xml:space="preserve"> sourced from </w:t>
      </w:r>
      <w:hyperlink r:id="rId21" w:history="1">
        <w:r w:rsidRPr="00D64BF8">
          <w:rPr>
            <w:rStyle w:val="Hyperlink"/>
            <w:sz w:val="16"/>
          </w:rPr>
          <w:t>Energy Made Easy</w:t>
        </w:r>
      </w:hyperlink>
      <w:r w:rsidRPr="00540B74">
        <w:t xml:space="preserve"> for a typical consumption of 10000 kWh per year during the period 1 July 2013 to 30 June 2014. The </w:t>
      </w:r>
      <w:r>
        <w:t>bills</w:t>
      </w:r>
      <w:r w:rsidRPr="00540B74">
        <w:t xml:space="preserve"> reflect regulated price only. Sample postcode: 2</w:t>
      </w:r>
      <w:r>
        <w:t>112</w:t>
      </w:r>
      <w:r w:rsidRPr="00540B74">
        <w:t>.</w:t>
      </w:r>
    </w:p>
    <w:sectPr w:rsidR="00B431B6"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9F0" w:rsidRPr="00290C63" w:rsidRDefault="000739F0" w:rsidP="00290C63">
      <w:r>
        <w:separator/>
      </w:r>
    </w:p>
    <w:p w:rsidR="000739F0" w:rsidRDefault="000739F0"/>
  </w:endnote>
  <w:endnote w:type="continuationSeparator" w:id="0">
    <w:p w:rsidR="000739F0" w:rsidRPr="00290C63" w:rsidRDefault="000739F0" w:rsidP="00290C63">
      <w:r>
        <w:continuationSeparator/>
      </w:r>
    </w:p>
    <w:p w:rsidR="000739F0" w:rsidRDefault="000739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9F0" w:rsidRPr="00290C63" w:rsidRDefault="000739F0"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739F0" w:rsidRDefault="000739F0"/>
  <w:p w:rsidR="000739F0" w:rsidRDefault="000739F0"/>
  <w:p w:rsidR="000739F0" w:rsidRDefault="000739F0"/>
  <w:p w:rsidR="000739F0" w:rsidRDefault="000739F0"/>
  <w:p w:rsidR="000739F0" w:rsidRDefault="000739F0"/>
  <w:p w:rsidR="000739F0" w:rsidRDefault="000739F0"/>
  <w:p w:rsidR="000739F0" w:rsidRDefault="000739F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0739F0" w:rsidRPr="009B6F84" w:rsidRDefault="000739F0">
        <w:pPr>
          <w:pStyle w:val="Footer"/>
          <w:rPr>
            <w:sz w:val="20"/>
          </w:rPr>
        </w:pPr>
        <w:r>
          <w:fldChar w:fldCharType="begin"/>
        </w:r>
        <w:r>
          <w:instrText xml:space="preserve"> PAGE   \* MERGEFORMAT </w:instrText>
        </w:r>
        <w:r>
          <w:fldChar w:fldCharType="separate"/>
        </w:r>
        <w:r w:rsidR="006B77CA">
          <w:rPr>
            <w:noProof/>
          </w:rPr>
          <w:t>1-3</w:t>
        </w:r>
        <w:r>
          <w:rPr>
            <w:noProof/>
          </w:rPr>
          <w:fldChar w:fldCharType="end"/>
        </w:r>
        <w:r>
          <w:rPr>
            <w:noProof/>
          </w:rPr>
          <w:t xml:space="preserve">          </w:t>
        </w:r>
        <w:r>
          <w:tab/>
          <w:t xml:space="preserve">                            </w:t>
        </w:r>
        <w:r w:rsidRPr="009B6F84">
          <w:rPr>
            <w:noProof/>
            <w:szCs w:val="16"/>
          </w:rPr>
          <w:t xml:space="preserve">Attachment 1 </w:t>
        </w:r>
        <w:r w:rsidRPr="009B6F84">
          <w:rPr>
            <w:rFonts w:cs="Gautami"/>
            <w:noProof/>
            <w:szCs w:val="16"/>
          </w:rPr>
          <w:t>– Annual revenue requirement | Ausgrid Final decision</w:t>
        </w:r>
        <w:r w:rsidRPr="009B6F84">
          <w:rPr>
            <w:sz w:val="20"/>
          </w:rPr>
          <w:t xml:space="preserve"> </w:t>
        </w:r>
        <w:r w:rsidRPr="009B6F84">
          <w:rPr>
            <w:rFonts w:cs="Gautami"/>
            <w:noProof/>
            <w:szCs w:val="16"/>
          </w:rPr>
          <w:t>2015–19</w:t>
        </w:r>
      </w:p>
    </w:sdtContent>
  </w:sdt>
  <w:p w:rsidR="000739F0" w:rsidRDefault="000739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9F0" w:rsidRPr="00290C63" w:rsidRDefault="000739F0"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739F0" w:rsidRDefault="000739F0">
    <w:pPr>
      <w:pStyle w:val="Footer"/>
    </w:pPr>
  </w:p>
  <w:p w:rsidR="000739F0" w:rsidRDefault="000739F0"/>
  <w:p w:rsidR="000739F0" w:rsidRDefault="000739F0"/>
  <w:p w:rsidR="000739F0" w:rsidRDefault="000739F0"/>
  <w:p w:rsidR="000739F0" w:rsidRDefault="000739F0"/>
  <w:p w:rsidR="000739F0" w:rsidRDefault="000739F0"/>
  <w:p w:rsidR="000739F0" w:rsidRDefault="000739F0"/>
  <w:p w:rsidR="000739F0" w:rsidRDefault="000739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9F0" w:rsidRPr="00290C63" w:rsidRDefault="000739F0" w:rsidP="00290C63">
      <w:r>
        <w:separator/>
      </w:r>
    </w:p>
    <w:p w:rsidR="000739F0" w:rsidRDefault="000739F0"/>
  </w:footnote>
  <w:footnote w:type="continuationSeparator" w:id="0">
    <w:p w:rsidR="000739F0" w:rsidRPr="00290C63" w:rsidRDefault="000739F0" w:rsidP="00290C63">
      <w:r>
        <w:continuationSeparator/>
      </w:r>
    </w:p>
    <w:p w:rsidR="000739F0" w:rsidRDefault="000739F0"/>
  </w:footnote>
  <w:footnote w:id="1">
    <w:p w:rsidR="000739F0" w:rsidRDefault="000739F0" w:rsidP="00DB12E8">
      <w:pPr>
        <w:pStyle w:val="FootnoteText"/>
      </w:pPr>
      <w:r>
        <w:rPr>
          <w:rStyle w:val="FootnoteReference"/>
        </w:rPr>
        <w:footnoteRef/>
      </w:r>
      <w:r>
        <w:t xml:space="preserve"> </w:t>
      </w:r>
      <w:r>
        <w:tab/>
        <w:t>This is referred to in the transitional rules as a 'notional' revenue requirement. We have adopted the standard terminology in chapter 6 to avoid confusion, but it still gives effect to the transitional rules.</w:t>
      </w:r>
    </w:p>
  </w:footnote>
  <w:footnote w:id="2">
    <w:p w:rsidR="000739F0" w:rsidRDefault="000739F0" w:rsidP="00760B38">
      <w:pPr>
        <w:pStyle w:val="FootnoteText"/>
      </w:pPr>
      <w:r>
        <w:rPr>
          <w:rStyle w:val="FootnoteReference"/>
        </w:rPr>
        <w:footnoteRef/>
      </w:r>
      <w:r>
        <w:t xml:space="preserve"> </w:t>
      </w:r>
      <w:r>
        <w:tab/>
        <w:t xml:space="preserve">This is the amount determined in our transitional decision for 2014–15, </w:t>
      </w:r>
      <w:proofErr w:type="gramStart"/>
      <w:r>
        <w:t xml:space="preserve">see  </w:t>
      </w:r>
      <w:r w:rsidRPr="00C41864">
        <w:t>AER</w:t>
      </w:r>
      <w:proofErr w:type="gramEnd"/>
      <w:r w:rsidRPr="00C41864">
        <w:t xml:space="preserve">, </w:t>
      </w:r>
      <w:r w:rsidRPr="00C41864">
        <w:rPr>
          <w:rStyle w:val="AERtextitalic"/>
        </w:rPr>
        <w:t>Ausgrid Endeavour Energy Essential Energy ActewAGL, Transitional distribution decision 2014–15</w:t>
      </w:r>
      <w:r w:rsidRPr="00C41864">
        <w:t xml:space="preserve">, April 2014, </w:t>
      </w:r>
      <w:r>
        <w:t>pp. 23-24</w:t>
      </w:r>
      <w:r w:rsidRPr="00C41864">
        <w:t>.</w:t>
      </w:r>
    </w:p>
  </w:footnote>
  <w:footnote w:id="3">
    <w:p w:rsidR="000739F0" w:rsidRDefault="000739F0">
      <w:pPr>
        <w:pStyle w:val="FootnoteText"/>
      </w:pPr>
      <w:r>
        <w:rPr>
          <w:rStyle w:val="FootnoteReference"/>
        </w:rPr>
        <w:footnoteRef/>
      </w:r>
      <w:r>
        <w:t xml:space="preserve"> </w:t>
      </w:r>
      <w:r>
        <w:tab/>
      </w:r>
      <w:proofErr w:type="gramStart"/>
      <w:r>
        <w:t>NER cl. 11.55.1.</w:t>
      </w:r>
      <w:proofErr w:type="gramEnd"/>
    </w:p>
  </w:footnote>
  <w:footnote w:id="4">
    <w:p w:rsidR="000739F0" w:rsidRDefault="000739F0">
      <w:pPr>
        <w:pStyle w:val="FootnoteText"/>
      </w:pPr>
      <w:r>
        <w:rPr>
          <w:rStyle w:val="FootnoteReference"/>
        </w:rPr>
        <w:footnoteRef/>
      </w:r>
      <w:r>
        <w:t xml:space="preserve"> </w:t>
      </w:r>
      <w:r>
        <w:tab/>
      </w:r>
      <w:proofErr w:type="gramStart"/>
      <w:r>
        <w:t xml:space="preserve">NER </w:t>
      </w:r>
      <w:proofErr w:type="spellStart"/>
      <w:r>
        <w:t>cll</w:t>
      </w:r>
      <w:proofErr w:type="spellEnd"/>
      <w:r>
        <w:t xml:space="preserve"> 11.56.1 and 11.56.4.</w:t>
      </w:r>
      <w:proofErr w:type="gramEnd"/>
    </w:p>
  </w:footnote>
  <w:footnote w:id="5">
    <w:p w:rsidR="000739F0" w:rsidRDefault="000739F0" w:rsidP="00B431B6">
      <w:pPr>
        <w:pStyle w:val="FootnoteText"/>
      </w:pPr>
      <w:r>
        <w:rPr>
          <w:rStyle w:val="FootnoteReference"/>
        </w:rPr>
        <w:footnoteRef/>
      </w:r>
      <w:r>
        <w:t xml:space="preserve"> </w:t>
      </w:r>
      <w:r>
        <w:tab/>
        <w:t xml:space="preserve">This amount included the net costs for metering, ancillary network services and emergency recoverable works. Although these services became alternative control services rom 1 July 2014, the costs associated with these services were to be recovered via standard control services for 2014–15 consistent with clause 11.56.3.(a)(1) of the NER. For the final decision the ANS and ERW costs for 2014–15 are those provided by Ausgrid for the transitional decision. The actual total costs for these services for 2014–15 will determined as part of the final decision. </w:t>
      </w:r>
    </w:p>
  </w:footnote>
  <w:footnote w:id="6">
    <w:p w:rsidR="000739F0" w:rsidRDefault="000739F0" w:rsidP="00B431B6">
      <w:pPr>
        <w:pStyle w:val="FootnoteText"/>
      </w:pPr>
      <w:r>
        <w:rPr>
          <w:rStyle w:val="FootnoteReference"/>
        </w:rPr>
        <w:footnoteRef/>
      </w:r>
      <w:r>
        <w:t xml:space="preserve"> </w:t>
      </w:r>
      <w:r>
        <w:tab/>
      </w:r>
      <w:r w:rsidRPr="003F5BBF">
        <w:t xml:space="preserve">AER, </w:t>
      </w:r>
      <w:r w:rsidRPr="003F5BBF">
        <w:rPr>
          <w:rStyle w:val="AERtextitalic"/>
        </w:rPr>
        <w:t>Ausgrid, Endeavour Energy, Essential Energy, ActewAGL, Transitional distribution decision 2014–15</w:t>
      </w:r>
      <w:r w:rsidRPr="003F5BBF">
        <w:t>, April 2014, p. 17.</w:t>
      </w:r>
    </w:p>
  </w:footnote>
  <w:footnote w:id="7">
    <w:p w:rsidR="000739F0" w:rsidRDefault="000739F0" w:rsidP="00513B81">
      <w:pPr>
        <w:pStyle w:val="FootnoteText"/>
      </w:pPr>
      <w:r>
        <w:rPr>
          <w:rStyle w:val="FootnoteReference"/>
        </w:rPr>
        <w:footnoteRef/>
      </w:r>
      <w:r>
        <w:t xml:space="preserve"> </w:t>
      </w:r>
      <w:r>
        <w:tab/>
        <w:t xml:space="preserve">NER, </w:t>
      </w:r>
      <w:proofErr w:type="spellStart"/>
      <w:r>
        <w:t>cll</w:t>
      </w:r>
      <w:proofErr w:type="spellEnd"/>
      <w:r>
        <w:t xml:space="preserve"> 11.56.3(a</w:t>
      </w:r>
      <w:proofErr w:type="gramStart"/>
      <w:r>
        <w:t>)(</w:t>
      </w:r>
      <w:proofErr w:type="gramEnd"/>
      <w:r>
        <w:t>1) and 11.56</w:t>
      </w:r>
      <w:r w:rsidRPr="00AA3FB9">
        <w:t>.3(</w:t>
      </w:r>
      <w:proofErr w:type="spellStart"/>
      <w:r w:rsidRPr="00AA3FB9">
        <w:t>i</w:t>
      </w:r>
      <w:proofErr w:type="spellEnd"/>
      <w:r w:rsidRPr="00AA3FB9">
        <w:t>).</w:t>
      </w:r>
    </w:p>
  </w:footnote>
  <w:footnote w:id="8">
    <w:p w:rsidR="000739F0" w:rsidRDefault="000739F0" w:rsidP="00513B81">
      <w:pPr>
        <w:pStyle w:val="FootnoteText"/>
      </w:pPr>
      <w:r>
        <w:rPr>
          <w:rStyle w:val="FootnoteReference"/>
        </w:rPr>
        <w:footnoteRef/>
      </w:r>
      <w:r>
        <w:t xml:space="preserve"> </w:t>
      </w:r>
      <w:r>
        <w:tab/>
      </w:r>
      <w:r w:rsidRPr="00AA3FB9">
        <w:t xml:space="preserve">AER, </w:t>
      </w:r>
      <w:r w:rsidRPr="00AA3FB9">
        <w:rPr>
          <w:rStyle w:val="AERtextitalic"/>
        </w:rPr>
        <w:t>Stage 2 Framework and Approach – NSW Distributors</w:t>
      </w:r>
      <w:r w:rsidRPr="00AA3FB9">
        <w:t>, January 2014, p. 40.</w:t>
      </w:r>
    </w:p>
  </w:footnote>
  <w:footnote w:id="9">
    <w:p w:rsidR="000739F0" w:rsidRDefault="000739F0" w:rsidP="00B431B6">
      <w:pPr>
        <w:pStyle w:val="FootnoteText"/>
      </w:pPr>
      <w:r>
        <w:rPr>
          <w:rStyle w:val="FootnoteReference"/>
        </w:rPr>
        <w:footnoteRef/>
      </w:r>
      <w:r>
        <w:t xml:space="preserve"> </w:t>
      </w:r>
      <w:r>
        <w:tab/>
      </w:r>
      <w:proofErr w:type="gramStart"/>
      <w:r w:rsidRPr="00B26863">
        <w:t>NER, cl 11.56</w:t>
      </w:r>
      <w:r>
        <w:t>.</w:t>
      </w:r>
      <w:r w:rsidRPr="00B26863">
        <w:t>4(h)-(</w:t>
      </w:r>
      <w:proofErr w:type="spellStart"/>
      <w:r w:rsidRPr="00B26863">
        <w:t>i</w:t>
      </w:r>
      <w:proofErr w:type="spellEnd"/>
      <w:r w:rsidRPr="00B26863">
        <w:t>).</w:t>
      </w:r>
      <w:proofErr w:type="gramEnd"/>
    </w:p>
  </w:footnote>
  <w:footnote w:id="10">
    <w:p w:rsidR="000739F0" w:rsidRDefault="000739F0">
      <w:pPr>
        <w:pStyle w:val="FootnoteText"/>
      </w:pPr>
      <w:r>
        <w:rPr>
          <w:rStyle w:val="FootnoteReference"/>
        </w:rPr>
        <w:footnoteRef/>
      </w:r>
      <w:r>
        <w:t xml:space="preserve"> </w:t>
      </w:r>
      <w:r>
        <w:tab/>
        <w:t xml:space="preserve">Ausgrid, </w:t>
      </w:r>
      <w:r w:rsidRPr="00E6101B">
        <w:rPr>
          <w:rStyle w:val="AERtextitalic"/>
        </w:rPr>
        <w:t>Rev</w:t>
      </w:r>
      <w:r>
        <w:rPr>
          <w:rStyle w:val="AERtextitalic"/>
        </w:rPr>
        <w:t>i</w:t>
      </w:r>
      <w:r w:rsidRPr="00E6101B">
        <w:rPr>
          <w:rStyle w:val="AERtextitalic"/>
        </w:rPr>
        <w:t>sed regulatory proposal</w:t>
      </w:r>
      <w:r>
        <w:t>, January 2014, p.68.</w:t>
      </w:r>
    </w:p>
  </w:footnote>
  <w:footnote w:id="11">
    <w:p w:rsidR="000739F0" w:rsidRDefault="000739F0" w:rsidP="00EE5316">
      <w:pPr>
        <w:pStyle w:val="FootnoteText"/>
      </w:pPr>
      <w:r>
        <w:rPr>
          <w:rStyle w:val="FootnoteReference"/>
        </w:rPr>
        <w:footnoteRef/>
      </w:r>
      <w:r>
        <w:t xml:space="preserve"> </w:t>
      </w:r>
      <w:r>
        <w:tab/>
      </w:r>
      <w:proofErr w:type="gramStart"/>
      <w:r>
        <w:t>AGL,</w:t>
      </w:r>
      <w:r w:rsidRPr="00376D68">
        <w:t xml:space="preserve"> </w:t>
      </w:r>
      <w:r w:rsidRPr="000F65EE">
        <w:rPr>
          <w:rStyle w:val="AERtextitalic"/>
        </w:rPr>
        <w:t xml:space="preserve">Submission on </w:t>
      </w:r>
      <w:r>
        <w:rPr>
          <w:rStyle w:val="AERtextitalic"/>
        </w:rPr>
        <w:t>NSW DNSPs d</w:t>
      </w:r>
      <w:r w:rsidRPr="00392868">
        <w:rPr>
          <w:rStyle w:val="AERtextitalic"/>
        </w:rPr>
        <w:t xml:space="preserve">raft </w:t>
      </w:r>
      <w:r>
        <w:rPr>
          <w:rStyle w:val="AERtextitalic"/>
        </w:rPr>
        <w:t>d</w:t>
      </w:r>
      <w:r w:rsidRPr="00392868">
        <w:rPr>
          <w:rStyle w:val="AERtextitalic"/>
        </w:rPr>
        <w:t>ecision</w:t>
      </w:r>
      <w:r>
        <w:t>,</w:t>
      </w:r>
      <w:r w:rsidRPr="00376D68">
        <w:t xml:space="preserve"> 1</w:t>
      </w:r>
      <w:r>
        <w:t>5</w:t>
      </w:r>
      <w:r w:rsidRPr="00376D68">
        <w:t xml:space="preserve"> February 2015</w:t>
      </w:r>
      <w:r>
        <w:t>, p. 3</w:t>
      </w:r>
      <w:r w:rsidRPr="00392868">
        <w:rPr>
          <w:rStyle w:val="AERtextitalic"/>
        </w:rPr>
        <w:t>.</w:t>
      </w:r>
      <w:proofErr w:type="gramEnd"/>
    </w:p>
  </w:footnote>
  <w:footnote w:id="12">
    <w:p w:rsidR="000739F0" w:rsidRDefault="000739F0" w:rsidP="00EE5316">
      <w:pPr>
        <w:pStyle w:val="FootnoteText"/>
      </w:pPr>
      <w:r>
        <w:rPr>
          <w:rStyle w:val="FootnoteReference"/>
        </w:rPr>
        <w:footnoteRef/>
      </w:r>
      <w:r>
        <w:t xml:space="preserve"> </w:t>
      </w:r>
      <w:r>
        <w:tab/>
      </w:r>
      <w:proofErr w:type="gramStart"/>
      <w:r w:rsidRPr="0041357C">
        <w:t>NER, cl 11.56.4</w:t>
      </w:r>
      <w:r>
        <w:t>(h)-(</w:t>
      </w:r>
      <w:proofErr w:type="spellStart"/>
      <w:r>
        <w:t>i</w:t>
      </w:r>
      <w:proofErr w:type="spellEnd"/>
      <w:r>
        <w:t>).</w:t>
      </w:r>
      <w:proofErr w:type="gramEnd"/>
    </w:p>
  </w:footnote>
  <w:footnote w:id="13">
    <w:p w:rsidR="000739F0" w:rsidRDefault="000739F0" w:rsidP="00513B81">
      <w:pPr>
        <w:pStyle w:val="FootnoteText"/>
      </w:pPr>
      <w:r>
        <w:rPr>
          <w:rStyle w:val="FootnoteReference"/>
        </w:rPr>
        <w:footnoteRef/>
      </w:r>
      <w:r>
        <w:t xml:space="preserve"> </w:t>
      </w:r>
      <w:r>
        <w:tab/>
      </w:r>
      <w:proofErr w:type="gramStart"/>
      <w:r w:rsidRPr="00AA3FB9">
        <w:t>NER, cl 11.55.3(</w:t>
      </w:r>
      <w:proofErr w:type="spellStart"/>
      <w:r w:rsidRPr="00AA3FB9">
        <w:t>i</w:t>
      </w:r>
      <w:proofErr w:type="spellEnd"/>
      <w:r w:rsidRPr="00AA3FB9">
        <w:t>).</w:t>
      </w:r>
      <w:proofErr w:type="gramEnd"/>
    </w:p>
  </w:footnote>
  <w:footnote w:id="14">
    <w:p w:rsidR="000739F0" w:rsidRDefault="000739F0" w:rsidP="00513B81">
      <w:pPr>
        <w:pStyle w:val="FootnoteText"/>
      </w:pPr>
      <w:r>
        <w:rPr>
          <w:rStyle w:val="FootnoteReference"/>
        </w:rPr>
        <w:footnoteRef/>
      </w:r>
      <w:r>
        <w:t xml:space="preserve"> </w:t>
      </w:r>
      <w:r>
        <w:tab/>
        <w:t>Refer to attachment 16 – Alternative control services for further details.</w:t>
      </w:r>
    </w:p>
  </w:footnote>
  <w:footnote w:id="15">
    <w:p w:rsidR="000739F0" w:rsidRDefault="000739F0">
      <w:pPr>
        <w:pStyle w:val="FootnoteText"/>
      </w:pPr>
      <w:r>
        <w:rPr>
          <w:rStyle w:val="FootnoteReference"/>
        </w:rPr>
        <w:footnoteRef/>
      </w:r>
      <w:r>
        <w:t xml:space="preserve"> </w:t>
      </w:r>
      <w:r>
        <w:tab/>
        <w:t xml:space="preserve">The X factors represent the rate of change in the real revenue path over the 2014–19 </w:t>
      </w:r>
      <w:proofErr w:type="gramStart"/>
      <w:r>
        <w:t>period</w:t>
      </w:r>
      <w:proofErr w:type="gramEnd"/>
      <w:r>
        <w:t xml:space="preserve"> under the CPI–X framework. They must </w:t>
      </w:r>
      <w:r w:rsidRPr="00F50D2E">
        <w:t>equalise (in net present value</w:t>
      </w:r>
      <w:r w:rsidRPr="007F412B">
        <w:t xml:space="preserve"> </w:t>
      </w:r>
      <w:r>
        <w:t>terms</w:t>
      </w:r>
      <w:r w:rsidRPr="00F50D2E">
        <w:t xml:space="preserve">) the </w:t>
      </w:r>
      <w:r>
        <w:t xml:space="preserve">total expected </w:t>
      </w:r>
      <w:r w:rsidRPr="00F50D2E">
        <w:t>revenue</w:t>
      </w:r>
      <w:r>
        <w:t>s</w:t>
      </w:r>
      <w:r w:rsidRPr="00F50D2E">
        <w:t xml:space="preserve"> to be earned by the </w:t>
      </w:r>
      <w:r>
        <w:t>s</w:t>
      </w:r>
      <w:r w:rsidRPr="00F50D2E">
        <w:t xml:space="preserve">ervice </w:t>
      </w:r>
      <w:r>
        <w:t>p</w:t>
      </w:r>
      <w:r w:rsidRPr="00F50D2E">
        <w:t xml:space="preserve">rovider with the total </w:t>
      </w:r>
      <w:r>
        <w:t>revenue requirement</w:t>
      </w:r>
      <w:r w:rsidRPr="00F50D2E">
        <w:t xml:space="preserve"> </w:t>
      </w:r>
      <w:r>
        <w:t xml:space="preserve">for that </w:t>
      </w:r>
      <w:r w:rsidRPr="00F50D2E">
        <w:t>period</w:t>
      </w:r>
      <w:r>
        <w:t>.</w:t>
      </w:r>
    </w:p>
  </w:footnote>
  <w:footnote w:id="16">
    <w:p w:rsidR="000739F0" w:rsidRDefault="000739F0" w:rsidP="00D67D8F">
      <w:pPr>
        <w:pStyle w:val="FootnoteText"/>
      </w:pPr>
      <w:r>
        <w:rPr>
          <w:rStyle w:val="FootnoteReference"/>
        </w:rPr>
        <w:footnoteRef/>
      </w:r>
      <w:r>
        <w:t xml:space="preserve"> </w:t>
      </w:r>
      <w:r>
        <w:tab/>
      </w:r>
      <w:proofErr w:type="gramStart"/>
      <w:r w:rsidRPr="00E35236">
        <w:t>Networks NSW</w:t>
      </w:r>
      <w:r>
        <w:t>,</w:t>
      </w:r>
      <w:r w:rsidRPr="00E35236">
        <w:t xml:space="preserve"> </w:t>
      </w:r>
      <w:r w:rsidRPr="00C02364">
        <w:rPr>
          <w:rStyle w:val="AERtextitalic"/>
        </w:rPr>
        <w:t>NSW DNSP's</w:t>
      </w:r>
      <w:r>
        <w:t xml:space="preserve"> </w:t>
      </w:r>
      <w:r>
        <w:rPr>
          <w:rStyle w:val="AERtextitalic"/>
        </w:rPr>
        <w:t>s</w:t>
      </w:r>
      <w:r w:rsidRPr="00FD5E98">
        <w:rPr>
          <w:rStyle w:val="AERtextitalic"/>
        </w:rPr>
        <w:t xml:space="preserve">ubmission on </w:t>
      </w:r>
      <w:r>
        <w:rPr>
          <w:rStyle w:val="AERtextitalic"/>
        </w:rPr>
        <w:t>the AER's draft determinations</w:t>
      </w:r>
      <w:r>
        <w:t>,</w:t>
      </w:r>
      <w:r w:rsidRPr="00E35236">
        <w:t xml:space="preserve"> 1</w:t>
      </w:r>
      <w:r>
        <w:t>3 February 2015, pp. 7–8.</w:t>
      </w:r>
      <w:proofErr w:type="gramEnd"/>
    </w:p>
  </w:footnote>
  <w:footnote w:id="17">
    <w:p w:rsidR="000739F0" w:rsidRDefault="000739F0" w:rsidP="00E974B2">
      <w:pPr>
        <w:pStyle w:val="FootnoteText"/>
      </w:pPr>
      <w:r>
        <w:rPr>
          <w:rStyle w:val="FootnoteReference"/>
        </w:rPr>
        <w:footnoteRef/>
      </w:r>
      <w:r>
        <w:t xml:space="preserve"> </w:t>
      </w:r>
      <w:r>
        <w:tab/>
      </w:r>
      <w:proofErr w:type="gramStart"/>
      <w:r>
        <w:t>NER, cl 11.56.4(c).</w:t>
      </w:r>
      <w:proofErr w:type="gramEnd"/>
    </w:p>
  </w:footnote>
  <w:footnote w:id="18">
    <w:p w:rsidR="000739F0" w:rsidRDefault="000739F0">
      <w:pPr>
        <w:pStyle w:val="FootnoteText"/>
      </w:pPr>
      <w:r>
        <w:rPr>
          <w:rStyle w:val="FootnoteReference"/>
        </w:rPr>
        <w:footnoteRef/>
      </w:r>
      <w:r>
        <w:t xml:space="preserve"> </w:t>
      </w:r>
      <w:r>
        <w:tab/>
        <w:t>Clause 11.56.4(c) of the NER removes the requirement under cl. 6.5.9(b)(2) of the NER, that the X factors be set to minimise the variance, as far as reasonably possible, between expected revenue and ARR of the last regulatory year of the regulatory control period .</w:t>
      </w:r>
    </w:p>
  </w:footnote>
  <w:footnote w:id="19">
    <w:p w:rsidR="000739F0" w:rsidRDefault="000739F0" w:rsidP="00B431B6">
      <w:pPr>
        <w:pStyle w:val="FootnoteText"/>
      </w:pPr>
      <w:r>
        <w:rPr>
          <w:rStyle w:val="FootnoteReference"/>
        </w:rPr>
        <w:footnoteRef/>
      </w:r>
      <w:r>
        <w:t xml:space="preserve"> </w:t>
      </w:r>
      <w:r>
        <w:tab/>
      </w:r>
      <w:r w:rsidRPr="0008590B">
        <w:t xml:space="preserve">AER, </w:t>
      </w:r>
      <w:r w:rsidRPr="0008590B">
        <w:rPr>
          <w:rStyle w:val="AERtextitalic"/>
        </w:rPr>
        <w:t>Ausgrid Endeavour Energy Essential Energy ActewAGL, Transitional distribution decision 2014–15</w:t>
      </w:r>
      <w:r w:rsidRPr="0008590B">
        <w:t>, April 2014, p.</w:t>
      </w:r>
      <w:r>
        <w:t> </w:t>
      </w:r>
      <w:r w:rsidRPr="0008590B">
        <w:t>20.</w:t>
      </w:r>
    </w:p>
  </w:footnote>
  <w:footnote w:id="20">
    <w:p w:rsidR="000739F0" w:rsidRDefault="000739F0" w:rsidP="00A32071">
      <w:pPr>
        <w:pStyle w:val="FootnoteText"/>
      </w:pPr>
      <w:r>
        <w:rPr>
          <w:rStyle w:val="FootnoteReference"/>
        </w:rPr>
        <w:footnoteRef/>
      </w:r>
      <w:r>
        <w:t xml:space="preserve"> </w:t>
      </w:r>
      <w:r>
        <w:tab/>
      </w:r>
      <w:proofErr w:type="gramStart"/>
      <w:r>
        <w:t xml:space="preserve">AER, </w:t>
      </w:r>
      <w:r w:rsidRPr="00967BFA">
        <w:rPr>
          <w:rStyle w:val="Emphasis"/>
        </w:rPr>
        <w:t xml:space="preserve">Draft decision </w:t>
      </w:r>
      <w:r>
        <w:rPr>
          <w:rStyle w:val="Emphasis"/>
        </w:rPr>
        <w:t>Ausgrid</w:t>
      </w:r>
      <w:r w:rsidRPr="00967BFA">
        <w:rPr>
          <w:rStyle w:val="Emphasis"/>
        </w:rPr>
        <w:t xml:space="preserve"> distribution determination – Attachment 1 – Annual revenue requirement</w:t>
      </w:r>
      <w:r>
        <w:t>, November 2014, pp. 22-23.</w:t>
      </w:r>
      <w:proofErr w:type="gramEnd"/>
    </w:p>
  </w:footnote>
  <w:footnote w:id="21">
    <w:p w:rsidR="000739F0" w:rsidRDefault="000739F0">
      <w:pPr>
        <w:pStyle w:val="FootnoteText"/>
      </w:pPr>
      <w:r>
        <w:rPr>
          <w:rStyle w:val="FootnoteReference"/>
        </w:rPr>
        <w:footnoteRef/>
      </w:r>
      <w:r>
        <w:t xml:space="preserve"> </w:t>
      </w:r>
      <w:r>
        <w:tab/>
        <w:t xml:space="preserve">See AER, </w:t>
      </w:r>
      <w:r w:rsidRPr="00EB6DFE">
        <w:rPr>
          <w:rStyle w:val="AERtextitalic"/>
        </w:rPr>
        <w:t>Final decision TransGrid transmission determination – Attachment 1 – Maximum allowed revenue</w:t>
      </w:r>
      <w:r>
        <w:t>, April 2015, section 1.4.3.</w:t>
      </w:r>
    </w:p>
  </w:footnote>
  <w:footnote w:id="22">
    <w:p w:rsidR="000739F0" w:rsidRDefault="000739F0" w:rsidP="00B431B6">
      <w:pPr>
        <w:pStyle w:val="FootnoteText"/>
      </w:pPr>
      <w:r>
        <w:rPr>
          <w:rStyle w:val="FootnoteReference"/>
        </w:rPr>
        <w:footnoteRef/>
      </w:r>
      <w:r>
        <w:t xml:space="preserve"> </w:t>
      </w:r>
      <w:r>
        <w:tab/>
      </w:r>
      <w:r w:rsidRPr="00A575BB">
        <w:t xml:space="preserve">This approach is further discussed in the AER’s </w:t>
      </w:r>
      <w:r>
        <w:t xml:space="preserve">final </w:t>
      </w:r>
      <w:r w:rsidRPr="00A575BB">
        <w:t xml:space="preserve">determination for </w:t>
      </w:r>
      <w:proofErr w:type="gramStart"/>
      <w:r w:rsidRPr="00A575BB">
        <w:t>TransGrid,</w:t>
      </w:r>
      <w:proofErr w:type="gramEnd"/>
      <w:r w:rsidRPr="00A575BB">
        <w:t xml:space="preserve"> see AER, </w:t>
      </w:r>
      <w:r w:rsidRPr="00EB319A">
        <w:rPr>
          <w:rStyle w:val="AERtextitalic"/>
        </w:rPr>
        <w:t>TransGrid</w:t>
      </w:r>
      <w:r>
        <w:rPr>
          <w:rStyle w:val="AERtextitalic"/>
        </w:rPr>
        <w:t xml:space="preserve"> transmission determination 2015–16 to </w:t>
      </w:r>
      <w:r w:rsidRPr="00EB319A">
        <w:rPr>
          <w:rStyle w:val="AERtextitalic"/>
        </w:rPr>
        <w:t>201</w:t>
      </w:r>
      <w:r>
        <w:rPr>
          <w:rStyle w:val="AERtextitalic"/>
        </w:rPr>
        <w:t>7</w:t>
      </w:r>
      <w:r w:rsidRPr="00EB319A">
        <w:rPr>
          <w:rStyle w:val="AERtextitalic"/>
          <w:rFonts w:hint="eastAsia"/>
        </w:rPr>
        <w:t>–</w:t>
      </w:r>
      <w:r w:rsidRPr="00EB319A">
        <w:rPr>
          <w:rStyle w:val="AERtextitalic"/>
        </w:rPr>
        <w:t>18</w:t>
      </w:r>
      <w:r>
        <w:t>, April</w:t>
      </w:r>
      <w:r w:rsidRPr="00A575BB">
        <w:t xml:space="preserve"> 201</w:t>
      </w:r>
      <w:r>
        <w:t>5, Attachment 1</w:t>
      </w:r>
      <w:r w:rsidRPr="00A575BB">
        <w:t xml:space="preserve">. </w:t>
      </w:r>
      <w:r>
        <w:t xml:space="preserve"> </w:t>
      </w:r>
    </w:p>
  </w:footnote>
  <w:footnote w:id="23">
    <w:p w:rsidR="000739F0" w:rsidRDefault="000739F0" w:rsidP="00B431B6">
      <w:pPr>
        <w:pStyle w:val="FootnoteText"/>
      </w:pPr>
      <w:r>
        <w:rPr>
          <w:rStyle w:val="FootnoteReference"/>
        </w:rPr>
        <w:footnoteRef/>
      </w:r>
      <w:r>
        <w:t xml:space="preserve"> </w:t>
      </w:r>
      <w:r>
        <w:tab/>
      </w:r>
      <w:proofErr w:type="gramStart"/>
      <w:r w:rsidRPr="00CA283F">
        <w:t xml:space="preserve">Ausgrid, </w:t>
      </w:r>
      <w:r w:rsidRPr="00CA283F">
        <w:rPr>
          <w:rStyle w:val="AERtextitalic"/>
        </w:rPr>
        <w:t>Regulatory proposal</w:t>
      </w:r>
      <w:r w:rsidRPr="00CA283F">
        <w:t>,</w:t>
      </w:r>
      <w:r>
        <w:t xml:space="preserve"> May 2014, p. </w:t>
      </w:r>
      <w:r w:rsidRPr="00CA283F">
        <w:t>4.</w:t>
      </w:r>
      <w:proofErr w:type="gramEnd"/>
    </w:p>
  </w:footnote>
  <w:footnote w:id="24">
    <w:p w:rsidR="000739F0" w:rsidRDefault="000739F0" w:rsidP="00B431B6">
      <w:pPr>
        <w:pStyle w:val="FootnoteText"/>
      </w:pPr>
      <w:r>
        <w:rPr>
          <w:rStyle w:val="FootnoteReference"/>
        </w:rPr>
        <w:footnoteRef/>
      </w:r>
      <w:r>
        <w:t xml:space="preserve"> </w:t>
      </w:r>
      <w:r>
        <w:tab/>
      </w:r>
      <w:r w:rsidRPr="003B2318">
        <w:t xml:space="preserve">IPART, </w:t>
      </w:r>
      <w:r w:rsidRPr="003B2318">
        <w:rPr>
          <w:rStyle w:val="AERtextitalic"/>
        </w:rPr>
        <w:t>Final report: Review of regulated retail prices for Electricity from 1 July 2013 to 30 June 2016</w:t>
      </w:r>
      <w:r w:rsidRPr="003B2318">
        <w:t>, June 2013, p. 5.</w:t>
      </w:r>
    </w:p>
  </w:footnote>
  <w:footnote w:id="25">
    <w:p w:rsidR="00525EAA" w:rsidRDefault="00525EAA" w:rsidP="00525EAA">
      <w:pPr>
        <w:pStyle w:val="FootnoteText"/>
      </w:pPr>
      <w:r>
        <w:rPr>
          <w:rStyle w:val="FootnoteReference"/>
        </w:rPr>
        <w:footnoteRef/>
      </w:r>
      <w:r>
        <w:t xml:space="preserve"> </w:t>
      </w:r>
      <w:r>
        <w:tab/>
        <w:t xml:space="preserve">We also include </w:t>
      </w:r>
      <w:proofErr w:type="spellStart"/>
      <w:r>
        <w:t>ActewAGL's</w:t>
      </w:r>
      <w:proofErr w:type="spellEnd"/>
      <w:r>
        <w:t xml:space="preserve"> and </w:t>
      </w:r>
      <w:proofErr w:type="spellStart"/>
      <w:r>
        <w:t>Directlink's</w:t>
      </w:r>
      <w:proofErr w:type="spellEnd"/>
      <w:r>
        <w:t xml:space="preserve"> transmission revenues–they operate transmission assets in NSW/ACT.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3F44DE"/>
    <w:multiLevelType w:val="multilevel"/>
    <w:tmpl w:val="950A1C52"/>
    <w:numStyleLink w:val="AERHeadings"/>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592056E"/>
    <w:multiLevelType w:val="multilevel"/>
    <w:tmpl w:val="950A1C52"/>
    <w:numStyleLink w:val="AERHeadings"/>
  </w:abstractNum>
  <w:abstractNum w:abstractNumId="17">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295C7239"/>
    <w:multiLevelType w:val="multilevel"/>
    <w:tmpl w:val="950A1C52"/>
    <w:numStyleLink w:val="AERHeadings"/>
  </w:abstractNum>
  <w:abstractNum w:abstractNumId="20">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2">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F5F4FFC"/>
    <w:multiLevelType w:val="multilevel"/>
    <w:tmpl w:val="950A1C52"/>
    <w:numStyleLink w:val="AERHeadings"/>
  </w:abstractNum>
  <w:abstractNum w:abstractNumId="26">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41A80E45"/>
    <w:multiLevelType w:val="multilevel"/>
    <w:tmpl w:val="950A1C52"/>
    <w:numStyleLink w:val="AERHeadings"/>
  </w:abstractNum>
  <w:abstractNum w:abstractNumId="28">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9">
    <w:nsid w:val="487C7731"/>
    <w:multiLevelType w:val="multilevel"/>
    <w:tmpl w:val="950A1C52"/>
    <w:numStyleLink w:val="AERHeadings"/>
  </w:abstractNum>
  <w:abstractNum w:abstractNumId="3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3">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5">
    <w:nsid w:val="5ECE4384"/>
    <w:multiLevelType w:val="multilevel"/>
    <w:tmpl w:val="867CE5F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7">
    <w:nsid w:val="6DE36827"/>
    <w:multiLevelType w:val="multilevel"/>
    <w:tmpl w:val="950A1C52"/>
    <w:numStyleLink w:val="AERHeadings"/>
  </w:abstractNum>
  <w:abstractNum w:abstractNumId="3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4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4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6"/>
  </w:num>
  <w:num w:numId="13">
    <w:abstractNumId w:val="23"/>
  </w:num>
  <w:num w:numId="14">
    <w:abstractNumId w:val="10"/>
  </w:num>
  <w:num w:numId="15">
    <w:abstractNumId w:val="13"/>
  </w:num>
  <w:num w:numId="16">
    <w:abstractNumId w:val="30"/>
  </w:num>
  <w:num w:numId="17">
    <w:abstractNumId w:val="9"/>
  </w:num>
  <w:num w:numId="18">
    <w:abstractNumId w:val="18"/>
  </w:num>
  <w:num w:numId="19">
    <w:abstractNumId w:val="31"/>
  </w:num>
  <w:num w:numId="20">
    <w:abstractNumId w:val="38"/>
  </w:num>
  <w:num w:numId="21">
    <w:abstractNumId w:val="14"/>
  </w:num>
  <w:num w:numId="22">
    <w:abstractNumId w:val="34"/>
  </w:num>
  <w:num w:numId="23">
    <w:abstractNumId w:val="32"/>
  </w:num>
  <w:num w:numId="24">
    <w:abstractNumId w:val="21"/>
  </w:num>
  <w:num w:numId="25">
    <w:abstractNumId w:val="33"/>
  </w:num>
  <w:num w:numId="26">
    <w:abstractNumId w:val="35"/>
  </w:num>
  <w:num w:numId="27">
    <w:abstractNumId w:val="22"/>
  </w:num>
  <w:num w:numId="28">
    <w:abstractNumId w:val="20"/>
  </w:num>
  <w:num w:numId="29">
    <w:abstractNumId w:val="17"/>
  </w:num>
  <w:num w:numId="30">
    <w:abstractNumId w:val="39"/>
  </w:num>
  <w:num w:numId="31">
    <w:abstractNumId w:val="15"/>
  </w:num>
  <w:num w:numId="32">
    <w:abstractNumId w:val="26"/>
  </w:num>
  <w:num w:numId="33">
    <w:abstractNumId w:val="21"/>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7"/>
  </w:num>
  <w:num w:numId="37">
    <w:abstractNumId w:val="29"/>
  </w:num>
  <w:num w:numId="38">
    <w:abstractNumId w:val="25"/>
  </w:num>
  <w:num w:numId="39">
    <w:abstractNumId w:val="12"/>
  </w:num>
  <w:num w:numId="40">
    <w:abstractNumId w:val="35"/>
  </w:num>
  <w:num w:numId="41">
    <w:abstractNumId w:val="35"/>
  </w:num>
  <w:num w:numId="42">
    <w:abstractNumId w:val="27"/>
  </w:num>
  <w:num w:numId="43">
    <w:abstractNumId w:val="16"/>
  </w:num>
  <w:num w:numId="44">
    <w:abstractNumId w:val="28"/>
  </w:num>
  <w:num w:numId="45">
    <w:abstractNumId w:val="24"/>
  </w:num>
  <w:num w:numId="46">
    <w:abstractNumId w:val="19"/>
  </w:num>
  <w:num w:numId="47">
    <w:abstractNumId w:val="40"/>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09pYkPc/B7ZxmK3PgUnp1GXwBxamh8NC5QPYMFk+ADw=" w:saltValue="nZB80UwhYRA1KDvYvL8ULw==" w:algorithmName="SHA-256"/>
  <w:defaultTabStop w:val="34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6572\AER15 321  ActewAGL final decision - Attachment 1 - Annual revenue requirement.DOCX"/>
  </w:docVars>
  <w:rsids>
    <w:rsidRoot w:val="00961A4A"/>
    <w:rsid w:val="00021202"/>
    <w:rsid w:val="00021C2B"/>
    <w:rsid w:val="00022011"/>
    <w:rsid w:val="0002517F"/>
    <w:rsid w:val="0003578C"/>
    <w:rsid w:val="00037501"/>
    <w:rsid w:val="0006069F"/>
    <w:rsid w:val="00063247"/>
    <w:rsid w:val="00070F9F"/>
    <w:rsid w:val="0007137B"/>
    <w:rsid w:val="00072115"/>
    <w:rsid w:val="000739F0"/>
    <w:rsid w:val="00085663"/>
    <w:rsid w:val="00085EBF"/>
    <w:rsid w:val="00091B15"/>
    <w:rsid w:val="000A3020"/>
    <w:rsid w:val="000A6C7B"/>
    <w:rsid w:val="000C2B40"/>
    <w:rsid w:val="000D122C"/>
    <w:rsid w:val="000D63EF"/>
    <w:rsid w:val="000E14AE"/>
    <w:rsid w:val="000E1819"/>
    <w:rsid w:val="000E4821"/>
    <w:rsid w:val="000E4CDB"/>
    <w:rsid w:val="000E6C72"/>
    <w:rsid w:val="000F156C"/>
    <w:rsid w:val="00101865"/>
    <w:rsid w:val="00116EB2"/>
    <w:rsid w:val="00124609"/>
    <w:rsid w:val="00126A4C"/>
    <w:rsid w:val="0014573B"/>
    <w:rsid w:val="00151605"/>
    <w:rsid w:val="001573E4"/>
    <w:rsid w:val="00160756"/>
    <w:rsid w:val="00170E6A"/>
    <w:rsid w:val="0017232E"/>
    <w:rsid w:val="00174102"/>
    <w:rsid w:val="001754EE"/>
    <w:rsid w:val="00180157"/>
    <w:rsid w:val="00185CB9"/>
    <w:rsid w:val="00186F77"/>
    <w:rsid w:val="001926A4"/>
    <w:rsid w:val="00192AD5"/>
    <w:rsid w:val="001B45A0"/>
    <w:rsid w:val="001C6D55"/>
    <w:rsid w:val="001D055E"/>
    <w:rsid w:val="001F05A4"/>
    <w:rsid w:val="001F492E"/>
    <w:rsid w:val="001F6DA3"/>
    <w:rsid w:val="002010BC"/>
    <w:rsid w:val="002016E7"/>
    <w:rsid w:val="00202E03"/>
    <w:rsid w:val="0020492C"/>
    <w:rsid w:val="00217068"/>
    <w:rsid w:val="00224DB9"/>
    <w:rsid w:val="00226B4A"/>
    <w:rsid w:val="00233775"/>
    <w:rsid w:val="00251745"/>
    <w:rsid w:val="00263AC0"/>
    <w:rsid w:val="00264264"/>
    <w:rsid w:val="0026476C"/>
    <w:rsid w:val="00267568"/>
    <w:rsid w:val="0026772D"/>
    <w:rsid w:val="00286874"/>
    <w:rsid w:val="00290C63"/>
    <w:rsid w:val="002945F5"/>
    <w:rsid w:val="00296B65"/>
    <w:rsid w:val="002A5203"/>
    <w:rsid w:val="002A7DEF"/>
    <w:rsid w:val="002C233C"/>
    <w:rsid w:val="002D2A7D"/>
    <w:rsid w:val="002D72E8"/>
    <w:rsid w:val="002E7B22"/>
    <w:rsid w:val="002F7986"/>
    <w:rsid w:val="00301B40"/>
    <w:rsid w:val="003029EE"/>
    <w:rsid w:val="00303ABF"/>
    <w:rsid w:val="00305CC8"/>
    <w:rsid w:val="00307F6D"/>
    <w:rsid w:val="00311A17"/>
    <w:rsid w:val="003177A2"/>
    <w:rsid w:val="003271B5"/>
    <w:rsid w:val="00327A1E"/>
    <w:rsid w:val="00330F7D"/>
    <w:rsid w:val="00331264"/>
    <w:rsid w:val="00334C8D"/>
    <w:rsid w:val="00343A18"/>
    <w:rsid w:val="003518B3"/>
    <w:rsid w:val="00376A14"/>
    <w:rsid w:val="003846F1"/>
    <w:rsid w:val="00392431"/>
    <w:rsid w:val="003B484F"/>
    <w:rsid w:val="003B7FBA"/>
    <w:rsid w:val="003E2E56"/>
    <w:rsid w:val="003E661C"/>
    <w:rsid w:val="003F174D"/>
    <w:rsid w:val="00415F31"/>
    <w:rsid w:val="00423A77"/>
    <w:rsid w:val="00445763"/>
    <w:rsid w:val="00450D4B"/>
    <w:rsid w:val="0045777E"/>
    <w:rsid w:val="00464793"/>
    <w:rsid w:val="00480B4B"/>
    <w:rsid w:val="00485DC4"/>
    <w:rsid w:val="004A43D1"/>
    <w:rsid w:val="004B4412"/>
    <w:rsid w:val="004C348C"/>
    <w:rsid w:val="004D55BA"/>
    <w:rsid w:val="004D68D6"/>
    <w:rsid w:val="004E22EC"/>
    <w:rsid w:val="004E41BD"/>
    <w:rsid w:val="004F6A0E"/>
    <w:rsid w:val="005007E0"/>
    <w:rsid w:val="00513B81"/>
    <w:rsid w:val="00525EAA"/>
    <w:rsid w:val="00530128"/>
    <w:rsid w:val="00532467"/>
    <w:rsid w:val="0053757E"/>
    <w:rsid w:val="00564A4D"/>
    <w:rsid w:val="00567BA5"/>
    <w:rsid w:val="00571B35"/>
    <w:rsid w:val="00571D57"/>
    <w:rsid w:val="00577A09"/>
    <w:rsid w:val="005829C2"/>
    <w:rsid w:val="00584D8F"/>
    <w:rsid w:val="005A404D"/>
    <w:rsid w:val="005B1E3C"/>
    <w:rsid w:val="005B704A"/>
    <w:rsid w:val="005C1A7C"/>
    <w:rsid w:val="005C26CC"/>
    <w:rsid w:val="005C360D"/>
    <w:rsid w:val="005D7BA2"/>
    <w:rsid w:val="005E36C2"/>
    <w:rsid w:val="005E65F7"/>
    <w:rsid w:val="00610EF9"/>
    <w:rsid w:val="00612F4F"/>
    <w:rsid w:val="00615C6B"/>
    <w:rsid w:val="00621DCE"/>
    <w:rsid w:val="00632D6D"/>
    <w:rsid w:val="00642C3E"/>
    <w:rsid w:val="00650F97"/>
    <w:rsid w:val="0066104A"/>
    <w:rsid w:val="00663DAD"/>
    <w:rsid w:val="00675E20"/>
    <w:rsid w:val="00676679"/>
    <w:rsid w:val="00683C89"/>
    <w:rsid w:val="006A208C"/>
    <w:rsid w:val="006B2395"/>
    <w:rsid w:val="006B4CF9"/>
    <w:rsid w:val="006B77CA"/>
    <w:rsid w:val="006B7AC8"/>
    <w:rsid w:val="006C1736"/>
    <w:rsid w:val="006D550F"/>
    <w:rsid w:val="006D59E6"/>
    <w:rsid w:val="006F2C2C"/>
    <w:rsid w:val="0070011E"/>
    <w:rsid w:val="00701CAB"/>
    <w:rsid w:val="00707563"/>
    <w:rsid w:val="007169EB"/>
    <w:rsid w:val="0072348C"/>
    <w:rsid w:val="00724A37"/>
    <w:rsid w:val="007303C3"/>
    <w:rsid w:val="007429BE"/>
    <w:rsid w:val="00743223"/>
    <w:rsid w:val="00746E01"/>
    <w:rsid w:val="00757364"/>
    <w:rsid w:val="00757BDF"/>
    <w:rsid w:val="007609D0"/>
    <w:rsid w:val="00760B38"/>
    <w:rsid w:val="00763E5D"/>
    <w:rsid w:val="00765C5C"/>
    <w:rsid w:val="00767740"/>
    <w:rsid w:val="00777EE6"/>
    <w:rsid w:val="00782EEA"/>
    <w:rsid w:val="007A7874"/>
    <w:rsid w:val="007B186E"/>
    <w:rsid w:val="007B2C72"/>
    <w:rsid w:val="007C1C53"/>
    <w:rsid w:val="007C74BB"/>
    <w:rsid w:val="007D456E"/>
    <w:rsid w:val="007E3B81"/>
    <w:rsid w:val="007E4904"/>
    <w:rsid w:val="007E4CB5"/>
    <w:rsid w:val="007F066B"/>
    <w:rsid w:val="008033C4"/>
    <w:rsid w:val="00806C88"/>
    <w:rsid w:val="0081034E"/>
    <w:rsid w:val="008230FD"/>
    <w:rsid w:val="008344F6"/>
    <w:rsid w:val="0083510F"/>
    <w:rsid w:val="00851209"/>
    <w:rsid w:val="00866CC9"/>
    <w:rsid w:val="008837AC"/>
    <w:rsid w:val="008A587D"/>
    <w:rsid w:val="008B35CD"/>
    <w:rsid w:val="008B5FCC"/>
    <w:rsid w:val="008C5486"/>
    <w:rsid w:val="008D0E96"/>
    <w:rsid w:val="008D1661"/>
    <w:rsid w:val="008D6800"/>
    <w:rsid w:val="008E7031"/>
    <w:rsid w:val="008E77DE"/>
    <w:rsid w:val="008F07A3"/>
    <w:rsid w:val="008F5D76"/>
    <w:rsid w:val="009001B6"/>
    <w:rsid w:val="00900E1B"/>
    <w:rsid w:val="009233EE"/>
    <w:rsid w:val="0093262C"/>
    <w:rsid w:val="009460AA"/>
    <w:rsid w:val="00951978"/>
    <w:rsid w:val="00961A4A"/>
    <w:rsid w:val="009661DE"/>
    <w:rsid w:val="0097618C"/>
    <w:rsid w:val="00980979"/>
    <w:rsid w:val="00983C25"/>
    <w:rsid w:val="009856B7"/>
    <w:rsid w:val="00985C86"/>
    <w:rsid w:val="009A02C6"/>
    <w:rsid w:val="009A1A3C"/>
    <w:rsid w:val="009A5FC3"/>
    <w:rsid w:val="009B6F84"/>
    <w:rsid w:val="009B74B0"/>
    <w:rsid w:val="009D3906"/>
    <w:rsid w:val="009D6B46"/>
    <w:rsid w:val="009E052A"/>
    <w:rsid w:val="009F40BF"/>
    <w:rsid w:val="009F4940"/>
    <w:rsid w:val="009F5863"/>
    <w:rsid w:val="009F5BA1"/>
    <w:rsid w:val="00A01662"/>
    <w:rsid w:val="00A02A88"/>
    <w:rsid w:val="00A0562E"/>
    <w:rsid w:val="00A0726D"/>
    <w:rsid w:val="00A11853"/>
    <w:rsid w:val="00A1431E"/>
    <w:rsid w:val="00A26C6B"/>
    <w:rsid w:val="00A32071"/>
    <w:rsid w:val="00A3234C"/>
    <w:rsid w:val="00A32FBB"/>
    <w:rsid w:val="00A428EE"/>
    <w:rsid w:val="00A4478A"/>
    <w:rsid w:val="00A44852"/>
    <w:rsid w:val="00A50502"/>
    <w:rsid w:val="00A57D04"/>
    <w:rsid w:val="00A60A26"/>
    <w:rsid w:val="00A61598"/>
    <w:rsid w:val="00A82215"/>
    <w:rsid w:val="00A84A99"/>
    <w:rsid w:val="00A84F46"/>
    <w:rsid w:val="00A86964"/>
    <w:rsid w:val="00A871F4"/>
    <w:rsid w:val="00AC1B2C"/>
    <w:rsid w:val="00AC1E91"/>
    <w:rsid w:val="00AC3264"/>
    <w:rsid w:val="00AE1BF1"/>
    <w:rsid w:val="00AF0DD2"/>
    <w:rsid w:val="00B13048"/>
    <w:rsid w:val="00B1716D"/>
    <w:rsid w:val="00B17A1D"/>
    <w:rsid w:val="00B207A0"/>
    <w:rsid w:val="00B33E3E"/>
    <w:rsid w:val="00B431B6"/>
    <w:rsid w:val="00B514DD"/>
    <w:rsid w:val="00B52AF0"/>
    <w:rsid w:val="00B561BD"/>
    <w:rsid w:val="00B56E03"/>
    <w:rsid w:val="00B75433"/>
    <w:rsid w:val="00B8080B"/>
    <w:rsid w:val="00B81674"/>
    <w:rsid w:val="00B82223"/>
    <w:rsid w:val="00B87BA5"/>
    <w:rsid w:val="00B87C39"/>
    <w:rsid w:val="00B92D0E"/>
    <w:rsid w:val="00B9562D"/>
    <w:rsid w:val="00B95DDA"/>
    <w:rsid w:val="00B95EBB"/>
    <w:rsid w:val="00BA4665"/>
    <w:rsid w:val="00BB2FB2"/>
    <w:rsid w:val="00BB3304"/>
    <w:rsid w:val="00BD3446"/>
    <w:rsid w:val="00BE1F1B"/>
    <w:rsid w:val="00BE47B5"/>
    <w:rsid w:val="00BF59DD"/>
    <w:rsid w:val="00C070E6"/>
    <w:rsid w:val="00C173E3"/>
    <w:rsid w:val="00C25FA6"/>
    <w:rsid w:val="00C45844"/>
    <w:rsid w:val="00C538A9"/>
    <w:rsid w:val="00C53B5A"/>
    <w:rsid w:val="00C54F5A"/>
    <w:rsid w:val="00C569B4"/>
    <w:rsid w:val="00C67A92"/>
    <w:rsid w:val="00C84560"/>
    <w:rsid w:val="00C86679"/>
    <w:rsid w:val="00C9256B"/>
    <w:rsid w:val="00CA489E"/>
    <w:rsid w:val="00CB0279"/>
    <w:rsid w:val="00CB666B"/>
    <w:rsid w:val="00CC1A6F"/>
    <w:rsid w:val="00CC5D12"/>
    <w:rsid w:val="00CC7F1D"/>
    <w:rsid w:val="00CE484B"/>
    <w:rsid w:val="00CF0DEE"/>
    <w:rsid w:val="00D006AE"/>
    <w:rsid w:val="00D01CF0"/>
    <w:rsid w:val="00D0442A"/>
    <w:rsid w:val="00D10AAD"/>
    <w:rsid w:val="00D236F1"/>
    <w:rsid w:val="00D61388"/>
    <w:rsid w:val="00D61A54"/>
    <w:rsid w:val="00D64BF8"/>
    <w:rsid w:val="00D64DEA"/>
    <w:rsid w:val="00D67D8F"/>
    <w:rsid w:val="00D7168E"/>
    <w:rsid w:val="00D71E57"/>
    <w:rsid w:val="00D80893"/>
    <w:rsid w:val="00D84854"/>
    <w:rsid w:val="00D862BC"/>
    <w:rsid w:val="00D92CF1"/>
    <w:rsid w:val="00D92D38"/>
    <w:rsid w:val="00D950F5"/>
    <w:rsid w:val="00D97B8F"/>
    <w:rsid w:val="00DA4752"/>
    <w:rsid w:val="00DA61F3"/>
    <w:rsid w:val="00DB0F93"/>
    <w:rsid w:val="00DB12E8"/>
    <w:rsid w:val="00DB1A67"/>
    <w:rsid w:val="00DB5074"/>
    <w:rsid w:val="00DC7981"/>
    <w:rsid w:val="00DE1093"/>
    <w:rsid w:val="00DE4EFA"/>
    <w:rsid w:val="00DE5520"/>
    <w:rsid w:val="00DE563D"/>
    <w:rsid w:val="00E04818"/>
    <w:rsid w:val="00E0504F"/>
    <w:rsid w:val="00E06442"/>
    <w:rsid w:val="00E06D64"/>
    <w:rsid w:val="00E23993"/>
    <w:rsid w:val="00E25B8C"/>
    <w:rsid w:val="00E53E52"/>
    <w:rsid w:val="00E555FA"/>
    <w:rsid w:val="00E55B78"/>
    <w:rsid w:val="00E6101B"/>
    <w:rsid w:val="00E63959"/>
    <w:rsid w:val="00E65C85"/>
    <w:rsid w:val="00E66199"/>
    <w:rsid w:val="00E755EC"/>
    <w:rsid w:val="00E7624D"/>
    <w:rsid w:val="00E9251A"/>
    <w:rsid w:val="00E963D2"/>
    <w:rsid w:val="00E974B2"/>
    <w:rsid w:val="00EA3D42"/>
    <w:rsid w:val="00EA6B1B"/>
    <w:rsid w:val="00EC04F1"/>
    <w:rsid w:val="00EC0F4E"/>
    <w:rsid w:val="00EC6807"/>
    <w:rsid w:val="00ED55C4"/>
    <w:rsid w:val="00ED7323"/>
    <w:rsid w:val="00EE28F3"/>
    <w:rsid w:val="00EE50D1"/>
    <w:rsid w:val="00EE5316"/>
    <w:rsid w:val="00EF5110"/>
    <w:rsid w:val="00F10411"/>
    <w:rsid w:val="00F15882"/>
    <w:rsid w:val="00F171E0"/>
    <w:rsid w:val="00F20BD3"/>
    <w:rsid w:val="00F373A5"/>
    <w:rsid w:val="00F47559"/>
    <w:rsid w:val="00F64C7B"/>
    <w:rsid w:val="00F676DD"/>
    <w:rsid w:val="00F75617"/>
    <w:rsid w:val="00F75A26"/>
    <w:rsid w:val="00F76706"/>
    <w:rsid w:val="00F76B9F"/>
    <w:rsid w:val="00F83FAD"/>
    <w:rsid w:val="00F952A0"/>
    <w:rsid w:val="00FA3C7F"/>
    <w:rsid w:val="00FA56A2"/>
    <w:rsid w:val="00FB60FE"/>
    <w:rsid w:val="00FB74E2"/>
    <w:rsid w:val="00FC2FE2"/>
    <w:rsid w:val="00FD5614"/>
    <w:rsid w:val="00FD5E78"/>
    <w:rsid w:val="00FE0BE1"/>
    <w:rsid w:val="00FE1DE9"/>
    <w:rsid w:val="00FE2EC4"/>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hyperlink" Target="http://energymadeeasy.gov.au"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http://www.energymadeeasy.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mailto:AERInquiry@aer.gov.au" TargetMode="External"/><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885CD0F7.dotm</Template>
  <TotalTime>0</TotalTime>
  <Pages>23</Pages>
  <Words>5785</Words>
  <Characters>32980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2015-04-27T07:08:00Z</dcterms:created>
  <dcterms:modified xsi:type="dcterms:W3CDTF">2015-04-27T07:09:00Z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8358242</vt:lpwstr>
  </property>
</Properties>
</file>