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6E82C1B8" wp14:editId="294E9AC5">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9B6F84" w:rsidP="008F07A3">
          <w:pPr>
            <w:pStyle w:val="ReportSubtitle"/>
          </w:pPr>
          <w:r>
            <w:t>Ausgrid</w:t>
          </w:r>
          <w:r w:rsidR="0070011E">
            <w:t xml:space="preserve">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EB606C">
            <w:t>1</w:t>
          </w:r>
          <w:r w:rsidR="00901C3C">
            <w:t>1</w:t>
          </w:r>
          <w:r w:rsidR="00DA4752">
            <w:t xml:space="preserve"> </w:t>
          </w:r>
          <w:r w:rsidR="00415F31">
            <w:rPr>
              <w:rFonts w:cs="Arial"/>
            </w:rPr>
            <w:t>–</w:t>
          </w:r>
          <w:r w:rsidR="00DA4752">
            <w:t xml:space="preserve"> </w:t>
          </w:r>
          <w:r w:rsidR="00901C3C">
            <w:t>Service target performance incentive</w:t>
          </w:r>
          <w:r w:rsidR="000F0B2B">
            <w:t xml:space="preserve"> scheme</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8F07A3" w:rsidRPr="009D3906" w:rsidRDefault="0070011E" w:rsidP="00B9562D">
      <w:pPr>
        <w:pStyle w:val="Copyright"/>
      </w:pPr>
      <w:r>
        <w:t>AER reference:</w:t>
      </w:r>
      <w:r>
        <w:tab/>
        <w:t>522</w:t>
      </w:r>
      <w:r w:rsidR="009B6F84">
        <w:t>9</w:t>
      </w:r>
      <w:r>
        <w:t>4</w:t>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17914678"/>
      <w:r>
        <w:lastRenderedPageBreak/>
        <w:t>N</w:t>
      </w:r>
      <w:r w:rsidR="008F07A3">
        <w:t>ote</w:t>
      </w:r>
      <w:bookmarkEnd w:id="0"/>
      <w:bookmarkEnd w:id="1"/>
      <w:bookmarkEnd w:id="2"/>
      <w:bookmarkEnd w:id="3"/>
      <w:bookmarkEnd w:id="4"/>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proofErr w:type="spellStart"/>
      <w:r w:rsidR="009B6F84">
        <w:t>Ausgrid</w:t>
      </w:r>
      <w:r w:rsidR="0070011E">
        <w:t>’</w:t>
      </w:r>
      <w:r w:rsidR="00415F31">
        <w:t>s</w:t>
      </w:r>
      <w:proofErr w:type="spellEnd"/>
      <w:r w:rsidR="00415F31">
        <w:t xml:space="preserve"> revenue proposal 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w:t>
      </w:r>
      <w:bookmarkStart w:id="5" w:name="_GoBack"/>
      <w:bookmarkEnd w:id="5"/>
      <w:r>
        <w:t>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Attachment 18 - Connection methodology</w:t>
      </w:r>
    </w:p>
    <w:p w:rsidR="00415F31" w:rsidRDefault="0070011E" w:rsidP="00415F31">
      <w:r>
        <w:t>Attachment 19 - Pricing methodology</w:t>
      </w:r>
    </w:p>
    <w:p w:rsidR="004B17DF" w:rsidRDefault="004B17DF" w:rsidP="004B17DF">
      <w:r>
        <w:t>Attachment 20 - Analysis of financial viability</w:t>
      </w:r>
    </w:p>
    <w:p w:rsidR="004B17DF" w:rsidRPr="008F07A3" w:rsidRDefault="004B17DF" w:rsidP="004B17DF">
      <w:pPr>
        <w:sectPr w:rsidR="004B17DF" w:rsidRPr="008F07A3" w:rsidSect="001754EE">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7914679"/>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AE2C7A" w:rsidRDefault="00AE2C7A">
          <w:pPr>
            <w:pStyle w:val="TOC1"/>
            <w:rPr>
              <w:rFonts w:asciiTheme="minorHAnsi" w:hAnsiTheme="minorHAnsi"/>
              <w:b w:val="0"/>
              <w:color w:val="auto"/>
              <w:sz w:val="22"/>
              <w:lang w:val="en-AU" w:eastAsia="en-AU"/>
            </w:rPr>
          </w:pPr>
          <w:r>
            <w:rPr>
              <w:color w:val="auto"/>
              <w:sz w:val="22"/>
            </w:rPr>
            <w:fldChar w:fldCharType="begin"/>
          </w:r>
          <w:r>
            <w:rPr>
              <w:color w:val="auto"/>
              <w:sz w:val="22"/>
            </w:rPr>
            <w:instrText xml:space="preserve"> TOC \o "1-2" \h \z \t "Heading 3,3,Heading 7,1,Heading 8,2,Heading 9,3" </w:instrText>
          </w:r>
          <w:r>
            <w:rPr>
              <w:color w:val="auto"/>
              <w:sz w:val="22"/>
            </w:rPr>
            <w:fldChar w:fldCharType="separate"/>
          </w:r>
          <w:hyperlink w:anchor="_Toc417914678" w:history="1">
            <w:r w:rsidRPr="00FB140E">
              <w:rPr>
                <w:rStyle w:val="Hyperlink"/>
              </w:rPr>
              <w:t>Note</w:t>
            </w:r>
            <w:r>
              <w:rPr>
                <w:webHidden/>
              </w:rPr>
              <w:tab/>
            </w:r>
            <w:r>
              <w:rPr>
                <w:webHidden/>
              </w:rPr>
              <w:fldChar w:fldCharType="begin"/>
            </w:r>
            <w:r>
              <w:rPr>
                <w:webHidden/>
              </w:rPr>
              <w:instrText xml:space="preserve"> PAGEREF _Toc417914678 \h </w:instrText>
            </w:r>
            <w:r>
              <w:rPr>
                <w:webHidden/>
              </w:rPr>
            </w:r>
            <w:r>
              <w:rPr>
                <w:webHidden/>
              </w:rPr>
              <w:fldChar w:fldCharType="separate"/>
            </w:r>
            <w:r>
              <w:rPr>
                <w:webHidden/>
              </w:rPr>
              <w:t>11-2</w:t>
            </w:r>
            <w:r>
              <w:rPr>
                <w:webHidden/>
              </w:rPr>
              <w:fldChar w:fldCharType="end"/>
            </w:r>
          </w:hyperlink>
        </w:p>
        <w:p w:rsidR="00AE2C7A" w:rsidRDefault="00AE2C7A">
          <w:pPr>
            <w:pStyle w:val="TOC1"/>
            <w:rPr>
              <w:rFonts w:asciiTheme="minorHAnsi" w:hAnsiTheme="minorHAnsi"/>
              <w:b w:val="0"/>
              <w:color w:val="auto"/>
              <w:sz w:val="22"/>
              <w:lang w:val="en-AU" w:eastAsia="en-AU"/>
            </w:rPr>
          </w:pPr>
          <w:hyperlink w:anchor="_Toc417914679" w:history="1">
            <w:r w:rsidRPr="00FB140E">
              <w:rPr>
                <w:rStyle w:val="Hyperlink"/>
              </w:rPr>
              <w:t>Contents</w:t>
            </w:r>
            <w:r>
              <w:rPr>
                <w:webHidden/>
              </w:rPr>
              <w:tab/>
            </w:r>
            <w:r>
              <w:rPr>
                <w:webHidden/>
              </w:rPr>
              <w:fldChar w:fldCharType="begin"/>
            </w:r>
            <w:r>
              <w:rPr>
                <w:webHidden/>
              </w:rPr>
              <w:instrText xml:space="preserve"> PAGEREF _Toc417914679 \h </w:instrText>
            </w:r>
            <w:r>
              <w:rPr>
                <w:webHidden/>
              </w:rPr>
            </w:r>
            <w:r>
              <w:rPr>
                <w:webHidden/>
              </w:rPr>
              <w:fldChar w:fldCharType="separate"/>
            </w:r>
            <w:r>
              <w:rPr>
                <w:webHidden/>
              </w:rPr>
              <w:t>11-3</w:t>
            </w:r>
            <w:r>
              <w:rPr>
                <w:webHidden/>
              </w:rPr>
              <w:fldChar w:fldCharType="end"/>
            </w:r>
          </w:hyperlink>
        </w:p>
        <w:p w:rsidR="00AE2C7A" w:rsidRDefault="00AE2C7A">
          <w:pPr>
            <w:pStyle w:val="TOC1"/>
            <w:rPr>
              <w:rFonts w:asciiTheme="minorHAnsi" w:hAnsiTheme="minorHAnsi"/>
              <w:b w:val="0"/>
              <w:color w:val="auto"/>
              <w:sz w:val="22"/>
              <w:lang w:val="en-AU" w:eastAsia="en-AU"/>
            </w:rPr>
          </w:pPr>
          <w:hyperlink w:anchor="_Toc417914680" w:history="1">
            <w:r w:rsidRPr="00FB140E">
              <w:rPr>
                <w:rStyle w:val="Hyperlink"/>
              </w:rPr>
              <w:t>Shortened forms</w:t>
            </w:r>
            <w:r>
              <w:rPr>
                <w:webHidden/>
              </w:rPr>
              <w:tab/>
            </w:r>
            <w:r>
              <w:rPr>
                <w:webHidden/>
              </w:rPr>
              <w:fldChar w:fldCharType="begin"/>
            </w:r>
            <w:r>
              <w:rPr>
                <w:webHidden/>
              </w:rPr>
              <w:instrText xml:space="preserve"> PAGEREF _Toc417914680 \h </w:instrText>
            </w:r>
            <w:r>
              <w:rPr>
                <w:webHidden/>
              </w:rPr>
            </w:r>
            <w:r>
              <w:rPr>
                <w:webHidden/>
              </w:rPr>
              <w:fldChar w:fldCharType="separate"/>
            </w:r>
            <w:r>
              <w:rPr>
                <w:webHidden/>
              </w:rPr>
              <w:t>11-4</w:t>
            </w:r>
            <w:r>
              <w:rPr>
                <w:webHidden/>
              </w:rPr>
              <w:fldChar w:fldCharType="end"/>
            </w:r>
          </w:hyperlink>
        </w:p>
        <w:p w:rsidR="00AE2C7A" w:rsidRDefault="00AE2C7A">
          <w:pPr>
            <w:pStyle w:val="TOC1"/>
            <w:rPr>
              <w:rFonts w:asciiTheme="minorHAnsi" w:hAnsiTheme="minorHAnsi"/>
              <w:b w:val="0"/>
              <w:color w:val="auto"/>
              <w:sz w:val="22"/>
              <w:lang w:val="en-AU" w:eastAsia="en-AU"/>
            </w:rPr>
          </w:pPr>
          <w:hyperlink w:anchor="_Toc417914681" w:history="1">
            <w:r w:rsidRPr="00FB140E">
              <w:rPr>
                <w:rStyle w:val="Hyperlink"/>
              </w:rPr>
              <w:t>11</w:t>
            </w:r>
            <w:r>
              <w:rPr>
                <w:rFonts w:asciiTheme="minorHAnsi" w:hAnsiTheme="minorHAnsi"/>
                <w:b w:val="0"/>
                <w:color w:val="auto"/>
                <w:sz w:val="22"/>
                <w:lang w:val="en-AU" w:eastAsia="en-AU"/>
              </w:rPr>
              <w:tab/>
            </w:r>
            <w:r w:rsidRPr="00FB140E">
              <w:rPr>
                <w:rStyle w:val="Hyperlink"/>
              </w:rPr>
              <w:t>Service target performance incentive scheme</w:t>
            </w:r>
            <w:r>
              <w:rPr>
                <w:webHidden/>
              </w:rPr>
              <w:tab/>
            </w:r>
            <w:r>
              <w:rPr>
                <w:webHidden/>
              </w:rPr>
              <w:fldChar w:fldCharType="begin"/>
            </w:r>
            <w:r>
              <w:rPr>
                <w:webHidden/>
              </w:rPr>
              <w:instrText xml:space="preserve"> PAGEREF _Toc417914681 \h </w:instrText>
            </w:r>
            <w:r>
              <w:rPr>
                <w:webHidden/>
              </w:rPr>
            </w:r>
            <w:r>
              <w:rPr>
                <w:webHidden/>
              </w:rPr>
              <w:fldChar w:fldCharType="separate"/>
            </w:r>
            <w:r>
              <w:rPr>
                <w:webHidden/>
              </w:rPr>
              <w:t>11-6</w:t>
            </w:r>
            <w:r>
              <w:rPr>
                <w:webHidden/>
              </w:rPr>
              <w:fldChar w:fldCharType="end"/>
            </w:r>
          </w:hyperlink>
        </w:p>
        <w:p w:rsidR="00AE2C7A" w:rsidRDefault="00AE2C7A">
          <w:pPr>
            <w:pStyle w:val="TOC2"/>
            <w:tabs>
              <w:tab w:val="left" w:pos="1276"/>
            </w:tabs>
            <w:rPr>
              <w:rFonts w:asciiTheme="minorHAnsi" w:hAnsiTheme="minorHAnsi"/>
              <w:b w:val="0"/>
              <w:color w:val="auto"/>
              <w:sz w:val="22"/>
              <w:lang w:eastAsia="en-AU"/>
            </w:rPr>
          </w:pPr>
          <w:hyperlink w:anchor="_Toc417914682" w:history="1">
            <w:r w:rsidRPr="00FB140E">
              <w:rPr>
                <w:rStyle w:val="Hyperlink"/>
              </w:rPr>
              <w:t>11.1</w:t>
            </w:r>
            <w:r>
              <w:rPr>
                <w:rFonts w:asciiTheme="minorHAnsi" w:hAnsiTheme="minorHAnsi"/>
                <w:b w:val="0"/>
                <w:color w:val="auto"/>
                <w:sz w:val="22"/>
                <w:lang w:eastAsia="en-AU"/>
              </w:rPr>
              <w:tab/>
            </w:r>
            <w:r w:rsidRPr="00FB140E">
              <w:rPr>
                <w:rStyle w:val="Hyperlink"/>
              </w:rPr>
              <w:t>Final decision</w:t>
            </w:r>
            <w:r>
              <w:rPr>
                <w:webHidden/>
              </w:rPr>
              <w:tab/>
            </w:r>
            <w:r>
              <w:rPr>
                <w:webHidden/>
              </w:rPr>
              <w:fldChar w:fldCharType="begin"/>
            </w:r>
            <w:r>
              <w:rPr>
                <w:webHidden/>
              </w:rPr>
              <w:instrText xml:space="preserve"> PAGEREF _Toc417914682 \h </w:instrText>
            </w:r>
            <w:r>
              <w:rPr>
                <w:webHidden/>
              </w:rPr>
            </w:r>
            <w:r>
              <w:rPr>
                <w:webHidden/>
              </w:rPr>
              <w:fldChar w:fldCharType="separate"/>
            </w:r>
            <w:r>
              <w:rPr>
                <w:webHidden/>
              </w:rPr>
              <w:t>11-6</w:t>
            </w:r>
            <w:r>
              <w:rPr>
                <w:webHidden/>
              </w:rPr>
              <w:fldChar w:fldCharType="end"/>
            </w:r>
          </w:hyperlink>
        </w:p>
        <w:p w:rsidR="00AE2C7A" w:rsidRDefault="00AE2C7A">
          <w:pPr>
            <w:pStyle w:val="TOC2"/>
            <w:tabs>
              <w:tab w:val="left" w:pos="1276"/>
            </w:tabs>
            <w:rPr>
              <w:rFonts w:asciiTheme="minorHAnsi" w:hAnsiTheme="minorHAnsi"/>
              <w:b w:val="0"/>
              <w:color w:val="auto"/>
              <w:sz w:val="22"/>
              <w:lang w:eastAsia="en-AU"/>
            </w:rPr>
          </w:pPr>
          <w:hyperlink w:anchor="_Toc417914683" w:history="1">
            <w:r w:rsidRPr="00FB140E">
              <w:rPr>
                <w:rStyle w:val="Hyperlink"/>
              </w:rPr>
              <w:t>11.2</w:t>
            </w:r>
            <w:r>
              <w:rPr>
                <w:rFonts w:asciiTheme="minorHAnsi" w:hAnsiTheme="minorHAnsi"/>
                <w:b w:val="0"/>
                <w:color w:val="auto"/>
                <w:sz w:val="22"/>
                <w:lang w:eastAsia="en-AU"/>
              </w:rPr>
              <w:tab/>
            </w:r>
            <w:r w:rsidRPr="00FB140E">
              <w:rPr>
                <w:rStyle w:val="Hyperlink"/>
              </w:rPr>
              <w:t>Ausgrid’s revised proposal</w:t>
            </w:r>
            <w:r>
              <w:rPr>
                <w:webHidden/>
              </w:rPr>
              <w:tab/>
            </w:r>
            <w:r>
              <w:rPr>
                <w:webHidden/>
              </w:rPr>
              <w:fldChar w:fldCharType="begin"/>
            </w:r>
            <w:r>
              <w:rPr>
                <w:webHidden/>
              </w:rPr>
              <w:instrText xml:space="preserve"> PAGEREF _Toc417914683 \h </w:instrText>
            </w:r>
            <w:r>
              <w:rPr>
                <w:webHidden/>
              </w:rPr>
            </w:r>
            <w:r>
              <w:rPr>
                <w:webHidden/>
              </w:rPr>
              <w:fldChar w:fldCharType="separate"/>
            </w:r>
            <w:r>
              <w:rPr>
                <w:webHidden/>
              </w:rPr>
              <w:t>11-9</w:t>
            </w:r>
            <w:r>
              <w:rPr>
                <w:webHidden/>
              </w:rPr>
              <w:fldChar w:fldCharType="end"/>
            </w:r>
          </w:hyperlink>
        </w:p>
        <w:p w:rsidR="00AE2C7A" w:rsidRDefault="00AE2C7A">
          <w:pPr>
            <w:pStyle w:val="TOC2"/>
            <w:tabs>
              <w:tab w:val="left" w:pos="1276"/>
            </w:tabs>
            <w:rPr>
              <w:rFonts w:asciiTheme="minorHAnsi" w:hAnsiTheme="minorHAnsi"/>
              <w:b w:val="0"/>
              <w:color w:val="auto"/>
              <w:sz w:val="22"/>
              <w:lang w:eastAsia="en-AU"/>
            </w:rPr>
          </w:pPr>
          <w:hyperlink w:anchor="_Toc417914684" w:history="1">
            <w:r w:rsidRPr="00FB140E">
              <w:rPr>
                <w:rStyle w:val="Hyperlink"/>
              </w:rPr>
              <w:t>11.3</w:t>
            </w:r>
            <w:r>
              <w:rPr>
                <w:rFonts w:asciiTheme="minorHAnsi" w:hAnsiTheme="minorHAnsi"/>
                <w:b w:val="0"/>
                <w:color w:val="auto"/>
                <w:sz w:val="22"/>
                <w:lang w:eastAsia="en-AU"/>
              </w:rPr>
              <w:tab/>
            </w:r>
            <w:r w:rsidRPr="00FB140E">
              <w:rPr>
                <w:rStyle w:val="Hyperlink"/>
              </w:rPr>
              <w:t>AER’s assessment approach</w:t>
            </w:r>
            <w:r>
              <w:rPr>
                <w:webHidden/>
              </w:rPr>
              <w:tab/>
            </w:r>
            <w:r>
              <w:rPr>
                <w:webHidden/>
              </w:rPr>
              <w:fldChar w:fldCharType="begin"/>
            </w:r>
            <w:r>
              <w:rPr>
                <w:webHidden/>
              </w:rPr>
              <w:instrText xml:space="preserve"> PAGEREF _Toc417914684 \h </w:instrText>
            </w:r>
            <w:r>
              <w:rPr>
                <w:webHidden/>
              </w:rPr>
            </w:r>
            <w:r>
              <w:rPr>
                <w:webHidden/>
              </w:rPr>
              <w:fldChar w:fldCharType="separate"/>
            </w:r>
            <w:r>
              <w:rPr>
                <w:webHidden/>
              </w:rPr>
              <w:t>11-9</w:t>
            </w:r>
            <w:r>
              <w:rPr>
                <w:webHidden/>
              </w:rPr>
              <w:fldChar w:fldCharType="end"/>
            </w:r>
          </w:hyperlink>
        </w:p>
        <w:p w:rsidR="00AE2C7A" w:rsidRDefault="00AE2C7A">
          <w:pPr>
            <w:pStyle w:val="TOC3"/>
            <w:rPr>
              <w:rFonts w:asciiTheme="minorHAnsi" w:hAnsiTheme="minorHAnsi"/>
              <w:lang w:eastAsia="en-AU"/>
            </w:rPr>
          </w:pPr>
          <w:hyperlink w:anchor="_Toc417914685" w:history="1">
            <w:r w:rsidRPr="00FB140E">
              <w:rPr>
                <w:rStyle w:val="Hyperlink"/>
              </w:rPr>
              <w:t>11.3.1</w:t>
            </w:r>
            <w:r>
              <w:rPr>
                <w:rFonts w:asciiTheme="minorHAnsi" w:hAnsiTheme="minorHAnsi"/>
                <w:lang w:eastAsia="en-AU"/>
              </w:rPr>
              <w:tab/>
            </w:r>
            <w:r w:rsidRPr="00FB140E">
              <w:rPr>
                <w:rStyle w:val="Hyperlink"/>
              </w:rPr>
              <w:t>Interrelationships</w:t>
            </w:r>
            <w:r>
              <w:rPr>
                <w:webHidden/>
              </w:rPr>
              <w:tab/>
            </w:r>
            <w:r>
              <w:rPr>
                <w:webHidden/>
              </w:rPr>
              <w:fldChar w:fldCharType="begin"/>
            </w:r>
            <w:r>
              <w:rPr>
                <w:webHidden/>
              </w:rPr>
              <w:instrText xml:space="preserve"> PAGEREF _Toc417914685 \h </w:instrText>
            </w:r>
            <w:r>
              <w:rPr>
                <w:webHidden/>
              </w:rPr>
            </w:r>
            <w:r>
              <w:rPr>
                <w:webHidden/>
              </w:rPr>
              <w:fldChar w:fldCharType="separate"/>
            </w:r>
            <w:r>
              <w:rPr>
                <w:webHidden/>
              </w:rPr>
              <w:t>11-10</w:t>
            </w:r>
            <w:r>
              <w:rPr>
                <w:webHidden/>
              </w:rPr>
              <w:fldChar w:fldCharType="end"/>
            </w:r>
          </w:hyperlink>
        </w:p>
        <w:p w:rsidR="00AE2C7A" w:rsidRDefault="00AE2C7A">
          <w:pPr>
            <w:pStyle w:val="TOC2"/>
            <w:tabs>
              <w:tab w:val="left" w:pos="1276"/>
            </w:tabs>
            <w:rPr>
              <w:rFonts w:asciiTheme="minorHAnsi" w:hAnsiTheme="minorHAnsi"/>
              <w:b w:val="0"/>
              <w:color w:val="auto"/>
              <w:sz w:val="22"/>
              <w:lang w:eastAsia="en-AU"/>
            </w:rPr>
          </w:pPr>
          <w:hyperlink w:anchor="_Toc417914686" w:history="1">
            <w:r w:rsidRPr="00FB140E">
              <w:rPr>
                <w:rStyle w:val="Hyperlink"/>
              </w:rPr>
              <w:t>11.4</w:t>
            </w:r>
            <w:r>
              <w:rPr>
                <w:rFonts w:asciiTheme="minorHAnsi" w:hAnsiTheme="minorHAnsi"/>
                <w:b w:val="0"/>
                <w:color w:val="auto"/>
                <w:sz w:val="22"/>
                <w:lang w:eastAsia="en-AU"/>
              </w:rPr>
              <w:tab/>
            </w:r>
            <w:r w:rsidRPr="00FB140E">
              <w:rPr>
                <w:rStyle w:val="Hyperlink"/>
              </w:rPr>
              <w:t>Reasons for final decision</w:t>
            </w:r>
            <w:r>
              <w:rPr>
                <w:webHidden/>
              </w:rPr>
              <w:tab/>
            </w:r>
            <w:r>
              <w:rPr>
                <w:webHidden/>
              </w:rPr>
              <w:fldChar w:fldCharType="begin"/>
            </w:r>
            <w:r>
              <w:rPr>
                <w:webHidden/>
              </w:rPr>
              <w:instrText xml:space="preserve"> PAGEREF _Toc417914686 \h </w:instrText>
            </w:r>
            <w:r>
              <w:rPr>
                <w:webHidden/>
              </w:rPr>
            </w:r>
            <w:r>
              <w:rPr>
                <w:webHidden/>
              </w:rPr>
              <w:fldChar w:fldCharType="separate"/>
            </w:r>
            <w:r>
              <w:rPr>
                <w:webHidden/>
              </w:rPr>
              <w:t>11-10</w:t>
            </w:r>
            <w:r>
              <w:rPr>
                <w:webHidden/>
              </w:rPr>
              <w:fldChar w:fldCharType="end"/>
            </w:r>
          </w:hyperlink>
        </w:p>
        <w:p w:rsidR="00AE2C7A" w:rsidRDefault="00AE2C7A">
          <w:pPr>
            <w:pStyle w:val="TOC3"/>
            <w:rPr>
              <w:rFonts w:asciiTheme="minorHAnsi" w:hAnsiTheme="minorHAnsi"/>
              <w:lang w:eastAsia="en-AU"/>
            </w:rPr>
          </w:pPr>
          <w:hyperlink w:anchor="_Toc417914687" w:history="1">
            <w:r w:rsidRPr="00FB140E">
              <w:rPr>
                <w:rStyle w:val="Hyperlink"/>
              </w:rPr>
              <w:t>11.4.1</w:t>
            </w:r>
            <w:r>
              <w:rPr>
                <w:rFonts w:asciiTheme="minorHAnsi" w:hAnsiTheme="minorHAnsi"/>
                <w:lang w:eastAsia="en-AU"/>
              </w:rPr>
              <w:tab/>
            </w:r>
            <w:r w:rsidRPr="00FB140E">
              <w:rPr>
                <w:rStyle w:val="Hyperlink"/>
              </w:rPr>
              <w:t>Application of STPIS</w:t>
            </w:r>
            <w:r>
              <w:rPr>
                <w:webHidden/>
              </w:rPr>
              <w:tab/>
            </w:r>
            <w:r>
              <w:rPr>
                <w:webHidden/>
              </w:rPr>
              <w:fldChar w:fldCharType="begin"/>
            </w:r>
            <w:r>
              <w:rPr>
                <w:webHidden/>
              </w:rPr>
              <w:instrText xml:space="preserve"> PAGEREF _Toc417914687 \h </w:instrText>
            </w:r>
            <w:r>
              <w:rPr>
                <w:webHidden/>
              </w:rPr>
            </w:r>
            <w:r>
              <w:rPr>
                <w:webHidden/>
              </w:rPr>
              <w:fldChar w:fldCharType="separate"/>
            </w:r>
            <w:r>
              <w:rPr>
                <w:webHidden/>
              </w:rPr>
              <w:t>11-10</w:t>
            </w:r>
            <w:r>
              <w:rPr>
                <w:webHidden/>
              </w:rPr>
              <w:fldChar w:fldCharType="end"/>
            </w:r>
          </w:hyperlink>
        </w:p>
        <w:p w:rsidR="00AE2C7A" w:rsidRDefault="00AE2C7A">
          <w:pPr>
            <w:pStyle w:val="TOC3"/>
            <w:rPr>
              <w:rFonts w:asciiTheme="minorHAnsi" w:hAnsiTheme="minorHAnsi"/>
              <w:lang w:eastAsia="en-AU"/>
            </w:rPr>
          </w:pPr>
          <w:hyperlink w:anchor="_Toc417914688" w:history="1">
            <w:r w:rsidRPr="00FB140E">
              <w:rPr>
                <w:rStyle w:val="Hyperlink"/>
              </w:rPr>
              <w:t>11.4.2</w:t>
            </w:r>
            <w:r>
              <w:rPr>
                <w:rFonts w:asciiTheme="minorHAnsi" w:hAnsiTheme="minorHAnsi"/>
                <w:lang w:eastAsia="en-AU"/>
              </w:rPr>
              <w:tab/>
            </w:r>
            <w:r w:rsidRPr="00FB140E">
              <w:rPr>
                <w:rStyle w:val="Hyperlink"/>
              </w:rPr>
              <w:t>Applicable components and parameters</w:t>
            </w:r>
            <w:r>
              <w:rPr>
                <w:webHidden/>
              </w:rPr>
              <w:tab/>
            </w:r>
            <w:r>
              <w:rPr>
                <w:webHidden/>
              </w:rPr>
              <w:fldChar w:fldCharType="begin"/>
            </w:r>
            <w:r>
              <w:rPr>
                <w:webHidden/>
              </w:rPr>
              <w:instrText xml:space="preserve"> PAGEREF _Toc417914688 \h </w:instrText>
            </w:r>
            <w:r>
              <w:rPr>
                <w:webHidden/>
              </w:rPr>
            </w:r>
            <w:r>
              <w:rPr>
                <w:webHidden/>
              </w:rPr>
              <w:fldChar w:fldCharType="separate"/>
            </w:r>
            <w:r>
              <w:rPr>
                <w:webHidden/>
              </w:rPr>
              <w:t>11-12</w:t>
            </w:r>
            <w:r>
              <w:rPr>
                <w:webHidden/>
              </w:rPr>
              <w:fldChar w:fldCharType="end"/>
            </w:r>
          </w:hyperlink>
        </w:p>
        <w:p w:rsidR="00AE2C7A" w:rsidRDefault="00AE2C7A">
          <w:pPr>
            <w:pStyle w:val="TOC3"/>
            <w:rPr>
              <w:rFonts w:asciiTheme="minorHAnsi" w:hAnsiTheme="minorHAnsi"/>
              <w:lang w:eastAsia="en-AU"/>
            </w:rPr>
          </w:pPr>
          <w:hyperlink w:anchor="_Toc417914689" w:history="1">
            <w:r w:rsidRPr="00FB140E">
              <w:rPr>
                <w:rStyle w:val="Hyperlink"/>
              </w:rPr>
              <w:t>11.4.3</w:t>
            </w:r>
            <w:r>
              <w:rPr>
                <w:rFonts w:asciiTheme="minorHAnsi" w:hAnsiTheme="minorHAnsi"/>
                <w:lang w:eastAsia="en-AU"/>
              </w:rPr>
              <w:tab/>
            </w:r>
            <w:r w:rsidRPr="00FB140E">
              <w:rPr>
                <w:rStyle w:val="Hyperlink"/>
              </w:rPr>
              <w:t>Revenue at risk</w:t>
            </w:r>
            <w:r>
              <w:rPr>
                <w:webHidden/>
              </w:rPr>
              <w:tab/>
            </w:r>
            <w:r>
              <w:rPr>
                <w:webHidden/>
              </w:rPr>
              <w:fldChar w:fldCharType="begin"/>
            </w:r>
            <w:r>
              <w:rPr>
                <w:webHidden/>
              </w:rPr>
              <w:instrText xml:space="preserve"> PAGEREF _Toc417914689 \h </w:instrText>
            </w:r>
            <w:r>
              <w:rPr>
                <w:webHidden/>
              </w:rPr>
            </w:r>
            <w:r>
              <w:rPr>
                <w:webHidden/>
              </w:rPr>
              <w:fldChar w:fldCharType="separate"/>
            </w:r>
            <w:r>
              <w:rPr>
                <w:webHidden/>
              </w:rPr>
              <w:t>11-12</w:t>
            </w:r>
            <w:r>
              <w:rPr>
                <w:webHidden/>
              </w:rPr>
              <w:fldChar w:fldCharType="end"/>
            </w:r>
          </w:hyperlink>
        </w:p>
        <w:p w:rsidR="00AE2C7A" w:rsidRDefault="00AE2C7A">
          <w:pPr>
            <w:pStyle w:val="TOC3"/>
            <w:rPr>
              <w:rFonts w:asciiTheme="minorHAnsi" w:hAnsiTheme="minorHAnsi"/>
              <w:lang w:eastAsia="en-AU"/>
            </w:rPr>
          </w:pPr>
          <w:hyperlink w:anchor="_Toc417914690" w:history="1">
            <w:r w:rsidRPr="00FB140E">
              <w:rPr>
                <w:rStyle w:val="Hyperlink"/>
              </w:rPr>
              <w:t>11.4.4</w:t>
            </w:r>
            <w:r>
              <w:rPr>
                <w:rFonts w:asciiTheme="minorHAnsi" w:hAnsiTheme="minorHAnsi"/>
                <w:lang w:eastAsia="en-AU"/>
              </w:rPr>
              <w:tab/>
            </w:r>
            <w:r w:rsidRPr="00FB140E">
              <w:rPr>
                <w:rStyle w:val="Hyperlink"/>
              </w:rPr>
              <w:t>Reliability of supply component</w:t>
            </w:r>
            <w:r>
              <w:rPr>
                <w:webHidden/>
              </w:rPr>
              <w:tab/>
            </w:r>
            <w:r>
              <w:rPr>
                <w:webHidden/>
              </w:rPr>
              <w:fldChar w:fldCharType="begin"/>
            </w:r>
            <w:r>
              <w:rPr>
                <w:webHidden/>
              </w:rPr>
              <w:instrText xml:space="preserve"> PAGEREF _Toc417914690 \h </w:instrText>
            </w:r>
            <w:r>
              <w:rPr>
                <w:webHidden/>
              </w:rPr>
            </w:r>
            <w:r>
              <w:rPr>
                <w:webHidden/>
              </w:rPr>
              <w:fldChar w:fldCharType="separate"/>
            </w:r>
            <w:r>
              <w:rPr>
                <w:webHidden/>
              </w:rPr>
              <w:t>11-13</w:t>
            </w:r>
            <w:r>
              <w:rPr>
                <w:webHidden/>
              </w:rPr>
              <w:fldChar w:fldCharType="end"/>
            </w:r>
          </w:hyperlink>
        </w:p>
        <w:p w:rsidR="00AE2C7A" w:rsidRDefault="00AE2C7A">
          <w:pPr>
            <w:pStyle w:val="TOC3"/>
            <w:rPr>
              <w:rFonts w:asciiTheme="minorHAnsi" w:hAnsiTheme="minorHAnsi"/>
              <w:lang w:eastAsia="en-AU"/>
            </w:rPr>
          </w:pPr>
          <w:hyperlink w:anchor="_Toc417914691" w:history="1">
            <w:r w:rsidRPr="00FB140E">
              <w:rPr>
                <w:rStyle w:val="Hyperlink"/>
              </w:rPr>
              <w:t>11.4.5</w:t>
            </w:r>
            <w:r>
              <w:rPr>
                <w:rFonts w:asciiTheme="minorHAnsi" w:hAnsiTheme="minorHAnsi"/>
                <w:lang w:eastAsia="en-AU"/>
              </w:rPr>
              <w:tab/>
            </w:r>
            <w:r w:rsidRPr="00FB140E">
              <w:rPr>
                <w:rStyle w:val="Hyperlink"/>
              </w:rPr>
              <w:t>Customer service component</w:t>
            </w:r>
            <w:r>
              <w:rPr>
                <w:webHidden/>
              </w:rPr>
              <w:tab/>
            </w:r>
            <w:r>
              <w:rPr>
                <w:webHidden/>
              </w:rPr>
              <w:fldChar w:fldCharType="begin"/>
            </w:r>
            <w:r>
              <w:rPr>
                <w:webHidden/>
              </w:rPr>
              <w:instrText xml:space="preserve"> PAGEREF _Toc417914691 \h </w:instrText>
            </w:r>
            <w:r>
              <w:rPr>
                <w:webHidden/>
              </w:rPr>
            </w:r>
            <w:r>
              <w:rPr>
                <w:webHidden/>
              </w:rPr>
              <w:fldChar w:fldCharType="separate"/>
            </w:r>
            <w:r>
              <w:rPr>
                <w:webHidden/>
              </w:rPr>
              <w:t>11-17</w:t>
            </w:r>
            <w:r>
              <w:rPr>
                <w:webHidden/>
              </w:rPr>
              <w:fldChar w:fldCharType="end"/>
            </w:r>
          </w:hyperlink>
        </w:p>
        <w:p w:rsidR="00DE563D" w:rsidRDefault="00AE2C7A" w:rsidP="00AE2C7A">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7914680"/>
      <w:r>
        <w:lastRenderedPageBreak/>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FA0B54">
        <w:trPr>
          <w:cnfStyle w:val="100000000000" w:firstRow="1" w:lastRow="0" w:firstColumn="0" w:lastColumn="0" w:oddVBand="0" w:evenVBand="0" w:oddHBand="0" w:evenHBand="0" w:firstRowFirstColumn="0" w:firstRowLastColumn="0" w:lastRowFirstColumn="0" w:lastRowLastColumn="0"/>
        </w:trPr>
        <w:tc>
          <w:tcPr>
            <w:tcW w:w="4349" w:type="dxa"/>
          </w:tcPr>
          <w:p w:rsidR="001F05A4" w:rsidRDefault="001F05A4" w:rsidP="001F05A4">
            <w:pPr>
              <w:numPr>
                <w:ilvl w:val="0"/>
                <w:numId w:val="25"/>
              </w:numPr>
            </w:pPr>
            <w:r>
              <w:t>Shortened form</w:t>
            </w:r>
          </w:p>
        </w:tc>
        <w:tc>
          <w:tcPr>
            <w:tcW w:w="4344" w:type="dxa"/>
          </w:tcPr>
          <w:p w:rsidR="001F05A4" w:rsidRDefault="001F05A4" w:rsidP="001F05A4">
            <w:pPr>
              <w:numPr>
                <w:ilvl w:val="0"/>
                <w:numId w:val="25"/>
              </w:numPr>
            </w:pPr>
            <w:r>
              <w:t>Extended form</w:t>
            </w:r>
          </w:p>
        </w:tc>
      </w:tr>
      <w:tr w:rsidR="00FA0B54" w:rsidTr="00FA0B54">
        <w:tc>
          <w:tcPr>
            <w:tcW w:w="4349" w:type="dxa"/>
          </w:tcPr>
          <w:p w:rsidR="00FA0B54" w:rsidRPr="00FA0B54" w:rsidRDefault="00FA0B54" w:rsidP="00FA0B54">
            <w:pPr>
              <w:numPr>
                <w:ilvl w:val="0"/>
                <w:numId w:val="25"/>
              </w:numPr>
            </w:pPr>
            <w:r w:rsidRPr="00FA0B54">
              <w:t>AEMC</w:t>
            </w:r>
          </w:p>
        </w:tc>
        <w:tc>
          <w:tcPr>
            <w:tcW w:w="4344" w:type="dxa"/>
          </w:tcPr>
          <w:p w:rsidR="00FA0B54" w:rsidRPr="00FA0B54" w:rsidRDefault="00FA0B54" w:rsidP="00FA0B54">
            <w:pPr>
              <w:numPr>
                <w:ilvl w:val="0"/>
                <w:numId w:val="25"/>
              </w:numPr>
            </w:pPr>
            <w:r w:rsidRPr="00FA0B54">
              <w:t>Australian Energy Market Commission</w:t>
            </w:r>
          </w:p>
        </w:tc>
      </w:tr>
      <w:tr w:rsidR="00FA0B54" w:rsidTr="00FA0B54">
        <w:trPr>
          <w:cnfStyle w:val="000000010000" w:firstRow="0" w:lastRow="0" w:firstColumn="0" w:lastColumn="0" w:oddVBand="0" w:evenVBand="0" w:oddHBand="0" w:evenHBand="1" w:firstRowFirstColumn="0" w:firstRowLastColumn="0" w:lastRowFirstColumn="0" w:lastRowLastColumn="0"/>
        </w:trPr>
        <w:tc>
          <w:tcPr>
            <w:tcW w:w="4349" w:type="dxa"/>
          </w:tcPr>
          <w:p w:rsidR="00FA0B54" w:rsidRPr="00FA0B54" w:rsidRDefault="00FA0B54" w:rsidP="00FA0B54">
            <w:pPr>
              <w:numPr>
                <w:ilvl w:val="0"/>
                <w:numId w:val="25"/>
              </w:numPr>
            </w:pPr>
            <w:r w:rsidRPr="00FA0B54">
              <w:t>AEMO</w:t>
            </w:r>
          </w:p>
        </w:tc>
        <w:tc>
          <w:tcPr>
            <w:tcW w:w="4344" w:type="dxa"/>
          </w:tcPr>
          <w:p w:rsidR="00FA0B54" w:rsidRPr="00FA0B54" w:rsidRDefault="00FA0B54" w:rsidP="00FA0B54">
            <w:pPr>
              <w:numPr>
                <w:ilvl w:val="0"/>
                <w:numId w:val="25"/>
              </w:numPr>
            </w:pPr>
            <w:r w:rsidRPr="00FA0B54">
              <w:t>Australian Energy Market Operator</w:t>
            </w:r>
          </w:p>
        </w:tc>
      </w:tr>
      <w:tr w:rsidR="00FA0B54" w:rsidTr="00FA0B54">
        <w:tc>
          <w:tcPr>
            <w:tcW w:w="4349" w:type="dxa"/>
          </w:tcPr>
          <w:p w:rsidR="00FA0B54" w:rsidRPr="00FA0B54" w:rsidRDefault="00FA0B54" w:rsidP="00FA0B54">
            <w:pPr>
              <w:numPr>
                <w:ilvl w:val="0"/>
                <w:numId w:val="25"/>
              </w:numPr>
            </w:pPr>
            <w:r w:rsidRPr="00FA0B54">
              <w:t>AER</w:t>
            </w:r>
          </w:p>
        </w:tc>
        <w:tc>
          <w:tcPr>
            <w:tcW w:w="4344" w:type="dxa"/>
          </w:tcPr>
          <w:p w:rsidR="00FA0B54" w:rsidRPr="00FA0B54" w:rsidRDefault="00FA0B54" w:rsidP="00FA0B54">
            <w:pPr>
              <w:numPr>
                <w:ilvl w:val="0"/>
                <w:numId w:val="25"/>
              </w:numPr>
            </w:pPr>
            <w:r w:rsidRPr="00FA0B54">
              <w:t>Australian Energy Regulator</w:t>
            </w:r>
          </w:p>
        </w:tc>
      </w:tr>
      <w:tr w:rsidR="00FA0B54" w:rsidTr="00FA0B54">
        <w:trPr>
          <w:cnfStyle w:val="000000010000" w:firstRow="0" w:lastRow="0" w:firstColumn="0" w:lastColumn="0" w:oddVBand="0" w:evenVBand="0" w:oddHBand="0" w:evenHBand="1" w:firstRowFirstColumn="0" w:firstRowLastColumn="0" w:lastRowFirstColumn="0" w:lastRowLastColumn="0"/>
        </w:trPr>
        <w:tc>
          <w:tcPr>
            <w:tcW w:w="4349" w:type="dxa"/>
          </w:tcPr>
          <w:p w:rsidR="00FA0B54" w:rsidRPr="00FA0B54" w:rsidRDefault="00FA0B54" w:rsidP="00FA0B54">
            <w:pPr>
              <w:numPr>
                <w:ilvl w:val="0"/>
                <w:numId w:val="25"/>
              </w:numPr>
            </w:pPr>
            <w:proofErr w:type="spellStart"/>
            <w:r w:rsidRPr="00FA0B54">
              <w:t>augex</w:t>
            </w:r>
            <w:proofErr w:type="spellEnd"/>
          </w:p>
        </w:tc>
        <w:tc>
          <w:tcPr>
            <w:tcW w:w="4344" w:type="dxa"/>
          </w:tcPr>
          <w:p w:rsidR="00FA0B54" w:rsidRPr="00FA0B54" w:rsidRDefault="00FA0B54" w:rsidP="00FA0B54">
            <w:pPr>
              <w:numPr>
                <w:ilvl w:val="0"/>
                <w:numId w:val="25"/>
              </w:numPr>
            </w:pPr>
            <w:r w:rsidRPr="00FA0B54">
              <w:t>augmentation expenditure</w:t>
            </w:r>
          </w:p>
        </w:tc>
      </w:tr>
      <w:tr w:rsidR="00FA0B54" w:rsidTr="00FA0B54">
        <w:tc>
          <w:tcPr>
            <w:tcW w:w="4349" w:type="dxa"/>
          </w:tcPr>
          <w:p w:rsidR="00FA0B54" w:rsidRPr="00FA0B54" w:rsidRDefault="00FA0B54" w:rsidP="00FA0B54">
            <w:pPr>
              <w:numPr>
                <w:ilvl w:val="0"/>
                <w:numId w:val="25"/>
              </w:numPr>
            </w:pPr>
            <w:r w:rsidRPr="00FA0B54">
              <w:t>capex</w:t>
            </w:r>
          </w:p>
        </w:tc>
        <w:tc>
          <w:tcPr>
            <w:tcW w:w="4344" w:type="dxa"/>
          </w:tcPr>
          <w:p w:rsidR="00FA0B54" w:rsidRPr="00FA0B54" w:rsidRDefault="00FA0B54" w:rsidP="00FA0B54">
            <w:pPr>
              <w:numPr>
                <w:ilvl w:val="0"/>
                <w:numId w:val="25"/>
              </w:numPr>
            </w:pPr>
            <w:r w:rsidRPr="00FA0B54">
              <w:t>capital expenditure</w:t>
            </w:r>
          </w:p>
        </w:tc>
      </w:tr>
      <w:tr w:rsidR="00FA0B54" w:rsidTr="00FA0B54">
        <w:trPr>
          <w:cnfStyle w:val="000000010000" w:firstRow="0" w:lastRow="0" w:firstColumn="0" w:lastColumn="0" w:oddVBand="0" w:evenVBand="0" w:oddHBand="0" w:evenHBand="1" w:firstRowFirstColumn="0" w:firstRowLastColumn="0" w:lastRowFirstColumn="0" w:lastRowLastColumn="0"/>
        </w:trPr>
        <w:tc>
          <w:tcPr>
            <w:tcW w:w="4349" w:type="dxa"/>
          </w:tcPr>
          <w:p w:rsidR="00FA0B54" w:rsidRPr="00FA0B54" w:rsidRDefault="00FA0B54" w:rsidP="00FA0B54">
            <w:pPr>
              <w:numPr>
                <w:ilvl w:val="0"/>
                <w:numId w:val="25"/>
              </w:numPr>
            </w:pPr>
            <w:r w:rsidRPr="00FA0B54">
              <w:t>CCP</w:t>
            </w:r>
          </w:p>
        </w:tc>
        <w:tc>
          <w:tcPr>
            <w:tcW w:w="4344" w:type="dxa"/>
          </w:tcPr>
          <w:p w:rsidR="00FA0B54" w:rsidRPr="00FA0B54" w:rsidRDefault="00FA0B54" w:rsidP="00FA0B54">
            <w:pPr>
              <w:numPr>
                <w:ilvl w:val="0"/>
                <w:numId w:val="25"/>
              </w:numPr>
            </w:pPr>
            <w:r w:rsidRPr="00FA0B54">
              <w:t>Consumer Challenge Panel</w:t>
            </w:r>
          </w:p>
        </w:tc>
      </w:tr>
      <w:tr w:rsidR="00FA0B54" w:rsidTr="00FA0B54">
        <w:tc>
          <w:tcPr>
            <w:tcW w:w="4349" w:type="dxa"/>
          </w:tcPr>
          <w:p w:rsidR="00FA0B54" w:rsidRPr="00FA0B54" w:rsidRDefault="00FA0B54" w:rsidP="00FA0B54">
            <w:pPr>
              <w:numPr>
                <w:ilvl w:val="0"/>
                <w:numId w:val="25"/>
              </w:numPr>
            </w:pPr>
            <w:r w:rsidRPr="00FA0B54">
              <w:t>CESS</w:t>
            </w:r>
          </w:p>
        </w:tc>
        <w:tc>
          <w:tcPr>
            <w:tcW w:w="4344" w:type="dxa"/>
          </w:tcPr>
          <w:p w:rsidR="00FA0B54" w:rsidRPr="00FA0B54" w:rsidRDefault="00FA0B54" w:rsidP="00FA0B54">
            <w:pPr>
              <w:numPr>
                <w:ilvl w:val="0"/>
                <w:numId w:val="25"/>
              </w:numPr>
            </w:pPr>
            <w:r w:rsidRPr="00FA0B54">
              <w:t>capital expenditure sharing scheme</w:t>
            </w:r>
          </w:p>
        </w:tc>
      </w:tr>
      <w:tr w:rsidR="00FA0B54" w:rsidTr="00FA0B54">
        <w:trPr>
          <w:cnfStyle w:val="000000010000" w:firstRow="0" w:lastRow="0" w:firstColumn="0" w:lastColumn="0" w:oddVBand="0" w:evenVBand="0" w:oddHBand="0" w:evenHBand="1" w:firstRowFirstColumn="0" w:firstRowLastColumn="0" w:lastRowFirstColumn="0" w:lastRowLastColumn="0"/>
        </w:trPr>
        <w:tc>
          <w:tcPr>
            <w:tcW w:w="4349" w:type="dxa"/>
          </w:tcPr>
          <w:p w:rsidR="00FA0B54" w:rsidRPr="00FA0B54" w:rsidRDefault="00FA0B54" w:rsidP="00FA0B54">
            <w:pPr>
              <w:numPr>
                <w:ilvl w:val="0"/>
                <w:numId w:val="25"/>
              </w:numPr>
            </w:pPr>
            <w:r w:rsidRPr="00FA0B54">
              <w:t>CPI</w:t>
            </w:r>
          </w:p>
        </w:tc>
        <w:tc>
          <w:tcPr>
            <w:tcW w:w="4344" w:type="dxa"/>
          </w:tcPr>
          <w:p w:rsidR="00FA0B54" w:rsidRPr="00FA0B54" w:rsidRDefault="00FA0B54" w:rsidP="00FA0B54">
            <w:pPr>
              <w:numPr>
                <w:ilvl w:val="0"/>
                <w:numId w:val="25"/>
              </w:numPr>
            </w:pPr>
            <w:r w:rsidRPr="00FA0B54">
              <w:t>consumer price index</w:t>
            </w:r>
          </w:p>
        </w:tc>
      </w:tr>
      <w:tr w:rsidR="00FA0B54" w:rsidTr="00FA0B54">
        <w:tc>
          <w:tcPr>
            <w:tcW w:w="4349" w:type="dxa"/>
          </w:tcPr>
          <w:p w:rsidR="00FA0B54" w:rsidRPr="00FA0B54" w:rsidRDefault="00FA0B54" w:rsidP="00FA0B54">
            <w:pPr>
              <w:numPr>
                <w:ilvl w:val="0"/>
                <w:numId w:val="25"/>
              </w:numPr>
            </w:pPr>
            <w:r w:rsidRPr="00FA0B54">
              <w:t>DRP</w:t>
            </w:r>
          </w:p>
        </w:tc>
        <w:tc>
          <w:tcPr>
            <w:tcW w:w="4344" w:type="dxa"/>
          </w:tcPr>
          <w:p w:rsidR="00FA0B54" w:rsidRPr="00FA0B54" w:rsidRDefault="00FA0B54" w:rsidP="00FA0B54">
            <w:pPr>
              <w:numPr>
                <w:ilvl w:val="0"/>
                <w:numId w:val="25"/>
              </w:numPr>
            </w:pPr>
            <w:r w:rsidRPr="00FA0B54">
              <w:t>debt risk premium</w:t>
            </w:r>
          </w:p>
        </w:tc>
      </w:tr>
      <w:tr w:rsidR="00FA0B54" w:rsidTr="00FA0B54">
        <w:trPr>
          <w:cnfStyle w:val="000000010000" w:firstRow="0" w:lastRow="0" w:firstColumn="0" w:lastColumn="0" w:oddVBand="0" w:evenVBand="0" w:oddHBand="0" w:evenHBand="1" w:firstRowFirstColumn="0" w:firstRowLastColumn="0" w:lastRowFirstColumn="0" w:lastRowLastColumn="0"/>
        </w:trPr>
        <w:tc>
          <w:tcPr>
            <w:tcW w:w="4349" w:type="dxa"/>
          </w:tcPr>
          <w:p w:rsidR="00FA0B54" w:rsidRPr="00FA0B54" w:rsidRDefault="00FA0B54" w:rsidP="00FA0B54">
            <w:pPr>
              <w:numPr>
                <w:ilvl w:val="0"/>
                <w:numId w:val="25"/>
              </w:numPr>
            </w:pPr>
            <w:r w:rsidRPr="00FA0B54">
              <w:t>DMIA</w:t>
            </w:r>
          </w:p>
        </w:tc>
        <w:tc>
          <w:tcPr>
            <w:tcW w:w="4344" w:type="dxa"/>
          </w:tcPr>
          <w:p w:rsidR="00FA0B54" w:rsidRPr="00FA0B54" w:rsidRDefault="00FA0B54" w:rsidP="00FA0B54">
            <w:pPr>
              <w:numPr>
                <w:ilvl w:val="0"/>
                <w:numId w:val="25"/>
              </w:numPr>
            </w:pPr>
            <w:r w:rsidRPr="00FA0B54">
              <w:t>demand management innovation allowance</w:t>
            </w:r>
          </w:p>
        </w:tc>
      </w:tr>
      <w:tr w:rsidR="00FA0B54" w:rsidTr="00FA0B54">
        <w:tc>
          <w:tcPr>
            <w:tcW w:w="4349" w:type="dxa"/>
          </w:tcPr>
          <w:p w:rsidR="00FA0B54" w:rsidRPr="00FA0B54" w:rsidRDefault="00FA0B54" w:rsidP="00FA0B54">
            <w:pPr>
              <w:numPr>
                <w:ilvl w:val="0"/>
                <w:numId w:val="25"/>
              </w:numPr>
            </w:pPr>
            <w:r w:rsidRPr="00FA0B54">
              <w:t>DMIS</w:t>
            </w:r>
          </w:p>
        </w:tc>
        <w:tc>
          <w:tcPr>
            <w:tcW w:w="4344" w:type="dxa"/>
          </w:tcPr>
          <w:p w:rsidR="00FA0B54" w:rsidRPr="00FA0B54" w:rsidRDefault="00FA0B54" w:rsidP="00FA0B54">
            <w:pPr>
              <w:numPr>
                <w:ilvl w:val="0"/>
                <w:numId w:val="25"/>
              </w:numPr>
            </w:pPr>
            <w:r w:rsidRPr="00FA0B54">
              <w:t>demand management incentive scheme</w:t>
            </w:r>
          </w:p>
        </w:tc>
      </w:tr>
      <w:tr w:rsidR="00FA0B54" w:rsidTr="00FA0B54">
        <w:trPr>
          <w:cnfStyle w:val="000000010000" w:firstRow="0" w:lastRow="0" w:firstColumn="0" w:lastColumn="0" w:oddVBand="0" w:evenVBand="0" w:oddHBand="0" w:evenHBand="1" w:firstRowFirstColumn="0" w:firstRowLastColumn="0" w:lastRowFirstColumn="0" w:lastRowLastColumn="0"/>
        </w:trPr>
        <w:tc>
          <w:tcPr>
            <w:tcW w:w="4349" w:type="dxa"/>
          </w:tcPr>
          <w:p w:rsidR="00FA0B54" w:rsidRPr="00FA0B54" w:rsidRDefault="00FA0B54" w:rsidP="00FA0B54">
            <w:pPr>
              <w:numPr>
                <w:ilvl w:val="0"/>
                <w:numId w:val="25"/>
              </w:numPr>
            </w:pPr>
            <w:r w:rsidRPr="00FA0B54">
              <w:t>distributor</w:t>
            </w:r>
          </w:p>
        </w:tc>
        <w:tc>
          <w:tcPr>
            <w:tcW w:w="4344" w:type="dxa"/>
          </w:tcPr>
          <w:p w:rsidR="00FA0B54" w:rsidRPr="00FA0B54" w:rsidRDefault="00FA0B54" w:rsidP="00FA0B54">
            <w:pPr>
              <w:numPr>
                <w:ilvl w:val="0"/>
                <w:numId w:val="25"/>
              </w:numPr>
            </w:pPr>
            <w:r w:rsidRPr="00FA0B54">
              <w:t>distribution network service provider</w:t>
            </w:r>
          </w:p>
        </w:tc>
      </w:tr>
      <w:tr w:rsidR="00FA0B54" w:rsidTr="00FA0B54">
        <w:tc>
          <w:tcPr>
            <w:tcW w:w="4349" w:type="dxa"/>
          </w:tcPr>
          <w:p w:rsidR="00FA0B54" w:rsidRPr="00FA0B54" w:rsidRDefault="00FA0B54" w:rsidP="00FA0B54">
            <w:pPr>
              <w:numPr>
                <w:ilvl w:val="0"/>
                <w:numId w:val="25"/>
              </w:numPr>
            </w:pPr>
            <w:proofErr w:type="spellStart"/>
            <w:r w:rsidRPr="00FA0B54">
              <w:t>DUoS</w:t>
            </w:r>
            <w:proofErr w:type="spellEnd"/>
          </w:p>
        </w:tc>
        <w:tc>
          <w:tcPr>
            <w:tcW w:w="4344" w:type="dxa"/>
          </w:tcPr>
          <w:p w:rsidR="00FA0B54" w:rsidRPr="00FA0B54" w:rsidRDefault="00FA0B54" w:rsidP="00FA0B54">
            <w:pPr>
              <w:numPr>
                <w:ilvl w:val="0"/>
                <w:numId w:val="25"/>
              </w:numPr>
            </w:pPr>
            <w:r w:rsidRPr="00FA0B54">
              <w:t>distribution use of system</w:t>
            </w:r>
          </w:p>
        </w:tc>
      </w:tr>
      <w:tr w:rsidR="00FA0B54" w:rsidTr="00FA0B54">
        <w:trPr>
          <w:cnfStyle w:val="000000010000" w:firstRow="0" w:lastRow="0" w:firstColumn="0" w:lastColumn="0" w:oddVBand="0" w:evenVBand="0" w:oddHBand="0" w:evenHBand="1" w:firstRowFirstColumn="0" w:firstRowLastColumn="0" w:lastRowFirstColumn="0" w:lastRowLastColumn="0"/>
        </w:trPr>
        <w:tc>
          <w:tcPr>
            <w:tcW w:w="4349" w:type="dxa"/>
          </w:tcPr>
          <w:p w:rsidR="00FA0B54" w:rsidRPr="00FA0B54" w:rsidRDefault="00FA0B54" w:rsidP="00FA0B54">
            <w:pPr>
              <w:numPr>
                <w:ilvl w:val="0"/>
                <w:numId w:val="25"/>
              </w:numPr>
            </w:pPr>
            <w:r w:rsidRPr="00FA0B54">
              <w:t>EBSS</w:t>
            </w:r>
          </w:p>
        </w:tc>
        <w:tc>
          <w:tcPr>
            <w:tcW w:w="4344" w:type="dxa"/>
          </w:tcPr>
          <w:p w:rsidR="00FA0B54" w:rsidRPr="00FA0B54" w:rsidRDefault="00FA0B54" w:rsidP="00FA0B54">
            <w:pPr>
              <w:numPr>
                <w:ilvl w:val="0"/>
                <w:numId w:val="25"/>
              </w:numPr>
            </w:pPr>
            <w:r w:rsidRPr="00FA0B54">
              <w:t>efficiency benefit sharing scheme</w:t>
            </w:r>
          </w:p>
        </w:tc>
      </w:tr>
      <w:tr w:rsidR="00FA0B54" w:rsidTr="00FA0B54">
        <w:tc>
          <w:tcPr>
            <w:tcW w:w="4349" w:type="dxa"/>
          </w:tcPr>
          <w:p w:rsidR="00FA0B54" w:rsidRPr="00FA0B54" w:rsidRDefault="00FA0B54" w:rsidP="00FA0B54">
            <w:pPr>
              <w:numPr>
                <w:ilvl w:val="0"/>
                <w:numId w:val="25"/>
              </w:numPr>
            </w:pPr>
            <w:r w:rsidRPr="00FA0B54">
              <w:t>ERP</w:t>
            </w:r>
          </w:p>
        </w:tc>
        <w:tc>
          <w:tcPr>
            <w:tcW w:w="4344" w:type="dxa"/>
          </w:tcPr>
          <w:p w:rsidR="00FA0B54" w:rsidRPr="00FA0B54" w:rsidRDefault="00FA0B54" w:rsidP="00FA0B54">
            <w:pPr>
              <w:numPr>
                <w:ilvl w:val="0"/>
                <w:numId w:val="25"/>
              </w:numPr>
            </w:pPr>
            <w:r w:rsidRPr="00FA0B54">
              <w:t>equity risk premium</w:t>
            </w:r>
          </w:p>
        </w:tc>
      </w:tr>
      <w:tr w:rsidR="00FA0B54" w:rsidTr="00FA0B54">
        <w:trPr>
          <w:cnfStyle w:val="000000010000" w:firstRow="0" w:lastRow="0" w:firstColumn="0" w:lastColumn="0" w:oddVBand="0" w:evenVBand="0" w:oddHBand="0" w:evenHBand="1" w:firstRowFirstColumn="0" w:firstRowLastColumn="0" w:lastRowFirstColumn="0" w:lastRowLastColumn="0"/>
        </w:trPr>
        <w:tc>
          <w:tcPr>
            <w:tcW w:w="4349" w:type="dxa"/>
          </w:tcPr>
          <w:p w:rsidR="00FA0B54" w:rsidRPr="00FA0B54" w:rsidRDefault="00FA0B54" w:rsidP="00FA0B54">
            <w:pPr>
              <w:numPr>
                <w:ilvl w:val="0"/>
                <w:numId w:val="25"/>
              </w:numPr>
            </w:pPr>
            <w:r w:rsidRPr="00FA0B54">
              <w:t>Expenditure Assessment Guideline</w:t>
            </w:r>
          </w:p>
        </w:tc>
        <w:tc>
          <w:tcPr>
            <w:tcW w:w="4344" w:type="dxa"/>
          </w:tcPr>
          <w:p w:rsidR="00FA0B54" w:rsidRPr="00FA0B54" w:rsidRDefault="00FA0B54" w:rsidP="00FA0B54">
            <w:pPr>
              <w:numPr>
                <w:ilvl w:val="0"/>
                <w:numId w:val="25"/>
              </w:numPr>
            </w:pPr>
            <w:r w:rsidRPr="00FA0B54">
              <w:t>expenditure forecast assessment Guideline for electricity distribution</w:t>
            </w:r>
          </w:p>
        </w:tc>
      </w:tr>
      <w:tr w:rsidR="00FA0B54" w:rsidTr="00FA0B54">
        <w:tc>
          <w:tcPr>
            <w:tcW w:w="4349" w:type="dxa"/>
          </w:tcPr>
          <w:p w:rsidR="00FA0B54" w:rsidRPr="00FA0B54" w:rsidRDefault="00FA0B54" w:rsidP="00FA0B54">
            <w:pPr>
              <w:numPr>
                <w:ilvl w:val="0"/>
                <w:numId w:val="25"/>
              </w:numPr>
            </w:pPr>
            <w:r w:rsidRPr="00FA0B54">
              <w:t>F&amp;A</w:t>
            </w:r>
          </w:p>
        </w:tc>
        <w:tc>
          <w:tcPr>
            <w:tcW w:w="4344" w:type="dxa"/>
          </w:tcPr>
          <w:p w:rsidR="00FA0B54" w:rsidRPr="00FA0B54" w:rsidRDefault="00FA0B54" w:rsidP="00FA0B54">
            <w:pPr>
              <w:numPr>
                <w:ilvl w:val="0"/>
                <w:numId w:val="25"/>
              </w:numPr>
            </w:pPr>
            <w:r w:rsidRPr="00FA0B54">
              <w:t>framework and approach</w:t>
            </w:r>
          </w:p>
        </w:tc>
      </w:tr>
      <w:tr w:rsidR="00FA0B54" w:rsidTr="00FA0B54">
        <w:trPr>
          <w:cnfStyle w:val="000000010000" w:firstRow="0" w:lastRow="0" w:firstColumn="0" w:lastColumn="0" w:oddVBand="0" w:evenVBand="0" w:oddHBand="0" w:evenHBand="1" w:firstRowFirstColumn="0" w:firstRowLastColumn="0" w:lastRowFirstColumn="0" w:lastRowLastColumn="0"/>
        </w:trPr>
        <w:tc>
          <w:tcPr>
            <w:tcW w:w="4349" w:type="dxa"/>
          </w:tcPr>
          <w:p w:rsidR="00FA0B54" w:rsidRPr="00FA0B54" w:rsidRDefault="00FA0B54" w:rsidP="00FA0B54">
            <w:pPr>
              <w:numPr>
                <w:ilvl w:val="0"/>
                <w:numId w:val="25"/>
              </w:numPr>
            </w:pPr>
            <w:r w:rsidRPr="00FA0B54">
              <w:t>MRP</w:t>
            </w:r>
          </w:p>
        </w:tc>
        <w:tc>
          <w:tcPr>
            <w:tcW w:w="4344" w:type="dxa"/>
          </w:tcPr>
          <w:p w:rsidR="00FA0B54" w:rsidRPr="00FA0B54" w:rsidRDefault="00FA0B54" w:rsidP="00FA0B54">
            <w:pPr>
              <w:numPr>
                <w:ilvl w:val="0"/>
                <w:numId w:val="25"/>
              </w:numPr>
            </w:pPr>
            <w:r w:rsidRPr="00FA0B54">
              <w:t>market risk premium</w:t>
            </w:r>
          </w:p>
        </w:tc>
      </w:tr>
      <w:tr w:rsidR="00FA0B54" w:rsidTr="00FA0B54">
        <w:tc>
          <w:tcPr>
            <w:tcW w:w="4349" w:type="dxa"/>
          </w:tcPr>
          <w:p w:rsidR="00FA0B54" w:rsidRPr="00FA0B54" w:rsidRDefault="00FA0B54" w:rsidP="00FA0B54">
            <w:pPr>
              <w:numPr>
                <w:ilvl w:val="0"/>
                <w:numId w:val="25"/>
              </w:numPr>
            </w:pPr>
            <w:r w:rsidRPr="00FA0B54">
              <w:t>NEL</w:t>
            </w:r>
          </w:p>
        </w:tc>
        <w:tc>
          <w:tcPr>
            <w:tcW w:w="4344" w:type="dxa"/>
          </w:tcPr>
          <w:p w:rsidR="00FA0B54" w:rsidRPr="00FA0B54" w:rsidRDefault="00FA0B54" w:rsidP="00FA0B54">
            <w:pPr>
              <w:numPr>
                <w:ilvl w:val="0"/>
                <w:numId w:val="25"/>
              </w:numPr>
            </w:pPr>
            <w:r w:rsidRPr="00FA0B54">
              <w:t>national electricity law</w:t>
            </w:r>
          </w:p>
        </w:tc>
      </w:tr>
      <w:tr w:rsidR="00FA0B54" w:rsidTr="00FA0B54">
        <w:trPr>
          <w:cnfStyle w:val="000000010000" w:firstRow="0" w:lastRow="0" w:firstColumn="0" w:lastColumn="0" w:oddVBand="0" w:evenVBand="0" w:oddHBand="0" w:evenHBand="1" w:firstRowFirstColumn="0" w:firstRowLastColumn="0" w:lastRowFirstColumn="0" w:lastRowLastColumn="0"/>
        </w:trPr>
        <w:tc>
          <w:tcPr>
            <w:tcW w:w="4349" w:type="dxa"/>
          </w:tcPr>
          <w:p w:rsidR="00FA0B54" w:rsidRPr="00FA0B54" w:rsidRDefault="00FA0B54" w:rsidP="00FA0B54">
            <w:pPr>
              <w:numPr>
                <w:ilvl w:val="0"/>
                <w:numId w:val="25"/>
              </w:numPr>
            </w:pPr>
            <w:r w:rsidRPr="00FA0B54">
              <w:t>NEM</w:t>
            </w:r>
          </w:p>
        </w:tc>
        <w:tc>
          <w:tcPr>
            <w:tcW w:w="4344" w:type="dxa"/>
          </w:tcPr>
          <w:p w:rsidR="00FA0B54" w:rsidRPr="00FA0B54" w:rsidRDefault="00FA0B54" w:rsidP="00FA0B54">
            <w:pPr>
              <w:numPr>
                <w:ilvl w:val="0"/>
                <w:numId w:val="25"/>
              </w:numPr>
            </w:pPr>
            <w:r w:rsidRPr="00FA0B54">
              <w:t>national electricity market</w:t>
            </w:r>
          </w:p>
        </w:tc>
      </w:tr>
      <w:tr w:rsidR="00FA0B54" w:rsidTr="00FA0B54">
        <w:tc>
          <w:tcPr>
            <w:tcW w:w="4349" w:type="dxa"/>
          </w:tcPr>
          <w:p w:rsidR="00FA0B54" w:rsidRPr="00FA0B54" w:rsidRDefault="00FA0B54" w:rsidP="00FA0B54">
            <w:pPr>
              <w:numPr>
                <w:ilvl w:val="0"/>
                <w:numId w:val="25"/>
              </w:numPr>
            </w:pPr>
            <w:r w:rsidRPr="00FA0B54">
              <w:t>NEO</w:t>
            </w:r>
          </w:p>
        </w:tc>
        <w:tc>
          <w:tcPr>
            <w:tcW w:w="4344" w:type="dxa"/>
          </w:tcPr>
          <w:p w:rsidR="00FA0B54" w:rsidRPr="00FA0B54" w:rsidRDefault="00FA0B54" w:rsidP="00FA0B54">
            <w:pPr>
              <w:numPr>
                <w:ilvl w:val="0"/>
                <w:numId w:val="25"/>
              </w:numPr>
            </w:pPr>
            <w:r w:rsidRPr="00FA0B54">
              <w:t>national electricity objective</w:t>
            </w:r>
          </w:p>
        </w:tc>
      </w:tr>
      <w:tr w:rsidR="00FA0B54" w:rsidTr="00FA0B54">
        <w:trPr>
          <w:cnfStyle w:val="000000010000" w:firstRow="0" w:lastRow="0" w:firstColumn="0" w:lastColumn="0" w:oddVBand="0" w:evenVBand="0" w:oddHBand="0" w:evenHBand="1" w:firstRowFirstColumn="0" w:firstRowLastColumn="0" w:lastRowFirstColumn="0" w:lastRowLastColumn="0"/>
        </w:trPr>
        <w:tc>
          <w:tcPr>
            <w:tcW w:w="4349" w:type="dxa"/>
          </w:tcPr>
          <w:p w:rsidR="00FA0B54" w:rsidRPr="00FA0B54" w:rsidRDefault="00FA0B54" w:rsidP="00FA0B54">
            <w:pPr>
              <w:numPr>
                <w:ilvl w:val="0"/>
                <w:numId w:val="25"/>
              </w:numPr>
            </w:pPr>
            <w:r w:rsidRPr="00FA0B54">
              <w:t>NER</w:t>
            </w:r>
          </w:p>
        </w:tc>
        <w:tc>
          <w:tcPr>
            <w:tcW w:w="4344" w:type="dxa"/>
          </w:tcPr>
          <w:p w:rsidR="00FA0B54" w:rsidRPr="00FA0B54" w:rsidRDefault="00FA0B54" w:rsidP="00FA0B54">
            <w:pPr>
              <w:numPr>
                <w:ilvl w:val="0"/>
                <w:numId w:val="25"/>
              </w:numPr>
            </w:pPr>
            <w:r w:rsidRPr="00FA0B54">
              <w:t>national electricity rules</w:t>
            </w:r>
          </w:p>
        </w:tc>
      </w:tr>
      <w:tr w:rsidR="00FA0B54" w:rsidTr="00FA0B54">
        <w:tc>
          <w:tcPr>
            <w:tcW w:w="4349" w:type="dxa"/>
          </w:tcPr>
          <w:p w:rsidR="00FA0B54" w:rsidRPr="00FA0B54" w:rsidRDefault="00FA0B54" w:rsidP="00FA0B54">
            <w:pPr>
              <w:numPr>
                <w:ilvl w:val="0"/>
                <w:numId w:val="25"/>
              </w:numPr>
            </w:pPr>
            <w:r w:rsidRPr="00FA0B54">
              <w:t>NSP</w:t>
            </w:r>
          </w:p>
        </w:tc>
        <w:tc>
          <w:tcPr>
            <w:tcW w:w="4344" w:type="dxa"/>
          </w:tcPr>
          <w:p w:rsidR="00FA0B54" w:rsidRPr="00FA0B54" w:rsidRDefault="00FA0B54" w:rsidP="00FA0B54">
            <w:pPr>
              <w:numPr>
                <w:ilvl w:val="0"/>
                <w:numId w:val="25"/>
              </w:numPr>
            </w:pPr>
            <w:r w:rsidRPr="00FA0B54">
              <w:t>network service provider</w:t>
            </w:r>
          </w:p>
        </w:tc>
      </w:tr>
      <w:tr w:rsidR="00FA0B54" w:rsidTr="00FA0B54">
        <w:trPr>
          <w:cnfStyle w:val="000000010000" w:firstRow="0" w:lastRow="0" w:firstColumn="0" w:lastColumn="0" w:oddVBand="0" w:evenVBand="0" w:oddHBand="0" w:evenHBand="1" w:firstRowFirstColumn="0" w:firstRowLastColumn="0" w:lastRowFirstColumn="0" w:lastRowLastColumn="0"/>
        </w:trPr>
        <w:tc>
          <w:tcPr>
            <w:tcW w:w="4349" w:type="dxa"/>
          </w:tcPr>
          <w:p w:rsidR="00FA0B54" w:rsidRPr="00FA0B54" w:rsidRDefault="00FA0B54" w:rsidP="00FA0B54">
            <w:pPr>
              <w:numPr>
                <w:ilvl w:val="0"/>
                <w:numId w:val="25"/>
              </w:numPr>
            </w:pPr>
            <w:proofErr w:type="spellStart"/>
            <w:r w:rsidRPr="00FA0B54">
              <w:t>opex</w:t>
            </w:r>
            <w:proofErr w:type="spellEnd"/>
          </w:p>
        </w:tc>
        <w:tc>
          <w:tcPr>
            <w:tcW w:w="4344" w:type="dxa"/>
          </w:tcPr>
          <w:p w:rsidR="00FA0B54" w:rsidRPr="00FA0B54" w:rsidRDefault="00FA0B54" w:rsidP="00FA0B54">
            <w:pPr>
              <w:numPr>
                <w:ilvl w:val="0"/>
                <w:numId w:val="25"/>
              </w:numPr>
            </w:pPr>
            <w:r w:rsidRPr="00FA0B54">
              <w:t>operating expenditure</w:t>
            </w:r>
          </w:p>
        </w:tc>
      </w:tr>
      <w:tr w:rsidR="00FA0B54" w:rsidTr="00FA0B54">
        <w:tc>
          <w:tcPr>
            <w:tcW w:w="4349" w:type="dxa"/>
          </w:tcPr>
          <w:p w:rsidR="00FA0B54" w:rsidRPr="00FA0B54" w:rsidRDefault="00FA0B54" w:rsidP="00FA0B54">
            <w:pPr>
              <w:numPr>
                <w:ilvl w:val="0"/>
                <w:numId w:val="25"/>
              </w:numPr>
            </w:pPr>
            <w:r w:rsidRPr="00FA0B54">
              <w:t>PPI</w:t>
            </w:r>
          </w:p>
        </w:tc>
        <w:tc>
          <w:tcPr>
            <w:tcW w:w="4344" w:type="dxa"/>
          </w:tcPr>
          <w:p w:rsidR="00FA0B54" w:rsidRPr="00FA0B54" w:rsidRDefault="00FA0B54" w:rsidP="00FA0B54">
            <w:pPr>
              <w:numPr>
                <w:ilvl w:val="0"/>
                <w:numId w:val="25"/>
              </w:numPr>
            </w:pPr>
            <w:r w:rsidRPr="00FA0B54">
              <w:t>partial performance indicators</w:t>
            </w:r>
          </w:p>
        </w:tc>
      </w:tr>
      <w:tr w:rsidR="00FA0B54" w:rsidTr="00FA0B54">
        <w:trPr>
          <w:cnfStyle w:val="000000010000" w:firstRow="0" w:lastRow="0" w:firstColumn="0" w:lastColumn="0" w:oddVBand="0" w:evenVBand="0" w:oddHBand="0" w:evenHBand="1" w:firstRowFirstColumn="0" w:firstRowLastColumn="0" w:lastRowFirstColumn="0" w:lastRowLastColumn="0"/>
        </w:trPr>
        <w:tc>
          <w:tcPr>
            <w:tcW w:w="4349" w:type="dxa"/>
          </w:tcPr>
          <w:p w:rsidR="00FA0B54" w:rsidRPr="00FA0B54" w:rsidRDefault="00FA0B54" w:rsidP="00FA0B54">
            <w:pPr>
              <w:numPr>
                <w:ilvl w:val="0"/>
                <w:numId w:val="25"/>
              </w:numPr>
            </w:pPr>
            <w:r w:rsidRPr="00FA0B54">
              <w:t>PTRM</w:t>
            </w:r>
          </w:p>
        </w:tc>
        <w:tc>
          <w:tcPr>
            <w:tcW w:w="4344" w:type="dxa"/>
          </w:tcPr>
          <w:p w:rsidR="00FA0B54" w:rsidRPr="00FA0B54" w:rsidRDefault="00FA0B54" w:rsidP="00FA0B54">
            <w:pPr>
              <w:numPr>
                <w:ilvl w:val="0"/>
                <w:numId w:val="25"/>
              </w:numPr>
            </w:pPr>
            <w:r w:rsidRPr="00FA0B54">
              <w:t>post-tax revenue model</w:t>
            </w:r>
          </w:p>
        </w:tc>
      </w:tr>
      <w:tr w:rsidR="00FA0B54" w:rsidTr="00FA0B54">
        <w:tc>
          <w:tcPr>
            <w:tcW w:w="4349" w:type="dxa"/>
          </w:tcPr>
          <w:p w:rsidR="00FA0B54" w:rsidRPr="00FA0B54" w:rsidRDefault="00FA0B54" w:rsidP="00FA0B54">
            <w:pPr>
              <w:numPr>
                <w:ilvl w:val="0"/>
                <w:numId w:val="25"/>
              </w:numPr>
            </w:pPr>
            <w:r w:rsidRPr="00FA0B54">
              <w:t>RAB</w:t>
            </w:r>
          </w:p>
        </w:tc>
        <w:tc>
          <w:tcPr>
            <w:tcW w:w="4344" w:type="dxa"/>
          </w:tcPr>
          <w:p w:rsidR="00FA0B54" w:rsidRPr="00FA0B54" w:rsidRDefault="00FA0B54" w:rsidP="00FA0B54">
            <w:pPr>
              <w:numPr>
                <w:ilvl w:val="0"/>
                <w:numId w:val="25"/>
              </w:numPr>
            </w:pPr>
            <w:r w:rsidRPr="00FA0B54">
              <w:t>regulatory asset base</w:t>
            </w:r>
          </w:p>
        </w:tc>
      </w:tr>
      <w:tr w:rsidR="00FA0B54" w:rsidTr="00FA0B54">
        <w:trPr>
          <w:cnfStyle w:val="000000010000" w:firstRow="0" w:lastRow="0" w:firstColumn="0" w:lastColumn="0" w:oddVBand="0" w:evenVBand="0" w:oddHBand="0" w:evenHBand="1" w:firstRowFirstColumn="0" w:firstRowLastColumn="0" w:lastRowFirstColumn="0" w:lastRowLastColumn="0"/>
        </w:trPr>
        <w:tc>
          <w:tcPr>
            <w:tcW w:w="4349" w:type="dxa"/>
          </w:tcPr>
          <w:p w:rsidR="00FA0B54" w:rsidRPr="00FA0B54" w:rsidRDefault="00FA0B54" w:rsidP="00FA0B54">
            <w:pPr>
              <w:numPr>
                <w:ilvl w:val="0"/>
                <w:numId w:val="25"/>
              </w:numPr>
            </w:pPr>
            <w:r w:rsidRPr="00FA0B54">
              <w:t>RBA</w:t>
            </w:r>
          </w:p>
        </w:tc>
        <w:tc>
          <w:tcPr>
            <w:tcW w:w="4344" w:type="dxa"/>
          </w:tcPr>
          <w:p w:rsidR="00FA0B54" w:rsidRPr="00FA0B54" w:rsidRDefault="00FA0B54" w:rsidP="00FA0B54">
            <w:pPr>
              <w:numPr>
                <w:ilvl w:val="0"/>
                <w:numId w:val="25"/>
              </w:numPr>
            </w:pPr>
            <w:r w:rsidRPr="00FA0B54">
              <w:t>Reserve Bank of Australia</w:t>
            </w:r>
          </w:p>
        </w:tc>
      </w:tr>
      <w:tr w:rsidR="00FA0B54" w:rsidTr="00FA0B54">
        <w:tc>
          <w:tcPr>
            <w:tcW w:w="4349" w:type="dxa"/>
          </w:tcPr>
          <w:p w:rsidR="00FA0B54" w:rsidRPr="00FA0B54" w:rsidRDefault="00FA0B54" w:rsidP="00FA0B54">
            <w:pPr>
              <w:numPr>
                <w:ilvl w:val="0"/>
                <w:numId w:val="25"/>
              </w:numPr>
            </w:pPr>
            <w:proofErr w:type="spellStart"/>
            <w:r w:rsidRPr="00FA0B54">
              <w:t>repex</w:t>
            </w:r>
            <w:proofErr w:type="spellEnd"/>
          </w:p>
        </w:tc>
        <w:tc>
          <w:tcPr>
            <w:tcW w:w="4344" w:type="dxa"/>
          </w:tcPr>
          <w:p w:rsidR="00FA0B54" w:rsidRPr="00FA0B54" w:rsidRDefault="00FA0B54" w:rsidP="00FA0B54">
            <w:pPr>
              <w:numPr>
                <w:ilvl w:val="0"/>
                <w:numId w:val="25"/>
              </w:numPr>
            </w:pPr>
            <w:r w:rsidRPr="00FA0B54">
              <w:t>replacement expenditure</w:t>
            </w:r>
          </w:p>
        </w:tc>
      </w:tr>
      <w:tr w:rsidR="00FA0B54" w:rsidTr="00FA0B54">
        <w:trPr>
          <w:cnfStyle w:val="000000010000" w:firstRow="0" w:lastRow="0" w:firstColumn="0" w:lastColumn="0" w:oddVBand="0" w:evenVBand="0" w:oddHBand="0" w:evenHBand="1" w:firstRowFirstColumn="0" w:firstRowLastColumn="0" w:lastRowFirstColumn="0" w:lastRowLastColumn="0"/>
        </w:trPr>
        <w:tc>
          <w:tcPr>
            <w:tcW w:w="4349" w:type="dxa"/>
          </w:tcPr>
          <w:p w:rsidR="00FA0B54" w:rsidRPr="00FA0B54" w:rsidRDefault="00FA0B54" w:rsidP="00FA0B54">
            <w:pPr>
              <w:numPr>
                <w:ilvl w:val="0"/>
                <w:numId w:val="25"/>
              </w:numPr>
            </w:pPr>
            <w:r w:rsidRPr="00FA0B54">
              <w:t>RFM</w:t>
            </w:r>
          </w:p>
        </w:tc>
        <w:tc>
          <w:tcPr>
            <w:tcW w:w="4344" w:type="dxa"/>
          </w:tcPr>
          <w:p w:rsidR="00FA0B54" w:rsidRPr="00FA0B54" w:rsidRDefault="00FA0B54" w:rsidP="00FA0B54">
            <w:pPr>
              <w:numPr>
                <w:ilvl w:val="0"/>
                <w:numId w:val="25"/>
              </w:numPr>
            </w:pPr>
            <w:r w:rsidRPr="00FA0B54">
              <w:t>roll forward model</w:t>
            </w:r>
          </w:p>
        </w:tc>
      </w:tr>
      <w:tr w:rsidR="00FA0B54" w:rsidTr="00FA0B54">
        <w:tc>
          <w:tcPr>
            <w:tcW w:w="4349" w:type="dxa"/>
          </w:tcPr>
          <w:p w:rsidR="00FA0B54" w:rsidRPr="00FA0B54" w:rsidRDefault="00FA0B54" w:rsidP="00FA0B54">
            <w:pPr>
              <w:numPr>
                <w:ilvl w:val="0"/>
                <w:numId w:val="25"/>
              </w:numPr>
            </w:pPr>
            <w:r w:rsidRPr="00FA0B54">
              <w:lastRenderedPageBreak/>
              <w:t>RIN</w:t>
            </w:r>
          </w:p>
        </w:tc>
        <w:tc>
          <w:tcPr>
            <w:tcW w:w="4344" w:type="dxa"/>
          </w:tcPr>
          <w:p w:rsidR="00FA0B54" w:rsidRPr="00FA0B54" w:rsidRDefault="00FA0B54" w:rsidP="00FA0B54">
            <w:pPr>
              <w:numPr>
                <w:ilvl w:val="0"/>
                <w:numId w:val="25"/>
              </w:numPr>
            </w:pPr>
            <w:r w:rsidRPr="00FA0B54">
              <w:t>regulatory information notice</w:t>
            </w:r>
          </w:p>
        </w:tc>
      </w:tr>
      <w:tr w:rsidR="00FA0B54" w:rsidTr="00FA0B54">
        <w:trPr>
          <w:cnfStyle w:val="000000010000" w:firstRow="0" w:lastRow="0" w:firstColumn="0" w:lastColumn="0" w:oddVBand="0" w:evenVBand="0" w:oddHBand="0" w:evenHBand="1" w:firstRowFirstColumn="0" w:firstRowLastColumn="0" w:lastRowFirstColumn="0" w:lastRowLastColumn="0"/>
        </w:trPr>
        <w:tc>
          <w:tcPr>
            <w:tcW w:w="4349" w:type="dxa"/>
          </w:tcPr>
          <w:p w:rsidR="00FA0B54" w:rsidRPr="00FA0B54" w:rsidRDefault="00FA0B54" w:rsidP="00FA0B54">
            <w:pPr>
              <w:numPr>
                <w:ilvl w:val="0"/>
                <w:numId w:val="25"/>
              </w:numPr>
            </w:pPr>
            <w:r w:rsidRPr="00FA0B54">
              <w:t>RPP</w:t>
            </w:r>
          </w:p>
        </w:tc>
        <w:tc>
          <w:tcPr>
            <w:tcW w:w="4344" w:type="dxa"/>
          </w:tcPr>
          <w:p w:rsidR="00FA0B54" w:rsidRPr="00FA0B54" w:rsidRDefault="00FA0B54" w:rsidP="00FA0B54">
            <w:pPr>
              <w:numPr>
                <w:ilvl w:val="0"/>
                <w:numId w:val="25"/>
              </w:numPr>
            </w:pPr>
            <w:r w:rsidRPr="00FA0B54">
              <w:t>revenue and pricing principles</w:t>
            </w:r>
          </w:p>
        </w:tc>
      </w:tr>
      <w:tr w:rsidR="00FA0B54" w:rsidTr="00FA0B54">
        <w:tc>
          <w:tcPr>
            <w:tcW w:w="4349" w:type="dxa"/>
          </w:tcPr>
          <w:p w:rsidR="00FA0B54" w:rsidRPr="00FA0B54" w:rsidRDefault="00FA0B54" w:rsidP="00FA0B54">
            <w:pPr>
              <w:numPr>
                <w:ilvl w:val="0"/>
                <w:numId w:val="25"/>
              </w:numPr>
            </w:pPr>
            <w:r w:rsidRPr="00FA0B54">
              <w:t>SAIDI</w:t>
            </w:r>
          </w:p>
        </w:tc>
        <w:tc>
          <w:tcPr>
            <w:tcW w:w="4344" w:type="dxa"/>
          </w:tcPr>
          <w:p w:rsidR="00FA0B54" w:rsidRPr="00FA0B54" w:rsidRDefault="00FA0B54" w:rsidP="00FA0B54">
            <w:pPr>
              <w:numPr>
                <w:ilvl w:val="0"/>
                <w:numId w:val="25"/>
              </w:numPr>
            </w:pPr>
            <w:r w:rsidRPr="00FA0B54">
              <w:t>system average interruption duration index</w:t>
            </w:r>
          </w:p>
        </w:tc>
      </w:tr>
      <w:tr w:rsidR="00FA0B54" w:rsidTr="00FA0B54">
        <w:trPr>
          <w:cnfStyle w:val="000000010000" w:firstRow="0" w:lastRow="0" w:firstColumn="0" w:lastColumn="0" w:oddVBand="0" w:evenVBand="0" w:oddHBand="0" w:evenHBand="1" w:firstRowFirstColumn="0" w:firstRowLastColumn="0" w:lastRowFirstColumn="0" w:lastRowLastColumn="0"/>
        </w:trPr>
        <w:tc>
          <w:tcPr>
            <w:tcW w:w="4349" w:type="dxa"/>
          </w:tcPr>
          <w:p w:rsidR="00FA0B54" w:rsidRPr="00FA0B54" w:rsidRDefault="00FA0B54" w:rsidP="00FA0B54">
            <w:pPr>
              <w:numPr>
                <w:ilvl w:val="0"/>
                <w:numId w:val="25"/>
              </w:numPr>
            </w:pPr>
            <w:r w:rsidRPr="00FA0B54">
              <w:t>SAIFI</w:t>
            </w:r>
          </w:p>
        </w:tc>
        <w:tc>
          <w:tcPr>
            <w:tcW w:w="4344" w:type="dxa"/>
          </w:tcPr>
          <w:p w:rsidR="00FA0B54" w:rsidRPr="00FA0B54" w:rsidRDefault="00FA0B54" w:rsidP="00FA0B54">
            <w:pPr>
              <w:numPr>
                <w:ilvl w:val="0"/>
                <w:numId w:val="25"/>
              </w:numPr>
            </w:pPr>
            <w:r w:rsidRPr="00FA0B54">
              <w:t>system average interruption frequency index</w:t>
            </w:r>
          </w:p>
        </w:tc>
      </w:tr>
      <w:tr w:rsidR="00FA0B54" w:rsidTr="00FA0B54">
        <w:tc>
          <w:tcPr>
            <w:tcW w:w="4349" w:type="dxa"/>
          </w:tcPr>
          <w:p w:rsidR="00FA0B54" w:rsidRPr="00FA0B54" w:rsidRDefault="00FA0B54" w:rsidP="00FA0B54">
            <w:pPr>
              <w:numPr>
                <w:ilvl w:val="0"/>
                <w:numId w:val="25"/>
              </w:numPr>
            </w:pPr>
            <w:r w:rsidRPr="00FA0B54">
              <w:t>SLCAPM</w:t>
            </w:r>
          </w:p>
        </w:tc>
        <w:tc>
          <w:tcPr>
            <w:tcW w:w="4344" w:type="dxa"/>
          </w:tcPr>
          <w:p w:rsidR="00FA0B54" w:rsidRPr="00FA0B54" w:rsidRDefault="00FA0B54" w:rsidP="00FA0B54">
            <w:pPr>
              <w:numPr>
                <w:ilvl w:val="0"/>
                <w:numId w:val="25"/>
              </w:numPr>
            </w:pPr>
            <w:r w:rsidRPr="00FA0B54">
              <w:t>Sharpe-</w:t>
            </w:r>
            <w:proofErr w:type="spellStart"/>
            <w:r w:rsidRPr="00FA0B54">
              <w:t>Lintner</w:t>
            </w:r>
            <w:proofErr w:type="spellEnd"/>
            <w:r w:rsidRPr="00FA0B54">
              <w:t xml:space="preserve"> capital asset pricing model</w:t>
            </w:r>
          </w:p>
        </w:tc>
      </w:tr>
      <w:tr w:rsidR="00FA0B54" w:rsidTr="00FA0B54">
        <w:trPr>
          <w:cnfStyle w:val="000000010000" w:firstRow="0" w:lastRow="0" w:firstColumn="0" w:lastColumn="0" w:oddVBand="0" w:evenVBand="0" w:oddHBand="0" w:evenHBand="1" w:firstRowFirstColumn="0" w:firstRowLastColumn="0" w:lastRowFirstColumn="0" w:lastRowLastColumn="0"/>
        </w:trPr>
        <w:tc>
          <w:tcPr>
            <w:tcW w:w="4349" w:type="dxa"/>
          </w:tcPr>
          <w:p w:rsidR="00FA0B54" w:rsidRPr="00FA0B54" w:rsidRDefault="00FA0B54" w:rsidP="00FA0B54">
            <w:pPr>
              <w:numPr>
                <w:ilvl w:val="0"/>
                <w:numId w:val="25"/>
              </w:numPr>
            </w:pPr>
            <w:r w:rsidRPr="00FA0B54">
              <w:t>STPIS</w:t>
            </w:r>
          </w:p>
        </w:tc>
        <w:tc>
          <w:tcPr>
            <w:tcW w:w="4344" w:type="dxa"/>
          </w:tcPr>
          <w:p w:rsidR="00FA0B54" w:rsidRPr="00FA0B54" w:rsidRDefault="00FA0B54" w:rsidP="00FA0B54">
            <w:pPr>
              <w:numPr>
                <w:ilvl w:val="0"/>
                <w:numId w:val="25"/>
              </w:numPr>
            </w:pPr>
            <w:r w:rsidRPr="00FA0B54">
              <w:t>service target performance incentive scheme</w:t>
            </w:r>
          </w:p>
        </w:tc>
      </w:tr>
      <w:tr w:rsidR="00FA0B54" w:rsidTr="00FA0B54">
        <w:tc>
          <w:tcPr>
            <w:tcW w:w="4349" w:type="dxa"/>
          </w:tcPr>
          <w:p w:rsidR="00FA0B54" w:rsidRPr="00FA0B54" w:rsidRDefault="00FA0B54" w:rsidP="00FA0B54">
            <w:pPr>
              <w:numPr>
                <w:ilvl w:val="0"/>
                <w:numId w:val="25"/>
              </w:numPr>
            </w:pPr>
            <w:r w:rsidRPr="00FA0B54">
              <w:t>WACC</w:t>
            </w:r>
          </w:p>
        </w:tc>
        <w:tc>
          <w:tcPr>
            <w:tcW w:w="4344" w:type="dxa"/>
          </w:tcPr>
          <w:p w:rsidR="00FA0B54" w:rsidRPr="00FA0B54" w:rsidRDefault="00FA0B54" w:rsidP="00FA0B54">
            <w:pPr>
              <w:numPr>
                <w:ilvl w:val="0"/>
                <w:numId w:val="25"/>
              </w:numPr>
            </w:pPr>
            <w:r w:rsidRPr="00FA0B54">
              <w:t>weighted average cost of capital</w:t>
            </w:r>
          </w:p>
        </w:tc>
      </w:tr>
    </w:tbl>
    <w:p w:rsidR="00DE563D" w:rsidRPr="00436A39" w:rsidRDefault="00DE563D" w:rsidP="00DE563D">
      <w:pPr>
        <w:numPr>
          <w:ilvl w:val="0"/>
          <w:numId w:val="25"/>
        </w:numPr>
      </w:pPr>
    </w:p>
    <w:p w:rsidR="00DE563D" w:rsidRDefault="00DE563D" w:rsidP="00DE563D"/>
    <w:p w:rsidR="00DE563D" w:rsidRDefault="00EB606C" w:rsidP="00901C3C">
      <w:pPr>
        <w:pStyle w:val="Heading1"/>
      </w:pPr>
      <w:r>
        <w:lastRenderedPageBreak/>
        <w:t xml:space="preserve"> </w:t>
      </w:r>
      <w:bookmarkStart w:id="10" w:name="_Toc417914681"/>
      <w:r w:rsidR="00901C3C" w:rsidRPr="00901C3C">
        <w:t>Service target performance incentive scheme</w:t>
      </w:r>
      <w:bookmarkEnd w:id="10"/>
    </w:p>
    <w:p w:rsidR="002406B0" w:rsidRPr="002406B0" w:rsidRDefault="002406B0" w:rsidP="002406B0">
      <w:bookmarkStart w:id="11" w:name="_Toc403144136"/>
      <w:r w:rsidRPr="002406B0">
        <w:t>The national Service Target Performance Incentive Scheme (STPIS) is intended to balance the incentives to reduce expenditure with the need to maintain or improve service quality. It achieves this by providing financial incentives to distributors to maintain and improve service performance where customers are willing to pay for these improvements.</w:t>
      </w:r>
      <w:r w:rsidRPr="002406B0">
        <w:rPr>
          <w:rStyle w:val="FootnoteReference"/>
        </w:rPr>
        <w:footnoteReference w:id="1"/>
      </w:r>
      <w:r w:rsidRPr="002406B0">
        <w:t xml:space="preserve">  </w:t>
      </w:r>
    </w:p>
    <w:p w:rsidR="002406B0" w:rsidRPr="002406B0" w:rsidRDefault="002406B0" w:rsidP="002406B0">
      <w:r w:rsidRPr="002406B0">
        <w:t xml:space="preserve">The STPIS establishes targets based on historical performance, and provides financial rewards for distributors exceeding performance targets and financial penalties for distributors failing to meet targets. These rewards and penalties are calculated by taking into account the value of customer reliability (VCR). This aligns the distributors' incentives with the long term interests of consumer, which is consistent with the National Electricity Objective (NEO). </w:t>
      </w:r>
    </w:p>
    <w:p w:rsidR="002406B0" w:rsidRPr="002406B0" w:rsidRDefault="002406B0" w:rsidP="002406B0">
      <w:r w:rsidRPr="002406B0">
        <w:t>The STPIS has two components, the s-factor component and the guaranteed service levels (GSL) scheme. The s-factor component adjusts the revenue that a distributor earns depending on reliability of supply and customer service performance. The GSL scheme sets threshold levels of service for distributors to achieve and requires direct payment to customers who experience service levels below those at the predetermined level.</w:t>
      </w:r>
    </w:p>
    <w:p w:rsidR="002406B0" w:rsidRPr="002406B0" w:rsidRDefault="002406B0" w:rsidP="002406B0">
      <w:r w:rsidRPr="002406B0">
        <w:t>While the regulatory regime as a whole encourages a business to improve its operating and capital efficiency, the STPIS is designed to ensure that this increase in efficiency is not at the expense of deterioration in service performance for customers. Further, the STPIS is designed to encourage a business to improve its service performance where customers are willing to pay for these improvements. The STPIS plays an important part in balancing the incentives on regulated businesses to ensure outcomes are consistent with the NEO of the National Electricity Law (NEL), in terms of efficient price and non-price outcomes for the long-term benefit of users.</w:t>
      </w:r>
      <w:r w:rsidRPr="002406B0">
        <w:rPr>
          <w:rStyle w:val="FootnoteReference"/>
        </w:rPr>
        <w:footnoteReference w:id="2"/>
      </w:r>
    </w:p>
    <w:p w:rsidR="00DE563D" w:rsidRPr="001754EE" w:rsidRDefault="00415F31" w:rsidP="00AE2C7A">
      <w:pPr>
        <w:pStyle w:val="Heading2"/>
      </w:pPr>
      <w:bookmarkStart w:id="12" w:name="_Toc417914682"/>
      <w:r w:rsidRPr="001754EE">
        <w:t>Final</w:t>
      </w:r>
      <w:r w:rsidR="00DE563D" w:rsidRPr="001754EE">
        <w:t xml:space="preserve"> decision</w:t>
      </w:r>
      <w:bookmarkEnd w:id="11"/>
      <w:bookmarkEnd w:id="12"/>
    </w:p>
    <w:p w:rsidR="002406B0" w:rsidRPr="002406B0" w:rsidRDefault="002406B0" w:rsidP="002406B0">
      <w:pPr>
        <w:numPr>
          <w:ilvl w:val="0"/>
          <w:numId w:val="25"/>
        </w:numPr>
      </w:pPr>
      <w:bookmarkStart w:id="13" w:name="_Toc403144137"/>
      <w:r w:rsidRPr="002406B0">
        <w:t xml:space="preserve">We do not accept </w:t>
      </w:r>
      <w:proofErr w:type="spellStart"/>
      <w:r>
        <w:t>Ausgrid</w:t>
      </w:r>
      <w:r w:rsidRPr="002406B0">
        <w:t>'s</w:t>
      </w:r>
      <w:proofErr w:type="spellEnd"/>
      <w:r w:rsidRPr="002406B0">
        <w:t xml:space="preserve"> proposal that the application of the STPIS should be dependent on whether we accept its revised </w:t>
      </w:r>
      <w:proofErr w:type="spellStart"/>
      <w:r w:rsidRPr="002406B0">
        <w:t>opex</w:t>
      </w:r>
      <w:proofErr w:type="spellEnd"/>
      <w:r w:rsidRPr="002406B0">
        <w:t xml:space="preserve"> and capex proposals.  Our approved expenditure forecasts in the final decision reasonably reflect the capex and </w:t>
      </w:r>
      <w:proofErr w:type="spellStart"/>
      <w:r w:rsidRPr="002406B0">
        <w:t>opex</w:t>
      </w:r>
      <w:proofErr w:type="spellEnd"/>
      <w:r w:rsidRPr="002406B0">
        <w:t xml:space="preserve"> criteria, and provide a sufficient amount </w:t>
      </w:r>
      <w:proofErr w:type="gramStart"/>
      <w:r w:rsidRPr="002406B0">
        <w:t xml:space="preserve">for a prudent </w:t>
      </w:r>
      <w:proofErr w:type="spellStart"/>
      <w:r>
        <w:t>Ausgrid</w:t>
      </w:r>
      <w:proofErr w:type="spellEnd"/>
      <w:r w:rsidRPr="002406B0">
        <w:t xml:space="preserve"> incurring efficient costs</w:t>
      </w:r>
      <w:proofErr w:type="gramEnd"/>
      <w:r w:rsidRPr="002406B0">
        <w:t xml:space="preserve"> to maintain reliability. </w:t>
      </w:r>
    </w:p>
    <w:p w:rsidR="002406B0" w:rsidRPr="002406B0" w:rsidRDefault="002406B0" w:rsidP="002406B0">
      <w:pPr>
        <w:numPr>
          <w:ilvl w:val="0"/>
          <w:numId w:val="25"/>
        </w:numPr>
      </w:pPr>
      <w:r w:rsidRPr="002406B0">
        <w:t xml:space="preserve">The STPIS will provide an incentive for </w:t>
      </w:r>
      <w:proofErr w:type="spellStart"/>
      <w:r>
        <w:t>Ausgrid</w:t>
      </w:r>
      <w:proofErr w:type="spellEnd"/>
      <w:r w:rsidRPr="002406B0">
        <w:t xml:space="preserve"> to maintain its current levels of reliability or to improve them where customers are willing to pay for these </w:t>
      </w:r>
      <w:r w:rsidRPr="002406B0">
        <w:lastRenderedPageBreak/>
        <w:t xml:space="preserve">improvements. The STPIS balances the incentive in the regulatory framework for distributors to reduce costs at the expense of service performance.   </w:t>
      </w:r>
    </w:p>
    <w:p w:rsidR="00082632" w:rsidRDefault="002406B0" w:rsidP="00082632">
      <w:pPr>
        <w:numPr>
          <w:ilvl w:val="0"/>
          <w:numId w:val="25"/>
        </w:numPr>
      </w:pPr>
      <w:r w:rsidRPr="002406B0">
        <w:t xml:space="preserve">Consistent with our draft decision, we will apply the s-factor component of our national STPIS to </w:t>
      </w:r>
      <w:proofErr w:type="spellStart"/>
      <w:r>
        <w:t>Ausgrid</w:t>
      </w:r>
      <w:proofErr w:type="spellEnd"/>
      <w:r w:rsidRPr="002406B0">
        <w:t xml:space="preserve"> for the 2015–19 regulatory control </w:t>
      </w:r>
      <w:proofErr w:type="gramStart"/>
      <w:r w:rsidRPr="002406B0">
        <w:t>period</w:t>
      </w:r>
      <w:proofErr w:type="gramEnd"/>
      <w:r w:rsidRPr="002406B0">
        <w:t>.</w:t>
      </w:r>
      <w:r w:rsidRPr="002406B0">
        <w:rPr>
          <w:rStyle w:val="FootnoteReference"/>
        </w:rPr>
        <w:footnoteReference w:id="3"/>
      </w:r>
      <w:r w:rsidRPr="002406B0">
        <w:t xml:space="preserve"> We will not apply the GSL component to </w:t>
      </w:r>
      <w:proofErr w:type="spellStart"/>
      <w:r>
        <w:t>Ausgrid</w:t>
      </w:r>
      <w:proofErr w:type="spellEnd"/>
      <w:r w:rsidRPr="002406B0">
        <w:t xml:space="preserve"> as the existing NSW jurisdictional GSL arrangements will continue to apply.</w:t>
      </w:r>
      <w:r w:rsidR="00915A00">
        <w:t xml:space="preserve"> </w:t>
      </w:r>
    </w:p>
    <w:p w:rsidR="0003611A" w:rsidRDefault="0003611A" w:rsidP="007F3E1D">
      <w:pPr>
        <w:numPr>
          <w:ilvl w:val="0"/>
          <w:numId w:val="25"/>
        </w:numPr>
      </w:pPr>
      <w:r>
        <w:t>In the draft decision, w</w:t>
      </w:r>
      <w:r w:rsidR="007F3E1D">
        <w:t>e accept</w:t>
      </w:r>
      <w:r w:rsidR="003013C3">
        <w:t>ed</w:t>
      </w:r>
      <w:r w:rsidR="007F3E1D">
        <w:t xml:space="preserve"> </w:t>
      </w:r>
      <w:proofErr w:type="spellStart"/>
      <w:r w:rsidR="007F3E1D">
        <w:t>Ausgrid's</w:t>
      </w:r>
      <w:proofErr w:type="spellEnd"/>
      <w:r w:rsidR="007F3E1D">
        <w:t xml:space="preserve"> proposal that</w:t>
      </w:r>
      <w:r>
        <w:t>:</w:t>
      </w:r>
    </w:p>
    <w:p w:rsidR="0003611A" w:rsidRDefault="007F3E1D" w:rsidP="00240362">
      <w:pPr>
        <w:pStyle w:val="AERbulletlistfirststyle"/>
      </w:pPr>
      <w:proofErr w:type="gramStart"/>
      <w:r>
        <w:t>the</w:t>
      </w:r>
      <w:proofErr w:type="gramEnd"/>
      <w:r>
        <w:t xml:space="preserve"> revenue at risk for each regulatory year of the 2015–19 regulatory control period will be capped at </w:t>
      </w:r>
      <w:r w:rsidRPr="00E73EFA">
        <w:t>±</w:t>
      </w:r>
      <w:r>
        <w:t xml:space="preserve">2.5 per cent. Within this there will be a cap of </w:t>
      </w:r>
      <w:r w:rsidRPr="00E73EFA">
        <w:t>±</w:t>
      </w:r>
      <w:r>
        <w:t>2.25 per cent for the reliability of supply component and</w:t>
      </w:r>
      <w:r w:rsidR="00B43816">
        <w:t xml:space="preserve"> a cap of</w:t>
      </w:r>
      <w:r>
        <w:t xml:space="preserve"> </w:t>
      </w:r>
      <w:r w:rsidRPr="00E73EFA">
        <w:t>±</w:t>
      </w:r>
      <w:r>
        <w:t>0.25 per cent for</w:t>
      </w:r>
      <w:r w:rsidR="00B43816">
        <w:t xml:space="preserve"> the customer service component</w:t>
      </w:r>
    </w:p>
    <w:p w:rsidR="00240362" w:rsidRDefault="00240362" w:rsidP="00240362">
      <w:pPr>
        <w:pStyle w:val="AERbulletlistfirststyle"/>
      </w:pPr>
      <w:r>
        <w:t>to apply the System Average Interruption Duration Index (SAIDI) and System Average Interruption Frequency Index (SAIFI) of the reliability of supply component of the STPIS and use 2.5 beta method to derive the major event day thresholds (MED)</w:t>
      </w:r>
      <w:r w:rsidR="00B43816">
        <w:t>, and</w:t>
      </w:r>
    </w:p>
    <w:p w:rsidR="00240362" w:rsidRDefault="00240362" w:rsidP="00240362">
      <w:pPr>
        <w:pStyle w:val="AERbulletlistfirststyle"/>
      </w:pPr>
      <w:proofErr w:type="gramStart"/>
      <w:r>
        <w:t>to</w:t>
      </w:r>
      <w:proofErr w:type="gramEnd"/>
      <w:r>
        <w:t xml:space="preserve"> apply a performance target that 75 per cent of calls will be answered within 30 seconds and an incentive rate of </w:t>
      </w:r>
      <w:r w:rsidRPr="007F3E1D">
        <w:t>–</w:t>
      </w:r>
      <w:r>
        <w:t>0.04 per cent per unit of the telephone answering parameter.</w:t>
      </w:r>
    </w:p>
    <w:p w:rsidR="007F3E1D" w:rsidRDefault="00536D9F" w:rsidP="007F3E1D">
      <w:pPr>
        <w:numPr>
          <w:ilvl w:val="0"/>
          <w:numId w:val="25"/>
        </w:numPr>
      </w:pPr>
      <w:proofErr w:type="spellStart"/>
      <w:r>
        <w:t>Ausgrid</w:t>
      </w:r>
      <w:proofErr w:type="spellEnd"/>
      <w:r>
        <w:t xml:space="preserve"> did not propose alternative</w:t>
      </w:r>
      <w:r w:rsidR="00240362">
        <w:t>s</w:t>
      </w:r>
      <w:r>
        <w:t xml:space="preserve"> in the revised proposal, </w:t>
      </w:r>
      <w:r w:rsidR="00A64373">
        <w:t xml:space="preserve">and </w:t>
      </w:r>
      <w:r>
        <w:t xml:space="preserve">we </w:t>
      </w:r>
      <w:r w:rsidR="00A64373">
        <w:t xml:space="preserve">maintain </w:t>
      </w:r>
      <w:r>
        <w:t xml:space="preserve">this </w:t>
      </w:r>
      <w:r w:rsidR="00240362">
        <w:t xml:space="preserve">position </w:t>
      </w:r>
      <w:r>
        <w:t>in this final decision.</w:t>
      </w:r>
      <w:r w:rsidR="00477287">
        <w:rPr>
          <w:rStyle w:val="FootnoteReference"/>
        </w:rPr>
        <w:footnoteReference w:id="4"/>
      </w:r>
    </w:p>
    <w:p w:rsidR="002054D7" w:rsidRDefault="002054D7" w:rsidP="002054D7">
      <w:pPr>
        <w:numPr>
          <w:ilvl w:val="0"/>
          <w:numId w:val="25"/>
        </w:numPr>
      </w:pPr>
      <w:r>
        <w:t xml:space="preserve">In the draft decision, we applied trend analysis to set </w:t>
      </w:r>
      <w:proofErr w:type="spellStart"/>
      <w:r>
        <w:t>Ausgrid's</w:t>
      </w:r>
      <w:proofErr w:type="spellEnd"/>
      <w:r>
        <w:t xml:space="preserve"> performance targets for reliability of supply component as it would account for its reliability improvement expenditure in the previous regulatory period. </w:t>
      </w:r>
      <w:proofErr w:type="spellStart"/>
      <w:r>
        <w:t>Ausgrid</w:t>
      </w:r>
      <w:proofErr w:type="spellEnd"/>
      <w:r>
        <w:t xml:space="preserve"> accepted this method and updated the performance targets using actual 2013/14 reliability performance data in its revised proposal.</w:t>
      </w:r>
      <w:r>
        <w:rPr>
          <w:rStyle w:val="FootnoteReference"/>
        </w:rPr>
        <w:footnoteReference w:id="5"/>
      </w:r>
      <w:r>
        <w:t xml:space="preserve"> We accept this approach and </w:t>
      </w:r>
      <w:r>
        <w:fldChar w:fldCharType="begin"/>
      </w:r>
      <w:r>
        <w:instrText xml:space="preserve"> REF _Ref398823474 \h </w:instrText>
      </w:r>
      <w:r>
        <w:fldChar w:fldCharType="separate"/>
      </w:r>
      <w:r w:rsidR="009B5A19">
        <w:t xml:space="preserve">Table </w:t>
      </w:r>
      <w:r w:rsidR="009B5A19">
        <w:rPr>
          <w:noProof/>
        </w:rPr>
        <w:t>11</w:t>
      </w:r>
      <w:r w:rsidR="009B5A19" w:rsidRPr="007F3E1D">
        <w:t>-</w:t>
      </w:r>
      <w:r w:rsidR="009B5A19">
        <w:rPr>
          <w:noProof/>
        </w:rPr>
        <w:t>1</w:t>
      </w:r>
      <w:r>
        <w:fldChar w:fldCharType="end"/>
      </w:r>
      <w:r>
        <w:t xml:space="preserve"> sets out our final decision on </w:t>
      </w:r>
      <w:proofErr w:type="spellStart"/>
      <w:r>
        <w:t>Ausgrid's</w:t>
      </w:r>
      <w:proofErr w:type="spellEnd"/>
      <w:r>
        <w:t xml:space="preserve"> performance targets for reliability of supply component.</w:t>
      </w:r>
    </w:p>
    <w:p w:rsidR="00800E4C" w:rsidRDefault="00800E4C" w:rsidP="00800E4C"/>
    <w:p w:rsidR="00800E4C" w:rsidRDefault="00800E4C" w:rsidP="00800E4C"/>
    <w:p w:rsidR="00800E4C" w:rsidRDefault="00800E4C" w:rsidP="00800E4C"/>
    <w:p w:rsidR="00800E4C" w:rsidRDefault="00800E4C" w:rsidP="00800E4C"/>
    <w:p w:rsidR="00800E4C" w:rsidRDefault="00800E4C" w:rsidP="00800E4C"/>
    <w:p w:rsidR="002054D7" w:rsidRDefault="002054D7" w:rsidP="002054D7">
      <w:pPr>
        <w:pStyle w:val="Caption"/>
      </w:pPr>
      <w:bookmarkStart w:id="14" w:name="_Ref398823474"/>
      <w:r>
        <w:lastRenderedPageBreak/>
        <w:t xml:space="preserve">Table </w:t>
      </w:r>
      <w:r w:rsidRPr="007F3E1D">
        <w:fldChar w:fldCharType="begin"/>
      </w:r>
      <w:r>
        <w:instrText xml:space="preserve"> STYLEREF 1 \s </w:instrText>
      </w:r>
      <w:r w:rsidRPr="007F3E1D">
        <w:fldChar w:fldCharType="separate"/>
      </w:r>
      <w:r w:rsidR="009B5A19">
        <w:rPr>
          <w:noProof/>
        </w:rPr>
        <w:t>11</w:t>
      </w:r>
      <w:r w:rsidRPr="007F3E1D">
        <w:fldChar w:fldCharType="end"/>
      </w:r>
      <w:r w:rsidRPr="007F3E1D">
        <w:t>-</w:t>
      </w:r>
      <w:r w:rsidRPr="007F3E1D">
        <w:fldChar w:fldCharType="begin"/>
      </w:r>
      <w:r>
        <w:instrText xml:space="preserve"> SEQ Table \* ARABIC \s 1 </w:instrText>
      </w:r>
      <w:r w:rsidRPr="007F3E1D">
        <w:fldChar w:fldCharType="separate"/>
      </w:r>
      <w:r w:rsidR="009B5A19">
        <w:rPr>
          <w:noProof/>
        </w:rPr>
        <w:t>1</w:t>
      </w:r>
      <w:r w:rsidRPr="007F3E1D">
        <w:fldChar w:fldCharType="end"/>
      </w:r>
      <w:bookmarkEnd w:id="14"/>
      <w:r>
        <w:tab/>
      </w:r>
      <w:proofErr w:type="gramStart"/>
      <w:r>
        <w:t>The</w:t>
      </w:r>
      <w:proofErr w:type="gramEnd"/>
      <w:r>
        <w:t xml:space="preserve"> proposed performance targets for</w:t>
      </w:r>
      <w:r w:rsidRPr="00CE0EF5">
        <w:t xml:space="preserve"> </w:t>
      </w:r>
      <w:proofErr w:type="spellStart"/>
      <w:r>
        <w:t>Ausgrid</w:t>
      </w:r>
      <w:r w:rsidRPr="00CE0EF5">
        <w:t>'s</w:t>
      </w:r>
      <w:proofErr w:type="spellEnd"/>
      <w:r w:rsidRPr="00CE0EF5">
        <w:t xml:space="preserve"> </w:t>
      </w:r>
      <w:r>
        <w:t>reliability of supply component</w:t>
      </w:r>
    </w:p>
    <w:tbl>
      <w:tblPr>
        <w:tblStyle w:val="AERtable-numbers"/>
        <w:tblW w:w="8613" w:type="dxa"/>
        <w:tblLayout w:type="fixed"/>
        <w:tblLook w:val="04A0" w:firstRow="1" w:lastRow="0" w:firstColumn="1" w:lastColumn="0" w:noHBand="0" w:noVBand="1"/>
      </w:tblPr>
      <w:tblGrid>
        <w:gridCol w:w="1809"/>
        <w:gridCol w:w="1701"/>
        <w:gridCol w:w="1701"/>
        <w:gridCol w:w="1701"/>
        <w:gridCol w:w="1701"/>
      </w:tblGrid>
      <w:tr w:rsidR="002054D7" w:rsidTr="006719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2054D7" w:rsidRDefault="002054D7" w:rsidP="002054D7">
            <w:pPr>
              <w:numPr>
                <w:ilvl w:val="0"/>
                <w:numId w:val="25"/>
              </w:numPr>
            </w:pPr>
            <w:r>
              <w:t>Year</w:t>
            </w:r>
          </w:p>
        </w:tc>
        <w:tc>
          <w:tcPr>
            <w:tcW w:w="1701" w:type="dxa"/>
          </w:tcPr>
          <w:p w:rsidR="002054D7" w:rsidRDefault="002054D7" w:rsidP="002054D7">
            <w:pPr>
              <w:numPr>
                <w:ilvl w:val="0"/>
                <w:numId w:val="25"/>
              </w:numPr>
              <w:cnfStyle w:val="100000000000" w:firstRow="1" w:lastRow="0" w:firstColumn="0" w:lastColumn="0" w:oddVBand="0" w:evenVBand="0" w:oddHBand="0" w:evenHBand="0" w:firstRowFirstColumn="0" w:firstRowLastColumn="0" w:lastRowFirstColumn="0" w:lastRowLastColumn="0"/>
            </w:pPr>
            <w:r>
              <w:t>2015/16</w:t>
            </w:r>
          </w:p>
        </w:tc>
        <w:tc>
          <w:tcPr>
            <w:tcW w:w="1701" w:type="dxa"/>
          </w:tcPr>
          <w:p w:rsidR="002054D7" w:rsidRDefault="002054D7" w:rsidP="002054D7">
            <w:pPr>
              <w:numPr>
                <w:ilvl w:val="0"/>
                <w:numId w:val="25"/>
              </w:numPr>
              <w:cnfStyle w:val="100000000000" w:firstRow="1" w:lastRow="0" w:firstColumn="0" w:lastColumn="0" w:oddVBand="0" w:evenVBand="0" w:oddHBand="0" w:evenHBand="0" w:firstRowFirstColumn="0" w:firstRowLastColumn="0" w:lastRowFirstColumn="0" w:lastRowLastColumn="0"/>
            </w:pPr>
            <w:r>
              <w:t>2016/17</w:t>
            </w:r>
          </w:p>
        </w:tc>
        <w:tc>
          <w:tcPr>
            <w:tcW w:w="1701" w:type="dxa"/>
          </w:tcPr>
          <w:p w:rsidR="002054D7" w:rsidRDefault="002054D7" w:rsidP="002054D7">
            <w:pPr>
              <w:numPr>
                <w:ilvl w:val="0"/>
                <w:numId w:val="25"/>
              </w:numPr>
              <w:cnfStyle w:val="100000000000" w:firstRow="1" w:lastRow="0" w:firstColumn="0" w:lastColumn="0" w:oddVBand="0" w:evenVBand="0" w:oddHBand="0" w:evenHBand="0" w:firstRowFirstColumn="0" w:firstRowLastColumn="0" w:lastRowFirstColumn="0" w:lastRowLastColumn="0"/>
            </w:pPr>
            <w:r>
              <w:t>2017/18</w:t>
            </w:r>
          </w:p>
        </w:tc>
        <w:tc>
          <w:tcPr>
            <w:tcW w:w="1701" w:type="dxa"/>
          </w:tcPr>
          <w:p w:rsidR="002054D7" w:rsidRDefault="002054D7" w:rsidP="002054D7">
            <w:pPr>
              <w:numPr>
                <w:ilvl w:val="0"/>
                <w:numId w:val="25"/>
              </w:numPr>
              <w:cnfStyle w:val="100000000000" w:firstRow="1" w:lastRow="0" w:firstColumn="0" w:lastColumn="0" w:oddVBand="0" w:evenVBand="0" w:oddHBand="0" w:evenHBand="0" w:firstRowFirstColumn="0" w:firstRowLastColumn="0" w:lastRowFirstColumn="0" w:lastRowLastColumn="0"/>
            </w:pPr>
            <w:r>
              <w:t>2018/19</w:t>
            </w:r>
          </w:p>
        </w:tc>
      </w:tr>
      <w:tr w:rsidR="002054D7" w:rsidTr="00671915">
        <w:tc>
          <w:tcPr>
            <w:cnfStyle w:val="001000000000" w:firstRow="0" w:lastRow="0" w:firstColumn="1" w:lastColumn="0" w:oddVBand="0" w:evenVBand="0" w:oddHBand="0" w:evenHBand="0" w:firstRowFirstColumn="0" w:firstRowLastColumn="0" w:lastRowFirstColumn="0" w:lastRowLastColumn="0"/>
            <w:tcW w:w="1809" w:type="dxa"/>
          </w:tcPr>
          <w:p w:rsidR="002054D7" w:rsidRPr="002054D7" w:rsidRDefault="002054D7" w:rsidP="002054D7">
            <w:pPr>
              <w:pStyle w:val="AERtabletextleft"/>
              <w:rPr>
                <w:rStyle w:val="Strong"/>
              </w:rPr>
            </w:pPr>
            <w:r w:rsidRPr="00CE0EF5">
              <w:rPr>
                <w:rStyle w:val="Strong"/>
              </w:rPr>
              <w:t>Unplanned SAIDI</w:t>
            </w:r>
          </w:p>
        </w:tc>
        <w:tc>
          <w:tcPr>
            <w:tcW w:w="1701" w:type="dxa"/>
          </w:tcPr>
          <w:p w:rsidR="002054D7" w:rsidRDefault="002054D7" w:rsidP="002054D7">
            <w:pPr>
              <w:pStyle w:val="AERtabletextleft"/>
              <w:cnfStyle w:val="000000000000" w:firstRow="0" w:lastRow="0" w:firstColumn="0" w:lastColumn="0" w:oddVBand="0" w:evenVBand="0" w:oddHBand="0" w:evenHBand="0" w:firstRowFirstColumn="0" w:firstRowLastColumn="0" w:lastRowFirstColumn="0" w:lastRowLastColumn="0"/>
            </w:pPr>
          </w:p>
        </w:tc>
        <w:tc>
          <w:tcPr>
            <w:tcW w:w="1701" w:type="dxa"/>
          </w:tcPr>
          <w:p w:rsidR="002054D7" w:rsidRDefault="002054D7" w:rsidP="002054D7">
            <w:pPr>
              <w:pStyle w:val="AERtabletextleft"/>
              <w:cnfStyle w:val="000000000000" w:firstRow="0" w:lastRow="0" w:firstColumn="0" w:lastColumn="0" w:oddVBand="0" w:evenVBand="0" w:oddHBand="0" w:evenHBand="0" w:firstRowFirstColumn="0" w:firstRowLastColumn="0" w:lastRowFirstColumn="0" w:lastRowLastColumn="0"/>
            </w:pPr>
          </w:p>
        </w:tc>
        <w:tc>
          <w:tcPr>
            <w:tcW w:w="1701" w:type="dxa"/>
          </w:tcPr>
          <w:p w:rsidR="002054D7" w:rsidRDefault="002054D7" w:rsidP="002054D7">
            <w:pPr>
              <w:pStyle w:val="AERtabletextleft"/>
              <w:cnfStyle w:val="000000000000" w:firstRow="0" w:lastRow="0" w:firstColumn="0" w:lastColumn="0" w:oddVBand="0" w:evenVBand="0" w:oddHBand="0" w:evenHBand="0" w:firstRowFirstColumn="0" w:firstRowLastColumn="0" w:lastRowFirstColumn="0" w:lastRowLastColumn="0"/>
            </w:pPr>
          </w:p>
        </w:tc>
        <w:tc>
          <w:tcPr>
            <w:tcW w:w="1701" w:type="dxa"/>
          </w:tcPr>
          <w:p w:rsidR="002054D7" w:rsidRDefault="002054D7" w:rsidP="002054D7">
            <w:pPr>
              <w:pStyle w:val="AERtabletextleft"/>
              <w:cnfStyle w:val="000000000000" w:firstRow="0" w:lastRow="0" w:firstColumn="0" w:lastColumn="0" w:oddVBand="0" w:evenVBand="0" w:oddHBand="0" w:evenHBand="0" w:firstRowFirstColumn="0" w:firstRowLastColumn="0" w:lastRowFirstColumn="0" w:lastRowLastColumn="0"/>
            </w:pPr>
          </w:p>
        </w:tc>
      </w:tr>
      <w:tr w:rsidR="002054D7" w:rsidTr="00671915">
        <w:trPr>
          <w:cnfStyle w:val="000000010000" w:firstRow="0" w:lastRow="0" w:firstColumn="0" w:lastColumn="0" w:oddVBand="0" w:evenVBand="0" w:oddHBand="0" w:evenHBand="1"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809" w:type="dxa"/>
          </w:tcPr>
          <w:p w:rsidR="002054D7" w:rsidRDefault="002054D7" w:rsidP="002054D7">
            <w:pPr>
              <w:numPr>
                <w:ilvl w:val="0"/>
                <w:numId w:val="25"/>
              </w:numPr>
            </w:pPr>
            <w:r>
              <w:t>CBD</w:t>
            </w:r>
          </w:p>
        </w:tc>
        <w:tc>
          <w:tcPr>
            <w:tcW w:w="1701" w:type="dxa"/>
          </w:tcPr>
          <w:p w:rsidR="002054D7" w:rsidRPr="00832949" w:rsidRDefault="002054D7" w:rsidP="002054D7">
            <w:pPr>
              <w:numPr>
                <w:ilvl w:val="0"/>
                <w:numId w:val="25"/>
              </w:numPr>
              <w:cnfStyle w:val="000000010000" w:firstRow="0" w:lastRow="0" w:firstColumn="0" w:lastColumn="0" w:oddVBand="0" w:evenVBand="0" w:oddHBand="0" w:evenHBand="1" w:firstRowFirstColumn="0" w:firstRowLastColumn="0" w:lastRowFirstColumn="0" w:lastRowLastColumn="0"/>
            </w:pPr>
            <w:r>
              <w:t>16.58</w:t>
            </w:r>
          </w:p>
        </w:tc>
        <w:tc>
          <w:tcPr>
            <w:tcW w:w="1701" w:type="dxa"/>
          </w:tcPr>
          <w:p w:rsidR="002054D7" w:rsidRPr="00832949" w:rsidRDefault="002054D7" w:rsidP="002054D7">
            <w:pPr>
              <w:numPr>
                <w:ilvl w:val="0"/>
                <w:numId w:val="25"/>
              </w:numPr>
              <w:cnfStyle w:val="000000010000" w:firstRow="0" w:lastRow="0" w:firstColumn="0" w:lastColumn="0" w:oddVBand="0" w:evenVBand="0" w:oddHBand="0" w:evenHBand="1" w:firstRowFirstColumn="0" w:firstRowLastColumn="0" w:lastRowFirstColumn="0" w:lastRowLastColumn="0"/>
            </w:pPr>
            <w:r>
              <w:t>16.58</w:t>
            </w:r>
          </w:p>
        </w:tc>
        <w:tc>
          <w:tcPr>
            <w:tcW w:w="1701" w:type="dxa"/>
          </w:tcPr>
          <w:p w:rsidR="002054D7" w:rsidRPr="00832949" w:rsidRDefault="002054D7" w:rsidP="002054D7">
            <w:pPr>
              <w:numPr>
                <w:ilvl w:val="0"/>
                <w:numId w:val="25"/>
              </w:numPr>
              <w:cnfStyle w:val="000000010000" w:firstRow="0" w:lastRow="0" w:firstColumn="0" w:lastColumn="0" w:oddVBand="0" w:evenVBand="0" w:oddHBand="0" w:evenHBand="1" w:firstRowFirstColumn="0" w:firstRowLastColumn="0" w:lastRowFirstColumn="0" w:lastRowLastColumn="0"/>
            </w:pPr>
            <w:r>
              <w:t>16.58</w:t>
            </w:r>
          </w:p>
        </w:tc>
        <w:tc>
          <w:tcPr>
            <w:tcW w:w="1701" w:type="dxa"/>
          </w:tcPr>
          <w:p w:rsidR="002054D7" w:rsidRPr="00832949" w:rsidRDefault="002054D7" w:rsidP="002054D7">
            <w:pPr>
              <w:numPr>
                <w:ilvl w:val="0"/>
                <w:numId w:val="25"/>
              </w:numPr>
              <w:cnfStyle w:val="000000010000" w:firstRow="0" w:lastRow="0" w:firstColumn="0" w:lastColumn="0" w:oddVBand="0" w:evenVBand="0" w:oddHBand="0" w:evenHBand="1" w:firstRowFirstColumn="0" w:firstRowLastColumn="0" w:lastRowFirstColumn="0" w:lastRowLastColumn="0"/>
            </w:pPr>
            <w:r>
              <w:t>16.58</w:t>
            </w:r>
          </w:p>
        </w:tc>
      </w:tr>
      <w:tr w:rsidR="002054D7" w:rsidTr="00671915">
        <w:tc>
          <w:tcPr>
            <w:cnfStyle w:val="001000000000" w:firstRow="0" w:lastRow="0" w:firstColumn="1" w:lastColumn="0" w:oddVBand="0" w:evenVBand="0" w:oddHBand="0" w:evenHBand="0" w:firstRowFirstColumn="0" w:firstRowLastColumn="0" w:lastRowFirstColumn="0" w:lastRowLastColumn="0"/>
            <w:tcW w:w="1809" w:type="dxa"/>
          </w:tcPr>
          <w:p w:rsidR="002054D7" w:rsidRDefault="002054D7" w:rsidP="002054D7">
            <w:pPr>
              <w:numPr>
                <w:ilvl w:val="0"/>
                <w:numId w:val="25"/>
              </w:numPr>
            </w:pPr>
            <w:r>
              <w:t>Urban</w:t>
            </w:r>
          </w:p>
        </w:tc>
        <w:tc>
          <w:tcPr>
            <w:tcW w:w="1701" w:type="dxa"/>
          </w:tcPr>
          <w:p w:rsidR="002054D7" w:rsidRDefault="002054D7" w:rsidP="002054D7">
            <w:pPr>
              <w:numPr>
                <w:ilvl w:val="0"/>
                <w:numId w:val="25"/>
              </w:numPr>
              <w:cnfStyle w:val="000000000000" w:firstRow="0" w:lastRow="0" w:firstColumn="0" w:lastColumn="0" w:oddVBand="0" w:evenVBand="0" w:oddHBand="0" w:evenHBand="0" w:firstRowFirstColumn="0" w:firstRowLastColumn="0" w:lastRowFirstColumn="0" w:lastRowLastColumn="0"/>
            </w:pPr>
            <w:r>
              <w:t>62.41</w:t>
            </w:r>
          </w:p>
        </w:tc>
        <w:tc>
          <w:tcPr>
            <w:tcW w:w="1701" w:type="dxa"/>
          </w:tcPr>
          <w:p w:rsidR="002054D7" w:rsidRDefault="002054D7" w:rsidP="002054D7">
            <w:pPr>
              <w:numPr>
                <w:ilvl w:val="0"/>
                <w:numId w:val="25"/>
              </w:numPr>
              <w:cnfStyle w:val="000000000000" w:firstRow="0" w:lastRow="0" w:firstColumn="0" w:lastColumn="0" w:oddVBand="0" w:evenVBand="0" w:oddHBand="0" w:evenHBand="0" w:firstRowFirstColumn="0" w:firstRowLastColumn="0" w:lastRowFirstColumn="0" w:lastRowLastColumn="0"/>
            </w:pPr>
            <w:r>
              <w:t>62.41</w:t>
            </w:r>
          </w:p>
        </w:tc>
        <w:tc>
          <w:tcPr>
            <w:tcW w:w="1701" w:type="dxa"/>
          </w:tcPr>
          <w:p w:rsidR="002054D7" w:rsidRDefault="002054D7" w:rsidP="002054D7">
            <w:pPr>
              <w:numPr>
                <w:ilvl w:val="0"/>
                <w:numId w:val="25"/>
              </w:numPr>
              <w:cnfStyle w:val="000000000000" w:firstRow="0" w:lastRow="0" w:firstColumn="0" w:lastColumn="0" w:oddVBand="0" w:evenVBand="0" w:oddHBand="0" w:evenHBand="0" w:firstRowFirstColumn="0" w:firstRowLastColumn="0" w:lastRowFirstColumn="0" w:lastRowLastColumn="0"/>
            </w:pPr>
            <w:r>
              <w:t>62.41</w:t>
            </w:r>
          </w:p>
        </w:tc>
        <w:tc>
          <w:tcPr>
            <w:tcW w:w="1701" w:type="dxa"/>
          </w:tcPr>
          <w:p w:rsidR="002054D7" w:rsidRDefault="002054D7" w:rsidP="002054D7">
            <w:pPr>
              <w:numPr>
                <w:ilvl w:val="0"/>
                <w:numId w:val="25"/>
              </w:numPr>
              <w:cnfStyle w:val="000000000000" w:firstRow="0" w:lastRow="0" w:firstColumn="0" w:lastColumn="0" w:oddVBand="0" w:evenVBand="0" w:oddHBand="0" w:evenHBand="0" w:firstRowFirstColumn="0" w:firstRowLastColumn="0" w:lastRowFirstColumn="0" w:lastRowLastColumn="0"/>
            </w:pPr>
            <w:r>
              <w:t>62.41</w:t>
            </w:r>
          </w:p>
        </w:tc>
      </w:tr>
      <w:tr w:rsidR="002054D7" w:rsidTr="006719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2054D7" w:rsidRDefault="002054D7" w:rsidP="002054D7">
            <w:pPr>
              <w:numPr>
                <w:ilvl w:val="0"/>
                <w:numId w:val="25"/>
              </w:numPr>
            </w:pPr>
            <w:r>
              <w:t>Short rural</w:t>
            </w:r>
          </w:p>
        </w:tc>
        <w:tc>
          <w:tcPr>
            <w:tcW w:w="1701" w:type="dxa"/>
          </w:tcPr>
          <w:p w:rsidR="002054D7" w:rsidRDefault="002054D7" w:rsidP="002054D7">
            <w:pPr>
              <w:numPr>
                <w:ilvl w:val="0"/>
                <w:numId w:val="25"/>
              </w:numPr>
              <w:cnfStyle w:val="000000010000" w:firstRow="0" w:lastRow="0" w:firstColumn="0" w:lastColumn="0" w:oddVBand="0" w:evenVBand="0" w:oddHBand="0" w:evenHBand="1" w:firstRowFirstColumn="0" w:firstRowLastColumn="0" w:lastRowFirstColumn="0" w:lastRowLastColumn="0"/>
            </w:pPr>
            <w:r>
              <w:t>157.28</w:t>
            </w:r>
          </w:p>
        </w:tc>
        <w:tc>
          <w:tcPr>
            <w:tcW w:w="1701" w:type="dxa"/>
          </w:tcPr>
          <w:p w:rsidR="002054D7" w:rsidRDefault="002054D7" w:rsidP="002054D7">
            <w:pPr>
              <w:numPr>
                <w:ilvl w:val="0"/>
                <w:numId w:val="25"/>
              </w:numPr>
              <w:cnfStyle w:val="000000010000" w:firstRow="0" w:lastRow="0" w:firstColumn="0" w:lastColumn="0" w:oddVBand="0" w:evenVBand="0" w:oddHBand="0" w:evenHBand="1" w:firstRowFirstColumn="0" w:firstRowLastColumn="0" w:lastRowFirstColumn="0" w:lastRowLastColumn="0"/>
            </w:pPr>
            <w:r>
              <w:t>157.28</w:t>
            </w:r>
          </w:p>
        </w:tc>
        <w:tc>
          <w:tcPr>
            <w:tcW w:w="1701" w:type="dxa"/>
          </w:tcPr>
          <w:p w:rsidR="002054D7" w:rsidRDefault="002054D7" w:rsidP="002054D7">
            <w:pPr>
              <w:numPr>
                <w:ilvl w:val="0"/>
                <w:numId w:val="25"/>
              </w:numPr>
              <w:cnfStyle w:val="000000010000" w:firstRow="0" w:lastRow="0" w:firstColumn="0" w:lastColumn="0" w:oddVBand="0" w:evenVBand="0" w:oddHBand="0" w:evenHBand="1" w:firstRowFirstColumn="0" w:firstRowLastColumn="0" w:lastRowFirstColumn="0" w:lastRowLastColumn="0"/>
            </w:pPr>
            <w:r>
              <w:t>157.28</w:t>
            </w:r>
          </w:p>
        </w:tc>
        <w:tc>
          <w:tcPr>
            <w:tcW w:w="1701" w:type="dxa"/>
          </w:tcPr>
          <w:p w:rsidR="002054D7" w:rsidRDefault="002054D7" w:rsidP="002054D7">
            <w:pPr>
              <w:numPr>
                <w:ilvl w:val="0"/>
                <w:numId w:val="25"/>
              </w:numPr>
              <w:cnfStyle w:val="000000010000" w:firstRow="0" w:lastRow="0" w:firstColumn="0" w:lastColumn="0" w:oddVBand="0" w:evenVBand="0" w:oddHBand="0" w:evenHBand="1" w:firstRowFirstColumn="0" w:firstRowLastColumn="0" w:lastRowFirstColumn="0" w:lastRowLastColumn="0"/>
            </w:pPr>
            <w:r>
              <w:t>157.28</w:t>
            </w:r>
          </w:p>
        </w:tc>
      </w:tr>
      <w:tr w:rsidR="002054D7" w:rsidTr="00671915">
        <w:tc>
          <w:tcPr>
            <w:cnfStyle w:val="001000000000" w:firstRow="0" w:lastRow="0" w:firstColumn="1" w:lastColumn="0" w:oddVBand="0" w:evenVBand="0" w:oddHBand="0" w:evenHBand="0" w:firstRowFirstColumn="0" w:firstRowLastColumn="0" w:lastRowFirstColumn="0" w:lastRowLastColumn="0"/>
            <w:tcW w:w="1809" w:type="dxa"/>
          </w:tcPr>
          <w:p w:rsidR="002054D7" w:rsidRDefault="002054D7" w:rsidP="002054D7">
            <w:pPr>
              <w:numPr>
                <w:ilvl w:val="0"/>
                <w:numId w:val="25"/>
              </w:numPr>
            </w:pPr>
            <w:r>
              <w:t>Long rural</w:t>
            </w:r>
          </w:p>
        </w:tc>
        <w:tc>
          <w:tcPr>
            <w:tcW w:w="1701" w:type="dxa"/>
          </w:tcPr>
          <w:p w:rsidR="002054D7" w:rsidRDefault="002054D7" w:rsidP="002054D7">
            <w:pPr>
              <w:numPr>
                <w:ilvl w:val="0"/>
                <w:numId w:val="25"/>
              </w:numPr>
              <w:cnfStyle w:val="000000000000" w:firstRow="0" w:lastRow="0" w:firstColumn="0" w:lastColumn="0" w:oddVBand="0" w:evenVBand="0" w:oddHBand="0" w:evenHBand="0" w:firstRowFirstColumn="0" w:firstRowLastColumn="0" w:lastRowFirstColumn="0" w:lastRowLastColumn="0"/>
            </w:pPr>
            <w:r>
              <w:t>436.53</w:t>
            </w:r>
          </w:p>
        </w:tc>
        <w:tc>
          <w:tcPr>
            <w:tcW w:w="1701" w:type="dxa"/>
          </w:tcPr>
          <w:p w:rsidR="002054D7" w:rsidRDefault="002054D7" w:rsidP="002054D7">
            <w:pPr>
              <w:numPr>
                <w:ilvl w:val="0"/>
                <w:numId w:val="25"/>
              </w:numPr>
              <w:cnfStyle w:val="000000000000" w:firstRow="0" w:lastRow="0" w:firstColumn="0" w:lastColumn="0" w:oddVBand="0" w:evenVBand="0" w:oddHBand="0" w:evenHBand="0" w:firstRowFirstColumn="0" w:firstRowLastColumn="0" w:lastRowFirstColumn="0" w:lastRowLastColumn="0"/>
            </w:pPr>
            <w:r>
              <w:t>436.53</w:t>
            </w:r>
          </w:p>
        </w:tc>
        <w:tc>
          <w:tcPr>
            <w:tcW w:w="1701" w:type="dxa"/>
          </w:tcPr>
          <w:p w:rsidR="002054D7" w:rsidRDefault="002054D7" w:rsidP="002054D7">
            <w:pPr>
              <w:numPr>
                <w:ilvl w:val="0"/>
                <w:numId w:val="25"/>
              </w:numPr>
              <w:cnfStyle w:val="000000000000" w:firstRow="0" w:lastRow="0" w:firstColumn="0" w:lastColumn="0" w:oddVBand="0" w:evenVBand="0" w:oddHBand="0" w:evenHBand="0" w:firstRowFirstColumn="0" w:firstRowLastColumn="0" w:lastRowFirstColumn="0" w:lastRowLastColumn="0"/>
            </w:pPr>
            <w:r>
              <w:t>436.53</w:t>
            </w:r>
          </w:p>
        </w:tc>
        <w:tc>
          <w:tcPr>
            <w:tcW w:w="1701" w:type="dxa"/>
          </w:tcPr>
          <w:p w:rsidR="002054D7" w:rsidRDefault="002054D7" w:rsidP="002054D7">
            <w:pPr>
              <w:numPr>
                <w:ilvl w:val="0"/>
                <w:numId w:val="25"/>
              </w:numPr>
              <w:cnfStyle w:val="000000000000" w:firstRow="0" w:lastRow="0" w:firstColumn="0" w:lastColumn="0" w:oddVBand="0" w:evenVBand="0" w:oddHBand="0" w:evenHBand="0" w:firstRowFirstColumn="0" w:firstRowLastColumn="0" w:lastRowFirstColumn="0" w:lastRowLastColumn="0"/>
            </w:pPr>
            <w:r>
              <w:t>436.53</w:t>
            </w:r>
          </w:p>
        </w:tc>
      </w:tr>
      <w:tr w:rsidR="002054D7" w:rsidTr="006719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2054D7" w:rsidRPr="002054D7" w:rsidRDefault="002054D7" w:rsidP="002054D7">
            <w:pPr>
              <w:pStyle w:val="AERtabletextleft"/>
              <w:rPr>
                <w:rStyle w:val="Strong"/>
              </w:rPr>
            </w:pPr>
            <w:r w:rsidRPr="00CE0EF5">
              <w:rPr>
                <w:rStyle w:val="Strong"/>
              </w:rPr>
              <w:t>Unplanned</w:t>
            </w:r>
            <w:r w:rsidRPr="002054D7">
              <w:rPr>
                <w:rStyle w:val="Strong"/>
              </w:rPr>
              <w:t xml:space="preserve"> SAIFI</w:t>
            </w:r>
          </w:p>
        </w:tc>
        <w:tc>
          <w:tcPr>
            <w:tcW w:w="1701" w:type="dxa"/>
          </w:tcPr>
          <w:p w:rsidR="002054D7" w:rsidRDefault="002054D7" w:rsidP="002054D7">
            <w:pPr>
              <w:pStyle w:val="AERtabletextleft"/>
              <w:cnfStyle w:val="000000010000" w:firstRow="0" w:lastRow="0" w:firstColumn="0" w:lastColumn="0" w:oddVBand="0" w:evenVBand="0" w:oddHBand="0" w:evenHBand="1" w:firstRowFirstColumn="0" w:firstRowLastColumn="0" w:lastRowFirstColumn="0" w:lastRowLastColumn="0"/>
            </w:pPr>
          </w:p>
        </w:tc>
        <w:tc>
          <w:tcPr>
            <w:tcW w:w="1701" w:type="dxa"/>
          </w:tcPr>
          <w:p w:rsidR="002054D7" w:rsidRDefault="002054D7" w:rsidP="002054D7">
            <w:pPr>
              <w:pStyle w:val="AERtabletextleft"/>
              <w:cnfStyle w:val="000000010000" w:firstRow="0" w:lastRow="0" w:firstColumn="0" w:lastColumn="0" w:oddVBand="0" w:evenVBand="0" w:oddHBand="0" w:evenHBand="1" w:firstRowFirstColumn="0" w:firstRowLastColumn="0" w:lastRowFirstColumn="0" w:lastRowLastColumn="0"/>
            </w:pPr>
          </w:p>
        </w:tc>
        <w:tc>
          <w:tcPr>
            <w:tcW w:w="1701" w:type="dxa"/>
          </w:tcPr>
          <w:p w:rsidR="002054D7" w:rsidRDefault="002054D7" w:rsidP="002054D7">
            <w:pPr>
              <w:pStyle w:val="AERtabletextleft"/>
              <w:cnfStyle w:val="000000010000" w:firstRow="0" w:lastRow="0" w:firstColumn="0" w:lastColumn="0" w:oddVBand="0" w:evenVBand="0" w:oddHBand="0" w:evenHBand="1" w:firstRowFirstColumn="0" w:firstRowLastColumn="0" w:lastRowFirstColumn="0" w:lastRowLastColumn="0"/>
            </w:pPr>
          </w:p>
        </w:tc>
        <w:tc>
          <w:tcPr>
            <w:tcW w:w="1701" w:type="dxa"/>
          </w:tcPr>
          <w:p w:rsidR="002054D7" w:rsidRDefault="002054D7" w:rsidP="002054D7">
            <w:pPr>
              <w:pStyle w:val="AERtabletextleft"/>
              <w:cnfStyle w:val="000000010000" w:firstRow="0" w:lastRow="0" w:firstColumn="0" w:lastColumn="0" w:oddVBand="0" w:evenVBand="0" w:oddHBand="0" w:evenHBand="1" w:firstRowFirstColumn="0" w:firstRowLastColumn="0" w:lastRowFirstColumn="0" w:lastRowLastColumn="0"/>
            </w:pPr>
          </w:p>
        </w:tc>
      </w:tr>
      <w:tr w:rsidR="002054D7" w:rsidTr="00671915">
        <w:tc>
          <w:tcPr>
            <w:cnfStyle w:val="001000000000" w:firstRow="0" w:lastRow="0" w:firstColumn="1" w:lastColumn="0" w:oddVBand="0" w:evenVBand="0" w:oddHBand="0" w:evenHBand="0" w:firstRowFirstColumn="0" w:firstRowLastColumn="0" w:lastRowFirstColumn="0" w:lastRowLastColumn="0"/>
            <w:tcW w:w="1809" w:type="dxa"/>
          </w:tcPr>
          <w:p w:rsidR="002054D7" w:rsidRDefault="002054D7" w:rsidP="002054D7">
            <w:pPr>
              <w:numPr>
                <w:ilvl w:val="0"/>
                <w:numId w:val="25"/>
              </w:numPr>
            </w:pPr>
            <w:r>
              <w:t>CBD</w:t>
            </w:r>
          </w:p>
        </w:tc>
        <w:tc>
          <w:tcPr>
            <w:tcW w:w="1701" w:type="dxa"/>
          </w:tcPr>
          <w:p w:rsidR="002054D7" w:rsidRDefault="002054D7" w:rsidP="002054D7">
            <w:pPr>
              <w:numPr>
                <w:ilvl w:val="0"/>
                <w:numId w:val="25"/>
              </w:numPr>
              <w:cnfStyle w:val="000000000000" w:firstRow="0" w:lastRow="0" w:firstColumn="0" w:lastColumn="0" w:oddVBand="0" w:evenVBand="0" w:oddHBand="0" w:evenHBand="0" w:firstRowFirstColumn="0" w:firstRowLastColumn="0" w:lastRowFirstColumn="0" w:lastRowLastColumn="0"/>
            </w:pPr>
            <w:r>
              <w:t>0.054</w:t>
            </w:r>
          </w:p>
        </w:tc>
        <w:tc>
          <w:tcPr>
            <w:tcW w:w="1701" w:type="dxa"/>
          </w:tcPr>
          <w:p w:rsidR="002054D7" w:rsidRDefault="002054D7" w:rsidP="002054D7">
            <w:pPr>
              <w:numPr>
                <w:ilvl w:val="0"/>
                <w:numId w:val="25"/>
              </w:numPr>
              <w:cnfStyle w:val="000000000000" w:firstRow="0" w:lastRow="0" w:firstColumn="0" w:lastColumn="0" w:oddVBand="0" w:evenVBand="0" w:oddHBand="0" w:evenHBand="0" w:firstRowFirstColumn="0" w:firstRowLastColumn="0" w:lastRowFirstColumn="0" w:lastRowLastColumn="0"/>
            </w:pPr>
            <w:r>
              <w:t>0.054</w:t>
            </w:r>
          </w:p>
        </w:tc>
        <w:tc>
          <w:tcPr>
            <w:tcW w:w="1701" w:type="dxa"/>
          </w:tcPr>
          <w:p w:rsidR="002054D7" w:rsidRDefault="002054D7" w:rsidP="002054D7">
            <w:pPr>
              <w:numPr>
                <w:ilvl w:val="0"/>
                <w:numId w:val="25"/>
              </w:numPr>
              <w:cnfStyle w:val="000000000000" w:firstRow="0" w:lastRow="0" w:firstColumn="0" w:lastColumn="0" w:oddVBand="0" w:evenVBand="0" w:oddHBand="0" w:evenHBand="0" w:firstRowFirstColumn="0" w:firstRowLastColumn="0" w:lastRowFirstColumn="0" w:lastRowLastColumn="0"/>
            </w:pPr>
            <w:r>
              <w:t>0.054</w:t>
            </w:r>
          </w:p>
        </w:tc>
        <w:tc>
          <w:tcPr>
            <w:tcW w:w="1701" w:type="dxa"/>
          </w:tcPr>
          <w:p w:rsidR="002054D7" w:rsidRDefault="002054D7" w:rsidP="002054D7">
            <w:pPr>
              <w:numPr>
                <w:ilvl w:val="0"/>
                <w:numId w:val="25"/>
              </w:numPr>
              <w:cnfStyle w:val="000000000000" w:firstRow="0" w:lastRow="0" w:firstColumn="0" w:lastColumn="0" w:oddVBand="0" w:evenVBand="0" w:oddHBand="0" w:evenHBand="0" w:firstRowFirstColumn="0" w:firstRowLastColumn="0" w:lastRowFirstColumn="0" w:lastRowLastColumn="0"/>
            </w:pPr>
            <w:r>
              <w:t>0.054</w:t>
            </w:r>
          </w:p>
        </w:tc>
      </w:tr>
      <w:tr w:rsidR="002054D7" w:rsidTr="006719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2054D7" w:rsidRDefault="002054D7" w:rsidP="002054D7">
            <w:pPr>
              <w:numPr>
                <w:ilvl w:val="0"/>
                <w:numId w:val="25"/>
              </w:numPr>
            </w:pPr>
            <w:r>
              <w:t>Urban</w:t>
            </w:r>
          </w:p>
        </w:tc>
        <w:tc>
          <w:tcPr>
            <w:tcW w:w="1701" w:type="dxa"/>
          </w:tcPr>
          <w:p w:rsidR="002054D7" w:rsidRPr="00832949" w:rsidRDefault="002054D7" w:rsidP="002054D7">
            <w:pPr>
              <w:numPr>
                <w:ilvl w:val="0"/>
                <w:numId w:val="25"/>
              </w:numPr>
              <w:cnfStyle w:val="000000010000" w:firstRow="0" w:lastRow="0" w:firstColumn="0" w:lastColumn="0" w:oddVBand="0" w:evenVBand="0" w:oddHBand="0" w:evenHBand="1" w:firstRowFirstColumn="0" w:firstRowLastColumn="0" w:lastRowFirstColumn="0" w:lastRowLastColumn="0"/>
            </w:pPr>
            <w:r>
              <w:t>0.674</w:t>
            </w:r>
          </w:p>
        </w:tc>
        <w:tc>
          <w:tcPr>
            <w:tcW w:w="1701" w:type="dxa"/>
          </w:tcPr>
          <w:p w:rsidR="002054D7" w:rsidRPr="00832949" w:rsidRDefault="002054D7" w:rsidP="002054D7">
            <w:pPr>
              <w:numPr>
                <w:ilvl w:val="0"/>
                <w:numId w:val="25"/>
              </w:numPr>
              <w:cnfStyle w:val="000000010000" w:firstRow="0" w:lastRow="0" w:firstColumn="0" w:lastColumn="0" w:oddVBand="0" w:evenVBand="0" w:oddHBand="0" w:evenHBand="1" w:firstRowFirstColumn="0" w:firstRowLastColumn="0" w:lastRowFirstColumn="0" w:lastRowLastColumn="0"/>
            </w:pPr>
            <w:r>
              <w:t>0.674</w:t>
            </w:r>
          </w:p>
        </w:tc>
        <w:tc>
          <w:tcPr>
            <w:tcW w:w="1701" w:type="dxa"/>
          </w:tcPr>
          <w:p w:rsidR="002054D7" w:rsidRPr="00832949" w:rsidRDefault="002054D7" w:rsidP="002054D7">
            <w:pPr>
              <w:numPr>
                <w:ilvl w:val="0"/>
                <w:numId w:val="25"/>
              </w:numPr>
              <w:cnfStyle w:val="000000010000" w:firstRow="0" w:lastRow="0" w:firstColumn="0" w:lastColumn="0" w:oddVBand="0" w:evenVBand="0" w:oddHBand="0" w:evenHBand="1" w:firstRowFirstColumn="0" w:firstRowLastColumn="0" w:lastRowFirstColumn="0" w:lastRowLastColumn="0"/>
            </w:pPr>
            <w:r>
              <w:t>0.674</w:t>
            </w:r>
          </w:p>
        </w:tc>
        <w:tc>
          <w:tcPr>
            <w:tcW w:w="1701" w:type="dxa"/>
          </w:tcPr>
          <w:p w:rsidR="002054D7" w:rsidRPr="00832949" w:rsidRDefault="002054D7" w:rsidP="002054D7">
            <w:pPr>
              <w:numPr>
                <w:ilvl w:val="0"/>
                <w:numId w:val="25"/>
              </w:numPr>
              <w:cnfStyle w:val="000000010000" w:firstRow="0" w:lastRow="0" w:firstColumn="0" w:lastColumn="0" w:oddVBand="0" w:evenVBand="0" w:oddHBand="0" w:evenHBand="1" w:firstRowFirstColumn="0" w:firstRowLastColumn="0" w:lastRowFirstColumn="0" w:lastRowLastColumn="0"/>
            </w:pPr>
            <w:r>
              <w:t>0.674</w:t>
            </w:r>
          </w:p>
        </w:tc>
      </w:tr>
      <w:tr w:rsidR="002054D7" w:rsidTr="00671915">
        <w:tc>
          <w:tcPr>
            <w:cnfStyle w:val="001000000000" w:firstRow="0" w:lastRow="0" w:firstColumn="1" w:lastColumn="0" w:oddVBand="0" w:evenVBand="0" w:oddHBand="0" w:evenHBand="0" w:firstRowFirstColumn="0" w:firstRowLastColumn="0" w:lastRowFirstColumn="0" w:lastRowLastColumn="0"/>
            <w:tcW w:w="1809" w:type="dxa"/>
          </w:tcPr>
          <w:p w:rsidR="002054D7" w:rsidRDefault="002054D7" w:rsidP="002054D7">
            <w:pPr>
              <w:numPr>
                <w:ilvl w:val="0"/>
                <w:numId w:val="25"/>
              </w:numPr>
            </w:pPr>
            <w:r>
              <w:t>Short rural</w:t>
            </w:r>
          </w:p>
        </w:tc>
        <w:tc>
          <w:tcPr>
            <w:tcW w:w="1701" w:type="dxa"/>
          </w:tcPr>
          <w:p w:rsidR="002054D7" w:rsidRDefault="002054D7" w:rsidP="002054D7">
            <w:pPr>
              <w:numPr>
                <w:ilvl w:val="0"/>
                <w:numId w:val="25"/>
              </w:numPr>
              <w:cnfStyle w:val="000000000000" w:firstRow="0" w:lastRow="0" w:firstColumn="0" w:lastColumn="0" w:oddVBand="0" w:evenVBand="0" w:oddHBand="0" w:evenHBand="0" w:firstRowFirstColumn="0" w:firstRowLastColumn="0" w:lastRowFirstColumn="0" w:lastRowLastColumn="0"/>
            </w:pPr>
            <w:r>
              <w:t>1.426</w:t>
            </w:r>
          </w:p>
        </w:tc>
        <w:tc>
          <w:tcPr>
            <w:tcW w:w="1701" w:type="dxa"/>
          </w:tcPr>
          <w:p w:rsidR="002054D7" w:rsidRDefault="002054D7" w:rsidP="002054D7">
            <w:pPr>
              <w:numPr>
                <w:ilvl w:val="0"/>
                <w:numId w:val="25"/>
              </w:numPr>
              <w:cnfStyle w:val="000000000000" w:firstRow="0" w:lastRow="0" w:firstColumn="0" w:lastColumn="0" w:oddVBand="0" w:evenVBand="0" w:oddHBand="0" w:evenHBand="0" w:firstRowFirstColumn="0" w:firstRowLastColumn="0" w:lastRowFirstColumn="0" w:lastRowLastColumn="0"/>
            </w:pPr>
            <w:r>
              <w:t>1.426</w:t>
            </w:r>
          </w:p>
        </w:tc>
        <w:tc>
          <w:tcPr>
            <w:tcW w:w="1701" w:type="dxa"/>
          </w:tcPr>
          <w:p w:rsidR="002054D7" w:rsidRDefault="002054D7" w:rsidP="002054D7">
            <w:pPr>
              <w:numPr>
                <w:ilvl w:val="0"/>
                <w:numId w:val="25"/>
              </w:numPr>
              <w:cnfStyle w:val="000000000000" w:firstRow="0" w:lastRow="0" w:firstColumn="0" w:lastColumn="0" w:oddVBand="0" w:evenVBand="0" w:oddHBand="0" w:evenHBand="0" w:firstRowFirstColumn="0" w:firstRowLastColumn="0" w:lastRowFirstColumn="0" w:lastRowLastColumn="0"/>
            </w:pPr>
            <w:r>
              <w:t>1.426</w:t>
            </w:r>
          </w:p>
        </w:tc>
        <w:tc>
          <w:tcPr>
            <w:tcW w:w="1701" w:type="dxa"/>
          </w:tcPr>
          <w:p w:rsidR="002054D7" w:rsidRDefault="002054D7" w:rsidP="002054D7">
            <w:pPr>
              <w:numPr>
                <w:ilvl w:val="0"/>
                <w:numId w:val="25"/>
              </w:numPr>
              <w:cnfStyle w:val="000000000000" w:firstRow="0" w:lastRow="0" w:firstColumn="0" w:lastColumn="0" w:oddVBand="0" w:evenVBand="0" w:oddHBand="0" w:evenHBand="0" w:firstRowFirstColumn="0" w:firstRowLastColumn="0" w:lastRowFirstColumn="0" w:lastRowLastColumn="0"/>
            </w:pPr>
            <w:r>
              <w:t>1.426</w:t>
            </w:r>
          </w:p>
        </w:tc>
      </w:tr>
      <w:tr w:rsidR="002054D7" w:rsidTr="006719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2054D7" w:rsidRDefault="002054D7" w:rsidP="002054D7">
            <w:pPr>
              <w:numPr>
                <w:ilvl w:val="0"/>
                <w:numId w:val="25"/>
              </w:numPr>
            </w:pPr>
            <w:r>
              <w:t>Long rural</w:t>
            </w:r>
          </w:p>
        </w:tc>
        <w:tc>
          <w:tcPr>
            <w:tcW w:w="1701" w:type="dxa"/>
          </w:tcPr>
          <w:p w:rsidR="002054D7" w:rsidRDefault="002054D7" w:rsidP="002054D7">
            <w:pPr>
              <w:numPr>
                <w:ilvl w:val="0"/>
                <w:numId w:val="25"/>
              </w:numPr>
              <w:cnfStyle w:val="000000010000" w:firstRow="0" w:lastRow="0" w:firstColumn="0" w:lastColumn="0" w:oddVBand="0" w:evenVBand="0" w:oddHBand="0" w:evenHBand="1" w:firstRowFirstColumn="0" w:firstRowLastColumn="0" w:lastRowFirstColumn="0" w:lastRowLastColumn="0"/>
            </w:pPr>
            <w:r>
              <w:t>3.088</w:t>
            </w:r>
          </w:p>
        </w:tc>
        <w:tc>
          <w:tcPr>
            <w:tcW w:w="1701" w:type="dxa"/>
          </w:tcPr>
          <w:p w:rsidR="002054D7" w:rsidRDefault="002054D7" w:rsidP="002054D7">
            <w:pPr>
              <w:numPr>
                <w:ilvl w:val="0"/>
                <w:numId w:val="25"/>
              </w:numPr>
              <w:cnfStyle w:val="000000010000" w:firstRow="0" w:lastRow="0" w:firstColumn="0" w:lastColumn="0" w:oddVBand="0" w:evenVBand="0" w:oddHBand="0" w:evenHBand="1" w:firstRowFirstColumn="0" w:firstRowLastColumn="0" w:lastRowFirstColumn="0" w:lastRowLastColumn="0"/>
            </w:pPr>
            <w:r>
              <w:t>3.088</w:t>
            </w:r>
          </w:p>
        </w:tc>
        <w:tc>
          <w:tcPr>
            <w:tcW w:w="1701" w:type="dxa"/>
          </w:tcPr>
          <w:p w:rsidR="002054D7" w:rsidRDefault="002054D7" w:rsidP="002054D7">
            <w:pPr>
              <w:numPr>
                <w:ilvl w:val="0"/>
                <w:numId w:val="25"/>
              </w:numPr>
              <w:cnfStyle w:val="000000010000" w:firstRow="0" w:lastRow="0" w:firstColumn="0" w:lastColumn="0" w:oddVBand="0" w:evenVBand="0" w:oddHBand="0" w:evenHBand="1" w:firstRowFirstColumn="0" w:firstRowLastColumn="0" w:lastRowFirstColumn="0" w:lastRowLastColumn="0"/>
            </w:pPr>
            <w:r>
              <w:t>3.088</w:t>
            </w:r>
          </w:p>
        </w:tc>
        <w:tc>
          <w:tcPr>
            <w:tcW w:w="1701" w:type="dxa"/>
          </w:tcPr>
          <w:p w:rsidR="002054D7" w:rsidRDefault="002054D7" w:rsidP="002054D7">
            <w:pPr>
              <w:numPr>
                <w:ilvl w:val="0"/>
                <w:numId w:val="25"/>
              </w:numPr>
              <w:cnfStyle w:val="000000010000" w:firstRow="0" w:lastRow="0" w:firstColumn="0" w:lastColumn="0" w:oddVBand="0" w:evenVBand="0" w:oddHBand="0" w:evenHBand="1" w:firstRowFirstColumn="0" w:firstRowLastColumn="0" w:lastRowFirstColumn="0" w:lastRowLastColumn="0"/>
            </w:pPr>
            <w:r>
              <w:t>3.088</w:t>
            </w:r>
          </w:p>
        </w:tc>
      </w:tr>
    </w:tbl>
    <w:p w:rsidR="002054D7" w:rsidRDefault="002054D7" w:rsidP="005F396E">
      <w:pPr>
        <w:pStyle w:val="AERtablesource"/>
      </w:pPr>
      <w:r>
        <w:t xml:space="preserve">Source: </w:t>
      </w:r>
      <w:r>
        <w:tab/>
      </w:r>
      <w:proofErr w:type="spellStart"/>
      <w:r>
        <w:t>Ausgrid</w:t>
      </w:r>
      <w:proofErr w:type="spellEnd"/>
      <w:r>
        <w:t xml:space="preserve">, </w:t>
      </w:r>
      <w:r w:rsidRPr="001D51B3">
        <w:rPr>
          <w:rStyle w:val="AERtextitalic"/>
        </w:rPr>
        <w:t>Revised Regulatory Proposal and Preliminary Submission 1 July 2014 – 30 June 2019</w:t>
      </w:r>
      <w:r>
        <w:t>, 20 January 2015, p.</w:t>
      </w:r>
      <w:r w:rsidR="005F396E">
        <w:t xml:space="preserve"> </w:t>
      </w:r>
      <w:r>
        <w:t>57 and AER analysis.</w:t>
      </w:r>
    </w:p>
    <w:p w:rsidR="007F3E1D" w:rsidRDefault="000562AF" w:rsidP="00F03F4D">
      <w:pPr>
        <w:numPr>
          <w:ilvl w:val="0"/>
          <w:numId w:val="25"/>
        </w:numPr>
      </w:pPr>
      <w:r>
        <w:t>W</w:t>
      </w:r>
      <w:r w:rsidR="006A469F">
        <w:t>e applied the September 2014 AEMO VCR</w:t>
      </w:r>
      <w:r w:rsidR="00A60BFD">
        <w:t xml:space="preserve"> for NSW</w:t>
      </w:r>
      <w:r w:rsidR="006A469F">
        <w:t xml:space="preserve"> </w:t>
      </w:r>
      <w:r w:rsidR="006B2118">
        <w:t>i</w:t>
      </w:r>
      <w:r w:rsidR="007F3E1D" w:rsidRPr="00E73EFA">
        <w:t>nstead of the VCR prescrib</w:t>
      </w:r>
      <w:r w:rsidR="006A469F">
        <w:t>ed in clause 3.2.2 of the STPIS</w:t>
      </w:r>
      <w:r w:rsidR="002054D7">
        <w:t xml:space="preserve"> for the reliability of service component </w:t>
      </w:r>
      <w:r>
        <w:t>in the draft decision</w:t>
      </w:r>
      <w:r w:rsidR="006A469F">
        <w:t>. W</w:t>
      </w:r>
      <w:r w:rsidR="007F3E1D" w:rsidRPr="00E73EFA">
        <w:t>e consider</w:t>
      </w:r>
      <w:r w:rsidR="006A469F">
        <w:t>ed</w:t>
      </w:r>
      <w:r w:rsidR="007F3E1D" w:rsidRPr="00E73EFA">
        <w:t xml:space="preserve"> </w:t>
      </w:r>
      <w:r w:rsidR="007F3E1D">
        <w:t xml:space="preserve">the most recent VCR better reflects </w:t>
      </w:r>
      <w:r w:rsidR="006C5A75">
        <w:t xml:space="preserve">the value </w:t>
      </w:r>
      <w:r w:rsidR="007F3E1D">
        <w:t>customers current</w:t>
      </w:r>
      <w:r w:rsidR="006C5A75">
        <w:t>ly attribute</w:t>
      </w:r>
      <w:r w:rsidR="007F3E1D">
        <w:t xml:space="preserve"> </w:t>
      </w:r>
      <w:r w:rsidR="006C5A75">
        <w:t xml:space="preserve">to </w:t>
      </w:r>
      <w:r w:rsidR="007F3E1D">
        <w:t>reliability.</w:t>
      </w:r>
      <w:r w:rsidR="00385157">
        <w:rPr>
          <w:rStyle w:val="FootnoteReference"/>
        </w:rPr>
        <w:footnoteReference w:id="6"/>
      </w:r>
      <w:r w:rsidR="007F3E1D">
        <w:t xml:space="preserve"> </w:t>
      </w:r>
      <w:proofErr w:type="spellStart"/>
      <w:r w:rsidR="00F51304">
        <w:t>Ausgrid</w:t>
      </w:r>
      <w:proofErr w:type="spellEnd"/>
      <w:r w:rsidR="00F51304">
        <w:t xml:space="preserve"> accepted this new AEMO VCR in the revised proposal. However, it noted the September 2014 VCR should be indexed to July 2015</w:t>
      </w:r>
      <w:r w:rsidR="00B43816">
        <w:t>,</w:t>
      </w:r>
      <w:r w:rsidR="00F51304">
        <w:t xml:space="preserve"> consistent with the approach set out in the STPIS.</w:t>
      </w:r>
      <w:r w:rsidR="00B43816">
        <w:rPr>
          <w:rStyle w:val="FootnoteReference"/>
        </w:rPr>
        <w:footnoteReference w:id="7"/>
      </w:r>
      <w:r w:rsidR="001B48A2">
        <w:t xml:space="preserve"> We accept that the AEMO VCR should be indexed to the start of the regulatory control period by applying the appropriate CPI adjustment. </w:t>
      </w:r>
      <w:r w:rsidR="008A7028">
        <w:t xml:space="preserve">We have also amended the VCR for NSW CBD feeder type, so it </w:t>
      </w:r>
      <w:r w:rsidR="00B43816">
        <w:t>is</w:t>
      </w:r>
      <w:r w:rsidR="008A7028">
        <w:t xml:space="preserve"> based on energy consumption by user types as</w:t>
      </w:r>
      <w:r w:rsidR="00B43816">
        <w:t xml:space="preserve"> </w:t>
      </w:r>
      <w:r w:rsidR="008A7028">
        <w:t xml:space="preserve">set out in the AEMO's VCR application guide. </w:t>
      </w:r>
      <w:r w:rsidR="007F3E1D">
        <w:fldChar w:fldCharType="begin"/>
      </w:r>
      <w:r w:rsidR="007F3E1D">
        <w:instrText xml:space="preserve"> REF _Ref401745292 \h </w:instrText>
      </w:r>
      <w:r w:rsidR="007F3E1D">
        <w:fldChar w:fldCharType="separate"/>
      </w:r>
      <w:r w:rsidR="009B5A19">
        <w:t xml:space="preserve">Table </w:t>
      </w:r>
      <w:r w:rsidR="009B5A19">
        <w:rPr>
          <w:noProof/>
        </w:rPr>
        <w:t>11</w:t>
      </w:r>
      <w:r w:rsidR="009B5A19" w:rsidRPr="007F3E1D">
        <w:t>-</w:t>
      </w:r>
      <w:r w:rsidR="009B5A19">
        <w:rPr>
          <w:noProof/>
        </w:rPr>
        <w:t>2</w:t>
      </w:r>
      <w:r w:rsidR="007F3E1D">
        <w:fldChar w:fldCharType="end"/>
      </w:r>
      <w:r w:rsidR="007F3E1D">
        <w:t xml:space="preserve"> </w:t>
      </w:r>
      <w:r w:rsidR="00B71BBB">
        <w:t xml:space="preserve">below </w:t>
      </w:r>
      <w:r w:rsidR="007F3E1D">
        <w:t>p</w:t>
      </w:r>
      <w:r w:rsidR="007F3E1D" w:rsidRPr="00E73EFA">
        <w:t xml:space="preserve">resents our </w:t>
      </w:r>
      <w:r w:rsidR="001B48A2">
        <w:t xml:space="preserve">calculated </w:t>
      </w:r>
      <w:r w:rsidR="007F3E1D" w:rsidRPr="00E73EFA">
        <w:t xml:space="preserve">incentive rates to apply to </w:t>
      </w:r>
      <w:proofErr w:type="spellStart"/>
      <w:r w:rsidR="007F3E1D" w:rsidRPr="00E73EFA">
        <w:t>Ausgrid's</w:t>
      </w:r>
      <w:proofErr w:type="spellEnd"/>
      <w:r w:rsidR="007F3E1D" w:rsidRPr="00E73EFA">
        <w:t xml:space="preserve"> SAIDI and SAIFI tar</w:t>
      </w:r>
      <w:r w:rsidR="007F3E1D">
        <w:t xml:space="preserve">gets. </w:t>
      </w:r>
      <w:bookmarkStart w:id="15" w:name="_Ref398909477"/>
    </w:p>
    <w:p w:rsidR="00800E4C" w:rsidRDefault="00800E4C" w:rsidP="00F03F4D">
      <w:pPr>
        <w:numPr>
          <w:ilvl w:val="0"/>
          <w:numId w:val="25"/>
        </w:numPr>
      </w:pPr>
    </w:p>
    <w:p w:rsidR="007F3E1D" w:rsidRDefault="007F3E1D" w:rsidP="007F3E1D">
      <w:pPr>
        <w:pStyle w:val="Caption"/>
      </w:pPr>
      <w:bookmarkStart w:id="16" w:name="_Ref401745292"/>
      <w:bookmarkEnd w:id="15"/>
      <w:r>
        <w:lastRenderedPageBreak/>
        <w:t xml:space="preserve">Table </w:t>
      </w:r>
      <w:r w:rsidRPr="007F3E1D">
        <w:fldChar w:fldCharType="begin"/>
      </w:r>
      <w:r>
        <w:instrText xml:space="preserve"> STYLEREF 1 \s </w:instrText>
      </w:r>
      <w:r w:rsidRPr="007F3E1D">
        <w:fldChar w:fldCharType="separate"/>
      </w:r>
      <w:r w:rsidR="009B5A19">
        <w:rPr>
          <w:noProof/>
        </w:rPr>
        <w:t>11</w:t>
      </w:r>
      <w:r w:rsidRPr="007F3E1D">
        <w:fldChar w:fldCharType="end"/>
      </w:r>
      <w:r w:rsidRPr="007F3E1D">
        <w:t>-</w:t>
      </w:r>
      <w:r w:rsidRPr="007F3E1D">
        <w:fldChar w:fldCharType="begin"/>
      </w:r>
      <w:r>
        <w:instrText xml:space="preserve"> SEQ Table \* ARABIC \s 1 </w:instrText>
      </w:r>
      <w:r w:rsidRPr="007F3E1D">
        <w:fldChar w:fldCharType="separate"/>
      </w:r>
      <w:r w:rsidR="009B5A19">
        <w:rPr>
          <w:noProof/>
        </w:rPr>
        <w:t>2</w:t>
      </w:r>
      <w:r w:rsidRPr="007F3E1D">
        <w:fldChar w:fldCharType="end"/>
      </w:r>
      <w:bookmarkEnd w:id="16"/>
      <w:r>
        <w:tab/>
      </w:r>
      <w:proofErr w:type="gramStart"/>
      <w:r w:rsidR="001B48A2">
        <w:t>The</w:t>
      </w:r>
      <w:proofErr w:type="gramEnd"/>
      <w:r w:rsidR="001B48A2">
        <w:t xml:space="preserve"> proposed</w:t>
      </w:r>
      <w:r>
        <w:t xml:space="preserve"> incentive rates on </w:t>
      </w:r>
      <w:proofErr w:type="spellStart"/>
      <w:r>
        <w:t>Ausgrid's</w:t>
      </w:r>
      <w:proofErr w:type="spellEnd"/>
      <w:r>
        <w:t xml:space="preserve"> reliability of supply targets</w:t>
      </w:r>
    </w:p>
    <w:tbl>
      <w:tblPr>
        <w:tblStyle w:val="AERtable-numbers"/>
        <w:tblW w:w="5000" w:type="pct"/>
        <w:tblLook w:val="04A0" w:firstRow="1" w:lastRow="0" w:firstColumn="1" w:lastColumn="0" w:noHBand="0" w:noVBand="1"/>
      </w:tblPr>
      <w:tblGrid>
        <w:gridCol w:w="2238"/>
        <w:gridCol w:w="1601"/>
        <w:gridCol w:w="1469"/>
        <w:gridCol w:w="1566"/>
        <w:gridCol w:w="1819"/>
      </w:tblGrid>
      <w:tr w:rsidR="007F3E1D" w:rsidTr="00004C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7" w:type="pct"/>
          </w:tcPr>
          <w:p w:rsidR="007F3E1D" w:rsidRDefault="007F3E1D" w:rsidP="007F3E1D">
            <w:pPr>
              <w:numPr>
                <w:ilvl w:val="0"/>
                <w:numId w:val="25"/>
              </w:numPr>
            </w:pPr>
            <w:r>
              <w:t>Network type</w:t>
            </w:r>
          </w:p>
        </w:tc>
        <w:tc>
          <w:tcPr>
            <w:tcW w:w="921" w:type="pct"/>
          </w:tcPr>
          <w:p w:rsidR="007F3E1D" w:rsidRDefault="007F3E1D" w:rsidP="007F3E1D">
            <w:pPr>
              <w:numPr>
                <w:ilvl w:val="0"/>
                <w:numId w:val="25"/>
              </w:numPr>
              <w:cnfStyle w:val="100000000000" w:firstRow="1" w:lastRow="0" w:firstColumn="0" w:lastColumn="0" w:oddVBand="0" w:evenVBand="0" w:oddHBand="0" w:evenHBand="0" w:firstRowFirstColumn="0" w:firstRowLastColumn="0" w:lastRowFirstColumn="0" w:lastRowLastColumn="0"/>
            </w:pPr>
            <w:r>
              <w:t>CBD</w:t>
            </w:r>
          </w:p>
        </w:tc>
        <w:tc>
          <w:tcPr>
            <w:tcW w:w="845" w:type="pct"/>
          </w:tcPr>
          <w:p w:rsidR="007F3E1D" w:rsidRDefault="007F3E1D" w:rsidP="007F3E1D">
            <w:pPr>
              <w:numPr>
                <w:ilvl w:val="0"/>
                <w:numId w:val="25"/>
              </w:numPr>
              <w:cnfStyle w:val="100000000000" w:firstRow="1" w:lastRow="0" w:firstColumn="0" w:lastColumn="0" w:oddVBand="0" w:evenVBand="0" w:oddHBand="0" w:evenHBand="0" w:firstRowFirstColumn="0" w:firstRowLastColumn="0" w:lastRowFirstColumn="0" w:lastRowLastColumn="0"/>
            </w:pPr>
            <w:r>
              <w:t>Urban</w:t>
            </w:r>
          </w:p>
        </w:tc>
        <w:tc>
          <w:tcPr>
            <w:tcW w:w="901" w:type="pct"/>
          </w:tcPr>
          <w:p w:rsidR="007F3E1D" w:rsidRDefault="007F3E1D" w:rsidP="007F3E1D">
            <w:pPr>
              <w:numPr>
                <w:ilvl w:val="0"/>
                <w:numId w:val="25"/>
              </w:numPr>
              <w:cnfStyle w:val="100000000000" w:firstRow="1" w:lastRow="0" w:firstColumn="0" w:lastColumn="0" w:oddVBand="0" w:evenVBand="0" w:oddHBand="0" w:evenHBand="0" w:firstRowFirstColumn="0" w:firstRowLastColumn="0" w:lastRowFirstColumn="0" w:lastRowLastColumn="0"/>
            </w:pPr>
            <w:r>
              <w:t>Short rural</w:t>
            </w:r>
          </w:p>
        </w:tc>
        <w:tc>
          <w:tcPr>
            <w:tcW w:w="1047" w:type="pct"/>
          </w:tcPr>
          <w:p w:rsidR="007F3E1D" w:rsidRDefault="007F3E1D" w:rsidP="007F3E1D">
            <w:pPr>
              <w:numPr>
                <w:ilvl w:val="0"/>
                <w:numId w:val="25"/>
              </w:numPr>
              <w:cnfStyle w:val="100000000000" w:firstRow="1" w:lastRow="0" w:firstColumn="0" w:lastColumn="0" w:oddVBand="0" w:evenVBand="0" w:oddHBand="0" w:evenHBand="0" w:firstRowFirstColumn="0" w:firstRowLastColumn="0" w:lastRowFirstColumn="0" w:lastRowLastColumn="0"/>
            </w:pPr>
            <w:r>
              <w:t>Long rural</w:t>
            </w:r>
          </w:p>
        </w:tc>
      </w:tr>
      <w:tr w:rsidR="00004C53" w:rsidTr="00004C53">
        <w:tc>
          <w:tcPr>
            <w:cnfStyle w:val="001000000000" w:firstRow="0" w:lastRow="0" w:firstColumn="1" w:lastColumn="0" w:oddVBand="0" w:evenVBand="0" w:oddHBand="0" w:evenHBand="0" w:firstRowFirstColumn="0" w:firstRowLastColumn="0" w:lastRowFirstColumn="0" w:lastRowLastColumn="0"/>
            <w:tcW w:w="1287" w:type="pct"/>
          </w:tcPr>
          <w:p w:rsidR="00004C53" w:rsidRPr="00004C53" w:rsidRDefault="00004C53" w:rsidP="00004C53">
            <w:pPr>
              <w:numPr>
                <w:ilvl w:val="0"/>
                <w:numId w:val="25"/>
              </w:numPr>
            </w:pPr>
            <w:r w:rsidRPr="00004C53">
              <w:t>Unplanned SAIDI</w:t>
            </w:r>
          </w:p>
        </w:tc>
        <w:tc>
          <w:tcPr>
            <w:tcW w:w="921" w:type="pct"/>
            <w:vAlign w:val="top"/>
          </w:tcPr>
          <w:p w:rsidR="00004C53" w:rsidRPr="00004C53" w:rsidRDefault="00004C53" w:rsidP="00F331CA">
            <w:pPr>
              <w:cnfStyle w:val="000000000000" w:firstRow="0" w:lastRow="0" w:firstColumn="0" w:lastColumn="0" w:oddVBand="0" w:evenVBand="0" w:oddHBand="0" w:evenHBand="0" w:firstRowFirstColumn="0" w:firstRowLastColumn="0" w:lastRowFirstColumn="0" w:lastRowLastColumn="0"/>
            </w:pPr>
            <w:r w:rsidRPr="00004C53">
              <w:t>0.0058</w:t>
            </w:r>
          </w:p>
        </w:tc>
        <w:tc>
          <w:tcPr>
            <w:tcW w:w="845" w:type="pct"/>
            <w:vAlign w:val="top"/>
          </w:tcPr>
          <w:p w:rsidR="00004C53" w:rsidRPr="00004C53" w:rsidRDefault="00004C53" w:rsidP="00F331CA">
            <w:pPr>
              <w:cnfStyle w:val="000000000000" w:firstRow="0" w:lastRow="0" w:firstColumn="0" w:lastColumn="0" w:oddVBand="0" w:evenVBand="0" w:oddHBand="0" w:evenHBand="0" w:firstRowFirstColumn="0" w:firstRowLastColumn="0" w:lastRowFirstColumn="0" w:lastRowLastColumn="0"/>
            </w:pPr>
            <w:r w:rsidRPr="00004C53">
              <w:t>0.0469</w:t>
            </w:r>
          </w:p>
        </w:tc>
        <w:tc>
          <w:tcPr>
            <w:tcW w:w="901" w:type="pct"/>
            <w:vAlign w:val="top"/>
          </w:tcPr>
          <w:p w:rsidR="00004C53" w:rsidRPr="00004C53" w:rsidRDefault="00004C53" w:rsidP="00F331CA">
            <w:pPr>
              <w:cnfStyle w:val="000000000000" w:firstRow="0" w:lastRow="0" w:firstColumn="0" w:lastColumn="0" w:oddVBand="0" w:evenVBand="0" w:oddHBand="0" w:evenHBand="0" w:firstRowFirstColumn="0" w:firstRowLastColumn="0" w:lastRowFirstColumn="0" w:lastRowLastColumn="0"/>
            </w:pPr>
            <w:r w:rsidRPr="00004C53">
              <w:t>0.0063</w:t>
            </w:r>
          </w:p>
        </w:tc>
        <w:tc>
          <w:tcPr>
            <w:tcW w:w="1047" w:type="pct"/>
            <w:vAlign w:val="top"/>
          </w:tcPr>
          <w:p w:rsidR="00004C53" w:rsidRPr="00004C53" w:rsidRDefault="00004C53" w:rsidP="00F331CA">
            <w:pPr>
              <w:cnfStyle w:val="000000000000" w:firstRow="0" w:lastRow="0" w:firstColumn="0" w:lastColumn="0" w:oddVBand="0" w:evenVBand="0" w:oddHBand="0" w:evenHBand="0" w:firstRowFirstColumn="0" w:firstRowLastColumn="0" w:lastRowFirstColumn="0" w:lastRowLastColumn="0"/>
            </w:pPr>
            <w:r w:rsidRPr="00004C53">
              <w:t>0.0001</w:t>
            </w:r>
          </w:p>
        </w:tc>
      </w:tr>
      <w:tr w:rsidR="00004C53" w:rsidTr="00004C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7" w:type="pct"/>
          </w:tcPr>
          <w:p w:rsidR="00004C53" w:rsidRPr="00004C53" w:rsidRDefault="00004C53" w:rsidP="00004C53">
            <w:pPr>
              <w:numPr>
                <w:ilvl w:val="0"/>
                <w:numId w:val="25"/>
              </w:numPr>
            </w:pPr>
            <w:r w:rsidRPr="00004C53">
              <w:t>Unplanned SAIFI</w:t>
            </w:r>
          </w:p>
        </w:tc>
        <w:tc>
          <w:tcPr>
            <w:tcW w:w="921" w:type="pct"/>
            <w:vAlign w:val="top"/>
          </w:tcPr>
          <w:p w:rsidR="00004C53" w:rsidRPr="00004C53" w:rsidRDefault="00004C53" w:rsidP="00F331CA">
            <w:pPr>
              <w:cnfStyle w:val="000000010000" w:firstRow="0" w:lastRow="0" w:firstColumn="0" w:lastColumn="0" w:oddVBand="0" w:evenVBand="0" w:oddHBand="0" w:evenHBand="1" w:firstRowFirstColumn="0" w:firstRowLastColumn="0" w:lastRowFirstColumn="0" w:lastRowLastColumn="0"/>
            </w:pPr>
            <w:r w:rsidRPr="00004C53">
              <w:t>1.5825</w:t>
            </w:r>
          </w:p>
        </w:tc>
        <w:tc>
          <w:tcPr>
            <w:tcW w:w="845" w:type="pct"/>
            <w:vAlign w:val="top"/>
          </w:tcPr>
          <w:p w:rsidR="00004C53" w:rsidRPr="00004C53" w:rsidRDefault="00004C53" w:rsidP="00F331CA">
            <w:pPr>
              <w:cnfStyle w:val="000000010000" w:firstRow="0" w:lastRow="0" w:firstColumn="0" w:lastColumn="0" w:oddVBand="0" w:evenVBand="0" w:oddHBand="0" w:evenHBand="1" w:firstRowFirstColumn="0" w:firstRowLastColumn="0" w:lastRowFirstColumn="0" w:lastRowLastColumn="0"/>
            </w:pPr>
            <w:r w:rsidRPr="00004C53">
              <w:t>4.4805</w:t>
            </w:r>
          </w:p>
        </w:tc>
        <w:tc>
          <w:tcPr>
            <w:tcW w:w="901" w:type="pct"/>
            <w:vAlign w:val="top"/>
          </w:tcPr>
          <w:p w:rsidR="00004C53" w:rsidRPr="00004C53" w:rsidRDefault="00004C53" w:rsidP="00F331CA">
            <w:pPr>
              <w:cnfStyle w:val="000000010000" w:firstRow="0" w:lastRow="0" w:firstColumn="0" w:lastColumn="0" w:oddVBand="0" w:evenVBand="0" w:oddHBand="0" w:evenHBand="1" w:firstRowFirstColumn="0" w:firstRowLastColumn="0" w:lastRowFirstColumn="0" w:lastRowLastColumn="0"/>
            </w:pPr>
            <w:r w:rsidRPr="00004C53">
              <w:t>0.7588</w:t>
            </w:r>
          </w:p>
        </w:tc>
        <w:tc>
          <w:tcPr>
            <w:tcW w:w="1047" w:type="pct"/>
            <w:vAlign w:val="top"/>
          </w:tcPr>
          <w:p w:rsidR="00004C53" w:rsidRPr="00004C53" w:rsidRDefault="00004C53" w:rsidP="00F331CA">
            <w:pPr>
              <w:cnfStyle w:val="000000010000" w:firstRow="0" w:lastRow="0" w:firstColumn="0" w:lastColumn="0" w:oddVBand="0" w:evenVBand="0" w:oddHBand="0" w:evenHBand="1" w:firstRowFirstColumn="0" w:firstRowLastColumn="0" w:lastRowFirstColumn="0" w:lastRowLastColumn="0"/>
            </w:pPr>
            <w:r w:rsidRPr="00004C53">
              <w:t>0.0087</w:t>
            </w:r>
          </w:p>
        </w:tc>
      </w:tr>
    </w:tbl>
    <w:p w:rsidR="007F3E1D" w:rsidRDefault="007F3E1D" w:rsidP="007F3E1D">
      <w:pPr>
        <w:pStyle w:val="AERtablesource"/>
      </w:pPr>
      <w:r>
        <w:t xml:space="preserve">Source: </w:t>
      </w:r>
      <w:r>
        <w:tab/>
        <w:t>AER analysis.</w:t>
      </w:r>
    </w:p>
    <w:p w:rsidR="00DE563D" w:rsidRPr="001754EE" w:rsidRDefault="009B6F84" w:rsidP="001754EE">
      <w:pPr>
        <w:pStyle w:val="Heading2"/>
      </w:pPr>
      <w:bookmarkStart w:id="17" w:name="_Toc417914683"/>
      <w:proofErr w:type="spellStart"/>
      <w:r>
        <w:t>Ausgrid</w:t>
      </w:r>
      <w:r w:rsidR="00415F31" w:rsidRPr="001754EE">
        <w:t>’s</w:t>
      </w:r>
      <w:proofErr w:type="spellEnd"/>
      <w:r w:rsidR="00415F31" w:rsidRPr="001754EE">
        <w:t xml:space="preserve"> revised</w:t>
      </w:r>
      <w:r w:rsidR="00DE563D" w:rsidRPr="001754EE">
        <w:t xml:space="preserve"> proposal</w:t>
      </w:r>
      <w:bookmarkEnd w:id="13"/>
      <w:bookmarkEnd w:id="17"/>
    </w:p>
    <w:p w:rsidR="002C233C" w:rsidRDefault="00444EE9" w:rsidP="002C233C">
      <w:proofErr w:type="spellStart"/>
      <w:r>
        <w:t>Ausgrid</w:t>
      </w:r>
      <w:proofErr w:type="spellEnd"/>
      <w:r>
        <w:t xml:space="preserve"> </w:t>
      </w:r>
      <w:r w:rsidRPr="002D1C53">
        <w:t xml:space="preserve">accepted the inclusion of a STPIS subject to the expenditure forecasts in </w:t>
      </w:r>
      <w:r>
        <w:t>its</w:t>
      </w:r>
      <w:r w:rsidRPr="002D1C53">
        <w:t xml:space="preserve"> revised proposal being accepted.</w:t>
      </w:r>
      <w:r>
        <w:t xml:space="preserve"> It noted</w:t>
      </w:r>
      <w:r w:rsidR="00B43816">
        <w:t xml:space="preserve"> that</w:t>
      </w:r>
      <w:r>
        <w:t xml:space="preserve"> i</w:t>
      </w:r>
      <w:r w:rsidRPr="002D1C53">
        <w:t xml:space="preserve">f the AER does not accept </w:t>
      </w:r>
      <w:proofErr w:type="spellStart"/>
      <w:r>
        <w:t>Ausg</w:t>
      </w:r>
      <w:r w:rsidRPr="002D1C53">
        <w:t>r</w:t>
      </w:r>
      <w:r>
        <w:t>id’s</w:t>
      </w:r>
      <w:proofErr w:type="spellEnd"/>
      <w:r w:rsidRPr="002D1C53">
        <w:t xml:space="preserve"> revised forecasts for operating and capital expenditure</w:t>
      </w:r>
      <w:r w:rsidR="00B43816">
        <w:t>,</w:t>
      </w:r>
      <w:r w:rsidRPr="002D1C53">
        <w:t xml:space="preserve"> </w:t>
      </w:r>
      <w:r>
        <w:t xml:space="preserve">then it </w:t>
      </w:r>
      <w:r w:rsidRPr="002D1C53">
        <w:t>propose</w:t>
      </w:r>
      <w:r>
        <w:t>d</w:t>
      </w:r>
      <w:r w:rsidRPr="002D1C53">
        <w:t xml:space="preserve"> that no STPIS should apply to the 2015</w:t>
      </w:r>
      <w:r w:rsidR="00A12A26">
        <w:t>–19 regulatory control</w:t>
      </w:r>
      <w:r w:rsidRPr="002D1C53">
        <w:t xml:space="preserve"> period.</w:t>
      </w:r>
      <w:r w:rsidR="001D51B3">
        <w:rPr>
          <w:rStyle w:val="FootnoteReference"/>
        </w:rPr>
        <w:footnoteReference w:id="8"/>
      </w:r>
      <w:r w:rsidRPr="002D1C53">
        <w:t xml:space="preserve"> </w:t>
      </w:r>
      <w:r>
        <w:t xml:space="preserve"> </w:t>
      </w:r>
    </w:p>
    <w:p w:rsidR="007F06FC" w:rsidRPr="007F06FC" w:rsidRDefault="007F06FC" w:rsidP="007F06FC">
      <w:bookmarkStart w:id="18" w:name="_Toc403144138"/>
      <w:proofErr w:type="spellStart"/>
      <w:r w:rsidRPr="007F06FC">
        <w:t>Ausgrid</w:t>
      </w:r>
      <w:proofErr w:type="spellEnd"/>
      <w:r w:rsidRPr="007F06FC">
        <w:t xml:space="preserve"> also accepted:</w:t>
      </w:r>
      <w:r w:rsidR="00E056F7">
        <w:rPr>
          <w:rStyle w:val="FootnoteReference"/>
        </w:rPr>
        <w:footnoteReference w:id="9"/>
      </w:r>
    </w:p>
    <w:p w:rsidR="007F06FC" w:rsidRDefault="007F06FC" w:rsidP="007F06FC">
      <w:pPr>
        <w:pStyle w:val="AERbulletlistfirststyle"/>
      </w:pPr>
      <w:r w:rsidRPr="008F1DAA">
        <w:t>the methodology proposed by the AER in the D</w:t>
      </w:r>
      <w:r w:rsidRPr="007F06FC">
        <w:t xml:space="preserve">raft Decision in adjusting </w:t>
      </w:r>
      <w:proofErr w:type="spellStart"/>
      <w:r w:rsidRPr="007F06FC">
        <w:t>Ausgrid’s</w:t>
      </w:r>
      <w:proofErr w:type="spellEnd"/>
      <w:r w:rsidRPr="007F06FC">
        <w:t xml:space="preserve"> reliability of supply performance targets and used actual 2013/14 data to update the</w:t>
      </w:r>
      <w:r w:rsidR="00764B2F">
        <w:t xml:space="preserve"> performance</w:t>
      </w:r>
      <w:r w:rsidRPr="007F06FC">
        <w:t xml:space="preserve"> targets </w:t>
      </w:r>
    </w:p>
    <w:p w:rsidR="00E056F7" w:rsidRPr="007F06FC" w:rsidRDefault="00E056F7" w:rsidP="00E056F7">
      <w:pPr>
        <w:pStyle w:val="AERbulletlistfirststyle"/>
      </w:pPr>
      <w:proofErr w:type="gramStart"/>
      <w:r w:rsidRPr="008F1DAA">
        <w:t>the</w:t>
      </w:r>
      <w:proofErr w:type="gramEnd"/>
      <w:r w:rsidRPr="008F1DAA">
        <w:t xml:space="preserve"> </w:t>
      </w:r>
      <w:r w:rsidRPr="007F06FC">
        <w:t>use of new AEMO VCR</w:t>
      </w:r>
      <w:r w:rsidR="00764B2F">
        <w:t xml:space="preserve"> to calculate the incentive rates for reliability of supply parameters. However, it</w:t>
      </w:r>
      <w:r w:rsidRPr="007F06FC">
        <w:t xml:space="preserve"> suggested </w:t>
      </w:r>
      <w:r w:rsidR="00764B2F" w:rsidRPr="007F06FC">
        <w:t>applying</w:t>
      </w:r>
      <w:r w:rsidRPr="007F06FC">
        <w:t xml:space="preserve"> CPI adjustment to July 2015</w:t>
      </w:r>
      <w:r w:rsidR="00764B2F">
        <w:t xml:space="preserve"> as this </w:t>
      </w:r>
      <w:r w:rsidR="00B43816">
        <w:t xml:space="preserve">indexing </w:t>
      </w:r>
      <w:r w:rsidR="00764B2F">
        <w:t xml:space="preserve">approach is </w:t>
      </w:r>
      <w:r w:rsidRPr="007F06FC">
        <w:t>cons</w:t>
      </w:r>
      <w:r w:rsidR="00A13ED4">
        <w:t>istent with the STPIS G</w:t>
      </w:r>
      <w:r w:rsidR="00764B2F">
        <w:t>uideline</w:t>
      </w:r>
    </w:p>
    <w:p w:rsidR="007F06FC" w:rsidRDefault="007F06FC" w:rsidP="007F06FC">
      <w:pPr>
        <w:pStyle w:val="AERbulletlistfirststyle"/>
      </w:pPr>
      <w:proofErr w:type="gramStart"/>
      <w:r>
        <w:t>the</w:t>
      </w:r>
      <w:proofErr w:type="gramEnd"/>
      <w:r>
        <w:t xml:space="preserve"> performance target </w:t>
      </w:r>
      <w:r w:rsidR="00E056F7">
        <w:t xml:space="preserve">and the incentive rate </w:t>
      </w:r>
      <w:r>
        <w:t>for telephone answering parameter</w:t>
      </w:r>
      <w:r w:rsidR="00764B2F">
        <w:t>.</w:t>
      </w:r>
    </w:p>
    <w:p w:rsidR="003908A9" w:rsidRPr="007F06FC" w:rsidRDefault="003908A9" w:rsidP="003908A9">
      <w:pPr>
        <w:pStyle w:val="AERbulletlistfirststyle"/>
        <w:numPr>
          <w:ilvl w:val="0"/>
          <w:numId w:val="0"/>
        </w:numPr>
        <w:ind w:left="357"/>
      </w:pPr>
    </w:p>
    <w:p w:rsidR="00DE563D" w:rsidRDefault="00DE563D" w:rsidP="001754EE">
      <w:pPr>
        <w:pStyle w:val="Heading2"/>
      </w:pPr>
      <w:bookmarkStart w:id="19" w:name="_Toc417914684"/>
      <w:r w:rsidRPr="001754EE">
        <w:t>AER’s</w:t>
      </w:r>
      <w:r>
        <w:t xml:space="preserve"> assessment approach</w:t>
      </w:r>
      <w:bookmarkEnd w:id="18"/>
      <w:bookmarkEnd w:id="19"/>
    </w:p>
    <w:p w:rsidR="00A72BB2" w:rsidRDefault="00F60D8C" w:rsidP="00A72BB2">
      <w:r>
        <w:t>We have outlined our assessment approach to the application of t</w:t>
      </w:r>
      <w:r w:rsidR="00A72BB2">
        <w:t>he STPIS in the draft decision:</w:t>
      </w:r>
      <w:r w:rsidR="00F03F4D" w:rsidRPr="002B1D35">
        <w:rPr>
          <w:rStyle w:val="FootnoteReference"/>
        </w:rPr>
        <w:footnoteReference w:id="10"/>
      </w:r>
    </w:p>
    <w:p w:rsidR="00A72BB2" w:rsidRPr="00A72BB2" w:rsidRDefault="005F396E" w:rsidP="00A72BB2">
      <w:pPr>
        <w:pStyle w:val="AERbulletlistfirststyle"/>
      </w:pPr>
      <w:r>
        <w:t>clause</w:t>
      </w:r>
      <w:r w:rsidR="00A72BB2" w:rsidRPr="00A72BB2">
        <w:t xml:space="preserve"> 6.6.2 of the NER describes the consultative process that we must apply in deve</w:t>
      </w:r>
      <w:r w:rsidR="00A72BB2">
        <w:t>loping and publishing the STPIS</w:t>
      </w:r>
    </w:p>
    <w:p w:rsidR="00A72BB2" w:rsidRPr="00A72BB2" w:rsidRDefault="005F396E" w:rsidP="00A72BB2">
      <w:pPr>
        <w:pStyle w:val="AERbulletlistfirststyle"/>
      </w:pPr>
      <w:r>
        <w:t>clause</w:t>
      </w:r>
      <w:r w:rsidR="00A72BB2" w:rsidRPr="00A72BB2">
        <w:t xml:space="preserve"> 6.12.1 (9) of the NER </w:t>
      </w:r>
      <w:r w:rsidR="00F03F4D">
        <w:t>requires us to</w:t>
      </w:r>
      <w:r w:rsidR="00F03F4D" w:rsidRPr="00A72BB2" w:rsidDel="00F03F4D">
        <w:t xml:space="preserve"> </w:t>
      </w:r>
      <w:r w:rsidR="00A72BB2" w:rsidRPr="00A72BB2">
        <w:t xml:space="preserve">make a decision on how the STPIS is to apply to the relevant </w:t>
      </w:r>
      <w:r w:rsidR="00781BBE">
        <w:t>distributor</w:t>
      </w:r>
      <w:r w:rsidR="00A72BB2" w:rsidRPr="00A72BB2">
        <w:t xml:space="preserve"> in the </w:t>
      </w:r>
      <w:r w:rsidR="00A72BB2">
        <w:t>Distribution Determination, and</w:t>
      </w:r>
    </w:p>
    <w:p w:rsidR="00A72BB2" w:rsidRPr="00A72BB2" w:rsidRDefault="00A72BB2" w:rsidP="00A72BB2">
      <w:pPr>
        <w:pStyle w:val="AERbulletlistfirststyle"/>
      </w:pPr>
      <w:proofErr w:type="gramStart"/>
      <w:r>
        <w:t>t</w:t>
      </w:r>
      <w:r w:rsidRPr="00A72BB2">
        <w:t>he</w:t>
      </w:r>
      <w:proofErr w:type="gramEnd"/>
      <w:r w:rsidRPr="00A72BB2">
        <w:t xml:space="preserve"> STPIS Guideline outlines the process to be applied in determining performance targets under the STPIS, incentive rates and the MED thresholds.</w:t>
      </w:r>
      <w:r w:rsidR="00435649">
        <w:rPr>
          <w:rStyle w:val="FootnoteReference"/>
        </w:rPr>
        <w:footnoteReference w:id="11"/>
      </w:r>
    </w:p>
    <w:p w:rsidR="00F60D8C" w:rsidRPr="00151F43" w:rsidRDefault="00F60D8C" w:rsidP="00F60D8C">
      <w:pPr>
        <w:numPr>
          <w:ilvl w:val="0"/>
          <w:numId w:val="25"/>
        </w:numPr>
      </w:pPr>
      <w:r>
        <w:lastRenderedPageBreak/>
        <w:t xml:space="preserve">We have </w:t>
      </w:r>
      <w:r w:rsidR="00A72BB2">
        <w:t xml:space="preserve">assessed </w:t>
      </w:r>
      <w:proofErr w:type="spellStart"/>
      <w:r w:rsidR="00A72BB2">
        <w:t>Ausgrid's</w:t>
      </w:r>
      <w:proofErr w:type="spellEnd"/>
      <w:r w:rsidR="00A72BB2">
        <w:t xml:space="preserve"> STPIS proposal according to the </w:t>
      </w:r>
      <w:r w:rsidR="002406B0">
        <w:t xml:space="preserve">NER </w:t>
      </w:r>
      <w:r w:rsidR="00A13ED4">
        <w:t>and the G</w:t>
      </w:r>
      <w:r w:rsidR="00A72BB2">
        <w:t>uideline outlined above</w:t>
      </w:r>
      <w:r w:rsidR="00F03F4D">
        <w:t>.</w:t>
      </w:r>
      <w:r>
        <w:t xml:space="preserve"> </w:t>
      </w:r>
      <w:r w:rsidR="00F03F4D" w:rsidRPr="00B01044">
        <w:t xml:space="preserve">When </w:t>
      </w:r>
      <w:r w:rsidR="00F03F4D">
        <w:t>alternatives are presented</w:t>
      </w:r>
      <w:r w:rsidR="00F03F4D" w:rsidRPr="00B01044">
        <w:t xml:space="preserve"> </w:t>
      </w:r>
      <w:r>
        <w:t xml:space="preserve">which warrant a reconsideration of this </w:t>
      </w:r>
      <w:r w:rsidR="00A72BB2">
        <w:t>approach</w:t>
      </w:r>
      <w:r w:rsidR="00F03F4D">
        <w:t>,</w:t>
      </w:r>
      <w:r>
        <w:t xml:space="preserve"> we have considered the relative merits of the alternative against the objectives of the STPIS.</w:t>
      </w:r>
    </w:p>
    <w:p w:rsidR="007B186E" w:rsidRDefault="002C233C" w:rsidP="001754EE">
      <w:pPr>
        <w:pStyle w:val="Heading3"/>
      </w:pPr>
      <w:bookmarkStart w:id="20" w:name="_Toc417914685"/>
      <w:r>
        <w:t>Interrelationships</w:t>
      </w:r>
      <w:bookmarkEnd w:id="20"/>
      <w:r w:rsidR="007D456E">
        <w:t xml:space="preserve"> </w:t>
      </w:r>
    </w:p>
    <w:p w:rsidR="002406B0" w:rsidRPr="005F396E" w:rsidRDefault="002406B0" w:rsidP="005F396E">
      <w:r w:rsidRPr="002406B0">
        <w:t>In applying the STPIS we must consider any other incentives available to the distributor under the NER or relevant distribution determination.</w:t>
      </w:r>
      <w:r w:rsidRPr="002406B0">
        <w:rPr>
          <w:rStyle w:val="FootnoteReference"/>
        </w:rPr>
        <w:footnoteReference w:id="12"/>
      </w:r>
      <w:r w:rsidRPr="002406B0">
        <w:t xml:space="preserve"> One of the objectives of the STPIS is to ensure that the incentives under the scheme are sufficient to offset any other incentives the </w:t>
      </w:r>
      <w:r w:rsidR="002C7B84">
        <w:t>distributor</w:t>
      </w:r>
      <w:r w:rsidRPr="002406B0">
        <w:t xml:space="preserve"> may have to reduce costs at the expense of service levels.</w:t>
      </w:r>
      <w:r w:rsidRPr="002406B0">
        <w:rPr>
          <w:rStyle w:val="FootnoteReference"/>
        </w:rPr>
        <w:footnoteReference w:id="13"/>
      </w:r>
      <w:r w:rsidRPr="002406B0">
        <w:t xml:space="preserve"> For the 2015–19 regulatory control </w:t>
      </w:r>
      <w:proofErr w:type="gramStart"/>
      <w:r w:rsidRPr="002406B0">
        <w:t>period</w:t>
      </w:r>
      <w:proofErr w:type="gramEnd"/>
      <w:r w:rsidRPr="002406B0">
        <w:t>, the STPIS will interact with the Capital Expenditure Sharing Scheme (CESS).</w:t>
      </w:r>
      <w:r w:rsidRPr="002406B0">
        <w:rPr>
          <w:rStyle w:val="FootnoteReference"/>
        </w:rPr>
        <w:footnoteReference w:id="14"/>
      </w:r>
      <w:r w:rsidRPr="002406B0">
        <w:t xml:space="preserve"> For this period we will not subject any expenditure to the efficiency benefit sharing scheme (EBSS) which applies to </w:t>
      </w:r>
      <w:proofErr w:type="spellStart"/>
      <w:r w:rsidRPr="002406B0">
        <w:t>opex</w:t>
      </w:r>
      <w:proofErr w:type="spellEnd"/>
      <w:r w:rsidRPr="002406B0">
        <w:t xml:space="preserve">, as we have used an alternative </w:t>
      </w:r>
      <w:proofErr w:type="spellStart"/>
      <w:r w:rsidRPr="002406B0">
        <w:t>opex</w:t>
      </w:r>
      <w:proofErr w:type="spellEnd"/>
      <w:r w:rsidRPr="002406B0">
        <w:t xml:space="preserve"> forecast rather than </w:t>
      </w:r>
      <w:proofErr w:type="spellStart"/>
      <w:r>
        <w:t>Ausgrid</w:t>
      </w:r>
      <w:r w:rsidRPr="002406B0">
        <w:t>'s</w:t>
      </w:r>
      <w:proofErr w:type="spellEnd"/>
      <w:r w:rsidRPr="002406B0">
        <w:t xml:space="preserve"> revealed costs. This is </w:t>
      </w:r>
      <w:r w:rsidRPr="005F396E">
        <w:t xml:space="preserve">explained further in the EBSS appendix (see </w:t>
      </w:r>
      <w:r w:rsidR="00C50706" w:rsidRPr="005F396E">
        <w:t>attachment 9</w:t>
      </w:r>
      <w:r w:rsidRPr="005F396E">
        <w:t>).</w:t>
      </w:r>
    </w:p>
    <w:p w:rsidR="002406B0" w:rsidRPr="002406B0" w:rsidRDefault="002406B0" w:rsidP="002406B0">
      <w:pPr>
        <w:numPr>
          <w:ilvl w:val="0"/>
          <w:numId w:val="25"/>
        </w:numPr>
      </w:pPr>
      <w:r w:rsidRPr="002406B0">
        <w:t>The CESS rewards distributors who pursue efficiency improvements in capex to the benefit of both distributors and network users. In setting the STPIS performance targets, we will consider both completed and planned reliability improvements expected to materially affect network reliability performance.</w:t>
      </w:r>
      <w:r w:rsidRPr="002406B0">
        <w:rPr>
          <w:rStyle w:val="FootnoteReference"/>
        </w:rPr>
        <w:footnoteReference w:id="15"/>
      </w:r>
      <w:r w:rsidRPr="002406B0">
        <w:t xml:space="preserve"> By setting the performance targets in such a way, any incentive a distributor may have to reduce the capex at the expense of target service levels should be curtailed by the STPIS financial penalties.</w:t>
      </w:r>
    </w:p>
    <w:p w:rsidR="002406B0" w:rsidRPr="005F396E" w:rsidRDefault="002406B0" w:rsidP="005F396E">
      <w:r w:rsidRPr="005F396E">
        <w:t xml:space="preserve">Contrary to </w:t>
      </w:r>
      <w:proofErr w:type="spellStart"/>
      <w:r w:rsidRPr="005F396E">
        <w:t>Ausgrid's</w:t>
      </w:r>
      <w:proofErr w:type="spellEnd"/>
      <w:r w:rsidRPr="005F396E">
        <w:t xml:space="preserve"> submissions, our approved capex and </w:t>
      </w:r>
      <w:proofErr w:type="spellStart"/>
      <w:r w:rsidRPr="005F396E">
        <w:t>opex</w:t>
      </w:r>
      <w:proofErr w:type="spellEnd"/>
      <w:r w:rsidRPr="005F396E">
        <w:t xml:space="preserve"> forecasts in the final decision are sufficient to allow a prudent and efficient </w:t>
      </w:r>
      <w:proofErr w:type="spellStart"/>
      <w:r w:rsidRPr="005F396E">
        <w:t>Ausgrid</w:t>
      </w:r>
      <w:proofErr w:type="spellEnd"/>
      <w:r w:rsidRPr="005F396E">
        <w:t>, facing a realistic expectation of the demand forecast and cost inputs, to maintain reliability at the current level (see</w:t>
      </w:r>
      <w:r w:rsidR="005C2CC1">
        <w:t xml:space="preserve"> attachment 6, section</w:t>
      </w:r>
      <w:r w:rsidRPr="005F396E">
        <w:t xml:space="preserve"> 6.4 and </w:t>
      </w:r>
      <w:r w:rsidR="005C2CC1">
        <w:t xml:space="preserve">attachment 7, </w:t>
      </w:r>
      <w:r w:rsidR="00C50706" w:rsidRPr="005F396E">
        <w:t>appendix A</w:t>
      </w:r>
      <w:r w:rsidRPr="005F396E">
        <w:t xml:space="preserve">). This is discussed in more detail in section </w:t>
      </w:r>
      <w:r w:rsidRPr="005F396E">
        <w:fldChar w:fldCharType="begin"/>
      </w:r>
      <w:r w:rsidRPr="005F396E">
        <w:instrText xml:space="preserve"> REF _Ref414862295 \r \h </w:instrText>
      </w:r>
      <w:r w:rsidR="005F396E">
        <w:instrText xml:space="preserve"> \* MERGEFORMAT </w:instrText>
      </w:r>
      <w:r w:rsidRPr="005F396E">
        <w:fldChar w:fldCharType="separate"/>
      </w:r>
      <w:r w:rsidR="009B5A19">
        <w:t>11.4.1</w:t>
      </w:r>
      <w:r w:rsidRPr="005F396E">
        <w:fldChar w:fldCharType="end"/>
      </w:r>
      <w:r w:rsidRPr="005F396E">
        <w:t>.</w:t>
      </w:r>
    </w:p>
    <w:p w:rsidR="00DE563D" w:rsidRDefault="00DE563D" w:rsidP="001754EE">
      <w:pPr>
        <w:pStyle w:val="Heading2"/>
      </w:pPr>
      <w:bookmarkStart w:id="21" w:name="_Toc403144140"/>
      <w:bookmarkStart w:id="22" w:name="_Toc417914686"/>
      <w:r w:rsidRPr="001754EE">
        <w:t>Reasons</w:t>
      </w:r>
      <w:r>
        <w:t xml:space="preserve"> for </w:t>
      </w:r>
      <w:r w:rsidR="002016E7">
        <w:t>final</w:t>
      </w:r>
      <w:r>
        <w:t xml:space="preserve"> decision</w:t>
      </w:r>
      <w:bookmarkEnd w:id="21"/>
      <w:bookmarkEnd w:id="22"/>
      <w:r>
        <w:t xml:space="preserve"> </w:t>
      </w:r>
    </w:p>
    <w:p w:rsidR="00465BB8" w:rsidRDefault="00465BB8" w:rsidP="00465BB8">
      <w:pPr>
        <w:numPr>
          <w:ilvl w:val="0"/>
          <w:numId w:val="25"/>
        </w:numPr>
      </w:pPr>
      <w:r>
        <w:t xml:space="preserve">The following section sets out our </w:t>
      </w:r>
      <w:r w:rsidR="000B6681">
        <w:t>reasons for our final decision</w:t>
      </w:r>
      <w:r>
        <w:t xml:space="preserve">. </w:t>
      </w:r>
    </w:p>
    <w:p w:rsidR="002474C7" w:rsidRDefault="002474C7" w:rsidP="001754EE">
      <w:pPr>
        <w:pStyle w:val="Heading3"/>
      </w:pPr>
      <w:bookmarkStart w:id="23" w:name="_Ref414862295"/>
      <w:bookmarkStart w:id="24" w:name="_Toc404362397"/>
      <w:bookmarkStart w:id="25" w:name="_Toc417914687"/>
      <w:r>
        <w:t>Application of STPIS</w:t>
      </w:r>
      <w:bookmarkEnd w:id="23"/>
      <w:bookmarkEnd w:id="25"/>
    </w:p>
    <w:p w:rsidR="00EE3695" w:rsidRDefault="00EE3695" w:rsidP="005F396E">
      <w:r w:rsidRPr="00EE3695">
        <w:t xml:space="preserve">We do not accept </w:t>
      </w:r>
      <w:proofErr w:type="spellStart"/>
      <w:r>
        <w:t>Ausgrid</w:t>
      </w:r>
      <w:r w:rsidRPr="00EE3695">
        <w:t>'s</w:t>
      </w:r>
      <w:proofErr w:type="spellEnd"/>
      <w:r w:rsidRPr="00EE3695">
        <w:t xml:space="preserve"> proposal that the application of the STPIS should be dependent on whether we accept its revised </w:t>
      </w:r>
      <w:proofErr w:type="spellStart"/>
      <w:r w:rsidRPr="00EE3695">
        <w:t>opex</w:t>
      </w:r>
      <w:proofErr w:type="spellEnd"/>
      <w:r w:rsidRPr="00EE3695">
        <w:t xml:space="preserve"> and capex proposals. Our approved capex and </w:t>
      </w:r>
      <w:proofErr w:type="spellStart"/>
      <w:r w:rsidRPr="00EE3695">
        <w:t>opex</w:t>
      </w:r>
      <w:proofErr w:type="spellEnd"/>
      <w:r w:rsidRPr="00EE3695">
        <w:t xml:space="preserve"> forecasts in the final decisions are sufficient to allow </w:t>
      </w:r>
      <w:proofErr w:type="spellStart"/>
      <w:r>
        <w:t>Ausgrid</w:t>
      </w:r>
      <w:proofErr w:type="spellEnd"/>
      <w:r w:rsidRPr="00EE3695">
        <w:t xml:space="preserve"> to maintain its current levels o</w:t>
      </w:r>
      <w:r w:rsidRPr="005F396E">
        <w:t xml:space="preserve">f reliability (see sections 6.4 and </w:t>
      </w:r>
      <w:r w:rsidR="00C50706" w:rsidRPr="005F396E">
        <w:t xml:space="preserve">appendix A of attachment </w:t>
      </w:r>
      <w:r w:rsidR="00C50706" w:rsidRPr="005F396E">
        <w:lastRenderedPageBreak/>
        <w:t>7</w:t>
      </w:r>
      <w:r w:rsidRPr="005F396E">
        <w:t xml:space="preserve">). We note that </w:t>
      </w:r>
      <w:proofErr w:type="spellStart"/>
      <w:r w:rsidRPr="005F396E">
        <w:t>Ausgrid</w:t>
      </w:r>
      <w:proofErr w:type="spellEnd"/>
      <w:r w:rsidRPr="005F396E">
        <w:t xml:space="preserve"> has been delivering </w:t>
      </w:r>
      <w:r w:rsidRPr="00EE3695">
        <w:t xml:space="preserve">performance levels higher than the minimum standards it is required to achieve under its licence obligations.  </w:t>
      </w:r>
    </w:p>
    <w:p w:rsidR="00736D86" w:rsidRPr="005F396E" w:rsidRDefault="008E2542" w:rsidP="005F396E">
      <w:r>
        <w:t xml:space="preserve">In </w:t>
      </w:r>
      <w:r w:rsidR="00B40CF5">
        <w:t>arriving at</w:t>
      </w:r>
      <w:r>
        <w:t xml:space="preserve"> our capex allowance, w</w:t>
      </w:r>
      <w:r w:rsidRPr="00912B39">
        <w:t xml:space="preserve">e have considered the interaction between the removal of the </w:t>
      </w:r>
      <w:r w:rsidR="00EE3695">
        <w:t xml:space="preserve">N-1 deterministic </w:t>
      </w:r>
      <w:r w:rsidRPr="00912B39">
        <w:t>design planning standards</w:t>
      </w:r>
      <w:r w:rsidR="00702ACA">
        <w:t xml:space="preserve"> imposed by the NSW Government in the previous regulatory control period</w:t>
      </w:r>
      <w:r w:rsidRPr="00912B39">
        <w:t xml:space="preserve">, the minimum reliability standards and the historical reliability that </w:t>
      </w:r>
      <w:proofErr w:type="spellStart"/>
      <w:r>
        <w:t>Ausgrid</w:t>
      </w:r>
      <w:proofErr w:type="spellEnd"/>
      <w:r w:rsidRPr="00912B39">
        <w:t xml:space="preserve"> has been achieving. </w:t>
      </w:r>
      <w:r w:rsidR="00702ACA">
        <w:t xml:space="preserve">In its revised proposal, </w:t>
      </w:r>
      <w:proofErr w:type="spellStart"/>
      <w:r w:rsidR="006F180F">
        <w:t>Ausgrid</w:t>
      </w:r>
      <w:proofErr w:type="spellEnd"/>
      <w:r w:rsidR="006F180F">
        <w:t xml:space="preserve"> has clarified </w:t>
      </w:r>
      <w:r w:rsidR="006F180F" w:rsidRPr="00B932E5">
        <w:t>that the expenditure is required to address compliance issues related to the Schedule 3 licence conditions</w:t>
      </w:r>
      <w:r w:rsidR="006F180F">
        <w:t xml:space="preserve"> in the revised proposal. Accordingly we accept </w:t>
      </w:r>
      <w:proofErr w:type="spellStart"/>
      <w:r w:rsidR="006F180F">
        <w:t>Ausgrid's</w:t>
      </w:r>
      <w:proofErr w:type="spellEnd"/>
      <w:r w:rsidR="006F180F">
        <w:t xml:space="preserve"> revised proposal in respect of the forecast reliability capex</w:t>
      </w:r>
      <w:r w:rsidR="00467A91">
        <w:t>.</w:t>
      </w:r>
      <w:r w:rsidR="006F180F">
        <w:t xml:space="preserve"> </w:t>
      </w:r>
      <w:r w:rsidR="00736D86" w:rsidRPr="00736D86">
        <w:t xml:space="preserve">We have provided sufficient revenue to allow </w:t>
      </w:r>
      <w:proofErr w:type="spellStart"/>
      <w:r w:rsidR="00736D86">
        <w:t>Ausgrid</w:t>
      </w:r>
      <w:proofErr w:type="spellEnd"/>
      <w:r w:rsidR="00736D86" w:rsidRPr="00736D86">
        <w:t xml:space="preserve"> acting prudently and efficiently to maintain its current reliability level with our approved capex forecast. In addition, as the current reliability level is higher than the minimum reliability standards, </w:t>
      </w:r>
      <w:proofErr w:type="spellStart"/>
      <w:r w:rsidR="00736D86">
        <w:t>Ausgrid</w:t>
      </w:r>
      <w:proofErr w:type="spellEnd"/>
      <w:r w:rsidR="00736D86" w:rsidRPr="00736D86">
        <w:t xml:space="preserve"> will also be </w:t>
      </w:r>
      <w:r w:rsidR="00736D86" w:rsidRPr="005F396E">
        <w:t xml:space="preserve">able to meet, and indeed exceed, the jurisdictional minimum standard </w:t>
      </w:r>
      <w:r w:rsidR="00055D26">
        <w:t>(see section </w:t>
      </w:r>
      <w:r w:rsidR="00C50706" w:rsidRPr="005F396E">
        <w:t>6.4</w:t>
      </w:r>
      <w:r w:rsidR="00736D86" w:rsidRPr="005F396E">
        <w:t>).</w:t>
      </w:r>
    </w:p>
    <w:p w:rsidR="00736D86" w:rsidRPr="005F396E" w:rsidRDefault="00736D86" w:rsidP="005F396E">
      <w:r w:rsidRPr="005F396E">
        <w:t xml:space="preserve">Our benchmarking </w:t>
      </w:r>
      <w:proofErr w:type="spellStart"/>
      <w:r w:rsidRPr="005F396E">
        <w:t>opex</w:t>
      </w:r>
      <w:proofErr w:type="spellEnd"/>
      <w:r w:rsidRPr="005F396E">
        <w:t xml:space="preserve"> approach considers the reliability of the networks by incorporating it as an output in our </w:t>
      </w:r>
      <w:proofErr w:type="spellStart"/>
      <w:r w:rsidRPr="005F396E">
        <w:t>opex</w:t>
      </w:r>
      <w:proofErr w:type="spellEnd"/>
      <w:r w:rsidRPr="005F396E">
        <w:t xml:space="preserve"> Multilateral Partial Factor Productivity (MPFP) benchmarking. We found most networks have a level of reliability that is close to their expected level given their customer density, as reflected by the reliability scores being close to the trend line</w:t>
      </w:r>
      <w:r w:rsidR="006957DE" w:rsidRPr="005F396E">
        <w:t>.</w:t>
      </w:r>
      <w:r w:rsidRPr="005F396E">
        <w:t xml:space="preserve"> Given this, </w:t>
      </w:r>
      <w:r w:rsidR="00C50706" w:rsidRPr="005F396E">
        <w:t>our benchmarking indicates</w:t>
      </w:r>
      <w:r w:rsidRPr="005F396E">
        <w:t xml:space="preserve"> that a prudent and efficient </w:t>
      </w:r>
      <w:proofErr w:type="spellStart"/>
      <w:r w:rsidRPr="005F396E">
        <w:t>Ausgrid</w:t>
      </w:r>
      <w:proofErr w:type="spellEnd"/>
      <w:r w:rsidRPr="005F396E">
        <w:t xml:space="preserve"> facing a realistic expectation of the demand forecast and cost inputs </w:t>
      </w:r>
      <w:r w:rsidR="00C50706" w:rsidRPr="005F396E">
        <w:t xml:space="preserve">should be able to deliver </w:t>
      </w:r>
      <w:proofErr w:type="spellStart"/>
      <w:r w:rsidR="00C50706" w:rsidRPr="005F396E">
        <w:t>Ausgrid's</w:t>
      </w:r>
      <w:proofErr w:type="spellEnd"/>
      <w:r w:rsidR="00C50706" w:rsidRPr="005F396E">
        <w:t xml:space="preserve"> current levels of reliability for less </w:t>
      </w:r>
      <w:proofErr w:type="spellStart"/>
      <w:r w:rsidR="00C50706" w:rsidRPr="005F396E">
        <w:t>opex</w:t>
      </w:r>
      <w:proofErr w:type="spellEnd"/>
      <w:r w:rsidRPr="005F396E">
        <w:t xml:space="preserve">. Based on our benchmarking analysis, we consider that our approved </w:t>
      </w:r>
      <w:proofErr w:type="spellStart"/>
      <w:r w:rsidRPr="005F396E">
        <w:t>opex</w:t>
      </w:r>
      <w:proofErr w:type="spellEnd"/>
      <w:r w:rsidRPr="005F396E">
        <w:t xml:space="preserve"> forecast for </w:t>
      </w:r>
      <w:proofErr w:type="spellStart"/>
      <w:r w:rsidRPr="005F396E">
        <w:t>Ausgrid</w:t>
      </w:r>
      <w:proofErr w:type="spellEnd"/>
      <w:r w:rsidRPr="005F396E">
        <w:t xml:space="preserve"> is consistent with the targets that we have set for the STPIS in this period. Our forecast </w:t>
      </w:r>
      <w:proofErr w:type="spellStart"/>
      <w:r w:rsidRPr="005F396E">
        <w:t>opex</w:t>
      </w:r>
      <w:proofErr w:type="spellEnd"/>
      <w:r w:rsidRPr="005F396E">
        <w:t xml:space="preserve"> is also sufficient to allow a prudent and efficient </w:t>
      </w:r>
      <w:proofErr w:type="spellStart"/>
      <w:r w:rsidRPr="005F396E">
        <w:t>Ausgrid</w:t>
      </w:r>
      <w:proofErr w:type="spellEnd"/>
      <w:r w:rsidRPr="005F396E">
        <w:t xml:space="preserve"> facing a realistic expectation of the demand forecast and cost inputs to maintain reliability at the current level (see </w:t>
      </w:r>
      <w:r w:rsidR="00C50706" w:rsidRPr="005F396E">
        <w:t>appendix A of attachment 7</w:t>
      </w:r>
      <w:r w:rsidRPr="005F396E">
        <w:t>).</w:t>
      </w:r>
    </w:p>
    <w:p w:rsidR="00736D86" w:rsidRPr="00736D86" w:rsidRDefault="00736D86" w:rsidP="00736D86">
      <w:r w:rsidRPr="00736D86">
        <w:t xml:space="preserve">In addition, we consider that a distributor's reliability performance is influenced by the configuration and condition of its network assets. This is a result of the distributor's historical investment and operating practices.  Most network assets have an expected life in excess of 50 </w:t>
      </w:r>
      <w:proofErr w:type="gramStart"/>
      <w:r w:rsidRPr="00736D86">
        <w:t>years,</w:t>
      </w:r>
      <w:proofErr w:type="gramEnd"/>
      <w:r w:rsidRPr="00736D86">
        <w:t xml:space="preserve"> therefore, by discounting for uncontrollable external impacts such as weather variations, the distributor's reliability level should not change abruptly. </w:t>
      </w:r>
    </w:p>
    <w:p w:rsidR="00736D86" w:rsidRPr="00736D86" w:rsidRDefault="00736D86" w:rsidP="00736D86">
      <w:r w:rsidRPr="00736D86">
        <w:t>There is also the potential for performance improvements to lag behind the completion of capex projects. As we explain in</w:t>
      </w:r>
      <w:r w:rsidR="007153DE">
        <w:t xml:space="preserve"> section</w:t>
      </w:r>
      <w:r w:rsidRPr="00736D86">
        <w:t xml:space="preserve"> </w:t>
      </w:r>
      <w:r w:rsidR="007153DE">
        <w:fldChar w:fldCharType="begin"/>
      </w:r>
      <w:r w:rsidR="007153DE">
        <w:instrText xml:space="preserve"> REF _Ref399168566 \r \h </w:instrText>
      </w:r>
      <w:r w:rsidR="007153DE">
        <w:fldChar w:fldCharType="separate"/>
      </w:r>
      <w:r w:rsidR="007153DE">
        <w:t>11.4.4</w:t>
      </w:r>
      <w:r w:rsidR="007153DE">
        <w:fldChar w:fldCharType="end"/>
      </w:r>
      <w:r w:rsidRPr="00736D86">
        <w:t xml:space="preserve">, we are uncertain of the extent and time lag between the completion of new projects and any potential improvement in performance. Therefore we have not applied any lagged effects in our analysis as there is uncertainty as to what </w:t>
      </w:r>
      <w:proofErr w:type="spellStart"/>
      <w:r w:rsidRPr="00736D86">
        <w:t>Ausgrid's</w:t>
      </w:r>
      <w:proofErr w:type="spellEnd"/>
      <w:r w:rsidRPr="00736D86">
        <w:t xml:space="preserve"> past expenditure may ultimately deliver in terms of supply reliability in the 2015–19 regulatory control </w:t>
      </w:r>
      <w:proofErr w:type="gramStart"/>
      <w:r w:rsidRPr="00736D86">
        <w:t>period</w:t>
      </w:r>
      <w:proofErr w:type="gramEnd"/>
      <w:r w:rsidRPr="00736D86">
        <w:t xml:space="preserve">.  </w:t>
      </w:r>
    </w:p>
    <w:p w:rsidR="00E7335C" w:rsidRPr="00E7335C" w:rsidRDefault="00E7335C" w:rsidP="00E7335C">
      <w:r w:rsidRPr="00E7335C">
        <w:t xml:space="preserve">In recognition of all these factors, we consider it is reasonable to apply </w:t>
      </w:r>
      <w:proofErr w:type="gramStart"/>
      <w:r w:rsidRPr="00E7335C">
        <w:t>a lower</w:t>
      </w:r>
      <w:proofErr w:type="gramEnd"/>
      <w:r w:rsidRPr="00E7335C">
        <w:t xml:space="preserve"> revenue at risk and lower incentive rates to reduce the risk to consumers and </w:t>
      </w:r>
      <w:proofErr w:type="spellStart"/>
      <w:r>
        <w:t>Ausgrid</w:t>
      </w:r>
      <w:proofErr w:type="spellEnd"/>
      <w:r w:rsidRPr="00E7335C">
        <w:t>.</w:t>
      </w:r>
    </w:p>
    <w:p w:rsidR="007B186E" w:rsidRDefault="00465BB8" w:rsidP="001754EE">
      <w:pPr>
        <w:pStyle w:val="Heading3"/>
      </w:pPr>
      <w:bookmarkStart w:id="26" w:name="_Toc417914688"/>
      <w:r>
        <w:lastRenderedPageBreak/>
        <w:t>Applicable components and parameters</w:t>
      </w:r>
      <w:bookmarkEnd w:id="24"/>
      <w:bookmarkEnd w:id="26"/>
      <w:r w:rsidR="007D456E">
        <w:t xml:space="preserve"> </w:t>
      </w:r>
    </w:p>
    <w:p w:rsidR="00465BB8" w:rsidRDefault="005C593C" w:rsidP="00465BB8">
      <w:pPr>
        <w:numPr>
          <w:ilvl w:val="0"/>
          <w:numId w:val="25"/>
        </w:numPr>
      </w:pPr>
      <w:r>
        <w:t>In both the Stage two</w:t>
      </w:r>
      <w:r w:rsidR="00465BB8">
        <w:t xml:space="preserve"> F&amp;A</w:t>
      </w:r>
      <w:r w:rsidR="00736D86">
        <w:t xml:space="preserve"> and</w:t>
      </w:r>
      <w:r w:rsidR="00736D86" w:rsidRPr="00736D86">
        <w:t xml:space="preserve"> the draft decision</w:t>
      </w:r>
      <w:r>
        <w:t>, we noted</w:t>
      </w:r>
      <w:r w:rsidR="00465BB8">
        <w:t xml:space="preserve"> that:</w:t>
      </w:r>
      <w:r w:rsidR="00465BB8">
        <w:rPr>
          <w:rStyle w:val="FootnoteReference"/>
        </w:rPr>
        <w:footnoteReference w:id="16"/>
      </w:r>
    </w:p>
    <w:p w:rsidR="00465BB8" w:rsidRPr="00465BB8" w:rsidRDefault="00465BB8" w:rsidP="00465BB8">
      <w:pPr>
        <w:pStyle w:val="AERbulletlistfirststyle"/>
      </w:pPr>
      <w:proofErr w:type="gramStart"/>
      <w:r>
        <w:t>performance</w:t>
      </w:r>
      <w:proofErr w:type="gramEnd"/>
      <w:r w:rsidRPr="00465BB8">
        <w:t xml:space="preserve"> targets would be set for both SAIDI and SAIFI under the reliability of supply component, with financial incentives attached to each. </w:t>
      </w:r>
    </w:p>
    <w:p w:rsidR="00465BB8" w:rsidRPr="00465BB8" w:rsidRDefault="00465BB8" w:rsidP="00465BB8">
      <w:pPr>
        <w:pStyle w:val="AERbulletlistfirststyle"/>
      </w:pPr>
      <w:proofErr w:type="spellStart"/>
      <w:r>
        <w:t>Ausgrid's</w:t>
      </w:r>
      <w:proofErr w:type="spellEnd"/>
      <w:r w:rsidRPr="00465BB8">
        <w:t xml:space="preserve"> network would be divided into four feeder types (CBD, urban, short rural and long rural). </w:t>
      </w:r>
    </w:p>
    <w:p w:rsidR="00465BB8" w:rsidRPr="00465BB8" w:rsidRDefault="00465BB8" w:rsidP="00465BB8">
      <w:pPr>
        <w:pStyle w:val="AERbulletlistfirststyle"/>
      </w:pPr>
      <w:proofErr w:type="gramStart"/>
      <w:r>
        <w:t>w</w:t>
      </w:r>
      <w:r w:rsidRPr="00465BB8">
        <w:t>e</w:t>
      </w:r>
      <w:proofErr w:type="gramEnd"/>
      <w:r w:rsidRPr="00465BB8">
        <w:t xml:space="preserve"> </w:t>
      </w:r>
      <w:r w:rsidR="00ED518A">
        <w:t>would</w:t>
      </w:r>
      <w:r w:rsidR="00ED518A" w:rsidRPr="00465BB8">
        <w:t xml:space="preserve"> </w:t>
      </w:r>
      <w:r w:rsidRPr="00465BB8">
        <w:t xml:space="preserve">apply the telephone answering parameter under the customer service component to the </w:t>
      </w:r>
      <w:proofErr w:type="spellStart"/>
      <w:r w:rsidR="00BA39D5">
        <w:t>Ausgrid</w:t>
      </w:r>
      <w:proofErr w:type="spellEnd"/>
      <w:r w:rsidR="00781BBE" w:rsidRPr="00465BB8">
        <w:t xml:space="preserve"> </w:t>
      </w:r>
      <w:r w:rsidRPr="00465BB8">
        <w:t xml:space="preserve">in the 2015–19 regulatory control period. </w:t>
      </w:r>
    </w:p>
    <w:p w:rsidR="00465BB8" w:rsidRPr="00465BB8" w:rsidRDefault="00465BB8" w:rsidP="00465BB8">
      <w:pPr>
        <w:pStyle w:val="AERbulletlistfirststyle"/>
      </w:pPr>
      <w:proofErr w:type="gramStart"/>
      <w:r>
        <w:t>we</w:t>
      </w:r>
      <w:proofErr w:type="gramEnd"/>
      <w:r>
        <w:t xml:space="preserve"> would not apply the GSL component of the STPIS to </w:t>
      </w:r>
      <w:proofErr w:type="spellStart"/>
      <w:r w:rsidR="00BA39D5">
        <w:t>Ausgrid</w:t>
      </w:r>
      <w:proofErr w:type="spellEnd"/>
      <w:r>
        <w:t xml:space="preserve"> while the jurisdictional GSL scheme remains in place. </w:t>
      </w:r>
    </w:p>
    <w:p w:rsidR="00465BB8" w:rsidRDefault="00ED518A" w:rsidP="00465BB8">
      <w:pPr>
        <w:numPr>
          <w:ilvl w:val="0"/>
          <w:numId w:val="25"/>
        </w:numPr>
      </w:pPr>
      <w:r>
        <w:t xml:space="preserve">We did not receive any submissions objecting our draft and F&amp;A positions in relation to these issue and we will not depart from the above position in this final decision. </w:t>
      </w:r>
    </w:p>
    <w:p w:rsidR="007B186E" w:rsidRDefault="00465BB8" w:rsidP="001754EE">
      <w:pPr>
        <w:pStyle w:val="Heading3"/>
      </w:pPr>
      <w:bookmarkStart w:id="27" w:name="_Toc417914689"/>
      <w:r>
        <w:t>Revenue at risk</w:t>
      </w:r>
      <w:bookmarkEnd w:id="27"/>
      <w:r w:rsidR="007D456E">
        <w:t xml:space="preserve"> </w:t>
      </w:r>
    </w:p>
    <w:p w:rsidR="00465BB8" w:rsidRDefault="00465BB8" w:rsidP="00465BB8">
      <w:pPr>
        <w:numPr>
          <w:ilvl w:val="0"/>
          <w:numId w:val="25"/>
        </w:numPr>
      </w:pPr>
      <w:r>
        <w:t xml:space="preserve">Revenue at risk caps the potential rewards and penalties that </w:t>
      </w:r>
      <w:proofErr w:type="spellStart"/>
      <w:r>
        <w:t>Ausgrid</w:t>
      </w:r>
      <w:proofErr w:type="spellEnd"/>
      <w:r>
        <w:t xml:space="preserve"> would receive under the scheme. The STPIS allows us to vary the revenue at risk where this would satisfy the objectives of the scheme. In setting the revenue at risk, we must take into account the benefits to consumers that are likely to result from the scheme, </w:t>
      </w:r>
      <w:r w:rsidR="000A2832">
        <w:t xml:space="preserve">and </w:t>
      </w:r>
      <w:r>
        <w:t xml:space="preserve">in particular, that the benefits are sufficient to warrant any reward or penalty under the scheme for the </w:t>
      </w:r>
      <w:r w:rsidR="00781BBE">
        <w:t>distributors</w:t>
      </w:r>
      <w:r>
        <w:t xml:space="preserve">.  </w:t>
      </w:r>
    </w:p>
    <w:p w:rsidR="00465BB8" w:rsidRDefault="00E246E0" w:rsidP="00465BB8">
      <w:pPr>
        <w:numPr>
          <w:ilvl w:val="0"/>
          <w:numId w:val="25"/>
        </w:numPr>
      </w:pPr>
      <w:proofErr w:type="spellStart"/>
      <w:r>
        <w:t>Ausgrid</w:t>
      </w:r>
      <w:proofErr w:type="spellEnd"/>
      <w:r w:rsidR="00465BB8">
        <w:t xml:space="preserve"> proposed to</w:t>
      </w:r>
      <w:r w:rsidR="00465BB8" w:rsidRPr="00E61BD1">
        <w:t xml:space="preserve"> </w:t>
      </w:r>
      <w:r w:rsidR="00465BB8">
        <w:t>apply a</w:t>
      </w:r>
      <w:r w:rsidR="00465BB8" w:rsidRPr="00E61BD1">
        <w:t xml:space="preserve"> revenue at risk of ±2.5 per cent</w:t>
      </w:r>
      <w:r w:rsidR="00465BB8">
        <w:t xml:space="preserve">. Within this there will be a cap of </w:t>
      </w:r>
      <w:r w:rsidR="00465BB8" w:rsidRPr="00E73EFA">
        <w:t>±</w:t>
      </w:r>
      <w:r w:rsidR="00465BB8">
        <w:t xml:space="preserve">2.25 per cent for the reliability of supply component and </w:t>
      </w:r>
      <w:r w:rsidR="00465BB8" w:rsidRPr="00E73EFA">
        <w:t>±</w:t>
      </w:r>
      <w:r w:rsidR="00465BB8">
        <w:t>0.25 per cent for the customer service component.</w:t>
      </w:r>
      <w:r w:rsidR="00465BB8">
        <w:rPr>
          <w:rStyle w:val="FootnoteReference"/>
        </w:rPr>
        <w:footnoteReference w:id="17"/>
      </w:r>
      <w:r w:rsidR="00465BB8">
        <w:t xml:space="preserve"> </w:t>
      </w:r>
      <w:r w:rsidR="00712620">
        <w:rPr>
          <w:rFonts w:hint="eastAsia"/>
        </w:rPr>
        <w:t xml:space="preserve">We accepted </w:t>
      </w:r>
      <w:proofErr w:type="spellStart"/>
      <w:r w:rsidR="00465BB8">
        <w:t>Ausgrid's</w:t>
      </w:r>
      <w:proofErr w:type="spellEnd"/>
      <w:r w:rsidR="00465BB8">
        <w:t xml:space="preserve"> proposal </w:t>
      </w:r>
      <w:r w:rsidR="00712620">
        <w:rPr>
          <w:rFonts w:hint="eastAsia"/>
        </w:rPr>
        <w:t>in the draft decision</w:t>
      </w:r>
      <w:r w:rsidR="00465BB8">
        <w:t>. We consider</w:t>
      </w:r>
      <w:r w:rsidR="00712620">
        <w:rPr>
          <w:rFonts w:hint="eastAsia"/>
        </w:rPr>
        <w:t>ed</w:t>
      </w:r>
      <w:r w:rsidR="00465BB8">
        <w:t xml:space="preserve"> this lower powered incentive would balance the risk to both consumers and </w:t>
      </w:r>
      <w:proofErr w:type="spellStart"/>
      <w:r w:rsidR="00465BB8">
        <w:t>Ausgrid</w:t>
      </w:r>
      <w:proofErr w:type="spellEnd"/>
      <w:r w:rsidR="00465BB8">
        <w:t xml:space="preserve"> and thus better meet the objectives of the STPIS.</w:t>
      </w:r>
      <w:r w:rsidR="00F4478D">
        <w:rPr>
          <w:rStyle w:val="FootnoteReference"/>
        </w:rPr>
        <w:footnoteReference w:id="18"/>
      </w:r>
      <w:r w:rsidR="00712620">
        <w:rPr>
          <w:rFonts w:hint="eastAsia"/>
        </w:rPr>
        <w:t xml:space="preserve"> </w:t>
      </w:r>
      <w:r w:rsidR="00465BB8">
        <w:t xml:space="preserve"> </w:t>
      </w:r>
      <w:proofErr w:type="spellStart"/>
      <w:r w:rsidR="00761A79">
        <w:rPr>
          <w:rFonts w:hint="eastAsia"/>
        </w:rPr>
        <w:t>Ausgrid</w:t>
      </w:r>
      <w:proofErr w:type="spellEnd"/>
      <w:r w:rsidR="00761A79">
        <w:rPr>
          <w:rFonts w:hint="eastAsia"/>
        </w:rPr>
        <w:t xml:space="preserve"> did not propose </w:t>
      </w:r>
      <w:r>
        <w:t>alternative</w:t>
      </w:r>
      <w:r w:rsidR="00761A79">
        <w:rPr>
          <w:rFonts w:hint="eastAsia"/>
        </w:rPr>
        <w:t xml:space="preserve"> revenue at risk in the revised </w:t>
      </w:r>
      <w:proofErr w:type="gramStart"/>
      <w:r w:rsidR="00761A79">
        <w:rPr>
          <w:rFonts w:hint="eastAsia"/>
        </w:rPr>
        <w:t>proposal,</w:t>
      </w:r>
      <w:proofErr w:type="gramEnd"/>
      <w:r w:rsidR="00761A79">
        <w:rPr>
          <w:rFonts w:hint="eastAsia"/>
        </w:rPr>
        <w:t xml:space="preserve"> therefore we maintain this view in this final decision.</w:t>
      </w:r>
      <w:r w:rsidR="00761A79">
        <w:rPr>
          <w:rStyle w:val="FootnoteReference"/>
        </w:rPr>
        <w:footnoteReference w:id="19"/>
      </w:r>
    </w:p>
    <w:p w:rsidR="00736D86" w:rsidRPr="00736D86" w:rsidRDefault="00736D86" w:rsidP="00736D86">
      <w:pPr>
        <w:numPr>
          <w:ilvl w:val="0"/>
          <w:numId w:val="25"/>
        </w:numPr>
      </w:pPr>
      <w:r w:rsidRPr="00736D86">
        <w:t>The Energy Users Association of Australia (EUAA) recommended that we should apply an asymmetrical incentive of +1 per cent to -3 per cent. It considered such asymmetrical incentive is needed to take account of the networks' excess capacity and would more appropriately balance the risks to both consumers and the distributors.</w:t>
      </w:r>
      <w:r w:rsidRPr="00736D86">
        <w:rPr>
          <w:rStyle w:val="FootnoteReference"/>
        </w:rPr>
        <w:footnoteReference w:id="20"/>
      </w:r>
      <w:r w:rsidRPr="00736D86">
        <w:t xml:space="preserve"> </w:t>
      </w:r>
      <w:r w:rsidRPr="00736D86">
        <w:lastRenderedPageBreak/>
        <w:t>We note the s-factor component in the STPIS scheme specifies a symmetrical incentive framework.</w:t>
      </w:r>
      <w:r w:rsidRPr="00736D86">
        <w:rPr>
          <w:rStyle w:val="FootnoteReference"/>
        </w:rPr>
        <w:footnoteReference w:id="21"/>
      </w:r>
      <w:r w:rsidRPr="00736D86">
        <w:t xml:space="preserve"> Hence, we cannot apply an asymmetrical incentive under the current scheme. When we next review the design of STPIS, we shall also review this aspect of the scheme design.    </w:t>
      </w:r>
    </w:p>
    <w:p w:rsidR="00465BB8" w:rsidRDefault="00465BB8" w:rsidP="00230C9F">
      <w:pPr>
        <w:pStyle w:val="Heading3"/>
      </w:pPr>
      <w:bookmarkStart w:id="28" w:name="_Ref399168566"/>
      <w:bookmarkStart w:id="29" w:name="_Toc404362399"/>
      <w:bookmarkStart w:id="30" w:name="_Toc417914690"/>
      <w:r w:rsidRPr="00230C9F">
        <w:t>Reliability</w:t>
      </w:r>
      <w:r>
        <w:t xml:space="preserve"> of supply component</w:t>
      </w:r>
      <w:bookmarkEnd w:id="28"/>
      <w:bookmarkEnd w:id="29"/>
      <w:bookmarkEnd w:id="30"/>
    </w:p>
    <w:p w:rsidR="00465BB8" w:rsidRPr="008B0A32" w:rsidRDefault="00465BB8" w:rsidP="00465BB8">
      <w:r>
        <w:t xml:space="preserve">We will apply unplanned SAIDI and unplanned SAIFI parameters </w:t>
      </w:r>
      <w:r w:rsidRPr="008B0A32">
        <w:t>under the reliability of supply component</w:t>
      </w:r>
      <w:r>
        <w:t xml:space="preserve"> to </w:t>
      </w:r>
      <w:proofErr w:type="spellStart"/>
      <w:r>
        <w:t>Ausgrid</w:t>
      </w:r>
      <w:proofErr w:type="spellEnd"/>
      <w:r>
        <w:t xml:space="preserve"> </w:t>
      </w:r>
      <w:r w:rsidRPr="008B0A32">
        <w:t xml:space="preserve">for the 2015–19 regulatory control </w:t>
      </w:r>
      <w:proofErr w:type="gramStart"/>
      <w:r w:rsidRPr="008B0A32">
        <w:t>period</w:t>
      </w:r>
      <w:proofErr w:type="gramEnd"/>
      <w:r w:rsidRPr="008B0A32">
        <w:t>.</w:t>
      </w:r>
      <w:r>
        <w:t xml:space="preserve"> Unplanned SAIDI measures the sum of the duration of each unplanned sustained customer interruption (in minutes) divided by the total number of distribution customers. Unplanned SAIFI measures the total number of unplanned sustained customer interruptions divided by the total number of distribution customers. </w:t>
      </w:r>
    </w:p>
    <w:p w:rsidR="00465BB8" w:rsidRDefault="00DF2B54" w:rsidP="007153DE">
      <w:pPr>
        <w:pStyle w:val="HeadingBoldBlue"/>
      </w:pPr>
      <w:r>
        <w:t xml:space="preserve">Major Event Day </w:t>
      </w:r>
      <w:r w:rsidR="00465BB8">
        <w:t>exclusions</w:t>
      </w:r>
    </w:p>
    <w:p w:rsidR="00465BB8" w:rsidRDefault="00465BB8" w:rsidP="00465BB8">
      <w:pPr>
        <w:numPr>
          <w:ilvl w:val="0"/>
          <w:numId w:val="25"/>
        </w:numPr>
      </w:pPr>
      <w:r>
        <w:t xml:space="preserve">The STPIS allows certain events to be excluded from the calculation of the s-factor revenue adjustment. These exclusions include the events that are beyond the control of </w:t>
      </w:r>
      <w:proofErr w:type="spellStart"/>
      <w:r>
        <w:t>Ausgrid</w:t>
      </w:r>
      <w:proofErr w:type="spellEnd"/>
      <w:r>
        <w:t xml:space="preserve">, such as the effects of transmission network outages and other upstream events. They also exclude the effects of extreme weather events that have the potential to significantly affect </w:t>
      </w:r>
      <w:proofErr w:type="spellStart"/>
      <w:r>
        <w:t>Ausgrid's</w:t>
      </w:r>
      <w:proofErr w:type="spellEnd"/>
      <w:r>
        <w:t xml:space="preserve"> STPIS performance. </w:t>
      </w:r>
    </w:p>
    <w:p w:rsidR="00465BB8" w:rsidRDefault="004D6967" w:rsidP="00465BB8">
      <w:pPr>
        <w:numPr>
          <w:ilvl w:val="0"/>
          <w:numId w:val="25"/>
        </w:numPr>
      </w:pPr>
      <w:r>
        <w:rPr>
          <w:rFonts w:hint="eastAsia"/>
        </w:rPr>
        <w:t xml:space="preserve">We </w:t>
      </w:r>
      <w:r w:rsidR="00A10F58">
        <w:rPr>
          <w:rFonts w:hint="eastAsia"/>
        </w:rPr>
        <w:t xml:space="preserve">accepted </w:t>
      </w:r>
      <w:proofErr w:type="spellStart"/>
      <w:r w:rsidR="00465BB8">
        <w:t>Ausgrid</w:t>
      </w:r>
      <w:r w:rsidR="00A10F58">
        <w:rPr>
          <w:rFonts w:hint="eastAsia"/>
        </w:rPr>
        <w:t>'s</w:t>
      </w:r>
      <w:proofErr w:type="spellEnd"/>
      <w:r w:rsidR="00A10F58">
        <w:t xml:space="preserve"> propos</w:t>
      </w:r>
      <w:r w:rsidR="00A10F58">
        <w:rPr>
          <w:rFonts w:hint="eastAsia"/>
        </w:rPr>
        <w:t>al</w:t>
      </w:r>
      <w:r w:rsidR="00465BB8">
        <w:t xml:space="preserve"> to calculate MED thresholds using 2.5 beta </w:t>
      </w:r>
      <w:proofErr w:type="gramStart"/>
      <w:r w:rsidR="00465BB8">
        <w:t>method</w:t>
      </w:r>
      <w:proofErr w:type="gramEnd"/>
      <w:r w:rsidR="00465BB8">
        <w:t xml:space="preserve"> in accordance with appendix D of the STPIS</w:t>
      </w:r>
      <w:r w:rsidR="00A10F58">
        <w:rPr>
          <w:rFonts w:hint="eastAsia"/>
        </w:rPr>
        <w:t xml:space="preserve"> in the draft decision</w:t>
      </w:r>
      <w:r w:rsidR="00465BB8">
        <w:t xml:space="preserve">. </w:t>
      </w:r>
      <w:proofErr w:type="spellStart"/>
      <w:r w:rsidR="00A10F58">
        <w:rPr>
          <w:rFonts w:hint="eastAsia"/>
        </w:rPr>
        <w:t>Ausgrid</w:t>
      </w:r>
      <w:proofErr w:type="spellEnd"/>
      <w:r w:rsidR="00A10F58">
        <w:rPr>
          <w:rFonts w:hint="eastAsia"/>
        </w:rPr>
        <w:t xml:space="preserve"> did not propose </w:t>
      </w:r>
      <w:r w:rsidR="00E246E0">
        <w:t xml:space="preserve">an </w:t>
      </w:r>
      <w:r w:rsidR="00A10F58">
        <w:rPr>
          <w:rFonts w:hint="eastAsia"/>
        </w:rPr>
        <w:t xml:space="preserve">alternative method in the revised </w:t>
      </w:r>
      <w:proofErr w:type="gramStart"/>
      <w:r w:rsidR="00A10F58">
        <w:rPr>
          <w:rFonts w:hint="eastAsia"/>
        </w:rPr>
        <w:t>proposal,</w:t>
      </w:r>
      <w:proofErr w:type="gramEnd"/>
      <w:r w:rsidR="00A10F58">
        <w:rPr>
          <w:rFonts w:hint="eastAsia"/>
        </w:rPr>
        <w:t xml:space="preserve"> therefore we maintain this view in this final decision.</w:t>
      </w:r>
      <w:r w:rsidR="00A10F58">
        <w:rPr>
          <w:rStyle w:val="FootnoteReference"/>
        </w:rPr>
        <w:footnoteReference w:id="22"/>
      </w:r>
      <w:r w:rsidR="00A10F58">
        <w:rPr>
          <w:rFonts w:hint="eastAsia"/>
        </w:rPr>
        <w:t xml:space="preserve"> </w:t>
      </w:r>
      <w:r w:rsidR="00465BB8">
        <w:fldChar w:fldCharType="begin"/>
      </w:r>
      <w:r w:rsidR="00465BB8">
        <w:instrText xml:space="preserve"> REF _Ref401742895 \h </w:instrText>
      </w:r>
      <w:r w:rsidR="00465BB8">
        <w:fldChar w:fldCharType="separate"/>
      </w:r>
      <w:r w:rsidR="009B5A19">
        <w:t xml:space="preserve">Table </w:t>
      </w:r>
      <w:r w:rsidR="009B5A19">
        <w:rPr>
          <w:noProof/>
        </w:rPr>
        <w:t>11</w:t>
      </w:r>
      <w:r w:rsidR="009B5A19" w:rsidRPr="00465BB8">
        <w:t>-</w:t>
      </w:r>
      <w:r w:rsidR="009B5A19">
        <w:rPr>
          <w:noProof/>
        </w:rPr>
        <w:t>3</w:t>
      </w:r>
      <w:r w:rsidR="00465BB8">
        <w:fldChar w:fldCharType="end"/>
      </w:r>
      <w:r w:rsidR="00465BB8">
        <w:t xml:space="preserve"> sets out our calculated MED thresholds calculated in accordance with Appendix D of the STPIS.</w:t>
      </w:r>
    </w:p>
    <w:p w:rsidR="00465BB8" w:rsidRDefault="00465BB8" w:rsidP="00465BB8">
      <w:pPr>
        <w:pStyle w:val="Caption"/>
      </w:pPr>
      <w:bookmarkStart w:id="31" w:name="_Ref401742895"/>
      <w:r>
        <w:t xml:space="preserve">Table </w:t>
      </w:r>
      <w:r w:rsidRPr="00465BB8">
        <w:fldChar w:fldCharType="begin"/>
      </w:r>
      <w:r>
        <w:instrText xml:space="preserve"> STYLEREF 1 \s </w:instrText>
      </w:r>
      <w:r w:rsidRPr="00465BB8">
        <w:fldChar w:fldCharType="separate"/>
      </w:r>
      <w:r w:rsidR="009B5A19">
        <w:rPr>
          <w:noProof/>
        </w:rPr>
        <w:t>11</w:t>
      </w:r>
      <w:r w:rsidRPr="00465BB8">
        <w:fldChar w:fldCharType="end"/>
      </w:r>
      <w:r w:rsidRPr="00465BB8">
        <w:t>-</w:t>
      </w:r>
      <w:r w:rsidRPr="00465BB8">
        <w:fldChar w:fldCharType="begin"/>
      </w:r>
      <w:r>
        <w:instrText xml:space="preserve"> SEQ Table \* ARABIC \s 1 </w:instrText>
      </w:r>
      <w:r w:rsidRPr="00465BB8">
        <w:fldChar w:fldCharType="separate"/>
      </w:r>
      <w:r w:rsidR="009B5A19">
        <w:rPr>
          <w:noProof/>
        </w:rPr>
        <w:t>3</w:t>
      </w:r>
      <w:r w:rsidRPr="00465BB8">
        <w:fldChar w:fldCharType="end"/>
      </w:r>
      <w:bookmarkEnd w:id="31"/>
      <w:r>
        <w:tab/>
        <w:t>MED thresholds (T</w:t>
      </w:r>
      <w:r w:rsidRPr="00D853BE">
        <w:rPr>
          <w:rStyle w:val="AERsubscript"/>
        </w:rPr>
        <w:t>MED</w:t>
      </w:r>
      <w:r>
        <w:t>)</w:t>
      </w:r>
      <w:r w:rsidR="00A10F58">
        <w:rPr>
          <w:rFonts w:hint="eastAsia"/>
        </w:rPr>
        <w:t xml:space="preserve"> for </w:t>
      </w:r>
      <w:proofErr w:type="spellStart"/>
      <w:r w:rsidR="00A10F58">
        <w:rPr>
          <w:rFonts w:hint="eastAsia"/>
        </w:rPr>
        <w:t>Ausgrid</w:t>
      </w:r>
      <w:proofErr w:type="spellEnd"/>
    </w:p>
    <w:tbl>
      <w:tblPr>
        <w:tblStyle w:val="AERtable-numbers"/>
        <w:tblW w:w="0" w:type="auto"/>
        <w:tblLook w:val="04A0" w:firstRow="1" w:lastRow="0" w:firstColumn="1" w:lastColumn="0" w:noHBand="0" w:noVBand="1"/>
      </w:tblPr>
      <w:tblGrid>
        <w:gridCol w:w="4362"/>
        <w:gridCol w:w="4331"/>
      </w:tblGrid>
      <w:tr w:rsidR="00465BB8" w:rsidTr="00465B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65BB8" w:rsidRPr="00465BB8" w:rsidRDefault="00465BB8" w:rsidP="00465BB8">
            <w:r w:rsidRPr="00D74827">
              <w:t>Regulatory year</w:t>
            </w:r>
          </w:p>
        </w:tc>
        <w:tc>
          <w:tcPr>
            <w:tcW w:w="4621" w:type="dxa"/>
          </w:tcPr>
          <w:p w:rsidR="00465BB8" w:rsidRPr="00465BB8" w:rsidRDefault="00465BB8" w:rsidP="00465BB8">
            <w:pPr>
              <w:cnfStyle w:val="100000000000" w:firstRow="1" w:lastRow="0" w:firstColumn="0" w:lastColumn="0" w:oddVBand="0" w:evenVBand="0" w:oddHBand="0" w:evenHBand="0" w:firstRowFirstColumn="0" w:firstRowLastColumn="0" w:lastRowFirstColumn="0" w:lastRowLastColumn="0"/>
            </w:pPr>
            <w:r w:rsidRPr="00D74827">
              <w:t>T</w:t>
            </w:r>
            <w:r w:rsidRPr="00465BB8">
              <w:rPr>
                <w:rStyle w:val="AERsubscript"/>
              </w:rPr>
              <w:t>MED</w:t>
            </w:r>
          </w:p>
        </w:tc>
      </w:tr>
      <w:tr w:rsidR="00465BB8" w:rsidTr="00465BB8">
        <w:tc>
          <w:tcPr>
            <w:cnfStyle w:val="001000000000" w:firstRow="0" w:lastRow="0" w:firstColumn="1" w:lastColumn="0" w:oddVBand="0" w:evenVBand="0" w:oddHBand="0" w:evenHBand="0" w:firstRowFirstColumn="0" w:firstRowLastColumn="0" w:lastRowFirstColumn="0" w:lastRowLastColumn="0"/>
            <w:tcW w:w="4621" w:type="dxa"/>
          </w:tcPr>
          <w:p w:rsidR="00465BB8" w:rsidRPr="00465BB8" w:rsidRDefault="00465BB8" w:rsidP="00465BB8">
            <w:r w:rsidRPr="00D74827">
              <w:t>2009/10</w:t>
            </w:r>
          </w:p>
        </w:tc>
        <w:tc>
          <w:tcPr>
            <w:tcW w:w="4621" w:type="dxa"/>
          </w:tcPr>
          <w:p w:rsidR="00465BB8" w:rsidRPr="00465BB8" w:rsidRDefault="00465BB8" w:rsidP="00465BB8">
            <w:pPr>
              <w:cnfStyle w:val="000000000000" w:firstRow="0" w:lastRow="0" w:firstColumn="0" w:lastColumn="0" w:oddVBand="0" w:evenVBand="0" w:oddHBand="0" w:evenHBand="0" w:firstRowFirstColumn="0" w:firstRowLastColumn="0" w:lastRowFirstColumn="0" w:lastRowLastColumn="0"/>
            </w:pPr>
            <w:r w:rsidRPr="00D74827">
              <w:t>3.745</w:t>
            </w:r>
          </w:p>
        </w:tc>
      </w:tr>
      <w:tr w:rsidR="00465BB8" w:rsidTr="00465B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65BB8" w:rsidRPr="00465BB8" w:rsidRDefault="00465BB8" w:rsidP="00465BB8">
            <w:r w:rsidRPr="00D74827">
              <w:t>2010/11</w:t>
            </w:r>
          </w:p>
        </w:tc>
        <w:tc>
          <w:tcPr>
            <w:tcW w:w="4621" w:type="dxa"/>
          </w:tcPr>
          <w:p w:rsidR="00465BB8" w:rsidRPr="00465BB8" w:rsidRDefault="00465BB8" w:rsidP="00465BB8">
            <w:pPr>
              <w:cnfStyle w:val="000000010000" w:firstRow="0" w:lastRow="0" w:firstColumn="0" w:lastColumn="0" w:oddVBand="0" w:evenVBand="0" w:oddHBand="0" w:evenHBand="1" w:firstRowFirstColumn="0" w:firstRowLastColumn="0" w:lastRowFirstColumn="0" w:lastRowLastColumn="0"/>
            </w:pPr>
            <w:r w:rsidRPr="00D74827">
              <w:t>3.345</w:t>
            </w:r>
          </w:p>
        </w:tc>
      </w:tr>
      <w:tr w:rsidR="00465BB8" w:rsidTr="00465BB8">
        <w:tc>
          <w:tcPr>
            <w:cnfStyle w:val="001000000000" w:firstRow="0" w:lastRow="0" w:firstColumn="1" w:lastColumn="0" w:oddVBand="0" w:evenVBand="0" w:oddHBand="0" w:evenHBand="0" w:firstRowFirstColumn="0" w:firstRowLastColumn="0" w:lastRowFirstColumn="0" w:lastRowLastColumn="0"/>
            <w:tcW w:w="4621" w:type="dxa"/>
          </w:tcPr>
          <w:p w:rsidR="00465BB8" w:rsidRPr="00465BB8" w:rsidRDefault="00465BB8" w:rsidP="00465BB8">
            <w:r w:rsidRPr="00D74827">
              <w:t>2011/12</w:t>
            </w:r>
          </w:p>
        </w:tc>
        <w:tc>
          <w:tcPr>
            <w:tcW w:w="4621" w:type="dxa"/>
          </w:tcPr>
          <w:p w:rsidR="00465BB8" w:rsidRPr="00465BB8" w:rsidRDefault="00465BB8" w:rsidP="00465BB8">
            <w:pPr>
              <w:cnfStyle w:val="000000000000" w:firstRow="0" w:lastRow="0" w:firstColumn="0" w:lastColumn="0" w:oddVBand="0" w:evenVBand="0" w:oddHBand="0" w:evenHBand="0" w:firstRowFirstColumn="0" w:firstRowLastColumn="0" w:lastRowFirstColumn="0" w:lastRowLastColumn="0"/>
            </w:pPr>
            <w:r w:rsidRPr="00D74827">
              <w:t>3.181</w:t>
            </w:r>
          </w:p>
        </w:tc>
      </w:tr>
      <w:tr w:rsidR="00465BB8" w:rsidTr="00465B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65BB8" w:rsidRPr="00465BB8" w:rsidRDefault="00465BB8" w:rsidP="00465BB8">
            <w:r w:rsidRPr="00D74827">
              <w:lastRenderedPageBreak/>
              <w:t>2012/13</w:t>
            </w:r>
          </w:p>
        </w:tc>
        <w:tc>
          <w:tcPr>
            <w:tcW w:w="4621" w:type="dxa"/>
          </w:tcPr>
          <w:p w:rsidR="00465BB8" w:rsidRPr="00465BB8" w:rsidRDefault="00465BB8" w:rsidP="00465BB8">
            <w:pPr>
              <w:cnfStyle w:val="000000010000" w:firstRow="0" w:lastRow="0" w:firstColumn="0" w:lastColumn="0" w:oddVBand="0" w:evenVBand="0" w:oddHBand="0" w:evenHBand="1" w:firstRowFirstColumn="0" w:firstRowLastColumn="0" w:lastRowFirstColumn="0" w:lastRowLastColumn="0"/>
            </w:pPr>
            <w:r w:rsidRPr="00D74827">
              <w:t>2.714</w:t>
            </w:r>
          </w:p>
        </w:tc>
      </w:tr>
      <w:tr w:rsidR="00465BB8" w:rsidTr="00465BB8">
        <w:tc>
          <w:tcPr>
            <w:cnfStyle w:val="001000000000" w:firstRow="0" w:lastRow="0" w:firstColumn="1" w:lastColumn="0" w:oddVBand="0" w:evenVBand="0" w:oddHBand="0" w:evenHBand="0" w:firstRowFirstColumn="0" w:firstRowLastColumn="0" w:lastRowFirstColumn="0" w:lastRowLastColumn="0"/>
            <w:tcW w:w="4621" w:type="dxa"/>
          </w:tcPr>
          <w:p w:rsidR="00465BB8" w:rsidRPr="00465BB8" w:rsidRDefault="00465BB8" w:rsidP="00465BB8">
            <w:r w:rsidRPr="00D74827">
              <w:t>2013/14</w:t>
            </w:r>
          </w:p>
        </w:tc>
        <w:tc>
          <w:tcPr>
            <w:tcW w:w="4621" w:type="dxa"/>
          </w:tcPr>
          <w:p w:rsidR="00465BB8" w:rsidRPr="00465BB8" w:rsidRDefault="00465BB8" w:rsidP="00A10F58">
            <w:pPr>
              <w:cnfStyle w:val="000000000000" w:firstRow="0" w:lastRow="0" w:firstColumn="0" w:lastColumn="0" w:oddVBand="0" w:evenVBand="0" w:oddHBand="0" w:evenHBand="0" w:firstRowFirstColumn="0" w:firstRowLastColumn="0" w:lastRowFirstColumn="0" w:lastRowLastColumn="0"/>
            </w:pPr>
            <w:r w:rsidRPr="00D74827">
              <w:t>2.6</w:t>
            </w:r>
            <w:r w:rsidR="00A10F58">
              <w:rPr>
                <w:rFonts w:hint="eastAsia"/>
              </w:rPr>
              <w:t>00</w:t>
            </w:r>
          </w:p>
        </w:tc>
      </w:tr>
    </w:tbl>
    <w:p w:rsidR="00465BB8" w:rsidRDefault="00465BB8" w:rsidP="005F396E">
      <w:pPr>
        <w:pStyle w:val="AERtablesource"/>
      </w:pPr>
      <w:r>
        <w:t xml:space="preserve">Source: </w:t>
      </w:r>
      <w:r>
        <w:tab/>
      </w:r>
      <w:proofErr w:type="spellStart"/>
      <w:r w:rsidR="00A10F58">
        <w:t>Ausgrid</w:t>
      </w:r>
      <w:proofErr w:type="spellEnd"/>
      <w:r w:rsidR="00A10F58">
        <w:t xml:space="preserve">, </w:t>
      </w:r>
      <w:r w:rsidR="00A10F58" w:rsidRPr="00477287">
        <w:rPr>
          <w:rStyle w:val="AERtextitalic"/>
        </w:rPr>
        <w:t xml:space="preserve">Attachment 3.02 proposed application of STPIS for the 2014–19 regulatory control </w:t>
      </w:r>
      <w:proofErr w:type="gramStart"/>
      <w:r w:rsidR="00A10F58" w:rsidRPr="00477287">
        <w:rPr>
          <w:rStyle w:val="AERtextitalic"/>
        </w:rPr>
        <w:t>period</w:t>
      </w:r>
      <w:proofErr w:type="gramEnd"/>
      <w:r w:rsidR="00A10F58">
        <w:t>, January 2015, p</w:t>
      </w:r>
      <w:r w:rsidR="00A10F58">
        <w:rPr>
          <w:rFonts w:hint="eastAsia"/>
        </w:rPr>
        <w:t>.</w:t>
      </w:r>
      <w:r w:rsidR="00A13ED4">
        <w:t xml:space="preserve"> </w:t>
      </w:r>
      <w:r w:rsidR="00A10F58">
        <w:rPr>
          <w:rFonts w:hint="eastAsia"/>
        </w:rPr>
        <w:t xml:space="preserve">4 and </w:t>
      </w:r>
      <w:r>
        <w:t>AER analysis</w:t>
      </w:r>
    </w:p>
    <w:p w:rsidR="00465BB8" w:rsidRDefault="00465BB8" w:rsidP="007153DE">
      <w:pPr>
        <w:pStyle w:val="HeadingBoldBlue"/>
      </w:pPr>
      <w:bookmarkStart w:id="32" w:name="_Ref414956502"/>
      <w:r>
        <w:t>Performance targets</w:t>
      </w:r>
      <w:bookmarkEnd w:id="32"/>
    </w:p>
    <w:p w:rsidR="003701FF" w:rsidRDefault="003701FF" w:rsidP="003701FF">
      <w:pPr>
        <w:numPr>
          <w:ilvl w:val="0"/>
          <w:numId w:val="25"/>
        </w:numPr>
      </w:pPr>
      <w:r w:rsidRPr="00311027">
        <w:t xml:space="preserve">Clause 3.2.1(a) of the STPIS states that performance targets for the reliability of supply parameters must be established with reference to average historical performance modified to account for completed or planned reliability improvements and any other factor expected to materially affect network reliability performance. </w:t>
      </w:r>
    </w:p>
    <w:p w:rsidR="00574F6C" w:rsidRDefault="003701FF" w:rsidP="00465BB8">
      <w:pPr>
        <w:numPr>
          <w:ilvl w:val="0"/>
          <w:numId w:val="25"/>
        </w:numPr>
      </w:pPr>
      <w:proofErr w:type="spellStart"/>
      <w:r>
        <w:t>Ausgrid</w:t>
      </w:r>
      <w:proofErr w:type="spellEnd"/>
      <w:r>
        <w:t xml:space="preserve"> is required to meet the minimum network overall reliability standards prescribed in schedule 2 of the NSW licence conditions for electricity distributors.</w:t>
      </w:r>
      <w:r>
        <w:rPr>
          <w:rStyle w:val="FootnoteReference"/>
        </w:rPr>
        <w:footnoteReference w:id="23"/>
      </w:r>
      <w:r>
        <w:t xml:space="preserve">  We noted </w:t>
      </w:r>
      <w:proofErr w:type="spellStart"/>
      <w:r>
        <w:t>Ausgrid's</w:t>
      </w:r>
      <w:proofErr w:type="spellEnd"/>
      <w:r>
        <w:t xml:space="preserve"> current performance level is better than these prescribed minimum requirement. </w:t>
      </w:r>
      <w:r w:rsidRPr="00733C04">
        <w:t xml:space="preserve">The </w:t>
      </w:r>
      <w:r>
        <w:t>NSW licence conditions indicate</w:t>
      </w:r>
      <w:r w:rsidRPr="00733C04">
        <w:t xml:space="preserve"> that</w:t>
      </w:r>
      <w:r>
        <w:t xml:space="preserve"> t</w:t>
      </w:r>
      <w:r w:rsidRPr="00E64211">
        <w:t xml:space="preserve">he </w:t>
      </w:r>
      <w:r w:rsidR="00781BBE">
        <w:t>distributor</w:t>
      </w:r>
      <w:r w:rsidRPr="00E64211">
        <w:t xml:space="preserve"> has discretion to plan its investment for compliance with these licence conditions to suit its individual circumstances</w:t>
      </w:r>
      <w:r>
        <w:t xml:space="preserve"> if it is economically efficient to do so</w:t>
      </w:r>
      <w:r w:rsidRPr="00E64211">
        <w:t>.</w:t>
      </w:r>
      <w:r>
        <w:rPr>
          <w:rStyle w:val="FootnoteReference"/>
        </w:rPr>
        <w:footnoteReference w:id="24"/>
      </w:r>
    </w:p>
    <w:p w:rsidR="00390AB3" w:rsidRDefault="003701FF" w:rsidP="00465BB8">
      <w:pPr>
        <w:numPr>
          <w:ilvl w:val="0"/>
          <w:numId w:val="25"/>
        </w:numPr>
      </w:pPr>
      <w:r>
        <w:t xml:space="preserve">In the draft decision, we proposed to </w:t>
      </w:r>
      <w:r w:rsidR="00465BB8">
        <w:t>use historical data for the 2009</w:t>
      </w:r>
      <w:r w:rsidR="00465BB8" w:rsidRPr="00465BB8">
        <w:t>–</w:t>
      </w:r>
      <w:r w:rsidR="00465BB8">
        <w:t>10 to 2013</w:t>
      </w:r>
      <w:r w:rsidR="00465BB8" w:rsidRPr="00465BB8">
        <w:t>–</w:t>
      </w:r>
      <w:r w:rsidR="00465BB8">
        <w:t>14 regulatory years as the base to forecast service performance</w:t>
      </w:r>
      <w:r>
        <w:t xml:space="preserve"> </w:t>
      </w:r>
      <w:r w:rsidR="00F06BC2" w:rsidRPr="00311027">
        <w:t>and adjusted for the results of completed and planned reliability improvement</w:t>
      </w:r>
      <w:r w:rsidR="00F06BC2">
        <w:t>. We noted a</w:t>
      </w:r>
      <w:r w:rsidR="00F06BC2" w:rsidRPr="001134C4">
        <w:t xml:space="preserve"> key driver of </w:t>
      </w:r>
      <w:r w:rsidR="00F06BC2">
        <w:t xml:space="preserve">the </w:t>
      </w:r>
      <w:proofErr w:type="spellStart"/>
      <w:r w:rsidR="00BA39D5">
        <w:t>Ausgrid</w:t>
      </w:r>
      <w:r w:rsidR="00F06BC2">
        <w:t>'</w:t>
      </w:r>
      <w:r w:rsidR="00BA39D5">
        <w:t>s</w:t>
      </w:r>
      <w:proofErr w:type="spellEnd"/>
      <w:r w:rsidR="00F06BC2">
        <w:t xml:space="preserve"> </w:t>
      </w:r>
      <w:r w:rsidR="00F06BC2" w:rsidRPr="001134C4">
        <w:t xml:space="preserve">expenditure in </w:t>
      </w:r>
      <w:r w:rsidR="00F06BC2">
        <w:t xml:space="preserve">the 2009–14 regulatory control </w:t>
      </w:r>
      <w:proofErr w:type="gramStart"/>
      <w:r w:rsidR="00F06BC2">
        <w:t>period</w:t>
      </w:r>
      <w:proofErr w:type="gramEnd"/>
      <w:r w:rsidR="00F06BC2">
        <w:t xml:space="preserve"> </w:t>
      </w:r>
      <w:r w:rsidR="00F06BC2" w:rsidRPr="001134C4">
        <w:t>was to augment the</w:t>
      </w:r>
      <w:r w:rsidR="00F06BC2">
        <w:t>ir</w:t>
      </w:r>
      <w:r w:rsidR="00F06BC2" w:rsidRPr="001134C4">
        <w:t xml:space="preserve"> network</w:t>
      </w:r>
      <w:r w:rsidR="00F06BC2">
        <w:t>s</w:t>
      </w:r>
      <w:r w:rsidR="00F06BC2" w:rsidRPr="001134C4">
        <w:t xml:space="preserve"> to meet the previous </w:t>
      </w:r>
      <w:r w:rsidR="00F06BC2">
        <w:t xml:space="preserve">N-1 </w:t>
      </w:r>
      <w:r w:rsidR="00F06BC2" w:rsidRPr="001134C4">
        <w:t xml:space="preserve">deterministic </w:t>
      </w:r>
      <w:r w:rsidR="00F06BC2">
        <w:t>planning standard.</w:t>
      </w:r>
      <w:r w:rsidR="00F06BC2" w:rsidRPr="003937C2">
        <w:rPr>
          <w:rStyle w:val="FootnoteReference"/>
        </w:rPr>
        <w:t xml:space="preserve"> </w:t>
      </w:r>
      <w:r w:rsidR="00F06BC2">
        <w:t xml:space="preserve"> </w:t>
      </w:r>
      <w:proofErr w:type="spellStart"/>
      <w:r w:rsidR="00F06BC2">
        <w:t>Ausgrid</w:t>
      </w:r>
      <w:proofErr w:type="spellEnd"/>
      <w:r w:rsidR="00F06BC2">
        <w:t xml:space="preserve"> reported it has spent a total of $1.7–2.1 billion to improve security and reliability of its network during the 2009–14 regulatory control </w:t>
      </w:r>
      <w:proofErr w:type="gramStart"/>
      <w:r w:rsidR="00F06BC2">
        <w:t>period</w:t>
      </w:r>
      <w:proofErr w:type="gramEnd"/>
      <w:r w:rsidR="00F06BC2">
        <w:t xml:space="preserve">. </w:t>
      </w:r>
    </w:p>
    <w:p w:rsidR="003701FF" w:rsidRDefault="00390AB3" w:rsidP="00465BB8">
      <w:pPr>
        <w:numPr>
          <w:ilvl w:val="0"/>
          <w:numId w:val="25"/>
        </w:numPr>
      </w:pPr>
      <w:r w:rsidRPr="001134C4">
        <w:t xml:space="preserve">The application of our STPIS </w:t>
      </w:r>
      <w:r>
        <w:t xml:space="preserve">from 2015–16 onwards </w:t>
      </w:r>
      <w:r w:rsidRPr="001134C4">
        <w:t xml:space="preserve">will ensure that past capital expenditure that resulted in reliability improvements are </w:t>
      </w:r>
      <w:r>
        <w:t xml:space="preserve">retained </w:t>
      </w:r>
      <w:r w:rsidRPr="001134C4">
        <w:t>because customers are paying for such historical investment on an ongoing manner.</w:t>
      </w:r>
      <w:r>
        <w:t xml:space="preserve"> In the absence of reliable expenditure data associated with reliability improvement and a robust method that can precisely quantify the impacts of such investment, we considered it is reasonable to examine </w:t>
      </w:r>
      <w:proofErr w:type="spellStart"/>
      <w:r>
        <w:t>Ausgrid's</w:t>
      </w:r>
      <w:proofErr w:type="spellEnd"/>
      <w:r>
        <w:t xml:space="preserve"> observed historical reliability performance and modify the performance targets based on the observed trends.</w:t>
      </w:r>
    </w:p>
    <w:p w:rsidR="006F23BA" w:rsidRDefault="00390AB3" w:rsidP="00390AB3">
      <w:pPr>
        <w:pStyle w:val="ListParagraph"/>
        <w:numPr>
          <w:ilvl w:val="0"/>
          <w:numId w:val="25"/>
        </w:numPr>
      </w:pPr>
      <w:r>
        <w:t>W</w:t>
      </w:r>
      <w:r w:rsidRPr="00390AB3">
        <w:t xml:space="preserve">e used </w:t>
      </w:r>
      <w:proofErr w:type="spellStart"/>
      <w:r w:rsidRPr="00390AB3">
        <w:t>Ausgrid's</w:t>
      </w:r>
      <w:proofErr w:type="spellEnd"/>
      <w:r w:rsidRPr="00390AB3">
        <w:t xml:space="preserve"> system SAIDI and SAIFI trends to form the basis of our adjustment</w:t>
      </w:r>
      <w:r>
        <w:t xml:space="preserve"> in the draft decision. This allowed</w:t>
      </w:r>
      <w:r w:rsidRPr="00390AB3">
        <w:t xml:space="preserve"> us to apply modest adjustments to </w:t>
      </w:r>
      <w:proofErr w:type="spellStart"/>
      <w:r w:rsidRPr="00390AB3">
        <w:t>Ausgrid’s</w:t>
      </w:r>
      <w:proofErr w:type="spellEnd"/>
      <w:r w:rsidRPr="00390AB3">
        <w:t xml:space="preserve"> performance targets across all feeder types.</w:t>
      </w:r>
      <w:r w:rsidR="00E246E0" w:rsidRPr="00E246E0">
        <w:rPr>
          <w:rStyle w:val="FootnoteReference"/>
        </w:rPr>
        <w:t xml:space="preserve"> </w:t>
      </w:r>
      <w:r w:rsidR="00E246E0">
        <w:rPr>
          <w:rStyle w:val="FootnoteReference"/>
        </w:rPr>
        <w:footnoteReference w:id="25"/>
      </w:r>
      <w:r>
        <w:t xml:space="preserve"> </w:t>
      </w:r>
      <w:proofErr w:type="spellStart"/>
      <w:r>
        <w:t>Ausgrid</w:t>
      </w:r>
      <w:proofErr w:type="spellEnd"/>
      <w:r>
        <w:t xml:space="preserve"> accepted this method and updated its performance targets in the revised proposal based on the actual data for </w:t>
      </w:r>
      <w:r>
        <w:lastRenderedPageBreak/>
        <w:t>the 2013/14 financial year.</w:t>
      </w:r>
      <w:r>
        <w:rPr>
          <w:rStyle w:val="FootnoteReference"/>
        </w:rPr>
        <w:footnoteReference w:id="26"/>
      </w:r>
      <w:r>
        <w:t xml:space="preserve"> </w:t>
      </w:r>
      <w:r w:rsidR="006F23BA">
        <w:t>The Consumer Challenge Panel (CCP) and the EUAA agreed with our approach of setting the improved performance targets. They consider these adjustments are reasonable and will enable the benefits of the reliability improvement resulting from past capital expenditures to be retained.</w:t>
      </w:r>
      <w:r w:rsidR="006F23BA">
        <w:rPr>
          <w:rStyle w:val="FootnoteReference"/>
        </w:rPr>
        <w:footnoteReference w:id="27"/>
      </w:r>
    </w:p>
    <w:p w:rsidR="00D9420E" w:rsidRDefault="00390AB3" w:rsidP="00390AB3">
      <w:pPr>
        <w:pStyle w:val="ListParagraph"/>
        <w:numPr>
          <w:ilvl w:val="0"/>
          <w:numId w:val="25"/>
        </w:numPr>
      </w:pPr>
      <w:r>
        <w:t xml:space="preserve">We have revised our own analysis using </w:t>
      </w:r>
      <w:proofErr w:type="spellStart"/>
      <w:r>
        <w:t>Ausgrid's</w:t>
      </w:r>
      <w:proofErr w:type="spellEnd"/>
      <w:r>
        <w:t xml:space="preserve"> actual 2013/14 data and </w:t>
      </w:r>
      <w:r w:rsidR="00D9420E">
        <w:t xml:space="preserve">accepted </w:t>
      </w:r>
      <w:proofErr w:type="spellStart"/>
      <w:r w:rsidR="00D9420E">
        <w:t>Ausgrid's</w:t>
      </w:r>
      <w:proofErr w:type="spellEnd"/>
      <w:r w:rsidR="00D9420E">
        <w:t xml:space="preserve"> </w:t>
      </w:r>
      <w:r w:rsidR="00E246E0">
        <w:t>proposed</w:t>
      </w:r>
      <w:r w:rsidR="00D9420E">
        <w:t xml:space="preserve"> adjustment </w:t>
      </w:r>
      <w:r w:rsidR="00E246E0">
        <w:t>in the revised proposal</w:t>
      </w:r>
      <w:r w:rsidR="00A13ED4">
        <w:t xml:space="preserve"> </w:t>
      </w:r>
      <w:r w:rsidR="00D9420E">
        <w:t xml:space="preserve">(see </w:t>
      </w:r>
      <w:r w:rsidR="00D9420E" w:rsidRPr="0078254F">
        <w:fldChar w:fldCharType="begin"/>
      </w:r>
      <w:r w:rsidR="00D9420E" w:rsidRPr="0078254F">
        <w:instrText xml:space="preserve"> REF _Ref400728618 \h  \* MERGEFORMAT </w:instrText>
      </w:r>
      <w:r w:rsidR="00D9420E" w:rsidRPr="0078254F">
        <w:fldChar w:fldCharType="separate"/>
      </w:r>
      <w:r w:rsidR="009B5A19">
        <w:t>Figure 11</w:t>
      </w:r>
      <w:r w:rsidR="009B5A19" w:rsidRPr="00465BB8">
        <w:t>-</w:t>
      </w:r>
      <w:r w:rsidR="009B5A19">
        <w:t>1</w:t>
      </w:r>
      <w:r w:rsidR="00D9420E" w:rsidRPr="0078254F">
        <w:fldChar w:fldCharType="end"/>
      </w:r>
      <w:r w:rsidR="00D9420E">
        <w:t>):</w:t>
      </w:r>
    </w:p>
    <w:p w:rsidR="00D9420E" w:rsidRDefault="00D9420E" w:rsidP="00D9420E">
      <w:pPr>
        <w:pStyle w:val="AERbulletlistfirststyle"/>
      </w:pPr>
      <w:proofErr w:type="gramStart"/>
      <w:r>
        <w:t>t</w:t>
      </w:r>
      <w:r w:rsidRPr="0078254F">
        <w:t>he</w:t>
      </w:r>
      <w:proofErr w:type="gramEnd"/>
      <w:r w:rsidRPr="0078254F">
        <w:t xml:space="preserve"> system SAIDI at the end of the trend line is </w:t>
      </w:r>
      <w:r w:rsidR="00F4478D">
        <w:t>73.61</w:t>
      </w:r>
      <w:r w:rsidRPr="0078254F">
        <w:t xml:space="preserve">, which is </w:t>
      </w:r>
      <w:r w:rsidR="00BD3F83">
        <w:t>8.78</w:t>
      </w:r>
      <w:r w:rsidRPr="0078254F">
        <w:t xml:space="preserve"> per cent lower than the average system SAIDI over the past five regulatory years. Therefore, we have applied </w:t>
      </w:r>
      <w:r w:rsidR="00BD3F83">
        <w:t xml:space="preserve">8.78 </w:t>
      </w:r>
      <w:r w:rsidRPr="0078254F">
        <w:t xml:space="preserve">per cent reduction to the average unplanned SAIDI targets for each of </w:t>
      </w:r>
      <w:proofErr w:type="spellStart"/>
      <w:r w:rsidRPr="0078254F">
        <w:t>Ausgrid's</w:t>
      </w:r>
      <w:proofErr w:type="spellEnd"/>
      <w:r w:rsidRPr="0078254F">
        <w:t xml:space="preserve"> feeder types. </w:t>
      </w:r>
    </w:p>
    <w:p w:rsidR="00390AB3" w:rsidRPr="00390AB3" w:rsidRDefault="00D9420E" w:rsidP="00D9420E">
      <w:pPr>
        <w:pStyle w:val="AERbulletlistfirststyle"/>
      </w:pPr>
      <w:proofErr w:type="gramStart"/>
      <w:r w:rsidRPr="0078254F">
        <w:t>the</w:t>
      </w:r>
      <w:proofErr w:type="gramEnd"/>
      <w:r w:rsidRPr="0078254F">
        <w:t xml:space="preserve"> system SAIFI at the end of the trend line is </w:t>
      </w:r>
      <w:r w:rsidR="00BD3F83">
        <w:t>0.757</w:t>
      </w:r>
      <w:r w:rsidRPr="0078254F">
        <w:t>, which is</w:t>
      </w:r>
      <w:r w:rsidR="00BD3F83">
        <w:t xml:space="preserve"> 18.02</w:t>
      </w:r>
      <w:r w:rsidRPr="0078254F">
        <w:t xml:space="preserve"> per cent lower than the average system SAIFI over the past five regulatory years. As a result, we have applied</w:t>
      </w:r>
      <w:r w:rsidR="00BD3F83">
        <w:t xml:space="preserve"> 18.02</w:t>
      </w:r>
      <w:r w:rsidRPr="0078254F">
        <w:t xml:space="preserve"> per cent reduction to the average unplanned SAIFI targets for each of </w:t>
      </w:r>
      <w:proofErr w:type="spellStart"/>
      <w:r w:rsidRPr="0078254F">
        <w:t>Ausgrid's</w:t>
      </w:r>
      <w:proofErr w:type="spellEnd"/>
      <w:r w:rsidRPr="0078254F">
        <w:t xml:space="preserve"> feeder types</w:t>
      </w:r>
    </w:p>
    <w:p w:rsidR="00465BB8" w:rsidRDefault="00465BB8" w:rsidP="00465BB8">
      <w:r>
        <w:fldChar w:fldCharType="begin"/>
      </w:r>
      <w:r>
        <w:instrText xml:space="preserve"> REF _Ref401739637 \h </w:instrText>
      </w:r>
      <w:r>
        <w:fldChar w:fldCharType="separate"/>
      </w:r>
      <w:proofErr w:type="gramStart"/>
      <w:r w:rsidR="009B5A19">
        <w:t xml:space="preserve">Table </w:t>
      </w:r>
      <w:r w:rsidR="009B5A19">
        <w:rPr>
          <w:noProof/>
        </w:rPr>
        <w:t>11</w:t>
      </w:r>
      <w:r w:rsidR="009B5A19" w:rsidRPr="00465BB8">
        <w:t>-</w:t>
      </w:r>
      <w:r w:rsidR="009B5A19">
        <w:rPr>
          <w:noProof/>
        </w:rPr>
        <w:t>4</w:t>
      </w:r>
      <w:r>
        <w:fldChar w:fldCharType="end"/>
      </w:r>
      <w:r>
        <w:t xml:space="preserve"> sets out our proposed unplanned SAIDI and SAIFI targets for </w:t>
      </w:r>
      <w:proofErr w:type="spellStart"/>
      <w:r>
        <w:t>Ausgrid</w:t>
      </w:r>
      <w:proofErr w:type="spellEnd"/>
      <w:r>
        <w:t>.</w:t>
      </w:r>
      <w:proofErr w:type="gramEnd"/>
      <w:r>
        <w:t xml:space="preserve">  </w:t>
      </w:r>
    </w:p>
    <w:p w:rsidR="00465BB8" w:rsidRDefault="00465BB8" w:rsidP="00465BB8">
      <w:pPr>
        <w:pStyle w:val="Caption"/>
      </w:pPr>
      <w:bookmarkStart w:id="33" w:name="_Ref400728618"/>
      <w:r>
        <w:t xml:space="preserve">Figure </w:t>
      </w:r>
      <w:r w:rsidRPr="00465BB8">
        <w:fldChar w:fldCharType="begin"/>
      </w:r>
      <w:r>
        <w:instrText xml:space="preserve"> STYLEREF 1 \s </w:instrText>
      </w:r>
      <w:r w:rsidRPr="00465BB8">
        <w:fldChar w:fldCharType="separate"/>
      </w:r>
      <w:r w:rsidR="009B5A19">
        <w:rPr>
          <w:noProof/>
        </w:rPr>
        <w:t>11</w:t>
      </w:r>
      <w:r w:rsidRPr="00465BB8">
        <w:fldChar w:fldCharType="end"/>
      </w:r>
      <w:r w:rsidRPr="00465BB8">
        <w:t>-</w:t>
      </w:r>
      <w:r w:rsidRPr="00465BB8">
        <w:fldChar w:fldCharType="begin"/>
      </w:r>
      <w:r>
        <w:instrText xml:space="preserve"> SEQ Figure \* ARABIC \s 1 </w:instrText>
      </w:r>
      <w:r w:rsidRPr="00465BB8">
        <w:fldChar w:fldCharType="separate"/>
      </w:r>
      <w:r w:rsidR="009B5A19">
        <w:rPr>
          <w:noProof/>
        </w:rPr>
        <w:t>1</w:t>
      </w:r>
      <w:r w:rsidRPr="00465BB8">
        <w:fldChar w:fldCharType="end"/>
      </w:r>
      <w:bookmarkEnd w:id="33"/>
      <w:r>
        <w:tab/>
      </w:r>
      <w:proofErr w:type="spellStart"/>
      <w:r>
        <w:t>Ausgrid's</w:t>
      </w:r>
      <w:proofErr w:type="spellEnd"/>
      <w:r>
        <w:t xml:space="preserve"> historical system unplanned SAIDI and SAIFI and trends</w:t>
      </w:r>
    </w:p>
    <w:p w:rsidR="00465BB8" w:rsidRDefault="00BD3F83" w:rsidP="00465BB8">
      <w:r w:rsidRPr="00BD3F83">
        <w:rPr>
          <w:noProof/>
          <w:lang w:eastAsia="en-AU"/>
        </w:rPr>
        <w:drawing>
          <wp:inline distT="0" distB="0" distL="0" distR="0" wp14:anchorId="4CB6902D" wp14:editId="12C5DCCD">
            <wp:extent cx="5086350" cy="297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086350" cy="2971800"/>
                    </a:xfrm>
                    <a:prstGeom prst="rect">
                      <a:avLst/>
                    </a:prstGeom>
                  </pic:spPr>
                </pic:pic>
              </a:graphicData>
            </a:graphic>
          </wp:inline>
        </w:drawing>
      </w:r>
    </w:p>
    <w:p w:rsidR="00465BB8" w:rsidRPr="00224962" w:rsidRDefault="005F396E" w:rsidP="00465BB8">
      <w:pPr>
        <w:pStyle w:val="AERtablesource"/>
      </w:pPr>
      <w:bookmarkStart w:id="34" w:name="_Ref400728975"/>
      <w:r>
        <w:t>Source:</w:t>
      </w:r>
      <w:r>
        <w:tab/>
      </w:r>
      <w:proofErr w:type="spellStart"/>
      <w:r w:rsidR="00465BB8" w:rsidRPr="00224962">
        <w:t>Ausgrid</w:t>
      </w:r>
      <w:proofErr w:type="spellEnd"/>
      <w:r w:rsidR="00465BB8" w:rsidRPr="00224962">
        <w:t xml:space="preserve">, </w:t>
      </w:r>
      <w:r w:rsidR="00BD3F83" w:rsidRPr="00477287">
        <w:rPr>
          <w:rStyle w:val="AERtextitalic"/>
        </w:rPr>
        <w:t xml:space="preserve">Attachment 3.02 proposed application of STPIS for the 2014–19 regulatory control </w:t>
      </w:r>
      <w:proofErr w:type="gramStart"/>
      <w:r w:rsidR="00BD3F83" w:rsidRPr="00477287">
        <w:rPr>
          <w:rStyle w:val="AERtextitalic"/>
        </w:rPr>
        <w:t>period</w:t>
      </w:r>
      <w:proofErr w:type="gramEnd"/>
      <w:r w:rsidR="00BD3F83">
        <w:t>, January 2015, p</w:t>
      </w:r>
      <w:r w:rsidR="00BD3F83">
        <w:rPr>
          <w:rFonts w:hint="eastAsia"/>
        </w:rPr>
        <w:t>.</w:t>
      </w:r>
      <w:r w:rsidR="00A13ED4">
        <w:t xml:space="preserve"> </w:t>
      </w:r>
      <w:r w:rsidR="00BD3F83">
        <w:t>5</w:t>
      </w:r>
      <w:r w:rsidR="00BD3F83">
        <w:rPr>
          <w:rFonts w:hint="eastAsia"/>
        </w:rPr>
        <w:t xml:space="preserve"> </w:t>
      </w:r>
      <w:r w:rsidR="00BD3F83">
        <w:t xml:space="preserve">and </w:t>
      </w:r>
      <w:r w:rsidR="00465BB8" w:rsidRPr="00224962">
        <w:t>AER analysis</w:t>
      </w:r>
      <w:r w:rsidR="00465BB8">
        <w:t>.</w:t>
      </w:r>
    </w:p>
    <w:p w:rsidR="00465BB8" w:rsidRDefault="00465BB8" w:rsidP="00465BB8">
      <w:pPr>
        <w:pStyle w:val="Caption"/>
      </w:pPr>
      <w:bookmarkStart w:id="35" w:name="_Ref401739637"/>
      <w:r>
        <w:lastRenderedPageBreak/>
        <w:t xml:space="preserve">Table </w:t>
      </w:r>
      <w:r w:rsidRPr="00465BB8">
        <w:fldChar w:fldCharType="begin"/>
      </w:r>
      <w:r>
        <w:instrText xml:space="preserve"> STYLEREF 1 \s </w:instrText>
      </w:r>
      <w:r w:rsidRPr="00465BB8">
        <w:fldChar w:fldCharType="separate"/>
      </w:r>
      <w:r w:rsidR="009B5A19">
        <w:rPr>
          <w:noProof/>
        </w:rPr>
        <w:t>11</w:t>
      </w:r>
      <w:r w:rsidRPr="00465BB8">
        <w:fldChar w:fldCharType="end"/>
      </w:r>
      <w:r w:rsidRPr="00465BB8">
        <w:t>-</w:t>
      </w:r>
      <w:r w:rsidRPr="00465BB8">
        <w:fldChar w:fldCharType="begin"/>
      </w:r>
      <w:r>
        <w:instrText xml:space="preserve"> SEQ Table \* ARABIC \s 1 </w:instrText>
      </w:r>
      <w:r w:rsidRPr="00465BB8">
        <w:fldChar w:fldCharType="separate"/>
      </w:r>
      <w:r w:rsidR="009B5A19">
        <w:rPr>
          <w:noProof/>
        </w:rPr>
        <w:t>4</w:t>
      </w:r>
      <w:r w:rsidRPr="00465BB8">
        <w:fldChar w:fldCharType="end"/>
      </w:r>
      <w:bookmarkEnd w:id="34"/>
      <w:bookmarkEnd w:id="35"/>
      <w:r>
        <w:tab/>
      </w:r>
      <w:r w:rsidR="00BD3F83">
        <w:t>P</w:t>
      </w:r>
      <w:r>
        <w:t xml:space="preserve">erformance targets for </w:t>
      </w:r>
      <w:proofErr w:type="spellStart"/>
      <w:r>
        <w:t>Ausgrid's</w:t>
      </w:r>
      <w:proofErr w:type="spellEnd"/>
      <w:r>
        <w:t xml:space="preserve"> reliability of supply component</w:t>
      </w:r>
    </w:p>
    <w:tbl>
      <w:tblPr>
        <w:tblStyle w:val="AERtable-numbers"/>
        <w:tblW w:w="8755" w:type="dxa"/>
        <w:tblLayout w:type="fixed"/>
        <w:tblLook w:val="04A0" w:firstRow="1" w:lastRow="0" w:firstColumn="1" w:lastColumn="0" w:noHBand="0" w:noVBand="1"/>
      </w:tblPr>
      <w:tblGrid>
        <w:gridCol w:w="2093"/>
        <w:gridCol w:w="2220"/>
        <w:gridCol w:w="2221"/>
        <w:gridCol w:w="2221"/>
      </w:tblGrid>
      <w:tr w:rsidR="00465BB8" w:rsidTr="006119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465BB8" w:rsidRDefault="00465BB8" w:rsidP="00465BB8">
            <w:pPr>
              <w:numPr>
                <w:ilvl w:val="0"/>
                <w:numId w:val="25"/>
              </w:numPr>
            </w:pPr>
          </w:p>
        </w:tc>
        <w:tc>
          <w:tcPr>
            <w:tcW w:w="2220" w:type="dxa"/>
          </w:tcPr>
          <w:p w:rsidR="00465BB8" w:rsidRDefault="00465BB8" w:rsidP="00465BB8">
            <w:pPr>
              <w:numPr>
                <w:ilvl w:val="0"/>
                <w:numId w:val="25"/>
              </w:numPr>
              <w:cnfStyle w:val="100000000000" w:firstRow="1" w:lastRow="0" w:firstColumn="0" w:lastColumn="0" w:oddVBand="0" w:evenVBand="0" w:oddHBand="0" w:evenHBand="0" w:firstRowFirstColumn="0" w:firstRowLastColumn="0" w:lastRowFirstColumn="0" w:lastRowLastColumn="0"/>
            </w:pPr>
            <w:r w:rsidRPr="00F8239E">
              <w:t>Performance target based on five year average</w:t>
            </w:r>
          </w:p>
        </w:tc>
        <w:tc>
          <w:tcPr>
            <w:tcW w:w="2221" w:type="dxa"/>
          </w:tcPr>
          <w:p w:rsidR="00465BB8" w:rsidRDefault="00465BB8" w:rsidP="00465BB8">
            <w:pPr>
              <w:numPr>
                <w:ilvl w:val="0"/>
                <w:numId w:val="25"/>
              </w:numPr>
              <w:cnfStyle w:val="100000000000" w:firstRow="1" w:lastRow="0" w:firstColumn="0" w:lastColumn="0" w:oddVBand="0" w:evenVBand="0" w:oddHBand="0" w:evenHBand="0" w:firstRowFirstColumn="0" w:firstRowLastColumn="0" w:lastRowFirstColumn="0" w:lastRowLastColumn="0"/>
            </w:pPr>
            <w:r>
              <w:t>Our proposed performance target</w:t>
            </w:r>
          </w:p>
        </w:tc>
        <w:tc>
          <w:tcPr>
            <w:tcW w:w="2221" w:type="dxa"/>
          </w:tcPr>
          <w:p w:rsidR="00465BB8" w:rsidRDefault="00465BB8" w:rsidP="00465BB8">
            <w:pPr>
              <w:numPr>
                <w:ilvl w:val="0"/>
                <w:numId w:val="25"/>
              </w:numPr>
              <w:cnfStyle w:val="100000000000" w:firstRow="1" w:lastRow="0" w:firstColumn="0" w:lastColumn="0" w:oddVBand="0" w:evenVBand="0" w:oddHBand="0" w:evenHBand="0" w:firstRowFirstColumn="0" w:firstRowLastColumn="0" w:lastRowFirstColumn="0" w:lastRowLastColumn="0"/>
            </w:pPr>
            <w:r>
              <w:t>Difference (%)</w:t>
            </w:r>
          </w:p>
        </w:tc>
      </w:tr>
      <w:tr w:rsidR="00465BB8" w:rsidTr="00611957">
        <w:tc>
          <w:tcPr>
            <w:cnfStyle w:val="001000000000" w:firstRow="0" w:lastRow="0" w:firstColumn="1" w:lastColumn="0" w:oddVBand="0" w:evenVBand="0" w:oddHBand="0" w:evenHBand="0" w:firstRowFirstColumn="0" w:firstRowLastColumn="0" w:lastRowFirstColumn="0" w:lastRowLastColumn="0"/>
            <w:tcW w:w="2093" w:type="dxa"/>
          </w:tcPr>
          <w:p w:rsidR="00465BB8" w:rsidRPr="00CE0EF5" w:rsidRDefault="00465BB8" w:rsidP="00465BB8">
            <w:pPr>
              <w:numPr>
                <w:ilvl w:val="0"/>
                <w:numId w:val="25"/>
              </w:numPr>
              <w:rPr>
                <w:rStyle w:val="Strong"/>
              </w:rPr>
            </w:pPr>
            <w:r w:rsidRPr="00CE0EF5">
              <w:rPr>
                <w:rStyle w:val="Strong"/>
              </w:rPr>
              <w:t>Unplanned SAIDI</w:t>
            </w:r>
          </w:p>
        </w:tc>
        <w:tc>
          <w:tcPr>
            <w:tcW w:w="2220" w:type="dxa"/>
          </w:tcPr>
          <w:p w:rsidR="00465BB8" w:rsidRDefault="00465BB8" w:rsidP="00465BB8">
            <w:pPr>
              <w:numPr>
                <w:ilvl w:val="0"/>
                <w:numId w:val="25"/>
              </w:numPr>
              <w:cnfStyle w:val="000000000000" w:firstRow="0" w:lastRow="0" w:firstColumn="0" w:lastColumn="0" w:oddVBand="0" w:evenVBand="0" w:oddHBand="0" w:evenHBand="0" w:firstRowFirstColumn="0" w:firstRowLastColumn="0" w:lastRowFirstColumn="0" w:lastRowLastColumn="0"/>
            </w:pPr>
          </w:p>
        </w:tc>
        <w:tc>
          <w:tcPr>
            <w:tcW w:w="2221" w:type="dxa"/>
          </w:tcPr>
          <w:p w:rsidR="00465BB8" w:rsidRDefault="00465BB8" w:rsidP="00465BB8">
            <w:pPr>
              <w:numPr>
                <w:ilvl w:val="0"/>
                <w:numId w:val="25"/>
              </w:numPr>
              <w:cnfStyle w:val="000000000000" w:firstRow="0" w:lastRow="0" w:firstColumn="0" w:lastColumn="0" w:oddVBand="0" w:evenVBand="0" w:oddHBand="0" w:evenHBand="0" w:firstRowFirstColumn="0" w:firstRowLastColumn="0" w:lastRowFirstColumn="0" w:lastRowLastColumn="0"/>
            </w:pPr>
          </w:p>
        </w:tc>
        <w:tc>
          <w:tcPr>
            <w:tcW w:w="2221" w:type="dxa"/>
          </w:tcPr>
          <w:p w:rsidR="00465BB8" w:rsidRDefault="00465BB8" w:rsidP="00465BB8">
            <w:pPr>
              <w:numPr>
                <w:ilvl w:val="0"/>
                <w:numId w:val="25"/>
              </w:numPr>
              <w:cnfStyle w:val="000000000000" w:firstRow="0" w:lastRow="0" w:firstColumn="0" w:lastColumn="0" w:oddVBand="0" w:evenVBand="0" w:oddHBand="0" w:evenHBand="0" w:firstRowFirstColumn="0" w:firstRowLastColumn="0" w:lastRowFirstColumn="0" w:lastRowLastColumn="0"/>
            </w:pPr>
          </w:p>
        </w:tc>
      </w:tr>
      <w:tr w:rsidR="00BD3F83" w:rsidTr="006119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BD3F83" w:rsidRDefault="00BD3F83" w:rsidP="00BD3F83">
            <w:pPr>
              <w:numPr>
                <w:ilvl w:val="0"/>
                <w:numId w:val="25"/>
              </w:numPr>
            </w:pPr>
            <w:r>
              <w:t>CBD</w:t>
            </w:r>
          </w:p>
        </w:tc>
        <w:tc>
          <w:tcPr>
            <w:tcW w:w="2220" w:type="dxa"/>
          </w:tcPr>
          <w:p w:rsidR="00BD3F83" w:rsidRDefault="00BD3F83" w:rsidP="00BD3F83">
            <w:pPr>
              <w:numPr>
                <w:ilvl w:val="0"/>
                <w:numId w:val="25"/>
              </w:numPr>
              <w:cnfStyle w:val="000000010000" w:firstRow="0" w:lastRow="0" w:firstColumn="0" w:lastColumn="0" w:oddVBand="0" w:evenVBand="0" w:oddHBand="0" w:evenHBand="1" w:firstRowFirstColumn="0" w:firstRowLastColumn="0" w:lastRowFirstColumn="0" w:lastRowLastColumn="0"/>
            </w:pPr>
            <w:r>
              <w:t>18.04</w:t>
            </w:r>
          </w:p>
        </w:tc>
        <w:tc>
          <w:tcPr>
            <w:tcW w:w="2221" w:type="dxa"/>
          </w:tcPr>
          <w:p w:rsidR="00BD3F83" w:rsidRPr="00832949" w:rsidRDefault="00BD3F83" w:rsidP="00BD3F83">
            <w:pPr>
              <w:numPr>
                <w:ilvl w:val="0"/>
                <w:numId w:val="25"/>
              </w:numPr>
              <w:cnfStyle w:val="000000010000" w:firstRow="0" w:lastRow="0" w:firstColumn="0" w:lastColumn="0" w:oddVBand="0" w:evenVBand="0" w:oddHBand="0" w:evenHBand="1" w:firstRowFirstColumn="0" w:firstRowLastColumn="0" w:lastRowFirstColumn="0" w:lastRowLastColumn="0"/>
            </w:pPr>
            <w:r>
              <w:t>16.58</w:t>
            </w:r>
          </w:p>
        </w:tc>
        <w:tc>
          <w:tcPr>
            <w:tcW w:w="2221" w:type="dxa"/>
          </w:tcPr>
          <w:p w:rsidR="00BD3F83" w:rsidRDefault="00BD3F83" w:rsidP="00BD3F83">
            <w:pPr>
              <w:numPr>
                <w:ilvl w:val="0"/>
                <w:numId w:val="25"/>
              </w:numPr>
              <w:cnfStyle w:val="000000010000" w:firstRow="0" w:lastRow="0" w:firstColumn="0" w:lastColumn="0" w:oddVBand="0" w:evenVBand="0" w:oddHBand="0" w:evenHBand="1" w:firstRowFirstColumn="0" w:firstRowLastColumn="0" w:lastRowFirstColumn="0" w:lastRowLastColumn="0"/>
            </w:pPr>
            <w:r>
              <w:t>8.78</w:t>
            </w:r>
          </w:p>
        </w:tc>
      </w:tr>
      <w:tr w:rsidR="00BD3F83" w:rsidTr="00611957">
        <w:tc>
          <w:tcPr>
            <w:cnfStyle w:val="001000000000" w:firstRow="0" w:lastRow="0" w:firstColumn="1" w:lastColumn="0" w:oddVBand="0" w:evenVBand="0" w:oddHBand="0" w:evenHBand="0" w:firstRowFirstColumn="0" w:firstRowLastColumn="0" w:lastRowFirstColumn="0" w:lastRowLastColumn="0"/>
            <w:tcW w:w="2093" w:type="dxa"/>
          </w:tcPr>
          <w:p w:rsidR="00BD3F83" w:rsidRDefault="00BD3F83" w:rsidP="00BD3F83">
            <w:pPr>
              <w:numPr>
                <w:ilvl w:val="0"/>
                <w:numId w:val="25"/>
              </w:numPr>
            </w:pPr>
            <w:r>
              <w:t>Urban</w:t>
            </w:r>
          </w:p>
        </w:tc>
        <w:tc>
          <w:tcPr>
            <w:tcW w:w="2220" w:type="dxa"/>
          </w:tcPr>
          <w:p w:rsidR="00BD3F83" w:rsidRDefault="00BD3F83" w:rsidP="00BD3F83">
            <w:pPr>
              <w:numPr>
                <w:ilvl w:val="0"/>
                <w:numId w:val="25"/>
              </w:numPr>
              <w:cnfStyle w:val="000000000000" w:firstRow="0" w:lastRow="0" w:firstColumn="0" w:lastColumn="0" w:oddVBand="0" w:evenVBand="0" w:oddHBand="0" w:evenHBand="0" w:firstRowFirstColumn="0" w:firstRowLastColumn="0" w:lastRowFirstColumn="0" w:lastRowLastColumn="0"/>
            </w:pPr>
            <w:r>
              <w:t>67.89</w:t>
            </w:r>
          </w:p>
        </w:tc>
        <w:tc>
          <w:tcPr>
            <w:tcW w:w="2221" w:type="dxa"/>
          </w:tcPr>
          <w:p w:rsidR="00BD3F83" w:rsidRDefault="00BD3F83" w:rsidP="00BD3F83">
            <w:pPr>
              <w:numPr>
                <w:ilvl w:val="0"/>
                <w:numId w:val="25"/>
              </w:numPr>
              <w:cnfStyle w:val="000000000000" w:firstRow="0" w:lastRow="0" w:firstColumn="0" w:lastColumn="0" w:oddVBand="0" w:evenVBand="0" w:oddHBand="0" w:evenHBand="0" w:firstRowFirstColumn="0" w:firstRowLastColumn="0" w:lastRowFirstColumn="0" w:lastRowLastColumn="0"/>
            </w:pPr>
            <w:r>
              <w:t>62.41</w:t>
            </w:r>
          </w:p>
        </w:tc>
        <w:tc>
          <w:tcPr>
            <w:tcW w:w="2221" w:type="dxa"/>
          </w:tcPr>
          <w:p w:rsidR="00BD3F83" w:rsidRDefault="00BD3F83" w:rsidP="00BD3F83">
            <w:pPr>
              <w:numPr>
                <w:ilvl w:val="0"/>
                <w:numId w:val="25"/>
              </w:numPr>
              <w:cnfStyle w:val="000000000000" w:firstRow="0" w:lastRow="0" w:firstColumn="0" w:lastColumn="0" w:oddVBand="0" w:evenVBand="0" w:oddHBand="0" w:evenHBand="0" w:firstRowFirstColumn="0" w:firstRowLastColumn="0" w:lastRowFirstColumn="0" w:lastRowLastColumn="0"/>
            </w:pPr>
            <w:r>
              <w:t>8.78</w:t>
            </w:r>
          </w:p>
        </w:tc>
      </w:tr>
      <w:tr w:rsidR="00BD3F83" w:rsidTr="006119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BD3F83" w:rsidRDefault="00BD3F83" w:rsidP="00BD3F83">
            <w:pPr>
              <w:numPr>
                <w:ilvl w:val="0"/>
                <w:numId w:val="25"/>
              </w:numPr>
            </w:pPr>
            <w:r>
              <w:t>Short rural</w:t>
            </w:r>
          </w:p>
        </w:tc>
        <w:tc>
          <w:tcPr>
            <w:tcW w:w="2220" w:type="dxa"/>
          </w:tcPr>
          <w:p w:rsidR="00BD3F83" w:rsidRDefault="00BD3F83" w:rsidP="00BD3F83">
            <w:pPr>
              <w:numPr>
                <w:ilvl w:val="0"/>
                <w:numId w:val="25"/>
              </w:numPr>
              <w:cnfStyle w:val="000000010000" w:firstRow="0" w:lastRow="0" w:firstColumn="0" w:lastColumn="0" w:oddVBand="0" w:evenVBand="0" w:oddHBand="0" w:evenHBand="1" w:firstRowFirstColumn="0" w:firstRowLastColumn="0" w:lastRowFirstColumn="0" w:lastRowLastColumn="0"/>
            </w:pPr>
            <w:r>
              <w:t>171.09</w:t>
            </w:r>
          </w:p>
        </w:tc>
        <w:tc>
          <w:tcPr>
            <w:tcW w:w="2221" w:type="dxa"/>
          </w:tcPr>
          <w:p w:rsidR="00BD3F83" w:rsidRDefault="00BD3F83" w:rsidP="00BD3F83">
            <w:pPr>
              <w:numPr>
                <w:ilvl w:val="0"/>
                <w:numId w:val="25"/>
              </w:numPr>
              <w:cnfStyle w:val="000000010000" w:firstRow="0" w:lastRow="0" w:firstColumn="0" w:lastColumn="0" w:oddVBand="0" w:evenVBand="0" w:oddHBand="0" w:evenHBand="1" w:firstRowFirstColumn="0" w:firstRowLastColumn="0" w:lastRowFirstColumn="0" w:lastRowLastColumn="0"/>
            </w:pPr>
            <w:r>
              <w:t>157.28</w:t>
            </w:r>
          </w:p>
        </w:tc>
        <w:tc>
          <w:tcPr>
            <w:tcW w:w="2221" w:type="dxa"/>
          </w:tcPr>
          <w:p w:rsidR="00BD3F83" w:rsidRDefault="00BD3F83" w:rsidP="00BD3F83">
            <w:pPr>
              <w:numPr>
                <w:ilvl w:val="0"/>
                <w:numId w:val="25"/>
              </w:numPr>
              <w:cnfStyle w:val="000000010000" w:firstRow="0" w:lastRow="0" w:firstColumn="0" w:lastColumn="0" w:oddVBand="0" w:evenVBand="0" w:oddHBand="0" w:evenHBand="1" w:firstRowFirstColumn="0" w:firstRowLastColumn="0" w:lastRowFirstColumn="0" w:lastRowLastColumn="0"/>
            </w:pPr>
            <w:r>
              <w:t>8.78</w:t>
            </w:r>
          </w:p>
        </w:tc>
      </w:tr>
      <w:tr w:rsidR="00BD3F83" w:rsidTr="00611957">
        <w:tc>
          <w:tcPr>
            <w:cnfStyle w:val="001000000000" w:firstRow="0" w:lastRow="0" w:firstColumn="1" w:lastColumn="0" w:oddVBand="0" w:evenVBand="0" w:oddHBand="0" w:evenHBand="0" w:firstRowFirstColumn="0" w:firstRowLastColumn="0" w:lastRowFirstColumn="0" w:lastRowLastColumn="0"/>
            <w:tcW w:w="2093" w:type="dxa"/>
          </w:tcPr>
          <w:p w:rsidR="00BD3F83" w:rsidRDefault="00BD3F83" w:rsidP="00BD3F83">
            <w:pPr>
              <w:numPr>
                <w:ilvl w:val="0"/>
                <w:numId w:val="25"/>
              </w:numPr>
            </w:pPr>
            <w:r>
              <w:t>Long rural</w:t>
            </w:r>
          </w:p>
        </w:tc>
        <w:tc>
          <w:tcPr>
            <w:tcW w:w="2220" w:type="dxa"/>
          </w:tcPr>
          <w:p w:rsidR="00BD3F83" w:rsidRDefault="00BD3F83" w:rsidP="00BD3F83">
            <w:pPr>
              <w:numPr>
                <w:ilvl w:val="0"/>
                <w:numId w:val="25"/>
              </w:numPr>
              <w:cnfStyle w:val="000000000000" w:firstRow="0" w:lastRow="0" w:firstColumn="0" w:lastColumn="0" w:oddVBand="0" w:evenVBand="0" w:oddHBand="0" w:evenHBand="0" w:firstRowFirstColumn="0" w:firstRowLastColumn="0" w:lastRowFirstColumn="0" w:lastRowLastColumn="0"/>
            </w:pPr>
            <w:r>
              <w:t>474.86</w:t>
            </w:r>
          </w:p>
        </w:tc>
        <w:tc>
          <w:tcPr>
            <w:tcW w:w="2221" w:type="dxa"/>
          </w:tcPr>
          <w:p w:rsidR="00BD3F83" w:rsidRDefault="00BD3F83" w:rsidP="00BD3F83">
            <w:pPr>
              <w:numPr>
                <w:ilvl w:val="0"/>
                <w:numId w:val="25"/>
              </w:numPr>
              <w:cnfStyle w:val="000000000000" w:firstRow="0" w:lastRow="0" w:firstColumn="0" w:lastColumn="0" w:oddVBand="0" w:evenVBand="0" w:oddHBand="0" w:evenHBand="0" w:firstRowFirstColumn="0" w:firstRowLastColumn="0" w:lastRowFirstColumn="0" w:lastRowLastColumn="0"/>
            </w:pPr>
            <w:r>
              <w:t>436.53</w:t>
            </w:r>
          </w:p>
        </w:tc>
        <w:tc>
          <w:tcPr>
            <w:tcW w:w="2221" w:type="dxa"/>
          </w:tcPr>
          <w:p w:rsidR="00BD3F83" w:rsidRDefault="00BD3F83" w:rsidP="00BD3F83">
            <w:pPr>
              <w:numPr>
                <w:ilvl w:val="0"/>
                <w:numId w:val="25"/>
              </w:numPr>
              <w:cnfStyle w:val="000000000000" w:firstRow="0" w:lastRow="0" w:firstColumn="0" w:lastColumn="0" w:oddVBand="0" w:evenVBand="0" w:oddHBand="0" w:evenHBand="0" w:firstRowFirstColumn="0" w:firstRowLastColumn="0" w:lastRowFirstColumn="0" w:lastRowLastColumn="0"/>
            </w:pPr>
            <w:r>
              <w:t>8.78</w:t>
            </w:r>
          </w:p>
        </w:tc>
      </w:tr>
      <w:tr w:rsidR="00BD3F83" w:rsidTr="006119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BD3F83" w:rsidRPr="00CE0EF5" w:rsidRDefault="00BD3F83" w:rsidP="00BD3F83">
            <w:pPr>
              <w:numPr>
                <w:ilvl w:val="0"/>
                <w:numId w:val="25"/>
              </w:numPr>
              <w:rPr>
                <w:rStyle w:val="Strong"/>
              </w:rPr>
            </w:pPr>
            <w:r w:rsidRPr="00CE0EF5">
              <w:rPr>
                <w:rStyle w:val="Strong"/>
              </w:rPr>
              <w:t>Unplanned SAIFI</w:t>
            </w:r>
          </w:p>
        </w:tc>
        <w:tc>
          <w:tcPr>
            <w:tcW w:w="2220" w:type="dxa"/>
          </w:tcPr>
          <w:p w:rsidR="00BD3F83" w:rsidRDefault="00BD3F83" w:rsidP="00BD3F83">
            <w:pPr>
              <w:numPr>
                <w:ilvl w:val="0"/>
                <w:numId w:val="25"/>
              </w:numPr>
              <w:cnfStyle w:val="000000010000" w:firstRow="0" w:lastRow="0" w:firstColumn="0" w:lastColumn="0" w:oddVBand="0" w:evenVBand="0" w:oddHBand="0" w:evenHBand="1" w:firstRowFirstColumn="0" w:firstRowLastColumn="0" w:lastRowFirstColumn="0" w:lastRowLastColumn="0"/>
            </w:pPr>
          </w:p>
        </w:tc>
        <w:tc>
          <w:tcPr>
            <w:tcW w:w="2221" w:type="dxa"/>
          </w:tcPr>
          <w:p w:rsidR="00BD3F83" w:rsidRDefault="00BD3F83" w:rsidP="00BD3F83">
            <w:pPr>
              <w:pStyle w:val="AERtabletextleft"/>
              <w:cnfStyle w:val="000000010000" w:firstRow="0" w:lastRow="0" w:firstColumn="0" w:lastColumn="0" w:oddVBand="0" w:evenVBand="0" w:oddHBand="0" w:evenHBand="1" w:firstRowFirstColumn="0" w:firstRowLastColumn="0" w:lastRowFirstColumn="0" w:lastRowLastColumn="0"/>
            </w:pPr>
          </w:p>
        </w:tc>
        <w:tc>
          <w:tcPr>
            <w:tcW w:w="2221" w:type="dxa"/>
          </w:tcPr>
          <w:p w:rsidR="00BD3F83" w:rsidRDefault="00BD3F83" w:rsidP="00BD3F83">
            <w:pPr>
              <w:numPr>
                <w:ilvl w:val="0"/>
                <w:numId w:val="25"/>
              </w:numPr>
              <w:cnfStyle w:val="000000010000" w:firstRow="0" w:lastRow="0" w:firstColumn="0" w:lastColumn="0" w:oddVBand="0" w:evenVBand="0" w:oddHBand="0" w:evenHBand="1" w:firstRowFirstColumn="0" w:firstRowLastColumn="0" w:lastRowFirstColumn="0" w:lastRowLastColumn="0"/>
            </w:pPr>
          </w:p>
        </w:tc>
      </w:tr>
      <w:tr w:rsidR="00BD3F83" w:rsidTr="00611957">
        <w:tc>
          <w:tcPr>
            <w:cnfStyle w:val="001000000000" w:firstRow="0" w:lastRow="0" w:firstColumn="1" w:lastColumn="0" w:oddVBand="0" w:evenVBand="0" w:oddHBand="0" w:evenHBand="0" w:firstRowFirstColumn="0" w:firstRowLastColumn="0" w:lastRowFirstColumn="0" w:lastRowLastColumn="0"/>
            <w:tcW w:w="2093" w:type="dxa"/>
          </w:tcPr>
          <w:p w:rsidR="00BD3F83" w:rsidRDefault="00BD3F83" w:rsidP="00BD3F83">
            <w:pPr>
              <w:numPr>
                <w:ilvl w:val="0"/>
                <w:numId w:val="25"/>
              </w:numPr>
            </w:pPr>
            <w:r>
              <w:t>CBD</w:t>
            </w:r>
          </w:p>
        </w:tc>
        <w:tc>
          <w:tcPr>
            <w:tcW w:w="2220" w:type="dxa"/>
          </w:tcPr>
          <w:p w:rsidR="00BD3F83" w:rsidRDefault="00BD3F83" w:rsidP="00BD3F83">
            <w:pPr>
              <w:numPr>
                <w:ilvl w:val="0"/>
                <w:numId w:val="25"/>
              </w:numPr>
              <w:cnfStyle w:val="000000000000" w:firstRow="0" w:lastRow="0" w:firstColumn="0" w:lastColumn="0" w:oddVBand="0" w:evenVBand="0" w:oddHBand="0" w:evenHBand="0" w:firstRowFirstColumn="0" w:firstRowLastColumn="0" w:lastRowFirstColumn="0" w:lastRowLastColumn="0"/>
            </w:pPr>
            <w:r>
              <w:t>0.064</w:t>
            </w:r>
          </w:p>
        </w:tc>
        <w:tc>
          <w:tcPr>
            <w:tcW w:w="2221" w:type="dxa"/>
          </w:tcPr>
          <w:p w:rsidR="00BD3F83" w:rsidRDefault="00BD3F83" w:rsidP="00BD3F83">
            <w:pPr>
              <w:numPr>
                <w:ilvl w:val="0"/>
                <w:numId w:val="25"/>
              </w:numPr>
              <w:cnfStyle w:val="000000000000" w:firstRow="0" w:lastRow="0" w:firstColumn="0" w:lastColumn="0" w:oddVBand="0" w:evenVBand="0" w:oddHBand="0" w:evenHBand="0" w:firstRowFirstColumn="0" w:firstRowLastColumn="0" w:lastRowFirstColumn="0" w:lastRowLastColumn="0"/>
            </w:pPr>
            <w:r>
              <w:t>0.054</w:t>
            </w:r>
          </w:p>
        </w:tc>
        <w:tc>
          <w:tcPr>
            <w:tcW w:w="2221" w:type="dxa"/>
          </w:tcPr>
          <w:p w:rsidR="00BD3F83" w:rsidRDefault="00BD3F83" w:rsidP="00BD3F83">
            <w:pPr>
              <w:numPr>
                <w:ilvl w:val="0"/>
                <w:numId w:val="25"/>
              </w:numPr>
              <w:cnfStyle w:val="000000000000" w:firstRow="0" w:lastRow="0" w:firstColumn="0" w:lastColumn="0" w:oddVBand="0" w:evenVBand="0" w:oddHBand="0" w:evenHBand="0" w:firstRowFirstColumn="0" w:firstRowLastColumn="0" w:lastRowFirstColumn="0" w:lastRowLastColumn="0"/>
            </w:pPr>
            <w:r>
              <w:t>18.02</w:t>
            </w:r>
          </w:p>
        </w:tc>
      </w:tr>
      <w:tr w:rsidR="00BD3F83" w:rsidTr="006119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BD3F83" w:rsidRDefault="00BD3F83" w:rsidP="00BD3F83">
            <w:pPr>
              <w:numPr>
                <w:ilvl w:val="0"/>
                <w:numId w:val="25"/>
              </w:numPr>
            </w:pPr>
            <w:r>
              <w:t>Urban</w:t>
            </w:r>
          </w:p>
        </w:tc>
        <w:tc>
          <w:tcPr>
            <w:tcW w:w="2220" w:type="dxa"/>
          </w:tcPr>
          <w:p w:rsidR="00BD3F83" w:rsidRDefault="00BD3F83" w:rsidP="00BD3F83">
            <w:pPr>
              <w:numPr>
                <w:ilvl w:val="0"/>
                <w:numId w:val="25"/>
              </w:numPr>
              <w:cnfStyle w:val="000000010000" w:firstRow="0" w:lastRow="0" w:firstColumn="0" w:lastColumn="0" w:oddVBand="0" w:evenVBand="0" w:oddHBand="0" w:evenHBand="1" w:firstRowFirstColumn="0" w:firstRowLastColumn="0" w:lastRowFirstColumn="0" w:lastRowLastColumn="0"/>
            </w:pPr>
            <w:r>
              <w:t>0.795</w:t>
            </w:r>
          </w:p>
        </w:tc>
        <w:tc>
          <w:tcPr>
            <w:tcW w:w="2221" w:type="dxa"/>
          </w:tcPr>
          <w:p w:rsidR="00BD3F83" w:rsidRPr="00832949" w:rsidRDefault="00BD3F83" w:rsidP="00BD3F83">
            <w:pPr>
              <w:numPr>
                <w:ilvl w:val="0"/>
                <w:numId w:val="25"/>
              </w:numPr>
              <w:cnfStyle w:val="000000010000" w:firstRow="0" w:lastRow="0" w:firstColumn="0" w:lastColumn="0" w:oddVBand="0" w:evenVBand="0" w:oddHBand="0" w:evenHBand="1" w:firstRowFirstColumn="0" w:firstRowLastColumn="0" w:lastRowFirstColumn="0" w:lastRowLastColumn="0"/>
            </w:pPr>
            <w:r>
              <w:t>0.674</w:t>
            </w:r>
          </w:p>
        </w:tc>
        <w:tc>
          <w:tcPr>
            <w:tcW w:w="2221" w:type="dxa"/>
          </w:tcPr>
          <w:p w:rsidR="00BD3F83" w:rsidRDefault="00BD3F83" w:rsidP="00BD3F83">
            <w:pPr>
              <w:numPr>
                <w:ilvl w:val="0"/>
                <w:numId w:val="25"/>
              </w:numPr>
              <w:cnfStyle w:val="000000010000" w:firstRow="0" w:lastRow="0" w:firstColumn="0" w:lastColumn="0" w:oddVBand="0" w:evenVBand="0" w:oddHBand="0" w:evenHBand="1" w:firstRowFirstColumn="0" w:firstRowLastColumn="0" w:lastRowFirstColumn="0" w:lastRowLastColumn="0"/>
            </w:pPr>
            <w:r>
              <w:t>18.02</w:t>
            </w:r>
          </w:p>
        </w:tc>
      </w:tr>
      <w:tr w:rsidR="00BD3F83" w:rsidTr="00611957">
        <w:tc>
          <w:tcPr>
            <w:cnfStyle w:val="001000000000" w:firstRow="0" w:lastRow="0" w:firstColumn="1" w:lastColumn="0" w:oddVBand="0" w:evenVBand="0" w:oddHBand="0" w:evenHBand="0" w:firstRowFirstColumn="0" w:firstRowLastColumn="0" w:lastRowFirstColumn="0" w:lastRowLastColumn="0"/>
            <w:tcW w:w="2093" w:type="dxa"/>
          </w:tcPr>
          <w:p w:rsidR="00BD3F83" w:rsidRDefault="00BD3F83" w:rsidP="00BD3F83">
            <w:pPr>
              <w:numPr>
                <w:ilvl w:val="0"/>
                <w:numId w:val="25"/>
              </w:numPr>
            </w:pPr>
            <w:r>
              <w:t>Short rural</w:t>
            </w:r>
          </w:p>
        </w:tc>
        <w:tc>
          <w:tcPr>
            <w:tcW w:w="2220" w:type="dxa"/>
          </w:tcPr>
          <w:p w:rsidR="00BD3F83" w:rsidRDefault="00BD3F83" w:rsidP="00BD3F83">
            <w:pPr>
              <w:numPr>
                <w:ilvl w:val="0"/>
                <w:numId w:val="25"/>
              </w:numPr>
              <w:cnfStyle w:val="000000000000" w:firstRow="0" w:lastRow="0" w:firstColumn="0" w:lastColumn="0" w:oddVBand="0" w:evenVBand="0" w:oddHBand="0" w:evenHBand="0" w:firstRowFirstColumn="0" w:firstRowLastColumn="0" w:lastRowFirstColumn="0" w:lastRowLastColumn="0"/>
            </w:pPr>
            <w:r>
              <w:t>1.683</w:t>
            </w:r>
          </w:p>
        </w:tc>
        <w:tc>
          <w:tcPr>
            <w:tcW w:w="2221" w:type="dxa"/>
          </w:tcPr>
          <w:p w:rsidR="00BD3F83" w:rsidRDefault="00BD3F83" w:rsidP="00BD3F83">
            <w:pPr>
              <w:numPr>
                <w:ilvl w:val="0"/>
                <w:numId w:val="25"/>
              </w:numPr>
              <w:cnfStyle w:val="000000000000" w:firstRow="0" w:lastRow="0" w:firstColumn="0" w:lastColumn="0" w:oddVBand="0" w:evenVBand="0" w:oddHBand="0" w:evenHBand="0" w:firstRowFirstColumn="0" w:firstRowLastColumn="0" w:lastRowFirstColumn="0" w:lastRowLastColumn="0"/>
            </w:pPr>
            <w:r>
              <w:t>1.426</w:t>
            </w:r>
          </w:p>
        </w:tc>
        <w:tc>
          <w:tcPr>
            <w:tcW w:w="2221" w:type="dxa"/>
          </w:tcPr>
          <w:p w:rsidR="00BD3F83" w:rsidRDefault="00BD3F83" w:rsidP="00BD3F83">
            <w:pPr>
              <w:numPr>
                <w:ilvl w:val="0"/>
                <w:numId w:val="25"/>
              </w:numPr>
              <w:cnfStyle w:val="000000000000" w:firstRow="0" w:lastRow="0" w:firstColumn="0" w:lastColumn="0" w:oddVBand="0" w:evenVBand="0" w:oddHBand="0" w:evenHBand="0" w:firstRowFirstColumn="0" w:firstRowLastColumn="0" w:lastRowFirstColumn="0" w:lastRowLastColumn="0"/>
            </w:pPr>
            <w:r>
              <w:t>18.02</w:t>
            </w:r>
          </w:p>
        </w:tc>
      </w:tr>
      <w:tr w:rsidR="00BD3F83" w:rsidTr="006119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BD3F83" w:rsidRDefault="00BD3F83" w:rsidP="00BD3F83">
            <w:pPr>
              <w:numPr>
                <w:ilvl w:val="0"/>
                <w:numId w:val="25"/>
              </w:numPr>
            </w:pPr>
            <w:r>
              <w:t>Long rural</w:t>
            </w:r>
          </w:p>
        </w:tc>
        <w:tc>
          <w:tcPr>
            <w:tcW w:w="2220" w:type="dxa"/>
          </w:tcPr>
          <w:p w:rsidR="00BD3F83" w:rsidRDefault="00BD3F83" w:rsidP="00BD3F83">
            <w:pPr>
              <w:numPr>
                <w:ilvl w:val="0"/>
                <w:numId w:val="25"/>
              </w:numPr>
              <w:cnfStyle w:val="000000010000" w:firstRow="0" w:lastRow="0" w:firstColumn="0" w:lastColumn="0" w:oddVBand="0" w:evenVBand="0" w:oddHBand="0" w:evenHBand="1" w:firstRowFirstColumn="0" w:firstRowLastColumn="0" w:lastRowFirstColumn="0" w:lastRowLastColumn="0"/>
            </w:pPr>
            <w:r>
              <w:t>3.644</w:t>
            </w:r>
          </w:p>
        </w:tc>
        <w:tc>
          <w:tcPr>
            <w:tcW w:w="2221" w:type="dxa"/>
          </w:tcPr>
          <w:p w:rsidR="00BD3F83" w:rsidRDefault="00BD3F83" w:rsidP="00BD3F83">
            <w:pPr>
              <w:numPr>
                <w:ilvl w:val="0"/>
                <w:numId w:val="25"/>
              </w:numPr>
              <w:cnfStyle w:val="000000010000" w:firstRow="0" w:lastRow="0" w:firstColumn="0" w:lastColumn="0" w:oddVBand="0" w:evenVBand="0" w:oddHBand="0" w:evenHBand="1" w:firstRowFirstColumn="0" w:firstRowLastColumn="0" w:lastRowFirstColumn="0" w:lastRowLastColumn="0"/>
            </w:pPr>
            <w:r>
              <w:t>3.088</w:t>
            </w:r>
          </w:p>
        </w:tc>
        <w:tc>
          <w:tcPr>
            <w:tcW w:w="2221" w:type="dxa"/>
          </w:tcPr>
          <w:p w:rsidR="00BD3F83" w:rsidRDefault="00BD3F83" w:rsidP="00BD3F83">
            <w:pPr>
              <w:numPr>
                <w:ilvl w:val="0"/>
                <w:numId w:val="25"/>
              </w:numPr>
              <w:cnfStyle w:val="000000010000" w:firstRow="0" w:lastRow="0" w:firstColumn="0" w:lastColumn="0" w:oddVBand="0" w:evenVBand="0" w:oddHBand="0" w:evenHBand="1" w:firstRowFirstColumn="0" w:firstRowLastColumn="0" w:lastRowFirstColumn="0" w:lastRowLastColumn="0"/>
            </w:pPr>
            <w:r>
              <w:t>18.02</w:t>
            </w:r>
          </w:p>
        </w:tc>
      </w:tr>
    </w:tbl>
    <w:p w:rsidR="00465BB8" w:rsidRDefault="00465BB8" w:rsidP="00465BB8">
      <w:pPr>
        <w:pStyle w:val="AERtablesource"/>
      </w:pPr>
      <w:r>
        <w:t xml:space="preserve">Source: </w:t>
      </w:r>
      <w:r>
        <w:tab/>
      </w:r>
      <w:proofErr w:type="spellStart"/>
      <w:r w:rsidR="00BD3F83" w:rsidRPr="00224962">
        <w:t>Ausgrid</w:t>
      </w:r>
      <w:proofErr w:type="spellEnd"/>
      <w:r w:rsidR="00BD3F83" w:rsidRPr="00224962">
        <w:t xml:space="preserve">, </w:t>
      </w:r>
      <w:r w:rsidR="00BD3F83" w:rsidRPr="00477287">
        <w:rPr>
          <w:rStyle w:val="AERtextitalic"/>
        </w:rPr>
        <w:t xml:space="preserve">Attachment 3.02 proposed application of STPIS for the 2014–19 regulatory control </w:t>
      </w:r>
      <w:proofErr w:type="gramStart"/>
      <w:r w:rsidR="00BD3F83" w:rsidRPr="00477287">
        <w:rPr>
          <w:rStyle w:val="AERtextitalic"/>
        </w:rPr>
        <w:t>period</w:t>
      </w:r>
      <w:proofErr w:type="gramEnd"/>
      <w:r w:rsidR="00BD3F83">
        <w:t>, January 2015, p</w:t>
      </w:r>
      <w:r w:rsidR="00BD3F83">
        <w:rPr>
          <w:rFonts w:hint="eastAsia"/>
        </w:rPr>
        <w:t>.</w:t>
      </w:r>
      <w:r w:rsidR="00A13ED4">
        <w:t xml:space="preserve"> </w:t>
      </w:r>
      <w:r w:rsidR="00BD3F83">
        <w:t>6</w:t>
      </w:r>
      <w:r w:rsidR="00BD3F83">
        <w:rPr>
          <w:rFonts w:hint="eastAsia"/>
        </w:rPr>
        <w:t xml:space="preserve"> </w:t>
      </w:r>
      <w:r w:rsidR="00BD3F83">
        <w:t xml:space="preserve">and </w:t>
      </w:r>
      <w:r w:rsidR="00BD3F83" w:rsidRPr="00224962">
        <w:t>AER analysis</w:t>
      </w:r>
      <w:r w:rsidR="00BD3F83">
        <w:t>.</w:t>
      </w:r>
    </w:p>
    <w:p w:rsidR="00465BB8" w:rsidRDefault="00E246E0" w:rsidP="00465BB8">
      <w:r>
        <w:t>Consistent with our draft decision, w</w:t>
      </w:r>
      <w:r w:rsidR="00465BB8">
        <w:t xml:space="preserve">e consider the adjustments that we </w:t>
      </w:r>
      <w:r>
        <w:t>made</w:t>
      </w:r>
      <w:r w:rsidR="00465BB8">
        <w:t xml:space="preserve"> to </w:t>
      </w:r>
      <w:proofErr w:type="spellStart"/>
      <w:r w:rsidR="00465BB8">
        <w:t>Ausgrid's</w:t>
      </w:r>
      <w:proofErr w:type="spellEnd"/>
      <w:r w:rsidR="00465BB8">
        <w:t xml:space="preserve"> performance targets are conservative. W</w:t>
      </w:r>
      <w:r w:rsidR="00465BB8" w:rsidRPr="00C0140D">
        <w:t xml:space="preserve">e are </w:t>
      </w:r>
      <w:r w:rsidR="00465BB8">
        <w:t>un</w:t>
      </w:r>
      <w:r w:rsidR="00465BB8" w:rsidRPr="00C0140D">
        <w:t xml:space="preserve">certain of the extent and time lag between the completion of new projects and the measured </w:t>
      </w:r>
      <w:r w:rsidR="00465BB8">
        <w:t>SAIDI and SAIFI performance</w:t>
      </w:r>
      <w:r w:rsidR="00465BB8" w:rsidRPr="00C0140D">
        <w:t>.</w:t>
      </w:r>
      <w:r w:rsidR="00465BB8">
        <w:t xml:space="preserve"> Therefore we have not applied any lagged effect</w:t>
      </w:r>
      <w:r w:rsidR="00465BB8" w:rsidRPr="00887369">
        <w:t>s using the trend analysis.</w:t>
      </w:r>
      <w:r w:rsidR="00465BB8">
        <w:t xml:space="preserve"> Any lagged effect would further reduce the performance targets (</w:t>
      </w:r>
      <w:proofErr w:type="spellStart"/>
      <w:r w:rsidR="00465BB8">
        <w:t>ie</w:t>
      </w:r>
      <w:proofErr w:type="spellEnd"/>
      <w:r w:rsidR="00465BB8">
        <w:t xml:space="preserve"> is more stringent) than we have proposed. Given there is uncertainty of what the N-1 expenditure would deliver in terms of supply reliability in the 2015–19 regulatory control period, we consider it is reasonable to apply a lower revenue at risk and lower incentive rates to reduce the risk to consumers and </w:t>
      </w:r>
      <w:proofErr w:type="spellStart"/>
      <w:r w:rsidR="00465BB8">
        <w:t>Ausgrid</w:t>
      </w:r>
      <w:proofErr w:type="spellEnd"/>
      <w:r w:rsidR="00465BB8">
        <w:t xml:space="preserve">. </w:t>
      </w:r>
    </w:p>
    <w:p w:rsidR="00465BB8" w:rsidRPr="001134C4" w:rsidRDefault="00666D24" w:rsidP="007153DE">
      <w:pPr>
        <w:pStyle w:val="HeadingBoldBlue"/>
      </w:pPr>
      <w:r>
        <w:rPr>
          <w:rFonts w:hint="eastAsia"/>
        </w:rPr>
        <w:t xml:space="preserve"> </w:t>
      </w:r>
      <w:r w:rsidR="00465BB8">
        <w:t>Incentive rates</w:t>
      </w:r>
    </w:p>
    <w:p w:rsidR="00465BB8" w:rsidRDefault="00465BB8" w:rsidP="00465BB8">
      <w:pPr>
        <w:numPr>
          <w:ilvl w:val="0"/>
          <w:numId w:val="25"/>
        </w:numPr>
      </w:pPr>
      <w:r>
        <w:t>Clause 6.6.2(b</w:t>
      </w:r>
      <w:proofErr w:type="gramStart"/>
      <w:r>
        <w:t>)(</w:t>
      </w:r>
      <w:proofErr w:type="gramEnd"/>
      <w:r>
        <w:t xml:space="preserve">3) of the NER stipulates that we must take into account the willingness of the customer to pay for improved service performance when developing and implementing a STPIS. The incentive rates in the STPIS are based on measures of customers willingness to pay for performance, specifically, the value that customers place on supply reliability, referred to as the VCR. </w:t>
      </w:r>
    </w:p>
    <w:p w:rsidR="00465BB8" w:rsidRDefault="00502ADD" w:rsidP="00465BB8">
      <w:r>
        <w:rPr>
          <w:rFonts w:hint="eastAsia"/>
        </w:rPr>
        <w:t>In the draft decision, w</w:t>
      </w:r>
      <w:r>
        <w:t>e note</w:t>
      </w:r>
      <w:r>
        <w:rPr>
          <w:rFonts w:hint="eastAsia"/>
        </w:rPr>
        <w:t>d</w:t>
      </w:r>
      <w:r>
        <w:t xml:space="preserve"> the</w:t>
      </w:r>
      <w:r w:rsidRPr="00844D57">
        <w:t xml:space="preserve"> AEMO has carried out a review of the VCR and published the final results in September 2014.</w:t>
      </w:r>
      <w:r>
        <w:rPr>
          <w:rFonts w:hint="eastAsia"/>
        </w:rPr>
        <w:t xml:space="preserve"> We</w:t>
      </w:r>
      <w:r w:rsidR="00465BB8">
        <w:t xml:space="preserve"> propose</w:t>
      </w:r>
      <w:r>
        <w:rPr>
          <w:rFonts w:hint="eastAsia"/>
        </w:rPr>
        <w:t>d</w:t>
      </w:r>
      <w:r w:rsidR="00465BB8">
        <w:t xml:space="preserve"> to apply the 2014 AEMO NSW VCR to calculate the incentive rates for </w:t>
      </w:r>
      <w:proofErr w:type="spellStart"/>
      <w:r w:rsidR="00465BB8">
        <w:t>Ausgrid</w:t>
      </w:r>
      <w:proofErr w:type="spellEnd"/>
      <w:r w:rsidR="00465BB8">
        <w:t xml:space="preserve"> as it better meets the STPIS </w:t>
      </w:r>
      <w:r w:rsidR="00465BB8">
        <w:lastRenderedPageBreak/>
        <w:t>objective.</w:t>
      </w:r>
      <w:r w:rsidR="00465BB8" w:rsidRPr="00C57EF6">
        <w:rPr>
          <w:rStyle w:val="AERsuperscript"/>
        </w:rPr>
        <w:footnoteReference w:id="28"/>
      </w:r>
      <w:r w:rsidR="00465BB8" w:rsidRPr="00844D57">
        <w:t xml:space="preserve"> </w:t>
      </w:r>
      <w:r w:rsidR="006F23BA">
        <w:t>The EUAA agreed with us that the incentive rates under the scheme should be based on the AEMO September 2014 VCR values as they were determined through a robust method and represent the best available information for this purpose.</w:t>
      </w:r>
      <w:r w:rsidR="006F23BA">
        <w:rPr>
          <w:rStyle w:val="FootnoteReference"/>
        </w:rPr>
        <w:footnoteReference w:id="29"/>
      </w:r>
    </w:p>
    <w:p w:rsidR="00701360" w:rsidRDefault="00701360" w:rsidP="00701360">
      <w:pPr>
        <w:numPr>
          <w:ilvl w:val="0"/>
          <w:numId w:val="25"/>
        </w:numPr>
      </w:pPr>
      <w:proofErr w:type="spellStart"/>
      <w:r>
        <w:t>Ausgrid</w:t>
      </w:r>
      <w:proofErr w:type="spellEnd"/>
      <w:r>
        <w:t xml:space="preserve"> accepted this new AEMO VCR in the revised proposal. However, it noted the September 2014 VCR should be indexed to July 2015</w:t>
      </w:r>
      <w:r w:rsidR="000E73D8">
        <w:t xml:space="preserve"> as it is</w:t>
      </w:r>
      <w:r>
        <w:t xml:space="preserve"> consistent with the approach set out in the STPIS.</w:t>
      </w:r>
      <w:r w:rsidR="000E73D8">
        <w:rPr>
          <w:rStyle w:val="FootnoteReference"/>
        </w:rPr>
        <w:footnoteReference w:id="30"/>
      </w:r>
      <w:r>
        <w:t xml:space="preserve"> We accept that the AEMO VCR should be indexed to the start of the regulatory control period by applying the appropriate CPI adjustment. We consider the reasonable adjustment is nine months (or 75 per cent) of the annual RBA inflation target of 2.5 per cent, which is1.875 per cent.</w:t>
      </w:r>
      <w:r w:rsidR="000E73D8">
        <w:t xml:space="preserve"> This adjustment is also consistent with the value proposed by </w:t>
      </w:r>
      <w:proofErr w:type="spellStart"/>
      <w:r w:rsidR="000E73D8">
        <w:t>Ausgrid</w:t>
      </w:r>
      <w:proofErr w:type="spellEnd"/>
      <w:r w:rsidR="000E73D8">
        <w:t>.</w:t>
      </w:r>
      <w:r w:rsidR="000E73D8">
        <w:rPr>
          <w:rStyle w:val="FootnoteReference"/>
        </w:rPr>
        <w:footnoteReference w:id="31"/>
      </w:r>
    </w:p>
    <w:p w:rsidR="000E73D8" w:rsidRDefault="00701360" w:rsidP="00465BB8">
      <w:r>
        <w:t>In the draft decision, we also proposed to use a VCR of $</w:t>
      </w:r>
      <w:r w:rsidRPr="00FF0822">
        <w:t>76</w:t>
      </w:r>
      <w:r>
        <w:t>,</w:t>
      </w:r>
      <w:r w:rsidRPr="00FF0822">
        <w:t>700/</w:t>
      </w:r>
      <w:proofErr w:type="spellStart"/>
      <w:r w:rsidRPr="00FF0822">
        <w:t>MWh</w:t>
      </w:r>
      <w:proofErr w:type="spellEnd"/>
      <w:r w:rsidRPr="00FF0822">
        <w:t xml:space="preserve"> for CBD feeder type</w:t>
      </w:r>
      <w:r>
        <w:t xml:space="preserve">, which was </w:t>
      </w:r>
      <w:r w:rsidRPr="001B48A2">
        <w:t>doubl</w:t>
      </w:r>
      <w:r w:rsidR="000E73D8">
        <w:t>ing</w:t>
      </w:r>
      <w:r w:rsidRPr="001B48A2">
        <w:t xml:space="preserve"> the value for urban and rural customers. This </w:t>
      </w:r>
      <w:r>
        <w:t>was</w:t>
      </w:r>
      <w:r w:rsidRPr="001B48A2">
        <w:t xml:space="preserve"> consistent with the </w:t>
      </w:r>
      <w:r w:rsidR="000E73D8">
        <w:t xml:space="preserve">previous </w:t>
      </w:r>
      <w:r w:rsidRPr="001B48A2">
        <w:t>VCR values set out in the STPIS.</w:t>
      </w:r>
      <w:r>
        <w:t xml:space="preserve"> However, we note the AEMO</w:t>
      </w:r>
      <w:r w:rsidR="000E73D8">
        <w:t>'s</w:t>
      </w:r>
      <w:r>
        <w:t xml:space="preserve"> estimated Commercial VCR </w:t>
      </w:r>
      <w:r w:rsidRPr="000E488E">
        <w:t>is significantly less than the doubling of the NSW state average VCR</w:t>
      </w:r>
      <w:r>
        <w:t xml:space="preserve"> of 38,350/</w:t>
      </w:r>
      <w:proofErr w:type="spellStart"/>
      <w:r>
        <w:t>MWh</w:t>
      </w:r>
      <w:proofErr w:type="spellEnd"/>
      <w:r w:rsidRPr="000E488E">
        <w:t xml:space="preserve">. </w:t>
      </w:r>
      <w:r>
        <w:t xml:space="preserve">We consider a </w:t>
      </w:r>
      <w:r w:rsidRPr="00A33168">
        <w:t>more reflective VCR value for CBD feeders</w:t>
      </w:r>
      <w:r>
        <w:t xml:space="preserve"> </w:t>
      </w:r>
      <w:r w:rsidRPr="00A33168">
        <w:t xml:space="preserve">based on energy consumption by user types as </w:t>
      </w:r>
      <w:r>
        <w:t xml:space="preserve">set out in the </w:t>
      </w:r>
      <w:r w:rsidRPr="00A33168">
        <w:t>AEMO’s VCR application guide</w:t>
      </w:r>
      <w:r>
        <w:t xml:space="preserve"> should be used.  Based on the information submitted by </w:t>
      </w:r>
      <w:proofErr w:type="spellStart"/>
      <w:r>
        <w:t>Ausgrid</w:t>
      </w:r>
      <w:proofErr w:type="spellEnd"/>
      <w:r>
        <w:t xml:space="preserve"> on 27 February 2015, we estimated the VCR for NSW CBD feeder to be $44,170/</w:t>
      </w:r>
      <w:proofErr w:type="spellStart"/>
      <w:r>
        <w:t>MWh</w:t>
      </w:r>
      <w:proofErr w:type="spellEnd"/>
      <w:r w:rsidR="000E73D8">
        <w:t xml:space="preserve">. </w:t>
      </w:r>
    </w:p>
    <w:p w:rsidR="00502ADD" w:rsidRDefault="00701360" w:rsidP="00465BB8">
      <w:r>
        <w:fldChar w:fldCharType="begin"/>
      </w:r>
      <w:r>
        <w:instrText xml:space="preserve"> REF _Ref401745292 \h </w:instrText>
      </w:r>
      <w:r>
        <w:fldChar w:fldCharType="separate"/>
      </w:r>
      <w:r w:rsidR="009B5A19">
        <w:t xml:space="preserve">Table </w:t>
      </w:r>
      <w:r w:rsidR="009B5A19">
        <w:rPr>
          <w:noProof/>
        </w:rPr>
        <w:t>11</w:t>
      </w:r>
      <w:r w:rsidR="009B5A19" w:rsidRPr="007F3E1D">
        <w:t>-</w:t>
      </w:r>
      <w:r w:rsidR="009B5A19">
        <w:rPr>
          <w:noProof/>
        </w:rPr>
        <w:t>2</w:t>
      </w:r>
      <w:r>
        <w:fldChar w:fldCharType="end"/>
      </w:r>
      <w:r w:rsidRPr="005D235F">
        <w:t xml:space="preserve"> sets out </w:t>
      </w:r>
      <w:r>
        <w:rPr>
          <w:rFonts w:hint="eastAsia"/>
        </w:rPr>
        <w:t>the</w:t>
      </w:r>
      <w:r>
        <w:t xml:space="preserve"> incentive rates that will</w:t>
      </w:r>
      <w:r w:rsidRPr="005D235F">
        <w:t xml:space="preserve"> apply to </w:t>
      </w:r>
      <w:proofErr w:type="spellStart"/>
      <w:r>
        <w:t>Ausgrid</w:t>
      </w:r>
      <w:r w:rsidRPr="005D235F">
        <w:t>'s</w:t>
      </w:r>
      <w:proofErr w:type="spellEnd"/>
      <w:r w:rsidRPr="005D235F">
        <w:t xml:space="preserve"> SAIDI and SAIFI targets calculated based on th</w:t>
      </w:r>
      <w:r>
        <w:t>ese</w:t>
      </w:r>
      <w:r w:rsidRPr="005D235F">
        <w:t xml:space="preserve"> revised VCR value</w:t>
      </w:r>
      <w:r>
        <w:t>s.</w:t>
      </w:r>
    </w:p>
    <w:p w:rsidR="00465BB8" w:rsidRDefault="00465BB8" w:rsidP="00230C9F">
      <w:pPr>
        <w:pStyle w:val="Heading3"/>
      </w:pPr>
      <w:bookmarkStart w:id="36" w:name="_Toc404362400"/>
      <w:bookmarkStart w:id="37" w:name="_Toc417914691"/>
      <w:r>
        <w:t>Customer service component</w:t>
      </w:r>
      <w:bookmarkEnd w:id="36"/>
      <w:bookmarkEnd w:id="37"/>
    </w:p>
    <w:p w:rsidR="001F4CC5" w:rsidRDefault="00465BB8" w:rsidP="001F4CC5">
      <w:pPr>
        <w:numPr>
          <w:ilvl w:val="0"/>
          <w:numId w:val="25"/>
        </w:numPr>
      </w:pPr>
      <w:r>
        <w:t xml:space="preserve">The telephone answering parameter measures the proportion of calls forwarded to an operator that are answered in 30 seconds. </w:t>
      </w:r>
      <w:r w:rsidR="00D4700A">
        <w:rPr>
          <w:rFonts w:hint="eastAsia"/>
        </w:rPr>
        <w:t xml:space="preserve">We accepted </w:t>
      </w:r>
      <w:proofErr w:type="spellStart"/>
      <w:r w:rsidR="00D4700A">
        <w:t>Ausgrid</w:t>
      </w:r>
      <w:proofErr w:type="spellEnd"/>
      <w:r w:rsidR="00D4700A">
        <w:t xml:space="preserve"> propos</w:t>
      </w:r>
      <w:r w:rsidR="00D4700A">
        <w:rPr>
          <w:rFonts w:hint="eastAsia"/>
        </w:rPr>
        <w:t>al</w:t>
      </w:r>
      <w:r>
        <w:t xml:space="preserve"> to set the telephone answering target at 75 per cent </w:t>
      </w:r>
      <w:r w:rsidR="00D4700A">
        <w:rPr>
          <w:rFonts w:hint="eastAsia"/>
        </w:rPr>
        <w:t>in the draft decision</w:t>
      </w:r>
      <w:r>
        <w:t>.</w:t>
      </w:r>
      <w:r w:rsidR="001F4CC5">
        <w:rPr>
          <w:rFonts w:hint="eastAsia"/>
        </w:rPr>
        <w:t xml:space="preserve"> We also accepted </w:t>
      </w:r>
      <w:proofErr w:type="spellStart"/>
      <w:r w:rsidR="001F4CC5">
        <w:rPr>
          <w:rFonts w:hint="eastAsia"/>
        </w:rPr>
        <w:t>Ausgrid's</w:t>
      </w:r>
      <w:proofErr w:type="spellEnd"/>
      <w:r w:rsidR="001F4CC5">
        <w:rPr>
          <w:rFonts w:hint="eastAsia"/>
        </w:rPr>
        <w:t xml:space="preserve"> proposed incentive rate for the telephone answering parameter of </w:t>
      </w:r>
      <w:r w:rsidRPr="00465BB8">
        <w:t>–</w:t>
      </w:r>
      <w:r>
        <w:t>0.04 per cent per unit.</w:t>
      </w:r>
      <w:r w:rsidR="000E73D8">
        <w:rPr>
          <w:rStyle w:val="FootnoteReference"/>
        </w:rPr>
        <w:footnoteReference w:id="32"/>
      </w:r>
      <w:r w:rsidR="001F4CC5" w:rsidRPr="001F4CC5">
        <w:rPr>
          <w:rFonts w:hint="eastAsia"/>
        </w:rPr>
        <w:t xml:space="preserve"> </w:t>
      </w:r>
      <w:proofErr w:type="spellStart"/>
      <w:r w:rsidR="001F4CC5">
        <w:rPr>
          <w:rFonts w:hint="eastAsia"/>
        </w:rPr>
        <w:t>Ausgrid</w:t>
      </w:r>
      <w:proofErr w:type="spellEnd"/>
      <w:r w:rsidR="001F4CC5">
        <w:rPr>
          <w:rFonts w:hint="eastAsia"/>
        </w:rPr>
        <w:t xml:space="preserve"> did not propose alternative </w:t>
      </w:r>
      <w:r w:rsidR="000E73D8">
        <w:t>values</w:t>
      </w:r>
      <w:r w:rsidR="001F4CC5">
        <w:rPr>
          <w:rFonts w:hint="eastAsia"/>
        </w:rPr>
        <w:t xml:space="preserve"> in the revised </w:t>
      </w:r>
      <w:proofErr w:type="gramStart"/>
      <w:r w:rsidR="001F4CC5">
        <w:rPr>
          <w:rFonts w:hint="eastAsia"/>
        </w:rPr>
        <w:t>proposal,</w:t>
      </w:r>
      <w:proofErr w:type="gramEnd"/>
      <w:r w:rsidR="001F4CC5">
        <w:rPr>
          <w:rFonts w:hint="eastAsia"/>
        </w:rPr>
        <w:t xml:space="preserve"> therefore we maintain this </w:t>
      </w:r>
      <w:r w:rsidR="00736D86">
        <w:t>finding</w:t>
      </w:r>
      <w:r w:rsidR="00736D86">
        <w:rPr>
          <w:rFonts w:hint="eastAsia"/>
        </w:rPr>
        <w:t xml:space="preserve"> </w:t>
      </w:r>
      <w:r w:rsidR="001F4CC5">
        <w:rPr>
          <w:rFonts w:hint="eastAsia"/>
        </w:rPr>
        <w:t>in this final decision.</w:t>
      </w:r>
      <w:r w:rsidR="001F4CC5">
        <w:rPr>
          <w:rStyle w:val="FootnoteReference"/>
        </w:rPr>
        <w:footnoteReference w:id="33"/>
      </w:r>
    </w:p>
    <w:p w:rsidR="00465BB8" w:rsidRDefault="00465BB8" w:rsidP="001F4CC5">
      <w:pPr>
        <w:numPr>
          <w:ilvl w:val="0"/>
          <w:numId w:val="25"/>
        </w:numPr>
      </w:pPr>
    </w:p>
    <w:p w:rsidR="004F6A0E" w:rsidRDefault="004F6A0E" w:rsidP="002C233C"/>
    <w:sectPr w:rsidR="004F6A0E"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92F" w:rsidRPr="00290C63" w:rsidRDefault="004D592F" w:rsidP="00290C63">
      <w:r>
        <w:separator/>
      </w:r>
    </w:p>
    <w:p w:rsidR="004D592F" w:rsidRDefault="004D592F"/>
  </w:endnote>
  <w:endnote w:type="continuationSeparator" w:id="0">
    <w:p w:rsidR="004D592F" w:rsidRPr="00290C63" w:rsidRDefault="004D592F" w:rsidP="00290C63">
      <w:r>
        <w:continuationSeparator/>
      </w:r>
    </w:p>
    <w:p w:rsidR="004D592F" w:rsidRDefault="004D59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92F" w:rsidRPr="00290C63" w:rsidRDefault="004D592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4D592F" w:rsidRDefault="004D592F"/>
  <w:p w:rsidR="004D592F" w:rsidRDefault="004D592F"/>
  <w:p w:rsidR="004D592F" w:rsidRDefault="004D592F"/>
  <w:p w:rsidR="004D592F" w:rsidRDefault="004D592F"/>
  <w:p w:rsidR="004D592F" w:rsidRDefault="004D592F"/>
  <w:p w:rsidR="004D592F" w:rsidRDefault="004D592F"/>
  <w:p w:rsidR="004D592F" w:rsidRDefault="004D59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4D592F" w:rsidRPr="009B6F84" w:rsidRDefault="004D592F">
        <w:pPr>
          <w:pStyle w:val="Footer"/>
          <w:rPr>
            <w:sz w:val="20"/>
          </w:rPr>
        </w:pPr>
        <w:r>
          <w:fldChar w:fldCharType="begin"/>
        </w:r>
        <w:r>
          <w:instrText xml:space="preserve"> PAGE   \* MERGEFORMAT </w:instrText>
        </w:r>
        <w:r>
          <w:fldChar w:fldCharType="separate"/>
        </w:r>
        <w:r w:rsidR="007326F0">
          <w:rPr>
            <w:noProof/>
          </w:rPr>
          <w:t>11-16</w:t>
        </w:r>
        <w:r>
          <w:rPr>
            <w:noProof/>
          </w:rPr>
          <w:fldChar w:fldCharType="end"/>
        </w:r>
        <w:r>
          <w:rPr>
            <w:noProof/>
          </w:rPr>
          <w:t xml:space="preserve">          </w:t>
        </w:r>
        <w:r w:rsidRPr="00901C3C">
          <w:t xml:space="preserve">Service target performance incentive scheme </w:t>
        </w:r>
        <w:r w:rsidRPr="009B6F84">
          <w:rPr>
            <w:rFonts w:cs="Gautami"/>
            <w:noProof/>
            <w:szCs w:val="16"/>
          </w:rPr>
          <w:t>| Ausgrid Final decision</w:t>
        </w:r>
        <w:r w:rsidRPr="009B6F84">
          <w:rPr>
            <w:sz w:val="20"/>
          </w:rPr>
          <w:t xml:space="preserve"> </w:t>
        </w:r>
        <w:r w:rsidRPr="009B6F84">
          <w:rPr>
            <w:rFonts w:cs="Gautami"/>
            <w:noProof/>
            <w:szCs w:val="16"/>
          </w:rPr>
          <w:t>2015–19</w:t>
        </w:r>
      </w:p>
    </w:sdtContent>
  </w:sdt>
  <w:p w:rsidR="004D592F" w:rsidRDefault="004D59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92F" w:rsidRPr="00290C63" w:rsidRDefault="004D592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4D592F" w:rsidRDefault="004D592F">
    <w:pPr>
      <w:pStyle w:val="Footer"/>
    </w:pPr>
  </w:p>
  <w:p w:rsidR="004D592F" w:rsidRDefault="004D592F"/>
  <w:p w:rsidR="004D592F" w:rsidRDefault="004D592F"/>
  <w:p w:rsidR="004D592F" w:rsidRDefault="004D592F"/>
  <w:p w:rsidR="004D592F" w:rsidRDefault="004D592F"/>
  <w:p w:rsidR="004D592F" w:rsidRDefault="004D592F"/>
  <w:p w:rsidR="004D592F" w:rsidRDefault="004D592F"/>
  <w:p w:rsidR="004D592F" w:rsidRDefault="004D59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92F" w:rsidRPr="00290C63" w:rsidRDefault="004D592F" w:rsidP="00290C63">
      <w:r>
        <w:separator/>
      </w:r>
    </w:p>
    <w:p w:rsidR="004D592F" w:rsidRDefault="004D592F"/>
  </w:footnote>
  <w:footnote w:type="continuationSeparator" w:id="0">
    <w:p w:rsidR="004D592F" w:rsidRPr="00290C63" w:rsidRDefault="004D592F" w:rsidP="00290C63">
      <w:r>
        <w:continuationSeparator/>
      </w:r>
    </w:p>
    <w:p w:rsidR="004D592F" w:rsidRDefault="004D592F"/>
  </w:footnote>
  <w:footnote w:id="1">
    <w:p w:rsidR="004D592F" w:rsidRDefault="004D592F" w:rsidP="002406B0">
      <w:pPr>
        <w:pStyle w:val="FootnoteText"/>
      </w:pPr>
      <w:r>
        <w:rPr>
          <w:rStyle w:val="FootnoteReference"/>
        </w:rPr>
        <w:footnoteRef/>
      </w:r>
      <w:r>
        <w:t xml:space="preserve"> </w:t>
      </w:r>
      <w:r>
        <w:tab/>
      </w:r>
      <w:r w:rsidRPr="005D44E7">
        <w:t xml:space="preserve">AER, </w:t>
      </w:r>
      <w:r w:rsidRPr="000565BE">
        <w:rPr>
          <w:rStyle w:val="AERtextitalic"/>
        </w:rPr>
        <w:t>Electricity distribution network service providers—service target performance incentive scheme</w:t>
      </w:r>
      <w:r w:rsidRPr="005D44E7">
        <w:t xml:space="preserve">, 1 November 2009. </w:t>
      </w:r>
      <w:proofErr w:type="gramStart"/>
      <w:r w:rsidRPr="005D44E7">
        <w:t xml:space="preserve">(AER, </w:t>
      </w:r>
      <w:r w:rsidRPr="000565BE">
        <w:rPr>
          <w:rStyle w:val="AERtextitalic"/>
        </w:rPr>
        <w:t>Electricity distribution STPIS</w:t>
      </w:r>
      <w:r w:rsidRPr="005D44E7">
        <w:t>, Nov 2009).</w:t>
      </w:r>
      <w:proofErr w:type="gramEnd"/>
    </w:p>
  </w:footnote>
  <w:footnote w:id="2">
    <w:p w:rsidR="004D592F" w:rsidRDefault="004D592F" w:rsidP="002406B0">
      <w:pPr>
        <w:pStyle w:val="FootnoteText"/>
      </w:pPr>
      <w:r>
        <w:rPr>
          <w:rStyle w:val="FootnoteReference"/>
        </w:rPr>
        <w:footnoteRef/>
      </w:r>
      <w:r>
        <w:t xml:space="preserve"> </w:t>
      </w:r>
      <w:r>
        <w:tab/>
        <w:t xml:space="preserve">AER, </w:t>
      </w:r>
      <w:r w:rsidRPr="000565BE">
        <w:rPr>
          <w:rStyle w:val="AERtextitalic"/>
        </w:rPr>
        <w:t>Electricity distribution STPIS</w:t>
      </w:r>
      <w:r w:rsidRPr="005D44E7">
        <w:t>, Nov 2009</w:t>
      </w:r>
      <w:r>
        <w:t>, p. 3</w:t>
      </w:r>
    </w:p>
  </w:footnote>
  <w:footnote w:id="3">
    <w:p w:rsidR="004D592F" w:rsidRDefault="004D592F" w:rsidP="002406B0">
      <w:pPr>
        <w:pStyle w:val="FootnoteText"/>
      </w:pPr>
      <w:r>
        <w:rPr>
          <w:rStyle w:val="FootnoteReference"/>
        </w:rPr>
        <w:footnoteRef/>
      </w:r>
      <w:r>
        <w:t xml:space="preserve"> </w:t>
      </w:r>
      <w:r>
        <w:tab/>
        <w:t xml:space="preserve">AER, </w:t>
      </w:r>
      <w:r w:rsidRPr="003013C3">
        <w:rPr>
          <w:rStyle w:val="AERtextitalic"/>
        </w:rPr>
        <w:t>Draft decision attachment 11: Service target performance incentive scheme</w:t>
      </w:r>
      <w:r>
        <w:t>, November 2014.</w:t>
      </w:r>
    </w:p>
  </w:footnote>
  <w:footnote w:id="4">
    <w:p w:rsidR="004D592F" w:rsidRDefault="004D592F">
      <w:pPr>
        <w:pStyle w:val="FootnoteText"/>
      </w:pPr>
      <w:r>
        <w:rPr>
          <w:rStyle w:val="FootnoteReference"/>
        </w:rPr>
        <w:footnoteRef/>
      </w:r>
      <w:r>
        <w:t xml:space="preserve"> </w:t>
      </w:r>
      <w:r>
        <w:tab/>
      </w:r>
      <w:proofErr w:type="spellStart"/>
      <w:r>
        <w:t>Ausgrid</w:t>
      </w:r>
      <w:proofErr w:type="spellEnd"/>
      <w:r>
        <w:t xml:space="preserve">, </w:t>
      </w:r>
      <w:r w:rsidRPr="00477287">
        <w:rPr>
          <w:rStyle w:val="AERtextitalic"/>
        </w:rPr>
        <w:t xml:space="preserve">Attachment 3.02 proposed application of STPIS for the 2014–19 regulatory control </w:t>
      </w:r>
      <w:proofErr w:type="gramStart"/>
      <w:r w:rsidRPr="00477287">
        <w:rPr>
          <w:rStyle w:val="AERtextitalic"/>
        </w:rPr>
        <w:t>period</w:t>
      </w:r>
      <w:proofErr w:type="gramEnd"/>
      <w:r>
        <w:t>, January 2015, pp. 1-9.</w:t>
      </w:r>
    </w:p>
  </w:footnote>
  <w:footnote w:id="5">
    <w:p w:rsidR="004D592F" w:rsidRDefault="004D592F" w:rsidP="002054D7">
      <w:pPr>
        <w:pStyle w:val="FootnoteText"/>
      </w:pPr>
      <w:r>
        <w:rPr>
          <w:rStyle w:val="FootnoteReference"/>
        </w:rPr>
        <w:footnoteRef/>
      </w:r>
      <w:r>
        <w:t xml:space="preserve"> </w:t>
      </w:r>
      <w:r>
        <w:tab/>
      </w:r>
      <w:proofErr w:type="spellStart"/>
      <w:r>
        <w:t>Ausgrid</w:t>
      </w:r>
      <w:proofErr w:type="spellEnd"/>
      <w:r>
        <w:t xml:space="preserve">, </w:t>
      </w:r>
      <w:r w:rsidRPr="00477287">
        <w:rPr>
          <w:rStyle w:val="AERtextitalic"/>
        </w:rPr>
        <w:t xml:space="preserve">Attachment 3.02 proposed application of STPIS for the 2014–19 regulatory control </w:t>
      </w:r>
      <w:proofErr w:type="gramStart"/>
      <w:r w:rsidRPr="00477287">
        <w:rPr>
          <w:rStyle w:val="AERtextitalic"/>
        </w:rPr>
        <w:t>period</w:t>
      </w:r>
      <w:proofErr w:type="gramEnd"/>
      <w:r>
        <w:t>, January 2015, p. 5.</w:t>
      </w:r>
    </w:p>
  </w:footnote>
  <w:footnote w:id="6">
    <w:p w:rsidR="004D592F" w:rsidRDefault="004D592F" w:rsidP="00385157">
      <w:pPr>
        <w:pStyle w:val="FootnoteText"/>
      </w:pPr>
      <w:r>
        <w:rPr>
          <w:rStyle w:val="FootnoteReference"/>
        </w:rPr>
        <w:footnoteRef/>
      </w:r>
      <w:r>
        <w:t xml:space="preserve"> </w:t>
      </w:r>
      <w:r>
        <w:tab/>
        <w:t xml:space="preserve">AER, </w:t>
      </w:r>
      <w:r w:rsidRPr="003013C3">
        <w:rPr>
          <w:rStyle w:val="AERtextitalic"/>
        </w:rPr>
        <w:t>Draft decision attachment 11: Service target performance incentive scheme</w:t>
      </w:r>
      <w:r>
        <w:t>, November 2014, p. 13.</w:t>
      </w:r>
    </w:p>
  </w:footnote>
  <w:footnote w:id="7">
    <w:p w:rsidR="004D592F" w:rsidRDefault="004D592F">
      <w:pPr>
        <w:pStyle w:val="FootnoteText"/>
      </w:pPr>
      <w:r>
        <w:rPr>
          <w:rStyle w:val="FootnoteReference"/>
        </w:rPr>
        <w:footnoteRef/>
      </w:r>
      <w:r>
        <w:t xml:space="preserve"> </w:t>
      </w:r>
      <w:r>
        <w:tab/>
      </w:r>
      <w:proofErr w:type="spellStart"/>
      <w:r>
        <w:t>Ausgrid</w:t>
      </w:r>
      <w:proofErr w:type="spellEnd"/>
      <w:r>
        <w:t xml:space="preserve">, </w:t>
      </w:r>
      <w:r w:rsidRPr="00477287">
        <w:rPr>
          <w:rStyle w:val="AERtextitalic"/>
        </w:rPr>
        <w:t xml:space="preserve">Attachment 3.02 proposed application of STPIS for the 2014–19 regulatory control </w:t>
      </w:r>
      <w:proofErr w:type="gramStart"/>
      <w:r w:rsidRPr="00477287">
        <w:rPr>
          <w:rStyle w:val="AERtextitalic"/>
        </w:rPr>
        <w:t>period</w:t>
      </w:r>
      <w:proofErr w:type="gramEnd"/>
      <w:r>
        <w:t>, January 2015, pp. 6–7.</w:t>
      </w:r>
    </w:p>
  </w:footnote>
  <w:footnote w:id="8">
    <w:p w:rsidR="004D592F" w:rsidRDefault="004D592F" w:rsidP="001D51B3">
      <w:pPr>
        <w:pStyle w:val="FootnoteText"/>
      </w:pPr>
      <w:r>
        <w:rPr>
          <w:rStyle w:val="FootnoteReference"/>
        </w:rPr>
        <w:footnoteRef/>
      </w:r>
      <w:r>
        <w:t xml:space="preserve"> </w:t>
      </w:r>
      <w:r>
        <w:tab/>
      </w:r>
      <w:proofErr w:type="spellStart"/>
      <w:r>
        <w:t>Ausgrid</w:t>
      </w:r>
      <w:proofErr w:type="spellEnd"/>
      <w:r>
        <w:t xml:space="preserve">, </w:t>
      </w:r>
      <w:r w:rsidRPr="001D51B3">
        <w:rPr>
          <w:rStyle w:val="AERtextitalic"/>
        </w:rPr>
        <w:t>Revised Regulatory Proposal and Preliminary Submission 1 July 2014 – 30 June 2019</w:t>
      </w:r>
      <w:r>
        <w:t>, 20 January 2015, p. 55</w:t>
      </w:r>
    </w:p>
  </w:footnote>
  <w:footnote w:id="9">
    <w:p w:rsidR="004D592F" w:rsidRDefault="004D592F">
      <w:pPr>
        <w:pStyle w:val="FootnoteText"/>
      </w:pPr>
      <w:r>
        <w:rPr>
          <w:rStyle w:val="FootnoteReference"/>
        </w:rPr>
        <w:footnoteRef/>
      </w:r>
      <w:r>
        <w:t xml:space="preserve"> </w:t>
      </w:r>
      <w:r>
        <w:tab/>
      </w:r>
      <w:proofErr w:type="spellStart"/>
      <w:r>
        <w:t>Ausgrid</w:t>
      </w:r>
      <w:proofErr w:type="spellEnd"/>
      <w:r>
        <w:t xml:space="preserve">, </w:t>
      </w:r>
      <w:r w:rsidRPr="00477287">
        <w:rPr>
          <w:rStyle w:val="AERtextitalic"/>
        </w:rPr>
        <w:t xml:space="preserve">Attachment 3.02 proposed application of STPIS for the 2014–19 regulatory control </w:t>
      </w:r>
      <w:proofErr w:type="gramStart"/>
      <w:r w:rsidRPr="00477287">
        <w:rPr>
          <w:rStyle w:val="AERtextitalic"/>
        </w:rPr>
        <w:t>period</w:t>
      </w:r>
      <w:proofErr w:type="gramEnd"/>
      <w:r>
        <w:t>, January 2015, pp. 4–8.</w:t>
      </w:r>
    </w:p>
  </w:footnote>
  <w:footnote w:id="10">
    <w:p w:rsidR="004D592F" w:rsidRDefault="004D592F" w:rsidP="00F03F4D">
      <w:pPr>
        <w:pStyle w:val="FootnoteText"/>
      </w:pPr>
      <w:r>
        <w:rPr>
          <w:rStyle w:val="FootnoteReference"/>
        </w:rPr>
        <w:footnoteRef/>
      </w:r>
      <w:r>
        <w:t xml:space="preserve"> </w:t>
      </w:r>
      <w:r>
        <w:tab/>
        <w:t xml:space="preserve">AER, </w:t>
      </w:r>
      <w:r w:rsidRPr="003013C3">
        <w:rPr>
          <w:rStyle w:val="AERtextitalic"/>
        </w:rPr>
        <w:t>Draft decision attachment 11: Service target performance incentive scheme</w:t>
      </w:r>
      <w:r>
        <w:t>, November 2014.</w:t>
      </w:r>
    </w:p>
  </w:footnote>
  <w:footnote w:id="11">
    <w:p w:rsidR="004D592F" w:rsidRDefault="004D592F" w:rsidP="00435649">
      <w:pPr>
        <w:pStyle w:val="FootnoteText"/>
      </w:pPr>
      <w:r>
        <w:rPr>
          <w:rStyle w:val="FootnoteReference"/>
        </w:rPr>
        <w:footnoteRef/>
      </w:r>
      <w:r>
        <w:t xml:space="preserve"> </w:t>
      </w:r>
      <w:r>
        <w:tab/>
      </w:r>
      <w:proofErr w:type="gramStart"/>
      <w:r w:rsidRPr="005D44E7">
        <w:t xml:space="preserve">AER, </w:t>
      </w:r>
      <w:r w:rsidRPr="000565BE">
        <w:rPr>
          <w:rStyle w:val="AERtextitalic"/>
        </w:rPr>
        <w:t>Electricity distribution STPIS</w:t>
      </w:r>
      <w:r w:rsidRPr="005D44E7">
        <w:t>, Nov 2009</w:t>
      </w:r>
      <w:r>
        <w:t>.</w:t>
      </w:r>
      <w:proofErr w:type="gramEnd"/>
    </w:p>
  </w:footnote>
  <w:footnote w:id="12">
    <w:p w:rsidR="004D592F" w:rsidRDefault="004D592F" w:rsidP="002406B0">
      <w:pPr>
        <w:pStyle w:val="FootnoteText"/>
      </w:pPr>
      <w:r>
        <w:rPr>
          <w:rStyle w:val="FootnoteReference"/>
        </w:rPr>
        <w:footnoteRef/>
      </w:r>
      <w:r>
        <w:t xml:space="preserve"> </w:t>
      </w:r>
      <w:r>
        <w:tab/>
        <w:t>NER, cl. 6.6.2(b</w:t>
      </w:r>
      <w:proofErr w:type="gramStart"/>
      <w:r>
        <w:t>)(</w:t>
      </w:r>
      <w:proofErr w:type="gramEnd"/>
      <w:r>
        <w:t>3)(iv).</w:t>
      </w:r>
    </w:p>
  </w:footnote>
  <w:footnote w:id="13">
    <w:p w:rsidR="004D592F" w:rsidRDefault="004D592F" w:rsidP="002406B0">
      <w:pPr>
        <w:pStyle w:val="FootnoteText"/>
      </w:pPr>
      <w:r>
        <w:rPr>
          <w:rStyle w:val="FootnoteReference"/>
        </w:rPr>
        <w:footnoteRef/>
      </w:r>
      <w:r>
        <w:t xml:space="preserve"> </w:t>
      </w:r>
      <w:r>
        <w:tab/>
        <w:t>AER, STPIS, cl. 1.5(b</w:t>
      </w:r>
      <w:proofErr w:type="gramStart"/>
      <w:r>
        <w:t>)(</w:t>
      </w:r>
      <w:proofErr w:type="gramEnd"/>
      <w:r>
        <w:t>5).</w:t>
      </w:r>
    </w:p>
  </w:footnote>
  <w:footnote w:id="14">
    <w:p w:rsidR="004D592F" w:rsidRDefault="004D592F" w:rsidP="002406B0">
      <w:pPr>
        <w:pStyle w:val="FootnoteText"/>
      </w:pPr>
      <w:r>
        <w:rPr>
          <w:rStyle w:val="FootnoteReference"/>
        </w:rPr>
        <w:footnoteRef/>
      </w:r>
      <w:r>
        <w:t xml:space="preserve"> </w:t>
      </w:r>
      <w:r>
        <w:tab/>
        <w:t>The Efficiency Benefit Sharing Scheme will not operate for the 2015–19 regulatory control period.</w:t>
      </w:r>
    </w:p>
  </w:footnote>
  <w:footnote w:id="15">
    <w:p w:rsidR="004D592F" w:rsidRDefault="004D592F" w:rsidP="002406B0">
      <w:pPr>
        <w:pStyle w:val="FootnoteText"/>
      </w:pPr>
      <w:r>
        <w:rPr>
          <w:rStyle w:val="FootnoteReference"/>
        </w:rPr>
        <w:footnoteRef/>
      </w:r>
      <w:r>
        <w:t xml:space="preserve"> </w:t>
      </w:r>
      <w:r>
        <w:tab/>
      </w:r>
      <w:proofErr w:type="gramStart"/>
      <w:r>
        <w:t>I</w:t>
      </w:r>
      <w:r w:rsidRPr="00233A32">
        <w:t>ncluded in the distributor's approved forecast capex for the subsequent period</w:t>
      </w:r>
      <w:r w:rsidRPr="009A4F34">
        <w:t>.</w:t>
      </w:r>
      <w:proofErr w:type="gramEnd"/>
    </w:p>
  </w:footnote>
  <w:footnote w:id="16">
    <w:p w:rsidR="004D592F" w:rsidRDefault="004D592F" w:rsidP="00465BB8">
      <w:pPr>
        <w:pStyle w:val="FootnoteText"/>
      </w:pPr>
      <w:r>
        <w:rPr>
          <w:rStyle w:val="FootnoteReference"/>
        </w:rPr>
        <w:footnoteRef/>
      </w:r>
      <w:r>
        <w:t xml:space="preserve"> </w:t>
      </w:r>
      <w:r>
        <w:tab/>
        <w:t xml:space="preserve">AER, </w:t>
      </w:r>
      <w:r w:rsidRPr="003013C3">
        <w:rPr>
          <w:rStyle w:val="AERtextitalic"/>
        </w:rPr>
        <w:t>Draft decision attachment 11: Service target performance incentive scheme</w:t>
      </w:r>
      <w:r>
        <w:t xml:space="preserve">, November 2014, pp. 18–19; AER, </w:t>
      </w:r>
      <w:r w:rsidRPr="008E4161">
        <w:rPr>
          <w:rStyle w:val="AERtextitalic"/>
        </w:rPr>
        <w:t xml:space="preserve">Stage 2 framework and approach </w:t>
      </w:r>
      <w:proofErr w:type="spellStart"/>
      <w:r w:rsidRPr="008E4161">
        <w:rPr>
          <w:rStyle w:val="AERtextitalic"/>
        </w:rPr>
        <w:t>Ausgrid</w:t>
      </w:r>
      <w:proofErr w:type="spellEnd"/>
      <w:r w:rsidRPr="008E4161">
        <w:rPr>
          <w:rStyle w:val="AERtextitalic"/>
        </w:rPr>
        <w:t>, Endeavour Energy and Essential Energy</w:t>
      </w:r>
      <w:r>
        <w:t>, January 2014, pp. 14</w:t>
      </w:r>
      <w:r>
        <w:rPr>
          <w:rFonts w:cs="Gautami"/>
        </w:rPr>
        <w:t>–</w:t>
      </w:r>
      <w:r>
        <w:t>15.</w:t>
      </w:r>
    </w:p>
  </w:footnote>
  <w:footnote w:id="17">
    <w:p w:rsidR="004D592F" w:rsidRDefault="004D592F" w:rsidP="00465BB8">
      <w:pPr>
        <w:pStyle w:val="FootnoteText"/>
      </w:pPr>
      <w:r>
        <w:rPr>
          <w:rStyle w:val="FootnoteReference"/>
        </w:rPr>
        <w:footnoteRef/>
      </w:r>
      <w:r>
        <w:t xml:space="preserve"> </w:t>
      </w:r>
      <w:r>
        <w:tab/>
      </w:r>
      <w:proofErr w:type="spellStart"/>
      <w:r>
        <w:t>Ausgrid</w:t>
      </w:r>
      <w:proofErr w:type="spellEnd"/>
      <w:r>
        <w:t xml:space="preserve">, </w:t>
      </w:r>
      <w:r w:rsidRPr="00337AB3">
        <w:rPr>
          <w:rStyle w:val="AERtextitalic"/>
        </w:rPr>
        <w:t xml:space="preserve">Attachment 3.02 – proposed application of STPIS for the 2014–19 </w:t>
      </w:r>
      <w:proofErr w:type="gramStart"/>
      <w:r w:rsidRPr="00337AB3">
        <w:rPr>
          <w:rStyle w:val="AERtextitalic"/>
        </w:rPr>
        <w:t>period</w:t>
      </w:r>
      <w:proofErr w:type="gramEnd"/>
      <w:r>
        <w:t>, May 2014, p. 1.</w:t>
      </w:r>
    </w:p>
  </w:footnote>
  <w:footnote w:id="18">
    <w:p w:rsidR="004D592F" w:rsidRDefault="004D592F">
      <w:pPr>
        <w:pStyle w:val="FootnoteText"/>
      </w:pPr>
      <w:r>
        <w:rPr>
          <w:rStyle w:val="FootnoteReference"/>
        </w:rPr>
        <w:footnoteRef/>
      </w:r>
      <w:r>
        <w:t xml:space="preserve"> </w:t>
      </w:r>
      <w:r>
        <w:tab/>
        <w:t xml:space="preserve">AER, </w:t>
      </w:r>
      <w:r w:rsidRPr="003013C3">
        <w:rPr>
          <w:rStyle w:val="AERtextitalic"/>
        </w:rPr>
        <w:t>Draft decision attachment 11: Service target performance incentive scheme</w:t>
      </w:r>
      <w:r>
        <w:t>, November 2014, pp. 19–20.</w:t>
      </w:r>
    </w:p>
  </w:footnote>
  <w:footnote w:id="19">
    <w:p w:rsidR="004D592F" w:rsidRDefault="004D592F">
      <w:pPr>
        <w:pStyle w:val="FootnoteText"/>
      </w:pPr>
      <w:r>
        <w:rPr>
          <w:rStyle w:val="FootnoteReference"/>
        </w:rPr>
        <w:footnoteRef/>
      </w:r>
      <w:r>
        <w:t xml:space="preserve"> </w:t>
      </w:r>
      <w:r>
        <w:rPr>
          <w:rFonts w:hint="eastAsia"/>
        </w:rPr>
        <w:tab/>
      </w:r>
      <w:proofErr w:type="spellStart"/>
      <w:r>
        <w:t>Ausgrid</w:t>
      </w:r>
      <w:proofErr w:type="spellEnd"/>
      <w:r>
        <w:t xml:space="preserve">, </w:t>
      </w:r>
      <w:r w:rsidRPr="00477287">
        <w:rPr>
          <w:rStyle w:val="AERtextitalic"/>
        </w:rPr>
        <w:t xml:space="preserve">Attachment 3.02 proposed application of STPIS for the 2014–19 regulatory control </w:t>
      </w:r>
      <w:proofErr w:type="gramStart"/>
      <w:r w:rsidRPr="00477287">
        <w:rPr>
          <w:rStyle w:val="AERtextitalic"/>
        </w:rPr>
        <w:t>period</w:t>
      </w:r>
      <w:proofErr w:type="gramEnd"/>
      <w:r>
        <w:t xml:space="preserve">, January 2015, pp. </w:t>
      </w:r>
      <w:r>
        <w:rPr>
          <w:rFonts w:hint="eastAsia"/>
        </w:rPr>
        <w:t>1</w:t>
      </w:r>
      <w:r>
        <w:t>–</w:t>
      </w:r>
      <w:r>
        <w:rPr>
          <w:rFonts w:hint="eastAsia"/>
        </w:rPr>
        <w:t>2.</w:t>
      </w:r>
    </w:p>
  </w:footnote>
  <w:footnote w:id="20">
    <w:p w:rsidR="004D592F" w:rsidRDefault="004D592F" w:rsidP="00736D86">
      <w:pPr>
        <w:pStyle w:val="FootnoteText"/>
      </w:pPr>
      <w:r>
        <w:rPr>
          <w:rStyle w:val="FootnoteReference"/>
        </w:rPr>
        <w:footnoteRef/>
      </w:r>
      <w:r>
        <w:t xml:space="preserve"> </w:t>
      </w:r>
      <w:r>
        <w:tab/>
        <w:t xml:space="preserve">EUAA, </w:t>
      </w:r>
      <w:r w:rsidRPr="00B503B3">
        <w:rPr>
          <w:rStyle w:val="AERtextitalic"/>
        </w:rPr>
        <w:t>Submission AER 2015-19 draft revenue decision and NSW DNSPs' revenue proposals</w:t>
      </w:r>
      <w:r>
        <w:t>, 13 February 2015, p. 50.</w:t>
      </w:r>
    </w:p>
  </w:footnote>
  <w:footnote w:id="21">
    <w:p w:rsidR="004D592F" w:rsidRDefault="004D592F" w:rsidP="00736D86">
      <w:pPr>
        <w:pStyle w:val="FootnoteText"/>
      </w:pPr>
      <w:r>
        <w:rPr>
          <w:rStyle w:val="FootnoteReference"/>
        </w:rPr>
        <w:footnoteRef/>
      </w:r>
      <w:r>
        <w:t xml:space="preserve"> </w:t>
      </w:r>
      <w:r>
        <w:tab/>
        <w:t>Our</w:t>
      </w:r>
      <w:r w:rsidRPr="00DD548F">
        <w:t xml:space="preserve"> </w:t>
      </w:r>
      <w:r w:rsidRPr="00DD548F">
        <w:rPr>
          <w:rStyle w:val="AERtextitalic"/>
        </w:rPr>
        <w:t>final decision electricity distribution network service providers service target performance incentive scheme, June 2008</w:t>
      </w:r>
      <w:r w:rsidRPr="00DD548F">
        <w:t xml:space="preserve">, </w:t>
      </w:r>
      <w:r>
        <w:t xml:space="preserve">explained </w:t>
      </w:r>
      <w:r w:rsidRPr="00DD548F">
        <w:t>that a symmetrical scheme provides the incentive for distributors to maintain and improve service performance [p.</w:t>
      </w:r>
      <w:r>
        <w:t xml:space="preserve"> </w:t>
      </w:r>
      <w:r w:rsidRPr="00DD548F">
        <w:t>9]; and, in practice this means that where a distributor's actual cost of undertaking works to improve service performance is less than the reward provided through the scheme the distributor has an incentive to carry out the works and achieve the desired performance level. In this way the scheme can act as an additional cost-recovery mechanism for service performance improvements, where these improvements are over and above those being funded through the revenue allowed in a distribution determination. As the scheme is symmetrical, that is penalties are accrued at the same rate as rewards, there is also an incentive under the scheme for a distributor to maintain its service performance [p.</w:t>
      </w:r>
      <w:r>
        <w:t xml:space="preserve"> </w:t>
      </w:r>
      <w:r w:rsidRPr="00DD548F">
        <w:t>6].</w:t>
      </w:r>
    </w:p>
  </w:footnote>
  <w:footnote w:id="22">
    <w:p w:rsidR="004D592F" w:rsidRDefault="004D592F" w:rsidP="00A10F58">
      <w:pPr>
        <w:pStyle w:val="FootnoteText"/>
      </w:pPr>
      <w:r>
        <w:rPr>
          <w:rStyle w:val="FootnoteReference"/>
        </w:rPr>
        <w:footnoteRef/>
      </w:r>
      <w:r>
        <w:t xml:space="preserve"> </w:t>
      </w:r>
      <w:r>
        <w:rPr>
          <w:rFonts w:hint="eastAsia"/>
        </w:rPr>
        <w:tab/>
      </w:r>
      <w:proofErr w:type="spellStart"/>
      <w:r>
        <w:t>Ausgrid</w:t>
      </w:r>
      <w:proofErr w:type="spellEnd"/>
      <w:r>
        <w:t xml:space="preserve">, </w:t>
      </w:r>
      <w:r w:rsidRPr="00477287">
        <w:rPr>
          <w:rStyle w:val="AERtextitalic"/>
        </w:rPr>
        <w:t xml:space="preserve">Attachment 3.02 proposed application of STPIS for the 2014–19 regulatory control </w:t>
      </w:r>
      <w:proofErr w:type="gramStart"/>
      <w:r w:rsidRPr="00477287">
        <w:rPr>
          <w:rStyle w:val="AERtextitalic"/>
        </w:rPr>
        <w:t>period</w:t>
      </w:r>
      <w:proofErr w:type="gramEnd"/>
      <w:r>
        <w:t xml:space="preserve">, January 2015, </w:t>
      </w:r>
      <w:r>
        <w:rPr>
          <w:rFonts w:hint="eastAsia"/>
        </w:rPr>
        <w:t>p.</w:t>
      </w:r>
      <w:r>
        <w:t xml:space="preserve"> </w:t>
      </w:r>
      <w:r>
        <w:rPr>
          <w:rFonts w:hint="eastAsia"/>
        </w:rPr>
        <w:t>4.</w:t>
      </w:r>
    </w:p>
  </w:footnote>
  <w:footnote w:id="23">
    <w:p w:rsidR="004D592F" w:rsidRDefault="004D592F" w:rsidP="003701FF">
      <w:pPr>
        <w:pStyle w:val="FootnoteText"/>
      </w:pPr>
      <w:r>
        <w:rPr>
          <w:rStyle w:val="FootnoteReference"/>
        </w:rPr>
        <w:footnoteRef/>
      </w:r>
      <w:r>
        <w:t xml:space="preserve"> </w:t>
      </w:r>
      <w:r>
        <w:tab/>
      </w:r>
      <w:r w:rsidRPr="00E45AE6">
        <w:rPr>
          <w:rStyle w:val="AERtextitalic"/>
        </w:rPr>
        <w:t xml:space="preserve">Reliability and performance licence conditions for electricity distributors – the </w:t>
      </w:r>
      <w:proofErr w:type="spellStart"/>
      <w:r w:rsidRPr="00E45AE6">
        <w:rPr>
          <w:rStyle w:val="AERtextitalic"/>
        </w:rPr>
        <w:t>Hon</w:t>
      </w:r>
      <w:proofErr w:type="spellEnd"/>
      <w:r w:rsidRPr="00E45AE6">
        <w:rPr>
          <w:rStyle w:val="AERtextitalic"/>
        </w:rPr>
        <w:t xml:space="preserve"> Anthony Roberts MP Minster for Resources &amp; Energy</w:t>
      </w:r>
      <w:r>
        <w:t xml:space="preserve">, 1 July 2014. </w:t>
      </w:r>
    </w:p>
  </w:footnote>
  <w:footnote w:id="24">
    <w:p w:rsidR="004D592F" w:rsidRDefault="004D592F" w:rsidP="003701FF">
      <w:pPr>
        <w:pStyle w:val="FootnoteText"/>
      </w:pPr>
      <w:r>
        <w:rPr>
          <w:rStyle w:val="FootnoteReference"/>
        </w:rPr>
        <w:footnoteRef/>
      </w:r>
      <w:r>
        <w:t xml:space="preserve"> </w:t>
      </w:r>
      <w:r>
        <w:tab/>
      </w:r>
      <w:r w:rsidRPr="00491846">
        <w:rPr>
          <w:rStyle w:val="AERtextitalic"/>
        </w:rPr>
        <w:t xml:space="preserve">Reliability and performance licence conditions for electricity </w:t>
      </w:r>
      <w:proofErr w:type="gramStart"/>
      <w:r w:rsidRPr="00491846">
        <w:rPr>
          <w:rStyle w:val="AERtextitalic"/>
        </w:rPr>
        <w:t>distributors</w:t>
      </w:r>
      <w:proofErr w:type="gramEnd"/>
      <w:r w:rsidRPr="00491846">
        <w:rPr>
          <w:rStyle w:val="AERtextitalic"/>
        </w:rPr>
        <w:t xml:space="preserve"> explanatory note</w:t>
      </w:r>
      <w:r>
        <w:t>, Commencement date 1 July 2014, p. 3.</w:t>
      </w:r>
    </w:p>
  </w:footnote>
  <w:footnote w:id="25">
    <w:p w:rsidR="004D592F" w:rsidRDefault="004D592F" w:rsidP="00E246E0">
      <w:pPr>
        <w:pStyle w:val="FootnoteText"/>
      </w:pPr>
      <w:r>
        <w:rPr>
          <w:rStyle w:val="FootnoteReference"/>
        </w:rPr>
        <w:footnoteRef/>
      </w:r>
      <w:r>
        <w:t xml:space="preserve"> </w:t>
      </w:r>
      <w:r>
        <w:tab/>
        <w:t xml:space="preserve">AER, </w:t>
      </w:r>
      <w:r w:rsidRPr="003013C3">
        <w:rPr>
          <w:rStyle w:val="AERtextitalic"/>
        </w:rPr>
        <w:t>Draft decision attachment 11: Service target performance incentive scheme</w:t>
      </w:r>
      <w:r>
        <w:t>, November 2014, pp. 22–32.</w:t>
      </w:r>
    </w:p>
  </w:footnote>
  <w:footnote w:id="26">
    <w:p w:rsidR="004D592F" w:rsidRDefault="004D592F">
      <w:pPr>
        <w:pStyle w:val="FootnoteText"/>
      </w:pPr>
      <w:r>
        <w:rPr>
          <w:rStyle w:val="FootnoteReference"/>
        </w:rPr>
        <w:footnoteRef/>
      </w:r>
      <w:r>
        <w:t xml:space="preserve"> </w:t>
      </w:r>
      <w:r>
        <w:tab/>
        <w:t xml:space="preserve">The AER used an estimate provided by </w:t>
      </w:r>
      <w:proofErr w:type="spellStart"/>
      <w:r>
        <w:t>Ausgrid</w:t>
      </w:r>
      <w:proofErr w:type="spellEnd"/>
      <w:r>
        <w:t xml:space="preserve"> for the 2013/14 financial year as the actual data was not available at the time of the draft decision. </w:t>
      </w:r>
    </w:p>
  </w:footnote>
  <w:footnote w:id="27">
    <w:p w:rsidR="004D592F" w:rsidRDefault="004D592F" w:rsidP="006F23BA">
      <w:pPr>
        <w:pStyle w:val="FootnoteText"/>
      </w:pPr>
      <w:r>
        <w:rPr>
          <w:rStyle w:val="FootnoteReference"/>
        </w:rPr>
        <w:footnoteRef/>
      </w:r>
      <w:r>
        <w:t xml:space="preserve"> </w:t>
      </w:r>
      <w:r>
        <w:tab/>
        <w:t xml:space="preserve">CCP, </w:t>
      </w:r>
      <w:r w:rsidRPr="00B503B3">
        <w:rPr>
          <w:rStyle w:val="AERtextitalic"/>
        </w:rPr>
        <w:t>Submission to AER responding to NSW draft determinations and revised proposals from electricity distribution networks</w:t>
      </w:r>
      <w:r>
        <w:t xml:space="preserve">, 2 January 2015, p. 54; EUAA, </w:t>
      </w:r>
      <w:r w:rsidRPr="00B503B3">
        <w:rPr>
          <w:rStyle w:val="AERtextitalic"/>
        </w:rPr>
        <w:t>Submission AER 2015-19 draft revenue decision and NSW DNSPs' revenue proposal</w:t>
      </w:r>
      <w:r>
        <w:t>s, 13 February 2015, p. 49.</w:t>
      </w:r>
    </w:p>
  </w:footnote>
  <w:footnote w:id="28">
    <w:p w:rsidR="004D592F" w:rsidRDefault="004D592F" w:rsidP="00465BB8">
      <w:pPr>
        <w:pStyle w:val="FootnoteText"/>
      </w:pPr>
      <w:r>
        <w:rPr>
          <w:rStyle w:val="FootnoteReference"/>
        </w:rPr>
        <w:footnoteRef/>
      </w:r>
      <w:r>
        <w:t xml:space="preserve"> </w:t>
      </w:r>
      <w:r>
        <w:tab/>
        <w:t>Note the AEMO NSW VCR represents customers' willingness to pay in both the NSW and the ACT.</w:t>
      </w:r>
    </w:p>
  </w:footnote>
  <w:footnote w:id="29">
    <w:p w:rsidR="004D592F" w:rsidRDefault="004D592F" w:rsidP="006F23BA">
      <w:pPr>
        <w:pStyle w:val="FootnoteText"/>
      </w:pPr>
      <w:r>
        <w:rPr>
          <w:rStyle w:val="FootnoteReference"/>
        </w:rPr>
        <w:footnoteRef/>
      </w:r>
      <w:r>
        <w:t xml:space="preserve"> </w:t>
      </w:r>
      <w:r>
        <w:tab/>
        <w:t xml:space="preserve">EUAA, </w:t>
      </w:r>
      <w:r w:rsidRPr="00B503B3">
        <w:rPr>
          <w:rStyle w:val="AERtextitalic"/>
        </w:rPr>
        <w:t>Submission AER 2015-19 draft revenue decision and NSW DNSPs' revenue proposals</w:t>
      </w:r>
      <w:r>
        <w:t>, 13 February 2015, p. 50</w:t>
      </w:r>
    </w:p>
  </w:footnote>
  <w:footnote w:id="30">
    <w:p w:rsidR="004D592F" w:rsidRDefault="004D592F">
      <w:pPr>
        <w:pStyle w:val="FootnoteText"/>
      </w:pPr>
      <w:r>
        <w:rPr>
          <w:rStyle w:val="FootnoteReference"/>
        </w:rPr>
        <w:footnoteRef/>
      </w:r>
      <w:r>
        <w:t xml:space="preserve"> </w:t>
      </w:r>
      <w:r>
        <w:tab/>
      </w:r>
      <w:proofErr w:type="spellStart"/>
      <w:r>
        <w:t>Ausgrid</w:t>
      </w:r>
      <w:proofErr w:type="spellEnd"/>
      <w:r>
        <w:t xml:space="preserve">, </w:t>
      </w:r>
      <w:r w:rsidRPr="00477287">
        <w:rPr>
          <w:rStyle w:val="AERtextitalic"/>
        </w:rPr>
        <w:t xml:space="preserve">Attachment 3.02 proposed application of STPIS for the 2014–19 regulatory control </w:t>
      </w:r>
      <w:proofErr w:type="gramStart"/>
      <w:r w:rsidRPr="00477287">
        <w:rPr>
          <w:rStyle w:val="AERtextitalic"/>
        </w:rPr>
        <w:t>period</w:t>
      </w:r>
      <w:proofErr w:type="gramEnd"/>
      <w:r>
        <w:t>, January 2015, pp. 6–7.</w:t>
      </w:r>
    </w:p>
  </w:footnote>
  <w:footnote w:id="31">
    <w:p w:rsidR="004D592F" w:rsidRDefault="004D592F">
      <w:pPr>
        <w:pStyle w:val="FootnoteText"/>
      </w:pPr>
      <w:r>
        <w:rPr>
          <w:rStyle w:val="FootnoteReference"/>
        </w:rPr>
        <w:footnoteRef/>
      </w:r>
      <w:r>
        <w:t xml:space="preserve"> </w:t>
      </w:r>
      <w:r>
        <w:tab/>
      </w:r>
      <w:proofErr w:type="spellStart"/>
      <w:r>
        <w:t>Ausgrid</w:t>
      </w:r>
      <w:proofErr w:type="spellEnd"/>
      <w:r>
        <w:t xml:space="preserve">, </w:t>
      </w:r>
      <w:r w:rsidRPr="00477287">
        <w:rPr>
          <w:rStyle w:val="AERtextitalic"/>
        </w:rPr>
        <w:t xml:space="preserve">Attachment 3.02 proposed application of STPIS for the 2014–19 regulatory control </w:t>
      </w:r>
      <w:proofErr w:type="gramStart"/>
      <w:r w:rsidRPr="00477287">
        <w:rPr>
          <w:rStyle w:val="AERtextitalic"/>
        </w:rPr>
        <w:t>period</w:t>
      </w:r>
      <w:proofErr w:type="gramEnd"/>
      <w:r>
        <w:t>, January 2015, Appendix 2.</w:t>
      </w:r>
    </w:p>
  </w:footnote>
  <w:footnote w:id="32">
    <w:p w:rsidR="004D592F" w:rsidRDefault="004D592F" w:rsidP="000E73D8">
      <w:pPr>
        <w:pStyle w:val="FootnoteText"/>
      </w:pPr>
      <w:r>
        <w:rPr>
          <w:rStyle w:val="FootnoteReference"/>
        </w:rPr>
        <w:footnoteRef/>
      </w:r>
      <w:r>
        <w:t xml:space="preserve"> </w:t>
      </w:r>
      <w:r>
        <w:tab/>
        <w:t xml:space="preserve">AER, </w:t>
      </w:r>
      <w:r w:rsidRPr="003013C3">
        <w:rPr>
          <w:rStyle w:val="AERtextitalic"/>
        </w:rPr>
        <w:t>Draft decision attachment 11: Service target performance incentive scheme</w:t>
      </w:r>
      <w:r>
        <w:t>, November 2014, pp. 35–37.</w:t>
      </w:r>
    </w:p>
  </w:footnote>
  <w:footnote w:id="33">
    <w:p w:rsidR="004D592F" w:rsidRDefault="004D592F" w:rsidP="001F4CC5">
      <w:pPr>
        <w:pStyle w:val="FootnoteText"/>
      </w:pPr>
      <w:r>
        <w:rPr>
          <w:rStyle w:val="FootnoteReference"/>
        </w:rPr>
        <w:footnoteRef/>
      </w:r>
      <w:r>
        <w:t xml:space="preserve"> </w:t>
      </w:r>
      <w:r>
        <w:rPr>
          <w:rFonts w:hint="eastAsia"/>
        </w:rPr>
        <w:tab/>
      </w:r>
      <w:proofErr w:type="spellStart"/>
      <w:r>
        <w:t>Ausgrid</w:t>
      </w:r>
      <w:proofErr w:type="spellEnd"/>
      <w:r>
        <w:t xml:space="preserve">, </w:t>
      </w:r>
      <w:r w:rsidRPr="00477287">
        <w:rPr>
          <w:rStyle w:val="AERtextitalic"/>
        </w:rPr>
        <w:t xml:space="preserve">Attachment 3.02 proposed application of STPIS for the 2014–19 regulatory control </w:t>
      </w:r>
      <w:proofErr w:type="gramStart"/>
      <w:r w:rsidRPr="00477287">
        <w:rPr>
          <w:rStyle w:val="AERtextitalic"/>
        </w:rPr>
        <w:t>period</w:t>
      </w:r>
      <w:proofErr w:type="gramEnd"/>
      <w:r>
        <w:t xml:space="preserve">, January 2015, pp. </w:t>
      </w:r>
      <w:r>
        <w:rPr>
          <w:rFonts w:hint="eastAsia"/>
        </w:rPr>
        <w:t>8</w:t>
      </w:r>
      <w:r>
        <w:t>–</w:t>
      </w:r>
      <w:r>
        <w:rPr>
          <w:rFonts w:hint="eastAsia"/>
        </w:rPr>
        <w:t>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79F267B"/>
    <w:multiLevelType w:val="hybridMultilevel"/>
    <w:tmpl w:val="126867D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95C7239"/>
    <w:multiLevelType w:val="multilevel"/>
    <w:tmpl w:val="950A1C52"/>
    <w:numStyleLink w:val="AERHeadings"/>
  </w:abstractNum>
  <w:abstractNum w:abstractNumId="21">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3">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F5F4FFC"/>
    <w:multiLevelType w:val="multilevel"/>
    <w:tmpl w:val="950A1C52"/>
    <w:numStyleLink w:val="AERHeadings"/>
  </w:abstractNum>
  <w:abstractNum w:abstractNumId="28">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41A80E45"/>
    <w:multiLevelType w:val="multilevel"/>
    <w:tmpl w:val="950A1C52"/>
    <w:numStyleLink w:val="AERHeadings"/>
  </w:abstractNum>
  <w:abstractNum w:abstractNumId="30">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31">
    <w:nsid w:val="487C7731"/>
    <w:multiLevelType w:val="multilevel"/>
    <w:tmpl w:val="950A1C52"/>
    <w:numStyleLink w:val="AERHeadings"/>
  </w:abstractNum>
  <w:abstractNum w:abstractNumId="3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7">
    <w:nsid w:val="5ECE4384"/>
    <w:multiLevelType w:val="multilevel"/>
    <w:tmpl w:val="D2C8E104"/>
    <w:lvl w:ilvl="0">
      <w:start w:val="1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9">
    <w:nsid w:val="6DE36827"/>
    <w:multiLevelType w:val="multilevel"/>
    <w:tmpl w:val="950A1C52"/>
    <w:numStyleLink w:val="AERHeadings"/>
  </w:abstractNum>
  <w:abstractNum w:abstractNumId="40">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4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8"/>
  </w:num>
  <w:num w:numId="13">
    <w:abstractNumId w:val="25"/>
  </w:num>
  <w:num w:numId="14">
    <w:abstractNumId w:val="10"/>
  </w:num>
  <w:num w:numId="15">
    <w:abstractNumId w:val="13"/>
  </w:num>
  <w:num w:numId="16">
    <w:abstractNumId w:val="32"/>
  </w:num>
  <w:num w:numId="17">
    <w:abstractNumId w:val="9"/>
  </w:num>
  <w:num w:numId="18">
    <w:abstractNumId w:val="19"/>
  </w:num>
  <w:num w:numId="19">
    <w:abstractNumId w:val="33"/>
  </w:num>
  <w:num w:numId="20">
    <w:abstractNumId w:val="40"/>
  </w:num>
  <w:num w:numId="21">
    <w:abstractNumId w:val="14"/>
  </w:num>
  <w:num w:numId="22">
    <w:abstractNumId w:val="36"/>
  </w:num>
  <w:num w:numId="23">
    <w:abstractNumId w:val="34"/>
  </w:num>
  <w:num w:numId="24">
    <w:abstractNumId w:val="22"/>
  </w:num>
  <w:num w:numId="25">
    <w:abstractNumId w:val="35"/>
  </w:num>
  <w:num w:numId="26">
    <w:abstractNumId w:val="37"/>
  </w:num>
  <w:num w:numId="27">
    <w:abstractNumId w:val="24"/>
  </w:num>
  <w:num w:numId="28">
    <w:abstractNumId w:val="21"/>
  </w:num>
  <w:num w:numId="29">
    <w:abstractNumId w:val="17"/>
  </w:num>
  <w:num w:numId="30">
    <w:abstractNumId w:val="41"/>
  </w:num>
  <w:num w:numId="31">
    <w:abstractNumId w:val="15"/>
  </w:num>
  <w:num w:numId="32">
    <w:abstractNumId w:val="28"/>
  </w:num>
  <w:num w:numId="33">
    <w:abstractNumId w:val="22"/>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2"/>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2"/>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9"/>
  </w:num>
  <w:num w:numId="37">
    <w:abstractNumId w:val="31"/>
  </w:num>
  <w:num w:numId="38">
    <w:abstractNumId w:val="27"/>
  </w:num>
  <w:num w:numId="39">
    <w:abstractNumId w:val="12"/>
  </w:num>
  <w:num w:numId="40">
    <w:abstractNumId w:val="37"/>
  </w:num>
  <w:num w:numId="41">
    <w:abstractNumId w:val="37"/>
  </w:num>
  <w:num w:numId="42">
    <w:abstractNumId w:val="29"/>
  </w:num>
  <w:num w:numId="43">
    <w:abstractNumId w:val="16"/>
  </w:num>
  <w:num w:numId="44">
    <w:abstractNumId w:val="30"/>
  </w:num>
  <w:num w:numId="45">
    <w:abstractNumId w:val="20"/>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26"/>
  </w:num>
  <w:num w:numId="49">
    <w:abstractNumId w:val="18"/>
  </w:num>
  <w:num w:numId="50">
    <w:abstractNumId w:val="35"/>
    <w:lvlOverride w:ilvl="2">
      <w:lvl w:ilvl="2">
        <w:start w:val="1"/>
        <w:numFmt w:val="lowerLetter"/>
        <w:lvlText w:val="%3."/>
        <w:lvlJc w:val="left"/>
        <w:pPr>
          <w:tabs>
            <w:tab w:val="num" w:pos="720"/>
          </w:tabs>
          <w:ind w:left="720" w:hanging="363"/>
        </w:pPr>
        <w:rPr>
          <w:rFonts w:hint="default"/>
        </w:rPr>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Jk8I64uLyuv9HV6ce74/hjKPN+rbRdC/hCGld8ckIlQ=" w:saltValue="r2kY2b3YxIJkNNnGt/TMmQ==" w:algorithmName="SHA-256"/>
  <w:defaultTabStop w:val="340"/>
  <w:characterSpacingControl w:val="doNotCompress"/>
  <w:hdrShapeDefaults>
    <o:shapedefaults v:ext="edit" spidmax="1351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912\AER15 357  AER - Final Decision Ausgrid distribution determination - Attachment 11 - Service target performance incentive scheme - April 2015.DOCX"/>
  </w:docVars>
  <w:rsids>
    <w:rsidRoot w:val="00961A4A"/>
    <w:rsid w:val="00004C53"/>
    <w:rsid w:val="00021202"/>
    <w:rsid w:val="00021C2B"/>
    <w:rsid w:val="0002517F"/>
    <w:rsid w:val="000274DB"/>
    <w:rsid w:val="0003578C"/>
    <w:rsid w:val="0003611A"/>
    <w:rsid w:val="00037DD3"/>
    <w:rsid w:val="00050E69"/>
    <w:rsid w:val="0005381E"/>
    <w:rsid w:val="00055D26"/>
    <w:rsid w:val="000562AF"/>
    <w:rsid w:val="00063247"/>
    <w:rsid w:val="00070F9F"/>
    <w:rsid w:val="0007137B"/>
    <w:rsid w:val="00082632"/>
    <w:rsid w:val="00085663"/>
    <w:rsid w:val="00085EBF"/>
    <w:rsid w:val="00091B15"/>
    <w:rsid w:val="000A2832"/>
    <w:rsid w:val="000A3020"/>
    <w:rsid w:val="000A6C7B"/>
    <w:rsid w:val="000B6681"/>
    <w:rsid w:val="000C2B40"/>
    <w:rsid w:val="000C4648"/>
    <w:rsid w:val="000D122C"/>
    <w:rsid w:val="000E1819"/>
    <w:rsid w:val="000E4821"/>
    <w:rsid w:val="000E488E"/>
    <w:rsid w:val="000E6C72"/>
    <w:rsid w:val="000E73D8"/>
    <w:rsid w:val="000F018A"/>
    <w:rsid w:val="000F0B2B"/>
    <w:rsid w:val="000F13B7"/>
    <w:rsid w:val="00102F31"/>
    <w:rsid w:val="00116EB2"/>
    <w:rsid w:val="00117779"/>
    <w:rsid w:val="00124186"/>
    <w:rsid w:val="00124609"/>
    <w:rsid w:val="00126A4C"/>
    <w:rsid w:val="00144497"/>
    <w:rsid w:val="0014573B"/>
    <w:rsid w:val="00150C8C"/>
    <w:rsid w:val="001573E4"/>
    <w:rsid w:val="00160756"/>
    <w:rsid w:val="0017232E"/>
    <w:rsid w:val="00174102"/>
    <w:rsid w:val="001754EE"/>
    <w:rsid w:val="00180157"/>
    <w:rsid w:val="00185CB9"/>
    <w:rsid w:val="00186129"/>
    <w:rsid w:val="00186F77"/>
    <w:rsid w:val="001926A4"/>
    <w:rsid w:val="00192AD5"/>
    <w:rsid w:val="001935AE"/>
    <w:rsid w:val="001B45A0"/>
    <w:rsid w:val="001B48A2"/>
    <w:rsid w:val="001D055E"/>
    <w:rsid w:val="001D51B3"/>
    <w:rsid w:val="001E34BC"/>
    <w:rsid w:val="001F05A4"/>
    <w:rsid w:val="001F492E"/>
    <w:rsid w:val="001F4CC5"/>
    <w:rsid w:val="001F6DA3"/>
    <w:rsid w:val="002010BC"/>
    <w:rsid w:val="002016E7"/>
    <w:rsid w:val="00202E03"/>
    <w:rsid w:val="0020478D"/>
    <w:rsid w:val="0020492C"/>
    <w:rsid w:val="002054D7"/>
    <w:rsid w:val="00224A86"/>
    <w:rsid w:val="00224DB9"/>
    <w:rsid w:val="00230C9F"/>
    <w:rsid w:val="00233775"/>
    <w:rsid w:val="00240362"/>
    <w:rsid w:val="002406B0"/>
    <w:rsid w:val="002474C7"/>
    <w:rsid w:val="00251745"/>
    <w:rsid w:val="00262EA2"/>
    <w:rsid w:val="00263AC0"/>
    <w:rsid w:val="00264264"/>
    <w:rsid w:val="00265331"/>
    <w:rsid w:val="0026772D"/>
    <w:rsid w:val="0027014E"/>
    <w:rsid w:val="00286874"/>
    <w:rsid w:val="00290C63"/>
    <w:rsid w:val="00296B65"/>
    <w:rsid w:val="002A7DEF"/>
    <w:rsid w:val="002C233C"/>
    <w:rsid w:val="002C7B84"/>
    <w:rsid w:val="002D72E8"/>
    <w:rsid w:val="002E32AF"/>
    <w:rsid w:val="002E7B22"/>
    <w:rsid w:val="002F7986"/>
    <w:rsid w:val="003013C3"/>
    <w:rsid w:val="00301B40"/>
    <w:rsid w:val="003029EE"/>
    <w:rsid w:val="0030370B"/>
    <w:rsid w:val="00305CC8"/>
    <w:rsid w:val="00307F6D"/>
    <w:rsid w:val="00310C21"/>
    <w:rsid w:val="003177A2"/>
    <w:rsid w:val="003271B5"/>
    <w:rsid w:val="00327A1E"/>
    <w:rsid w:val="00331264"/>
    <w:rsid w:val="00334C8D"/>
    <w:rsid w:val="00343A18"/>
    <w:rsid w:val="003518B3"/>
    <w:rsid w:val="00364E05"/>
    <w:rsid w:val="003701FF"/>
    <w:rsid w:val="00375D6D"/>
    <w:rsid w:val="003834EC"/>
    <w:rsid w:val="003846F1"/>
    <w:rsid w:val="00385157"/>
    <w:rsid w:val="003908A9"/>
    <w:rsid w:val="00390AB3"/>
    <w:rsid w:val="00391847"/>
    <w:rsid w:val="003B484F"/>
    <w:rsid w:val="003B7FBA"/>
    <w:rsid w:val="003D28DC"/>
    <w:rsid w:val="003D7D85"/>
    <w:rsid w:val="003F174D"/>
    <w:rsid w:val="00400818"/>
    <w:rsid w:val="00415F31"/>
    <w:rsid w:val="00423A77"/>
    <w:rsid w:val="00435649"/>
    <w:rsid w:val="00444656"/>
    <w:rsid w:val="00444EE9"/>
    <w:rsid w:val="0045777E"/>
    <w:rsid w:val="00465BB8"/>
    <w:rsid w:val="00467A91"/>
    <w:rsid w:val="00477287"/>
    <w:rsid w:val="00480B4B"/>
    <w:rsid w:val="00482F70"/>
    <w:rsid w:val="00485DC4"/>
    <w:rsid w:val="004A39F0"/>
    <w:rsid w:val="004A43D1"/>
    <w:rsid w:val="004B17DF"/>
    <w:rsid w:val="004B4412"/>
    <w:rsid w:val="004C348C"/>
    <w:rsid w:val="004D55BA"/>
    <w:rsid w:val="004D592F"/>
    <w:rsid w:val="004D6967"/>
    <w:rsid w:val="004E22EC"/>
    <w:rsid w:val="004F23BD"/>
    <w:rsid w:val="004F6A0E"/>
    <w:rsid w:val="00502ADD"/>
    <w:rsid w:val="00530128"/>
    <w:rsid w:val="00532467"/>
    <w:rsid w:val="00536D9F"/>
    <w:rsid w:val="00564A4D"/>
    <w:rsid w:val="00567BA5"/>
    <w:rsid w:val="00571B35"/>
    <w:rsid w:val="00571D57"/>
    <w:rsid w:val="00574F6C"/>
    <w:rsid w:val="00577A09"/>
    <w:rsid w:val="005829C2"/>
    <w:rsid w:val="00584D8F"/>
    <w:rsid w:val="005A404D"/>
    <w:rsid w:val="005B1E3C"/>
    <w:rsid w:val="005B6663"/>
    <w:rsid w:val="005B704A"/>
    <w:rsid w:val="005C26CC"/>
    <w:rsid w:val="005C2CC1"/>
    <w:rsid w:val="005C593C"/>
    <w:rsid w:val="005C598D"/>
    <w:rsid w:val="005D7B6D"/>
    <w:rsid w:val="005D7BA2"/>
    <w:rsid w:val="005E36C2"/>
    <w:rsid w:val="005F396E"/>
    <w:rsid w:val="005F563A"/>
    <w:rsid w:val="006007DE"/>
    <w:rsid w:val="00610EF9"/>
    <w:rsid w:val="00611957"/>
    <w:rsid w:val="00612F4F"/>
    <w:rsid w:val="00615C6B"/>
    <w:rsid w:val="00621DCE"/>
    <w:rsid w:val="00632D6D"/>
    <w:rsid w:val="00642C3E"/>
    <w:rsid w:val="00650FA2"/>
    <w:rsid w:val="00652BC6"/>
    <w:rsid w:val="0066104A"/>
    <w:rsid w:val="00663DAD"/>
    <w:rsid w:val="00666D24"/>
    <w:rsid w:val="00671915"/>
    <w:rsid w:val="00671AF8"/>
    <w:rsid w:val="00675E20"/>
    <w:rsid w:val="00676679"/>
    <w:rsid w:val="00683C89"/>
    <w:rsid w:val="00684CDA"/>
    <w:rsid w:val="006939CC"/>
    <w:rsid w:val="006957DE"/>
    <w:rsid w:val="006A469F"/>
    <w:rsid w:val="006B2118"/>
    <w:rsid w:val="006B2395"/>
    <w:rsid w:val="006B4CF9"/>
    <w:rsid w:val="006B7AC8"/>
    <w:rsid w:val="006C1736"/>
    <w:rsid w:val="006C2D08"/>
    <w:rsid w:val="006C5A75"/>
    <w:rsid w:val="006D550F"/>
    <w:rsid w:val="006F180F"/>
    <w:rsid w:val="006F23BA"/>
    <w:rsid w:val="0070011E"/>
    <w:rsid w:val="00701360"/>
    <w:rsid w:val="00701CAB"/>
    <w:rsid w:val="00702ACA"/>
    <w:rsid w:val="00705224"/>
    <w:rsid w:val="00707563"/>
    <w:rsid w:val="00712620"/>
    <w:rsid w:val="007153DE"/>
    <w:rsid w:val="0072348C"/>
    <w:rsid w:val="00724A37"/>
    <w:rsid w:val="007303C3"/>
    <w:rsid w:val="007326F0"/>
    <w:rsid w:val="00736D86"/>
    <w:rsid w:val="00740E80"/>
    <w:rsid w:val="007429BE"/>
    <w:rsid w:val="00743223"/>
    <w:rsid w:val="00746E01"/>
    <w:rsid w:val="00757364"/>
    <w:rsid w:val="00757BDF"/>
    <w:rsid w:val="00760633"/>
    <w:rsid w:val="007609D0"/>
    <w:rsid w:val="00761A79"/>
    <w:rsid w:val="00763E5D"/>
    <w:rsid w:val="00764B2F"/>
    <w:rsid w:val="00767740"/>
    <w:rsid w:val="00767D42"/>
    <w:rsid w:val="0077308B"/>
    <w:rsid w:val="00777EE6"/>
    <w:rsid w:val="00781BBE"/>
    <w:rsid w:val="00782EEA"/>
    <w:rsid w:val="00790FEF"/>
    <w:rsid w:val="007A3718"/>
    <w:rsid w:val="007B186E"/>
    <w:rsid w:val="007B2C72"/>
    <w:rsid w:val="007C1C53"/>
    <w:rsid w:val="007C74BB"/>
    <w:rsid w:val="007D456E"/>
    <w:rsid w:val="007E339B"/>
    <w:rsid w:val="007E4904"/>
    <w:rsid w:val="007E4CB5"/>
    <w:rsid w:val="007F066B"/>
    <w:rsid w:val="007F06FC"/>
    <w:rsid w:val="007F3E1D"/>
    <w:rsid w:val="00800E4C"/>
    <w:rsid w:val="008033C4"/>
    <w:rsid w:val="00806C88"/>
    <w:rsid w:val="0081034E"/>
    <w:rsid w:val="00833916"/>
    <w:rsid w:val="008344F6"/>
    <w:rsid w:val="0083510F"/>
    <w:rsid w:val="00845F05"/>
    <w:rsid w:val="00851209"/>
    <w:rsid w:val="00853FD2"/>
    <w:rsid w:val="008605BA"/>
    <w:rsid w:val="008768D3"/>
    <w:rsid w:val="008811BF"/>
    <w:rsid w:val="008837AC"/>
    <w:rsid w:val="00887E00"/>
    <w:rsid w:val="008A587D"/>
    <w:rsid w:val="008A7028"/>
    <w:rsid w:val="008B35CD"/>
    <w:rsid w:val="008B5FCC"/>
    <w:rsid w:val="008C5486"/>
    <w:rsid w:val="008D1460"/>
    <w:rsid w:val="008D1661"/>
    <w:rsid w:val="008D6800"/>
    <w:rsid w:val="008E2542"/>
    <w:rsid w:val="008E7031"/>
    <w:rsid w:val="008E77DE"/>
    <w:rsid w:val="008F07A3"/>
    <w:rsid w:val="008F34DD"/>
    <w:rsid w:val="008F7EEA"/>
    <w:rsid w:val="009001B6"/>
    <w:rsid w:val="00900E1B"/>
    <w:rsid w:val="00901C3C"/>
    <w:rsid w:val="00915A00"/>
    <w:rsid w:val="0092066A"/>
    <w:rsid w:val="009233EE"/>
    <w:rsid w:val="009247F2"/>
    <w:rsid w:val="009460AA"/>
    <w:rsid w:val="00951978"/>
    <w:rsid w:val="00961A4A"/>
    <w:rsid w:val="009661DE"/>
    <w:rsid w:val="00982C4B"/>
    <w:rsid w:val="00983C25"/>
    <w:rsid w:val="009856B7"/>
    <w:rsid w:val="00985C86"/>
    <w:rsid w:val="009949C5"/>
    <w:rsid w:val="009A590A"/>
    <w:rsid w:val="009A5FC3"/>
    <w:rsid w:val="009B3A82"/>
    <w:rsid w:val="009B5A19"/>
    <w:rsid w:val="009B6F84"/>
    <w:rsid w:val="009B74B0"/>
    <w:rsid w:val="009D3906"/>
    <w:rsid w:val="009D6B46"/>
    <w:rsid w:val="009F4940"/>
    <w:rsid w:val="009F5BA1"/>
    <w:rsid w:val="00A02A88"/>
    <w:rsid w:val="00A0562E"/>
    <w:rsid w:val="00A0726D"/>
    <w:rsid w:val="00A10F58"/>
    <w:rsid w:val="00A12A26"/>
    <w:rsid w:val="00A13ED4"/>
    <w:rsid w:val="00A1748A"/>
    <w:rsid w:val="00A20B68"/>
    <w:rsid w:val="00A27AAC"/>
    <w:rsid w:val="00A32FBB"/>
    <w:rsid w:val="00A33168"/>
    <w:rsid w:val="00A428EE"/>
    <w:rsid w:val="00A4478A"/>
    <w:rsid w:val="00A44852"/>
    <w:rsid w:val="00A46F98"/>
    <w:rsid w:val="00A50502"/>
    <w:rsid w:val="00A57D04"/>
    <w:rsid w:val="00A60A26"/>
    <w:rsid w:val="00A60BFD"/>
    <w:rsid w:val="00A61598"/>
    <w:rsid w:val="00A64373"/>
    <w:rsid w:val="00A72BB2"/>
    <w:rsid w:val="00A76563"/>
    <w:rsid w:val="00A776AB"/>
    <w:rsid w:val="00A84A99"/>
    <w:rsid w:val="00A84F46"/>
    <w:rsid w:val="00A871F4"/>
    <w:rsid w:val="00AB29B0"/>
    <w:rsid w:val="00AC1B2C"/>
    <w:rsid w:val="00AC3264"/>
    <w:rsid w:val="00AD7E43"/>
    <w:rsid w:val="00AE1BF1"/>
    <w:rsid w:val="00AE2C7A"/>
    <w:rsid w:val="00AE6986"/>
    <w:rsid w:val="00AF0DD2"/>
    <w:rsid w:val="00B13048"/>
    <w:rsid w:val="00B1716D"/>
    <w:rsid w:val="00B17A1D"/>
    <w:rsid w:val="00B207A0"/>
    <w:rsid w:val="00B40CF5"/>
    <w:rsid w:val="00B43816"/>
    <w:rsid w:val="00B43A14"/>
    <w:rsid w:val="00B514DD"/>
    <w:rsid w:val="00B52AF0"/>
    <w:rsid w:val="00B561BD"/>
    <w:rsid w:val="00B56E03"/>
    <w:rsid w:val="00B67DD1"/>
    <w:rsid w:val="00B71BBB"/>
    <w:rsid w:val="00B73D85"/>
    <w:rsid w:val="00B8080B"/>
    <w:rsid w:val="00B82223"/>
    <w:rsid w:val="00B87BA5"/>
    <w:rsid w:val="00B87C39"/>
    <w:rsid w:val="00B9562D"/>
    <w:rsid w:val="00BA39D5"/>
    <w:rsid w:val="00BA3CB8"/>
    <w:rsid w:val="00BA4665"/>
    <w:rsid w:val="00BA5524"/>
    <w:rsid w:val="00BB27EC"/>
    <w:rsid w:val="00BB2FB2"/>
    <w:rsid w:val="00BB3304"/>
    <w:rsid w:val="00BD03F3"/>
    <w:rsid w:val="00BD3446"/>
    <w:rsid w:val="00BD3F83"/>
    <w:rsid w:val="00BE1F1B"/>
    <w:rsid w:val="00BE47B5"/>
    <w:rsid w:val="00BF5732"/>
    <w:rsid w:val="00C04223"/>
    <w:rsid w:val="00C12D11"/>
    <w:rsid w:val="00C25FA6"/>
    <w:rsid w:val="00C50706"/>
    <w:rsid w:val="00C538A9"/>
    <w:rsid w:val="00C53B5A"/>
    <w:rsid w:val="00C54F5A"/>
    <w:rsid w:val="00C569B4"/>
    <w:rsid w:val="00C60DEB"/>
    <w:rsid w:val="00C632CB"/>
    <w:rsid w:val="00C67A92"/>
    <w:rsid w:val="00C84560"/>
    <w:rsid w:val="00C86679"/>
    <w:rsid w:val="00C935F1"/>
    <w:rsid w:val="00CA489E"/>
    <w:rsid w:val="00CB0279"/>
    <w:rsid w:val="00CB566A"/>
    <w:rsid w:val="00CB666B"/>
    <w:rsid w:val="00CC7F1D"/>
    <w:rsid w:val="00CE484B"/>
    <w:rsid w:val="00CF0DEE"/>
    <w:rsid w:val="00D006AE"/>
    <w:rsid w:val="00D01CF0"/>
    <w:rsid w:val="00D0442A"/>
    <w:rsid w:val="00D15AB6"/>
    <w:rsid w:val="00D27EFB"/>
    <w:rsid w:val="00D458DE"/>
    <w:rsid w:val="00D4700A"/>
    <w:rsid w:val="00D61388"/>
    <w:rsid w:val="00D61A54"/>
    <w:rsid w:val="00D62E2A"/>
    <w:rsid w:val="00D64DEA"/>
    <w:rsid w:val="00D7168E"/>
    <w:rsid w:val="00D71E57"/>
    <w:rsid w:val="00D80893"/>
    <w:rsid w:val="00D84854"/>
    <w:rsid w:val="00D90E2B"/>
    <w:rsid w:val="00D92CF1"/>
    <w:rsid w:val="00D92D38"/>
    <w:rsid w:val="00D9420E"/>
    <w:rsid w:val="00D950F5"/>
    <w:rsid w:val="00DA4752"/>
    <w:rsid w:val="00DA61F3"/>
    <w:rsid w:val="00DB0F93"/>
    <w:rsid w:val="00DB1A67"/>
    <w:rsid w:val="00DB471D"/>
    <w:rsid w:val="00DB5074"/>
    <w:rsid w:val="00DB5B21"/>
    <w:rsid w:val="00DC273E"/>
    <w:rsid w:val="00DC7981"/>
    <w:rsid w:val="00DE1093"/>
    <w:rsid w:val="00DE4EFA"/>
    <w:rsid w:val="00DE5520"/>
    <w:rsid w:val="00DE5548"/>
    <w:rsid w:val="00DE563D"/>
    <w:rsid w:val="00DF2B54"/>
    <w:rsid w:val="00E04818"/>
    <w:rsid w:val="00E056F7"/>
    <w:rsid w:val="00E06442"/>
    <w:rsid w:val="00E1059E"/>
    <w:rsid w:val="00E14075"/>
    <w:rsid w:val="00E23993"/>
    <w:rsid w:val="00E246E0"/>
    <w:rsid w:val="00E25B8C"/>
    <w:rsid w:val="00E3243B"/>
    <w:rsid w:val="00E44B05"/>
    <w:rsid w:val="00E52105"/>
    <w:rsid w:val="00E61BDF"/>
    <w:rsid w:val="00E65C85"/>
    <w:rsid w:val="00E66199"/>
    <w:rsid w:val="00E7335C"/>
    <w:rsid w:val="00E74ECA"/>
    <w:rsid w:val="00E755EC"/>
    <w:rsid w:val="00E7624D"/>
    <w:rsid w:val="00E8600A"/>
    <w:rsid w:val="00E96D78"/>
    <w:rsid w:val="00EA3D42"/>
    <w:rsid w:val="00EA6B1B"/>
    <w:rsid w:val="00EB4DE4"/>
    <w:rsid w:val="00EB606C"/>
    <w:rsid w:val="00EB7F23"/>
    <w:rsid w:val="00EC04F1"/>
    <w:rsid w:val="00ED2E63"/>
    <w:rsid w:val="00ED518A"/>
    <w:rsid w:val="00ED7323"/>
    <w:rsid w:val="00EE28F3"/>
    <w:rsid w:val="00EE3695"/>
    <w:rsid w:val="00EE50D1"/>
    <w:rsid w:val="00EF5110"/>
    <w:rsid w:val="00EF6A32"/>
    <w:rsid w:val="00F03F4D"/>
    <w:rsid w:val="00F06BC2"/>
    <w:rsid w:val="00F10411"/>
    <w:rsid w:val="00F15882"/>
    <w:rsid w:val="00F171E0"/>
    <w:rsid w:val="00F20BD3"/>
    <w:rsid w:val="00F24BE2"/>
    <w:rsid w:val="00F373A5"/>
    <w:rsid w:val="00F4174E"/>
    <w:rsid w:val="00F4478D"/>
    <w:rsid w:val="00F47559"/>
    <w:rsid w:val="00F51304"/>
    <w:rsid w:val="00F60D8C"/>
    <w:rsid w:val="00F61176"/>
    <w:rsid w:val="00F64C7B"/>
    <w:rsid w:val="00F676DD"/>
    <w:rsid w:val="00F75A26"/>
    <w:rsid w:val="00F76706"/>
    <w:rsid w:val="00F83FAD"/>
    <w:rsid w:val="00F8653A"/>
    <w:rsid w:val="00F92349"/>
    <w:rsid w:val="00F952A0"/>
    <w:rsid w:val="00F95DB7"/>
    <w:rsid w:val="00F966E9"/>
    <w:rsid w:val="00FA0B54"/>
    <w:rsid w:val="00FA3C7F"/>
    <w:rsid w:val="00FB0BEF"/>
    <w:rsid w:val="00FB4402"/>
    <w:rsid w:val="00FB60FE"/>
    <w:rsid w:val="00FB74E2"/>
    <w:rsid w:val="00FC7277"/>
    <w:rsid w:val="00FD2ED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94601">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49803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image" Target="media/image2.png"/><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C75D5A-53DF-4F63-AE2C-49E346F88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B682227F.dotm</Template>
  <TotalTime>0</TotalTime>
  <Pages>18</Pages>
  <Words>4521</Words>
  <Characters>25772</Characters>
  <Application>Microsoft Office Word</Application>
  <DocSecurity>0</DocSecurity>
  <Lines>214</Lines>
  <Paragraphs>60</Paragraphs>
  <ScaleCrop>false</ScaleCrop>
  <Company/>
  <LinksUpToDate>false</LinksUpToDate>
  <CharactersWithSpaces>30233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2015-04-27T06:16:00Z</dcterms:created>
  <dcterms:modified xsi:type="dcterms:W3CDTF">2015-04-27T06:16:00Z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