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A515C21" wp14:editId="5E48416B">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w:t>
          </w:r>
          <w:bookmarkStart w:id="0" w:name="_GoBack"/>
          <w:bookmarkEnd w:id="0"/>
          <w:r w:rsidR="00DA4752">
            <w:t>CISION</w:t>
          </w:r>
        </w:p>
        <w:p w:rsidR="00415F31" w:rsidRDefault="009B6F84" w:rsidP="008F07A3">
          <w:pPr>
            <w:pStyle w:val="ReportSubtitle"/>
          </w:pPr>
          <w:r>
            <w:t>Ausgrid</w:t>
          </w:r>
          <w:r w:rsidR="0070011E">
            <w:t xml:space="preserve"> 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8F34DD">
            <w:t>2</w:t>
          </w:r>
          <w:r w:rsidR="00DA4752">
            <w:t xml:space="preserve"> </w:t>
          </w:r>
          <w:r w:rsidR="00415F31">
            <w:rPr>
              <w:rFonts w:cs="Arial"/>
            </w:rPr>
            <w:t>–</w:t>
          </w:r>
          <w:r w:rsidR="00DA4752">
            <w:t xml:space="preserve"> </w:t>
          </w:r>
          <w:r w:rsidR="008F34DD">
            <w:t>Regulatory asset base</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70011E" w:rsidP="00B9562D">
      <w:pPr>
        <w:pStyle w:val="Copyright"/>
      </w:pPr>
      <w:r>
        <w:t>AER reference:</w:t>
      </w:r>
      <w:r>
        <w:tab/>
        <w:t>522</w:t>
      </w:r>
      <w:r w:rsidR="009B6F84">
        <w:t>9</w:t>
      </w:r>
      <w:r>
        <w:t>4</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3315027"/>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proofErr w:type="spellStart"/>
      <w:r w:rsidR="009B6F84">
        <w:t>Ausgrid</w:t>
      </w:r>
      <w:r w:rsidR="0070011E">
        <w:t>’</w:t>
      </w:r>
      <w:r w:rsidR="00415F31">
        <w:t>s</w:t>
      </w:r>
      <w:proofErr w:type="spellEnd"/>
      <w:r w:rsidR="00415F31">
        <w:t xml:space="preserve"> </w:t>
      </w:r>
      <w:r w:rsidR="0009094F">
        <w:t>revenue p</w:t>
      </w:r>
      <w:r w:rsidR="00415F31">
        <w:t xml:space="preserve">roposal </w:t>
      </w:r>
      <w:r w:rsidR="0023754F">
        <w:t xml:space="preserve">for </w:t>
      </w:r>
      <w:r w:rsidR="00415F31">
        <w:t>2015</w:t>
      </w:r>
      <w:r w:rsidR="00415F31" w:rsidRPr="00D904FA">
        <w:t>–</w:t>
      </w:r>
      <w:r w:rsidR="00415F31">
        <w:t>1</w:t>
      </w:r>
      <w:r w:rsidR="0070011E">
        <w:t>9</w:t>
      </w:r>
      <w:r w:rsidR="00415F31">
        <w:t>.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Attachment 18 - Connection methodology</w:t>
      </w:r>
    </w:p>
    <w:p w:rsidR="00415F31" w:rsidRDefault="0070011E" w:rsidP="00415F31">
      <w:r>
        <w:t>Attachment 19 - Pricing methodology</w:t>
      </w:r>
    </w:p>
    <w:p w:rsidR="003604E3" w:rsidRDefault="003604E3" w:rsidP="003604E3">
      <w:r>
        <w:t>Attachment 20 - Analysis of financial viability</w:t>
      </w:r>
    </w:p>
    <w:p w:rsidR="008F07A3" w:rsidRPr="008F07A3" w:rsidRDefault="008F07A3" w:rsidP="003604E3">
      <w:pPr>
        <w:sectPr w:rsidR="008F07A3"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3315028"/>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8961F3"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3315027" w:history="1">
            <w:r w:rsidR="008961F3" w:rsidRPr="00A33E2F">
              <w:rPr>
                <w:rStyle w:val="Hyperlink"/>
              </w:rPr>
              <w:t>Note</w:t>
            </w:r>
            <w:r w:rsidR="008961F3">
              <w:rPr>
                <w:webHidden/>
              </w:rPr>
              <w:tab/>
            </w:r>
            <w:r w:rsidR="008961F3">
              <w:rPr>
                <w:webHidden/>
              </w:rPr>
              <w:fldChar w:fldCharType="begin"/>
            </w:r>
            <w:r w:rsidR="008961F3">
              <w:rPr>
                <w:webHidden/>
              </w:rPr>
              <w:instrText xml:space="preserve"> PAGEREF _Toc413315027 \h </w:instrText>
            </w:r>
            <w:r w:rsidR="008961F3">
              <w:rPr>
                <w:webHidden/>
              </w:rPr>
            </w:r>
            <w:r w:rsidR="008961F3">
              <w:rPr>
                <w:webHidden/>
              </w:rPr>
              <w:fldChar w:fldCharType="separate"/>
            </w:r>
            <w:r w:rsidR="001D3E13">
              <w:rPr>
                <w:webHidden/>
              </w:rPr>
              <w:t>2-2</w:t>
            </w:r>
            <w:r w:rsidR="008961F3">
              <w:rPr>
                <w:webHidden/>
              </w:rPr>
              <w:fldChar w:fldCharType="end"/>
            </w:r>
          </w:hyperlink>
        </w:p>
        <w:p w:rsidR="008961F3" w:rsidRDefault="00B11046">
          <w:pPr>
            <w:pStyle w:val="TOC1"/>
            <w:rPr>
              <w:rFonts w:asciiTheme="minorHAnsi" w:eastAsiaTheme="minorEastAsia" w:hAnsiTheme="minorHAnsi"/>
              <w:b w:val="0"/>
              <w:color w:val="auto"/>
              <w:sz w:val="22"/>
              <w:lang w:val="en-AU" w:eastAsia="en-AU"/>
            </w:rPr>
          </w:pPr>
          <w:hyperlink w:anchor="_Toc413315028" w:history="1">
            <w:r w:rsidR="008961F3" w:rsidRPr="00A33E2F">
              <w:rPr>
                <w:rStyle w:val="Hyperlink"/>
              </w:rPr>
              <w:t>Contents</w:t>
            </w:r>
            <w:r w:rsidR="008961F3">
              <w:rPr>
                <w:webHidden/>
              </w:rPr>
              <w:tab/>
            </w:r>
            <w:r w:rsidR="008961F3">
              <w:rPr>
                <w:webHidden/>
              </w:rPr>
              <w:fldChar w:fldCharType="begin"/>
            </w:r>
            <w:r w:rsidR="008961F3">
              <w:rPr>
                <w:webHidden/>
              </w:rPr>
              <w:instrText xml:space="preserve"> PAGEREF _Toc413315028 \h </w:instrText>
            </w:r>
            <w:r w:rsidR="008961F3">
              <w:rPr>
                <w:webHidden/>
              </w:rPr>
            </w:r>
            <w:r w:rsidR="008961F3">
              <w:rPr>
                <w:webHidden/>
              </w:rPr>
              <w:fldChar w:fldCharType="separate"/>
            </w:r>
            <w:r w:rsidR="001D3E13">
              <w:rPr>
                <w:webHidden/>
              </w:rPr>
              <w:t>2-3</w:t>
            </w:r>
            <w:r w:rsidR="008961F3">
              <w:rPr>
                <w:webHidden/>
              </w:rPr>
              <w:fldChar w:fldCharType="end"/>
            </w:r>
          </w:hyperlink>
        </w:p>
        <w:p w:rsidR="008961F3" w:rsidRDefault="00B11046">
          <w:pPr>
            <w:pStyle w:val="TOC1"/>
            <w:rPr>
              <w:rFonts w:asciiTheme="minorHAnsi" w:eastAsiaTheme="minorEastAsia" w:hAnsiTheme="minorHAnsi"/>
              <w:b w:val="0"/>
              <w:color w:val="auto"/>
              <w:sz w:val="22"/>
              <w:lang w:val="en-AU" w:eastAsia="en-AU"/>
            </w:rPr>
          </w:pPr>
          <w:hyperlink w:anchor="_Toc413315029" w:history="1">
            <w:r w:rsidR="008961F3" w:rsidRPr="00A33E2F">
              <w:rPr>
                <w:rStyle w:val="Hyperlink"/>
              </w:rPr>
              <w:t>Shortened forms</w:t>
            </w:r>
            <w:r w:rsidR="008961F3">
              <w:rPr>
                <w:webHidden/>
              </w:rPr>
              <w:tab/>
            </w:r>
            <w:r w:rsidR="008961F3">
              <w:rPr>
                <w:webHidden/>
              </w:rPr>
              <w:fldChar w:fldCharType="begin"/>
            </w:r>
            <w:r w:rsidR="008961F3">
              <w:rPr>
                <w:webHidden/>
              </w:rPr>
              <w:instrText xml:space="preserve"> PAGEREF _Toc413315029 \h </w:instrText>
            </w:r>
            <w:r w:rsidR="008961F3">
              <w:rPr>
                <w:webHidden/>
              </w:rPr>
            </w:r>
            <w:r w:rsidR="008961F3">
              <w:rPr>
                <w:webHidden/>
              </w:rPr>
              <w:fldChar w:fldCharType="separate"/>
            </w:r>
            <w:r w:rsidR="001D3E13">
              <w:rPr>
                <w:webHidden/>
              </w:rPr>
              <w:t>2-4</w:t>
            </w:r>
            <w:r w:rsidR="008961F3">
              <w:rPr>
                <w:webHidden/>
              </w:rPr>
              <w:fldChar w:fldCharType="end"/>
            </w:r>
          </w:hyperlink>
        </w:p>
        <w:p w:rsidR="008961F3" w:rsidRDefault="00B11046">
          <w:pPr>
            <w:pStyle w:val="TOC1"/>
            <w:rPr>
              <w:rFonts w:asciiTheme="minorHAnsi" w:eastAsiaTheme="minorEastAsia" w:hAnsiTheme="minorHAnsi"/>
              <w:b w:val="0"/>
              <w:color w:val="auto"/>
              <w:sz w:val="22"/>
              <w:lang w:val="en-AU" w:eastAsia="en-AU"/>
            </w:rPr>
          </w:pPr>
          <w:hyperlink w:anchor="_Toc413315030" w:history="1">
            <w:r w:rsidR="008961F3" w:rsidRPr="00A33E2F">
              <w:rPr>
                <w:rStyle w:val="Hyperlink"/>
              </w:rPr>
              <w:t>2</w:t>
            </w:r>
            <w:r w:rsidR="008961F3">
              <w:rPr>
                <w:rFonts w:asciiTheme="minorHAnsi" w:eastAsiaTheme="minorEastAsia" w:hAnsiTheme="minorHAnsi"/>
                <w:b w:val="0"/>
                <w:color w:val="auto"/>
                <w:sz w:val="22"/>
                <w:lang w:val="en-AU" w:eastAsia="en-AU"/>
              </w:rPr>
              <w:tab/>
            </w:r>
            <w:r w:rsidR="008961F3" w:rsidRPr="00A33E2F">
              <w:rPr>
                <w:rStyle w:val="Hyperlink"/>
              </w:rPr>
              <w:t>Regulatory asset base</w:t>
            </w:r>
            <w:r w:rsidR="008961F3">
              <w:rPr>
                <w:webHidden/>
              </w:rPr>
              <w:tab/>
            </w:r>
            <w:r w:rsidR="008961F3">
              <w:rPr>
                <w:webHidden/>
              </w:rPr>
              <w:fldChar w:fldCharType="begin"/>
            </w:r>
            <w:r w:rsidR="008961F3">
              <w:rPr>
                <w:webHidden/>
              </w:rPr>
              <w:instrText xml:space="preserve"> PAGEREF _Toc413315030 \h </w:instrText>
            </w:r>
            <w:r w:rsidR="008961F3">
              <w:rPr>
                <w:webHidden/>
              </w:rPr>
            </w:r>
            <w:r w:rsidR="008961F3">
              <w:rPr>
                <w:webHidden/>
              </w:rPr>
              <w:fldChar w:fldCharType="separate"/>
            </w:r>
            <w:r w:rsidR="001D3E13">
              <w:rPr>
                <w:webHidden/>
              </w:rPr>
              <w:t>2-6</w:t>
            </w:r>
            <w:r w:rsidR="008961F3">
              <w:rPr>
                <w:webHidden/>
              </w:rPr>
              <w:fldChar w:fldCharType="end"/>
            </w:r>
          </w:hyperlink>
        </w:p>
        <w:p w:rsidR="008961F3" w:rsidRDefault="00B11046">
          <w:pPr>
            <w:pStyle w:val="TOC2"/>
            <w:rPr>
              <w:rFonts w:asciiTheme="minorHAnsi" w:eastAsiaTheme="minorEastAsia" w:hAnsiTheme="minorHAnsi"/>
              <w:b w:val="0"/>
              <w:color w:val="auto"/>
              <w:sz w:val="22"/>
              <w:lang w:eastAsia="en-AU"/>
            </w:rPr>
          </w:pPr>
          <w:hyperlink w:anchor="_Toc413315031" w:history="1">
            <w:r w:rsidR="008961F3" w:rsidRPr="00A33E2F">
              <w:rPr>
                <w:rStyle w:val="Hyperlink"/>
              </w:rPr>
              <w:t>2.1</w:t>
            </w:r>
            <w:r w:rsidR="008961F3">
              <w:rPr>
                <w:rFonts w:asciiTheme="minorHAnsi" w:eastAsiaTheme="minorEastAsia" w:hAnsiTheme="minorHAnsi"/>
                <w:b w:val="0"/>
                <w:color w:val="auto"/>
                <w:sz w:val="22"/>
                <w:lang w:eastAsia="en-AU"/>
              </w:rPr>
              <w:tab/>
            </w:r>
            <w:r w:rsidR="008961F3" w:rsidRPr="00A33E2F">
              <w:rPr>
                <w:rStyle w:val="Hyperlink"/>
              </w:rPr>
              <w:t>Final decision</w:t>
            </w:r>
            <w:r w:rsidR="008961F3">
              <w:rPr>
                <w:webHidden/>
              </w:rPr>
              <w:tab/>
            </w:r>
            <w:r w:rsidR="008961F3">
              <w:rPr>
                <w:webHidden/>
              </w:rPr>
              <w:fldChar w:fldCharType="begin"/>
            </w:r>
            <w:r w:rsidR="008961F3">
              <w:rPr>
                <w:webHidden/>
              </w:rPr>
              <w:instrText xml:space="preserve"> PAGEREF _Toc413315031 \h </w:instrText>
            </w:r>
            <w:r w:rsidR="008961F3">
              <w:rPr>
                <w:webHidden/>
              </w:rPr>
            </w:r>
            <w:r w:rsidR="008961F3">
              <w:rPr>
                <w:webHidden/>
              </w:rPr>
              <w:fldChar w:fldCharType="separate"/>
            </w:r>
            <w:r w:rsidR="001D3E13">
              <w:rPr>
                <w:webHidden/>
              </w:rPr>
              <w:t>2-6</w:t>
            </w:r>
            <w:r w:rsidR="008961F3">
              <w:rPr>
                <w:webHidden/>
              </w:rPr>
              <w:fldChar w:fldCharType="end"/>
            </w:r>
          </w:hyperlink>
        </w:p>
        <w:p w:rsidR="008961F3" w:rsidRDefault="00B11046">
          <w:pPr>
            <w:pStyle w:val="TOC2"/>
            <w:rPr>
              <w:rFonts w:asciiTheme="minorHAnsi" w:eastAsiaTheme="minorEastAsia" w:hAnsiTheme="minorHAnsi"/>
              <w:b w:val="0"/>
              <w:color w:val="auto"/>
              <w:sz w:val="22"/>
              <w:lang w:eastAsia="en-AU"/>
            </w:rPr>
          </w:pPr>
          <w:hyperlink w:anchor="_Toc413315032" w:history="1">
            <w:r w:rsidR="008961F3" w:rsidRPr="00A33E2F">
              <w:rPr>
                <w:rStyle w:val="Hyperlink"/>
              </w:rPr>
              <w:t>2.2</w:t>
            </w:r>
            <w:r w:rsidR="008961F3">
              <w:rPr>
                <w:rFonts w:asciiTheme="minorHAnsi" w:eastAsiaTheme="minorEastAsia" w:hAnsiTheme="minorHAnsi"/>
                <w:b w:val="0"/>
                <w:color w:val="auto"/>
                <w:sz w:val="22"/>
                <w:lang w:eastAsia="en-AU"/>
              </w:rPr>
              <w:tab/>
            </w:r>
            <w:r w:rsidR="008961F3" w:rsidRPr="00A33E2F">
              <w:rPr>
                <w:rStyle w:val="Hyperlink"/>
              </w:rPr>
              <w:t>Ausgrid’s revised proposal</w:t>
            </w:r>
            <w:r w:rsidR="008961F3">
              <w:rPr>
                <w:webHidden/>
              </w:rPr>
              <w:tab/>
            </w:r>
            <w:r w:rsidR="008961F3">
              <w:rPr>
                <w:webHidden/>
              </w:rPr>
              <w:fldChar w:fldCharType="begin"/>
            </w:r>
            <w:r w:rsidR="008961F3">
              <w:rPr>
                <w:webHidden/>
              </w:rPr>
              <w:instrText xml:space="preserve"> PAGEREF _Toc413315032 \h </w:instrText>
            </w:r>
            <w:r w:rsidR="008961F3">
              <w:rPr>
                <w:webHidden/>
              </w:rPr>
            </w:r>
            <w:r w:rsidR="008961F3">
              <w:rPr>
                <w:webHidden/>
              </w:rPr>
              <w:fldChar w:fldCharType="separate"/>
            </w:r>
            <w:r w:rsidR="001D3E13">
              <w:rPr>
                <w:webHidden/>
              </w:rPr>
              <w:t>2-8</w:t>
            </w:r>
            <w:r w:rsidR="008961F3">
              <w:rPr>
                <w:webHidden/>
              </w:rPr>
              <w:fldChar w:fldCharType="end"/>
            </w:r>
          </w:hyperlink>
        </w:p>
        <w:p w:rsidR="008961F3" w:rsidRDefault="00B11046">
          <w:pPr>
            <w:pStyle w:val="TOC2"/>
            <w:rPr>
              <w:rFonts w:asciiTheme="minorHAnsi" w:eastAsiaTheme="minorEastAsia" w:hAnsiTheme="minorHAnsi"/>
              <w:b w:val="0"/>
              <w:color w:val="auto"/>
              <w:sz w:val="22"/>
              <w:lang w:eastAsia="en-AU"/>
            </w:rPr>
          </w:pPr>
          <w:hyperlink w:anchor="_Toc413315033" w:history="1">
            <w:r w:rsidR="008961F3" w:rsidRPr="00A33E2F">
              <w:rPr>
                <w:rStyle w:val="Hyperlink"/>
              </w:rPr>
              <w:t>2.3</w:t>
            </w:r>
            <w:r w:rsidR="008961F3">
              <w:rPr>
                <w:rFonts w:asciiTheme="minorHAnsi" w:eastAsiaTheme="minorEastAsia" w:hAnsiTheme="minorHAnsi"/>
                <w:b w:val="0"/>
                <w:color w:val="auto"/>
                <w:sz w:val="22"/>
                <w:lang w:eastAsia="en-AU"/>
              </w:rPr>
              <w:tab/>
            </w:r>
            <w:r w:rsidR="008961F3" w:rsidRPr="00A33E2F">
              <w:rPr>
                <w:rStyle w:val="Hyperlink"/>
              </w:rPr>
              <w:t>AER’s assessment approach</w:t>
            </w:r>
            <w:r w:rsidR="008961F3">
              <w:rPr>
                <w:webHidden/>
              </w:rPr>
              <w:tab/>
            </w:r>
            <w:r w:rsidR="008961F3">
              <w:rPr>
                <w:webHidden/>
              </w:rPr>
              <w:fldChar w:fldCharType="begin"/>
            </w:r>
            <w:r w:rsidR="008961F3">
              <w:rPr>
                <w:webHidden/>
              </w:rPr>
              <w:instrText xml:space="preserve"> PAGEREF _Toc413315033 \h </w:instrText>
            </w:r>
            <w:r w:rsidR="008961F3">
              <w:rPr>
                <w:webHidden/>
              </w:rPr>
            </w:r>
            <w:r w:rsidR="008961F3">
              <w:rPr>
                <w:webHidden/>
              </w:rPr>
              <w:fldChar w:fldCharType="separate"/>
            </w:r>
            <w:r w:rsidR="001D3E13">
              <w:rPr>
                <w:webHidden/>
              </w:rPr>
              <w:t>2-9</w:t>
            </w:r>
            <w:r w:rsidR="008961F3">
              <w:rPr>
                <w:webHidden/>
              </w:rPr>
              <w:fldChar w:fldCharType="end"/>
            </w:r>
          </w:hyperlink>
        </w:p>
        <w:p w:rsidR="008961F3" w:rsidRDefault="00B11046">
          <w:pPr>
            <w:pStyle w:val="TOC2"/>
            <w:rPr>
              <w:rFonts w:asciiTheme="minorHAnsi" w:eastAsiaTheme="minorEastAsia" w:hAnsiTheme="minorHAnsi"/>
              <w:b w:val="0"/>
              <w:color w:val="auto"/>
              <w:sz w:val="22"/>
              <w:lang w:eastAsia="en-AU"/>
            </w:rPr>
          </w:pPr>
          <w:hyperlink w:anchor="_Toc413315034" w:history="1">
            <w:r w:rsidR="008961F3" w:rsidRPr="00A33E2F">
              <w:rPr>
                <w:rStyle w:val="Hyperlink"/>
              </w:rPr>
              <w:t>2.4</w:t>
            </w:r>
            <w:r w:rsidR="008961F3">
              <w:rPr>
                <w:rFonts w:asciiTheme="minorHAnsi" w:eastAsiaTheme="minorEastAsia" w:hAnsiTheme="minorHAnsi"/>
                <w:b w:val="0"/>
                <w:color w:val="auto"/>
                <w:sz w:val="22"/>
                <w:lang w:eastAsia="en-AU"/>
              </w:rPr>
              <w:tab/>
            </w:r>
            <w:r w:rsidR="008961F3" w:rsidRPr="00A33E2F">
              <w:rPr>
                <w:rStyle w:val="Hyperlink"/>
              </w:rPr>
              <w:t>Reasons for final decision</w:t>
            </w:r>
            <w:r w:rsidR="008961F3">
              <w:rPr>
                <w:webHidden/>
              </w:rPr>
              <w:tab/>
            </w:r>
            <w:r w:rsidR="008961F3">
              <w:rPr>
                <w:webHidden/>
              </w:rPr>
              <w:fldChar w:fldCharType="begin"/>
            </w:r>
            <w:r w:rsidR="008961F3">
              <w:rPr>
                <w:webHidden/>
              </w:rPr>
              <w:instrText xml:space="preserve"> PAGEREF _Toc413315034 \h </w:instrText>
            </w:r>
            <w:r w:rsidR="008961F3">
              <w:rPr>
                <w:webHidden/>
              </w:rPr>
            </w:r>
            <w:r w:rsidR="008961F3">
              <w:rPr>
                <w:webHidden/>
              </w:rPr>
              <w:fldChar w:fldCharType="separate"/>
            </w:r>
            <w:r w:rsidR="001D3E13">
              <w:rPr>
                <w:webHidden/>
              </w:rPr>
              <w:t>2-10</w:t>
            </w:r>
            <w:r w:rsidR="008961F3">
              <w:rPr>
                <w:webHidden/>
              </w:rPr>
              <w:fldChar w:fldCharType="end"/>
            </w:r>
          </w:hyperlink>
        </w:p>
        <w:p w:rsidR="008961F3" w:rsidRDefault="00B11046">
          <w:pPr>
            <w:pStyle w:val="TOC3"/>
            <w:rPr>
              <w:rFonts w:asciiTheme="minorHAnsi" w:eastAsiaTheme="minorEastAsia" w:hAnsiTheme="minorHAnsi"/>
              <w:lang w:eastAsia="en-AU"/>
            </w:rPr>
          </w:pPr>
          <w:hyperlink w:anchor="_Toc413315035" w:history="1">
            <w:r w:rsidR="008961F3" w:rsidRPr="00A33E2F">
              <w:rPr>
                <w:rStyle w:val="Hyperlink"/>
              </w:rPr>
              <w:t>2.4.1</w:t>
            </w:r>
            <w:r w:rsidR="008961F3">
              <w:rPr>
                <w:rFonts w:asciiTheme="minorHAnsi" w:eastAsiaTheme="minorEastAsia" w:hAnsiTheme="minorHAnsi"/>
                <w:lang w:eastAsia="en-AU"/>
              </w:rPr>
              <w:tab/>
            </w:r>
            <w:r w:rsidR="008961F3" w:rsidRPr="00A33E2F">
              <w:rPr>
                <w:rStyle w:val="Hyperlink"/>
              </w:rPr>
              <w:t>Opening RAB as at 1 July 2014</w:t>
            </w:r>
            <w:r w:rsidR="008961F3">
              <w:rPr>
                <w:webHidden/>
              </w:rPr>
              <w:tab/>
            </w:r>
            <w:r w:rsidR="008961F3">
              <w:rPr>
                <w:webHidden/>
              </w:rPr>
              <w:fldChar w:fldCharType="begin"/>
            </w:r>
            <w:r w:rsidR="008961F3">
              <w:rPr>
                <w:webHidden/>
              </w:rPr>
              <w:instrText xml:space="preserve"> PAGEREF _Toc413315035 \h </w:instrText>
            </w:r>
            <w:r w:rsidR="008961F3">
              <w:rPr>
                <w:webHidden/>
              </w:rPr>
            </w:r>
            <w:r w:rsidR="008961F3">
              <w:rPr>
                <w:webHidden/>
              </w:rPr>
              <w:fldChar w:fldCharType="separate"/>
            </w:r>
            <w:r w:rsidR="001D3E13">
              <w:rPr>
                <w:webHidden/>
              </w:rPr>
              <w:t>2-10</w:t>
            </w:r>
            <w:r w:rsidR="008961F3">
              <w:rPr>
                <w:webHidden/>
              </w:rPr>
              <w:fldChar w:fldCharType="end"/>
            </w:r>
          </w:hyperlink>
        </w:p>
        <w:p w:rsidR="008961F3" w:rsidRDefault="00B11046">
          <w:pPr>
            <w:pStyle w:val="TOC3"/>
            <w:rPr>
              <w:rFonts w:asciiTheme="minorHAnsi" w:eastAsiaTheme="minorEastAsia" w:hAnsiTheme="minorHAnsi"/>
              <w:lang w:eastAsia="en-AU"/>
            </w:rPr>
          </w:pPr>
          <w:hyperlink w:anchor="_Toc413315036" w:history="1">
            <w:r w:rsidR="008961F3" w:rsidRPr="00A33E2F">
              <w:rPr>
                <w:rStyle w:val="Hyperlink"/>
              </w:rPr>
              <w:t>2.4.2</w:t>
            </w:r>
            <w:r w:rsidR="008961F3">
              <w:rPr>
                <w:rFonts w:asciiTheme="minorHAnsi" w:eastAsiaTheme="minorEastAsia" w:hAnsiTheme="minorHAnsi"/>
                <w:lang w:eastAsia="en-AU"/>
              </w:rPr>
              <w:tab/>
            </w:r>
            <w:r w:rsidR="008961F3" w:rsidRPr="00A33E2F">
              <w:rPr>
                <w:rStyle w:val="Hyperlink"/>
              </w:rPr>
              <w:t>Forecast closing RAB as at 30 June 2019</w:t>
            </w:r>
            <w:r w:rsidR="008961F3">
              <w:rPr>
                <w:webHidden/>
              </w:rPr>
              <w:tab/>
            </w:r>
            <w:r w:rsidR="008961F3">
              <w:rPr>
                <w:webHidden/>
              </w:rPr>
              <w:fldChar w:fldCharType="begin"/>
            </w:r>
            <w:r w:rsidR="008961F3">
              <w:rPr>
                <w:webHidden/>
              </w:rPr>
              <w:instrText xml:space="preserve"> PAGEREF _Toc413315036 \h </w:instrText>
            </w:r>
            <w:r w:rsidR="008961F3">
              <w:rPr>
                <w:webHidden/>
              </w:rPr>
            </w:r>
            <w:r w:rsidR="008961F3">
              <w:rPr>
                <w:webHidden/>
              </w:rPr>
              <w:fldChar w:fldCharType="separate"/>
            </w:r>
            <w:r w:rsidR="001D3E13">
              <w:rPr>
                <w:webHidden/>
              </w:rPr>
              <w:t>2-11</w:t>
            </w:r>
            <w:r w:rsidR="008961F3">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8" w:name="_Toc404700925"/>
      <w:bookmarkStart w:id="9" w:name="_Toc413315029"/>
      <w:r>
        <w:lastRenderedPageBreak/>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693FA9">
        <w:trPr>
          <w:cnfStyle w:val="100000000000" w:firstRow="1" w:lastRow="0" w:firstColumn="0" w:lastColumn="0" w:oddVBand="0" w:evenVBand="0" w:oddHBand="0" w:evenHBand="0" w:firstRowFirstColumn="0" w:firstRowLastColumn="0" w:lastRowFirstColumn="0" w:lastRowLastColumn="0"/>
        </w:trPr>
        <w:tc>
          <w:tcPr>
            <w:tcW w:w="4349" w:type="dxa"/>
          </w:tcPr>
          <w:p w:rsidR="001F05A4" w:rsidRDefault="001F05A4" w:rsidP="001F05A4">
            <w:pPr>
              <w:numPr>
                <w:ilvl w:val="0"/>
                <w:numId w:val="25"/>
              </w:numPr>
            </w:pPr>
            <w:r>
              <w:t>Shortened form</w:t>
            </w:r>
          </w:p>
        </w:tc>
        <w:tc>
          <w:tcPr>
            <w:tcW w:w="4344" w:type="dxa"/>
          </w:tcPr>
          <w:p w:rsidR="001F05A4" w:rsidRDefault="001F05A4" w:rsidP="001F05A4">
            <w:pPr>
              <w:numPr>
                <w:ilvl w:val="0"/>
                <w:numId w:val="25"/>
              </w:numPr>
            </w:pPr>
            <w:r>
              <w:t>Extended form</w:t>
            </w:r>
          </w:p>
        </w:tc>
      </w:tr>
      <w:tr w:rsidR="00693FA9" w:rsidTr="00693FA9">
        <w:tc>
          <w:tcPr>
            <w:tcW w:w="4349" w:type="dxa"/>
          </w:tcPr>
          <w:p w:rsidR="00693FA9" w:rsidRPr="00693FA9" w:rsidRDefault="00693FA9" w:rsidP="00693FA9">
            <w:pPr>
              <w:numPr>
                <w:ilvl w:val="0"/>
                <w:numId w:val="25"/>
              </w:numPr>
            </w:pPr>
            <w:r w:rsidRPr="00693FA9">
              <w:t>AEMC</w:t>
            </w:r>
          </w:p>
        </w:tc>
        <w:tc>
          <w:tcPr>
            <w:tcW w:w="4344" w:type="dxa"/>
          </w:tcPr>
          <w:p w:rsidR="00693FA9" w:rsidRPr="00693FA9" w:rsidRDefault="00693FA9" w:rsidP="00693FA9">
            <w:pPr>
              <w:numPr>
                <w:ilvl w:val="0"/>
                <w:numId w:val="25"/>
              </w:numPr>
            </w:pPr>
            <w:r w:rsidRPr="00693FA9">
              <w:t>Australian Energy Market Commission</w:t>
            </w:r>
          </w:p>
        </w:tc>
      </w:tr>
      <w:tr w:rsidR="00693FA9" w:rsidTr="00693FA9">
        <w:trPr>
          <w:cnfStyle w:val="000000010000" w:firstRow="0" w:lastRow="0" w:firstColumn="0" w:lastColumn="0" w:oddVBand="0" w:evenVBand="0" w:oddHBand="0" w:evenHBand="1" w:firstRowFirstColumn="0" w:firstRowLastColumn="0" w:lastRowFirstColumn="0" w:lastRowLastColumn="0"/>
        </w:trPr>
        <w:tc>
          <w:tcPr>
            <w:tcW w:w="4349" w:type="dxa"/>
          </w:tcPr>
          <w:p w:rsidR="00693FA9" w:rsidRPr="00693FA9" w:rsidRDefault="00693FA9" w:rsidP="00693FA9">
            <w:pPr>
              <w:numPr>
                <w:ilvl w:val="0"/>
                <w:numId w:val="25"/>
              </w:numPr>
            </w:pPr>
            <w:r w:rsidRPr="00693FA9">
              <w:t>AEMO</w:t>
            </w:r>
          </w:p>
        </w:tc>
        <w:tc>
          <w:tcPr>
            <w:tcW w:w="4344" w:type="dxa"/>
          </w:tcPr>
          <w:p w:rsidR="00693FA9" w:rsidRPr="00693FA9" w:rsidRDefault="00693FA9" w:rsidP="00693FA9">
            <w:pPr>
              <w:numPr>
                <w:ilvl w:val="0"/>
                <w:numId w:val="25"/>
              </w:numPr>
            </w:pPr>
            <w:r w:rsidRPr="00693FA9">
              <w:t>Australian Energy Market Operator</w:t>
            </w:r>
          </w:p>
        </w:tc>
      </w:tr>
      <w:tr w:rsidR="00693FA9" w:rsidTr="00693FA9">
        <w:tc>
          <w:tcPr>
            <w:tcW w:w="4349" w:type="dxa"/>
          </w:tcPr>
          <w:p w:rsidR="00693FA9" w:rsidRPr="00693FA9" w:rsidRDefault="00693FA9" w:rsidP="00693FA9">
            <w:pPr>
              <w:numPr>
                <w:ilvl w:val="0"/>
                <w:numId w:val="25"/>
              </w:numPr>
            </w:pPr>
            <w:r w:rsidRPr="00693FA9">
              <w:t>AER</w:t>
            </w:r>
          </w:p>
        </w:tc>
        <w:tc>
          <w:tcPr>
            <w:tcW w:w="4344" w:type="dxa"/>
          </w:tcPr>
          <w:p w:rsidR="00693FA9" w:rsidRPr="00693FA9" w:rsidRDefault="00693FA9" w:rsidP="00693FA9">
            <w:pPr>
              <w:numPr>
                <w:ilvl w:val="0"/>
                <w:numId w:val="25"/>
              </w:numPr>
            </w:pPr>
            <w:r w:rsidRPr="00693FA9">
              <w:t>Australian Energy Regulator</w:t>
            </w:r>
          </w:p>
        </w:tc>
      </w:tr>
      <w:tr w:rsidR="00693FA9" w:rsidTr="00693FA9">
        <w:trPr>
          <w:cnfStyle w:val="000000010000" w:firstRow="0" w:lastRow="0" w:firstColumn="0" w:lastColumn="0" w:oddVBand="0" w:evenVBand="0" w:oddHBand="0" w:evenHBand="1" w:firstRowFirstColumn="0" w:firstRowLastColumn="0" w:lastRowFirstColumn="0" w:lastRowLastColumn="0"/>
        </w:trPr>
        <w:tc>
          <w:tcPr>
            <w:tcW w:w="4349" w:type="dxa"/>
          </w:tcPr>
          <w:p w:rsidR="00693FA9" w:rsidRPr="00693FA9" w:rsidRDefault="00693FA9" w:rsidP="00693FA9">
            <w:pPr>
              <w:numPr>
                <w:ilvl w:val="0"/>
                <w:numId w:val="25"/>
              </w:numPr>
            </w:pPr>
            <w:r w:rsidRPr="00693FA9">
              <w:t>augex</w:t>
            </w:r>
          </w:p>
        </w:tc>
        <w:tc>
          <w:tcPr>
            <w:tcW w:w="4344" w:type="dxa"/>
          </w:tcPr>
          <w:p w:rsidR="00693FA9" w:rsidRPr="00693FA9" w:rsidRDefault="00693FA9" w:rsidP="00693FA9">
            <w:pPr>
              <w:numPr>
                <w:ilvl w:val="0"/>
                <w:numId w:val="25"/>
              </w:numPr>
            </w:pPr>
            <w:r w:rsidRPr="00693FA9">
              <w:t>augmentation expenditure</w:t>
            </w:r>
          </w:p>
        </w:tc>
      </w:tr>
      <w:tr w:rsidR="00693FA9" w:rsidTr="00693FA9">
        <w:tc>
          <w:tcPr>
            <w:tcW w:w="4349" w:type="dxa"/>
          </w:tcPr>
          <w:p w:rsidR="00693FA9" w:rsidRPr="00693FA9" w:rsidRDefault="00693FA9" w:rsidP="00693FA9">
            <w:pPr>
              <w:numPr>
                <w:ilvl w:val="0"/>
                <w:numId w:val="25"/>
              </w:numPr>
            </w:pPr>
            <w:r w:rsidRPr="00693FA9">
              <w:t>capex</w:t>
            </w:r>
          </w:p>
        </w:tc>
        <w:tc>
          <w:tcPr>
            <w:tcW w:w="4344" w:type="dxa"/>
          </w:tcPr>
          <w:p w:rsidR="00693FA9" w:rsidRPr="00693FA9" w:rsidRDefault="00693FA9" w:rsidP="00693FA9">
            <w:pPr>
              <w:numPr>
                <w:ilvl w:val="0"/>
                <w:numId w:val="25"/>
              </w:numPr>
            </w:pPr>
            <w:r w:rsidRPr="00693FA9">
              <w:t>capital expenditure</w:t>
            </w:r>
          </w:p>
        </w:tc>
      </w:tr>
      <w:tr w:rsidR="00693FA9" w:rsidTr="00693FA9">
        <w:trPr>
          <w:cnfStyle w:val="000000010000" w:firstRow="0" w:lastRow="0" w:firstColumn="0" w:lastColumn="0" w:oddVBand="0" w:evenVBand="0" w:oddHBand="0" w:evenHBand="1" w:firstRowFirstColumn="0" w:firstRowLastColumn="0" w:lastRowFirstColumn="0" w:lastRowLastColumn="0"/>
        </w:trPr>
        <w:tc>
          <w:tcPr>
            <w:tcW w:w="4349" w:type="dxa"/>
          </w:tcPr>
          <w:p w:rsidR="00693FA9" w:rsidRPr="00693FA9" w:rsidRDefault="00693FA9" w:rsidP="00693FA9">
            <w:pPr>
              <w:numPr>
                <w:ilvl w:val="0"/>
                <w:numId w:val="25"/>
              </w:numPr>
            </w:pPr>
            <w:r w:rsidRPr="00693FA9">
              <w:t>CCP</w:t>
            </w:r>
          </w:p>
        </w:tc>
        <w:tc>
          <w:tcPr>
            <w:tcW w:w="4344" w:type="dxa"/>
          </w:tcPr>
          <w:p w:rsidR="00693FA9" w:rsidRPr="00693FA9" w:rsidRDefault="00693FA9" w:rsidP="00693FA9">
            <w:pPr>
              <w:numPr>
                <w:ilvl w:val="0"/>
                <w:numId w:val="25"/>
              </w:numPr>
            </w:pPr>
            <w:r w:rsidRPr="00693FA9">
              <w:t>Consumer Challenge Panel</w:t>
            </w:r>
          </w:p>
        </w:tc>
      </w:tr>
      <w:tr w:rsidR="00693FA9" w:rsidTr="00693FA9">
        <w:tc>
          <w:tcPr>
            <w:tcW w:w="4349" w:type="dxa"/>
          </w:tcPr>
          <w:p w:rsidR="00693FA9" w:rsidRPr="00693FA9" w:rsidRDefault="00693FA9" w:rsidP="00693FA9">
            <w:pPr>
              <w:numPr>
                <w:ilvl w:val="0"/>
                <w:numId w:val="25"/>
              </w:numPr>
            </w:pPr>
            <w:r w:rsidRPr="00693FA9">
              <w:t>CESS</w:t>
            </w:r>
          </w:p>
        </w:tc>
        <w:tc>
          <w:tcPr>
            <w:tcW w:w="4344" w:type="dxa"/>
          </w:tcPr>
          <w:p w:rsidR="00693FA9" w:rsidRPr="00693FA9" w:rsidRDefault="00693FA9" w:rsidP="00693FA9">
            <w:pPr>
              <w:numPr>
                <w:ilvl w:val="0"/>
                <w:numId w:val="25"/>
              </w:numPr>
            </w:pPr>
            <w:r w:rsidRPr="00693FA9">
              <w:t>capital expenditure sharing scheme</w:t>
            </w:r>
          </w:p>
        </w:tc>
      </w:tr>
      <w:tr w:rsidR="00693FA9" w:rsidTr="00693FA9">
        <w:trPr>
          <w:cnfStyle w:val="000000010000" w:firstRow="0" w:lastRow="0" w:firstColumn="0" w:lastColumn="0" w:oddVBand="0" w:evenVBand="0" w:oddHBand="0" w:evenHBand="1" w:firstRowFirstColumn="0" w:firstRowLastColumn="0" w:lastRowFirstColumn="0" w:lastRowLastColumn="0"/>
        </w:trPr>
        <w:tc>
          <w:tcPr>
            <w:tcW w:w="4349" w:type="dxa"/>
          </w:tcPr>
          <w:p w:rsidR="00693FA9" w:rsidRPr="00693FA9" w:rsidRDefault="00693FA9" w:rsidP="00693FA9">
            <w:pPr>
              <w:numPr>
                <w:ilvl w:val="0"/>
                <w:numId w:val="25"/>
              </w:numPr>
            </w:pPr>
            <w:r w:rsidRPr="00693FA9">
              <w:t>CPI</w:t>
            </w:r>
          </w:p>
        </w:tc>
        <w:tc>
          <w:tcPr>
            <w:tcW w:w="4344" w:type="dxa"/>
          </w:tcPr>
          <w:p w:rsidR="00693FA9" w:rsidRPr="00693FA9" w:rsidRDefault="00693FA9" w:rsidP="00693FA9">
            <w:pPr>
              <w:numPr>
                <w:ilvl w:val="0"/>
                <w:numId w:val="25"/>
              </w:numPr>
            </w:pPr>
            <w:r w:rsidRPr="00693FA9">
              <w:t>consumer price index</w:t>
            </w:r>
          </w:p>
        </w:tc>
      </w:tr>
      <w:tr w:rsidR="00693FA9" w:rsidTr="00693FA9">
        <w:tc>
          <w:tcPr>
            <w:tcW w:w="4349" w:type="dxa"/>
          </w:tcPr>
          <w:p w:rsidR="00693FA9" w:rsidRPr="00693FA9" w:rsidRDefault="00693FA9" w:rsidP="00693FA9">
            <w:pPr>
              <w:numPr>
                <w:ilvl w:val="0"/>
                <w:numId w:val="25"/>
              </w:numPr>
            </w:pPr>
            <w:r w:rsidRPr="00693FA9">
              <w:t>DRP</w:t>
            </w:r>
          </w:p>
        </w:tc>
        <w:tc>
          <w:tcPr>
            <w:tcW w:w="4344" w:type="dxa"/>
          </w:tcPr>
          <w:p w:rsidR="00693FA9" w:rsidRPr="00693FA9" w:rsidRDefault="00693FA9" w:rsidP="00693FA9">
            <w:pPr>
              <w:numPr>
                <w:ilvl w:val="0"/>
                <w:numId w:val="25"/>
              </w:numPr>
            </w:pPr>
            <w:r w:rsidRPr="00693FA9">
              <w:t>debt risk premium</w:t>
            </w:r>
          </w:p>
        </w:tc>
      </w:tr>
      <w:tr w:rsidR="00693FA9" w:rsidTr="00693FA9">
        <w:trPr>
          <w:cnfStyle w:val="000000010000" w:firstRow="0" w:lastRow="0" w:firstColumn="0" w:lastColumn="0" w:oddVBand="0" w:evenVBand="0" w:oddHBand="0" w:evenHBand="1" w:firstRowFirstColumn="0" w:firstRowLastColumn="0" w:lastRowFirstColumn="0" w:lastRowLastColumn="0"/>
        </w:trPr>
        <w:tc>
          <w:tcPr>
            <w:tcW w:w="4349" w:type="dxa"/>
          </w:tcPr>
          <w:p w:rsidR="00693FA9" w:rsidRPr="00693FA9" w:rsidRDefault="00693FA9" w:rsidP="00693FA9">
            <w:pPr>
              <w:numPr>
                <w:ilvl w:val="0"/>
                <w:numId w:val="25"/>
              </w:numPr>
            </w:pPr>
            <w:r w:rsidRPr="00693FA9">
              <w:t>DMIA</w:t>
            </w:r>
          </w:p>
        </w:tc>
        <w:tc>
          <w:tcPr>
            <w:tcW w:w="4344" w:type="dxa"/>
          </w:tcPr>
          <w:p w:rsidR="00693FA9" w:rsidRPr="00693FA9" w:rsidRDefault="00693FA9" w:rsidP="00693FA9">
            <w:pPr>
              <w:numPr>
                <w:ilvl w:val="0"/>
                <w:numId w:val="25"/>
              </w:numPr>
            </w:pPr>
            <w:r w:rsidRPr="00693FA9">
              <w:t>demand management innovation allowance</w:t>
            </w:r>
          </w:p>
        </w:tc>
      </w:tr>
      <w:tr w:rsidR="00693FA9" w:rsidTr="00693FA9">
        <w:tc>
          <w:tcPr>
            <w:tcW w:w="4349" w:type="dxa"/>
          </w:tcPr>
          <w:p w:rsidR="00693FA9" w:rsidRPr="00693FA9" w:rsidRDefault="00693FA9" w:rsidP="00693FA9">
            <w:pPr>
              <w:numPr>
                <w:ilvl w:val="0"/>
                <w:numId w:val="25"/>
              </w:numPr>
            </w:pPr>
            <w:r w:rsidRPr="00693FA9">
              <w:t>DMIS</w:t>
            </w:r>
          </w:p>
        </w:tc>
        <w:tc>
          <w:tcPr>
            <w:tcW w:w="4344" w:type="dxa"/>
          </w:tcPr>
          <w:p w:rsidR="00693FA9" w:rsidRPr="00693FA9" w:rsidRDefault="00693FA9" w:rsidP="00693FA9">
            <w:pPr>
              <w:numPr>
                <w:ilvl w:val="0"/>
                <w:numId w:val="25"/>
              </w:numPr>
            </w:pPr>
            <w:r w:rsidRPr="00693FA9">
              <w:t>demand management incentive scheme</w:t>
            </w:r>
          </w:p>
        </w:tc>
      </w:tr>
      <w:tr w:rsidR="00693FA9" w:rsidTr="00693FA9">
        <w:trPr>
          <w:cnfStyle w:val="000000010000" w:firstRow="0" w:lastRow="0" w:firstColumn="0" w:lastColumn="0" w:oddVBand="0" w:evenVBand="0" w:oddHBand="0" w:evenHBand="1" w:firstRowFirstColumn="0" w:firstRowLastColumn="0" w:lastRowFirstColumn="0" w:lastRowLastColumn="0"/>
        </w:trPr>
        <w:tc>
          <w:tcPr>
            <w:tcW w:w="4349" w:type="dxa"/>
          </w:tcPr>
          <w:p w:rsidR="00693FA9" w:rsidRPr="00693FA9" w:rsidRDefault="00693FA9" w:rsidP="00693FA9">
            <w:pPr>
              <w:numPr>
                <w:ilvl w:val="0"/>
                <w:numId w:val="25"/>
              </w:numPr>
            </w:pPr>
            <w:r w:rsidRPr="00693FA9">
              <w:t>distributor</w:t>
            </w:r>
          </w:p>
        </w:tc>
        <w:tc>
          <w:tcPr>
            <w:tcW w:w="4344" w:type="dxa"/>
          </w:tcPr>
          <w:p w:rsidR="00693FA9" w:rsidRPr="00693FA9" w:rsidRDefault="00693FA9" w:rsidP="00693FA9">
            <w:pPr>
              <w:numPr>
                <w:ilvl w:val="0"/>
                <w:numId w:val="25"/>
              </w:numPr>
            </w:pPr>
            <w:r w:rsidRPr="00693FA9">
              <w:t>distribution network service provider</w:t>
            </w:r>
          </w:p>
        </w:tc>
      </w:tr>
      <w:tr w:rsidR="00693FA9" w:rsidTr="00693FA9">
        <w:tc>
          <w:tcPr>
            <w:tcW w:w="4349" w:type="dxa"/>
          </w:tcPr>
          <w:p w:rsidR="00693FA9" w:rsidRPr="00693FA9" w:rsidRDefault="00693FA9" w:rsidP="00693FA9">
            <w:pPr>
              <w:numPr>
                <w:ilvl w:val="0"/>
                <w:numId w:val="25"/>
              </w:numPr>
            </w:pPr>
            <w:proofErr w:type="spellStart"/>
            <w:r w:rsidRPr="00693FA9">
              <w:t>DUoS</w:t>
            </w:r>
            <w:proofErr w:type="spellEnd"/>
          </w:p>
        </w:tc>
        <w:tc>
          <w:tcPr>
            <w:tcW w:w="4344" w:type="dxa"/>
          </w:tcPr>
          <w:p w:rsidR="00693FA9" w:rsidRPr="00693FA9" w:rsidRDefault="00693FA9" w:rsidP="00693FA9">
            <w:pPr>
              <w:numPr>
                <w:ilvl w:val="0"/>
                <w:numId w:val="25"/>
              </w:numPr>
            </w:pPr>
            <w:r w:rsidRPr="00693FA9">
              <w:t>distribution use of system</w:t>
            </w:r>
          </w:p>
        </w:tc>
      </w:tr>
      <w:tr w:rsidR="00693FA9" w:rsidTr="00693FA9">
        <w:trPr>
          <w:cnfStyle w:val="000000010000" w:firstRow="0" w:lastRow="0" w:firstColumn="0" w:lastColumn="0" w:oddVBand="0" w:evenVBand="0" w:oddHBand="0" w:evenHBand="1" w:firstRowFirstColumn="0" w:firstRowLastColumn="0" w:lastRowFirstColumn="0" w:lastRowLastColumn="0"/>
        </w:trPr>
        <w:tc>
          <w:tcPr>
            <w:tcW w:w="4349" w:type="dxa"/>
          </w:tcPr>
          <w:p w:rsidR="00693FA9" w:rsidRPr="00693FA9" w:rsidRDefault="00693FA9" w:rsidP="00693FA9">
            <w:pPr>
              <w:numPr>
                <w:ilvl w:val="0"/>
                <w:numId w:val="25"/>
              </w:numPr>
            </w:pPr>
            <w:r w:rsidRPr="00693FA9">
              <w:t>EBSS</w:t>
            </w:r>
          </w:p>
        </w:tc>
        <w:tc>
          <w:tcPr>
            <w:tcW w:w="4344" w:type="dxa"/>
          </w:tcPr>
          <w:p w:rsidR="00693FA9" w:rsidRPr="00693FA9" w:rsidRDefault="00693FA9" w:rsidP="00693FA9">
            <w:pPr>
              <w:numPr>
                <w:ilvl w:val="0"/>
                <w:numId w:val="25"/>
              </w:numPr>
            </w:pPr>
            <w:r w:rsidRPr="00693FA9">
              <w:t>efficiency benefit sharing scheme</w:t>
            </w:r>
          </w:p>
        </w:tc>
      </w:tr>
      <w:tr w:rsidR="00693FA9" w:rsidTr="00693FA9">
        <w:tc>
          <w:tcPr>
            <w:tcW w:w="4349" w:type="dxa"/>
          </w:tcPr>
          <w:p w:rsidR="00693FA9" w:rsidRPr="00693FA9" w:rsidRDefault="00693FA9" w:rsidP="00693FA9">
            <w:pPr>
              <w:numPr>
                <w:ilvl w:val="0"/>
                <w:numId w:val="25"/>
              </w:numPr>
            </w:pPr>
            <w:r w:rsidRPr="00693FA9">
              <w:t>ERP</w:t>
            </w:r>
          </w:p>
        </w:tc>
        <w:tc>
          <w:tcPr>
            <w:tcW w:w="4344" w:type="dxa"/>
          </w:tcPr>
          <w:p w:rsidR="00693FA9" w:rsidRPr="00693FA9" w:rsidRDefault="00693FA9" w:rsidP="00693FA9">
            <w:pPr>
              <w:numPr>
                <w:ilvl w:val="0"/>
                <w:numId w:val="25"/>
              </w:numPr>
            </w:pPr>
            <w:r w:rsidRPr="00693FA9">
              <w:t>equity risk premium</w:t>
            </w:r>
          </w:p>
        </w:tc>
      </w:tr>
      <w:tr w:rsidR="00693FA9" w:rsidTr="00693FA9">
        <w:trPr>
          <w:cnfStyle w:val="000000010000" w:firstRow="0" w:lastRow="0" w:firstColumn="0" w:lastColumn="0" w:oddVBand="0" w:evenVBand="0" w:oddHBand="0" w:evenHBand="1" w:firstRowFirstColumn="0" w:firstRowLastColumn="0" w:lastRowFirstColumn="0" w:lastRowLastColumn="0"/>
        </w:trPr>
        <w:tc>
          <w:tcPr>
            <w:tcW w:w="4349" w:type="dxa"/>
          </w:tcPr>
          <w:p w:rsidR="00693FA9" w:rsidRPr="00693FA9" w:rsidRDefault="00693FA9" w:rsidP="00693FA9">
            <w:pPr>
              <w:numPr>
                <w:ilvl w:val="0"/>
                <w:numId w:val="25"/>
              </w:numPr>
            </w:pPr>
            <w:r w:rsidRPr="00693FA9">
              <w:t>Expenditure Assessment Guideline</w:t>
            </w:r>
          </w:p>
        </w:tc>
        <w:tc>
          <w:tcPr>
            <w:tcW w:w="4344" w:type="dxa"/>
          </w:tcPr>
          <w:p w:rsidR="00693FA9" w:rsidRPr="00693FA9" w:rsidRDefault="00693FA9" w:rsidP="00693FA9">
            <w:pPr>
              <w:numPr>
                <w:ilvl w:val="0"/>
                <w:numId w:val="25"/>
              </w:numPr>
            </w:pPr>
            <w:r w:rsidRPr="00693FA9">
              <w:t>expenditure forecast assessment Guideline for electricity distribution</w:t>
            </w:r>
          </w:p>
        </w:tc>
      </w:tr>
      <w:tr w:rsidR="00693FA9" w:rsidTr="00693FA9">
        <w:tc>
          <w:tcPr>
            <w:tcW w:w="4349" w:type="dxa"/>
          </w:tcPr>
          <w:p w:rsidR="00693FA9" w:rsidRPr="00693FA9" w:rsidRDefault="00693FA9" w:rsidP="00693FA9">
            <w:pPr>
              <w:numPr>
                <w:ilvl w:val="0"/>
                <w:numId w:val="25"/>
              </w:numPr>
            </w:pPr>
            <w:r w:rsidRPr="00693FA9">
              <w:t>F&amp;A</w:t>
            </w:r>
          </w:p>
        </w:tc>
        <w:tc>
          <w:tcPr>
            <w:tcW w:w="4344" w:type="dxa"/>
          </w:tcPr>
          <w:p w:rsidR="00693FA9" w:rsidRPr="00693FA9" w:rsidRDefault="00693FA9" w:rsidP="00693FA9">
            <w:pPr>
              <w:numPr>
                <w:ilvl w:val="0"/>
                <w:numId w:val="25"/>
              </w:numPr>
            </w:pPr>
            <w:r w:rsidRPr="00693FA9">
              <w:t>framework and approach</w:t>
            </w:r>
          </w:p>
        </w:tc>
      </w:tr>
      <w:tr w:rsidR="00693FA9" w:rsidTr="00693FA9">
        <w:trPr>
          <w:cnfStyle w:val="000000010000" w:firstRow="0" w:lastRow="0" w:firstColumn="0" w:lastColumn="0" w:oddVBand="0" w:evenVBand="0" w:oddHBand="0" w:evenHBand="1" w:firstRowFirstColumn="0" w:firstRowLastColumn="0" w:lastRowFirstColumn="0" w:lastRowLastColumn="0"/>
        </w:trPr>
        <w:tc>
          <w:tcPr>
            <w:tcW w:w="4349" w:type="dxa"/>
          </w:tcPr>
          <w:p w:rsidR="00693FA9" w:rsidRPr="00693FA9" w:rsidRDefault="00693FA9" w:rsidP="00693FA9">
            <w:pPr>
              <w:numPr>
                <w:ilvl w:val="0"/>
                <w:numId w:val="25"/>
              </w:numPr>
            </w:pPr>
            <w:r w:rsidRPr="00693FA9">
              <w:t>MRP</w:t>
            </w:r>
          </w:p>
        </w:tc>
        <w:tc>
          <w:tcPr>
            <w:tcW w:w="4344" w:type="dxa"/>
          </w:tcPr>
          <w:p w:rsidR="00693FA9" w:rsidRPr="00693FA9" w:rsidRDefault="00693FA9" w:rsidP="00693FA9">
            <w:pPr>
              <w:numPr>
                <w:ilvl w:val="0"/>
                <w:numId w:val="25"/>
              </w:numPr>
            </w:pPr>
            <w:r w:rsidRPr="00693FA9">
              <w:t>market risk premium</w:t>
            </w:r>
          </w:p>
        </w:tc>
      </w:tr>
      <w:tr w:rsidR="00693FA9" w:rsidTr="00693FA9">
        <w:tc>
          <w:tcPr>
            <w:tcW w:w="4349" w:type="dxa"/>
          </w:tcPr>
          <w:p w:rsidR="00693FA9" w:rsidRPr="00693FA9" w:rsidRDefault="00693FA9" w:rsidP="00693FA9">
            <w:pPr>
              <w:numPr>
                <w:ilvl w:val="0"/>
                <w:numId w:val="25"/>
              </w:numPr>
            </w:pPr>
            <w:r w:rsidRPr="00693FA9">
              <w:t>NEL</w:t>
            </w:r>
          </w:p>
        </w:tc>
        <w:tc>
          <w:tcPr>
            <w:tcW w:w="4344" w:type="dxa"/>
          </w:tcPr>
          <w:p w:rsidR="00693FA9" w:rsidRPr="00693FA9" w:rsidRDefault="00693FA9" w:rsidP="00693FA9">
            <w:pPr>
              <w:numPr>
                <w:ilvl w:val="0"/>
                <w:numId w:val="25"/>
              </w:numPr>
            </w:pPr>
            <w:r w:rsidRPr="00693FA9">
              <w:t>national electricity law</w:t>
            </w:r>
          </w:p>
        </w:tc>
      </w:tr>
      <w:tr w:rsidR="00693FA9" w:rsidTr="00693FA9">
        <w:trPr>
          <w:cnfStyle w:val="000000010000" w:firstRow="0" w:lastRow="0" w:firstColumn="0" w:lastColumn="0" w:oddVBand="0" w:evenVBand="0" w:oddHBand="0" w:evenHBand="1" w:firstRowFirstColumn="0" w:firstRowLastColumn="0" w:lastRowFirstColumn="0" w:lastRowLastColumn="0"/>
        </w:trPr>
        <w:tc>
          <w:tcPr>
            <w:tcW w:w="4349" w:type="dxa"/>
          </w:tcPr>
          <w:p w:rsidR="00693FA9" w:rsidRPr="00693FA9" w:rsidRDefault="00693FA9" w:rsidP="00693FA9">
            <w:pPr>
              <w:numPr>
                <w:ilvl w:val="0"/>
                <w:numId w:val="25"/>
              </w:numPr>
            </w:pPr>
            <w:r w:rsidRPr="00693FA9">
              <w:t>NEM</w:t>
            </w:r>
          </w:p>
        </w:tc>
        <w:tc>
          <w:tcPr>
            <w:tcW w:w="4344" w:type="dxa"/>
          </w:tcPr>
          <w:p w:rsidR="00693FA9" w:rsidRPr="00693FA9" w:rsidRDefault="00693FA9" w:rsidP="00693FA9">
            <w:pPr>
              <w:numPr>
                <w:ilvl w:val="0"/>
                <w:numId w:val="25"/>
              </w:numPr>
            </w:pPr>
            <w:r w:rsidRPr="00693FA9">
              <w:t>national electricity market</w:t>
            </w:r>
          </w:p>
        </w:tc>
      </w:tr>
      <w:tr w:rsidR="00693FA9" w:rsidTr="00693FA9">
        <w:tc>
          <w:tcPr>
            <w:tcW w:w="4349" w:type="dxa"/>
          </w:tcPr>
          <w:p w:rsidR="00693FA9" w:rsidRPr="00693FA9" w:rsidRDefault="00693FA9" w:rsidP="00693FA9">
            <w:pPr>
              <w:numPr>
                <w:ilvl w:val="0"/>
                <w:numId w:val="25"/>
              </w:numPr>
            </w:pPr>
            <w:r w:rsidRPr="00693FA9">
              <w:t>NEO</w:t>
            </w:r>
          </w:p>
        </w:tc>
        <w:tc>
          <w:tcPr>
            <w:tcW w:w="4344" w:type="dxa"/>
          </w:tcPr>
          <w:p w:rsidR="00693FA9" w:rsidRPr="00693FA9" w:rsidRDefault="00693FA9" w:rsidP="00693FA9">
            <w:pPr>
              <w:numPr>
                <w:ilvl w:val="0"/>
                <w:numId w:val="25"/>
              </w:numPr>
            </w:pPr>
            <w:r w:rsidRPr="00693FA9">
              <w:t>national electricity objective</w:t>
            </w:r>
          </w:p>
        </w:tc>
      </w:tr>
      <w:tr w:rsidR="00693FA9" w:rsidTr="00693FA9">
        <w:trPr>
          <w:cnfStyle w:val="000000010000" w:firstRow="0" w:lastRow="0" w:firstColumn="0" w:lastColumn="0" w:oddVBand="0" w:evenVBand="0" w:oddHBand="0" w:evenHBand="1" w:firstRowFirstColumn="0" w:firstRowLastColumn="0" w:lastRowFirstColumn="0" w:lastRowLastColumn="0"/>
        </w:trPr>
        <w:tc>
          <w:tcPr>
            <w:tcW w:w="4349" w:type="dxa"/>
          </w:tcPr>
          <w:p w:rsidR="00693FA9" w:rsidRPr="00693FA9" w:rsidRDefault="00693FA9" w:rsidP="00693FA9">
            <w:pPr>
              <w:numPr>
                <w:ilvl w:val="0"/>
                <w:numId w:val="25"/>
              </w:numPr>
            </w:pPr>
            <w:r w:rsidRPr="00693FA9">
              <w:t>NER</w:t>
            </w:r>
          </w:p>
        </w:tc>
        <w:tc>
          <w:tcPr>
            <w:tcW w:w="4344" w:type="dxa"/>
          </w:tcPr>
          <w:p w:rsidR="00693FA9" w:rsidRPr="00693FA9" w:rsidRDefault="00693FA9" w:rsidP="00693FA9">
            <w:pPr>
              <w:numPr>
                <w:ilvl w:val="0"/>
                <w:numId w:val="25"/>
              </w:numPr>
            </w:pPr>
            <w:r w:rsidRPr="00693FA9">
              <w:t>national electricity rules</w:t>
            </w:r>
          </w:p>
        </w:tc>
      </w:tr>
      <w:tr w:rsidR="00693FA9" w:rsidTr="00693FA9">
        <w:tc>
          <w:tcPr>
            <w:tcW w:w="4349" w:type="dxa"/>
          </w:tcPr>
          <w:p w:rsidR="00693FA9" w:rsidRPr="00693FA9" w:rsidRDefault="00693FA9" w:rsidP="00693FA9">
            <w:pPr>
              <w:numPr>
                <w:ilvl w:val="0"/>
                <w:numId w:val="25"/>
              </w:numPr>
            </w:pPr>
            <w:r w:rsidRPr="00693FA9">
              <w:t>NSP</w:t>
            </w:r>
          </w:p>
        </w:tc>
        <w:tc>
          <w:tcPr>
            <w:tcW w:w="4344" w:type="dxa"/>
          </w:tcPr>
          <w:p w:rsidR="00693FA9" w:rsidRPr="00693FA9" w:rsidRDefault="00693FA9" w:rsidP="00693FA9">
            <w:pPr>
              <w:numPr>
                <w:ilvl w:val="0"/>
                <w:numId w:val="25"/>
              </w:numPr>
            </w:pPr>
            <w:r w:rsidRPr="00693FA9">
              <w:t>network service provider</w:t>
            </w:r>
          </w:p>
        </w:tc>
      </w:tr>
      <w:tr w:rsidR="00693FA9" w:rsidTr="00693FA9">
        <w:trPr>
          <w:cnfStyle w:val="000000010000" w:firstRow="0" w:lastRow="0" w:firstColumn="0" w:lastColumn="0" w:oddVBand="0" w:evenVBand="0" w:oddHBand="0" w:evenHBand="1" w:firstRowFirstColumn="0" w:firstRowLastColumn="0" w:lastRowFirstColumn="0" w:lastRowLastColumn="0"/>
        </w:trPr>
        <w:tc>
          <w:tcPr>
            <w:tcW w:w="4349" w:type="dxa"/>
          </w:tcPr>
          <w:p w:rsidR="00693FA9" w:rsidRPr="00693FA9" w:rsidRDefault="00693FA9" w:rsidP="00693FA9">
            <w:pPr>
              <w:numPr>
                <w:ilvl w:val="0"/>
                <w:numId w:val="25"/>
              </w:numPr>
            </w:pPr>
            <w:proofErr w:type="spellStart"/>
            <w:r w:rsidRPr="00693FA9">
              <w:t>opex</w:t>
            </w:r>
            <w:proofErr w:type="spellEnd"/>
          </w:p>
        </w:tc>
        <w:tc>
          <w:tcPr>
            <w:tcW w:w="4344" w:type="dxa"/>
          </w:tcPr>
          <w:p w:rsidR="00693FA9" w:rsidRPr="00693FA9" w:rsidRDefault="00693FA9" w:rsidP="00693FA9">
            <w:pPr>
              <w:numPr>
                <w:ilvl w:val="0"/>
                <w:numId w:val="25"/>
              </w:numPr>
            </w:pPr>
            <w:r w:rsidRPr="00693FA9">
              <w:t>operating expenditure</w:t>
            </w:r>
          </w:p>
        </w:tc>
      </w:tr>
      <w:tr w:rsidR="00693FA9" w:rsidTr="00693FA9">
        <w:tc>
          <w:tcPr>
            <w:tcW w:w="4349" w:type="dxa"/>
          </w:tcPr>
          <w:p w:rsidR="00693FA9" w:rsidRPr="00693FA9" w:rsidRDefault="00693FA9" w:rsidP="00693FA9">
            <w:pPr>
              <w:numPr>
                <w:ilvl w:val="0"/>
                <w:numId w:val="25"/>
              </w:numPr>
            </w:pPr>
            <w:r w:rsidRPr="00693FA9">
              <w:t>PPI</w:t>
            </w:r>
          </w:p>
        </w:tc>
        <w:tc>
          <w:tcPr>
            <w:tcW w:w="4344" w:type="dxa"/>
          </w:tcPr>
          <w:p w:rsidR="00693FA9" w:rsidRPr="00693FA9" w:rsidRDefault="00693FA9" w:rsidP="00693FA9">
            <w:pPr>
              <w:numPr>
                <w:ilvl w:val="0"/>
                <w:numId w:val="25"/>
              </w:numPr>
            </w:pPr>
            <w:r w:rsidRPr="00693FA9">
              <w:t>partial performance indicators</w:t>
            </w:r>
          </w:p>
        </w:tc>
      </w:tr>
      <w:tr w:rsidR="00693FA9" w:rsidTr="00693FA9">
        <w:trPr>
          <w:cnfStyle w:val="000000010000" w:firstRow="0" w:lastRow="0" w:firstColumn="0" w:lastColumn="0" w:oddVBand="0" w:evenVBand="0" w:oddHBand="0" w:evenHBand="1" w:firstRowFirstColumn="0" w:firstRowLastColumn="0" w:lastRowFirstColumn="0" w:lastRowLastColumn="0"/>
        </w:trPr>
        <w:tc>
          <w:tcPr>
            <w:tcW w:w="4349" w:type="dxa"/>
          </w:tcPr>
          <w:p w:rsidR="00693FA9" w:rsidRPr="00693FA9" w:rsidRDefault="00693FA9" w:rsidP="00693FA9">
            <w:pPr>
              <w:numPr>
                <w:ilvl w:val="0"/>
                <w:numId w:val="25"/>
              </w:numPr>
            </w:pPr>
            <w:r w:rsidRPr="00693FA9">
              <w:t>PTRM</w:t>
            </w:r>
          </w:p>
        </w:tc>
        <w:tc>
          <w:tcPr>
            <w:tcW w:w="4344" w:type="dxa"/>
          </w:tcPr>
          <w:p w:rsidR="00693FA9" w:rsidRPr="00693FA9" w:rsidRDefault="00693FA9" w:rsidP="00693FA9">
            <w:pPr>
              <w:numPr>
                <w:ilvl w:val="0"/>
                <w:numId w:val="25"/>
              </w:numPr>
            </w:pPr>
            <w:r w:rsidRPr="00693FA9">
              <w:t>post-tax revenue model</w:t>
            </w:r>
          </w:p>
        </w:tc>
      </w:tr>
      <w:tr w:rsidR="00693FA9" w:rsidTr="00693FA9">
        <w:tc>
          <w:tcPr>
            <w:tcW w:w="4349" w:type="dxa"/>
          </w:tcPr>
          <w:p w:rsidR="00693FA9" w:rsidRPr="00693FA9" w:rsidRDefault="00693FA9" w:rsidP="00693FA9">
            <w:pPr>
              <w:numPr>
                <w:ilvl w:val="0"/>
                <w:numId w:val="25"/>
              </w:numPr>
            </w:pPr>
            <w:r w:rsidRPr="00693FA9">
              <w:t>RAB</w:t>
            </w:r>
          </w:p>
        </w:tc>
        <w:tc>
          <w:tcPr>
            <w:tcW w:w="4344" w:type="dxa"/>
          </w:tcPr>
          <w:p w:rsidR="00693FA9" w:rsidRPr="00693FA9" w:rsidRDefault="00693FA9" w:rsidP="00693FA9">
            <w:pPr>
              <w:numPr>
                <w:ilvl w:val="0"/>
                <w:numId w:val="25"/>
              </w:numPr>
            </w:pPr>
            <w:r w:rsidRPr="00693FA9">
              <w:t>regulatory asset base</w:t>
            </w:r>
          </w:p>
        </w:tc>
      </w:tr>
      <w:tr w:rsidR="00693FA9" w:rsidTr="00693FA9">
        <w:trPr>
          <w:cnfStyle w:val="000000010000" w:firstRow="0" w:lastRow="0" w:firstColumn="0" w:lastColumn="0" w:oddVBand="0" w:evenVBand="0" w:oddHBand="0" w:evenHBand="1" w:firstRowFirstColumn="0" w:firstRowLastColumn="0" w:lastRowFirstColumn="0" w:lastRowLastColumn="0"/>
        </w:trPr>
        <w:tc>
          <w:tcPr>
            <w:tcW w:w="4349" w:type="dxa"/>
          </w:tcPr>
          <w:p w:rsidR="00693FA9" w:rsidRPr="00693FA9" w:rsidRDefault="00693FA9" w:rsidP="00693FA9">
            <w:pPr>
              <w:numPr>
                <w:ilvl w:val="0"/>
                <w:numId w:val="25"/>
              </w:numPr>
            </w:pPr>
            <w:r w:rsidRPr="00693FA9">
              <w:t>RBA</w:t>
            </w:r>
          </w:p>
        </w:tc>
        <w:tc>
          <w:tcPr>
            <w:tcW w:w="4344" w:type="dxa"/>
          </w:tcPr>
          <w:p w:rsidR="00693FA9" w:rsidRPr="00693FA9" w:rsidRDefault="00693FA9" w:rsidP="00693FA9">
            <w:pPr>
              <w:numPr>
                <w:ilvl w:val="0"/>
                <w:numId w:val="25"/>
              </w:numPr>
            </w:pPr>
            <w:r w:rsidRPr="00693FA9">
              <w:t>Reserve Bank of Australia</w:t>
            </w:r>
          </w:p>
        </w:tc>
      </w:tr>
      <w:tr w:rsidR="00693FA9" w:rsidTr="00693FA9">
        <w:tc>
          <w:tcPr>
            <w:tcW w:w="4349" w:type="dxa"/>
          </w:tcPr>
          <w:p w:rsidR="00693FA9" w:rsidRPr="00693FA9" w:rsidRDefault="00693FA9" w:rsidP="00693FA9">
            <w:pPr>
              <w:numPr>
                <w:ilvl w:val="0"/>
                <w:numId w:val="25"/>
              </w:numPr>
            </w:pPr>
            <w:proofErr w:type="spellStart"/>
            <w:r w:rsidRPr="00693FA9">
              <w:t>repex</w:t>
            </w:r>
            <w:proofErr w:type="spellEnd"/>
          </w:p>
        </w:tc>
        <w:tc>
          <w:tcPr>
            <w:tcW w:w="4344" w:type="dxa"/>
          </w:tcPr>
          <w:p w:rsidR="00693FA9" w:rsidRPr="00693FA9" w:rsidRDefault="00693FA9" w:rsidP="00693FA9">
            <w:pPr>
              <w:numPr>
                <w:ilvl w:val="0"/>
                <w:numId w:val="25"/>
              </w:numPr>
            </w:pPr>
            <w:r w:rsidRPr="00693FA9">
              <w:t>replacement expenditure</w:t>
            </w:r>
          </w:p>
        </w:tc>
      </w:tr>
      <w:tr w:rsidR="00693FA9" w:rsidTr="00693FA9">
        <w:trPr>
          <w:cnfStyle w:val="000000010000" w:firstRow="0" w:lastRow="0" w:firstColumn="0" w:lastColumn="0" w:oddVBand="0" w:evenVBand="0" w:oddHBand="0" w:evenHBand="1" w:firstRowFirstColumn="0" w:firstRowLastColumn="0" w:lastRowFirstColumn="0" w:lastRowLastColumn="0"/>
        </w:trPr>
        <w:tc>
          <w:tcPr>
            <w:tcW w:w="4349" w:type="dxa"/>
          </w:tcPr>
          <w:p w:rsidR="00693FA9" w:rsidRPr="00693FA9" w:rsidRDefault="00693FA9" w:rsidP="00693FA9">
            <w:pPr>
              <w:numPr>
                <w:ilvl w:val="0"/>
                <w:numId w:val="25"/>
              </w:numPr>
            </w:pPr>
            <w:r w:rsidRPr="00693FA9">
              <w:t>RFM</w:t>
            </w:r>
          </w:p>
        </w:tc>
        <w:tc>
          <w:tcPr>
            <w:tcW w:w="4344" w:type="dxa"/>
          </w:tcPr>
          <w:p w:rsidR="00693FA9" w:rsidRPr="00693FA9" w:rsidRDefault="00693FA9" w:rsidP="00693FA9">
            <w:pPr>
              <w:numPr>
                <w:ilvl w:val="0"/>
                <w:numId w:val="25"/>
              </w:numPr>
            </w:pPr>
            <w:r w:rsidRPr="00693FA9">
              <w:t>roll forward model</w:t>
            </w:r>
          </w:p>
        </w:tc>
      </w:tr>
      <w:tr w:rsidR="00693FA9" w:rsidTr="00693FA9">
        <w:tc>
          <w:tcPr>
            <w:tcW w:w="4349" w:type="dxa"/>
          </w:tcPr>
          <w:p w:rsidR="00693FA9" w:rsidRPr="00693FA9" w:rsidRDefault="00693FA9" w:rsidP="00693FA9">
            <w:pPr>
              <w:numPr>
                <w:ilvl w:val="0"/>
                <w:numId w:val="25"/>
              </w:numPr>
            </w:pPr>
            <w:r w:rsidRPr="00693FA9">
              <w:lastRenderedPageBreak/>
              <w:t>RIN</w:t>
            </w:r>
          </w:p>
        </w:tc>
        <w:tc>
          <w:tcPr>
            <w:tcW w:w="4344" w:type="dxa"/>
          </w:tcPr>
          <w:p w:rsidR="00693FA9" w:rsidRPr="00693FA9" w:rsidRDefault="00693FA9" w:rsidP="00693FA9">
            <w:pPr>
              <w:numPr>
                <w:ilvl w:val="0"/>
                <w:numId w:val="25"/>
              </w:numPr>
            </w:pPr>
            <w:r w:rsidRPr="00693FA9">
              <w:t>regulatory information notice</w:t>
            </w:r>
          </w:p>
        </w:tc>
      </w:tr>
      <w:tr w:rsidR="00693FA9" w:rsidTr="00693FA9">
        <w:trPr>
          <w:cnfStyle w:val="000000010000" w:firstRow="0" w:lastRow="0" w:firstColumn="0" w:lastColumn="0" w:oddVBand="0" w:evenVBand="0" w:oddHBand="0" w:evenHBand="1" w:firstRowFirstColumn="0" w:firstRowLastColumn="0" w:lastRowFirstColumn="0" w:lastRowLastColumn="0"/>
        </w:trPr>
        <w:tc>
          <w:tcPr>
            <w:tcW w:w="4349" w:type="dxa"/>
          </w:tcPr>
          <w:p w:rsidR="00693FA9" w:rsidRPr="00693FA9" w:rsidRDefault="00693FA9" w:rsidP="00693FA9">
            <w:pPr>
              <w:numPr>
                <w:ilvl w:val="0"/>
                <w:numId w:val="25"/>
              </w:numPr>
            </w:pPr>
            <w:r w:rsidRPr="00693FA9">
              <w:t>RPP</w:t>
            </w:r>
          </w:p>
        </w:tc>
        <w:tc>
          <w:tcPr>
            <w:tcW w:w="4344" w:type="dxa"/>
          </w:tcPr>
          <w:p w:rsidR="00693FA9" w:rsidRPr="00693FA9" w:rsidRDefault="00693FA9" w:rsidP="00693FA9">
            <w:pPr>
              <w:numPr>
                <w:ilvl w:val="0"/>
                <w:numId w:val="25"/>
              </w:numPr>
            </w:pPr>
            <w:r w:rsidRPr="00693FA9">
              <w:t>revenue and pricing principles</w:t>
            </w:r>
          </w:p>
        </w:tc>
      </w:tr>
      <w:tr w:rsidR="00693FA9" w:rsidTr="00693FA9">
        <w:tc>
          <w:tcPr>
            <w:tcW w:w="4349" w:type="dxa"/>
          </w:tcPr>
          <w:p w:rsidR="00693FA9" w:rsidRPr="00693FA9" w:rsidRDefault="00693FA9" w:rsidP="00693FA9">
            <w:pPr>
              <w:numPr>
                <w:ilvl w:val="0"/>
                <w:numId w:val="25"/>
              </w:numPr>
            </w:pPr>
            <w:r w:rsidRPr="00693FA9">
              <w:t>SAIDI</w:t>
            </w:r>
          </w:p>
        </w:tc>
        <w:tc>
          <w:tcPr>
            <w:tcW w:w="4344" w:type="dxa"/>
          </w:tcPr>
          <w:p w:rsidR="00693FA9" w:rsidRPr="00693FA9" w:rsidRDefault="00693FA9" w:rsidP="00693FA9">
            <w:pPr>
              <w:numPr>
                <w:ilvl w:val="0"/>
                <w:numId w:val="25"/>
              </w:numPr>
            </w:pPr>
            <w:r w:rsidRPr="00693FA9">
              <w:t>system average interruption duration index</w:t>
            </w:r>
          </w:p>
        </w:tc>
      </w:tr>
      <w:tr w:rsidR="00693FA9" w:rsidTr="00693FA9">
        <w:trPr>
          <w:cnfStyle w:val="000000010000" w:firstRow="0" w:lastRow="0" w:firstColumn="0" w:lastColumn="0" w:oddVBand="0" w:evenVBand="0" w:oddHBand="0" w:evenHBand="1" w:firstRowFirstColumn="0" w:firstRowLastColumn="0" w:lastRowFirstColumn="0" w:lastRowLastColumn="0"/>
        </w:trPr>
        <w:tc>
          <w:tcPr>
            <w:tcW w:w="4349" w:type="dxa"/>
          </w:tcPr>
          <w:p w:rsidR="00693FA9" w:rsidRPr="00693FA9" w:rsidRDefault="00693FA9" w:rsidP="00693FA9">
            <w:pPr>
              <w:numPr>
                <w:ilvl w:val="0"/>
                <w:numId w:val="25"/>
              </w:numPr>
            </w:pPr>
            <w:r w:rsidRPr="00693FA9">
              <w:t>SAIFI</w:t>
            </w:r>
          </w:p>
        </w:tc>
        <w:tc>
          <w:tcPr>
            <w:tcW w:w="4344" w:type="dxa"/>
          </w:tcPr>
          <w:p w:rsidR="00693FA9" w:rsidRPr="00693FA9" w:rsidRDefault="00693FA9" w:rsidP="00693FA9">
            <w:pPr>
              <w:numPr>
                <w:ilvl w:val="0"/>
                <w:numId w:val="25"/>
              </w:numPr>
            </w:pPr>
            <w:r w:rsidRPr="00693FA9">
              <w:t>system average interruption frequency index</w:t>
            </w:r>
          </w:p>
        </w:tc>
      </w:tr>
      <w:tr w:rsidR="00693FA9" w:rsidTr="00693FA9">
        <w:tc>
          <w:tcPr>
            <w:tcW w:w="4349" w:type="dxa"/>
          </w:tcPr>
          <w:p w:rsidR="00693FA9" w:rsidRPr="00693FA9" w:rsidRDefault="00693FA9" w:rsidP="00693FA9">
            <w:pPr>
              <w:numPr>
                <w:ilvl w:val="0"/>
                <w:numId w:val="25"/>
              </w:numPr>
            </w:pPr>
            <w:r w:rsidRPr="00693FA9">
              <w:t>SLCAPM</w:t>
            </w:r>
          </w:p>
        </w:tc>
        <w:tc>
          <w:tcPr>
            <w:tcW w:w="4344" w:type="dxa"/>
          </w:tcPr>
          <w:p w:rsidR="00693FA9" w:rsidRPr="00693FA9" w:rsidRDefault="00693FA9" w:rsidP="00693FA9">
            <w:pPr>
              <w:numPr>
                <w:ilvl w:val="0"/>
                <w:numId w:val="25"/>
              </w:numPr>
            </w:pPr>
            <w:r w:rsidRPr="00693FA9">
              <w:t>Sharpe-</w:t>
            </w:r>
            <w:proofErr w:type="spellStart"/>
            <w:r w:rsidRPr="00693FA9">
              <w:t>Lintner</w:t>
            </w:r>
            <w:proofErr w:type="spellEnd"/>
            <w:r w:rsidRPr="00693FA9">
              <w:t xml:space="preserve"> capital asset pricing model</w:t>
            </w:r>
          </w:p>
        </w:tc>
      </w:tr>
      <w:tr w:rsidR="00693FA9" w:rsidTr="00693FA9">
        <w:trPr>
          <w:cnfStyle w:val="000000010000" w:firstRow="0" w:lastRow="0" w:firstColumn="0" w:lastColumn="0" w:oddVBand="0" w:evenVBand="0" w:oddHBand="0" w:evenHBand="1" w:firstRowFirstColumn="0" w:firstRowLastColumn="0" w:lastRowFirstColumn="0" w:lastRowLastColumn="0"/>
        </w:trPr>
        <w:tc>
          <w:tcPr>
            <w:tcW w:w="4349" w:type="dxa"/>
          </w:tcPr>
          <w:p w:rsidR="00693FA9" w:rsidRPr="00693FA9" w:rsidRDefault="00693FA9" w:rsidP="00693FA9">
            <w:pPr>
              <w:numPr>
                <w:ilvl w:val="0"/>
                <w:numId w:val="25"/>
              </w:numPr>
            </w:pPr>
            <w:r w:rsidRPr="00693FA9">
              <w:t>STPIS</w:t>
            </w:r>
          </w:p>
        </w:tc>
        <w:tc>
          <w:tcPr>
            <w:tcW w:w="4344" w:type="dxa"/>
          </w:tcPr>
          <w:p w:rsidR="00693FA9" w:rsidRPr="00693FA9" w:rsidRDefault="00693FA9" w:rsidP="00693FA9">
            <w:pPr>
              <w:numPr>
                <w:ilvl w:val="0"/>
                <w:numId w:val="25"/>
              </w:numPr>
            </w:pPr>
            <w:r w:rsidRPr="00693FA9">
              <w:t>service target performance incentive scheme</w:t>
            </w:r>
          </w:p>
        </w:tc>
      </w:tr>
      <w:tr w:rsidR="00693FA9" w:rsidTr="00693FA9">
        <w:tc>
          <w:tcPr>
            <w:tcW w:w="4349" w:type="dxa"/>
          </w:tcPr>
          <w:p w:rsidR="00693FA9" w:rsidRPr="00693FA9" w:rsidRDefault="00693FA9" w:rsidP="00693FA9">
            <w:pPr>
              <w:numPr>
                <w:ilvl w:val="0"/>
                <w:numId w:val="25"/>
              </w:numPr>
            </w:pPr>
            <w:r w:rsidRPr="00693FA9">
              <w:t>WACC</w:t>
            </w:r>
          </w:p>
        </w:tc>
        <w:tc>
          <w:tcPr>
            <w:tcW w:w="4344" w:type="dxa"/>
          </w:tcPr>
          <w:p w:rsidR="00693FA9" w:rsidRPr="00693FA9" w:rsidRDefault="00693FA9" w:rsidP="00693FA9">
            <w:pPr>
              <w:numPr>
                <w:ilvl w:val="0"/>
                <w:numId w:val="25"/>
              </w:numPr>
            </w:pPr>
            <w:r w:rsidRPr="00693FA9">
              <w:t>weighted average cost of capital</w:t>
            </w:r>
          </w:p>
        </w:tc>
      </w:tr>
    </w:tbl>
    <w:p w:rsidR="00DE563D" w:rsidRPr="00436A39" w:rsidRDefault="00DE563D" w:rsidP="00DE563D">
      <w:pPr>
        <w:numPr>
          <w:ilvl w:val="0"/>
          <w:numId w:val="25"/>
        </w:numPr>
      </w:pPr>
    </w:p>
    <w:p w:rsidR="00DE563D" w:rsidRDefault="00DE563D" w:rsidP="00DE563D"/>
    <w:p w:rsidR="00DE563D" w:rsidRDefault="008F34DD" w:rsidP="008F34DD">
      <w:pPr>
        <w:pStyle w:val="Heading1"/>
      </w:pPr>
      <w:bookmarkStart w:id="10" w:name="_Toc413315030"/>
      <w:r w:rsidRPr="008F34DD">
        <w:lastRenderedPageBreak/>
        <w:t>Regulatory asset base</w:t>
      </w:r>
      <w:bookmarkEnd w:id="10"/>
    </w:p>
    <w:p w:rsidR="00DE563D" w:rsidRDefault="00B159D3" w:rsidP="00B159D3">
      <w:r w:rsidRPr="00B159D3">
        <w:t>We are required to make a decision on Ausgrid's opening regulatory asset bases (RABs) as at 1 July 2014 for its distribution and transmission networks.</w:t>
      </w:r>
      <w:r w:rsidR="005D1702">
        <w:rPr>
          <w:rStyle w:val="FootnoteReference"/>
        </w:rPr>
        <w:footnoteReference w:id="1"/>
      </w:r>
      <w:r w:rsidRPr="00B159D3">
        <w:t xml:space="preserve"> We use the RAB at the start of each regulatory year to determine the return of capital (regulatory depreciation) and return on capital building block allowances. This attachment presents our </w:t>
      </w:r>
      <w:r w:rsidR="00F204FA">
        <w:t>final</w:t>
      </w:r>
      <w:r w:rsidRPr="00B159D3">
        <w:t xml:space="preserve"> decision on the opening RAB values as at 1 July 2014 and </w:t>
      </w:r>
      <w:r w:rsidR="00F204FA">
        <w:t xml:space="preserve">the </w:t>
      </w:r>
      <w:r w:rsidRPr="00B159D3">
        <w:t>roll forward of the forecast RAB values over the 2014–19 period.</w:t>
      </w:r>
    </w:p>
    <w:p w:rsidR="00DE563D" w:rsidRPr="001754EE" w:rsidRDefault="00415F31" w:rsidP="001754EE">
      <w:pPr>
        <w:pStyle w:val="Heading2"/>
      </w:pPr>
      <w:bookmarkStart w:id="11" w:name="_Toc403144136"/>
      <w:bookmarkStart w:id="12" w:name="_Toc413315031"/>
      <w:r w:rsidRPr="001754EE">
        <w:t>Final</w:t>
      </w:r>
      <w:r w:rsidR="00DE563D" w:rsidRPr="001754EE">
        <w:t xml:space="preserve"> decision</w:t>
      </w:r>
      <w:bookmarkEnd w:id="11"/>
      <w:bookmarkEnd w:id="12"/>
    </w:p>
    <w:p w:rsidR="00D4289A" w:rsidRDefault="00B159D3" w:rsidP="005C78F1">
      <w:bookmarkStart w:id="13" w:name="_Toc403144137"/>
      <w:r w:rsidRPr="00B159D3">
        <w:t xml:space="preserve">We accept Ausgrid's </w:t>
      </w:r>
      <w:r w:rsidR="004B34B0">
        <w:t xml:space="preserve">revised </w:t>
      </w:r>
      <w:r w:rsidRPr="00B159D3">
        <w:t>proposed opening RABs as at 1 July 2014 of $12 2</w:t>
      </w:r>
      <w:r w:rsidR="004B34B0">
        <w:t>51.7</w:t>
      </w:r>
      <w:r w:rsidRPr="00B159D3">
        <w:t xml:space="preserve"> million and $20</w:t>
      </w:r>
      <w:r w:rsidR="004B34B0">
        <w:t>35.7</w:t>
      </w:r>
      <w:r w:rsidRPr="00B159D3">
        <w:t xml:space="preserve"> million ($ nominal) for its distribution and transmission networks respectively. </w:t>
      </w:r>
      <w:r w:rsidR="004B34B0">
        <w:t>Ausgrid's revised proposal a</w:t>
      </w:r>
      <w:r w:rsidR="00E57BBE">
        <w:t>dopted all</w:t>
      </w:r>
      <w:r w:rsidR="004B34B0">
        <w:t xml:space="preserve"> our draft decision amendments to its distribution and transmission RABs as at 1 July 2014.</w:t>
      </w:r>
      <w:r w:rsidR="00E57BBE">
        <w:rPr>
          <w:rStyle w:val="FootnoteReference"/>
        </w:rPr>
        <w:footnoteReference w:id="2"/>
      </w:r>
      <w:r w:rsidR="004B34B0">
        <w:t xml:space="preserve"> </w:t>
      </w:r>
    </w:p>
    <w:p w:rsidR="00D4289A" w:rsidRDefault="00D4289A" w:rsidP="00D4289A">
      <w:r>
        <w:t>We note Ausgrid's revised proposal adopted our draft decision on the use of forecast depreciation for establishing the RABs at the commencement of the regulatory control period from 1 July 2019.</w:t>
      </w:r>
      <w:r>
        <w:rPr>
          <w:rStyle w:val="FootnoteReference"/>
        </w:rPr>
        <w:footnoteReference w:id="3"/>
      </w:r>
      <w:r>
        <w:t xml:space="preserve"> We therefore </w:t>
      </w:r>
      <w:r w:rsidR="006D12F4">
        <w:t>maintain</w:t>
      </w:r>
      <w:r>
        <w:t xml:space="preserve"> our </w:t>
      </w:r>
      <w:r w:rsidR="006D12F4">
        <w:t>draft decision position</w:t>
      </w:r>
      <w:r>
        <w:t xml:space="preserve"> on this </w:t>
      </w:r>
      <w:r w:rsidR="006D12F4">
        <w:t>issue</w:t>
      </w:r>
      <w:r>
        <w:t xml:space="preserve"> for this final decision. </w:t>
      </w:r>
    </w:p>
    <w:p w:rsidR="00B159D3" w:rsidRDefault="00C22687" w:rsidP="002C233C">
      <w:r>
        <w:fldChar w:fldCharType="begin"/>
      </w:r>
      <w:r>
        <w:instrText xml:space="preserve"> REF _Ref412818846 \h </w:instrText>
      </w:r>
      <w:r>
        <w:fldChar w:fldCharType="separate"/>
      </w:r>
      <w:r w:rsidR="007B36D6">
        <w:t xml:space="preserve">Table </w:t>
      </w:r>
      <w:r w:rsidR="007B36D6">
        <w:rPr>
          <w:noProof/>
        </w:rPr>
        <w:t>2</w:t>
      </w:r>
      <w:r w:rsidR="007B36D6">
        <w:t>.</w:t>
      </w:r>
      <w:r w:rsidR="007B36D6">
        <w:rPr>
          <w:noProof/>
        </w:rPr>
        <w:t>1</w:t>
      </w:r>
      <w:r>
        <w:fldChar w:fldCharType="end"/>
      </w:r>
      <w:r w:rsidR="00B159D3" w:rsidRPr="00B159D3">
        <w:t xml:space="preserve"> and </w:t>
      </w:r>
      <w:r>
        <w:fldChar w:fldCharType="begin"/>
      </w:r>
      <w:r>
        <w:instrText xml:space="preserve"> REF _Ref412818854 \h </w:instrText>
      </w:r>
      <w:r>
        <w:fldChar w:fldCharType="separate"/>
      </w:r>
      <w:r w:rsidR="007B36D6">
        <w:t xml:space="preserve">Table </w:t>
      </w:r>
      <w:r w:rsidR="007B36D6">
        <w:rPr>
          <w:noProof/>
        </w:rPr>
        <w:t>2</w:t>
      </w:r>
      <w:r w:rsidR="007B36D6">
        <w:t>.</w:t>
      </w:r>
      <w:r w:rsidR="007B36D6">
        <w:rPr>
          <w:noProof/>
        </w:rPr>
        <w:t>2</w:t>
      </w:r>
      <w:r>
        <w:fldChar w:fldCharType="end"/>
      </w:r>
      <w:r w:rsidR="00B159D3" w:rsidRPr="00B159D3">
        <w:t xml:space="preserve"> set out our </w:t>
      </w:r>
      <w:r w:rsidR="00F204FA">
        <w:t>final</w:t>
      </w:r>
      <w:r w:rsidR="00B159D3" w:rsidRPr="00B159D3">
        <w:t xml:space="preserve"> decision on the roll forward of the RAB values over the 2009–14 regulatory control period for Ausgrid's distribution and transmission networks respectively.</w:t>
      </w:r>
    </w:p>
    <w:p w:rsidR="005944E2" w:rsidRPr="00CA062D" w:rsidRDefault="005944E2" w:rsidP="005944E2">
      <w:bookmarkStart w:id="14" w:name="_Ref412818846"/>
      <w:r w:rsidRPr="00CA062D">
        <w:t>We determine forecast closing RAB values at 30 June 2019 of $</w:t>
      </w:r>
      <w:r>
        <w:t>14 400.1</w:t>
      </w:r>
      <w:r w:rsidRPr="00CA062D">
        <w:t xml:space="preserve"> million and $</w:t>
      </w:r>
      <w:r>
        <w:t>2259.1</w:t>
      </w:r>
      <w:r w:rsidRPr="00CA062D">
        <w:t xml:space="preserve"> million ($ nominal) for Ausgrid's distribution and transmission networks respectively. This represents reductions of $</w:t>
      </w:r>
      <w:r>
        <w:t>646.9</w:t>
      </w:r>
      <w:r w:rsidRPr="00CA062D">
        <w:t xml:space="preserve"> million (or </w:t>
      </w:r>
      <w:r>
        <w:t>4.3</w:t>
      </w:r>
      <w:r w:rsidRPr="00CA062D">
        <w:t xml:space="preserve"> per cent) and $</w:t>
      </w:r>
      <w:r>
        <w:t>100.2</w:t>
      </w:r>
      <w:r w:rsidRPr="00CA062D">
        <w:t xml:space="preserve"> million (or </w:t>
      </w:r>
      <w:r>
        <w:t>4.2</w:t>
      </w:r>
      <w:r w:rsidRPr="00CA062D">
        <w:t xml:space="preserve"> per cent) from </w:t>
      </w:r>
      <w:proofErr w:type="spellStart"/>
      <w:r w:rsidRPr="00CA062D">
        <w:t>Ausgrid's</w:t>
      </w:r>
      <w:proofErr w:type="spellEnd"/>
      <w:r w:rsidRPr="00CA062D">
        <w:t xml:space="preserve"> </w:t>
      </w:r>
      <w:r>
        <w:t xml:space="preserve">revised </w:t>
      </w:r>
      <w:r w:rsidRPr="00CA062D">
        <w:t xml:space="preserve">proposal for its distribution and transmission networks respectively. Our </w:t>
      </w:r>
      <w:r>
        <w:t>final</w:t>
      </w:r>
      <w:r w:rsidRPr="00CA062D">
        <w:t xml:space="preserve"> decision on the forecast closing RABs reflect</w:t>
      </w:r>
      <w:r>
        <w:t>s</w:t>
      </w:r>
      <w:r w:rsidRPr="00CA062D">
        <w:t xml:space="preserve"> our </w:t>
      </w:r>
      <w:r>
        <w:t>adjustments</w:t>
      </w:r>
      <w:r w:rsidRPr="00CA062D">
        <w:t xml:space="preserve"> </w:t>
      </w:r>
      <w:r>
        <w:t>t</w:t>
      </w:r>
      <w:r w:rsidRPr="00CA062D">
        <w:t xml:space="preserve">o </w:t>
      </w:r>
      <w:r>
        <w:t xml:space="preserve">Ausgrid's </w:t>
      </w:r>
      <w:r w:rsidRPr="00CA062D">
        <w:t>forecast capex (attachment 6)</w:t>
      </w:r>
      <w:r>
        <w:t>,</w:t>
      </w:r>
      <w:r w:rsidRPr="00CA062D">
        <w:t xml:space="preserve"> forecast regulatory depreciation (attachment 5)</w:t>
      </w:r>
      <w:r>
        <w:t xml:space="preserve"> and the forecast inflation rate (attachment 3)</w:t>
      </w:r>
      <w:r w:rsidRPr="00CA062D">
        <w:t>.</w:t>
      </w:r>
    </w:p>
    <w:p w:rsidR="005944E2" w:rsidRDefault="005944E2" w:rsidP="005944E2">
      <w:r>
        <w:fldChar w:fldCharType="begin"/>
      </w:r>
      <w:r>
        <w:instrText xml:space="preserve"> REF _Ref412818810 \h </w:instrText>
      </w:r>
      <w:r>
        <w:fldChar w:fldCharType="separate"/>
      </w:r>
      <w:r>
        <w:t xml:space="preserve">Table </w:t>
      </w:r>
      <w:r w:rsidRPr="005944E2">
        <w:t>2</w:t>
      </w:r>
      <w:r>
        <w:t>.</w:t>
      </w:r>
      <w:r w:rsidRPr="005944E2">
        <w:t>3</w:t>
      </w:r>
      <w:r>
        <w:fldChar w:fldCharType="end"/>
      </w:r>
      <w:r>
        <w:t xml:space="preserve"> </w:t>
      </w:r>
      <w:r w:rsidRPr="00CA062D">
        <w:t xml:space="preserve">and </w:t>
      </w:r>
      <w:r>
        <w:fldChar w:fldCharType="begin"/>
      </w:r>
      <w:r>
        <w:instrText xml:space="preserve"> REF _Ref412818819 \h </w:instrText>
      </w:r>
      <w:r>
        <w:fldChar w:fldCharType="separate"/>
      </w:r>
      <w:r>
        <w:t xml:space="preserve">Table </w:t>
      </w:r>
      <w:r w:rsidRPr="005944E2">
        <w:t>2</w:t>
      </w:r>
      <w:r>
        <w:t>.</w:t>
      </w:r>
      <w:r w:rsidRPr="005944E2">
        <w:t>4</w:t>
      </w:r>
      <w:r>
        <w:fldChar w:fldCharType="end"/>
      </w:r>
      <w:r w:rsidRPr="00CA062D">
        <w:t xml:space="preserve"> set out our </w:t>
      </w:r>
      <w:r>
        <w:t>final</w:t>
      </w:r>
      <w:r w:rsidRPr="00CA062D">
        <w:t xml:space="preserve"> decision on the forecast RAB values over the 2014–19 </w:t>
      </w:r>
      <w:proofErr w:type="gramStart"/>
      <w:r w:rsidRPr="00CA062D">
        <w:t>period</w:t>
      </w:r>
      <w:proofErr w:type="gramEnd"/>
      <w:r w:rsidRPr="00CA062D">
        <w:t xml:space="preserve"> for Ausgrid's distribution and transmission networks respectively.</w:t>
      </w:r>
    </w:p>
    <w:p w:rsidR="005944E2" w:rsidRDefault="005944E2" w:rsidP="005944E2"/>
    <w:p w:rsidR="005944E2" w:rsidRDefault="005944E2" w:rsidP="005944E2"/>
    <w:p w:rsidR="00B159D3" w:rsidRDefault="00B159D3" w:rsidP="00B159D3">
      <w:pPr>
        <w:pStyle w:val="Caption"/>
      </w:pPr>
      <w:proofErr w:type="gramStart"/>
      <w:r>
        <w:lastRenderedPageBreak/>
        <w:t xml:space="preserve">Table </w:t>
      </w:r>
      <w:proofErr w:type="gramEnd"/>
      <w:r w:rsidR="003604E3">
        <w:fldChar w:fldCharType="begin"/>
      </w:r>
      <w:r w:rsidR="003604E3">
        <w:instrText xml:space="preserve"> STYLEREF 1 \s </w:instrText>
      </w:r>
      <w:r w:rsidR="003604E3">
        <w:fldChar w:fldCharType="separate"/>
      </w:r>
      <w:r w:rsidR="007B36D6">
        <w:rPr>
          <w:noProof/>
        </w:rPr>
        <w:t>2</w:t>
      </w:r>
      <w:r w:rsidR="003604E3">
        <w:rPr>
          <w:noProof/>
        </w:rPr>
        <w:fldChar w:fldCharType="end"/>
      </w:r>
      <w:proofErr w:type="gramStart"/>
      <w:r w:rsidR="007B36D6">
        <w:t>.</w:t>
      </w:r>
      <w:proofErr w:type="gramEnd"/>
      <w:r w:rsidR="0009094F">
        <w:fldChar w:fldCharType="begin"/>
      </w:r>
      <w:r w:rsidR="0009094F">
        <w:instrText xml:space="preserve"> SEQ Table \* ARABIC \s 1 </w:instrText>
      </w:r>
      <w:r w:rsidR="0009094F">
        <w:fldChar w:fldCharType="separate"/>
      </w:r>
      <w:r w:rsidR="007B36D6">
        <w:rPr>
          <w:noProof/>
        </w:rPr>
        <w:t>1</w:t>
      </w:r>
      <w:r w:rsidR="0009094F">
        <w:rPr>
          <w:noProof/>
        </w:rPr>
        <w:fldChar w:fldCharType="end"/>
      </w:r>
      <w:bookmarkEnd w:id="14"/>
      <w:r>
        <w:tab/>
        <w:t xml:space="preserve">AER's final decision on Ausgrid's RAB for the 2009–14 regulatory control period </w:t>
      </w:r>
      <w:r w:rsidR="00E57BBE">
        <w:t>–</w:t>
      </w:r>
      <w:r>
        <w:t xml:space="preserve"> </w:t>
      </w:r>
      <w:r w:rsidR="0035742C">
        <w:t>d</w:t>
      </w:r>
      <w:r>
        <w:t>istribution ($ million, nominal)</w:t>
      </w:r>
    </w:p>
    <w:tbl>
      <w:tblPr>
        <w:tblStyle w:val="AERtable-numbers"/>
        <w:tblW w:w="0" w:type="auto"/>
        <w:tblLook w:val="04A0" w:firstRow="1" w:lastRow="0" w:firstColumn="1" w:lastColumn="0" w:noHBand="0" w:noVBand="1"/>
      </w:tblPr>
      <w:tblGrid>
        <w:gridCol w:w="3085"/>
        <w:gridCol w:w="1134"/>
        <w:gridCol w:w="1134"/>
        <w:gridCol w:w="1134"/>
        <w:gridCol w:w="1134"/>
        <w:gridCol w:w="1072"/>
      </w:tblGrid>
      <w:tr w:rsidR="00B159D3" w:rsidTr="003574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B159D3" w:rsidRDefault="00B159D3" w:rsidP="002C233C"/>
        </w:tc>
        <w:tc>
          <w:tcPr>
            <w:tcW w:w="1134" w:type="dxa"/>
          </w:tcPr>
          <w:p w:rsidR="00B159D3" w:rsidRDefault="00B159D3" w:rsidP="002C233C">
            <w:pPr>
              <w:cnfStyle w:val="100000000000" w:firstRow="1" w:lastRow="0" w:firstColumn="0" w:lastColumn="0" w:oddVBand="0" w:evenVBand="0" w:oddHBand="0" w:evenHBand="0" w:firstRowFirstColumn="0" w:firstRowLastColumn="0" w:lastRowFirstColumn="0" w:lastRowLastColumn="0"/>
            </w:pPr>
            <w:r>
              <w:t>2009–10</w:t>
            </w:r>
          </w:p>
        </w:tc>
        <w:tc>
          <w:tcPr>
            <w:tcW w:w="1134" w:type="dxa"/>
          </w:tcPr>
          <w:p w:rsidR="00B159D3" w:rsidRDefault="00B159D3" w:rsidP="002C233C">
            <w:pPr>
              <w:cnfStyle w:val="100000000000" w:firstRow="1" w:lastRow="0" w:firstColumn="0" w:lastColumn="0" w:oddVBand="0" w:evenVBand="0" w:oddHBand="0" w:evenHBand="0" w:firstRowFirstColumn="0" w:firstRowLastColumn="0" w:lastRowFirstColumn="0" w:lastRowLastColumn="0"/>
            </w:pPr>
            <w:r>
              <w:t>2010–11</w:t>
            </w:r>
          </w:p>
        </w:tc>
        <w:tc>
          <w:tcPr>
            <w:tcW w:w="1134" w:type="dxa"/>
          </w:tcPr>
          <w:p w:rsidR="00B159D3" w:rsidRDefault="00B159D3" w:rsidP="002C233C">
            <w:pPr>
              <w:cnfStyle w:val="100000000000" w:firstRow="1" w:lastRow="0" w:firstColumn="0" w:lastColumn="0" w:oddVBand="0" w:evenVBand="0" w:oddHBand="0" w:evenHBand="0" w:firstRowFirstColumn="0" w:firstRowLastColumn="0" w:lastRowFirstColumn="0" w:lastRowLastColumn="0"/>
            </w:pPr>
            <w:r>
              <w:t>2011–12</w:t>
            </w:r>
          </w:p>
        </w:tc>
        <w:tc>
          <w:tcPr>
            <w:tcW w:w="1134" w:type="dxa"/>
          </w:tcPr>
          <w:p w:rsidR="00B159D3" w:rsidRDefault="00B159D3" w:rsidP="002C233C">
            <w:pPr>
              <w:cnfStyle w:val="100000000000" w:firstRow="1" w:lastRow="0" w:firstColumn="0" w:lastColumn="0" w:oddVBand="0" w:evenVBand="0" w:oddHBand="0" w:evenHBand="0" w:firstRowFirstColumn="0" w:firstRowLastColumn="0" w:lastRowFirstColumn="0" w:lastRowLastColumn="0"/>
            </w:pPr>
            <w:r>
              <w:t>2012–13</w:t>
            </w:r>
          </w:p>
        </w:tc>
        <w:tc>
          <w:tcPr>
            <w:tcW w:w="1072" w:type="dxa"/>
          </w:tcPr>
          <w:p w:rsidR="00B159D3" w:rsidRDefault="00B159D3" w:rsidP="002C233C">
            <w:pPr>
              <w:cnfStyle w:val="100000000000" w:firstRow="1" w:lastRow="0" w:firstColumn="0" w:lastColumn="0" w:oddVBand="0" w:evenVBand="0" w:oddHBand="0" w:evenHBand="0" w:firstRowFirstColumn="0" w:firstRowLastColumn="0" w:lastRowFirstColumn="0" w:lastRowLastColumn="0"/>
            </w:pPr>
            <w:r>
              <w:t>2013–14</w:t>
            </w:r>
          </w:p>
        </w:tc>
      </w:tr>
      <w:tr w:rsidR="00B159D3" w:rsidTr="0035742C">
        <w:tc>
          <w:tcPr>
            <w:cnfStyle w:val="001000000000" w:firstRow="0" w:lastRow="0" w:firstColumn="1" w:lastColumn="0" w:oddVBand="0" w:evenVBand="0" w:oddHBand="0" w:evenHBand="0" w:firstRowFirstColumn="0" w:firstRowLastColumn="0" w:lastRowFirstColumn="0" w:lastRowLastColumn="0"/>
            <w:tcW w:w="3085" w:type="dxa"/>
          </w:tcPr>
          <w:p w:rsidR="00B159D3" w:rsidRDefault="00B159D3" w:rsidP="002C233C">
            <w:r>
              <w:t>Opening RAB</w:t>
            </w:r>
          </w:p>
        </w:tc>
        <w:tc>
          <w:tcPr>
            <w:tcW w:w="1134" w:type="dxa"/>
          </w:tcPr>
          <w:p w:rsidR="00B159D3" w:rsidRDefault="00055C18" w:rsidP="002C233C">
            <w:pPr>
              <w:cnfStyle w:val="000000000000" w:firstRow="0" w:lastRow="0" w:firstColumn="0" w:lastColumn="0" w:oddVBand="0" w:evenVBand="0" w:oddHBand="0" w:evenHBand="0" w:firstRowFirstColumn="0" w:firstRowLastColumn="0" w:lastRowFirstColumn="0" w:lastRowLastColumn="0"/>
            </w:pPr>
            <w:r>
              <w:t>7297.2</w:t>
            </w:r>
          </w:p>
        </w:tc>
        <w:tc>
          <w:tcPr>
            <w:tcW w:w="1134" w:type="dxa"/>
          </w:tcPr>
          <w:p w:rsidR="00B159D3" w:rsidRDefault="00055C18" w:rsidP="002C233C">
            <w:pPr>
              <w:cnfStyle w:val="000000000000" w:firstRow="0" w:lastRow="0" w:firstColumn="0" w:lastColumn="0" w:oddVBand="0" w:evenVBand="0" w:oddHBand="0" w:evenHBand="0" w:firstRowFirstColumn="0" w:firstRowLastColumn="0" w:lastRowFirstColumn="0" w:lastRowLastColumn="0"/>
            </w:pPr>
            <w:r>
              <w:t>8297.9</w:t>
            </w:r>
          </w:p>
        </w:tc>
        <w:tc>
          <w:tcPr>
            <w:tcW w:w="1134" w:type="dxa"/>
          </w:tcPr>
          <w:p w:rsidR="00B159D3" w:rsidRDefault="00055C18" w:rsidP="002C233C">
            <w:pPr>
              <w:cnfStyle w:val="000000000000" w:firstRow="0" w:lastRow="0" w:firstColumn="0" w:lastColumn="0" w:oddVBand="0" w:evenVBand="0" w:oddHBand="0" w:evenHBand="0" w:firstRowFirstColumn="0" w:firstRowLastColumn="0" w:lastRowFirstColumn="0" w:lastRowLastColumn="0"/>
            </w:pPr>
            <w:r>
              <w:t>9531.2</w:t>
            </w:r>
          </w:p>
        </w:tc>
        <w:tc>
          <w:tcPr>
            <w:tcW w:w="1134" w:type="dxa"/>
          </w:tcPr>
          <w:p w:rsidR="00B159D3" w:rsidRDefault="00055C18" w:rsidP="002C233C">
            <w:pPr>
              <w:cnfStyle w:val="000000000000" w:firstRow="0" w:lastRow="0" w:firstColumn="0" w:lastColumn="0" w:oddVBand="0" w:evenVBand="0" w:oddHBand="0" w:evenHBand="0" w:firstRowFirstColumn="0" w:firstRowLastColumn="0" w:lastRowFirstColumn="0" w:lastRowLastColumn="0"/>
            </w:pPr>
            <w:r>
              <w:t>10875.0</w:t>
            </w:r>
          </w:p>
        </w:tc>
        <w:tc>
          <w:tcPr>
            <w:tcW w:w="1072" w:type="dxa"/>
          </w:tcPr>
          <w:p w:rsidR="00B159D3" w:rsidRDefault="00055C18" w:rsidP="002C233C">
            <w:pPr>
              <w:cnfStyle w:val="000000000000" w:firstRow="0" w:lastRow="0" w:firstColumn="0" w:lastColumn="0" w:oddVBand="0" w:evenVBand="0" w:oddHBand="0" w:evenHBand="0" w:firstRowFirstColumn="0" w:firstRowLastColumn="0" w:lastRowFirstColumn="0" w:lastRowLastColumn="0"/>
            </w:pPr>
            <w:r>
              <w:t>11681.6</w:t>
            </w:r>
          </w:p>
        </w:tc>
      </w:tr>
      <w:tr w:rsidR="00B159D3" w:rsidTr="003574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B159D3" w:rsidRDefault="00B159D3" w:rsidP="002C233C">
            <w:r>
              <w:t>Capital expenditure</w:t>
            </w:r>
            <w:r w:rsidR="0035742C">
              <w:rPr>
                <w:rStyle w:val="AERsuperscript"/>
              </w:rPr>
              <w:t>a</w:t>
            </w:r>
          </w:p>
        </w:tc>
        <w:tc>
          <w:tcPr>
            <w:tcW w:w="1134" w:type="dxa"/>
          </w:tcPr>
          <w:p w:rsidR="00B159D3" w:rsidRDefault="00055C18" w:rsidP="002C233C">
            <w:pPr>
              <w:cnfStyle w:val="000000010000" w:firstRow="0" w:lastRow="0" w:firstColumn="0" w:lastColumn="0" w:oddVBand="0" w:evenVBand="0" w:oddHBand="0" w:evenHBand="1" w:firstRowFirstColumn="0" w:firstRowLastColumn="0" w:lastRowFirstColumn="0" w:lastRowLastColumn="0"/>
            </w:pPr>
            <w:r>
              <w:t>1129.2</w:t>
            </w:r>
          </w:p>
        </w:tc>
        <w:tc>
          <w:tcPr>
            <w:tcW w:w="1134" w:type="dxa"/>
          </w:tcPr>
          <w:p w:rsidR="00B159D3" w:rsidRDefault="00055C18" w:rsidP="002C233C">
            <w:pPr>
              <w:cnfStyle w:val="000000010000" w:firstRow="0" w:lastRow="0" w:firstColumn="0" w:lastColumn="0" w:oddVBand="0" w:evenVBand="0" w:oddHBand="0" w:evenHBand="1" w:firstRowFirstColumn="0" w:firstRowLastColumn="0" w:lastRowFirstColumn="0" w:lastRowLastColumn="0"/>
            </w:pPr>
            <w:r>
              <w:t>1304.7</w:t>
            </w:r>
          </w:p>
        </w:tc>
        <w:tc>
          <w:tcPr>
            <w:tcW w:w="1134" w:type="dxa"/>
          </w:tcPr>
          <w:p w:rsidR="00B159D3" w:rsidRDefault="00055C18" w:rsidP="002C233C">
            <w:pPr>
              <w:cnfStyle w:val="000000010000" w:firstRow="0" w:lastRow="0" w:firstColumn="0" w:lastColumn="0" w:oddVBand="0" w:evenVBand="0" w:oddHBand="0" w:evenHBand="1" w:firstRowFirstColumn="0" w:firstRowLastColumn="0" w:lastRowFirstColumn="0" w:lastRowLastColumn="0"/>
            </w:pPr>
            <w:r>
              <w:t>1390.9</w:t>
            </w:r>
          </w:p>
        </w:tc>
        <w:tc>
          <w:tcPr>
            <w:tcW w:w="1134" w:type="dxa"/>
          </w:tcPr>
          <w:p w:rsidR="00B159D3" w:rsidRDefault="00055C18" w:rsidP="002C233C">
            <w:pPr>
              <w:cnfStyle w:val="000000010000" w:firstRow="0" w:lastRow="0" w:firstColumn="0" w:lastColumn="0" w:oddVBand="0" w:evenVBand="0" w:oddHBand="0" w:evenHBand="1" w:firstRowFirstColumn="0" w:firstRowLastColumn="0" w:lastRowFirstColumn="0" w:lastRowLastColumn="0"/>
            </w:pPr>
            <w:r>
              <w:t>1049.2</w:t>
            </w:r>
          </w:p>
        </w:tc>
        <w:tc>
          <w:tcPr>
            <w:tcW w:w="1072" w:type="dxa"/>
          </w:tcPr>
          <w:p w:rsidR="00B159D3" w:rsidRDefault="00055C18" w:rsidP="002C233C">
            <w:pPr>
              <w:cnfStyle w:val="000000010000" w:firstRow="0" w:lastRow="0" w:firstColumn="0" w:lastColumn="0" w:oddVBand="0" w:evenVBand="0" w:oddHBand="0" w:evenHBand="1" w:firstRowFirstColumn="0" w:firstRowLastColumn="0" w:lastRowFirstColumn="0" w:lastRowLastColumn="0"/>
            </w:pPr>
            <w:r>
              <w:t>605.4</w:t>
            </w:r>
          </w:p>
        </w:tc>
      </w:tr>
      <w:tr w:rsidR="00B159D3" w:rsidTr="0035742C">
        <w:tc>
          <w:tcPr>
            <w:cnfStyle w:val="001000000000" w:firstRow="0" w:lastRow="0" w:firstColumn="1" w:lastColumn="0" w:oddVBand="0" w:evenVBand="0" w:oddHBand="0" w:evenHBand="0" w:firstRowFirstColumn="0" w:firstRowLastColumn="0" w:lastRowFirstColumn="0" w:lastRowLastColumn="0"/>
            <w:tcW w:w="3085" w:type="dxa"/>
          </w:tcPr>
          <w:p w:rsidR="00B159D3" w:rsidRDefault="00B159D3" w:rsidP="002C233C">
            <w:r>
              <w:t>Inflation indexation on opening RAB</w:t>
            </w:r>
          </w:p>
        </w:tc>
        <w:tc>
          <w:tcPr>
            <w:tcW w:w="1134" w:type="dxa"/>
          </w:tcPr>
          <w:p w:rsidR="00B159D3" w:rsidRDefault="00055C18" w:rsidP="002C233C">
            <w:pPr>
              <w:cnfStyle w:val="000000000000" w:firstRow="0" w:lastRow="0" w:firstColumn="0" w:lastColumn="0" w:oddVBand="0" w:evenVBand="0" w:oddHBand="0" w:evenHBand="0" w:firstRowFirstColumn="0" w:firstRowLastColumn="0" w:lastRowFirstColumn="0" w:lastRowLastColumn="0"/>
            </w:pPr>
            <w:r>
              <w:t>132.8</w:t>
            </w:r>
          </w:p>
        </w:tc>
        <w:tc>
          <w:tcPr>
            <w:tcW w:w="1134" w:type="dxa"/>
          </w:tcPr>
          <w:p w:rsidR="00B159D3" w:rsidRDefault="00055C18" w:rsidP="002C233C">
            <w:pPr>
              <w:cnfStyle w:val="000000000000" w:firstRow="0" w:lastRow="0" w:firstColumn="0" w:lastColumn="0" w:oddVBand="0" w:evenVBand="0" w:oddHBand="0" w:evenHBand="0" w:firstRowFirstColumn="0" w:firstRowLastColumn="0" w:lastRowFirstColumn="0" w:lastRowLastColumn="0"/>
            </w:pPr>
            <w:r>
              <w:t>236.1</w:t>
            </w:r>
          </w:p>
        </w:tc>
        <w:tc>
          <w:tcPr>
            <w:tcW w:w="1134" w:type="dxa"/>
          </w:tcPr>
          <w:p w:rsidR="00B159D3" w:rsidRDefault="00055C18" w:rsidP="002C233C">
            <w:pPr>
              <w:cnfStyle w:val="000000000000" w:firstRow="0" w:lastRow="0" w:firstColumn="0" w:lastColumn="0" w:oddVBand="0" w:evenVBand="0" w:oddHBand="0" w:evenHBand="0" w:firstRowFirstColumn="0" w:firstRowLastColumn="0" w:lastRowFirstColumn="0" w:lastRowLastColumn="0"/>
            </w:pPr>
            <w:r>
              <w:t>323.0</w:t>
            </w:r>
          </w:p>
        </w:tc>
        <w:tc>
          <w:tcPr>
            <w:tcW w:w="1134" w:type="dxa"/>
          </w:tcPr>
          <w:p w:rsidR="00B159D3" w:rsidRDefault="00055C18" w:rsidP="002C233C">
            <w:pPr>
              <w:cnfStyle w:val="000000000000" w:firstRow="0" w:lastRow="0" w:firstColumn="0" w:lastColumn="0" w:oddVBand="0" w:evenVBand="0" w:oddHBand="0" w:evenHBand="0" w:firstRowFirstColumn="0" w:firstRowLastColumn="0" w:lastRowFirstColumn="0" w:lastRowLastColumn="0"/>
            </w:pPr>
            <w:r>
              <w:t>191.7</w:t>
            </w:r>
          </w:p>
        </w:tc>
        <w:tc>
          <w:tcPr>
            <w:tcW w:w="1072" w:type="dxa"/>
          </w:tcPr>
          <w:p w:rsidR="00B159D3" w:rsidRDefault="00055C18" w:rsidP="002C233C">
            <w:pPr>
              <w:cnfStyle w:val="000000000000" w:firstRow="0" w:lastRow="0" w:firstColumn="0" w:lastColumn="0" w:oddVBand="0" w:evenVBand="0" w:oddHBand="0" w:evenHBand="0" w:firstRowFirstColumn="0" w:firstRowLastColumn="0" w:lastRowFirstColumn="0" w:lastRowLastColumn="0"/>
            </w:pPr>
            <w:r>
              <w:t>286.2</w:t>
            </w:r>
          </w:p>
        </w:tc>
      </w:tr>
      <w:tr w:rsidR="00B159D3" w:rsidTr="003574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B159D3" w:rsidRDefault="00B159D3" w:rsidP="002C233C">
            <w:r w:rsidRPr="0035742C">
              <w:rPr>
                <w:rStyle w:val="AERtextitalic"/>
              </w:rPr>
              <w:t>Less:</w:t>
            </w:r>
            <w:r>
              <w:t xml:space="preserve"> straight-line depreciation</w:t>
            </w:r>
          </w:p>
        </w:tc>
        <w:tc>
          <w:tcPr>
            <w:tcW w:w="1134" w:type="dxa"/>
          </w:tcPr>
          <w:p w:rsidR="00B159D3" w:rsidRDefault="00055C18" w:rsidP="002C233C">
            <w:pPr>
              <w:cnfStyle w:val="000000010000" w:firstRow="0" w:lastRow="0" w:firstColumn="0" w:lastColumn="0" w:oddVBand="0" w:evenVBand="0" w:oddHBand="0" w:evenHBand="1" w:firstRowFirstColumn="0" w:firstRowLastColumn="0" w:lastRowFirstColumn="0" w:lastRowLastColumn="0"/>
            </w:pPr>
            <w:r>
              <w:t>261.3</w:t>
            </w:r>
          </w:p>
        </w:tc>
        <w:tc>
          <w:tcPr>
            <w:tcW w:w="1134" w:type="dxa"/>
          </w:tcPr>
          <w:p w:rsidR="00B159D3" w:rsidRDefault="00055C18" w:rsidP="002C233C">
            <w:pPr>
              <w:cnfStyle w:val="000000010000" w:firstRow="0" w:lastRow="0" w:firstColumn="0" w:lastColumn="0" w:oddVBand="0" w:evenVBand="0" w:oddHBand="0" w:evenHBand="1" w:firstRowFirstColumn="0" w:firstRowLastColumn="0" w:lastRowFirstColumn="0" w:lastRowLastColumn="0"/>
            </w:pPr>
            <w:r>
              <w:t>307.5</w:t>
            </w:r>
          </w:p>
        </w:tc>
        <w:tc>
          <w:tcPr>
            <w:tcW w:w="1134" w:type="dxa"/>
          </w:tcPr>
          <w:p w:rsidR="00B159D3" w:rsidRDefault="00055C18" w:rsidP="002C233C">
            <w:pPr>
              <w:cnfStyle w:val="000000010000" w:firstRow="0" w:lastRow="0" w:firstColumn="0" w:lastColumn="0" w:oddVBand="0" w:evenVBand="0" w:oddHBand="0" w:evenHBand="1" w:firstRowFirstColumn="0" w:firstRowLastColumn="0" w:lastRowFirstColumn="0" w:lastRowLastColumn="0"/>
            </w:pPr>
            <w:r>
              <w:t>370.2</w:t>
            </w:r>
          </w:p>
        </w:tc>
        <w:tc>
          <w:tcPr>
            <w:tcW w:w="1134" w:type="dxa"/>
          </w:tcPr>
          <w:p w:rsidR="00B159D3" w:rsidRDefault="00055C18" w:rsidP="002C233C">
            <w:pPr>
              <w:cnfStyle w:val="000000010000" w:firstRow="0" w:lastRow="0" w:firstColumn="0" w:lastColumn="0" w:oddVBand="0" w:evenVBand="0" w:oddHBand="0" w:evenHBand="1" w:firstRowFirstColumn="0" w:firstRowLastColumn="0" w:lastRowFirstColumn="0" w:lastRowLastColumn="0"/>
            </w:pPr>
            <w:r>
              <w:t>434.2</w:t>
            </w:r>
          </w:p>
        </w:tc>
        <w:tc>
          <w:tcPr>
            <w:tcW w:w="1072" w:type="dxa"/>
          </w:tcPr>
          <w:p w:rsidR="00B159D3" w:rsidRDefault="00055C18" w:rsidP="002C233C">
            <w:pPr>
              <w:cnfStyle w:val="000000010000" w:firstRow="0" w:lastRow="0" w:firstColumn="0" w:lastColumn="0" w:oddVBand="0" w:evenVBand="0" w:oddHBand="0" w:evenHBand="1" w:firstRowFirstColumn="0" w:firstRowLastColumn="0" w:lastRowFirstColumn="0" w:lastRowLastColumn="0"/>
            </w:pPr>
            <w:r>
              <w:t>448.6</w:t>
            </w:r>
          </w:p>
        </w:tc>
      </w:tr>
      <w:tr w:rsidR="00B159D3" w:rsidTr="0035742C">
        <w:tc>
          <w:tcPr>
            <w:cnfStyle w:val="001000000000" w:firstRow="0" w:lastRow="0" w:firstColumn="1" w:lastColumn="0" w:oddVBand="0" w:evenVBand="0" w:oddHBand="0" w:evenHBand="0" w:firstRowFirstColumn="0" w:firstRowLastColumn="0" w:lastRowFirstColumn="0" w:lastRowLastColumn="0"/>
            <w:tcW w:w="3085" w:type="dxa"/>
          </w:tcPr>
          <w:p w:rsidR="00B159D3" w:rsidRDefault="00B159D3" w:rsidP="002C233C">
            <w:r>
              <w:t>Closing RAB</w:t>
            </w:r>
          </w:p>
        </w:tc>
        <w:tc>
          <w:tcPr>
            <w:tcW w:w="1134" w:type="dxa"/>
          </w:tcPr>
          <w:p w:rsidR="00B159D3" w:rsidRDefault="00055C18" w:rsidP="00E57BBE">
            <w:pPr>
              <w:cnfStyle w:val="000000000000" w:firstRow="0" w:lastRow="0" w:firstColumn="0" w:lastColumn="0" w:oddVBand="0" w:evenVBand="0" w:oddHBand="0" w:evenHBand="0" w:firstRowFirstColumn="0" w:firstRowLastColumn="0" w:lastRowFirstColumn="0" w:lastRowLastColumn="0"/>
            </w:pPr>
            <w:r>
              <w:t>8297.9</w:t>
            </w:r>
          </w:p>
        </w:tc>
        <w:tc>
          <w:tcPr>
            <w:tcW w:w="1134" w:type="dxa"/>
          </w:tcPr>
          <w:p w:rsidR="00B159D3" w:rsidRDefault="00055C18" w:rsidP="002C233C">
            <w:pPr>
              <w:cnfStyle w:val="000000000000" w:firstRow="0" w:lastRow="0" w:firstColumn="0" w:lastColumn="0" w:oddVBand="0" w:evenVBand="0" w:oddHBand="0" w:evenHBand="0" w:firstRowFirstColumn="0" w:firstRowLastColumn="0" w:lastRowFirstColumn="0" w:lastRowLastColumn="0"/>
            </w:pPr>
            <w:r>
              <w:t>9531.2</w:t>
            </w:r>
          </w:p>
        </w:tc>
        <w:tc>
          <w:tcPr>
            <w:tcW w:w="1134" w:type="dxa"/>
          </w:tcPr>
          <w:p w:rsidR="00B159D3" w:rsidRDefault="00055C18" w:rsidP="002C233C">
            <w:pPr>
              <w:cnfStyle w:val="000000000000" w:firstRow="0" w:lastRow="0" w:firstColumn="0" w:lastColumn="0" w:oddVBand="0" w:evenVBand="0" w:oddHBand="0" w:evenHBand="0" w:firstRowFirstColumn="0" w:firstRowLastColumn="0" w:lastRowFirstColumn="0" w:lastRowLastColumn="0"/>
            </w:pPr>
            <w:r>
              <w:t>10875.0</w:t>
            </w:r>
          </w:p>
        </w:tc>
        <w:tc>
          <w:tcPr>
            <w:tcW w:w="1134" w:type="dxa"/>
          </w:tcPr>
          <w:p w:rsidR="00B159D3" w:rsidRDefault="00055C18" w:rsidP="002C233C">
            <w:pPr>
              <w:cnfStyle w:val="000000000000" w:firstRow="0" w:lastRow="0" w:firstColumn="0" w:lastColumn="0" w:oddVBand="0" w:evenVBand="0" w:oddHBand="0" w:evenHBand="0" w:firstRowFirstColumn="0" w:firstRowLastColumn="0" w:lastRowFirstColumn="0" w:lastRowLastColumn="0"/>
            </w:pPr>
            <w:r>
              <w:t>11681.6</w:t>
            </w:r>
          </w:p>
        </w:tc>
        <w:tc>
          <w:tcPr>
            <w:tcW w:w="1072" w:type="dxa"/>
          </w:tcPr>
          <w:p w:rsidR="00B159D3" w:rsidRDefault="00055C18" w:rsidP="002C233C">
            <w:pPr>
              <w:cnfStyle w:val="000000000000" w:firstRow="0" w:lastRow="0" w:firstColumn="0" w:lastColumn="0" w:oddVBand="0" w:evenVBand="0" w:oddHBand="0" w:evenHBand="0" w:firstRowFirstColumn="0" w:firstRowLastColumn="0" w:lastRowFirstColumn="0" w:lastRowLastColumn="0"/>
            </w:pPr>
            <w:r>
              <w:t>12124.7</w:t>
            </w:r>
          </w:p>
        </w:tc>
      </w:tr>
      <w:tr w:rsidR="00B159D3" w:rsidTr="003574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B159D3" w:rsidRDefault="0035742C" w:rsidP="00E57BBE">
            <w:r>
              <w:t xml:space="preserve">Difference between estimated and actual capex </w:t>
            </w:r>
            <w:r w:rsidR="00E57BBE">
              <w:br/>
            </w:r>
            <w:r>
              <w:t>(1 July 2008 to 30 June 2009)</w:t>
            </w:r>
          </w:p>
        </w:tc>
        <w:tc>
          <w:tcPr>
            <w:tcW w:w="1134" w:type="dxa"/>
          </w:tcPr>
          <w:p w:rsidR="00B159D3" w:rsidRDefault="00B159D3" w:rsidP="002C233C">
            <w:pPr>
              <w:cnfStyle w:val="000000010000" w:firstRow="0" w:lastRow="0" w:firstColumn="0" w:lastColumn="0" w:oddVBand="0" w:evenVBand="0" w:oddHBand="0" w:evenHBand="1" w:firstRowFirstColumn="0" w:firstRowLastColumn="0" w:lastRowFirstColumn="0" w:lastRowLastColumn="0"/>
            </w:pPr>
          </w:p>
        </w:tc>
        <w:tc>
          <w:tcPr>
            <w:tcW w:w="1134" w:type="dxa"/>
          </w:tcPr>
          <w:p w:rsidR="00B159D3" w:rsidRDefault="00B159D3" w:rsidP="002C233C">
            <w:pPr>
              <w:cnfStyle w:val="000000010000" w:firstRow="0" w:lastRow="0" w:firstColumn="0" w:lastColumn="0" w:oddVBand="0" w:evenVBand="0" w:oddHBand="0" w:evenHBand="1" w:firstRowFirstColumn="0" w:firstRowLastColumn="0" w:lastRowFirstColumn="0" w:lastRowLastColumn="0"/>
            </w:pPr>
          </w:p>
        </w:tc>
        <w:tc>
          <w:tcPr>
            <w:tcW w:w="1134" w:type="dxa"/>
          </w:tcPr>
          <w:p w:rsidR="00B159D3" w:rsidRDefault="00B159D3" w:rsidP="002C233C">
            <w:pPr>
              <w:cnfStyle w:val="000000010000" w:firstRow="0" w:lastRow="0" w:firstColumn="0" w:lastColumn="0" w:oddVBand="0" w:evenVBand="0" w:oddHBand="0" w:evenHBand="1" w:firstRowFirstColumn="0" w:firstRowLastColumn="0" w:lastRowFirstColumn="0" w:lastRowLastColumn="0"/>
            </w:pPr>
          </w:p>
        </w:tc>
        <w:tc>
          <w:tcPr>
            <w:tcW w:w="1134" w:type="dxa"/>
          </w:tcPr>
          <w:p w:rsidR="00B159D3" w:rsidRDefault="00B159D3" w:rsidP="002C233C">
            <w:pPr>
              <w:cnfStyle w:val="000000010000" w:firstRow="0" w:lastRow="0" w:firstColumn="0" w:lastColumn="0" w:oddVBand="0" w:evenVBand="0" w:oddHBand="0" w:evenHBand="1" w:firstRowFirstColumn="0" w:firstRowLastColumn="0" w:lastRowFirstColumn="0" w:lastRowLastColumn="0"/>
            </w:pPr>
          </w:p>
        </w:tc>
        <w:tc>
          <w:tcPr>
            <w:tcW w:w="1072" w:type="dxa"/>
          </w:tcPr>
          <w:p w:rsidR="00B159D3" w:rsidRDefault="00055C18" w:rsidP="002C233C">
            <w:pPr>
              <w:cnfStyle w:val="000000010000" w:firstRow="0" w:lastRow="0" w:firstColumn="0" w:lastColumn="0" w:oddVBand="0" w:evenVBand="0" w:oddHBand="0" w:evenHBand="1" w:firstRowFirstColumn="0" w:firstRowLastColumn="0" w:lastRowFirstColumn="0" w:lastRowLastColumn="0"/>
            </w:pPr>
            <w:r>
              <w:t>239.1</w:t>
            </w:r>
          </w:p>
        </w:tc>
      </w:tr>
      <w:tr w:rsidR="00B159D3" w:rsidTr="0035742C">
        <w:tc>
          <w:tcPr>
            <w:cnfStyle w:val="001000000000" w:firstRow="0" w:lastRow="0" w:firstColumn="1" w:lastColumn="0" w:oddVBand="0" w:evenVBand="0" w:oddHBand="0" w:evenHBand="0" w:firstRowFirstColumn="0" w:firstRowLastColumn="0" w:lastRowFirstColumn="0" w:lastRowLastColumn="0"/>
            <w:tcW w:w="3085" w:type="dxa"/>
          </w:tcPr>
          <w:p w:rsidR="00B159D3" w:rsidRDefault="0035742C" w:rsidP="002C233C">
            <w:r>
              <w:t>Return on difference for 2008-09 capex</w:t>
            </w:r>
          </w:p>
        </w:tc>
        <w:tc>
          <w:tcPr>
            <w:tcW w:w="1134" w:type="dxa"/>
          </w:tcPr>
          <w:p w:rsidR="00B159D3" w:rsidRDefault="00B159D3" w:rsidP="002C233C">
            <w:pPr>
              <w:cnfStyle w:val="000000000000" w:firstRow="0" w:lastRow="0" w:firstColumn="0" w:lastColumn="0" w:oddVBand="0" w:evenVBand="0" w:oddHBand="0" w:evenHBand="0" w:firstRowFirstColumn="0" w:firstRowLastColumn="0" w:lastRowFirstColumn="0" w:lastRowLastColumn="0"/>
            </w:pPr>
          </w:p>
        </w:tc>
        <w:tc>
          <w:tcPr>
            <w:tcW w:w="1134" w:type="dxa"/>
          </w:tcPr>
          <w:p w:rsidR="00B159D3" w:rsidRDefault="00B159D3" w:rsidP="002C233C">
            <w:pPr>
              <w:cnfStyle w:val="000000000000" w:firstRow="0" w:lastRow="0" w:firstColumn="0" w:lastColumn="0" w:oddVBand="0" w:evenVBand="0" w:oddHBand="0" w:evenHBand="0" w:firstRowFirstColumn="0" w:firstRowLastColumn="0" w:lastRowFirstColumn="0" w:lastRowLastColumn="0"/>
            </w:pPr>
          </w:p>
        </w:tc>
        <w:tc>
          <w:tcPr>
            <w:tcW w:w="1134" w:type="dxa"/>
          </w:tcPr>
          <w:p w:rsidR="00B159D3" w:rsidRDefault="00B159D3" w:rsidP="002C233C">
            <w:pPr>
              <w:cnfStyle w:val="000000000000" w:firstRow="0" w:lastRow="0" w:firstColumn="0" w:lastColumn="0" w:oddVBand="0" w:evenVBand="0" w:oddHBand="0" w:evenHBand="0" w:firstRowFirstColumn="0" w:firstRowLastColumn="0" w:lastRowFirstColumn="0" w:lastRowLastColumn="0"/>
            </w:pPr>
          </w:p>
        </w:tc>
        <w:tc>
          <w:tcPr>
            <w:tcW w:w="1134" w:type="dxa"/>
          </w:tcPr>
          <w:p w:rsidR="00B159D3" w:rsidRDefault="00B159D3" w:rsidP="002C233C">
            <w:pPr>
              <w:cnfStyle w:val="000000000000" w:firstRow="0" w:lastRow="0" w:firstColumn="0" w:lastColumn="0" w:oddVBand="0" w:evenVBand="0" w:oddHBand="0" w:evenHBand="0" w:firstRowFirstColumn="0" w:firstRowLastColumn="0" w:lastRowFirstColumn="0" w:lastRowLastColumn="0"/>
            </w:pPr>
          </w:p>
        </w:tc>
        <w:tc>
          <w:tcPr>
            <w:tcW w:w="1072" w:type="dxa"/>
          </w:tcPr>
          <w:p w:rsidR="00B159D3" w:rsidRDefault="00055C18" w:rsidP="002C233C">
            <w:pPr>
              <w:cnfStyle w:val="000000000000" w:firstRow="0" w:lastRow="0" w:firstColumn="0" w:lastColumn="0" w:oddVBand="0" w:evenVBand="0" w:oddHBand="0" w:evenHBand="0" w:firstRowFirstColumn="0" w:firstRowLastColumn="0" w:lastRowFirstColumn="0" w:lastRowLastColumn="0"/>
            </w:pPr>
            <w:r>
              <w:t>145.9</w:t>
            </w:r>
          </w:p>
        </w:tc>
      </w:tr>
      <w:tr w:rsidR="0035742C" w:rsidRPr="008933CC" w:rsidTr="003574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35742C" w:rsidRPr="008933CC" w:rsidRDefault="0035742C" w:rsidP="008933CC">
            <w:r w:rsidRPr="008933CC">
              <w:t>Closing RAB as at 30 June 2014</w:t>
            </w:r>
          </w:p>
        </w:tc>
        <w:tc>
          <w:tcPr>
            <w:tcW w:w="1134" w:type="dxa"/>
          </w:tcPr>
          <w:p w:rsidR="0035742C" w:rsidRPr="008933CC" w:rsidRDefault="0035742C" w:rsidP="008933CC">
            <w:pPr>
              <w:cnfStyle w:val="000000010000" w:firstRow="0" w:lastRow="0" w:firstColumn="0" w:lastColumn="0" w:oddVBand="0" w:evenVBand="0" w:oddHBand="0" w:evenHBand="1" w:firstRowFirstColumn="0" w:firstRowLastColumn="0" w:lastRowFirstColumn="0" w:lastRowLastColumn="0"/>
            </w:pPr>
          </w:p>
        </w:tc>
        <w:tc>
          <w:tcPr>
            <w:tcW w:w="1134" w:type="dxa"/>
          </w:tcPr>
          <w:p w:rsidR="0035742C" w:rsidRPr="008933CC" w:rsidRDefault="0035742C" w:rsidP="008933CC">
            <w:pPr>
              <w:cnfStyle w:val="000000010000" w:firstRow="0" w:lastRow="0" w:firstColumn="0" w:lastColumn="0" w:oddVBand="0" w:evenVBand="0" w:oddHBand="0" w:evenHBand="1" w:firstRowFirstColumn="0" w:firstRowLastColumn="0" w:lastRowFirstColumn="0" w:lastRowLastColumn="0"/>
            </w:pPr>
          </w:p>
        </w:tc>
        <w:tc>
          <w:tcPr>
            <w:tcW w:w="1134" w:type="dxa"/>
          </w:tcPr>
          <w:p w:rsidR="0035742C" w:rsidRPr="008933CC" w:rsidRDefault="0035742C" w:rsidP="008933CC">
            <w:pPr>
              <w:cnfStyle w:val="000000010000" w:firstRow="0" w:lastRow="0" w:firstColumn="0" w:lastColumn="0" w:oddVBand="0" w:evenVBand="0" w:oddHBand="0" w:evenHBand="1" w:firstRowFirstColumn="0" w:firstRowLastColumn="0" w:lastRowFirstColumn="0" w:lastRowLastColumn="0"/>
            </w:pPr>
          </w:p>
        </w:tc>
        <w:tc>
          <w:tcPr>
            <w:tcW w:w="1134" w:type="dxa"/>
          </w:tcPr>
          <w:p w:rsidR="0035742C" w:rsidRPr="008933CC" w:rsidRDefault="0035742C" w:rsidP="008933CC">
            <w:pPr>
              <w:cnfStyle w:val="000000010000" w:firstRow="0" w:lastRow="0" w:firstColumn="0" w:lastColumn="0" w:oddVBand="0" w:evenVBand="0" w:oddHBand="0" w:evenHBand="1" w:firstRowFirstColumn="0" w:firstRowLastColumn="0" w:lastRowFirstColumn="0" w:lastRowLastColumn="0"/>
            </w:pPr>
          </w:p>
        </w:tc>
        <w:tc>
          <w:tcPr>
            <w:tcW w:w="1072" w:type="dxa"/>
          </w:tcPr>
          <w:p w:rsidR="0035742C" w:rsidRPr="008933CC" w:rsidRDefault="00055C18" w:rsidP="008933CC">
            <w:pPr>
              <w:cnfStyle w:val="000000010000" w:firstRow="0" w:lastRow="0" w:firstColumn="0" w:lastColumn="0" w:oddVBand="0" w:evenVBand="0" w:oddHBand="0" w:evenHBand="1" w:firstRowFirstColumn="0" w:firstRowLastColumn="0" w:lastRowFirstColumn="0" w:lastRowLastColumn="0"/>
            </w:pPr>
            <w:r w:rsidRPr="008933CC">
              <w:t>12509.7</w:t>
            </w:r>
          </w:p>
        </w:tc>
      </w:tr>
      <w:tr w:rsidR="0035742C" w:rsidTr="0035742C">
        <w:tc>
          <w:tcPr>
            <w:cnfStyle w:val="001000000000" w:firstRow="0" w:lastRow="0" w:firstColumn="1" w:lastColumn="0" w:oddVBand="0" w:evenVBand="0" w:oddHBand="0" w:evenHBand="0" w:firstRowFirstColumn="0" w:firstRowLastColumn="0" w:lastRowFirstColumn="0" w:lastRowLastColumn="0"/>
            <w:tcW w:w="3085" w:type="dxa"/>
          </w:tcPr>
          <w:p w:rsidR="0035742C" w:rsidRDefault="0035742C" w:rsidP="002C233C">
            <w:r>
              <w:t>Dual function assets moved from transmission to distribution</w:t>
            </w:r>
          </w:p>
        </w:tc>
        <w:tc>
          <w:tcPr>
            <w:tcW w:w="1134" w:type="dxa"/>
          </w:tcPr>
          <w:p w:rsidR="0035742C" w:rsidRDefault="0035742C" w:rsidP="002C233C">
            <w:pPr>
              <w:cnfStyle w:val="000000000000" w:firstRow="0" w:lastRow="0" w:firstColumn="0" w:lastColumn="0" w:oddVBand="0" w:evenVBand="0" w:oddHBand="0" w:evenHBand="0" w:firstRowFirstColumn="0" w:firstRowLastColumn="0" w:lastRowFirstColumn="0" w:lastRowLastColumn="0"/>
            </w:pPr>
          </w:p>
        </w:tc>
        <w:tc>
          <w:tcPr>
            <w:tcW w:w="1134" w:type="dxa"/>
          </w:tcPr>
          <w:p w:rsidR="0035742C" w:rsidRDefault="0035742C" w:rsidP="002C233C">
            <w:pPr>
              <w:cnfStyle w:val="000000000000" w:firstRow="0" w:lastRow="0" w:firstColumn="0" w:lastColumn="0" w:oddVBand="0" w:evenVBand="0" w:oddHBand="0" w:evenHBand="0" w:firstRowFirstColumn="0" w:firstRowLastColumn="0" w:lastRowFirstColumn="0" w:lastRowLastColumn="0"/>
            </w:pPr>
          </w:p>
        </w:tc>
        <w:tc>
          <w:tcPr>
            <w:tcW w:w="1134" w:type="dxa"/>
          </w:tcPr>
          <w:p w:rsidR="0035742C" w:rsidRDefault="0035742C" w:rsidP="002C233C">
            <w:pPr>
              <w:cnfStyle w:val="000000000000" w:firstRow="0" w:lastRow="0" w:firstColumn="0" w:lastColumn="0" w:oddVBand="0" w:evenVBand="0" w:oddHBand="0" w:evenHBand="0" w:firstRowFirstColumn="0" w:firstRowLastColumn="0" w:lastRowFirstColumn="0" w:lastRowLastColumn="0"/>
            </w:pPr>
          </w:p>
        </w:tc>
        <w:tc>
          <w:tcPr>
            <w:tcW w:w="1134" w:type="dxa"/>
          </w:tcPr>
          <w:p w:rsidR="0035742C" w:rsidRDefault="0035742C" w:rsidP="002C233C">
            <w:pPr>
              <w:cnfStyle w:val="000000000000" w:firstRow="0" w:lastRow="0" w:firstColumn="0" w:lastColumn="0" w:oddVBand="0" w:evenVBand="0" w:oddHBand="0" w:evenHBand="0" w:firstRowFirstColumn="0" w:firstRowLastColumn="0" w:lastRowFirstColumn="0" w:lastRowLastColumn="0"/>
            </w:pPr>
          </w:p>
        </w:tc>
        <w:tc>
          <w:tcPr>
            <w:tcW w:w="1072" w:type="dxa"/>
          </w:tcPr>
          <w:p w:rsidR="0035742C" w:rsidRDefault="00055C18" w:rsidP="002C233C">
            <w:pPr>
              <w:cnfStyle w:val="000000000000" w:firstRow="0" w:lastRow="0" w:firstColumn="0" w:lastColumn="0" w:oddVBand="0" w:evenVBand="0" w:oddHBand="0" w:evenHBand="0" w:firstRowFirstColumn="0" w:firstRowLastColumn="0" w:lastRowFirstColumn="0" w:lastRowLastColumn="0"/>
            </w:pPr>
            <w:r>
              <w:t>9.2</w:t>
            </w:r>
          </w:p>
        </w:tc>
      </w:tr>
      <w:tr w:rsidR="0035742C" w:rsidTr="003574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35742C" w:rsidRDefault="0035742C" w:rsidP="002C233C">
            <w:r>
              <w:t>Meters moved to alternative control services</w:t>
            </w:r>
          </w:p>
        </w:tc>
        <w:tc>
          <w:tcPr>
            <w:tcW w:w="1134" w:type="dxa"/>
          </w:tcPr>
          <w:p w:rsidR="0035742C" w:rsidRDefault="0035742C" w:rsidP="002C233C">
            <w:pPr>
              <w:cnfStyle w:val="000000010000" w:firstRow="0" w:lastRow="0" w:firstColumn="0" w:lastColumn="0" w:oddVBand="0" w:evenVBand="0" w:oddHBand="0" w:evenHBand="1" w:firstRowFirstColumn="0" w:firstRowLastColumn="0" w:lastRowFirstColumn="0" w:lastRowLastColumn="0"/>
            </w:pPr>
          </w:p>
        </w:tc>
        <w:tc>
          <w:tcPr>
            <w:tcW w:w="1134" w:type="dxa"/>
          </w:tcPr>
          <w:p w:rsidR="0035742C" w:rsidRDefault="0035742C" w:rsidP="002C233C">
            <w:pPr>
              <w:cnfStyle w:val="000000010000" w:firstRow="0" w:lastRow="0" w:firstColumn="0" w:lastColumn="0" w:oddVBand="0" w:evenVBand="0" w:oddHBand="0" w:evenHBand="1" w:firstRowFirstColumn="0" w:firstRowLastColumn="0" w:lastRowFirstColumn="0" w:lastRowLastColumn="0"/>
            </w:pPr>
          </w:p>
        </w:tc>
        <w:tc>
          <w:tcPr>
            <w:tcW w:w="1134" w:type="dxa"/>
          </w:tcPr>
          <w:p w:rsidR="0035742C" w:rsidRDefault="0035742C" w:rsidP="002C233C">
            <w:pPr>
              <w:cnfStyle w:val="000000010000" w:firstRow="0" w:lastRow="0" w:firstColumn="0" w:lastColumn="0" w:oddVBand="0" w:evenVBand="0" w:oddHBand="0" w:evenHBand="1" w:firstRowFirstColumn="0" w:firstRowLastColumn="0" w:lastRowFirstColumn="0" w:lastRowLastColumn="0"/>
            </w:pPr>
          </w:p>
        </w:tc>
        <w:tc>
          <w:tcPr>
            <w:tcW w:w="1134" w:type="dxa"/>
          </w:tcPr>
          <w:p w:rsidR="0035742C" w:rsidRDefault="0035742C" w:rsidP="002C233C">
            <w:pPr>
              <w:cnfStyle w:val="000000010000" w:firstRow="0" w:lastRow="0" w:firstColumn="0" w:lastColumn="0" w:oddVBand="0" w:evenVBand="0" w:oddHBand="0" w:evenHBand="1" w:firstRowFirstColumn="0" w:firstRowLastColumn="0" w:lastRowFirstColumn="0" w:lastRowLastColumn="0"/>
            </w:pPr>
          </w:p>
        </w:tc>
        <w:tc>
          <w:tcPr>
            <w:tcW w:w="1072" w:type="dxa"/>
          </w:tcPr>
          <w:p w:rsidR="0035742C" w:rsidRDefault="00150258" w:rsidP="002C233C">
            <w:pPr>
              <w:cnfStyle w:val="000000010000" w:firstRow="0" w:lastRow="0" w:firstColumn="0" w:lastColumn="0" w:oddVBand="0" w:evenVBand="0" w:oddHBand="0" w:evenHBand="1" w:firstRowFirstColumn="0" w:firstRowLastColumn="0" w:lastRowFirstColumn="0" w:lastRowLastColumn="0"/>
            </w:pPr>
            <w:r>
              <w:t>–</w:t>
            </w:r>
            <w:r w:rsidR="00055C18">
              <w:t>267.2</w:t>
            </w:r>
          </w:p>
        </w:tc>
      </w:tr>
      <w:tr w:rsidR="0035742C" w:rsidRPr="00E57BBE" w:rsidTr="0035742C">
        <w:tc>
          <w:tcPr>
            <w:cnfStyle w:val="001000000000" w:firstRow="0" w:lastRow="0" w:firstColumn="1" w:lastColumn="0" w:oddVBand="0" w:evenVBand="0" w:oddHBand="0" w:evenHBand="0" w:firstRowFirstColumn="0" w:firstRowLastColumn="0" w:lastRowFirstColumn="0" w:lastRowLastColumn="0"/>
            <w:tcW w:w="3085" w:type="dxa"/>
          </w:tcPr>
          <w:p w:rsidR="0035742C" w:rsidRPr="005C78F1" w:rsidRDefault="0035742C" w:rsidP="002C233C">
            <w:pPr>
              <w:rPr>
                <w:rStyle w:val="Strong"/>
              </w:rPr>
            </w:pPr>
            <w:r w:rsidRPr="005C78F1">
              <w:rPr>
                <w:rStyle w:val="Strong"/>
              </w:rPr>
              <w:t>Opening RAB as at 1 July 2014</w:t>
            </w:r>
          </w:p>
        </w:tc>
        <w:tc>
          <w:tcPr>
            <w:tcW w:w="1134" w:type="dxa"/>
          </w:tcPr>
          <w:p w:rsidR="0035742C" w:rsidRPr="005C78F1" w:rsidRDefault="0035742C" w:rsidP="002C233C">
            <w:pPr>
              <w:cnfStyle w:val="000000000000" w:firstRow="0" w:lastRow="0" w:firstColumn="0" w:lastColumn="0" w:oddVBand="0" w:evenVBand="0" w:oddHBand="0" w:evenHBand="0" w:firstRowFirstColumn="0" w:firstRowLastColumn="0" w:lastRowFirstColumn="0" w:lastRowLastColumn="0"/>
              <w:rPr>
                <w:rStyle w:val="Strong"/>
              </w:rPr>
            </w:pPr>
          </w:p>
        </w:tc>
        <w:tc>
          <w:tcPr>
            <w:tcW w:w="1134" w:type="dxa"/>
          </w:tcPr>
          <w:p w:rsidR="0035742C" w:rsidRPr="005C78F1" w:rsidRDefault="0035742C" w:rsidP="002C233C">
            <w:pPr>
              <w:cnfStyle w:val="000000000000" w:firstRow="0" w:lastRow="0" w:firstColumn="0" w:lastColumn="0" w:oddVBand="0" w:evenVBand="0" w:oddHBand="0" w:evenHBand="0" w:firstRowFirstColumn="0" w:firstRowLastColumn="0" w:lastRowFirstColumn="0" w:lastRowLastColumn="0"/>
              <w:rPr>
                <w:rStyle w:val="Strong"/>
              </w:rPr>
            </w:pPr>
          </w:p>
        </w:tc>
        <w:tc>
          <w:tcPr>
            <w:tcW w:w="1134" w:type="dxa"/>
          </w:tcPr>
          <w:p w:rsidR="0035742C" w:rsidRPr="005C78F1" w:rsidRDefault="0035742C" w:rsidP="002C233C">
            <w:pPr>
              <w:cnfStyle w:val="000000000000" w:firstRow="0" w:lastRow="0" w:firstColumn="0" w:lastColumn="0" w:oddVBand="0" w:evenVBand="0" w:oddHBand="0" w:evenHBand="0" w:firstRowFirstColumn="0" w:firstRowLastColumn="0" w:lastRowFirstColumn="0" w:lastRowLastColumn="0"/>
              <w:rPr>
                <w:rStyle w:val="Strong"/>
              </w:rPr>
            </w:pPr>
          </w:p>
        </w:tc>
        <w:tc>
          <w:tcPr>
            <w:tcW w:w="1134" w:type="dxa"/>
          </w:tcPr>
          <w:p w:rsidR="0035742C" w:rsidRPr="005C78F1" w:rsidRDefault="0035742C" w:rsidP="002C233C">
            <w:pPr>
              <w:cnfStyle w:val="000000000000" w:firstRow="0" w:lastRow="0" w:firstColumn="0" w:lastColumn="0" w:oddVBand="0" w:evenVBand="0" w:oddHBand="0" w:evenHBand="0" w:firstRowFirstColumn="0" w:firstRowLastColumn="0" w:lastRowFirstColumn="0" w:lastRowLastColumn="0"/>
              <w:rPr>
                <w:rStyle w:val="Strong"/>
              </w:rPr>
            </w:pPr>
          </w:p>
        </w:tc>
        <w:tc>
          <w:tcPr>
            <w:tcW w:w="1072" w:type="dxa"/>
          </w:tcPr>
          <w:p w:rsidR="0035742C" w:rsidRPr="005C78F1" w:rsidRDefault="00055C18" w:rsidP="002C233C">
            <w:pPr>
              <w:cnfStyle w:val="000000000000" w:firstRow="0" w:lastRow="0" w:firstColumn="0" w:lastColumn="0" w:oddVBand="0" w:evenVBand="0" w:oddHBand="0" w:evenHBand="0" w:firstRowFirstColumn="0" w:firstRowLastColumn="0" w:lastRowFirstColumn="0" w:lastRowLastColumn="0"/>
              <w:rPr>
                <w:rStyle w:val="Strong"/>
              </w:rPr>
            </w:pPr>
            <w:r w:rsidRPr="005C78F1">
              <w:rPr>
                <w:rStyle w:val="Strong"/>
              </w:rPr>
              <w:t>12251.7</w:t>
            </w:r>
          </w:p>
        </w:tc>
      </w:tr>
    </w:tbl>
    <w:p w:rsidR="0035742C" w:rsidRDefault="0035742C" w:rsidP="0035742C">
      <w:pPr>
        <w:pStyle w:val="AERtablesource"/>
      </w:pPr>
      <w:r>
        <w:t>Source:</w:t>
      </w:r>
      <w:r>
        <w:tab/>
        <w:t xml:space="preserve">AER analysis. </w:t>
      </w:r>
    </w:p>
    <w:p w:rsidR="00B159D3" w:rsidRDefault="0035742C" w:rsidP="0035742C">
      <w:pPr>
        <w:pStyle w:val="AERtablesource"/>
      </w:pPr>
      <w:r>
        <w:t>(a)</w:t>
      </w:r>
      <w:r>
        <w:tab/>
      </w:r>
      <w:r w:rsidR="00E57BBE">
        <w:t>N</w:t>
      </w:r>
      <w:r>
        <w:t>et of disposals and capital contributions, and adjusted for CPI.</w:t>
      </w:r>
    </w:p>
    <w:p w:rsidR="0035742C" w:rsidRPr="0035742C" w:rsidRDefault="0035742C" w:rsidP="0035742C">
      <w:pPr>
        <w:pStyle w:val="Caption"/>
      </w:pPr>
      <w:bookmarkStart w:id="15" w:name="_Ref412818854"/>
      <w:proofErr w:type="gramStart"/>
      <w:r>
        <w:t xml:space="preserve">Table </w:t>
      </w:r>
      <w:proofErr w:type="gramEnd"/>
      <w:r w:rsidR="003604E3">
        <w:fldChar w:fldCharType="begin"/>
      </w:r>
      <w:r w:rsidR="003604E3">
        <w:instrText xml:space="preserve"> STYLEREF 1 \s </w:instrText>
      </w:r>
      <w:r w:rsidR="003604E3">
        <w:fldChar w:fldCharType="separate"/>
      </w:r>
      <w:r w:rsidR="007B36D6">
        <w:rPr>
          <w:noProof/>
        </w:rPr>
        <w:t>2</w:t>
      </w:r>
      <w:r w:rsidR="003604E3">
        <w:rPr>
          <w:noProof/>
        </w:rPr>
        <w:fldChar w:fldCharType="end"/>
      </w:r>
      <w:proofErr w:type="gramStart"/>
      <w:r w:rsidR="007B36D6">
        <w:t>.</w:t>
      </w:r>
      <w:proofErr w:type="gramEnd"/>
      <w:r w:rsidR="0009094F">
        <w:fldChar w:fldCharType="begin"/>
      </w:r>
      <w:r w:rsidR="0009094F">
        <w:instrText xml:space="preserve"> SEQ Table \* ARABIC \s 1 </w:instrText>
      </w:r>
      <w:r w:rsidR="0009094F">
        <w:fldChar w:fldCharType="separate"/>
      </w:r>
      <w:r w:rsidR="007B36D6">
        <w:rPr>
          <w:noProof/>
        </w:rPr>
        <w:t>2</w:t>
      </w:r>
      <w:r w:rsidR="0009094F">
        <w:rPr>
          <w:noProof/>
        </w:rPr>
        <w:fldChar w:fldCharType="end"/>
      </w:r>
      <w:bookmarkEnd w:id="15"/>
      <w:r>
        <w:tab/>
        <w:t xml:space="preserve">AER's final decision on Ausgrid's RAB for the 2009–14 regulatory control period </w:t>
      </w:r>
      <w:r w:rsidR="00846CB7">
        <w:t>–</w:t>
      </w:r>
      <w:r>
        <w:t xml:space="preserve"> transmission ($ million, nominal)</w:t>
      </w:r>
    </w:p>
    <w:tbl>
      <w:tblPr>
        <w:tblStyle w:val="AERtable-numbers"/>
        <w:tblW w:w="0" w:type="auto"/>
        <w:tblLook w:val="04A0" w:firstRow="1" w:lastRow="0" w:firstColumn="1" w:lastColumn="0" w:noHBand="0" w:noVBand="1"/>
      </w:tblPr>
      <w:tblGrid>
        <w:gridCol w:w="3085"/>
        <w:gridCol w:w="1134"/>
        <w:gridCol w:w="1134"/>
        <w:gridCol w:w="1134"/>
        <w:gridCol w:w="1134"/>
        <w:gridCol w:w="1072"/>
      </w:tblGrid>
      <w:tr w:rsidR="0035742C" w:rsidTr="0029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35742C" w:rsidRDefault="0035742C" w:rsidP="0035742C"/>
        </w:tc>
        <w:tc>
          <w:tcPr>
            <w:tcW w:w="1134" w:type="dxa"/>
          </w:tcPr>
          <w:p w:rsidR="0035742C" w:rsidRPr="0035742C" w:rsidRDefault="0035742C" w:rsidP="0035742C">
            <w:pPr>
              <w:cnfStyle w:val="100000000000" w:firstRow="1" w:lastRow="0" w:firstColumn="0" w:lastColumn="0" w:oddVBand="0" w:evenVBand="0" w:oddHBand="0" w:evenHBand="0" w:firstRowFirstColumn="0" w:firstRowLastColumn="0" w:lastRowFirstColumn="0" w:lastRowLastColumn="0"/>
            </w:pPr>
            <w:r>
              <w:t>2009–10</w:t>
            </w:r>
          </w:p>
        </w:tc>
        <w:tc>
          <w:tcPr>
            <w:tcW w:w="1134" w:type="dxa"/>
          </w:tcPr>
          <w:p w:rsidR="0035742C" w:rsidRPr="0035742C" w:rsidRDefault="0035742C" w:rsidP="0035742C">
            <w:pPr>
              <w:cnfStyle w:val="100000000000" w:firstRow="1" w:lastRow="0" w:firstColumn="0" w:lastColumn="0" w:oddVBand="0" w:evenVBand="0" w:oddHBand="0" w:evenHBand="0" w:firstRowFirstColumn="0" w:firstRowLastColumn="0" w:lastRowFirstColumn="0" w:lastRowLastColumn="0"/>
            </w:pPr>
            <w:r>
              <w:t>2010–11</w:t>
            </w:r>
          </w:p>
        </w:tc>
        <w:tc>
          <w:tcPr>
            <w:tcW w:w="1134" w:type="dxa"/>
          </w:tcPr>
          <w:p w:rsidR="0035742C" w:rsidRPr="0035742C" w:rsidRDefault="0035742C" w:rsidP="0035742C">
            <w:pPr>
              <w:cnfStyle w:val="100000000000" w:firstRow="1" w:lastRow="0" w:firstColumn="0" w:lastColumn="0" w:oddVBand="0" w:evenVBand="0" w:oddHBand="0" w:evenHBand="0" w:firstRowFirstColumn="0" w:firstRowLastColumn="0" w:lastRowFirstColumn="0" w:lastRowLastColumn="0"/>
            </w:pPr>
            <w:r>
              <w:t>2011–12</w:t>
            </w:r>
          </w:p>
        </w:tc>
        <w:tc>
          <w:tcPr>
            <w:tcW w:w="1134" w:type="dxa"/>
          </w:tcPr>
          <w:p w:rsidR="0035742C" w:rsidRPr="0035742C" w:rsidRDefault="0035742C" w:rsidP="0035742C">
            <w:pPr>
              <w:cnfStyle w:val="100000000000" w:firstRow="1" w:lastRow="0" w:firstColumn="0" w:lastColumn="0" w:oddVBand="0" w:evenVBand="0" w:oddHBand="0" w:evenHBand="0" w:firstRowFirstColumn="0" w:firstRowLastColumn="0" w:lastRowFirstColumn="0" w:lastRowLastColumn="0"/>
            </w:pPr>
            <w:r>
              <w:t>2012–13</w:t>
            </w:r>
          </w:p>
        </w:tc>
        <w:tc>
          <w:tcPr>
            <w:tcW w:w="1072" w:type="dxa"/>
          </w:tcPr>
          <w:p w:rsidR="0035742C" w:rsidRPr="0035742C" w:rsidRDefault="0035742C" w:rsidP="0035742C">
            <w:pPr>
              <w:cnfStyle w:val="100000000000" w:firstRow="1" w:lastRow="0" w:firstColumn="0" w:lastColumn="0" w:oddVBand="0" w:evenVBand="0" w:oddHBand="0" w:evenHBand="0" w:firstRowFirstColumn="0" w:firstRowLastColumn="0" w:lastRowFirstColumn="0" w:lastRowLastColumn="0"/>
            </w:pPr>
            <w:r>
              <w:t>2013–14</w:t>
            </w:r>
          </w:p>
        </w:tc>
      </w:tr>
      <w:tr w:rsidR="0035742C" w:rsidTr="002966E2">
        <w:tc>
          <w:tcPr>
            <w:cnfStyle w:val="001000000000" w:firstRow="0" w:lastRow="0" w:firstColumn="1" w:lastColumn="0" w:oddVBand="0" w:evenVBand="0" w:oddHBand="0" w:evenHBand="0" w:firstRowFirstColumn="0" w:firstRowLastColumn="0" w:lastRowFirstColumn="0" w:lastRowLastColumn="0"/>
            <w:tcW w:w="3085" w:type="dxa"/>
          </w:tcPr>
          <w:p w:rsidR="0035742C" w:rsidRPr="0035742C" w:rsidRDefault="0035742C" w:rsidP="0035742C">
            <w:r>
              <w:t>Opening RAB</w:t>
            </w:r>
          </w:p>
        </w:tc>
        <w:tc>
          <w:tcPr>
            <w:tcW w:w="1134" w:type="dxa"/>
          </w:tcPr>
          <w:p w:rsidR="0035742C" w:rsidRDefault="004B34B0" w:rsidP="0035742C">
            <w:pPr>
              <w:cnfStyle w:val="000000000000" w:firstRow="0" w:lastRow="0" w:firstColumn="0" w:lastColumn="0" w:oddVBand="0" w:evenVBand="0" w:oddHBand="0" w:evenHBand="0" w:firstRowFirstColumn="0" w:firstRowLastColumn="0" w:lastRowFirstColumn="0" w:lastRowLastColumn="0"/>
            </w:pPr>
            <w:r>
              <w:t>1028.5</w:t>
            </w:r>
          </w:p>
        </w:tc>
        <w:tc>
          <w:tcPr>
            <w:tcW w:w="1134" w:type="dxa"/>
          </w:tcPr>
          <w:p w:rsidR="0035742C" w:rsidRDefault="004B34B0" w:rsidP="0035742C">
            <w:pPr>
              <w:cnfStyle w:val="000000000000" w:firstRow="0" w:lastRow="0" w:firstColumn="0" w:lastColumn="0" w:oddVBand="0" w:evenVBand="0" w:oddHBand="0" w:evenHBand="0" w:firstRowFirstColumn="0" w:firstRowLastColumn="0" w:lastRowFirstColumn="0" w:lastRowLastColumn="0"/>
            </w:pPr>
            <w:r>
              <w:t>1264.1</w:t>
            </w:r>
          </w:p>
        </w:tc>
        <w:tc>
          <w:tcPr>
            <w:tcW w:w="1134" w:type="dxa"/>
          </w:tcPr>
          <w:p w:rsidR="0035742C" w:rsidRDefault="004B34B0" w:rsidP="0035742C">
            <w:pPr>
              <w:cnfStyle w:val="000000000000" w:firstRow="0" w:lastRow="0" w:firstColumn="0" w:lastColumn="0" w:oddVBand="0" w:evenVBand="0" w:oddHBand="0" w:evenHBand="0" w:firstRowFirstColumn="0" w:firstRowLastColumn="0" w:lastRowFirstColumn="0" w:lastRowLastColumn="0"/>
            </w:pPr>
            <w:r>
              <w:t>1544.8</w:t>
            </w:r>
          </w:p>
        </w:tc>
        <w:tc>
          <w:tcPr>
            <w:tcW w:w="1134" w:type="dxa"/>
          </w:tcPr>
          <w:p w:rsidR="0035742C" w:rsidRDefault="004B34B0" w:rsidP="0035742C">
            <w:pPr>
              <w:cnfStyle w:val="000000000000" w:firstRow="0" w:lastRow="0" w:firstColumn="0" w:lastColumn="0" w:oddVBand="0" w:evenVBand="0" w:oddHBand="0" w:evenHBand="0" w:firstRowFirstColumn="0" w:firstRowLastColumn="0" w:lastRowFirstColumn="0" w:lastRowLastColumn="0"/>
            </w:pPr>
            <w:r>
              <w:t>1862.1</w:t>
            </w:r>
          </w:p>
        </w:tc>
        <w:tc>
          <w:tcPr>
            <w:tcW w:w="1072" w:type="dxa"/>
          </w:tcPr>
          <w:p w:rsidR="0035742C" w:rsidRDefault="004B34B0" w:rsidP="0035742C">
            <w:pPr>
              <w:cnfStyle w:val="000000000000" w:firstRow="0" w:lastRow="0" w:firstColumn="0" w:lastColumn="0" w:oddVBand="0" w:evenVBand="0" w:oddHBand="0" w:evenHBand="0" w:firstRowFirstColumn="0" w:firstRowLastColumn="0" w:lastRowFirstColumn="0" w:lastRowLastColumn="0"/>
            </w:pPr>
            <w:r>
              <w:t>2066.6</w:t>
            </w:r>
          </w:p>
        </w:tc>
      </w:tr>
      <w:tr w:rsidR="0035742C" w:rsidTr="002966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35742C" w:rsidRPr="0035742C" w:rsidRDefault="0035742C" w:rsidP="0035742C">
            <w:r>
              <w:t>Capital expenditure</w:t>
            </w:r>
            <w:r>
              <w:rPr>
                <w:rStyle w:val="AERsuperscript"/>
              </w:rPr>
              <w:t>a</w:t>
            </w:r>
          </w:p>
        </w:tc>
        <w:tc>
          <w:tcPr>
            <w:tcW w:w="1134" w:type="dxa"/>
          </w:tcPr>
          <w:p w:rsidR="0035742C" w:rsidRDefault="004B34B0" w:rsidP="0035742C">
            <w:pPr>
              <w:cnfStyle w:val="000000010000" w:firstRow="0" w:lastRow="0" w:firstColumn="0" w:lastColumn="0" w:oddVBand="0" w:evenVBand="0" w:oddHBand="0" w:evenHBand="1" w:firstRowFirstColumn="0" w:firstRowLastColumn="0" w:lastRowFirstColumn="0" w:lastRowLastColumn="0"/>
            </w:pPr>
            <w:r>
              <w:t>235.4</w:t>
            </w:r>
          </w:p>
        </w:tc>
        <w:tc>
          <w:tcPr>
            <w:tcW w:w="1134" w:type="dxa"/>
          </w:tcPr>
          <w:p w:rsidR="0035742C" w:rsidRDefault="004B34B0" w:rsidP="0035742C">
            <w:pPr>
              <w:cnfStyle w:val="000000010000" w:firstRow="0" w:lastRow="0" w:firstColumn="0" w:lastColumn="0" w:oddVBand="0" w:evenVBand="0" w:oddHBand="0" w:evenHBand="1" w:firstRowFirstColumn="0" w:firstRowLastColumn="0" w:lastRowFirstColumn="0" w:lastRowLastColumn="0"/>
            </w:pPr>
            <w:r>
              <w:t>276.1</w:t>
            </w:r>
          </w:p>
        </w:tc>
        <w:tc>
          <w:tcPr>
            <w:tcW w:w="1134" w:type="dxa"/>
          </w:tcPr>
          <w:p w:rsidR="0035742C" w:rsidRDefault="004B34B0" w:rsidP="0035742C">
            <w:pPr>
              <w:cnfStyle w:val="000000010000" w:firstRow="0" w:lastRow="0" w:firstColumn="0" w:lastColumn="0" w:oddVBand="0" w:evenVBand="0" w:oddHBand="0" w:evenHBand="1" w:firstRowFirstColumn="0" w:firstRowLastColumn="0" w:lastRowFirstColumn="0" w:lastRowLastColumn="0"/>
            </w:pPr>
            <w:r>
              <w:t>340.3</w:t>
            </w:r>
          </w:p>
        </w:tc>
        <w:tc>
          <w:tcPr>
            <w:tcW w:w="1134" w:type="dxa"/>
          </w:tcPr>
          <w:p w:rsidR="0035742C" w:rsidRDefault="004B34B0" w:rsidP="0035742C">
            <w:pPr>
              <w:cnfStyle w:val="000000010000" w:firstRow="0" w:lastRow="0" w:firstColumn="0" w:lastColumn="0" w:oddVBand="0" w:evenVBand="0" w:oddHBand="0" w:evenHBand="1" w:firstRowFirstColumn="0" w:firstRowLastColumn="0" w:lastRowFirstColumn="0" w:lastRowLastColumn="0"/>
            </w:pPr>
            <w:r>
              <w:t>216.4</w:t>
            </w:r>
          </w:p>
        </w:tc>
        <w:tc>
          <w:tcPr>
            <w:tcW w:w="1072" w:type="dxa"/>
          </w:tcPr>
          <w:p w:rsidR="0035742C" w:rsidRDefault="004B34B0" w:rsidP="0035742C">
            <w:pPr>
              <w:cnfStyle w:val="000000010000" w:firstRow="0" w:lastRow="0" w:firstColumn="0" w:lastColumn="0" w:oddVBand="0" w:evenVBand="0" w:oddHBand="0" w:evenHBand="1" w:firstRowFirstColumn="0" w:firstRowLastColumn="0" w:lastRowFirstColumn="0" w:lastRowLastColumn="0"/>
            </w:pPr>
            <w:r>
              <w:t>86.3</w:t>
            </w:r>
          </w:p>
        </w:tc>
      </w:tr>
      <w:tr w:rsidR="0035742C" w:rsidTr="002966E2">
        <w:tc>
          <w:tcPr>
            <w:cnfStyle w:val="001000000000" w:firstRow="0" w:lastRow="0" w:firstColumn="1" w:lastColumn="0" w:oddVBand="0" w:evenVBand="0" w:oddHBand="0" w:evenHBand="0" w:firstRowFirstColumn="0" w:firstRowLastColumn="0" w:lastRowFirstColumn="0" w:lastRowLastColumn="0"/>
            <w:tcW w:w="3085" w:type="dxa"/>
          </w:tcPr>
          <w:p w:rsidR="0035742C" w:rsidRPr="0035742C" w:rsidRDefault="0035742C" w:rsidP="0035742C">
            <w:r>
              <w:t>Inflation indexation on opening RAB</w:t>
            </w:r>
          </w:p>
        </w:tc>
        <w:tc>
          <w:tcPr>
            <w:tcW w:w="1134" w:type="dxa"/>
          </w:tcPr>
          <w:p w:rsidR="0035742C" w:rsidRDefault="004B34B0" w:rsidP="004B34B0">
            <w:pPr>
              <w:cnfStyle w:val="000000000000" w:firstRow="0" w:lastRow="0" w:firstColumn="0" w:lastColumn="0" w:oddVBand="0" w:evenVBand="0" w:oddHBand="0" w:evenHBand="0" w:firstRowFirstColumn="0" w:firstRowLastColumn="0" w:lastRowFirstColumn="0" w:lastRowLastColumn="0"/>
            </w:pPr>
            <w:r>
              <w:t>29.7</w:t>
            </w:r>
          </w:p>
        </w:tc>
        <w:tc>
          <w:tcPr>
            <w:tcW w:w="1134" w:type="dxa"/>
          </w:tcPr>
          <w:p w:rsidR="0035742C" w:rsidRDefault="004B34B0" w:rsidP="0035742C">
            <w:pPr>
              <w:cnfStyle w:val="000000000000" w:firstRow="0" w:lastRow="0" w:firstColumn="0" w:lastColumn="0" w:oddVBand="0" w:evenVBand="0" w:oddHBand="0" w:evenHBand="0" w:firstRowFirstColumn="0" w:firstRowLastColumn="0" w:lastRowFirstColumn="0" w:lastRowLastColumn="0"/>
            </w:pPr>
            <w:r>
              <w:t>42.1</w:t>
            </w:r>
          </w:p>
        </w:tc>
        <w:tc>
          <w:tcPr>
            <w:tcW w:w="1134" w:type="dxa"/>
          </w:tcPr>
          <w:p w:rsidR="0035742C" w:rsidRDefault="004B34B0" w:rsidP="0035742C">
            <w:pPr>
              <w:cnfStyle w:val="000000000000" w:firstRow="0" w:lastRow="0" w:firstColumn="0" w:lastColumn="0" w:oddVBand="0" w:evenVBand="0" w:oddHBand="0" w:evenHBand="0" w:firstRowFirstColumn="0" w:firstRowLastColumn="0" w:lastRowFirstColumn="0" w:lastRowLastColumn="0"/>
            </w:pPr>
            <w:r>
              <w:t>24.5</w:t>
            </w:r>
          </w:p>
        </w:tc>
        <w:tc>
          <w:tcPr>
            <w:tcW w:w="1134" w:type="dxa"/>
          </w:tcPr>
          <w:p w:rsidR="0035742C" w:rsidRDefault="004B34B0" w:rsidP="0035742C">
            <w:pPr>
              <w:cnfStyle w:val="000000000000" w:firstRow="0" w:lastRow="0" w:firstColumn="0" w:lastColumn="0" w:oddVBand="0" w:evenVBand="0" w:oddHBand="0" w:evenHBand="0" w:firstRowFirstColumn="0" w:firstRowLastColumn="0" w:lastRowFirstColumn="0" w:lastRowLastColumn="0"/>
            </w:pPr>
            <w:r>
              <w:t>46.6</w:t>
            </w:r>
          </w:p>
        </w:tc>
        <w:tc>
          <w:tcPr>
            <w:tcW w:w="1072" w:type="dxa"/>
          </w:tcPr>
          <w:p w:rsidR="0035742C" w:rsidRDefault="004B34B0" w:rsidP="0035742C">
            <w:pPr>
              <w:cnfStyle w:val="000000000000" w:firstRow="0" w:lastRow="0" w:firstColumn="0" w:lastColumn="0" w:oddVBand="0" w:evenVBand="0" w:oddHBand="0" w:evenHBand="0" w:firstRowFirstColumn="0" w:firstRowLastColumn="0" w:lastRowFirstColumn="0" w:lastRowLastColumn="0"/>
            </w:pPr>
            <w:r>
              <w:t>60.5</w:t>
            </w:r>
          </w:p>
        </w:tc>
      </w:tr>
      <w:tr w:rsidR="004B34B0" w:rsidTr="002966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4B34B0" w:rsidRPr="004B34B0" w:rsidRDefault="004B34B0" w:rsidP="004B34B0">
            <w:r w:rsidRPr="0035742C">
              <w:rPr>
                <w:rStyle w:val="AERtextitalic"/>
              </w:rPr>
              <w:t>Less:</w:t>
            </w:r>
            <w:r w:rsidRPr="004B34B0">
              <w:t xml:space="preserve"> straight-line depreciation</w:t>
            </w:r>
          </w:p>
        </w:tc>
        <w:tc>
          <w:tcPr>
            <w:tcW w:w="1134" w:type="dxa"/>
          </w:tcPr>
          <w:p w:rsidR="004B34B0" w:rsidRPr="004B34B0" w:rsidRDefault="004B34B0" w:rsidP="004B34B0">
            <w:pPr>
              <w:cnfStyle w:val="000000010000" w:firstRow="0" w:lastRow="0" w:firstColumn="0" w:lastColumn="0" w:oddVBand="0" w:evenVBand="0" w:oddHBand="0" w:evenHBand="1" w:firstRowFirstColumn="0" w:firstRowLastColumn="0" w:lastRowFirstColumn="0" w:lastRowLastColumn="0"/>
            </w:pPr>
            <w:r>
              <w:t>29.5</w:t>
            </w:r>
          </w:p>
        </w:tc>
        <w:tc>
          <w:tcPr>
            <w:tcW w:w="1134" w:type="dxa"/>
          </w:tcPr>
          <w:p w:rsidR="004B34B0" w:rsidRPr="004B34B0" w:rsidRDefault="004B34B0" w:rsidP="004B34B0">
            <w:pPr>
              <w:cnfStyle w:val="000000010000" w:firstRow="0" w:lastRow="0" w:firstColumn="0" w:lastColumn="0" w:oddVBand="0" w:evenVBand="0" w:oddHBand="0" w:evenHBand="1" w:firstRowFirstColumn="0" w:firstRowLastColumn="0" w:lastRowFirstColumn="0" w:lastRowLastColumn="0"/>
            </w:pPr>
            <w:r>
              <w:t>37.5</w:t>
            </w:r>
          </w:p>
        </w:tc>
        <w:tc>
          <w:tcPr>
            <w:tcW w:w="1134" w:type="dxa"/>
          </w:tcPr>
          <w:p w:rsidR="004B34B0" w:rsidRPr="004B34B0" w:rsidRDefault="004B34B0" w:rsidP="004B34B0">
            <w:pPr>
              <w:cnfStyle w:val="000000010000" w:firstRow="0" w:lastRow="0" w:firstColumn="0" w:lastColumn="0" w:oddVBand="0" w:evenVBand="0" w:oddHBand="0" w:evenHBand="1" w:firstRowFirstColumn="0" w:firstRowLastColumn="0" w:lastRowFirstColumn="0" w:lastRowLastColumn="0"/>
            </w:pPr>
            <w:r>
              <w:t>47.5</w:t>
            </w:r>
          </w:p>
        </w:tc>
        <w:tc>
          <w:tcPr>
            <w:tcW w:w="1134" w:type="dxa"/>
          </w:tcPr>
          <w:p w:rsidR="004B34B0" w:rsidRPr="004B34B0" w:rsidRDefault="004B34B0" w:rsidP="004B34B0">
            <w:pPr>
              <w:cnfStyle w:val="000000010000" w:firstRow="0" w:lastRow="0" w:firstColumn="0" w:lastColumn="0" w:oddVBand="0" w:evenVBand="0" w:oddHBand="0" w:evenHBand="1" w:firstRowFirstColumn="0" w:firstRowLastColumn="0" w:lastRowFirstColumn="0" w:lastRowLastColumn="0"/>
            </w:pPr>
            <w:r>
              <w:t>58.5</w:t>
            </w:r>
          </w:p>
        </w:tc>
        <w:tc>
          <w:tcPr>
            <w:tcW w:w="1072" w:type="dxa"/>
          </w:tcPr>
          <w:p w:rsidR="004B34B0" w:rsidRPr="004B34B0" w:rsidRDefault="004B34B0" w:rsidP="004B34B0">
            <w:pPr>
              <w:cnfStyle w:val="000000010000" w:firstRow="0" w:lastRow="0" w:firstColumn="0" w:lastColumn="0" w:oddVBand="0" w:evenVBand="0" w:oddHBand="0" w:evenHBand="1" w:firstRowFirstColumn="0" w:firstRowLastColumn="0" w:lastRowFirstColumn="0" w:lastRowLastColumn="0"/>
            </w:pPr>
            <w:r>
              <w:t>63.3</w:t>
            </w:r>
          </w:p>
        </w:tc>
      </w:tr>
      <w:tr w:rsidR="004B34B0" w:rsidTr="002966E2">
        <w:tc>
          <w:tcPr>
            <w:cnfStyle w:val="001000000000" w:firstRow="0" w:lastRow="0" w:firstColumn="1" w:lastColumn="0" w:oddVBand="0" w:evenVBand="0" w:oddHBand="0" w:evenHBand="0" w:firstRowFirstColumn="0" w:firstRowLastColumn="0" w:lastRowFirstColumn="0" w:lastRowLastColumn="0"/>
            <w:tcW w:w="3085" w:type="dxa"/>
          </w:tcPr>
          <w:p w:rsidR="004B34B0" w:rsidRPr="004B34B0" w:rsidRDefault="004B34B0" w:rsidP="004B34B0">
            <w:r>
              <w:t>Closing RAB</w:t>
            </w:r>
          </w:p>
        </w:tc>
        <w:tc>
          <w:tcPr>
            <w:tcW w:w="1134" w:type="dxa"/>
          </w:tcPr>
          <w:p w:rsidR="004B34B0" w:rsidRDefault="004B34B0" w:rsidP="004B34B0">
            <w:pPr>
              <w:cnfStyle w:val="000000000000" w:firstRow="0" w:lastRow="0" w:firstColumn="0" w:lastColumn="0" w:oddVBand="0" w:evenVBand="0" w:oddHBand="0" w:evenHBand="0" w:firstRowFirstColumn="0" w:firstRowLastColumn="0" w:lastRowFirstColumn="0" w:lastRowLastColumn="0"/>
            </w:pPr>
            <w:r>
              <w:t>1264.1</w:t>
            </w:r>
          </w:p>
        </w:tc>
        <w:tc>
          <w:tcPr>
            <w:tcW w:w="1134" w:type="dxa"/>
          </w:tcPr>
          <w:p w:rsidR="004B34B0" w:rsidRDefault="004B34B0" w:rsidP="004B34B0">
            <w:pPr>
              <w:cnfStyle w:val="000000000000" w:firstRow="0" w:lastRow="0" w:firstColumn="0" w:lastColumn="0" w:oddVBand="0" w:evenVBand="0" w:oddHBand="0" w:evenHBand="0" w:firstRowFirstColumn="0" w:firstRowLastColumn="0" w:lastRowFirstColumn="0" w:lastRowLastColumn="0"/>
            </w:pPr>
            <w:r>
              <w:t>1544.8</w:t>
            </w:r>
          </w:p>
        </w:tc>
        <w:tc>
          <w:tcPr>
            <w:tcW w:w="1134" w:type="dxa"/>
          </w:tcPr>
          <w:p w:rsidR="004B34B0" w:rsidRDefault="004B34B0" w:rsidP="004B34B0">
            <w:pPr>
              <w:cnfStyle w:val="000000000000" w:firstRow="0" w:lastRow="0" w:firstColumn="0" w:lastColumn="0" w:oddVBand="0" w:evenVBand="0" w:oddHBand="0" w:evenHBand="0" w:firstRowFirstColumn="0" w:firstRowLastColumn="0" w:lastRowFirstColumn="0" w:lastRowLastColumn="0"/>
            </w:pPr>
            <w:r>
              <w:t>1862.1</w:t>
            </w:r>
          </w:p>
        </w:tc>
        <w:tc>
          <w:tcPr>
            <w:tcW w:w="1134" w:type="dxa"/>
          </w:tcPr>
          <w:p w:rsidR="004B34B0" w:rsidRDefault="004B34B0" w:rsidP="004B34B0">
            <w:pPr>
              <w:cnfStyle w:val="000000000000" w:firstRow="0" w:lastRow="0" w:firstColumn="0" w:lastColumn="0" w:oddVBand="0" w:evenVBand="0" w:oddHBand="0" w:evenHBand="0" w:firstRowFirstColumn="0" w:firstRowLastColumn="0" w:lastRowFirstColumn="0" w:lastRowLastColumn="0"/>
            </w:pPr>
            <w:r>
              <w:t>2066.6</w:t>
            </w:r>
          </w:p>
        </w:tc>
        <w:tc>
          <w:tcPr>
            <w:tcW w:w="1072" w:type="dxa"/>
          </w:tcPr>
          <w:p w:rsidR="004B34B0" w:rsidRDefault="004B34B0" w:rsidP="004B34B0">
            <w:pPr>
              <w:cnfStyle w:val="000000000000" w:firstRow="0" w:lastRow="0" w:firstColumn="0" w:lastColumn="0" w:oddVBand="0" w:evenVBand="0" w:oddHBand="0" w:evenHBand="0" w:firstRowFirstColumn="0" w:firstRowLastColumn="0" w:lastRowFirstColumn="0" w:lastRowLastColumn="0"/>
            </w:pPr>
            <w:r>
              <w:t>2150.1</w:t>
            </w:r>
          </w:p>
        </w:tc>
      </w:tr>
      <w:tr w:rsidR="004B34B0" w:rsidTr="002966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4B34B0" w:rsidRPr="004B34B0" w:rsidRDefault="004B34B0" w:rsidP="004B34B0">
            <w:r>
              <w:t>Difference between estimated and actual capex</w:t>
            </w:r>
            <w:r w:rsidR="00E57BBE">
              <w:t xml:space="preserve"> </w:t>
            </w:r>
            <w:r w:rsidR="00E57BBE">
              <w:br/>
            </w:r>
            <w:r>
              <w:t>(1 July 2008 to 30 June 2009)</w:t>
            </w:r>
          </w:p>
        </w:tc>
        <w:tc>
          <w:tcPr>
            <w:tcW w:w="1134" w:type="dxa"/>
          </w:tcPr>
          <w:p w:rsidR="004B34B0" w:rsidRDefault="004B34B0" w:rsidP="004B34B0">
            <w:pPr>
              <w:cnfStyle w:val="000000010000" w:firstRow="0" w:lastRow="0" w:firstColumn="0" w:lastColumn="0" w:oddVBand="0" w:evenVBand="0" w:oddHBand="0" w:evenHBand="1" w:firstRowFirstColumn="0" w:firstRowLastColumn="0" w:lastRowFirstColumn="0" w:lastRowLastColumn="0"/>
            </w:pPr>
          </w:p>
        </w:tc>
        <w:tc>
          <w:tcPr>
            <w:tcW w:w="1134" w:type="dxa"/>
          </w:tcPr>
          <w:p w:rsidR="004B34B0" w:rsidRDefault="004B34B0" w:rsidP="004B34B0">
            <w:pPr>
              <w:cnfStyle w:val="000000010000" w:firstRow="0" w:lastRow="0" w:firstColumn="0" w:lastColumn="0" w:oddVBand="0" w:evenVBand="0" w:oddHBand="0" w:evenHBand="1" w:firstRowFirstColumn="0" w:firstRowLastColumn="0" w:lastRowFirstColumn="0" w:lastRowLastColumn="0"/>
            </w:pPr>
          </w:p>
        </w:tc>
        <w:tc>
          <w:tcPr>
            <w:tcW w:w="1134" w:type="dxa"/>
          </w:tcPr>
          <w:p w:rsidR="004B34B0" w:rsidRDefault="004B34B0" w:rsidP="004B34B0">
            <w:pPr>
              <w:cnfStyle w:val="000000010000" w:firstRow="0" w:lastRow="0" w:firstColumn="0" w:lastColumn="0" w:oddVBand="0" w:evenVBand="0" w:oddHBand="0" w:evenHBand="1" w:firstRowFirstColumn="0" w:firstRowLastColumn="0" w:lastRowFirstColumn="0" w:lastRowLastColumn="0"/>
            </w:pPr>
          </w:p>
        </w:tc>
        <w:tc>
          <w:tcPr>
            <w:tcW w:w="1134" w:type="dxa"/>
          </w:tcPr>
          <w:p w:rsidR="004B34B0" w:rsidRDefault="004B34B0" w:rsidP="004B34B0">
            <w:pPr>
              <w:cnfStyle w:val="000000010000" w:firstRow="0" w:lastRow="0" w:firstColumn="0" w:lastColumn="0" w:oddVBand="0" w:evenVBand="0" w:oddHBand="0" w:evenHBand="1" w:firstRowFirstColumn="0" w:firstRowLastColumn="0" w:lastRowFirstColumn="0" w:lastRowLastColumn="0"/>
            </w:pPr>
          </w:p>
        </w:tc>
        <w:tc>
          <w:tcPr>
            <w:tcW w:w="1072" w:type="dxa"/>
          </w:tcPr>
          <w:p w:rsidR="004B34B0" w:rsidRDefault="00E57BBE" w:rsidP="004B34B0">
            <w:pPr>
              <w:cnfStyle w:val="000000010000" w:firstRow="0" w:lastRow="0" w:firstColumn="0" w:lastColumn="0" w:oddVBand="0" w:evenVBand="0" w:oddHBand="0" w:evenHBand="1" w:firstRowFirstColumn="0" w:firstRowLastColumn="0" w:lastRowFirstColumn="0" w:lastRowLastColumn="0"/>
            </w:pPr>
            <w:r>
              <w:t>–</w:t>
            </w:r>
            <w:r w:rsidR="004B34B0">
              <w:t>64.7</w:t>
            </w:r>
          </w:p>
        </w:tc>
      </w:tr>
      <w:tr w:rsidR="004B34B0" w:rsidTr="002966E2">
        <w:tc>
          <w:tcPr>
            <w:cnfStyle w:val="001000000000" w:firstRow="0" w:lastRow="0" w:firstColumn="1" w:lastColumn="0" w:oddVBand="0" w:evenVBand="0" w:oddHBand="0" w:evenHBand="0" w:firstRowFirstColumn="0" w:firstRowLastColumn="0" w:lastRowFirstColumn="0" w:lastRowLastColumn="0"/>
            <w:tcW w:w="3085" w:type="dxa"/>
          </w:tcPr>
          <w:p w:rsidR="004B34B0" w:rsidRPr="004B34B0" w:rsidRDefault="004B34B0" w:rsidP="004B34B0">
            <w:r>
              <w:t>Return on difference for 2008-09 capex</w:t>
            </w:r>
          </w:p>
        </w:tc>
        <w:tc>
          <w:tcPr>
            <w:tcW w:w="1134" w:type="dxa"/>
          </w:tcPr>
          <w:p w:rsidR="004B34B0" w:rsidRDefault="004B34B0" w:rsidP="004B34B0">
            <w:pPr>
              <w:cnfStyle w:val="000000000000" w:firstRow="0" w:lastRow="0" w:firstColumn="0" w:lastColumn="0" w:oddVBand="0" w:evenVBand="0" w:oddHBand="0" w:evenHBand="0" w:firstRowFirstColumn="0" w:firstRowLastColumn="0" w:lastRowFirstColumn="0" w:lastRowLastColumn="0"/>
            </w:pPr>
            <w:r>
              <w:t xml:space="preserve"> </w:t>
            </w:r>
          </w:p>
        </w:tc>
        <w:tc>
          <w:tcPr>
            <w:tcW w:w="1134" w:type="dxa"/>
          </w:tcPr>
          <w:p w:rsidR="004B34B0" w:rsidRDefault="004B34B0" w:rsidP="004B34B0">
            <w:pPr>
              <w:cnfStyle w:val="000000000000" w:firstRow="0" w:lastRow="0" w:firstColumn="0" w:lastColumn="0" w:oddVBand="0" w:evenVBand="0" w:oddHBand="0" w:evenHBand="0" w:firstRowFirstColumn="0" w:firstRowLastColumn="0" w:lastRowFirstColumn="0" w:lastRowLastColumn="0"/>
            </w:pPr>
          </w:p>
        </w:tc>
        <w:tc>
          <w:tcPr>
            <w:tcW w:w="1134" w:type="dxa"/>
          </w:tcPr>
          <w:p w:rsidR="004B34B0" w:rsidRDefault="004B34B0" w:rsidP="004B34B0">
            <w:pPr>
              <w:cnfStyle w:val="000000000000" w:firstRow="0" w:lastRow="0" w:firstColumn="0" w:lastColumn="0" w:oddVBand="0" w:evenVBand="0" w:oddHBand="0" w:evenHBand="0" w:firstRowFirstColumn="0" w:firstRowLastColumn="0" w:lastRowFirstColumn="0" w:lastRowLastColumn="0"/>
            </w:pPr>
          </w:p>
        </w:tc>
        <w:tc>
          <w:tcPr>
            <w:tcW w:w="1134" w:type="dxa"/>
          </w:tcPr>
          <w:p w:rsidR="004B34B0" w:rsidRDefault="004B34B0" w:rsidP="004B34B0">
            <w:pPr>
              <w:cnfStyle w:val="000000000000" w:firstRow="0" w:lastRow="0" w:firstColumn="0" w:lastColumn="0" w:oddVBand="0" w:evenVBand="0" w:oddHBand="0" w:evenHBand="0" w:firstRowFirstColumn="0" w:firstRowLastColumn="0" w:lastRowFirstColumn="0" w:lastRowLastColumn="0"/>
            </w:pPr>
          </w:p>
        </w:tc>
        <w:tc>
          <w:tcPr>
            <w:tcW w:w="1072" w:type="dxa"/>
          </w:tcPr>
          <w:p w:rsidR="004B34B0" w:rsidRDefault="00E57BBE" w:rsidP="00E57BBE">
            <w:pPr>
              <w:cnfStyle w:val="000000000000" w:firstRow="0" w:lastRow="0" w:firstColumn="0" w:lastColumn="0" w:oddVBand="0" w:evenVBand="0" w:oddHBand="0" w:evenHBand="0" w:firstRowFirstColumn="0" w:firstRowLastColumn="0" w:lastRowFirstColumn="0" w:lastRowLastColumn="0"/>
            </w:pPr>
            <w:r>
              <w:t>–</w:t>
            </w:r>
            <w:r w:rsidR="004B34B0">
              <w:t>40.5</w:t>
            </w:r>
          </w:p>
        </w:tc>
      </w:tr>
      <w:tr w:rsidR="004B34B0" w:rsidTr="002966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4B34B0" w:rsidRPr="004B34B0" w:rsidRDefault="004B34B0" w:rsidP="004B34B0">
            <w:r>
              <w:t>Closing RAB as a</w:t>
            </w:r>
            <w:r w:rsidRPr="004B34B0">
              <w:t>t 30 June 2014</w:t>
            </w:r>
          </w:p>
        </w:tc>
        <w:tc>
          <w:tcPr>
            <w:tcW w:w="1134" w:type="dxa"/>
          </w:tcPr>
          <w:p w:rsidR="004B34B0" w:rsidRDefault="004B34B0" w:rsidP="004B34B0">
            <w:pPr>
              <w:cnfStyle w:val="000000010000" w:firstRow="0" w:lastRow="0" w:firstColumn="0" w:lastColumn="0" w:oddVBand="0" w:evenVBand="0" w:oddHBand="0" w:evenHBand="1" w:firstRowFirstColumn="0" w:firstRowLastColumn="0" w:lastRowFirstColumn="0" w:lastRowLastColumn="0"/>
            </w:pPr>
          </w:p>
        </w:tc>
        <w:tc>
          <w:tcPr>
            <w:tcW w:w="1134" w:type="dxa"/>
          </w:tcPr>
          <w:p w:rsidR="004B34B0" w:rsidRDefault="004B34B0" w:rsidP="004B34B0">
            <w:pPr>
              <w:cnfStyle w:val="000000010000" w:firstRow="0" w:lastRow="0" w:firstColumn="0" w:lastColumn="0" w:oddVBand="0" w:evenVBand="0" w:oddHBand="0" w:evenHBand="1" w:firstRowFirstColumn="0" w:firstRowLastColumn="0" w:lastRowFirstColumn="0" w:lastRowLastColumn="0"/>
            </w:pPr>
          </w:p>
        </w:tc>
        <w:tc>
          <w:tcPr>
            <w:tcW w:w="1134" w:type="dxa"/>
          </w:tcPr>
          <w:p w:rsidR="004B34B0" w:rsidRDefault="004B34B0" w:rsidP="004B34B0">
            <w:pPr>
              <w:cnfStyle w:val="000000010000" w:firstRow="0" w:lastRow="0" w:firstColumn="0" w:lastColumn="0" w:oddVBand="0" w:evenVBand="0" w:oddHBand="0" w:evenHBand="1" w:firstRowFirstColumn="0" w:firstRowLastColumn="0" w:lastRowFirstColumn="0" w:lastRowLastColumn="0"/>
            </w:pPr>
          </w:p>
        </w:tc>
        <w:tc>
          <w:tcPr>
            <w:tcW w:w="1134" w:type="dxa"/>
          </w:tcPr>
          <w:p w:rsidR="004B34B0" w:rsidRDefault="004B34B0" w:rsidP="004B34B0">
            <w:pPr>
              <w:cnfStyle w:val="000000010000" w:firstRow="0" w:lastRow="0" w:firstColumn="0" w:lastColumn="0" w:oddVBand="0" w:evenVBand="0" w:oddHBand="0" w:evenHBand="1" w:firstRowFirstColumn="0" w:firstRowLastColumn="0" w:lastRowFirstColumn="0" w:lastRowLastColumn="0"/>
            </w:pPr>
          </w:p>
        </w:tc>
        <w:tc>
          <w:tcPr>
            <w:tcW w:w="1072" w:type="dxa"/>
          </w:tcPr>
          <w:p w:rsidR="004B34B0" w:rsidRDefault="004B34B0" w:rsidP="004B34B0">
            <w:pPr>
              <w:cnfStyle w:val="000000010000" w:firstRow="0" w:lastRow="0" w:firstColumn="0" w:lastColumn="0" w:oddVBand="0" w:evenVBand="0" w:oddHBand="0" w:evenHBand="1" w:firstRowFirstColumn="0" w:firstRowLastColumn="0" w:lastRowFirstColumn="0" w:lastRowLastColumn="0"/>
            </w:pPr>
            <w:r>
              <w:t>2045.0</w:t>
            </w:r>
          </w:p>
        </w:tc>
      </w:tr>
      <w:tr w:rsidR="004B34B0" w:rsidTr="002966E2">
        <w:tc>
          <w:tcPr>
            <w:cnfStyle w:val="001000000000" w:firstRow="0" w:lastRow="0" w:firstColumn="1" w:lastColumn="0" w:oddVBand="0" w:evenVBand="0" w:oddHBand="0" w:evenHBand="0" w:firstRowFirstColumn="0" w:firstRowLastColumn="0" w:lastRowFirstColumn="0" w:lastRowLastColumn="0"/>
            <w:tcW w:w="3085" w:type="dxa"/>
          </w:tcPr>
          <w:p w:rsidR="004B34B0" w:rsidRPr="004B34B0" w:rsidRDefault="004B34B0" w:rsidP="004B34B0">
            <w:r>
              <w:t>Dual function assets moved from transmission to distribution</w:t>
            </w:r>
          </w:p>
        </w:tc>
        <w:tc>
          <w:tcPr>
            <w:tcW w:w="1134" w:type="dxa"/>
          </w:tcPr>
          <w:p w:rsidR="004B34B0" w:rsidRDefault="004B34B0" w:rsidP="004B34B0">
            <w:pPr>
              <w:cnfStyle w:val="000000000000" w:firstRow="0" w:lastRow="0" w:firstColumn="0" w:lastColumn="0" w:oddVBand="0" w:evenVBand="0" w:oddHBand="0" w:evenHBand="0" w:firstRowFirstColumn="0" w:firstRowLastColumn="0" w:lastRowFirstColumn="0" w:lastRowLastColumn="0"/>
            </w:pPr>
          </w:p>
        </w:tc>
        <w:tc>
          <w:tcPr>
            <w:tcW w:w="1134" w:type="dxa"/>
          </w:tcPr>
          <w:p w:rsidR="004B34B0" w:rsidRDefault="004B34B0" w:rsidP="004B34B0">
            <w:pPr>
              <w:cnfStyle w:val="000000000000" w:firstRow="0" w:lastRow="0" w:firstColumn="0" w:lastColumn="0" w:oddVBand="0" w:evenVBand="0" w:oddHBand="0" w:evenHBand="0" w:firstRowFirstColumn="0" w:firstRowLastColumn="0" w:lastRowFirstColumn="0" w:lastRowLastColumn="0"/>
            </w:pPr>
          </w:p>
        </w:tc>
        <w:tc>
          <w:tcPr>
            <w:tcW w:w="1134" w:type="dxa"/>
          </w:tcPr>
          <w:p w:rsidR="004B34B0" w:rsidRDefault="004B34B0" w:rsidP="004B34B0">
            <w:pPr>
              <w:cnfStyle w:val="000000000000" w:firstRow="0" w:lastRow="0" w:firstColumn="0" w:lastColumn="0" w:oddVBand="0" w:evenVBand="0" w:oddHBand="0" w:evenHBand="0" w:firstRowFirstColumn="0" w:firstRowLastColumn="0" w:lastRowFirstColumn="0" w:lastRowLastColumn="0"/>
            </w:pPr>
          </w:p>
        </w:tc>
        <w:tc>
          <w:tcPr>
            <w:tcW w:w="1134" w:type="dxa"/>
          </w:tcPr>
          <w:p w:rsidR="004B34B0" w:rsidRDefault="004B34B0" w:rsidP="004B34B0">
            <w:pPr>
              <w:cnfStyle w:val="000000000000" w:firstRow="0" w:lastRow="0" w:firstColumn="0" w:lastColumn="0" w:oddVBand="0" w:evenVBand="0" w:oddHBand="0" w:evenHBand="0" w:firstRowFirstColumn="0" w:firstRowLastColumn="0" w:lastRowFirstColumn="0" w:lastRowLastColumn="0"/>
            </w:pPr>
          </w:p>
        </w:tc>
        <w:tc>
          <w:tcPr>
            <w:tcW w:w="1072" w:type="dxa"/>
          </w:tcPr>
          <w:p w:rsidR="004B34B0" w:rsidRDefault="00E57BBE" w:rsidP="00E57BBE">
            <w:pPr>
              <w:cnfStyle w:val="000000000000" w:firstRow="0" w:lastRow="0" w:firstColumn="0" w:lastColumn="0" w:oddVBand="0" w:evenVBand="0" w:oddHBand="0" w:evenHBand="0" w:firstRowFirstColumn="0" w:firstRowLastColumn="0" w:lastRowFirstColumn="0" w:lastRowLastColumn="0"/>
            </w:pPr>
            <w:r>
              <w:t>–</w:t>
            </w:r>
            <w:r w:rsidR="004B34B0">
              <w:t>9.2</w:t>
            </w:r>
          </w:p>
        </w:tc>
      </w:tr>
      <w:tr w:rsidR="004B34B0" w:rsidRPr="00E57BBE" w:rsidTr="002966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4B34B0" w:rsidRPr="005C78F1" w:rsidRDefault="004B34B0" w:rsidP="004B34B0">
            <w:pPr>
              <w:rPr>
                <w:rStyle w:val="Strong"/>
              </w:rPr>
            </w:pPr>
            <w:r w:rsidRPr="005C78F1">
              <w:rPr>
                <w:rStyle w:val="Strong"/>
              </w:rPr>
              <w:t>Opening RAB as at 1 July 2014</w:t>
            </w:r>
          </w:p>
        </w:tc>
        <w:tc>
          <w:tcPr>
            <w:tcW w:w="1134" w:type="dxa"/>
          </w:tcPr>
          <w:p w:rsidR="004B34B0" w:rsidRPr="005C78F1" w:rsidRDefault="004B34B0" w:rsidP="004B34B0">
            <w:pPr>
              <w:cnfStyle w:val="000000010000" w:firstRow="0" w:lastRow="0" w:firstColumn="0" w:lastColumn="0" w:oddVBand="0" w:evenVBand="0" w:oddHBand="0" w:evenHBand="1" w:firstRowFirstColumn="0" w:firstRowLastColumn="0" w:lastRowFirstColumn="0" w:lastRowLastColumn="0"/>
              <w:rPr>
                <w:rStyle w:val="Strong"/>
              </w:rPr>
            </w:pPr>
          </w:p>
        </w:tc>
        <w:tc>
          <w:tcPr>
            <w:tcW w:w="1134" w:type="dxa"/>
          </w:tcPr>
          <w:p w:rsidR="004B34B0" w:rsidRPr="005C78F1" w:rsidRDefault="004B34B0" w:rsidP="004B34B0">
            <w:pPr>
              <w:cnfStyle w:val="000000010000" w:firstRow="0" w:lastRow="0" w:firstColumn="0" w:lastColumn="0" w:oddVBand="0" w:evenVBand="0" w:oddHBand="0" w:evenHBand="1" w:firstRowFirstColumn="0" w:firstRowLastColumn="0" w:lastRowFirstColumn="0" w:lastRowLastColumn="0"/>
              <w:rPr>
                <w:rStyle w:val="Strong"/>
              </w:rPr>
            </w:pPr>
          </w:p>
        </w:tc>
        <w:tc>
          <w:tcPr>
            <w:tcW w:w="1134" w:type="dxa"/>
          </w:tcPr>
          <w:p w:rsidR="004B34B0" w:rsidRPr="005C78F1" w:rsidRDefault="004B34B0" w:rsidP="004B34B0">
            <w:pPr>
              <w:cnfStyle w:val="000000010000" w:firstRow="0" w:lastRow="0" w:firstColumn="0" w:lastColumn="0" w:oddVBand="0" w:evenVBand="0" w:oddHBand="0" w:evenHBand="1" w:firstRowFirstColumn="0" w:firstRowLastColumn="0" w:lastRowFirstColumn="0" w:lastRowLastColumn="0"/>
              <w:rPr>
                <w:rStyle w:val="Strong"/>
              </w:rPr>
            </w:pPr>
          </w:p>
        </w:tc>
        <w:tc>
          <w:tcPr>
            <w:tcW w:w="1134" w:type="dxa"/>
          </w:tcPr>
          <w:p w:rsidR="004B34B0" w:rsidRPr="005C78F1" w:rsidRDefault="004B34B0" w:rsidP="004B34B0">
            <w:pPr>
              <w:cnfStyle w:val="000000010000" w:firstRow="0" w:lastRow="0" w:firstColumn="0" w:lastColumn="0" w:oddVBand="0" w:evenVBand="0" w:oddHBand="0" w:evenHBand="1" w:firstRowFirstColumn="0" w:firstRowLastColumn="0" w:lastRowFirstColumn="0" w:lastRowLastColumn="0"/>
              <w:rPr>
                <w:rStyle w:val="Strong"/>
              </w:rPr>
            </w:pPr>
          </w:p>
        </w:tc>
        <w:tc>
          <w:tcPr>
            <w:tcW w:w="1072" w:type="dxa"/>
          </w:tcPr>
          <w:p w:rsidR="004B34B0" w:rsidRPr="005C78F1" w:rsidRDefault="004B34B0" w:rsidP="004B34B0">
            <w:pPr>
              <w:cnfStyle w:val="000000010000" w:firstRow="0" w:lastRow="0" w:firstColumn="0" w:lastColumn="0" w:oddVBand="0" w:evenVBand="0" w:oddHBand="0" w:evenHBand="1" w:firstRowFirstColumn="0" w:firstRowLastColumn="0" w:lastRowFirstColumn="0" w:lastRowLastColumn="0"/>
              <w:rPr>
                <w:rStyle w:val="Strong"/>
              </w:rPr>
            </w:pPr>
            <w:r w:rsidRPr="005C78F1">
              <w:rPr>
                <w:rStyle w:val="Strong"/>
              </w:rPr>
              <w:t>2035.7</w:t>
            </w:r>
          </w:p>
        </w:tc>
      </w:tr>
    </w:tbl>
    <w:p w:rsidR="0035742C" w:rsidRDefault="0035742C" w:rsidP="0035742C">
      <w:pPr>
        <w:pStyle w:val="AERtablesource"/>
      </w:pPr>
      <w:r>
        <w:lastRenderedPageBreak/>
        <w:t>Source:</w:t>
      </w:r>
      <w:r>
        <w:tab/>
        <w:t xml:space="preserve">AER analysis. </w:t>
      </w:r>
    </w:p>
    <w:p w:rsidR="0035742C" w:rsidRPr="0035742C" w:rsidRDefault="0035742C" w:rsidP="0035742C">
      <w:pPr>
        <w:pStyle w:val="AERtablesource"/>
      </w:pPr>
      <w:r>
        <w:t>(a)</w:t>
      </w:r>
      <w:r>
        <w:tab/>
      </w:r>
      <w:r w:rsidR="00E57BBE">
        <w:t>N</w:t>
      </w:r>
      <w:r>
        <w:t>et of disposals and capital contributions, and adjusted for CPI.</w:t>
      </w:r>
    </w:p>
    <w:p w:rsidR="00CA062D" w:rsidRDefault="00CA062D" w:rsidP="00CA062D">
      <w:pPr>
        <w:pStyle w:val="Caption"/>
      </w:pPr>
      <w:bookmarkStart w:id="16" w:name="_Ref412818810"/>
      <w:proofErr w:type="gramStart"/>
      <w:r>
        <w:t xml:space="preserve">Table </w:t>
      </w:r>
      <w:proofErr w:type="gramEnd"/>
      <w:r w:rsidR="003604E3">
        <w:fldChar w:fldCharType="begin"/>
      </w:r>
      <w:r w:rsidR="003604E3">
        <w:instrText xml:space="preserve"> STYLEREF 1 \s </w:instrText>
      </w:r>
      <w:r w:rsidR="003604E3">
        <w:fldChar w:fldCharType="separate"/>
      </w:r>
      <w:r w:rsidR="007B36D6">
        <w:rPr>
          <w:noProof/>
        </w:rPr>
        <w:t>2</w:t>
      </w:r>
      <w:r w:rsidR="003604E3">
        <w:rPr>
          <w:noProof/>
        </w:rPr>
        <w:fldChar w:fldCharType="end"/>
      </w:r>
      <w:proofErr w:type="gramStart"/>
      <w:r w:rsidR="007B36D6">
        <w:t>.</w:t>
      </w:r>
      <w:proofErr w:type="gramEnd"/>
      <w:r w:rsidR="0009094F">
        <w:fldChar w:fldCharType="begin"/>
      </w:r>
      <w:r w:rsidR="0009094F">
        <w:instrText xml:space="preserve"> SEQ Table \* ARABIC \s 1 </w:instrText>
      </w:r>
      <w:r w:rsidR="0009094F">
        <w:fldChar w:fldCharType="separate"/>
      </w:r>
      <w:r w:rsidR="007B36D6">
        <w:rPr>
          <w:noProof/>
        </w:rPr>
        <w:t>3</w:t>
      </w:r>
      <w:r w:rsidR="0009094F">
        <w:rPr>
          <w:noProof/>
        </w:rPr>
        <w:fldChar w:fldCharType="end"/>
      </w:r>
      <w:bookmarkEnd w:id="16"/>
      <w:r>
        <w:tab/>
        <w:t xml:space="preserve">AER's final decision on Ausgrid's RAB for the 2014–19 period </w:t>
      </w:r>
      <w:r w:rsidR="00D4289A">
        <w:t>–</w:t>
      </w:r>
      <w:r>
        <w:t xml:space="preserve"> distribution ($ million, nominal)</w:t>
      </w:r>
    </w:p>
    <w:tbl>
      <w:tblPr>
        <w:tblStyle w:val="AERtable-numbers"/>
        <w:tblW w:w="0" w:type="auto"/>
        <w:tblLook w:val="04A0" w:firstRow="1" w:lastRow="0" w:firstColumn="1" w:lastColumn="0" w:noHBand="0" w:noVBand="1"/>
      </w:tblPr>
      <w:tblGrid>
        <w:gridCol w:w="3085"/>
        <w:gridCol w:w="1134"/>
        <w:gridCol w:w="1134"/>
        <w:gridCol w:w="1134"/>
        <w:gridCol w:w="1134"/>
        <w:gridCol w:w="1072"/>
      </w:tblGrid>
      <w:tr w:rsidR="00CA062D" w:rsidTr="0029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CA062D" w:rsidRDefault="00CA062D" w:rsidP="00CA062D"/>
        </w:tc>
        <w:tc>
          <w:tcPr>
            <w:tcW w:w="1134" w:type="dxa"/>
          </w:tcPr>
          <w:p w:rsidR="00CA062D" w:rsidRPr="00CA062D" w:rsidRDefault="00CA062D" w:rsidP="00CA062D">
            <w:pPr>
              <w:cnfStyle w:val="100000000000" w:firstRow="1" w:lastRow="0" w:firstColumn="0" w:lastColumn="0" w:oddVBand="0" w:evenVBand="0" w:oddHBand="0" w:evenHBand="0" w:firstRowFirstColumn="0" w:firstRowLastColumn="0" w:lastRowFirstColumn="0" w:lastRowLastColumn="0"/>
            </w:pPr>
            <w:r>
              <w:t>2014–15</w:t>
            </w:r>
          </w:p>
        </w:tc>
        <w:tc>
          <w:tcPr>
            <w:tcW w:w="1134" w:type="dxa"/>
          </w:tcPr>
          <w:p w:rsidR="00CA062D" w:rsidRPr="00CA062D" w:rsidRDefault="00CA062D" w:rsidP="00CA062D">
            <w:pPr>
              <w:cnfStyle w:val="100000000000" w:firstRow="1" w:lastRow="0" w:firstColumn="0" w:lastColumn="0" w:oddVBand="0" w:evenVBand="0" w:oddHBand="0" w:evenHBand="0" w:firstRowFirstColumn="0" w:firstRowLastColumn="0" w:lastRowFirstColumn="0" w:lastRowLastColumn="0"/>
            </w:pPr>
            <w:r>
              <w:t>2015–16</w:t>
            </w:r>
          </w:p>
        </w:tc>
        <w:tc>
          <w:tcPr>
            <w:tcW w:w="1134" w:type="dxa"/>
          </w:tcPr>
          <w:p w:rsidR="00CA062D" w:rsidRPr="00CA062D" w:rsidRDefault="00CA062D" w:rsidP="00CA062D">
            <w:pPr>
              <w:cnfStyle w:val="100000000000" w:firstRow="1" w:lastRow="0" w:firstColumn="0" w:lastColumn="0" w:oddVBand="0" w:evenVBand="0" w:oddHBand="0" w:evenHBand="0" w:firstRowFirstColumn="0" w:firstRowLastColumn="0" w:lastRowFirstColumn="0" w:lastRowLastColumn="0"/>
            </w:pPr>
            <w:r>
              <w:t>2016–17</w:t>
            </w:r>
          </w:p>
        </w:tc>
        <w:tc>
          <w:tcPr>
            <w:tcW w:w="1134" w:type="dxa"/>
          </w:tcPr>
          <w:p w:rsidR="00CA062D" w:rsidRPr="00CA062D" w:rsidRDefault="00CA062D" w:rsidP="00CA062D">
            <w:pPr>
              <w:cnfStyle w:val="100000000000" w:firstRow="1" w:lastRow="0" w:firstColumn="0" w:lastColumn="0" w:oddVBand="0" w:evenVBand="0" w:oddHBand="0" w:evenHBand="0" w:firstRowFirstColumn="0" w:firstRowLastColumn="0" w:lastRowFirstColumn="0" w:lastRowLastColumn="0"/>
            </w:pPr>
            <w:r>
              <w:t>2017–18</w:t>
            </w:r>
          </w:p>
        </w:tc>
        <w:tc>
          <w:tcPr>
            <w:tcW w:w="1072" w:type="dxa"/>
          </w:tcPr>
          <w:p w:rsidR="00CA062D" w:rsidRPr="00CA062D" w:rsidRDefault="00CA062D" w:rsidP="00CA062D">
            <w:pPr>
              <w:cnfStyle w:val="100000000000" w:firstRow="1" w:lastRow="0" w:firstColumn="0" w:lastColumn="0" w:oddVBand="0" w:evenVBand="0" w:oddHBand="0" w:evenHBand="0" w:firstRowFirstColumn="0" w:firstRowLastColumn="0" w:lastRowFirstColumn="0" w:lastRowLastColumn="0"/>
            </w:pPr>
            <w:r>
              <w:t>2018–19</w:t>
            </w:r>
          </w:p>
        </w:tc>
      </w:tr>
      <w:tr w:rsidR="00643E5C" w:rsidTr="00643E5C">
        <w:tc>
          <w:tcPr>
            <w:cnfStyle w:val="001000000000" w:firstRow="0" w:lastRow="0" w:firstColumn="1" w:lastColumn="0" w:oddVBand="0" w:evenVBand="0" w:oddHBand="0" w:evenHBand="0" w:firstRowFirstColumn="0" w:firstRowLastColumn="0" w:lastRowFirstColumn="0" w:lastRowLastColumn="0"/>
            <w:tcW w:w="3085" w:type="dxa"/>
          </w:tcPr>
          <w:p w:rsidR="00643E5C" w:rsidRPr="00643E5C" w:rsidRDefault="00643E5C" w:rsidP="00643E5C">
            <w:r w:rsidRPr="00643E5C">
              <w:t>Opening RAB</w:t>
            </w:r>
          </w:p>
        </w:tc>
        <w:tc>
          <w:tcPr>
            <w:tcW w:w="1134" w:type="dxa"/>
            <w:vAlign w:val="bottom"/>
          </w:tcPr>
          <w:p w:rsidR="00643E5C" w:rsidRPr="00643E5C" w:rsidRDefault="00643E5C" w:rsidP="00643E5C">
            <w:pPr>
              <w:cnfStyle w:val="000000000000" w:firstRow="0" w:lastRow="0" w:firstColumn="0" w:lastColumn="0" w:oddVBand="0" w:evenVBand="0" w:oddHBand="0" w:evenHBand="0" w:firstRowFirstColumn="0" w:firstRowLastColumn="0" w:lastRowFirstColumn="0" w:lastRowLastColumn="0"/>
            </w:pPr>
            <w:r w:rsidRPr="00643E5C">
              <w:t>12251.7</w:t>
            </w:r>
          </w:p>
        </w:tc>
        <w:tc>
          <w:tcPr>
            <w:tcW w:w="1134" w:type="dxa"/>
            <w:vAlign w:val="bottom"/>
          </w:tcPr>
          <w:p w:rsidR="00643E5C" w:rsidRPr="00643E5C" w:rsidRDefault="00643E5C" w:rsidP="00643E5C">
            <w:pPr>
              <w:cnfStyle w:val="000000000000" w:firstRow="0" w:lastRow="0" w:firstColumn="0" w:lastColumn="0" w:oddVBand="0" w:evenVBand="0" w:oddHBand="0" w:evenHBand="0" w:firstRowFirstColumn="0" w:firstRowLastColumn="0" w:lastRowFirstColumn="0" w:lastRowLastColumn="0"/>
            </w:pPr>
            <w:r w:rsidRPr="00643E5C">
              <w:t>12703.0</w:t>
            </w:r>
          </w:p>
        </w:tc>
        <w:tc>
          <w:tcPr>
            <w:tcW w:w="1134" w:type="dxa"/>
            <w:vAlign w:val="bottom"/>
          </w:tcPr>
          <w:p w:rsidR="00643E5C" w:rsidRPr="00643E5C" w:rsidRDefault="00643E5C" w:rsidP="00643E5C">
            <w:pPr>
              <w:cnfStyle w:val="000000000000" w:firstRow="0" w:lastRow="0" w:firstColumn="0" w:lastColumn="0" w:oddVBand="0" w:evenVBand="0" w:oddHBand="0" w:evenHBand="0" w:firstRowFirstColumn="0" w:firstRowLastColumn="0" w:lastRowFirstColumn="0" w:lastRowLastColumn="0"/>
            </w:pPr>
            <w:r w:rsidRPr="00643E5C">
              <w:t>13169.4</w:t>
            </w:r>
          </w:p>
        </w:tc>
        <w:tc>
          <w:tcPr>
            <w:tcW w:w="1134" w:type="dxa"/>
            <w:vAlign w:val="bottom"/>
          </w:tcPr>
          <w:p w:rsidR="00643E5C" w:rsidRPr="00643E5C" w:rsidRDefault="00643E5C" w:rsidP="00643E5C">
            <w:pPr>
              <w:cnfStyle w:val="000000000000" w:firstRow="0" w:lastRow="0" w:firstColumn="0" w:lastColumn="0" w:oddVBand="0" w:evenVBand="0" w:oddHBand="0" w:evenHBand="0" w:firstRowFirstColumn="0" w:firstRowLastColumn="0" w:lastRowFirstColumn="0" w:lastRowLastColumn="0"/>
            </w:pPr>
            <w:r w:rsidRPr="00643E5C">
              <w:t>13569.9</w:t>
            </w:r>
          </w:p>
        </w:tc>
        <w:tc>
          <w:tcPr>
            <w:tcW w:w="1072" w:type="dxa"/>
            <w:vAlign w:val="bottom"/>
          </w:tcPr>
          <w:p w:rsidR="00643E5C" w:rsidRPr="00643E5C" w:rsidRDefault="00643E5C" w:rsidP="00643E5C">
            <w:pPr>
              <w:cnfStyle w:val="000000000000" w:firstRow="0" w:lastRow="0" w:firstColumn="0" w:lastColumn="0" w:oddVBand="0" w:evenVBand="0" w:oddHBand="0" w:evenHBand="0" w:firstRowFirstColumn="0" w:firstRowLastColumn="0" w:lastRowFirstColumn="0" w:lastRowLastColumn="0"/>
            </w:pPr>
            <w:r w:rsidRPr="00643E5C">
              <w:t>14015.9</w:t>
            </w:r>
          </w:p>
        </w:tc>
      </w:tr>
      <w:tr w:rsidR="00643E5C" w:rsidTr="00643E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643E5C" w:rsidRPr="00643E5C" w:rsidRDefault="00643E5C" w:rsidP="00643E5C">
            <w:r w:rsidRPr="00643E5C">
              <w:t>Capital expenditure</w:t>
            </w:r>
            <w:r w:rsidRPr="00643E5C">
              <w:rPr>
                <w:rStyle w:val="AERsuperscript"/>
              </w:rPr>
              <w:t>a</w:t>
            </w:r>
          </w:p>
        </w:tc>
        <w:tc>
          <w:tcPr>
            <w:tcW w:w="1134" w:type="dxa"/>
            <w:vAlign w:val="bottom"/>
          </w:tcPr>
          <w:p w:rsidR="00643E5C" w:rsidRPr="00643E5C" w:rsidRDefault="00643E5C" w:rsidP="00643E5C">
            <w:pPr>
              <w:cnfStyle w:val="000000010000" w:firstRow="0" w:lastRow="0" w:firstColumn="0" w:lastColumn="0" w:oddVBand="0" w:evenVBand="0" w:oddHBand="0" w:evenHBand="1" w:firstRowFirstColumn="0" w:firstRowLastColumn="0" w:lastRowFirstColumn="0" w:lastRowLastColumn="0"/>
            </w:pPr>
            <w:r w:rsidRPr="00643E5C">
              <w:t>598.0</w:t>
            </w:r>
          </w:p>
        </w:tc>
        <w:tc>
          <w:tcPr>
            <w:tcW w:w="1134" w:type="dxa"/>
            <w:vAlign w:val="bottom"/>
          </w:tcPr>
          <w:p w:rsidR="00643E5C" w:rsidRPr="00643E5C" w:rsidRDefault="00643E5C" w:rsidP="00643E5C">
            <w:pPr>
              <w:cnfStyle w:val="000000010000" w:firstRow="0" w:lastRow="0" w:firstColumn="0" w:lastColumn="0" w:oddVBand="0" w:evenVBand="0" w:oddHBand="0" w:evenHBand="1" w:firstRowFirstColumn="0" w:firstRowLastColumn="0" w:lastRowFirstColumn="0" w:lastRowLastColumn="0"/>
            </w:pPr>
            <w:r w:rsidRPr="00643E5C">
              <w:t>632.9</w:t>
            </w:r>
          </w:p>
        </w:tc>
        <w:tc>
          <w:tcPr>
            <w:tcW w:w="1134" w:type="dxa"/>
            <w:vAlign w:val="bottom"/>
          </w:tcPr>
          <w:p w:rsidR="00643E5C" w:rsidRPr="00643E5C" w:rsidRDefault="00643E5C" w:rsidP="00643E5C">
            <w:pPr>
              <w:cnfStyle w:val="000000010000" w:firstRow="0" w:lastRow="0" w:firstColumn="0" w:lastColumn="0" w:oddVBand="0" w:evenVBand="0" w:oddHBand="0" w:evenHBand="1" w:firstRowFirstColumn="0" w:firstRowLastColumn="0" w:lastRowFirstColumn="0" w:lastRowLastColumn="0"/>
            </w:pPr>
            <w:r w:rsidRPr="00643E5C">
              <w:t>588.7</w:t>
            </w:r>
          </w:p>
        </w:tc>
        <w:tc>
          <w:tcPr>
            <w:tcW w:w="1134" w:type="dxa"/>
            <w:vAlign w:val="bottom"/>
          </w:tcPr>
          <w:p w:rsidR="00643E5C" w:rsidRPr="00643E5C" w:rsidRDefault="00643E5C" w:rsidP="00643E5C">
            <w:pPr>
              <w:cnfStyle w:val="000000010000" w:firstRow="0" w:lastRow="0" w:firstColumn="0" w:lastColumn="0" w:oddVBand="0" w:evenVBand="0" w:oddHBand="0" w:evenHBand="1" w:firstRowFirstColumn="0" w:firstRowLastColumn="0" w:lastRowFirstColumn="0" w:lastRowLastColumn="0"/>
            </w:pPr>
            <w:r w:rsidRPr="00643E5C">
              <w:t>604.8</w:t>
            </w:r>
          </w:p>
        </w:tc>
        <w:tc>
          <w:tcPr>
            <w:tcW w:w="1072" w:type="dxa"/>
            <w:vAlign w:val="bottom"/>
          </w:tcPr>
          <w:p w:rsidR="00643E5C" w:rsidRPr="00643E5C" w:rsidRDefault="00643E5C" w:rsidP="00643E5C">
            <w:pPr>
              <w:cnfStyle w:val="000000010000" w:firstRow="0" w:lastRow="0" w:firstColumn="0" w:lastColumn="0" w:oddVBand="0" w:evenVBand="0" w:oddHBand="0" w:evenHBand="1" w:firstRowFirstColumn="0" w:firstRowLastColumn="0" w:lastRowFirstColumn="0" w:lastRowLastColumn="0"/>
            </w:pPr>
            <w:r w:rsidRPr="00643E5C">
              <w:t>544.6</w:t>
            </w:r>
          </w:p>
        </w:tc>
      </w:tr>
      <w:tr w:rsidR="00643E5C" w:rsidTr="00643E5C">
        <w:tc>
          <w:tcPr>
            <w:cnfStyle w:val="001000000000" w:firstRow="0" w:lastRow="0" w:firstColumn="1" w:lastColumn="0" w:oddVBand="0" w:evenVBand="0" w:oddHBand="0" w:evenHBand="0" w:firstRowFirstColumn="0" w:firstRowLastColumn="0" w:lastRowFirstColumn="0" w:lastRowLastColumn="0"/>
            <w:tcW w:w="3085" w:type="dxa"/>
          </w:tcPr>
          <w:p w:rsidR="00643E5C" w:rsidRPr="00643E5C" w:rsidRDefault="00643E5C" w:rsidP="00643E5C">
            <w:r w:rsidRPr="00643E5C">
              <w:t>Inflation indexation on opening RAB</w:t>
            </w:r>
          </w:p>
        </w:tc>
        <w:tc>
          <w:tcPr>
            <w:tcW w:w="1134" w:type="dxa"/>
            <w:vAlign w:val="bottom"/>
          </w:tcPr>
          <w:p w:rsidR="00643E5C" w:rsidRPr="00643E5C" w:rsidRDefault="00643E5C" w:rsidP="00643E5C">
            <w:pPr>
              <w:cnfStyle w:val="000000000000" w:firstRow="0" w:lastRow="0" w:firstColumn="0" w:lastColumn="0" w:oddVBand="0" w:evenVBand="0" w:oddHBand="0" w:evenHBand="0" w:firstRowFirstColumn="0" w:firstRowLastColumn="0" w:lastRowFirstColumn="0" w:lastRowLastColumn="0"/>
            </w:pPr>
            <w:r w:rsidRPr="00643E5C">
              <w:t>291.6</w:t>
            </w:r>
          </w:p>
        </w:tc>
        <w:tc>
          <w:tcPr>
            <w:tcW w:w="1134" w:type="dxa"/>
            <w:vAlign w:val="bottom"/>
          </w:tcPr>
          <w:p w:rsidR="00643E5C" w:rsidRPr="00643E5C" w:rsidRDefault="00643E5C" w:rsidP="00643E5C">
            <w:pPr>
              <w:cnfStyle w:val="000000000000" w:firstRow="0" w:lastRow="0" w:firstColumn="0" w:lastColumn="0" w:oddVBand="0" w:evenVBand="0" w:oddHBand="0" w:evenHBand="0" w:firstRowFirstColumn="0" w:firstRowLastColumn="0" w:lastRowFirstColumn="0" w:lastRowLastColumn="0"/>
            </w:pPr>
            <w:r w:rsidRPr="00643E5C">
              <w:t>302.3</w:t>
            </w:r>
          </w:p>
        </w:tc>
        <w:tc>
          <w:tcPr>
            <w:tcW w:w="1134" w:type="dxa"/>
            <w:vAlign w:val="bottom"/>
          </w:tcPr>
          <w:p w:rsidR="00643E5C" w:rsidRPr="00643E5C" w:rsidRDefault="00643E5C" w:rsidP="00643E5C">
            <w:pPr>
              <w:cnfStyle w:val="000000000000" w:firstRow="0" w:lastRow="0" w:firstColumn="0" w:lastColumn="0" w:oddVBand="0" w:evenVBand="0" w:oddHBand="0" w:evenHBand="0" w:firstRowFirstColumn="0" w:firstRowLastColumn="0" w:lastRowFirstColumn="0" w:lastRowLastColumn="0"/>
            </w:pPr>
            <w:r w:rsidRPr="00643E5C">
              <w:t>313.4</w:t>
            </w:r>
          </w:p>
        </w:tc>
        <w:tc>
          <w:tcPr>
            <w:tcW w:w="1134" w:type="dxa"/>
            <w:vAlign w:val="bottom"/>
          </w:tcPr>
          <w:p w:rsidR="00643E5C" w:rsidRPr="00643E5C" w:rsidRDefault="00643E5C" w:rsidP="00643E5C">
            <w:pPr>
              <w:cnfStyle w:val="000000000000" w:firstRow="0" w:lastRow="0" w:firstColumn="0" w:lastColumn="0" w:oddVBand="0" w:evenVBand="0" w:oddHBand="0" w:evenHBand="0" w:firstRowFirstColumn="0" w:firstRowLastColumn="0" w:lastRowFirstColumn="0" w:lastRowLastColumn="0"/>
            </w:pPr>
            <w:r w:rsidRPr="00643E5C">
              <w:t>323.0</w:t>
            </w:r>
          </w:p>
        </w:tc>
        <w:tc>
          <w:tcPr>
            <w:tcW w:w="1072" w:type="dxa"/>
            <w:vAlign w:val="bottom"/>
          </w:tcPr>
          <w:p w:rsidR="00643E5C" w:rsidRPr="00643E5C" w:rsidRDefault="00643E5C" w:rsidP="00643E5C">
            <w:pPr>
              <w:cnfStyle w:val="000000000000" w:firstRow="0" w:lastRow="0" w:firstColumn="0" w:lastColumn="0" w:oddVBand="0" w:evenVBand="0" w:oddHBand="0" w:evenHBand="0" w:firstRowFirstColumn="0" w:firstRowLastColumn="0" w:lastRowFirstColumn="0" w:lastRowLastColumn="0"/>
            </w:pPr>
            <w:r w:rsidRPr="00643E5C">
              <w:t>333.6</w:t>
            </w:r>
          </w:p>
        </w:tc>
      </w:tr>
      <w:tr w:rsidR="00643E5C" w:rsidTr="00643E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643E5C" w:rsidRPr="00643E5C" w:rsidRDefault="00643E5C" w:rsidP="00643E5C">
            <w:r w:rsidRPr="00643E5C">
              <w:rPr>
                <w:rStyle w:val="AERtextitalic"/>
              </w:rPr>
              <w:t>Less:</w:t>
            </w:r>
            <w:r w:rsidRPr="00643E5C">
              <w:t xml:space="preserve"> straight-line depreciation</w:t>
            </w:r>
          </w:p>
        </w:tc>
        <w:tc>
          <w:tcPr>
            <w:tcW w:w="1134" w:type="dxa"/>
            <w:vAlign w:val="bottom"/>
          </w:tcPr>
          <w:p w:rsidR="00643E5C" w:rsidRPr="00643E5C" w:rsidRDefault="00643E5C" w:rsidP="00643E5C">
            <w:pPr>
              <w:cnfStyle w:val="000000010000" w:firstRow="0" w:lastRow="0" w:firstColumn="0" w:lastColumn="0" w:oddVBand="0" w:evenVBand="0" w:oddHBand="0" w:evenHBand="1" w:firstRowFirstColumn="0" w:firstRowLastColumn="0" w:lastRowFirstColumn="0" w:lastRowLastColumn="0"/>
            </w:pPr>
            <w:r w:rsidRPr="00643E5C">
              <w:t>438.3</w:t>
            </w:r>
          </w:p>
        </w:tc>
        <w:tc>
          <w:tcPr>
            <w:tcW w:w="1134" w:type="dxa"/>
            <w:vAlign w:val="bottom"/>
          </w:tcPr>
          <w:p w:rsidR="00643E5C" w:rsidRPr="00643E5C" w:rsidRDefault="00643E5C" w:rsidP="00643E5C">
            <w:pPr>
              <w:cnfStyle w:val="000000010000" w:firstRow="0" w:lastRow="0" w:firstColumn="0" w:lastColumn="0" w:oddVBand="0" w:evenVBand="0" w:oddHBand="0" w:evenHBand="1" w:firstRowFirstColumn="0" w:firstRowLastColumn="0" w:lastRowFirstColumn="0" w:lastRowLastColumn="0"/>
            </w:pPr>
            <w:r w:rsidRPr="00643E5C">
              <w:t>468.9</w:t>
            </w:r>
          </w:p>
        </w:tc>
        <w:tc>
          <w:tcPr>
            <w:tcW w:w="1134" w:type="dxa"/>
            <w:vAlign w:val="bottom"/>
          </w:tcPr>
          <w:p w:rsidR="00643E5C" w:rsidRPr="00643E5C" w:rsidRDefault="00643E5C" w:rsidP="00643E5C">
            <w:pPr>
              <w:cnfStyle w:val="000000010000" w:firstRow="0" w:lastRow="0" w:firstColumn="0" w:lastColumn="0" w:oddVBand="0" w:evenVBand="0" w:oddHBand="0" w:evenHBand="1" w:firstRowFirstColumn="0" w:firstRowLastColumn="0" w:lastRowFirstColumn="0" w:lastRowLastColumn="0"/>
            </w:pPr>
            <w:r w:rsidRPr="00643E5C">
              <w:t>501.6</w:t>
            </w:r>
          </w:p>
        </w:tc>
        <w:tc>
          <w:tcPr>
            <w:tcW w:w="1134" w:type="dxa"/>
            <w:vAlign w:val="bottom"/>
          </w:tcPr>
          <w:p w:rsidR="00643E5C" w:rsidRPr="00643E5C" w:rsidRDefault="00643E5C" w:rsidP="00643E5C">
            <w:pPr>
              <w:cnfStyle w:val="000000010000" w:firstRow="0" w:lastRow="0" w:firstColumn="0" w:lastColumn="0" w:oddVBand="0" w:evenVBand="0" w:oddHBand="0" w:evenHBand="1" w:firstRowFirstColumn="0" w:firstRowLastColumn="0" w:lastRowFirstColumn="0" w:lastRowLastColumn="0"/>
            </w:pPr>
            <w:r w:rsidRPr="00643E5C">
              <w:t>481.7</w:t>
            </w:r>
          </w:p>
        </w:tc>
        <w:tc>
          <w:tcPr>
            <w:tcW w:w="1072" w:type="dxa"/>
            <w:vAlign w:val="bottom"/>
          </w:tcPr>
          <w:p w:rsidR="00643E5C" w:rsidRPr="00643E5C" w:rsidRDefault="00643E5C" w:rsidP="00643E5C">
            <w:pPr>
              <w:cnfStyle w:val="000000010000" w:firstRow="0" w:lastRow="0" w:firstColumn="0" w:lastColumn="0" w:oddVBand="0" w:evenVBand="0" w:oddHBand="0" w:evenHBand="1" w:firstRowFirstColumn="0" w:firstRowLastColumn="0" w:lastRowFirstColumn="0" w:lastRowLastColumn="0"/>
            </w:pPr>
            <w:r w:rsidRPr="00643E5C">
              <w:t>494.0</w:t>
            </w:r>
          </w:p>
        </w:tc>
      </w:tr>
      <w:tr w:rsidR="00643E5C" w:rsidRPr="00883D06" w:rsidTr="00643E5C">
        <w:tc>
          <w:tcPr>
            <w:cnfStyle w:val="001000000000" w:firstRow="0" w:lastRow="0" w:firstColumn="1" w:lastColumn="0" w:oddVBand="0" w:evenVBand="0" w:oddHBand="0" w:evenHBand="0" w:firstRowFirstColumn="0" w:firstRowLastColumn="0" w:lastRowFirstColumn="0" w:lastRowLastColumn="0"/>
            <w:tcW w:w="3085" w:type="dxa"/>
          </w:tcPr>
          <w:p w:rsidR="00643E5C" w:rsidRPr="00883D06" w:rsidRDefault="00643E5C" w:rsidP="00643E5C">
            <w:pPr>
              <w:rPr>
                <w:rStyle w:val="Strong"/>
              </w:rPr>
            </w:pPr>
            <w:r w:rsidRPr="00883D06">
              <w:rPr>
                <w:rStyle w:val="Strong"/>
              </w:rPr>
              <w:t>Closing RAB</w:t>
            </w:r>
          </w:p>
        </w:tc>
        <w:tc>
          <w:tcPr>
            <w:tcW w:w="1134" w:type="dxa"/>
            <w:vAlign w:val="bottom"/>
          </w:tcPr>
          <w:p w:rsidR="00643E5C" w:rsidRPr="00883D06" w:rsidRDefault="00643E5C" w:rsidP="00643E5C">
            <w:pPr>
              <w:cnfStyle w:val="000000000000" w:firstRow="0" w:lastRow="0" w:firstColumn="0" w:lastColumn="0" w:oddVBand="0" w:evenVBand="0" w:oddHBand="0" w:evenHBand="0" w:firstRowFirstColumn="0" w:firstRowLastColumn="0" w:lastRowFirstColumn="0" w:lastRowLastColumn="0"/>
              <w:rPr>
                <w:rStyle w:val="Strong"/>
              </w:rPr>
            </w:pPr>
            <w:r w:rsidRPr="00883D06">
              <w:rPr>
                <w:rStyle w:val="Strong"/>
              </w:rPr>
              <w:t>12703.0</w:t>
            </w:r>
          </w:p>
        </w:tc>
        <w:tc>
          <w:tcPr>
            <w:tcW w:w="1134" w:type="dxa"/>
            <w:vAlign w:val="bottom"/>
          </w:tcPr>
          <w:p w:rsidR="00643E5C" w:rsidRPr="00883D06" w:rsidRDefault="00643E5C" w:rsidP="00643E5C">
            <w:pPr>
              <w:cnfStyle w:val="000000000000" w:firstRow="0" w:lastRow="0" w:firstColumn="0" w:lastColumn="0" w:oddVBand="0" w:evenVBand="0" w:oddHBand="0" w:evenHBand="0" w:firstRowFirstColumn="0" w:firstRowLastColumn="0" w:lastRowFirstColumn="0" w:lastRowLastColumn="0"/>
              <w:rPr>
                <w:rStyle w:val="Strong"/>
              </w:rPr>
            </w:pPr>
            <w:r w:rsidRPr="00883D06">
              <w:rPr>
                <w:rStyle w:val="Strong"/>
              </w:rPr>
              <w:t>13169.4</w:t>
            </w:r>
          </w:p>
        </w:tc>
        <w:tc>
          <w:tcPr>
            <w:tcW w:w="1134" w:type="dxa"/>
            <w:vAlign w:val="bottom"/>
          </w:tcPr>
          <w:p w:rsidR="00643E5C" w:rsidRPr="00883D06" w:rsidRDefault="00643E5C" w:rsidP="00643E5C">
            <w:pPr>
              <w:cnfStyle w:val="000000000000" w:firstRow="0" w:lastRow="0" w:firstColumn="0" w:lastColumn="0" w:oddVBand="0" w:evenVBand="0" w:oddHBand="0" w:evenHBand="0" w:firstRowFirstColumn="0" w:firstRowLastColumn="0" w:lastRowFirstColumn="0" w:lastRowLastColumn="0"/>
              <w:rPr>
                <w:rStyle w:val="Strong"/>
              </w:rPr>
            </w:pPr>
            <w:r w:rsidRPr="00883D06">
              <w:rPr>
                <w:rStyle w:val="Strong"/>
              </w:rPr>
              <w:t>13569.9</w:t>
            </w:r>
          </w:p>
        </w:tc>
        <w:tc>
          <w:tcPr>
            <w:tcW w:w="1134" w:type="dxa"/>
            <w:vAlign w:val="bottom"/>
          </w:tcPr>
          <w:p w:rsidR="00643E5C" w:rsidRPr="00883D06" w:rsidRDefault="00643E5C" w:rsidP="00643E5C">
            <w:pPr>
              <w:cnfStyle w:val="000000000000" w:firstRow="0" w:lastRow="0" w:firstColumn="0" w:lastColumn="0" w:oddVBand="0" w:evenVBand="0" w:oddHBand="0" w:evenHBand="0" w:firstRowFirstColumn="0" w:firstRowLastColumn="0" w:lastRowFirstColumn="0" w:lastRowLastColumn="0"/>
              <w:rPr>
                <w:rStyle w:val="Strong"/>
              </w:rPr>
            </w:pPr>
            <w:r w:rsidRPr="00883D06">
              <w:rPr>
                <w:rStyle w:val="Strong"/>
              </w:rPr>
              <w:t>14015.9</w:t>
            </w:r>
          </w:p>
        </w:tc>
        <w:tc>
          <w:tcPr>
            <w:tcW w:w="1072" w:type="dxa"/>
            <w:vAlign w:val="bottom"/>
          </w:tcPr>
          <w:p w:rsidR="00643E5C" w:rsidRPr="00883D06" w:rsidRDefault="00643E5C" w:rsidP="00643E5C">
            <w:pPr>
              <w:cnfStyle w:val="000000000000" w:firstRow="0" w:lastRow="0" w:firstColumn="0" w:lastColumn="0" w:oddVBand="0" w:evenVBand="0" w:oddHBand="0" w:evenHBand="0" w:firstRowFirstColumn="0" w:firstRowLastColumn="0" w:lastRowFirstColumn="0" w:lastRowLastColumn="0"/>
              <w:rPr>
                <w:rStyle w:val="Strong"/>
              </w:rPr>
            </w:pPr>
            <w:r w:rsidRPr="00883D06">
              <w:rPr>
                <w:rStyle w:val="Strong"/>
              </w:rPr>
              <w:t>14400.1</w:t>
            </w:r>
          </w:p>
        </w:tc>
      </w:tr>
    </w:tbl>
    <w:p w:rsidR="00CA062D" w:rsidRDefault="00CA062D" w:rsidP="00CA062D">
      <w:pPr>
        <w:pStyle w:val="AERtablesource"/>
        <w:ind w:left="0" w:firstLine="0"/>
      </w:pPr>
      <w:r>
        <w:t xml:space="preserve">Source: </w:t>
      </w:r>
      <w:r>
        <w:tab/>
        <w:t xml:space="preserve">AER analysis. </w:t>
      </w:r>
    </w:p>
    <w:p w:rsidR="00CA062D" w:rsidRDefault="00CA062D" w:rsidP="00CA062D">
      <w:pPr>
        <w:pStyle w:val="AERtablesource"/>
      </w:pPr>
      <w:r>
        <w:t>(a)</w:t>
      </w:r>
      <w:r>
        <w:tab/>
      </w:r>
      <w:r w:rsidR="00D4289A">
        <w:t>N</w:t>
      </w:r>
      <w:r>
        <w:t>et of forecast disposals and capital contributions.</w:t>
      </w:r>
    </w:p>
    <w:p w:rsidR="00CA062D" w:rsidRPr="00CA062D" w:rsidRDefault="00CA062D" w:rsidP="00CA062D">
      <w:pPr>
        <w:pStyle w:val="Caption"/>
      </w:pPr>
      <w:bookmarkStart w:id="17" w:name="_Ref412818819"/>
      <w:proofErr w:type="gramStart"/>
      <w:r>
        <w:t xml:space="preserve">Table </w:t>
      </w:r>
      <w:proofErr w:type="gramEnd"/>
      <w:r w:rsidR="003604E3">
        <w:fldChar w:fldCharType="begin"/>
      </w:r>
      <w:r w:rsidR="003604E3">
        <w:instrText xml:space="preserve"> STYLEREF 1 \s </w:instrText>
      </w:r>
      <w:r w:rsidR="003604E3">
        <w:fldChar w:fldCharType="separate"/>
      </w:r>
      <w:r w:rsidR="007B36D6">
        <w:rPr>
          <w:noProof/>
        </w:rPr>
        <w:t>2</w:t>
      </w:r>
      <w:r w:rsidR="003604E3">
        <w:rPr>
          <w:noProof/>
        </w:rPr>
        <w:fldChar w:fldCharType="end"/>
      </w:r>
      <w:proofErr w:type="gramStart"/>
      <w:r w:rsidR="007B36D6">
        <w:t>.</w:t>
      </w:r>
      <w:proofErr w:type="gramEnd"/>
      <w:r w:rsidR="0009094F">
        <w:fldChar w:fldCharType="begin"/>
      </w:r>
      <w:r w:rsidR="0009094F">
        <w:instrText xml:space="preserve"> SEQ Table \* ARABIC \s 1 </w:instrText>
      </w:r>
      <w:r w:rsidR="0009094F">
        <w:fldChar w:fldCharType="separate"/>
      </w:r>
      <w:r w:rsidR="007B36D6">
        <w:rPr>
          <w:noProof/>
        </w:rPr>
        <w:t>4</w:t>
      </w:r>
      <w:r w:rsidR="0009094F">
        <w:rPr>
          <w:noProof/>
        </w:rPr>
        <w:fldChar w:fldCharType="end"/>
      </w:r>
      <w:bookmarkEnd w:id="17"/>
      <w:r>
        <w:tab/>
        <w:t xml:space="preserve">AER's final decision on Ausgrid's RAB for the 2014–19 period </w:t>
      </w:r>
      <w:r w:rsidR="00D4289A">
        <w:t>–</w:t>
      </w:r>
      <w:r>
        <w:t xml:space="preserve"> transmission ($ million, nominal)</w:t>
      </w:r>
    </w:p>
    <w:tbl>
      <w:tblPr>
        <w:tblStyle w:val="AERtable-numbers"/>
        <w:tblW w:w="0" w:type="auto"/>
        <w:tblLook w:val="04A0" w:firstRow="1" w:lastRow="0" w:firstColumn="1" w:lastColumn="0" w:noHBand="0" w:noVBand="1"/>
      </w:tblPr>
      <w:tblGrid>
        <w:gridCol w:w="3085"/>
        <w:gridCol w:w="1134"/>
        <w:gridCol w:w="1134"/>
        <w:gridCol w:w="1134"/>
        <w:gridCol w:w="1134"/>
        <w:gridCol w:w="1072"/>
      </w:tblGrid>
      <w:tr w:rsidR="00CA062D" w:rsidTr="0029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CA062D" w:rsidRDefault="00CA062D" w:rsidP="00CA062D"/>
        </w:tc>
        <w:tc>
          <w:tcPr>
            <w:tcW w:w="1134" w:type="dxa"/>
          </w:tcPr>
          <w:p w:rsidR="00CA062D" w:rsidRPr="00CA062D" w:rsidRDefault="00CA062D" w:rsidP="00CA062D">
            <w:pPr>
              <w:cnfStyle w:val="100000000000" w:firstRow="1" w:lastRow="0" w:firstColumn="0" w:lastColumn="0" w:oddVBand="0" w:evenVBand="0" w:oddHBand="0" w:evenHBand="0" w:firstRowFirstColumn="0" w:firstRowLastColumn="0" w:lastRowFirstColumn="0" w:lastRowLastColumn="0"/>
            </w:pPr>
            <w:r>
              <w:t>20</w:t>
            </w:r>
            <w:r w:rsidRPr="00CA062D">
              <w:t>14–15</w:t>
            </w:r>
          </w:p>
        </w:tc>
        <w:tc>
          <w:tcPr>
            <w:tcW w:w="1134" w:type="dxa"/>
          </w:tcPr>
          <w:p w:rsidR="00CA062D" w:rsidRPr="00CA062D" w:rsidRDefault="00CA062D" w:rsidP="00CA062D">
            <w:pPr>
              <w:cnfStyle w:val="100000000000" w:firstRow="1" w:lastRow="0" w:firstColumn="0" w:lastColumn="0" w:oddVBand="0" w:evenVBand="0" w:oddHBand="0" w:evenHBand="0" w:firstRowFirstColumn="0" w:firstRowLastColumn="0" w:lastRowFirstColumn="0" w:lastRowLastColumn="0"/>
            </w:pPr>
            <w:r>
              <w:t>201</w:t>
            </w:r>
            <w:r w:rsidRPr="00CA062D">
              <w:t>5–16</w:t>
            </w:r>
          </w:p>
        </w:tc>
        <w:tc>
          <w:tcPr>
            <w:tcW w:w="1134" w:type="dxa"/>
          </w:tcPr>
          <w:p w:rsidR="00CA062D" w:rsidRPr="00CA062D" w:rsidRDefault="00CA062D" w:rsidP="00CA062D">
            <w:pPr>
              <w:cnfStyle w:val="100000000000" w:firstRow="1" w:lastRow="0" w:firstColumn="0" w:lastColumn="0" w:oddVBand="0" w:evenVBand="0" w:oddHBand="0" w:evenHBand="0" w:firstRowFirstColumn="0" w:firstRowLastColumn="0" w:lastRowFirstColumn="0" w:lastRowLastColumn="0"/>
            </w:pPr>
            <w:r>
              <w:t>201</w:t>
            </w:r>
            <w:r w:rsidRPr="00CA062D">
              <w:t>6–17</w:t>
            </w:r>
          </w:p>
        </w:tc>
        <w:tc>
          <w:tcPr>
            <w:tcW w:w="1134" w:type="dxa"/>
          </w:tcPr>
          <w:p w:rsidR="00CA062D" w:rsidRPr="00CA062D" w:rsidRDefault="00CA062D" w:rsidP="00CA062D">
            <w:pPr>
              <w:cnfStyle w:val="100000000000" w:firstRow="1" w:lastRow="0" w:firstColumn="0" w:lastColumn="0" w:oddVBand="0" w:evenVBand="0" w:oddHBand="0" w:evenHBand="0" w:firstRowFirstColumn="0" w:firstRowLastColumn="0" w:lastRowFirstColumn="0" w:lastRowLastColumn="0"/>
            </w:pPr>
            <w:r>
              <w:t>201</w:t>
            </w:r>
            <w:r w:rsidRPr="00CA062D">
              <w:t>7–18</w:t>
            </w:r>
          </w:p>
        </w:tc>
        <w:tc>
          <w:tcPr>
            <w:tcW w:w="1072" w:type="dxa"/>
          </w:tcPr>
          <w:p w:rsidR="00CA062D" w:rsidRPr="00CA062D" w:rsidRDefault="00CA062D" w:rsidP="00CA062D">
            <w:pPr>
              <w:cnfStyle w:val="100000000000" w:firstRow="1" w:lastRow="0" w:firstColumn="0" w:lastColumn="0" w:oddVBand="0" w:evenVBand="0" w:oddHBand="0" w:evenHBand="0" w:firstRowFirstColumn="0" w:firstRowLastColumn="0" w:lastRowFirstColumn="0" w:lastRowLastColumn="0"/>
            </w:pPr>
            <w:r>
              <w:t>201</w:t>
            </w:r>
            <w:r w:rsidRPr="00CA062D">
              <w:t>8–19</w:t>
            </w:r>
          </w:p>
        </w:tc>
      </w:tr>
      <w:tr w:rsidR="00643E5C" w:rsidTr="00643E5C">
        <w:tc>
          <w:tcPr>
            <w:cnfStyle w:val="001000000000" w:firstRow="0" w:lastRow="0" w:firstColumn="1" w:lastColumn="0" w:oddVBand="0" w:evenVBand="0" w:oddHBand="0" w:evenHBand="0" w:firstRowFirstColumn="0" w:firstRowLastColumn="0" w:lastRowFirstColumn="0" w:lastRowLastColumn="0"/>
            <w:tcW w:w="3085" w:type="dxa"/>
          </w:tcPr>
          <w:p w:rsidR="00643E5C" w:rsidRPr="00643E5C" w:rsidRDefault="00643E5C" w:rsidP="00643E5C">
            <w:r w:rsidRPr="00643E5C">
              <w:t>Opening RAB</w:t>
            </w:r>
          </w:p>
        </w:tc>
        <w:tc>
          <w:tcPr>
            <w:tcW w:w="1134" w:type="dxa"/>
            <w:vAlign w:val="bottom"/>
          </w:tcPr>
          <w:p w:rsidR="00643E5C" w:rsidRPr="00643E5C" w:rsidRDefault="00643E5C" w:rsidP="00643E5C">
            <w:pPr>
              <w:cnfStyle w:val="000000000000" w:firstRow="0" w:lastRow="0" w:firstColumn="0" w:lastColumn="0" w:oddVBand="0" w:evenVBand="0" w:oddHBand="0" w:evenHBand="0" w:firstRowFirstColumn="0" w:firstRowLastColumn="0" w:lastRowFirstColumn="0" w:lastRowLastColumn="0"/>
            </w:pPr>
            <w:r w:rsidRPr="00643E5C">
              <w:t>2035.7</w:t>
            </w:r>
          </w:p>
        </w:tc>
        <w:tc>
          <w:tcPr>
            <w:tcW w:w="1134" w:type="dxa"/>
            <w:vAlign w:val="bottom"/>
          </w:tcPr>
          <w:p w:rsidR="00643E5C" w:rsidRPr="00643E5C" w:rsidRDefault="00643E5C" w:rsidP="00520727">
            <w:pPr>
              <w:cnfStyle w:val="000000000000" w:firstRow="0" w:lastRow="0" w:firstColumn="0" w:lastColumn="0" w:oddVBand="0" w:evenVBand="0" w:oddHBand="0" w:evenHBand="0" w:firstRowFirstColumn="0" w:firstRowLastColumn="0" w:lastRowFirstColumn="0" w:lastRowLastColumn="0"/>
            </w:pPr>
            <w:r w:rsidRPr="00643E5C">
              <w:t>204</w:t>
            </w:r>
            <w:r w:rsidR="00520727">
              <w:t>9.4</w:t>
            </w:r>
          </w:p>
        </w:tc>
        <w:tc>
          <w:tcPr>
            <w:tcW w:w="1134" w:type="dxa"/>
            <w:vAlign w:val="bottom"/>
          </w:tcPr>
          <w:p w:rsidR="00643E5C" w:rsidRPr="00643E5C" w:rsidRDefault="00643E5C" w:rsidP="00520727">
            <w:pPr>
              <w:cnfStyle w:val="000000000000" w:firstRow="0" w:lastRow="0" w:firstColumn="0" w:lastColumn="0" w:oddVBand="0" w:evenVBand="0" w:oddHBand="0" w:evenHBand="0" w:firstRowFirstColumn="0" w:firstRowLastColumn="0" w:lastRowFirstColumn="0" w:lastRowLastColumn="0"/>
            </w:pPr>
            <w:r w:rsidRPr="00643E5C">
              <w:t>208</w:t>
            </w:r>
            <w:r w:rsidR="00520727">
              <w:t>6.2</w:t>
            </w:r>
          </w:p>
        </w:tc>
        <w:tc>
          <w:tcPr>
            <w:tcW w:w="1134" w:type="dxa"/>
            <w:vAlign w:val="bottom"/>
          </w:tcPr>
          <w:p w:rsidR="00643E5C" w:rsidRPr="00643E5C" w:rsidRDefault="00643E5C" w:rsidP="00520727">
            <w:pPr>
              <w:cnfStyle w:val="000000000000" w:firstRow="0" w:lastRow="0" w:firstColumn="0" w:lastColumn="0" w:oddVBand="0" w:evenVBand="0" w:oddHBand="0" w:evenHBand="0" w:firstRowFirstColumn="0" w:firstRowLastColumn="0" w:lastRowFirstColumn="0" w:lastRowLastColumn="0"/>
            </w:pPr>
            <w:r w:rsidRPr="00643E5C">
              <w:t>218</w:t>
            </w:r>
            <w:r w:rsidR="00520727">
              <w:t>8.8</w:t>
            </w:r>
          </w:p>
        </w:tc>
        <w:tc>
          <w:tcPr>
            <w:tcW w:w="1072" w:type="dxa"/>
            <w:vAlign w:val="bottom"/>
          </w:tcPr>
          <w:p w:rsidR="00643E5C" w:rsidRPr="00643E5C" w:rsidRDefault="00643E5C" w:rsidP="00520727">
            <w:pPr>
              <w:cnfStyle w:val="000000000000" w:firstRow="0" w:lastRow="0" w:firstColumn="0" w:lastColumn="0" w:oddVBand="0" w:evenVBand="0" w:oddHBand="0" w:evenHBand="0" w:firstRowFirstColumn="0" w:firstRowLastColumn="0" w:lastRowFirstColumn="0" w:lastRowLastColumn="0"/>
            </w:pPr>
            <w:r w:rsidRPr="00643E5C">
              <w:t>222</w:t>
            </w:r>
            <w:r w:rsidR="00520727">
              <w:t>9.1</w:t>
            </w:r>
          </w:p>
        </w:tc>
      </w:tr>
      <w:tr w:rsidR="00643E5C" w:rsidTr="00643E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643E5C" w:rsidRPr="00643E5C" w:rsidRDefault="00643E5C" w:rsidP="00643E5C">
            <w:r w:rsidRPr="00643E5C">
              <w:t>Capital expenditure</w:t>
            </w:r>
            <w:r w:rsidRPr="00643E5C">
              <w:rPr>
                <w:rStyle w:val="AERsuperscript"/>
              </w:rPr>
              <w:t>a</w:t>
            </w:r>
          </w:p>
        </w:tc>
        <w:tc>
          <w:tcPr>
            <w:tcW w:w="1134" w:type="dxa"/>
            <w:vAlign w:val="bottom"/>
          </w:tcPr>
          <w:p w:rsidR="00643E5C" w:rsidRPr="00643E5C" w:rsidRDefault="00643E5C" w:rsidP="00643E5C">
            <w:pPr>
              <w:cnfStyle w:val="000000010000" w:firstRow="0" w:lastRow="0" w:firstColumn="0" w:lastColumn="0" w:oddVBand="0" w:evenVBand="0" w:oddHBand="0" w:evenHBand="1" w:firstRowFirstColumn="0" w:firstRowLastColumn="0" w:lastRowFirstColumn="0" w:lastRowLastColumn="0"/>
            </w:pPr>
            <w:r w:rsidRPr="00643E5C">
              <w:t>28.2</w:t>
            </w:r>
          </w:p>
        </w:tc>
        <w:tc>
          <w:tcPr>
            <w:tcW w:w="1134" w:type="dxa"/>
            <w:vAlign w:val="bottom"/>
          </w:tcPr>
          <w:p w:rsidR="00643E5C" w:rsidRPr="00643E5C" w:rsidRDefault="00643E5C" w:rsidP="00643E5C">
            <w:pPr>
              <w:cnfStyle w:val="000000010000" w:firstRow="0" w:lastRow="0" w:firstColumn="0" w:lastColumn="0" w:oddVBand="0" w:evenVBand="0" w:oddHBand="0" w:evenHBand="1" w:firstRowFirstColumn="0" w:firstRowLastColumn="0" w:lastRowFirstColumn="0" w:lastRowLastColumn="0"/>
            </w:pPr>
            <w:r w:rsidRPr="00643E5C">
              <w:t>55.2</w:t>
            </w:r>
          </w:p>
        </w:tc>
        <w:tc>
          <w:tcPr>
            <w:tcW w:w="1134" w:type="dxa"/>
            <w:vAlign w:val="bottom"/>
          </w:tcPr>
          <w:p w:rsidR="00643E5C" w:rsidRPr="00643E5C" w:rsidRDefault="00643E5C" w:rsidP="00643E5C">
            <w:pPr>
              <w:cnfStyle w:val="000000010000" w:firstRow="0" w:lastRow="0" w:firstColumn="0" w:lastColumn="0" w:oddVBand="0" w:evenVBand="0" w:oddHBand="0" w:evenHBand="1" w:firstRowFirstColumn="0" w:firstRowLastColumn="0" w:lastRowFirstColumn="0" w:lastRowLastColumn="0"/>
            </w:pPr>
            <w:r w:rsidRPr="00643E5C">
              <w:t>125.4</w:t>
            </w:r>
          </w:p>
        </w:tc>
        <w:tc>
          <w:tcPr>
            <w:tcW w:w="1134" w:type="dxa"/>
            <w:vAlign w:val="bottom"/>
          </w:tcPr>
          <w:p w:rsidR="00643E5C" w:rsidRPr="00643E5C" w:rsidRDefault="00643E5C" w:rsidP="00643E5C">
            <w:pPr>
              <w:cnfStyle w:val="000000010000" w:firstRow="0" w:lastRow="0" w:firstColumn="0" w:lastColumn="0" w:oddVBand="0" w:evenVBand="0" w:oddHBand="0" w:evenHBand="1" w:firstRowFirstColumn="0" w:firstRowLastColumn="0" w:lastRowFirstColumn="0" w:lastRowLastColumn="0"/>
            </w:pPr>
            <w:r w:rsidRPr="00643E5C">
              <w:t>60.9</w:t>
            </w:r>
          </w:p>
        </w:tc>
        <w:tc>
          <w:tcPr>
            <w:tcW w:w="1072" w:type="dxa"/>
            <w:vAlign w:val="bottom"/>
          </w:tcPr>
          <w:p w:rsidR="00643E5C" w:rsidRPr="00643E5C" w:rsidRDefault="00643E5C" w:rsidP="00643E5C">
            <w:pPr>
              <w:cnfStyle w:val="000000010000" w:firstRow="0" w:lastRow="0" w:firstColumn="0" w:lastColumn="0" w:oddVBand="0" w:evenVBand="0" w:oddHBand="0" w:evenHBand="1" w:firstRowFirstColumn="0" w:firstRowLastColumn="0" w:lastRowFirstColumn="0" w:lastRowLastColumn="0"/>
            </w:pPr>
            <w:r w:rsidRPr="00643E5C">
              <w:t>50.5</w:t>
            </w:r>
          </w:p>
        </w:tc>
      </w:tr>
      <w:tr w:rsidR="00643E5C" w:rsidTr="00643E5C">
        <w:tc>
          <w:tcPr>
            <w:cnfStyle w:val="001000000000" w:firstRow="0" w:lastRow="0" w:firstColumn="1" w:lastColumn="0" w:oddVBand="0" w:evenVBand="0" w:oddHBand="0" w:evenHBand="0" w:firstRowFirstColumn="0" w:firstRowLastColumn="0" w:lastRowFirstColumn="0" w:lastRowLastColumn="0"/>
            <w:tcW w:w="3085" w:type="dxa"/>
          </w:tcPr>
          <w:p w:rsidR="00643E5C" w:rsidRPr="00643E5C" w:rsidRDefault="00643E5C" w:rsidP="00643E5C">
            <w:r w:rsidRPr="00643E5C">
              <w:t>Inflation indexation on opening RAB</w:t>
            </w:r>
          </w:p>
        </w:tc>
        <w:tc>
          <w:tcPr>
            <w:tcW w:w="1134" w:type="dxa"/>
            <w:vAlign w:val="bottom"/>
          </w:tcPr>
          <w:p w:rsidR="00643E5C" w:rsidRPr="00643E5C" w:rsidRDefault="00643E5C" w:rsidP="00643E5C">
            <w:pPr>
              <w:cnfStyle w:val="000000000000" w:firstRow="0" w:lastRow="0" w:firstColumn="0" w:lastColumn="0" w:oddVBand="0" w:evenVBand="0" w:oddHBand="0" w:evenHBand="0" w:firstRowFirstColumn="0" w:firstRowLastColumn="0" w:lastRowFirstColumn="0" w:lastRowLastColumn="0"/>
            </w:pPr>
            <w:r w:rsidRPr="00643E5C">
              <w:t>48.5</w:t>
            </w:r>
          </w:p>
        </w:tc>
        <w:tc>
          <w:tcPr>
            <w:tcW w:w="1134" w:type="dxa"/>
            <w:vAlign w:val="bottom"/>
          </w:tcPr>
          <w:p w:rsidR="00643E5C" w:rsidRPr="00643E5C" w:rsidRDefault="00643E5C" w:rsidP="00520727">
            <w:pPr>
              <w:cnfStyle w:val="000000000000" w:firstRow="0" w:lastRow="0" w:firstColumn="0" w:lastColumn="0" w:oddVBand="0" w:evenVBand="0" w:oddHBand="0" w:evenHBand="0" w:firstRowFirstColumn="0" w:firstRowLastColumn="0" w:lastRowFirstColumn="0" w:lastRowLastColumn="0"/>
            </w:pPr>
            <w:r w:rsidRPr="00643E5C">
              <w:t>48.</w:t>
            </w:r>
            <w:r w:rsidR="00520727">
              <w:t>8</w:t>
            </w:r>
          </w:p>
        </w:tc>
        <w:tc>
          <w:tcPr>
            <w:tcW w:w="1134" w:type="dxa"/>
            <w:vAlign w:val="bottom"/>
          </w:tcPr>
          <w:p w:rsidR="00643E5C" w:rsidRPr="00643E5C" w:rsidRDefault="00643E5C" w:rsidP="00520727">
            <w:pPr>
              <w:cnfStyle w:val="000000000000" w:firstRow="0" w:lastRow="0" w:firstColumn="0" w:lastColumn="0" w:oddVBand="0" w:evenVBand="0" w:oddHBand="0" w:evenHBand="0" w:firstRowFirstColumn="0" w:firstRowLastColumn="0" w:lastRowFirstColumn="0" w:lastRowLastColumn="0"/>
            </w:pPr>
            <w:r w:rsidRPr="00643E5C">
              <w:t>49.</w:t>
            </w:r>
            <w:r w:rsidR="00520727">
              <w:t>7</w:t>
            </w:r>
          </w:p>
        </w:tc>
        <w:tc>
          <w:tcPr>
            <w:tcW w:w="1134" w:type="dxa"/>
            <w:vAlign w:val="bottom"/>
          </w:tcPr>
          <w:p w:rsidR="00643E5C" w:rsidRPr="00643E5C" w:rsidRDefault="00643E5C" w:rsidP="00520727">
            <w:pPr>
              <w:cnfStyle w:val="000000000000" w:firstRow="0" w:lastRow="0" w:firstColumn="0" w:lastColumn="0" w:oddVBand="0" w:evenVBand="0" w:oddHBand="0" w:evenHBand="0" w:firstRowFirstColumn="0" w:firstRowLastColumn="0" w:lastRowFirstColumn="0" w:lastRowLastColumn="0"/>
            </w:pPr>
            <w:r w:rsidRPr="00643E5C">
              <w:t>52.</w:t>
            </w:r>
            <w:r w:rsidR="00520727">
              <w:t>1</w:t>
            </w:r>
          </w:p>
        </w:tc>
        <w:tc>
          <w:tcPr>
            <w:tcW w:w="1072" w:type="dxa"/>
            <w:vAlign w:val="bottom"/>
          </w:tcPr>
          <w:p w:rsidR="00643E5C" w:rsidRPr="00643E5C" w:rsidRDefault="00643E5C" w:rsidP="00520727">
            <w:pPr>
              <w:cnfStyle w:val="000000000000" w:firstRow="0" w:lastRow="0" w:firstColumn="0" w:lastColumn="0" w:oddVBand="0" w:evenVBand="0" w:oddHBand="0" w:evenHBand="0" w:firstRowFirstColumn="0" w:firstRowLastColumn="0" w:lastRowFirstColumn="0" w:lastRowLastColumn="0"/>
            </w:pPr>
            <w:r w:rsidRPr="00643E5C">
              <w:t>5</w:t>
            </w:r>
            <w:r w:rsidR="00520727">
              <w:t>3.1</w:t>
            </w:r>
          </w:p>
        </w:tc>
      </w:tr>
      <w:tr w:rsidR="00643E5C" w:rsidTr="00643E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643E5C" w:rsidRPr="00643E5C" w:rsidRDefault="00643E5C" w:rsidP="00643E5C">
            <w:r w:rsidRPr="00643E5C">
              <w:rPr>
                <w:rStyle w:val="AERtextitalic"/>
              </w:rPr>
              <w:t>Less:</w:t>
            </w:r>
            <w:r w:rsidRPr="00643E5C">
              <w:t xml:space="preserve"> straight-line depreciation</w:t>
            </w:r>
          </w:p>
        </w:tc>
        <w:tc>
          <w:tcPr>
            <w:tcW w:w="1134" w:type="dxa"/>
            <w:vAlign w:val="bottom"/>
          </w:tcPr>
          <w:p w:rsidR="00643E5C" w:rsidRPr="00643E5C" w:rsidRDefault="00643E5C" w:rsidP="00520727">
            <w:pPr>
              <w:cnfStyle w:val="000000010000" w:firstRow="0" w:lastRow="0" w:firstColumn="0" w:lastColumn="0" w:oddVBand="0" w:evenVBand="0" w:oddHBand="0" w:evenHBand="1" w:firstRowFirstColumn="0" w:firstRowLastColumn="0" w:lastRowFirstColumn="0" w:lastRowLastColumn="0"/>
            </w:pPr>
            <w:r w:rsidRPr="00643E5C">
              <w:t>6</w:t>
            </w:r>
            <w:r w:rsidR="00520727">
              <w:t>3.0</w:t>
            </w:r>
          </w:p>
        </w:tc>
        <w:tc>
          <w:tcPr>
            <w:tcW w:w="1134" w:type="dxa"/>
            <w:vAlign w:val="bottom"/>
          </w:tcPr>
          <w:p w:rsidR="00643E5C" w:rsidRPr="00643E5C" w:rsidRDefault="00643E5C" w:rsidP="00643E5C">
            <w:pPr>
              <w:cnfStyle w:val="000000010000" w:firstRow="0" w:lastRow="0" w:firstColumn="0" w:lastColumn="0" w:oddVBand="0" w:evenVBand="0" w:oddHBand="0" w:evenHBand="1" w:firstRowFirstColumn="0" w:firstRowLastColumn="0" w:lastRowFirstColumn="0" w:lastRowLastColumn="0"/>
            </w:pPr>
            <w:r w:rsidRPr="00643E5C">
              <w:t>67.2</w:t>
            </w:r>
          </w:p>
        </w:tc>
        <w:tc>
          <w:tcPr>
            <w:tcW w:w="1134" w:type="dxa"/>
            <w:vAlign w:val="bottom"/>
          </w:tcPr>
          <w:p w:rsidR="00643E5C" w:rsidRPr="00643E5C" w:rsidRDefault="00643E5C" w:rsidP="00643E5C">
            <w:pPr>
              <w:cnfStyle w:val="000000010000" w:firstRow="0" w:lastRow="0" w:firstColumn="0" w:lastColumn="0" w:oddVBand="0" w:evenVBand="0" w:oddHBand="0" w:evenHBand="1" w:firstRowFirstColumn="0" w:firstRowLastColumn="0" w:lastRowFirstColumn="0" w:lastRowLastColumn="0"/>
            </w:pPr>
            <w:r w:rsidRPr="00643E5C">
              <w:t>72.5</w:t>
            </w:r>
          </w:p>
        </w:tc>
        <w:tc>
          <w:tcPr>
            <w:tcW w:w="1134" w:type="dxa"/>
            <w:vAlign w:val="bottom"/>
          </w:tcPr>
          <w:p w:rsidR="00643E5C" w:rsidRPr="00643E5C" w:rsidRDefault="00643E5C" w:rsidP="00643E5C">
            <w:pPr>
              <w:cnfStyle w:val="000000010000" w:firstRow="0" w:lastRow="0" w:firstColumn="0" w:lastColumn="0" w:oddVBand="0" w:evenVBand="0" w:oddHBand="0" w:evenHBand="1" w:firstRowFirstColumn="0" w:firstRowLastColumn="0" w:lastRowFirstColumn="0" w:lastRowLastColumn="0"/>
            </w:pPr>
            <w:r w:rsidRPr="00643E5C">
              <w:t>72.7</w:t>
            </w:r>
          </w:p>
        </w:tc>
        <w:tc>
          <w:tcPr>
            <w:tcW w:w="1072" w:type="dxa"/>
            <w:vAlign w:val="bottom"/>
          </w:tcPr>
          <w:p w:rsidR="00643E5C" w:rsidRPr="00643E5C" w:rsidRDefault="00643E5C" w:rsidP="00643E5C">
            <w:pPr>
              <w:cnfStyle w:val="000000010000" w:firstRow="0" w:lastRow="0" w:firstColumn="0" w:lastColumn="0" w:oddVBand="0" w:evenVBand="0" w:oddHBand="0" w:evenHBand="1" w:firstRowFirstColumn="0" w:firstRowLastColumn="0" w:lastRowFirstColumn="0" w:lastRowLastColumn="0"/>
            </w:pPr>
            <w:r w:rsidRPr="00643E5C">
              <w:t>73.5</w:t>
            </w:r>
          </w:p>
        </w:tc>
      </w:tr>
      <w:tr w:rsidR="00643E5C" w:rsidRPr="00883D06" w:rsidTr="00643E5C">
        <w:tc>
          <w:tcPr>
            <w:cnfStyle w:val="001000000000" w:firstRow="0" w:lastRow="0" w:firstColumn="1" w:lastColumn="0" w:oddVBand="0" w:evenVBand="0" w:oddHBand="0" w:evenHBand="0" w:firstRowFirstColumn="0" w:firstRowLastColumn="0" w:lastRowFirstColumn="0" w:lastRowLastColumn="0"/>
            <w:tcW w:w="3085" w:type="dxa"/>
          </w:tcPr>
          <w:p w:rsidR="00643E5C" w:rsidRPr="00883D06" w:rsidRDefault="00643E5C" w:rsidP="00643E5C">
            <w:pPr>
              <w:rPr>
                <w:rStyle w:val="Strong"/>
              </w:rPr>
            </w:pPr>
            <w:r w:rsidRPr="00883D06">
              <w:rPr>
                <w:rStyle w:val="Strong"/>
              </w:rPr>
              <w:t>Closing RAB</w:t>
            </w:r>
          </w:p>
        </w:tc>
        <w:tc>
          <w:tcPr>
            <w:tcW w:w="1134" w:type="dxa"/>
            <w:vAlign w:val="bottom"/>
          </w:tcPr>
          <w:p w:rsidR="00643E5C" w:rsidRPr="00883D06" w:rsidRDefault="00643E5C" w:rsidP="00520727">
            <w:pPr>
              <w:cnfStyle w:val="000000000000" w:firstRow="0" w:lastRow="0" w:firstColumn="0" w:lastColumn="0" w:oddVBand="0" w:evenVBand="0" w:oddHBand="0" w:evenHBand="0" w:firstRowFirstColumn="0" w:firstRowLastColumn="0" w:lastRowFirstColumn="0" w:lastRowLastColumn="0"/>
              <w:rPr>
                <w:rStyle w:val="Strong"/>
              </w:rPr>
            </w:pPr>
            <w:r w:rsidRPr="00883D06">
              <w:rPr>
                <w:rStyle w:val="Strong"/>
              </w:rPr>
              <w:t>204</w:t>
            </w:r>
            <w:r w:rsidR="00520727">
              <w:rPr>
                <w:rStyle w:val="Strong"/>
              </w:rPr>
              <w:t>9.4</w:t>
            </w:r>
          </w:p>
        </w:tc>
        <w:tc>
          <w:tcPr>
            <w:tcW w:w="1134" w:type="dxa"/>
            <w:vAlign w:val="bottom"/>
          </w:tcPr>
          <w:p w:rsidR="00643E5C" w:rsidRPr="00883D06" w:rsidRDefault="00643E5C" w:rsidP="00520727">
            <w:pPr>
              <w:cnfStyle w:val="000000000000" w:firstRow="0" w:lastRow="0" w:firstColumn="0" w:lastColumn="0" w:oddVBand="0" w:evenVBand="0" w:oddHBand="0" w:evenHBand="0" w:firstRowFirstColumn="0" w:firstRowLastColumn="0" w:lastRowFirstColumn="0" w:lastRowLastColumn="0"/>
              <w:rPr>
                <w:rStyle w:val="Strong"/>
              </w:rPr>
            </w:pPr>
            <w:r w:rsidRPr="00883D06">
              <w:rPr>
                <w:rStyle w:val="Strong"/>
              </w:rPr>
              <w:t>208</w:t>
            </w:r>
            <w:r w:rsidR="00520727">
              <w:rPr>
                <w:rStyle w:val="Strong"/>
              </w:rPr>
              <w:t>6.2</w:t>
            </w:r>
          </w:p>
        </w:tc>
        <w:tc>
          <w:tcPr>
            <w:tcW w:w="1134" w:type="dxa"/>
            <w:vAlign w:val="bottom"/>
          </w:tcPr>
          <w:p w:rsidR="00643E5C" w:rsidRPr="00883D06" w:rsidRDefault="00643E5C" w:rsidP="00520727">
            <w:pPr>
              <w:cnfStyle w:val="000000000000" w:firstRow="0" w:lastRow="0" w:firstColumn="0" w:lastColumn="0" w:oddVBand="0" w:evenVBand="0" w:oddHBand="0" w:evenHBand="0" w:firstRowFirstColumn="0" w:firstRowLastColumn="0" w:lastRowFirstColumn="0" w:lastRowLastColumn="0"/>
              <w:rPr>
                <w:rStyle w:val="Strong"/>
              </w:rPr>
            </w:pPr>
            <w:r w:rsidRPr="00883D06">
              <w:rPr>
                <w:rStyle w:val="Strong"/>
              </w:rPr>
              <w:t>218</w:t>
            </w:r>
            <w:r w:rsidR="00520727">
              <w:rPr>
                <w:rStyle w:val="Strong"/>
              </w:rPr>
              <w:t>8.8</w:t>
            </w:r>
          </w:p>
        </w:tc>
        <w:tc>
          <w:tcPr>
            <w:tcW w:w="1134" w:type="dxa"/>
            <w:vAlign w:val="bottom"/>
          </w:tcPr>
          <w:p w:rsidR="00643E5C" w:rsidRPr="00883D06" w:rsidRDefault="00643E5C" w:rsidP="00520727">
            <w:pPr>
              <w:cnfStyle w:val="000000000000" w:firstRow="0" w:lastRow="0" w:firstColumn="0" w:lastColumn="0" w:oddVBand="0" w:evenVBand="0" w:oddHBand="0" w:evenHBand="0" w:firstRowFirstColumn="0" w:firstRowLastColumn="0" w:lastRowFirstColumn="0" w:lastRowLastColumn="0"/>
              <w:rPr>
                <w:rStyle w:val="Strong"/>
              </w:rPr>
            </w:pPr>
            <w:r w:rsidRPr="00883D06">
              <w:rPr>
                <w:rStyle w:val="Strong"/>
              </w:rPr>
              <w:t>222</w:t>
            </w:r>
            <w:r w:rsidR="00520727">
              <w:rPr>
                <w:rStyle w:val="Strong"/>
              </w:rPr>
              <w:t>9.1</w:t>
            </w:r>
          </w:p>
        </w:tc>
        <w:tc>
          <w:tcPr>
            <w:tcW w:w="1072" w:type="dxa"/>
            <w:vAlign w:val="bottom"/>
          </w:tcPr>
          <w:p w:rsidR="00643E5C" w:rsidRPr="00883D06" w:rsidRDefault="00643E5C" w:rsidP="00520727">
            <w:pPr>
              <w:cnfStyle w:val="000000000000" w:firstRow="0" w:lastRow="0" w:firstColumn="0" w:lastColumn="0" w:oddVBand="0" w:evenVBand="0" w:oddHBand="0" w:evenHBand="0" w:firstRowFirstColumn="0" w:firstRowLastColumn="0" w:lastRowFirstColumn="0" w:lastRowLastColumn="0"/>
              <w:rPr>
                <w:rStyle w:val="Strong"/>
              </w:rPr>
            </w:pPr>
            <w:r w:rsidRPr="00883D06">
              <w:rPr>
                <w:rStyle w:val="Strong"/>
              </w:rPr>
              <w:t>225</w:t>
            </w:r>
            <w:r w:rsidR="00520727">
              <w:rPr>
                <w:rStyle w:val="Strong"/>
              </w:rPr>
              <w:t>9.1</w:t>
            </w:r>
          </w:p>
        </w:tc>
      </w:tr>
    </w:tbl>
    <w:p w:rsidR="00CA062D" w:rsidRPr="00CA062D" w:rsidRDefault="00CA062D" w:rsidP="00CA062D">
      <w:pPr>
        <w:pStyle w:val="AERtablesource"/>
      </w:pPr>
      <w:r>
        <w:t xml:space="preserve">Source: </w:t>
      </w:r>
      <w:r>
        <w:tab/>
        <w:t xml:space="preserve">AER analysis. </w:t>
      </w:r>
    </w:p>
    <w:p w:rsidR="00CA062D" w:rsidRDefault="00CA062D" w:rsidP="00CA062D">
      <w:pPr>
        <w:pStyle w:val="AERtablesource"/>
      </w:pPr>
      <w:r>
        <w:t>(a)</w:t>
      </w:r>
      <w:r>
        <w:tab/>
      </w:r>
      <w:r w:rsidR="00D4289A">
        <w:t>N</w:t>
      </w:r>
      <w:r>
        <w:t>et of forecast disposals and capital contributions.</w:t>
      </w:r>
    </w:p>
    <w:p w:rsidR="00DE563D" w:rsidRPr="001754EE" w:rsidRDefault="009B6F84" w:rsidP="001754EE">
      <w:pPr>
        <w:pStyle w:val="Heading2"/>
      </w:pPr>
      <w:bookmarkStart w:id="18" w:name="_Toc413315032"/>
      <w:r>
        <w:t>Ausgrid</w:t>
      </w:r>
      <w:r w:rsidR="00415F31" w:rsidRPr="001754EE">
        <w:t>’s revised</w:t>
      </w:r>
      <w:r w:rsidR="00DE563D" w:rsidRPr="001754EE">
        <w:t xml:space="preserve"> proposal</w:t>
      </w:r>
      <w:bookmarkEnd w:id="13"/>
      <w:bookmarkEnd w:id="18"/>
    </w:p>
    <w:p w:rsidR="00CA062D" w:rsidRPr="00CA062D" w:rsidRDefault="00CA062D" w:rsidP="00CA062D">
      <w:r w:rsidRPr="00CA062D">
        <w:t>Ausgrid</w:t>
      </w:r>
      <w:r w:rsidR="009E735B">
        <w:t>'s revised</w:t>
      </w:r>
      <w:r w:rsidRPr="00CA062D">
        <w:t xml:space="preserve"> propos</w:t>
      </w:r>
      <w:r w:rsidR="009E735B">
        <w:t xml:space="preserve">al </w:t>
      </w:r>
      <w:r w:rsidR="0093413A">
        <w:t>submitted</w:t>
      </w:r>
      <w:r w:rsidRPr="00CA062D">
        <w:t xml:space="preserve"> opening RAB values as at 1 July 2014 of $12</w:t>
      </w:r>
      <w:r w:rsidR="009E735B">
        <w:t> </w:t>
      </w:r>
      <w:r w:rsidR="00374C7E">
        <w:t>251</w:t>
      </w:r>
      <w:r w:rsidR="009E735B">
        <w:t>.7 </w:t>
      </w:r>
      <w:r w:rsidRPr="00CA062D">
        <w:t>million and $</w:t>
      </w:r>
      <w:r w:rsidR="005A72EA">
        <w:t>2035.7</w:t>
      </w:r>
      <w:r w:rsidRPr="00CA062D">
        <w:t xml:space="preserve"> million ($ nominal) for its distribution and transmission networks respectively. </w:t>
      </w:r>
      <w:r w:rsidR="00374C7E">
        <w:t xml:space="preserve">Ausgrid </w:t>
      </w:r>
      <w:r w:rsidR="009E735B">
        <w:t xml:space="preserve">adopted all </w:t>
      </w:r>
      <w:r w:rsidR="00374C7E">
        <w:t>our draft decision adjustment</w:t>
      </w:r>
      <w:r w:rsidR="009E735B">
        <w:t>s</w:t>
      </w:r>
      <w:r w:rsidR="00374C7E">
        <w:t xml:space="preserve"> to roll forward the opening RAB from 1 July 2009 to </w:t>
      </w:r>
      <w:r w:rsidR="00C36785">
        <w:t>30 June</w:t>
      </w:r>
      <w:r w:rsidR="00374C7E">
        <w:t xml:space="preserve"> 2014.</w:t>
      </w:r>
      <w:r w:rsidR="00374C7E">
        <w:rPr>
          <w:rStyle w:val="FootnoteReference"/>
        </w:rPr>
        <w:footnoteReference w:id="4"/>
      </w:r>
      <w:r w:rsidRPr="00CA062D">
        <w:t xml:space="preserve"> </w:t>
      </w:r>
    </w:p>
    <w:p w:rsidR="00623D9A" w:rsidRDefault="00623D9A" w:rsidP="00CA062D">
      <w:r>
        <w:t>Ausgrid</w:t>
      </w:r>
      <w:r w:rsidR="009E735B">
        <w:t>'s revised</w:t>
      </w:r>
      <w:r>
        <w:t xml:space="preserve"> prop</w:t>
      </w:r>
      <w:r w:rsidR="00184ED3">
        <w:t>os</w:t>
      </w:r>
      <w:r w:rsidR="009E735B">
        <w:t xml:space="preserve">al </w:t>
      </w:r>
      <w:r w:rsidR="0093413A">
        <w:t xml:space="preserve">submitted </w:t>
      </w:r>
      <w:r w:rsidR="009E735B">
        <w:t>forecast</w:t>
      </w:r>
      <w:r>
        <w:t xml:space="preserve"> cl</w:t>
      </w:r>
      <w:r w:rsidR="00184ED3">
        <w:t>o</w:t>
      </w:r>
      <w:r>
        <w:t>sing RABs as at 30 June 2019 of $</w:t>
      </w:r>
      <w:r w:rsidR="00184ED3">
        <w:t>15</w:t>
      </w:r>
      <w:r w:rsidR="008961F3">
        <w:t> </w:t>
      </w:r>
      <w:r w:rsidR="00184ED3">
        <w:t>047</w:t>
      </w:r>
      <w:r w:rsidR="009E735B">
        <w:t>.0</w:t>
      </w:r>
      <w:r>
        <w:t xml:space="preserve"> million and $</w:t>
      </w:r>
      <w:r w:rsidR="00184ED3">
        <w:t>2359</w:t>
      </w:r>
      <w:r w:rsidR="009E735B">
        <w:t>.3</w:t>
      </w:r>
      <w:r>
        <w:t xml:space="preserve"> million ($ nominal) for its distribution </w:t>
      </w:r>
      <w:r w:rsidR="00184ED3">
        <w:t>a</w:t>
      </w:r>
      <w:r>
        <w:t>nd transmission network respectively. These values ref</w:t>
      </w:r>
      <w:r w:rsidR="00184ED3">
        <w:t xml:space="preserve">lect </w:t>
      </w:r>
      <w:r w:rsidR="009E735B">
        <w:t>its</w:t>
      </w:r>
      <w:r>
        <w:t xml:space="preserve"> revised forecast capex</w:t>
      </w:r>
      <w:r w:rsidR="004A2B4B">
        <w:t xml:space="preserve"> </w:t>
      </w:r>
      <w:r>
        <w:t xml:space="preserve">and </w:t>
      </w:r>
      <w:r w:rsidR="004A2B4B">
        <w:t xml:space="preserve">forecast </w:t>
      </w:r>
      <w:r>
        <w:t>depr</w:t>
      </w:r>
      <w:r w:rsidR="00184ED3">
        <w:t>e</w:t>
      </w:r>
      <w:r>
        <w:t xml:space="preserve">ciation </w:t>
      </w:r>
      <w:r w:rsidR="004A2B4B">
        <w:t xml:space="preserve">(based on forecast capex) </w:t>
      </w:r>
      <w:r>
        <w:t xml:space="preserve">over the 2014–19 period. Ausgrid's projected </w:t>
      </w:r>
      <w:r>
        <w:lastRenderedPageBreak/>
        <w:t>distribution</w:t>
      </w:r>
      <w:r w:rsidR="00184ED3">
        <w:t xml:space="preserve"> </w:t>
      </w:r>
      <w:r>
        <w:t>a</w:t>
      </w:r>
      <w:r w:rsidR="00184ED3">
        <w:t>n</w:t>
      </w:r>
      <w:r>
        <w:t>d transmission RABs over the 2014</w:t>
      </w:r>
      <w:r w:rsidR="009E735B">
        <w:t>–</w:t>
      </w:r>
      <w:r>
        <w:t>19</w:t>
      </w:r>
      <w:r w:rsidR="009E735B">
        <w:t xml:space="preserve"> </w:t>
      </w:r>
      <w:proofErr w:type="gramStart"/>
      <w:r>
        <w:t>period</w:t>
      </w:r>
      <w:proofErr w:type="gramEnd"/>
      <w:r>
        <w:t xml:space="preserve"> are </w:t>
      </w:r>
      <w:r w:rsidR="009E735B">
        <w:t xml:space="preserve">respectively </w:t>
      </w:r>
      <w:r>
        <w:t xml:space="preserve">shown in </w:t>
      </w:r>
      <w:r w:rsidR="00C22687">
        <w:fldChar w:fldCharType="begin"/>
      </w:r>
      <w:r w:rsidR="00C22687">
        <w:instrText xml:space="preserve"> REF _Ref412818769 \h </w:instrText>
      </w:r>
      <w:r w:rsidR="00C22687">
        <w:fldChar w:fldCharType="separate"/>
      </w:r>
      <w:r w:rsidR="007B36D6">
        <w:t xml:space="preserve">Table </w:t>
      </w:r>
      <w:r w:rsidR="007B36D6">
        <w:rPr>
          <w:noProof/>
        </w:rPr>
        <w:t>2</w:t>
      </w:r>
      <w:r w:rsidR="007B36D6">
        <w:t>.</w:t>
      </w:r>
      <w:r w:rsidR="007B36D6">
        <w:rPr>
          <w:noProof/>
        </w:rPr>
        <w:t>5</w:t>
      </w:r>
      <w:r w:rsidR="00C22687">
        <w:fldChar w:fldCharType="end"/>
      </w:r>
      <w:r w:rsidR="00CA062D" w:rsidRPr="00CA062D">
        <w:t xml:space="preserve"> and </w:t>
      </w:r>
      <w:r w:rsidR="00C22687">
        <w:fldChar w:fldCharType="begin"/>
      </w:r>
      <w:r w:rsidR="00C22687">
        <w:instrText xml:space="preserve"> REF _Ref412818783 \h </w:instrText>
      </w:r>
      <w:r w:rsidR="00C22687">
        <w:fldChar w:fldCharType="separate"/>
      </w:r>
      <w:r w:rsidR="007B36D6">
        <w:t xml:space="preserve">Table </w:t>
      </w:r>
      <w:r w:rsidR="007B36D6">
        <w:rPr>
          <w:noProof/>
        </w:rPr>
        <w:t>2</w:t>
      </w:r>
      <w:r w:rsidR="007B36D6">
        <w:t>.</w:t>
      </w:r>
      <w:r w:rsidR="007B36D6">
        <w:rPr>
          <w:noProof/>
        </w:rPr>
        <w:t>6</w:t>
      </w:r>
      <w:r w:rsidR="00C22687">
        <w:fldChar w:fldCharType="end"/>
      </w:r>
      <w:r>
        <w:t>.</w:t>
      </w:r>
    </w:p>
    <w:p w:rsidR="00184ED3" w:rsidRDefault="00C22687" w:rsidP="00C22687">
      <w:pPr>
        <w:pStyle w:val="Caption"/>
      </w:pPr>
      <w:bookmarkStart w:id="19" w:name="_Ref412818769"/>
      <w:proofErr w:type="gramStart"/>
      <w:r>
        <w:t xml:space="preserve">Table </w:t>
      </w:r>
      <w:proofErr w:type="gramEnd"/>
      <w:r w:rsidR="003604E3">
        <w:fldChar w:fldCharType="begin"/>
      </w:r>
      <w:r w:rsidR="003604E3">
        <w:instrText xml:space="preserve"> STYLEREF 1 \s </w:instrText>
      </w:r>
      <w:r w:rsidR="003604E3">
        <w:fldChar w:fldCharType="separate"/>
      </w:r>
      <w:r w:rsidR="007B36D6">
        <w:rPr>
          <w:noProof/>
        </w:rPr>
        <w:t>2</w:t>
      </w:r>
      <w:r w:rsidR="003604E3">
        <w:rPr>
          <w:noProof/>
        </w:rPr>
        <w:fldChar w:fldCharType="end"/>
      </w:r>
      <w:proofErr w:type="gramStart"/>
      <w:r w:rsidR="007B36D6">
        <w:t>.</w:t>
      </w:r>
      <w:proofErr w:type="gramEnd"/>
      <w:r w:rsidR="0009094F">
        <w:fldChar w:fldCharType="begin"/>
      </w:r>
      <w:r w:rsidR="0009094F">
        <w:instrText xml:space="preserve"> SEQ Table \* ARABIC \s 1 </w:instrText>
      </w:r>
      <w:r w:rsidR="0009094F">
        <w:fldChar w:fldCharType="separate"/>
      </w:r>
      <w:r w:rsidR="007B36D6">
        <w:rPr>
          <w:noProof/>
        </w:rPr>
        <w:t>5</w:t>
      </w:r>
      <w:r w:rsidR="0009094F">
        <w:rPr>
          <w:noProof/>
        </w:rPr>
        <w:fldChar w:fldCharType="end"/>
      </w:r>
      <w:bookmarkEnd w:id="19"/>
      <w:r>
        <w:tab/>
      </w:r>
      <w:proofErr w:type="spellStart"/>
      <w:r>
        <w:t>Ausgrid's</w:t>
      </w:r>
      <w:proofErr w:type="spellEnd"/>
      <w:r>
        <w:t xml:space="preserve"> proposed RAB for the 2014–19 period ($ million, nominal) </w:t>
      </w:r>
      <w:r w:rsidR="009E735B">
        <w:t>–</w:t>
      </w:r>
      <w:r>
        <w:t xml:space="preserve"> distribution</w:t>
      </w:r>
    </w:p>
    <w:tbl>
      <w:tblPr>
        <w:tblStyle w:val="AERtable-numbers"/>
        <w:tblW w:w="0" w:type="auto"/>
        <w:tblLook w:val="04A0" w:firstRow="1" w:lastRow="0" w:firstColumn="1" w:lastColumn="0" w:noHBand="0" w:noVBand="1"/>
      </w:tblPr>
      <w:tblGrid>
        <w:gridCol w:w="3085"/>
        <w:gridCol w:w="1134"/>
        <w:gridCol w:w="1134"/>
        <w:gridCol w:w="1134"/>
        <w:gridCol w:w="1134"/>
        <w:gridCol w:w="1072"/>
      </w:tblGrid>
      <w:tr w:rsidR="00184ED3" w:rsidTr="00E57B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4ED3" w:rsidRDefault="00184ED3" w:rsidP="00184ED3"/>
        </w:tc>
        <w:tc>
          <w:tcPr>
            <w:tcW w:w="1134" w:type="dxa"/>
          </w:tcPr>
          <w:p w:rsidR="00184ED3" w:rsidRPr="00184ED3" w:rsidRDefault="00184ED3" w:rsidP="00184ED3">
            <w:pPr>
              <w:cnfStyle w:val="100000000000" w:firstRow="1" w:lastRow="0" w:firstColumn="0" w:lastColumn="0" w:oddVBand="0" w:evenVBand="0" w:oddHBand="0" w:evenHBand="0" w:firstRowFirstColumn="0" w:firstRowLastColumn="0" w:lastRowFirstColumn="0" w:lastRowLastColumn="0"/>
            </w:pPr>
            <w:r>
              <w:t>20</w:t>
            </w:r>
            <w:r w:rsidRPr="00184ED3">
              <w:t>14–15</w:t>
            </w:r>
          </w:p>
        </w:tc>
        <w:tc>
          <w:tcPr>
            <w:tcW w:w="1134" w:type="dxa"/>
          </w:tcPr>
          <w:p w:rsidR="00184ED3" w:rsidRPr="00184ED3" w:rsidRDefault="00184ED3" w:rsidP="00184ED3">
            <w:pPr>
              <w:cnfStyle w:val="100000000000" w:firstRow="1" w:lastRow="0" w:firstColumn="0" w:lastColumn="0" w:oddVBand="0" w:evenVBand="0" w:oddHBand="0" w:evenHBand="0" w:firstRowFirstColumn="0" w:firstRowLastColumn="0" w:lastRowFirstColumn="0" w:lastRowLastColumn="0"/>
            </w:pPr>
            <w:r>
              <w:t>201</w:t>
            </w:r>
            <w:r w:rsidRPr="00184ED3">
              <w:t>5–16</w:t>
            </w:r>
          </w:p>
        </w:tc>
        <w:tc>
          <w:tcPr>
            <w:tcW w:w="1134" w:type="dxa"/>
          </w:tcPr>
          <w:p w:rsidR="00184ED3" w:rsidRPr="00184ED3" w:rsidRDefault="00184ED3" w:rsidP="00184ED3">
            <w:pPr>
              <w:cnfStyle w:val="100000000000" w:firstRow="1" w:lastRow="0" w:firstColumn="0" w:lastColumn="0" w:oddVBand="0" w:evenVBand="0" w:oddHBand="0" w:evenHBand="0" w:firstRowFirstColumn="0" w:firstRowLastColumn="0" w:lastRowFirstColumn="0" w:lastRowLastColumn="0"/>
            </w:pPr>
            <w:r>
              <w:t>201</w:t>
            </w:r>
            <w:r w:rsidRPr="00184ED3">
              <w:t>6–17</w:t>
            </w:r>
          </w:p>
        </w:tc>
        <w:tc>
          <w:tcPr>
            <w:tcW w:w="1134" w:type="dxa"/>
          </w:tcPr>
          <w:p w:rsidR="00184ED3" w:rsidRPr="00184ED3" w:rsidRDefault="00184ED3" w:rsidP="00184ED3">
            <w:pPr>
              <w:cnfStyle w:val="100000000000" w:firstRow="1" w:lastRow="0" w:firstColumn="0" w:lastColumn="0" w:oddVBand="0" w:evenVBand="0" w:oddHBand="0" w:evenHBand="0" w:firstRowFirstColumn="0" w:firstRowLastColumn="0" w:lastRowFirstColumn="0" w:lastRowLastColumn="0"/>
            </w:pPr>
            <w:r>
              <w:t>201</w:t>
            </w:r>
            <w:r w:rsidRPr="00184ED3">
              <w:t>7–18</w:t>
            </w:r>
          </w:p>
        </w:tc>
        <w:tc>
          <w:tcPr>
            <w:tcW w:w="1072" w:type="dxa"/>
          </w:tcPr>
          <w:p w:rsidR="00184ED3" w:rsidRPr="00184ED3" w:rsidRDefault="00184ED3" w:rsidP="00184ED3">
            <w:pPr>
              <w:cnfStyle w:val="100000000000" w:firstRow="1" w:lastRow="0" w:firstColumn="0" w:lastColumn="0" w:oddVBand="0" w:evenVBand="0" w:oddHBand="0" w:evenHBand="0" w:firstRowFirstColumn="0" w:firstRowLastColumn="0" w:lastRowFirstColumn="0" w:lastRowLastColumn="0"/>
            </w:pPr>
            <w:r>
              <w:t>201</w:t>
            </w:r>
            <w:r w:rsidRPr="00184ED3">
              <w:t>8–19</w:t>
            </w:r>
          </w:p>
        </w:tc>
      </w:tr>
      <w:tr w:rsidR="00184ED3" w:rsidTr="00E57BBE">
        <w:tc>
          <w:tcPr>
            <w:cnfStyle w:val="001000000000" w:firstRow="0" w:lastRow="0" w:firstColumn="1" w:lastColumn="0" w:oddVBand="0" w:evenVBand="0" w:oddHBand="0" w:evenHBand="0" w:firstRowFirstColumn="0" w:firstRowLastColumn="0" w:lastRowFirstColumn="0" w:lastRowLastColumn="0"/>
            <w:tcW w:w="3085" w:type="dxa"/>
          </w:tcPr>
          <w:p w:rsidR="00184ED3" w:rsidRPr="00184ED3" w:rsidRDefault="00184ED3" w:rsidP="00184ED3">
            <w:r>
              <w:t>Opening RAB</w:t>
            </w:r>
          </w:p>
        </w:tc>
        <w:tc>
          <w:tcPr>
            <w:tcW w:w="1134" w:type="dxa"/>
          </w:tcPr>
          <w:p w:rsidR="00184ED3" w:rsidRDefault="00C22687" w:rsidP="00184ED3">
            <w:pPr>
              <w:cnfStyle w:val="000000000000" w:firstRow="0" w:lastRow="0" w:firstColumn="0" w:lastColumn="0" w:oddVBand="0" w:evenVBand="0" w:oddHBand="0" w:evenHBand="0" w:firstRowFirstColumn="0" w:firstRowLastColumn="0" w:lastRowFirstColumn="0" w:lastRowLastColumn="0"/>
            </w:pPr>
            <w:r>
              <w:t>12251.7</w:t>
            </w:r>
          </w:p>
        </w:tc>
        <w:tc>
          <w:tcPr>
            <w:tcW w:w="1134" w:type="dxa"/>
          </w:tcPr>
          <w:p w:rsidR="00184ED3" w:rsidRDefault="00C22687" w:rsidP="00184ED3">
            <w:pPr>
              <w:cnfStyle w:val="000000000000" w:firstRow="0" w:lastRow="0" w:firstColumn="0" w:lastColumn="0" w:oddVBand="0" w:evenVBand="0" w:oddHBand="0" w:evenHBand="0" w:firstRowFirstColumn="0" w:firstRowLastColumn="0" w:lastRowFirstColumn="0" w:lastRowLastColumn="0"/>
            </w:pPr>
            <w:r>
              <w:t>12821.6</w:t>
            </w:r>
          </w:p>
        </w:tc>
        <w:tc>
          <w:tcPr>
            <w:tcW w:w="1134" w:type="dxa"/>
          </w:tcPr>
          <w:p w:rsidR="00184ED3" w:rsidRDefault="00C22687" w:rsidP="00184ED3">
            <w:pPr>
              <w:cnfStyle w:val="000000000000" w:firstRow="0" w:lastRow="0" w:firstColumn="0" w:lastColumn="0" w:oddVBand="0" w:evenVBand="0" w:oddHBand="0" w:evenHBand="0" w:firstRowFirstColumn="0" w:firstRowLastColumn="0" w:lastRowFirstColumn="0" w:lastRowLastColumn="0"/>
            </w:pPr>
            <w:r>
              <w:t>13451.4</w:t>
            </w:r>
          </w:p>
        </w:tc>
        <w:tc>
          <w:tcPr>
            <w:tcW w:w="1134" w:type="dxa"/>
          </w:tcPr>
          <w:p w:rsidR="00184ED3" w:rsidRDefault="00C22687" w:rsidP="00184ED3">
            <w:pPr>
              <w:cnfStyle w:val="000000000000" w:firstRow="0" w:lastRow="0" w:firstColumn="0" w:lastColumn="0" w:oddVBand="0" w:evenVBand="0" w:oddHBand="0" w:evenHBand="0" w:firstRowFirstColumn="0" w:firstRowLastColumn="0" w:lastRowFirstColumn="0" w:lastRowLastColumn="0"/>
            </w:pPr>
            <w:r>
              <w:t>13999.1</w:t>
            </w:r>
          </w:p>
        </w:tc>
        <w:tc>
          <w:tcPr>
            <w:tcW w:w="1072" w:type="dxa"/>
          </w:tcPr>
          <w:p w:rsidR="00184ED3" w:rsidRDefault="00C22687" w:rsidP="00184ED3">
            <w:pPr>
              <w:cnfStyle w:val="000000000000" w:firstRow="0" w:lastRow="0" w:firstColumn="0" w:lastColumn="0" w:oddVBand="0" w:evenVBand="0" w:oddHBand="0" w:evenHBand="0" w:firstRowFirstColumn="0" w:firstRowLastColumn="0" w:lastRowFirstColumn="0" w:lastRowLastColumn="0"/>
            </w:pPr>
            <w:r>
              <w:t>14572.2</w:t>
            </w:r>
          </w:p>
        </w:tc>
      </w:tr>
      <w:tr w:rsidR="00184ED3" w:rsidTr="00E57B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4ED3" w:rsidRPr="00184ED3" w:rsidRDefault="00184ED3" w:rsidP="00184ED3">
            <w:r>
              <w:t>Capital expenditure</w:t>
            </w:r>
            <w:r w:rsidRPr="00184ED3">
              <w:rPr>
                <w:rStyle w:val="AERsuperscript"/>
              </w:rPr>
              <w:t>a</w:t>
            </w:r>
          </w:p>
        </w:tc>
        <w:tc>
          <w:tcPr>
            <w:tcW w:w="1134" w:type="dxa"/>
          </w:tcPr>
          <w:p w:rsidR="00184ED3" w:rsidRDefault="00C22687" w:rsidP="00184ED3">
            <w:pPr>
              <w:cnfStyle w:val="000000010000" w:firstRow="0" w:lastRow="0" w:firstColumn="0" w:lastColumn="0" w:oddVBand="0" w:evenVBand="0" w:oddHBand="0" w:evenHBand="1" w:firstRowFirstColumn="0" w:firstRowLastColumn="0" w:lastRowFirstColumn="0" w:lastRowLastColumn="0"/>
            </w:pPr>
            <w:r>
              <w:t>702.5</w:t>
            </w:r>
          </w:p>
        </w:tc>
        <w:tc>
          <w:tcPr>
            <w:tcW w:w="1134" w:type="dxa"/>
          </w:tcPr>
          <w:p w:rsidR="00184ED3" w:rsidRDefault="00C22687" w:rsidP="00184ED3">
            <w:pPr>
              <w:cnfStyle w:val="000000010000" w:firstRow="0" w:lastRow="0" w:firstColumn="0" w:lastColumn="0" w:oddVBand="0" w:evenVBand="0" w:oddHBand="0" w:evenHBand="1" w:firstRowFirstColumn="0" w:firstRowLastColumn="0" w:lastRowFirstColumn="0" w:lastRowLastColumn="0"/>
            </w:pPr>
            <w:r>
              <w:t>782.1</w:t>
            </w:r>
          </w:p>
        </w:tc>
        <w:tc>
          <w:tcPr>
            <w:tcW w:w="1134" w:type="dxa"/>
          </w:tcPr>
          <w:p w:rsidR="00184ED3" w:rsidRDefault="00C22687" w:rsidP="00184ED3">
            <w:pPr>
              <w:cnfStyle w:val="000000010000" w:firstRow="0" w:lastRow="0" w:firstColumn="0" w:lastColumn="0" w:oddVBand="0" w:evenVBand="0" w:oddHBand="0" w:evenHBand="1" w:firstRowFirstColumn="0" w:firstRowLastColumn="0" w:lastRowFirstColumn="0" w:lastRowLastColumn="0"/>
            </w:pPr>
            <w:r>
              <w:t>721.8</w:t>
            </w:r>
          </w:p>
        </w:tc>
        <w:tc>
          <w:tcPr>
            <w:tcW w:w="1134" w:type="dxa"/>
          </w:tcPr>
          <w:p w:rsidR="00184ED3" w:rsidRDefault="00C22687" w:rsidP="00184ED3">
            <w:pPr>
              <w:cnfStyle w:val="000000010000" w:firstRow="0" w:lastRow="0" w:firstColumn="0" w:lastColumn="0" w:oddVBand="0" w:evenVBand="0" w:oddHBand="0" w:evenHBand="1" w:firstRowFirstColumn="0" w:firstRowLastColumn="0" w:lastRowFirstColumn="0" w:lastRowLastColumn="0"/>
            </w:pPr>
            <w:r>
              <w:t>717.9</w:t>
            </w:r>
          </w:p>
        </w:tc>
        <w:tc>
          <w:tcPr>
            <w:tcW w:w="1072" w:type="dxa"/>
          </w:tcPr>
          <w:p w:rsidR="00184ED3" w:rsidRDefault="00C22687" w:rsidP="00184ED3">
            <w:pPr>
              <w:cnfStyle w:val="000000010000" w:firstRow="0" w:lastRow="0" w:firstColumn="0" w:lastColumn="0" w:oddVBand="0" w:evenVBand="0" w:oddHBand="0" w:evenHBand="1" w:firstRowFirstColumn="0" w:firstRowLastColumn="0" w:lastRowFirstColumn="0" w:lastRowLastColumn="0"/>
            </w:pPr>
            <w:r>
              <w:t>621.5</w:t>
            </w:r>
          </w:p>
        </w:tc>
      </w:tr>
      <w:tr w:rsidR="00184ED3" w:rsidTr="00E57BBE">
        <w:tc>
          <w:tcPr>
            <w:cnfStyle w:val="001000000000" w:firstRow="0" w:lastRow="0" w:firstColumn="1" w:lastColumn="0" w:oddVBand="0" w:evenVBand="0" w:oddHBand="0" w:evenHBand="0" w:firstRowFirstColumn="0" w:firstRowLastColumn="0" w:lastRowFirstColumn="0" w:lastRowLastColumn="0"/>
            <w:tcW w:w="3085" w:type="dxa"/>
          </w:tcPr>
          <w:p w:rsidR="00184ED3" w:rsidRPr="00184ED3" w:rsidRDefault="00184ED3" w:rsidP="00184ED3">
            <w:r>
              <w:t>Inflation indexation on opening RAB</w:t>
            </w:r>
          </w:p>
        </w:tc>
        <w:tc>
          <w:tcPr>
            <w:tcW w:w="1134" w:type="dxa"/>
          </w:tcPr>
          <w:p w:rsidR="00184ED3" w:rsidRDefault="00C22687" w:rsidP="00184ED3">
            <w:pPr>
              <w:cnfStyle w:val="000000000000" w:firstRow="0" w:lastRow="0" w:firstColumn="0" w:lastColumn="0" w:oddVBand="0" w:evenVBand="0" w:oddHBand="0" w:evenHBand="0" w:firstRowFirstColumn="0" w:firstRowLastColumn="0" w:lastRowFirstColumn="0" w:lastRowLastColumn="0"/>
            </w:pPr>
            <w:r>
              <w:t>306.3</w:t>
            </w:r>
          </w:p>
        </w:tc>
        <w:tc>
          <w:tcPr>
            <w:tcW w:w="1134" w:type="dxa"/>
          </w:tcPr>
          <w:p w:rsidR="00184ED3" w:rsidRDefault="00C22687" w:rsidP="00184ED3">
            <w:pPr>
              <w:cnfStyle w:val="000000000000" w:firstRow="0" w:lastRow="0" w:firstColumn="0" w:lastColumn="0" w:oddVBand="0" w:evenVBand="0" w:oddHBand="0" w:evenHBand="0" w:firstRowFirstColumn="0" w:firstRowLastColumn="0" w:lastRowFirstColumn="0" w:lastRowLastColumn="0"/>
            </w:pPr>
            <w:r>
              <w:t>320.5</w:t>
            </w:r>
          </w:p>
        </w:tc>
        <w:tc>
          <w:tcPr>
            <w:tcW w:w="1134" w:type="dxa"/>
          </w:tcPr>
          <w:p w:rsidR="00184ED3" w:rsidRDefault="00C22687" w:rsidP="00184ED3">
            <w:pPr>
              <w:cnfStyle w:val="000000000000" w:firstRow="0" w:lastRow="0" w:firstColumn="0" w:lastColumn="0" w:oddVBand="0" w:evenVBand="0" w:oddHBand="0" w:evenHBand="0" w:firstRowFirstColumn="0" w:firstRowLastColumn="0" w:lastRowFirstColumn="0" w:lastRowLastColumn="0"/>
            </w:pPr>
            <w:r>
              <w:t>336.3</w:t>
            </w:r>
          </w:p>
        </w:tc>
        <w:tc>
          <w:tcPr>
            <w:tcW w:w="1134" w:type="dxa"/>
          </w:tcPr>
          <w:p w:rsidR="00184ED3" w:rsidRDefault="00C22687" w:rsidP="00184ED3">
            <w:pPr>
              <w:cnfStyle w:val="000000000000" w:firstRow="0" w:lastRow="0" w:firstColumn="0" w:lastColumn="0" w:oddVBand="0" w:evenVBand="0" w:oddHBand="0" w:evenHBand="0" w:firstRowFirstColumn="0" w:firstRowLastColumn="0" w:lastRowFirstColumn="0" w:lastRowLastColumn="0"/>
            </w:pPr>
            <w:r>
              <w:t>350.0</w:t>
            </w:r>
          </w:p>
        </w:tc>
        <w:tc>
          <w:tcPr>
            <w:tcW w:w="1072" w:type="dxa"/>
          </w:tcPr>
          <w:p w:rsidR="00184ED3" w:rsidRDefault="00C22687" w:rsidP="00184ED3">
            <w:pPr>
              <w:cnfStyle w:val="000000000000" w:firstRow="0" w:lastRow="0" w:firstColumn="0" w:lastColumn="0" w:oddVBand="0" w:evenVBand="0" w:oddHBand="0" w:evenHBand="0" w:firstRowFirstColumn="0" w:firstRowLastColumn="0" w:lastRowFirstColumn="0" w:lastRowLastColumn="0"/>
            </w:pPr>
            <w:r>
              <w:t>364.3</w:t>
            </w:r>
          </w:p>
        </w:tc>
      </w:tr>
      <w:tr w:rsidR="00184ED3" w:rsidTr="00E57B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4ED3" w:rsidRPr="00184ED3" w:rsidRDefault="00184ED3" w:rsidP="00184ED3">
            <w:r w:rsidRPr="0035742C">
              <w:rPr>
                <w:rStyle w:val="AERtextitalic"/>
              </w:rPr>
              <w:t>Less:</w:t>
            </w:r>
            <w:r w:rsidRPr="00184ED3">
              <w:t xml:space="preserve"> straight-line depreciation</w:t>
            </w:r>
          </w:p>
        </w:tc>
        <w:tc>
          <w:tcPr>
            <w:tcW w:w="1134" w:type="dxa"/>
          </w:tcPr>
          <w:p w:rsidR="00184ED3" w:rsidRDefault="00C22687" w:rsidP="00184ED3">
            <w:pPr>
              <w:cnfStyle w:val="000000010000" w:firstRow="0" w:lastRow="0" w:firstColumn="0" w:lastColumn="0" w:oddVBand="0" w:evenVBand="0" w:oddHBand="0" w:evenHBand="1" w:firstRowFirstColumn="0" w:firstRowLastColumn="0" w:lastRowFirstColumn="0" w:lastRowLastColumn="0"/>
            </w:pPr>
            <w:r>
              <w:t>438.8</w:t>
            </w:r>
          </w:p>
        </w:tc>
        <w:tc>
          <w:tcPr>
            <w:tcW w:w="1134" w:type="dxa"/>
          </w:tcPr>
          <w:p w:rsidR="00184ED3" w:rsidRDefault="00C22687" w:rsidP="00184ED3">
            <w:pPr>
              <w:cnfStyle w:val="000000010000" w:firstRow="0" w:lastRow="0" w:firstColumn="0" w:lastColumn="0" w:oddVBand="0" w:evenVBand="0" w:oddHBand="0" w:evenHBand="1" w:firstRowFirstColumn="0" w:firstRowLastColumn="0" w:lastRowFirstColumn="0" w:lastRowLastColumn="0"/>
            </w:pPr>
            <w:r>
              <w:t>472.8</w:t>
            </w:r>
          </w:p>
        </w:tc>
        <w:tc>
          <w:tcPr>
            <w:tcW w:w="1134" w:type="dxa"/>
          </w:tcPr>
          <w:p w:rsidR="00184ED3" w:rsidRDefault="00C22687" w:rsidP="00184ED3">
            <w:pPr>
              <w:cnfStyle w:val="000000010000" w:firstRow="0" w:lastRow="0" w:firstColumn="0" w:lastColumn="0" w:oddVBand="0" w:evenVBand="0" w:oddHBand="0" w:evenHBand="1" w:firstRowFirstColumn="0" w:firstRowLastColumn="0" w:lastRowFirstColumn="0" w:lastRowLastColumn="0"/>
            </w:pPr>
            <w:r>
              <w:t>510.4</w:t>
            </w:r>
          </w:p>
        </w:tc>
        <w:tc>
          <w:tcPr>
            <w:tcW w:w="1134" w:type="dxa"/>
          </w:tcPr>
          <w:p w:rsidR="00184ED3" w:rsidRDefault="00C22687" w:rsidP="00184ED3">
            <w:pPr>
              <w:cnfStyle w:val="000000010000" w:firstRow="0" w:lastRow="0" w:firstColumn="0" w:lastColumn="0" w:oddVBand="0" w:evenVBand="0" w:oddHBand="0" w:evenHBand="1" w:firstRowFirstColumn="0" w:firstRowLastColumn="0" w:lastRowFirstColumn="0" w:lastRowLastColumn="0"/>
            </w:pPr>
            <w:r>
              <w:t>494.9</w:t>
            </w:r>
          </w:p>
        </w:tc>
        <w:tc>
          <w:tcPr>
            <w:tcW w:w="1072" w:type="dxa"/>
          </w:tcPr>
          <w:p w:rsidR="00184ED3" w:rsidRDefault="00C22687" w:rsidP="00184ED3">
            <w:pPr>
              <w:cnfStyle w:val="000000010000" w:firstRow="0" w:lastRow="0" w:firstColumn="0" w:lastColumn="0" w:oddVBand="0" w:evenVBand="0" w:oddHBand="0" w:evenHBand="1" w:firstRowFirstColumn="0" w:firstRowLastColumn="0" w:lastRowFirstColumn="0" w:lastRowLastColumn="0"/>
            </w:pPr>
            <w:r>
              <w:t>511.0</w:t>
            </w:r>
          </w:p>
        </w:tc>
      </w:tr>
      <w:tr w:rsidR="00184ED3" w:rsidRPr="00883D06" w:rsidTr="00E57BBE">
        <w:tc>
          <w:tcPr>
            <w:cnfStyle w:val="001000000000" w:firstRow="0" w:lastRow="0" w:firstColumn="1" w:lastColumn="0" w:oddVBand="0" w:evenVBand="0" w:oddHBand="0" w:evenHBand="0" w:firstRowFirstColumn="0" w:firstRowLastColumn="0" w:lastRowFirstColumn="0" w:lastRowLastColumn="0"/>
            <w:tcW w:w="3085" w:type="dxa"/>
          </w:tcPr>
          <w:p w:rsidR="00184ED3" w:rsidRPr="00883D06" w:rsidRDefault="00184ED3" w:rsidP="00184ED3">
            <w:pPr>
              <w:rPr>
                <w:rStyle w:val="Strong"/>
              </w:rPr>
            </w:pPr>
            <w:r w:rsidRPr="00883D06">
              <w:rPr>
                <w:rStyle w:val="Strong"/>
              </w:rPr>
              <w:t>Closing RAB</w:t>
            </w:r>
          </w:p>
        </w:tc>
        <w:tc>
          <w:tcPr>
            <w:tcW w:w="1134" w:type="dxa"/>
          </w:tcPr>
          <w:p w:rsidR="00184ED3" w:rsidRPr="00883D06" w:rsidRDefault="00C22687" w:rsidP="00184ED3">
            <w:pPr>
              <w:cnfStyle w:val="000000000000" w:firstRow="0" w:lastRow="0" w:firstColumn="0" w:lastColumn="0" w:oddVBand="0" w:evenVBand="0" w:oddHBand="0" w:evenHBand="0" w:firstRowFirstColumn="0" w:firstRowLastColumn="0" w:lastRowFirstColumn="0" w:lastRowLastColumn="0"/>
              <w:rPr>
                <w:rStyle w:val="Strong"/>
              </w:rPr>
            </w:pPr>
            <w:r w:rsidRPr="00883D06">
              <w:rPr>
                <w:rStyle w:val="Strong"/>
              </w:rPr>
              <w:t>12821.6</w:t>
            </w:r>
          </w:p>
        </w:tc>
        <w:tc>
          <w:tcPr>
            <w:tcW w:w="1134" w:type="dxa"/>
          </w:tcPr>
          <w:p w:rsidR="00184ED3" w:rsidRPr="00883D06" w:rsidRDefault="00C22687" w:rsidP="00184ED3">
            <w:pPr>
              <w:cnfStyle w:val="000000000000" w:firstRow="0" w:lastRow="0" w:firstColumn="0" w:lastColumn="0" w:oddVBand="0" w:evenVBand="0" w:oddHBand="0" w:evenHBand="0" w:firstRowFirstColumn="0" w:firstRowLastColumn="0" w:lastRowFirstColumn="0" w:lastRowLastColumn="0"/>
              <w:rPr>
                <w:rStyle w:val="Strong"/>
              </w:rPr>
            </w:pPr>
            <w:r w:rsidRPr="00883D06">
              <w:rPr>
                <w:rStyle w:val="Strong"/>
              </w:rPr>
              <w:t>13451.4</w:t>
            </w:r>
          </w:p>
        </w:tc>
        <w:tc>
          <w:tcPr>
            <w:tcW w:w="1134" w:type="dxa"/>
          </w:tcPr>
          <w:p w:rsidR="00184ED3" w:rsidRPr="00883D06" w:rsidRDefault="00C22687" w:rsidP="00184ED3">
            <w:pPr>
              <w:cnfStyle w:val="000000000000" w:firstRow="0" w:lastRow="0" w:firstColumn="0" w:lastColumn="0" w:oddVBand="0" w:evenVBand="0" w:oddHBand="0" w:evenHBand="0" w:firstRowFirstColumn="0" w:firstRowLastColumn="0" w:lastRowFirstColumn="0" w:lastRowLastColumn="0"/>
              <w:rPr>
                <w:rStyle w:val="Strong"/>
              </w:rPr>
            </w:pPr>
            <w:r w:rsidRPr="00883D06">
              <w:rPr>
                <w:rStyle w:val="Strong"/>
              </w:rPr>
              <w:t>13999.1</w:t>
            </w:r>
          </w:p>
        </w:tc>
        <w:tc>
          <w:tcPr>
            <w:tcW w:w="1134" w:type="dxa"/>
          </w:tcPr>
          <w:p w:rsidR="00184ED3" w:rsidRPr="00883D06" w:rsidRDefault="00C22687" w:rsidP="00184ED3">
            <w:pPr>
              <w:cnfStyle w:val="000000000000" w:firstRow="0" w:lastRow="0" w:firstColumn="0" w:lastColumn="0" w:oddVBand="0" w:evenVBand="0" w:oddHBand="0" w:evenHBand="0" w:firstRowFirstColumn="0" w:firstRowLastColumn="0" w:lastRowFirstColumn="0" w:lastRowLastColumn="0"/>
              <w:rPr>
                <w:rStyle w:val="Strong"/>
              </w:rPr>
            </w:pPr>
            <w:r w:rsidRPr="00883D06">
              <w:rPr>
                <w:rStyle w:val="Strong"/>
              </w:rPr>
              <w:t>14572.2</w:t>
            </w:r>
          </w:p>
        </w:tc>
        <w:tc>
          <w:tcPr>
            <w:tcW w:w="1072" w:type="dxa"/>
          </w:tcPr>
          <w:p w:rsidR="00184ED3" w:rsidRPr="00883D06" w:rsidRDefault="00C22687" w:rsidP="00184ED3">
            <w:pPr>
              <w:cnfStyle w:val="000000000000" w:firstRow="0" w:lastRow="0" w:firstColumn="0" w:lastColumn="0" w:oddVBand="0" w:evenVBand="0" w:oddHBand="0" w:evenHBand="0" w:firstRowFirstColumn="0" w:firstRowLastColumn="0" w:lastRowFirstColumn="0" w:lastRowLastColumn="0"/>
              <w:rPr>
                <w:rStyle w:val="Strong"/>
              </w:rPr>
            </w:pPr>
            <w:r w:rsidRPr="00883D06">
              <w:rPr>
                <w:rStyle w:val="Strong"/>
              </w:rPr>
              <w:t>15047.0</w:t>
            </w:r>
          </w:p>
        </w:tc>
      </w:tr>
    </w:tbl>
    <w:p w:rsidR="00184ED3" w:rsidRDefault="00184ED3" w:rsidP="00184ED3">
      <w:pPr>
        <w:pStyle w:val="AERtablesource"/>
      </w:pPr>
      <w:r>
        <w:t>Source:</w:t>
      </w:r>
      <w:r>
        <w:tab/>
      </w:r>
      <w:proofErr w:type="spellStart"/>
      <w:proofErr w:type="gramStart"/>
      <w:r>
        <w:t>Ausgrid</w:t>
      </w:r>
      <w:proofErr w:type="spellEnd"/>
      <w:r>
        <w:t>,</w:t>
      </w:r>
      <w:proofErr w:type="gramEnd"/>
      <w:r>
        <w:t xml:space="preserve"> </w:t>
      </w:r>
      <w:r w:rsidRPr="00C22687">
        <w:rPr>
          <w:rStyle w:val="AERtextitalic"/>
        </w:rPr>
        <w:t>Revised regulatory proposal</w:t>
      </w:r>
      <w:r>
        <w:t>, January 2015, Attachment 4.08.</w:t>
      </w:r>
      <w:r w:rsidRPr="00184ED3">
        <w:t xml:space="preserve"> </w:t>
      </w:r>
    </w:p>
    <w:p w:rsidR="00184ED3" w:rsidRDefault="00184ED3" w:rsidP="00184ED3">
      <w:pPr>
        <w:pStyle w:val="AERtablesource"/>
      </w:pPr>
      <w:r>
        <w:t>(a)</w:t>
      </w:r>
      <w:r>
        <w:tab/>
      </w:r>
      <w:r w:rsidR="0093413A">
        <w:t>N</w:t>
      </w:r>
      <w:r>
        <w:t>et of forecast disposals and capital contributions.</w:t>
      </w:r>
    </w:p>
    <w:p w:rsidR="00C22687" w:rsidRPr="00C22687" w:rsidRDefault="00C22687" w:rsidP="00C22687">
      <w:pPr>
        <w:pStyle w:val="Caption"/>
      </w:pPr>
      <w:bookmarkStart w:id="20" w:name="_Ref412818783"/>
      <w:proofErr w:type="gramStart"/>
      <w:r>
        <w:t xml:space="preserve">Table </w:t>
      </w:r>
      <w:proofErr w:type="gramEnd"/>
      <w:r w:rsidR="003604E3">
        <w:fldChar w:fldCharType="begin"/>
      </w:r>
      <w:r w:rsidR="003604E3">
        <w:instrText xml:space="preserve"> STYLEREF 1 \s </w:instrText>
      </w:r>
      <w:r w:rsidR="003604E3">
        <w:fldChar w:fldCharType="separate"/>
      </w:r>
      <w:r w:rsidR="007B36D6">
        <w:rPr>
          <w:noProof/>
        </w:rPr>
        <w:t>2</w:t>
      </w:r>
      <w:r w:rsidR="003604E3">
        <w:rPr>
          <w:noProof/>
        </w:rPr>
        <w:fldChar w:fldCharType="end"/>
      </w:r>
      <w:proofErr w:type="gramStart"/>
      <w:r w:rsidR="007B36D6">
        <w:t>.</w:t>
      </w:r>
      <w:proofErr w:type="gramEnd"/>
      <w:r w:rsidR="0009094F">
        <w:fldChar w:fldCharType="begin"/>
      </w:r>
      <w:r w:rsidR="0009094F">
        <w:instrText xml:space="preserve"> SEQ Table \* ARABIC \s 1 </w:instrText>
      </w:r>
      <w:r w:rsidR="0009094F">
        <w:fldChar w:fldCharType="separate"/>
      </w:r>
      <w:r w:rsidR="007B36D6">
        <w:rPr>
          <w:noProof/>
        </w:rPr>
        <w:t>6</w:t>
      </w:r>
      <w:r w:rsidR="0009094F">
        <w:rPr>
          <w:noProof/>
        </w:rPr>
        <w:fldChar w:fldCharType="end"/>
      </w:r>
      <w:bookmarkEnd w:id="20"/>
      <w:r>
        <w:tab/>
      </w:r>
      <w:proofErr w:type="spellStart"/>
      <w:r>
        <w:t>Ausgrid's</w:t>
      </w:r>
      <w:proofErr w:type="spellEnd"/>
      <w:r>
        <w:t xml:space="preserve"> proposed RAB for</w:t>
      </w:r>
      <w:r w:rsidR="00D15D7A">
        <w:t xml:space="preserve"> </w:t>
      </w:r>
      <w:r>
        <w:t xml:space="preserve">the 2014–19 period ($ million, nominal) </w:t>
      </w:r>
      <w:r w:rsidR="009E735B">
        <w:t>–</w:t>
      </w:r>
      <w:r>
        <w:t xml:space="preserve"> transmission</w:t>
      </w:r>
    </w:p>
    <w:tbl>
      <w:tblPr>
        <w:tblStyle w:val="AERtable-numbers"/>
        <w:tblW w:w="0" w:type="auto"/>
        <w:tblLook w:val="04A0" w:firstRow="1" w:lastRow="0" w:firstColumn="1" w:lastColumn="0" w:noHBand="0" w:noVBand="1"/>
      </w:tblPr>
      <w:tblGrid>
        <w:gridCol w:w="3085"/>
        <w:gridCol w:w="1134"/>
        <w:gridCol w:w="1134"/>
        <w:gridCol w:w="1134"/>
        <w:gridCol w:w="1134"/>
        <w:gridCol w:w="1072"/>
      </w:tblGrid>
      <w:tr w:rsidR="00C22687" w:rsidTr="00E57B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C22687" w:rsidRDefault="00C22687" w:rsidP="00C22687"/>
        </w:tc>
        <w:tc>
          <w:tcPr>
            <w:tcW w:w="1134" w:type="dxa"/>
          </w:tcPr>
          <w:p w:rsidR="00C22687" w:rsidRPr="00C22687" w:rsidRDefault="00C22687" w:rsidP="00C22687">
            <w:pPr>
              <w:cnfStyle w:val="100000000000" w:firstRow="1" w:lastRow="0" w:firstColumn="0" w:lastColumn="0" w:oddVBand="0" w:evenVBand="0" w:oddHBand="0" w:evenHBand="0" w:firstRowFirstColumn="0" w:firstRowLastColumn="0" w:lastRowFirstColumn="0" w:lastRowLastColumn="0"/>
            </w:pPr>
            <w:r>
              <w:t>20</w:t>
            </w:r>
            <w:r w:rsidRPr="00C22687">
              <w:t>14–15</w:t>
            </w:r>
          </w:p>
        </w:tc>
        <w:tc>
          <w:tcPr>
            <w:tcW w:w="1134" w:type="dxa"/>
          </w:tcPr>
          <w:p w:rsidR="00C22687" w:rsidRPr="00C22687" w:rsidRDefault="00C22687" w:rsidP="00C22687">
            <w:pPr>
              <w:cnfStyle w:val="100000000000" w:firstRow="1" w:lastRow="0" w:firstColumn="0" w:lastColumn="0" w:oddVBand="0" w:evenVBand="0" w:oddHBand="0" w:evenHBand="0" w:firstRowFirstColumn="0" w:firstRowLastColumn="0" w:lastRowFirstColumn="0" w:lastRowLastColumn="0"/>
            </w:pPr>
            <w:r>
              <w:t>201</w:t>
            </w:r>
            <w:r w:rsidRPr="00C22687">
              <w:t>5–16</w:t>
            </w:r>
          </w:p>
        </w:tc>
        <w:tc>
          <w:tcPr>
            <w:tcW w:w="1134" w:type="dxa"/>
          </w:tcPr>
          <w:p w:rsidR="00C22687" w:rsidRPr="00C22687" w:rsidRDefault="00C22687" w:rsidP="00C22687">
            <w:pPr>
              <w:cnfStyle w:val="100000000000" w:firstRow="1" w:lastRow="0" w:firstColumn="0" w:lastColumn="0" w:oddVBand="0" w:evenVBand="0" w:oddHBand="0" w:evenHBand="0" w:firstRowFirstColumn="0" w:firstRowLastColumn="0" w:lastRowFirstColumn="0" w:lastRowLastColumn="0"/>
            </w:pPr>
            <w:r>
              <w:t>201</w:t>
            </w:r>
            <w:r w:rsidRPr="00C22687">
              <w:t>6–17</w:t>
            </w:r>
          </w:p>
        </w:tc>
        <w:tc>
          <w:tcPr>
            <w:tcW w:w="1134" w:type="dxa"/>
          </w:tcPr>
          <w:p w:rsidR="00C22687" w:rsidRPr="00C22687" w:rsidRDefault="00C22687" w:rsidP="00C22687">
            <w:pPr>
              <w:cnfStyle w:val="100000000000" w:firstRow="1" w:lastRow="0" w:firstColumn="0" w:lastColumn="0" w:oddVBand="0" w:evenVBand="0" w:oddHBand="0" w:evenHBand="0" w:firstRowFirstColumn="0" w:firstRowLastColumn="0" w:lastRowFirstColumn="0" w:lastRowLastColumn="0"/>
            </w:pPr>
            <w:r>
              <w:t>201</w:t>
            </w:r>
            <w:r w:rsidRPr="00C22687">
              <w:t>7–18</w:t>
            </w:r>
          </w:p>
        </w:tc>
        <w:tc>
          <w:tcPr>
            <w:tcW w:w="1072" w:type="dxa"/>
          </w:tcPr>
          <w:p w:rsidR="00C22687" w:rsidRPr="00C22687" w:rsidRDefault="00C22687" w:rsidP="00C22687">
            <w:pPr>
              <w:cnfStyle w:val="100000000000" w:firstRow="1" w:lastRow="0" w:firstColumn="0" w:lastColumn="0" w:oddVBand="0" w:evenVBand="0" w:oddHBand="0" w:evenHBand="0" w:firstRowFirstColumn="0" w:firstRowLastColumn="0" w:lastRowFirstColumn="0" w:lastRowLastColumn="0"/>
            </w:pPr>
            <w:r>
              <w:t>201</w:t>
            </w:r>
            <w:r w:rsidRPr="00C22687">
              <w:t>8–19</w:t>
            </w:r>
          </w:p>
        </w:tc>
      </w:tr>
      <w:tr w:rsidR="00C22687" w:rsidTr="00E57BBE">
        <w:tc>
          <w:tcPr>
            <w:cnfStyle w:val="001000000000" w:firstRow="0" w:lastRow="0" w:firstColumn="1" w:lastColumn="0" w:oddVBand="0" w:evenVBand="0" w:oddHBand="0" w:evenHBand="0" w:firstRowFirstColumn="0" w:firstRowLastColumn="0" w:lastRowFirstColumn="0" w:lastRowLastColumn="0"/>
            <w:tcW w:w="3085" w:type="dxa"/>
          </w:tcPr>
          <w:p w:rsidR="00C22687" w:rsidRPr="00C22687" w:rsidRDefault="00C22687" w:rsidP="00C22687">
            <w:r>
              <w:t>Opening RAB</w:t>
            </w:r>
          </w:p>
        </w:tc>
        <w:tc>
          <w:tcPr>
            <w:tcW w:w="1134" w:type="dxa"/>
          </w:tcPr>
          <w:p w:rsidR="00C22687" w:rsidRDefault="00C22687" w:rsidP="00C22687">
            <w:pPr>
              <w:cnfStyle w:val="000000000000" w:firstRow="0" w:lastRow="0" w:firstColumn="0" w:lastColumn="0" w:oddVBand="0" w:evenVBand="0" w:oddHBand="0" w:evenHBand="0" w:firstRowFirstColumn="0" w:firstRowLastColumn="0" w:lastRowFirstColumn="0" w:lastRowLastColumn="0"/>
            </w:pPr>
            <w:r>
              <w:t>2035.7</w:t>
            </w:r>
          </w:p>
        </w:tc>
        <w:tc>
          <w:tcPr>
            <w:tcW w:w="1134" w:type="dxa"/>
          </w:tcPr>
          <w:p w:rsidR="00C22687" w:rsidRDefault="00C22687" w:rsidP="00C22687">
            <w:pPr>
              <w:cnfStyle w:val="000000000000" w:firstRow="0" w:lastRow="0" w:firstColumn="0" w:lastColumn="0" w:oddVBand="0" w:evenVBand="0" w:oddHBand="0" w:evenHBand="0" w:firstRowFirstColumn="0" w:firstRowLastColumn="0" w:lastRowFirstColumn="0" w:lastRowLastColumn="0"/>
            </w:pPr>
            <w:r>
              <w:t>2065.4</w:t>
            </w:r>
          </w:p>
        </w:tc>
        <w:tc>
          <w:tcPr>
            <w:tcW w:w="1134" w:type="dxa"/>
          </w:tcPr>
          <w:p w:rsidR="00C22687" w:rsidRDefault="00C22687" w:rsidP="00C22687">
            <w:pPr>
              <w:cnfStyle w:val="000000000000" w:firstRow="0" w:lastRow="0" w:firstColumn="0" w:lastColumn="0" w:oddVBand="0" w:evenVBand="0" w:oddHBand="0" w:evenHBand="0" w:firstRowFirstColumn="0" w:firstRowLastColumn="0" w:lastRowFirstColumn="0" w:lastRowLastColumn="0"/>
            </w:pPr>
            <w:r>
              <w:t>2129.3</w:t>
            </w:r>
          </w:p>
        </w:tc>
        <w:tc>
          <w:tcPr>
            <w:tcW w:w="1134" w:type="dxa"/>
          </w:tcPr>
          <w:p w:rsidR="00C22687" w:rsidRDefault="00C22687" w:rsidP="00C22687">
            <w:pPr>
              <w:cnfStyle w:val="000000000000" w:firstRow="0" w:lastRow="0" w:firstColumn="0" w:lastColumn="0" w:oddVBand="0" w:evenVBand="0" w:oddHBand="0" w:evenHBand="0" w:firstRowFirstColumn="0" w:firstRowLastColumn="0" w:lastRowFirstColumn="0" w:lastRowLastColumn="0"/>
            </w:pPr>
            <w:r>
              <w:t>2266.3</w:t>
            </w:r>
          </w:p>
        </w:tc>
        <w:tc>
          <w:tcPr>
            <w:tcW w:w="1072" w:type="dxa"/>
          </w:tcPr>
          <w:p w:rsidR="00C22687" w:rsidRDefault="00C22687" w:rsidP="00C22687">
            <w:pPr>
              <w:cnfStyle w:val="000000000000" w:firstRow="0" w:lastRow="0" w:firstColumn="0" w:lastColumn="0" w:oddVBand="0" w:evenVBand="0" w:oddHBand="0" w:evenHBand="0" w:firstRowFirstColumn="0" w:firstRowLastColumn="0" w:lastRowFirstColumn="0" w:lastRowLastColumn="0"/>
            </w:pPr>
            <w:r>
              <w:t>2320.4</w:t>
            </w:r>
          </w:p>
        </w:tc>
      </w:tr>
      <w:tr w:rsidR="00C22687" w:rsidTr="00E57B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C22687" w:rsidRPr="00C22687" w:rsidRDefault="00C22687" w:rsidP="00C22687">
            <w:r>
              <w:t>Capital expenditure</w:t>
            </w:r>
            <w:r w:rsidRPr="00C22687">
              <w:rPr>
                <w:rStyle w:val="AERsuperscript"/>
              </w:rPr>
              <w:t>a</w:t>
            </w:r>
          </w:p>
        </w:tc>
        <w:tc>
          <w:tcPr>
            <w:tcW w:w="1134" w:type="dxa"/>
          </w:tcPr>
          <w:p w:rsidR="00C22687" w:rsidRDefault="00C22687" w:rsidP="00C22687">
            <w:pPr>
              <w:cnfStyle w:val="000000010000" w:firstRow="0" w:lastRow="0" w:firstColumn="0" w:lastColumn="0" w:oddVBand="0" w:evenVBand="0" w:oddHBand="0" w:evenHBand="1" w:firstRowFirstColumn="0" w:firstRowLastColumn="0" w:lastRowFirstColumn="0" w:lastRowLastColumn="0"/>
            </w:pPr>
            <w:r>
              <w:t>41.8</w:t>
            </w:r>
          </w:p>
        </w:tc>
        <w:tc>
          <w:tcPr>
            <w:tcW w:w="1134" w:type="dxa"/>
          </w:tcPr>
          <w:p w:rsidR="00C22687" w:rsidRDefault="00C22687" w:rsidP="00C22687">
            <w:pPr>
              <w:cnfStyle w:val="000000010000" w:firstRow="0" w:lastRow="0" w:firstColumn="0" w:lastColumn="0" w:oddVBand="0" w:evenVBand="0" w:oddHBand="0" w:evenHBand="1" w:firstRowFirstColumn="0" w:firstRowLastColumn="0" w:lastRowFirstColumn="0" w:lastRowLastColumn="0"/>
            </w:pPr>
            <w:r>
              <w:t>80.0</w:t>
            </w:r>
          </w:p>
        </w:tc>
        <w:tc>
          <w:tcPr>
            <w:tcW w:w="1134" w:type="dxa"/>
          </w:tcPr>
          <w:p w:rsidR="00C22687" w:rsidRDefault="00C22687" w:rsidP="00C22687">
            <w:pPr>
              <w:cnfStyle w:val="000000010000" w:firstRow="0" w:lastRow="0" w:firstColumn="0" w:lastColumn="0" w:oddVBand="0" w:evenVBand="0" w:oddHBand="0" w:evenHBand="1" w:firstRowFirstColumn="0" w:firstRowLastColumn="0" w:lastRowFirstColumn="0" w:lastRowLastColumn="0"/>
            </w:pPr>
            <w:r>
              <w:t>157.9</w:t>
            </w:r>
          </w:p>
        </w:tc>
        <w:tc>
          <w:tcPr>
            <w:tcW w:w="1134" w:type="dxa"/>
          </w:tcPr>
          <w:p w:rsidR="00C22687" w:rsidRDefault="00C22687" w:rsidP="00C22687">
            <w:pPr>
              <w:cnfStyle w:val="000000010000" w:firstRow="0" w:lastRow="0" w:firstColumn="0" w:lastColumn="0" w:oddVBand="0" w:evenVBand="0" w:oddHBand="0" w:evenHBand="1" w:firstRowFirstColumn="0" w:firstRowLastColumn="0" w:lastRowFirstColumn="0" w:lastRowLastColumn="0"/>
            </w:pPr>
            <w:r>
              <w:t>72.7</w:t>
            </w:r>
          </w:p>
        </w:tc>
        <w:tc>
          <w:tcPr>
            <w:tcW w:w="1072" w:type="dxa"/>
          </w:tcPr>
          <w:p w:rsidR="00C22687" w:rsidRDefault="00C22687" w:rsidP="00C22687">
            <w:pPr>
              <w:cnfStyle w:val="000000010000" w:firstRow="0" w:lastRow="0" w:firstColumn="0" w:lastColumn="0" w:oddVBand="0" w:evenVBand="0" w:oddHBand="0" w:evenHBand="1" w:firstRowFirstColumn="0" w:firstRowLastColumn="0" w:lastRowFirstColumn="0" w:lastRowLastColumn="0"/>
            </w:pPr>
            <w:r>
              <w:t>57.5</w:t>
            </w:r>
          </w:p>
        </w:tc>
      </w:tr>
      <w:tr w:rsidR="00C22687" w:rsidTr="00E57BBE">
        <w:tc>
          <w:tcPr>
            <w:cnfStyle w:val="001000000000" w:firstRow="0" w:lastRow="0" w:firstColumn="1" w:lastColumn="0" w:oddVBand="0" w:evenVBand="0" w:oddHBand="0" w:evenHBand="0" w:firstRowFirstColumn="0" w:firstRowLastColumn="0" w:lastRowFirstColumn="0" w:lastRowLastColumn="0"/>
            <w:tcW w:w="3085" w:type="dxa"/>
          </w:tcPr>
          <w:p w:rsidR="00C22687" w:rsidRPr="00C22687" w:rsidRDefault="00C22687" w:rsidP="00C22687">
            <w:r>
              <w:t>Inflation indexation on opening RAB</w:t>
            </w:r>
          </w:p>
        </w:tc>
        <w:tc>
          <w:tcPr>
            <w:tcW w:w="1134" w:type="dxa"/>
          </w:tcPr>
          <w:p w:rsidR="00C22687" w:rsidRDefault="00C22687" w:rsidP="00C22687">
            <w:pPr>
              <w:cnfStyle w:val="000000000000" w:firstRow="0" w:lastRow="0" w:firstColumn="0" w:lastColumn="0" w:oddVBand="0" w:evenVBand="0" w:oddHBand="0" w:evenHBand="0" w:firstRowFirstColumn="0" w:firstRowLastColumn="0" w:lastRowFirstColumn="0" w:lastRowLastColumn="0"/>
            </w:pPr>
            <w:r>
              <w:t>50.9</w:t>
            </w:r>
          </w:p>
        </w:tc>
        <w:tc>
          <w:tcPr>
            <w:tcW w:w="1134" w:type="dxa"/>
          </w:tcPr>
          <w:p w:rsidR="00C22687" w:rsidRDefault="00C22687" w:rsidP="00C22687">
            <w:pPr>
              <w:cnfStyle w:val="000000000000" w:firstRow="0" w:lastRow="0" w:firstColumn="0" w:lastColumn="0" w:oddVBand="0" w:evenVBand="0" w:oddHBand="0" w:evenHBand="0" w:firstRowFirstColumn="0" w:firstRowLastColumn="0" w:lastRowFirstColumn="0" w:lastRowLastColumn="0"/>
            </w:pPr>
            <w:r>
              <w:t>51.6</w:t>
            </w:r>
          </w:p>
        </w:tc>
        <w:tc>
          <w:tcPr>
            <w:tcW w:w="1134" w:type="dxa"/>
          </w:tcPr>
          <w:p w:rsidR="00C22687" w:rsidRDefault="00C22687" w:rsidP="00C22687">
            <w:pPr>
              <w:cnfStyle w:val="000000000000" w:firstRow="0" w:lastRow="0" w:firstColumn="0" w:lastColumn="0" w:oddVBand="0" w:evenVBand="0" w:oddHBand="0" w:evenHBand="0" w:firstRowFirstColumn="0" w:firstRowLastColumn="0" w:lastRowFirstColumn="0" w:lastRowLastColumn="0"/>
            </w:pPr>
            <w:r>
              <w:t>53.2</w:t>
            </w:r>
          </w:p>
        </w:tc>
        <w:tc>
          <w:tcPr>
            <w:tcW w:w="1134" w:type="dxa"/>
          </w:tcPr>
          <w:p w:rsidR="00C22687" w:rsidRDefault="00C22687" w:rsidP="00C22687">
            <w:pPr>
              <w:cnfStyle w:val="000000000000" w:firstRow="0" w:lastRow="0" w:firstColumn="0" w:lastColumn="0" w:oddVBand="0" w:evenVBand="0" w:oddHBand="0" w:evenHBand="0" w:firstRowFirstColumn="0" w:firstRowLastColumn="0" w:lastRowFirstColumn="0" w:lastRowLastColumn="0"/>
            </w:pPr>
            <w:r>
              <w:t>56.7</w:t>
            </w:r>
          </w:p>
        </w:tc>
        <w:tc>
          <w:tcPr>
            <w:tcW w:w="1072" w:type="dxa"/>
          </w:tcPr>
          <w:p w:rsidR="00C22687" w:rsidRDefault="00C22687" w:rsidP="00C22687">
            <w:pPr>
              <w:cnfStyle w:val="000000000000" w:firstRow="0" w:lastRow="0" w:firstColumn="0" w:lastColumn="0" w:oddVBand="0" w:evenVBand="0" w:oddHBand="0" w:evenHBand="0" w:firstRowFirstColumn="0" w:firstRowLastColumn="0" w:lastRowFirstColumn="0" w:lastRowLastColumn="0"/>
            </w:pPr>
            <w:r>
              <w:t>58.0</w:t>
            </w:r>
          </w:p>
        </w:tc>
      </w:tr>
      <w:tr w:rsidR="00C22687" w:rsidTr="00E57B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C22687" w:rsidRPr="00C22687" w:rsidRDefault="00C22687" w:rsidP="00C22687">
            <w:r w:rsidRPr="0035742C">
              <w:rPr>
                <w:rStyle w:val="AERtextitalic"/>
              </w:rPr>
              <w:t>Less:</w:t>
            </w:r>
            <w:r w:rsidRPr="00C22687">
              <w:t xml:space="preserve"> straight-line depreciation</w:t>
            </w:r>
          </w:p>
        </w:tc>
        <w:tc>
          <w:tcPr>
            <w:tcW w:w="1134" w:type="dxa"/>
          </w:tcPr>
          <w:p w:rsidR="00C22687" w:rsidRDefault="00C22687" w:rsidP="00C22687">
            <w:pPr>
              <w:cnfStyle w:val="000000010000" w:firstRow="0" w:lastRow="0" w:firstColumn="0" w:lastColumn="0" w:oddVBand="0" w:evenVBand="0" w:oddHBand="0" w:evenHBand="1" w:firstRowFirstColumn="0" w:firstRowLastColumn="0" w:lastRowFirstColumn="0" w:lastRowLastColumn="0"/>
            </w:pPr>
            <w:r>
              <w:t>63.0</w:t>
            </w:r>
          </w:p>
        </w:tc>
        <w:tc>
          <w:tcPr>
            <w:tcW w:w="1134" w:type="dxa"/>
          </w:tcPr>
          <w:p w:rsidR="00C22687" w:rsidRDefault="00C22687" w:rsidP="00C22687">
            <w:pPr>
              <w:cnfStyle w:val="000000010000" w:firstRow="0" w:lastRow="0" w:firstColumn="0" w:lastColumn="0" w:oddVBand="0" w:evenVBand="0" w:oddHBand="0" w:evenHBand="1" w:firstRowFirstColumn="0" w:firstRowLastColumn="0" w:lastRowFirstColumn="0" w:lastRowLastColumn="0"/>
            </w:pPr>
            <w:r>
              <w:t>67.7</w:t>
            </w:r>
          </w:p>
        </w:tc>
        <w:tc>
          <w:tcPr>
            <w:tcW w:w="1134" w:type="dxa"/>
          </w:tcPr>
          <w:p w:rsidR="00C22687" w:rsidRDefault="00C22687" w:rsidP="00C22687">
            <w:pPr>
              <w:cnfStyle w:val="000000010000" w:firstRow="0" w:lastRow="0" w:firstColumn="0" w:lastColumn="0" w:oddVBand="0" w:evenVBand="0" w:oddHBand="0" w:evenHBand="1" w:firstRowFirstColumn="0" w:firstRowLastColumn="0" w:lastRowFirstColumn="0" w:lastRowLastColumn="0"/>
            </w:pPr>
            <w:r>
              <w:t>74.1</w:t>
            </w:r>
          </w:p>
        </w:tc>
        <w:tc>
          <w:tcPr>
            <w:tcW w:w="1134" w:type="dxa"/>
          </w:tcPr>
          <w:p w:rsidR="00C22687" w:rsidRDefault="00C22687" w:rsidP="00C22687">
            <w:pPr>
              <w:cnfStyle w:val="000000010000" w:firstRow="0" w:lastRow="0" w:firstColumn="0" w:lastColumn="0" w:oddVBand="0" w:evenVBand="0" w:oddHBand="0" w:evenHBand="1" w:firstRowFirstColumn="0" w:firstRowLastColumn="0" w:lastRowFirstColumn="0" w:lastRowLastColumn="0"/>
            </w:pPr>
            <w:r>
              <w:t>75.3</w:t>
            </w:r>
          </w:p>
        </w:tc>
        <w:tc>
          <w:tcPr>
            <w:tcW w:w="1072" w:type="dxa"/>
          </w:tcPr>
          <w:p w:rsidR="00C22687" w:rsidRDefault="00C22687" w:rsidP="00C22687">
            <w:pPr>
              <w:cnfStyle w:val="000000010000" w:firstRow="0" w:lastRow="0" w:firstColumn="0" w:lastColumn="0" w:oddVBand="0" w:evenVBand="0" w:oddHBand="0" w:evenHBand="1" w:firstRowFirstColumn="0" w:firstRowLastColumn="0" w:lastRowFirstColumn="0" w:lastRowLastColumn="0"/>
            </w:pPr>
            <w:r>
              <w:t>76.7</w:t>
            </w:r>
          </w:p>
        </w:tc>
      </w:tr>
      <w:tr w:rsidR="00C22687" w:rsidRPr="00883D06" w:rsidTr="00E57BBE">
        <w:tc>
          <w:tcPr>
            <w:cnfStyle w:val="001000000000" w:firstRow="0" w:lastRow="0" w:firstColumn="1" w:lastColumn="0" w:oddVBand="0" w:evenVBand="0" w:oddHBand="0" w:evenHBand="0" w:firstRowFirstColumn="0" w:firstRowLastColumn="0" w:lastRowFirstColumn="0" w:lastRowLastColumn="0"/>
            <w:tcW w:w="3085" w:type="dxa"/>
          </w:tcPr>
          <w:p w:rsidR="00C22687" w:rsidRPr="00883D06" w:rsidRDefault="00C22687" w:rsidP="00C22687">
            <w:pPr>
              <w:rPr>
                <w:rStyle w:val="Strong"/>
              </w:rPr>
            </w:pPr>
            <w:r w:rsidRPr="00883D06">
              <w:rPr>
                <w:rStyle w:val="Strong"/>
              </w:rPr>
              <w:t>Closing RAB</w:t>
            </w:r>
          </w:p>
        </w:tc>
        <w:tc>
          <w:tcPr>
            <w:tcW w:w="1134" w:type="dxa"/>
          </w:tcPr>
          <w:p w:rsidR="00C22687" w:rsidRPr="00883D06" w:rsidRDefault="00C22687" w:rsidP="00C22687">
            <w:pPr>
              <w:cnfStyle w:val="000000000000" w:firstRow="0" w:lastRow="0" w:firstColumn="0" w:lastColumn="0" w:oddVBand="0" w:evenVBand="0" w:oddHBand="0" w:evenHBand="0" w:firstRowFirstColumn="0" w:firstRowLastColumn="0" w:lastRowFirstColumn="0" w:lastRowLastColumn="0"/>
              <w:rPr>
                <w:rStyle w:val="Strong"/>
              </w:rPr>
            </w:pPr>
            <w:r w:rsidRPr="00883D06">
              <w:rPr>
                <w:rStyle w:val="Strong"/>
              </w:rPr>
              <w:t>2065.4</w:t>
            </w:r>
          </w:p>
        </w:tc>
        <w:tc>
          <w:tcPr>
            <w:tcW w:w="1134" w:type="dxa"/>
          </w:tcPr>
          <w:p w:rsidR="00C22687" w:rsidRPr="00883D06" w:rsidRDefault="00C22687" w:rsidP="00C22687">
            <w:pPr>
              <w:cnfStyle w:val="000000000000" w:firstRow="0" w:lastRow="0" w:firstColumn="0" w:lastColumn="0" w:oddVBand="0" w:evenVBand="0" w:oddHBand="0" w:evenHBand="0" w:firstRowFirstColumn="0" w:firstRowLastColumn="0" w:lastRowFirstColumn="0" w:lastRowLastColumn="0"/>
              <w:rPr>
                <w:rStyle w:val="Strong"/>
              </w:rPr>
            </w:pPr>
            <w:r w:rsidRPr="00883D06">
              <w:rPr>
                <w:rStyle w:val="Strong"/>
              </w:rPr>
              <w:t>2129.3</w:t>
            </w:r>
          </w:p>
        </w:tc>
        <w:tc>
          <w:tcPr>
            <w:tcW w:w="1134" w:type="dxa"/>
          </w:tcPr>
          <w:p w:rsidR="00C22687" w:rsidRPr="00883D06" w:rsidRDefault="00C22687" w:rsidP="00C22687">
            <w:pPr>
              <w:cnfStyle w:val="000000000000" w:firstRow="0" w:lastRow="0" w:firstColumn="0" w:lastColumn="0" w:oddVBand="0" w:evenVBand="0" w:oddHBand="0" w:evenHBand="0" w:firstRowFirstColumn="0" w:firstRowLastColumn="0" w:lastRowFirstColumn="0" w:lastRowLastColumn="0"/>
              <w:rPr>
                <w:rStyle w:val="Strong"/>
              </w:rPr>
            </w:pPr>
            <w:r w:rsidRPr="00883D06">
              <w:rPr>
                <w:rStyle w:val="Strong"/>
              </w:rPr>
              <w:t>2266.3</w:t>
            </w:r>
          </w:p>
        </w:tc>
        <w:tc>
          <w:tcPr>
            <w:tcW w:w="1134" w:type="dxa"/>
          </w:tcPr>
          <w:p w:rsidR="00C22687" w:rsidRPr="00883D06" w:rsidRDefault="00C22687" w:rsidP="00C22687">
            <w:pPr>
              <w:cnfStyle w:val="000000000000" w:firstRow="0" w:lastRow="0" w:firstColumn="0" w:lastColumn="0" w:oddVBand="0" w:evenVBand="0" w:oddHBand="0" w:evenHBand="0" w:firstRowFirstColumn="0" w:firstRowLastColumn="0" w:lastRowFirstColumn="0" w:lastRowLastColumn="0"/>
              <w:rPr>
                <w:rStyle w:val="Strong"/>
              </w:rPr>
            </w:pPr>
            <w:r w:rsidRPr="00883D06">
              <w:rPr>
                <w:rStyle w:val="Strong"/>
              </w:rPr>
              <w:t>2320.4</w:t>
            </w:r>
          </w:p>
        </w:tc>
        <w:tc>
          <w:tcPr>
            <w:tcW w:w="1072" w:type="dxa"/>
          </w:tcPr>
          <w:p w:rsidR="00C22687" w:rsidRPr="00883D06" w:rsidRDefault="00C22687" w:rsidP="00C22687">
            <w:pPr>
              <w:cnfStyle w:val="000000000000" w:firstRow="0" w:lastRow="0" w:firstColumn="0" w:lastColumn="0" w:oddVBand="0" w:evenVBand="0" w:oddHBand="0" w:evenHBand="0" w:firstRowFirstColumn="0" w:firstRowLastColumn="0" w:lastRowFirstColumn="0" w:lastRowLastColumn="0"/>
              <w:rPr>
                <w:rStyle w:val="Strong"/>
              </w:rPr>
            </w:pPr>
            <w:r w:rsidRPr="00883D06">
              <w:rPr>
                <w:rStyle w:val="Strong"/>
              </w:rPr>
              <w:t>2359.3</w:t>
            </w:r>
          </w:p>
        </w:tc>
      </w:tr>
    </w:tbl>
    <w:p w:rsidR="00C22687" w:rsidRDefault="00C22687" w:rsidP="00C22687">
      <w:pPr>
        <w:pStyle w:val="AERtablesource"/>
      </w:pPr>
      <w:r>
        <w:t>Source:</w:t>
      </w:r>
      <w:r>
        <w:tab/>
      </w:r>
      <w:proofErr w:type="spellStart"/>
      <w:proofErr w:type="gramStart"/>
      <w:r>
        <w:t>Ausgrid</w:t>
      </w:r>
      <w:proofErr w:type="spellEnd"/>
      <w:r>
        <w:t>,</w:t>
      </w:r>
      <w:proofErr w:type="gramEnd"/>
      <w:r>
        <w:t xml:space="preserve"> </w:t>
      </w:r>
      <w:r w:rsidRPr="00C22687">
        <w:rPr>
          <w:rStyle w:val="AERtextitalic"/>
        </w:rPr>
        <w:t>Revised regulatory proposal</w:t>
      </w:r>
      <w:r>
        <w:t>, January 2015, Attachment 4.09.</w:t>
      </w:r>
      <w:r w:rsidRPr="00184ED3">
        <w:t xml:space="preserve"> </w:t>
      </w:r>
    </w:p>
    <w:p w:rsidR="00C22687" w:rsidRDefault="00C22687" w:rsidP="00C22687">
      <w:pPr>
        <w:pStyle w:val="AERtablesource"/>
      </w:pPr>
      <w:r>
        <w:t>(a)</w:t>
      </w:r>
      <w:r>
        <w:tab/>
      </w:r>
      <w:r w:rsidR="0093413A">
        <w:t>N</w:t>
      </w:r>
      <w:r>
        <w:t>et of forecast disposals and capital contributions.</w:t>
      </w:r>
    </w:p>
    <w:p w:rsidR="00D96449" w:rsidRPr="00D96449" w:rsidRDefault="00D96449" w:rsidP="006234C4">
      <w:r>
        <w:t>Ausgrid's revised proposal adopted our draft decision to use the forecast depreciation approach for establishing the RAB at the commencement of the regulatory control period from 1 July 2019.</w:t>
      </w:r>
      <w:r>
        <w:rPr>
          <w:rStyle w:val="FootnoteReference"/>
        </w:rPr>
        <w:footnoteReference w:id="5"/>
      </w:r>
    </w:p>
    <w:p w:rsidR="00DE563D" w:rsidRDefault="00DE563D" w:rsidP="001754EE">
      <w:pPr>
        <w:pStyle w:val="Heading2"/>
      </w:pPr>
      <w:bookmarkStart w:id="21" w:name="_Toc403144138"/>
      <w:bookmarkStart w:id="22" w:name="_Toc413315033"/>
      <w:r w:rsidRPr="001754EE">
        <w:t>AER’s</w:t>
      </w:r>
      <w:r>
        <w:t xml:space="preserve"> assessment approach</w:t>
      </w:r>
      <w:bookmarkEnd w:id="21"/>
      <w:bookmarkEnd w:id="22"/>
    </w:p>
    <w:p w:rsidR="002C233C" w:rsidRDefault="00CA062D" w:rsidP="002C233C">
      <w:r w:rsidRPr="00CA062D">
        <w:t xml:space="preserve">We did not change our assessment approach for the </w:t>
      </w:r>
      <w:r w:rsidR="009E735B">
        <w:t>RAB</w:t>
      </w:r>
      <w:r w:rsidR="009E735B" w:rsidRPr="00CA062D">
        <w:t xml:space="preserve"> </w:t>
      </w:r>
      <w:r w:rsidRPr="00CA062D">
        <w:t xml:space="preserve">from our draft decision. Section </w:t>
      </w:r>
      <w:r>
        <w:t>2</w:t>
      </w:r>
      <w:r w:rsidRPr="00CA062D">
        <w:t>.3 of our draft decision details that approach.</w:t>
      </w:r>
      <w:r w:rsidR="005C78F1">
        <w:rPr>
          <w:rStyle w:val="FootnoteReference"/>
        </w:rPr>
        <w:footnoteReference w:id="6"/>
      </w:r>
    </w:p>
    <w:p w:rsidR="008961F3" w:rsidRDefault="008961F3" w:rsidP="002C233C"/>
    <w:p w:rsidR="00DE563D" w:rsidRDefault="00DE563D" w:rsidP="001754EE">
      <w:pPr>
        <w:pStyle w:val="Heading2"/>
      </w:pPr>
      <w:bookmarkStart w:id="23" w:name="_Toc403144140"/>
      <w:bookmarkStart w:id="24" w:name="_Toc413315034"/>
      <w:r w:rsidRPr="001754EE">
        <w:lastRenderedPageBreak/>
        <w:t>Reasons</w:t>
      </w:r>
      <w:r>
        <w:t xml:space="preserve"> for </w:t>
      </w:r>
      <w:r w:rsidR="002016E7">
        <w:t>final</w:t>
      </w:r>
      <w:r>
        <w:t xml:space="preserve"> decision</w:t>
      </w:r>
      <w:bookmarkEnd w:id="23"/>
      <w:bookmarkEnd w:id="24"/>
      <w:r>
        <w:t xml:space="preserve"> </w:t>
      </w:r>
    </w:p>
    <w:p w:rsidR="00D96449" w:rsidRDefault="002966E2" w:rsidP="00D96449">
      <w:r w:rsidRPr="00D96449">
        <w:t xml:space="preserve">We </w:t>
      </w:r>
      <w:r w:rsidR="00C22687" w:rsidRPr="00D96449">
        <w:t>a</w:t>
      </w:r>
      <w:r w:rsidR="00D96449" w:rsidRPr="00D96449">
        <w:t>ccept</w:t>
      </w:r>
      <w:r w:rsidRPr="00D96449">
        <w:t xml:space="preserve"> Ausgrid's </w:t>
      </w:r>
      <w:r w:rsidR="00C22687" w:rsidRPr="00D96449">
        <w:t xml:space="preserve">revised </w:t>
      </w:r>
      <w:r w:rsidR="00D96449" w:rsidRPr="00D96449">
        <w:t xml:space="preserve">proposed </w:t>
      </w:r>
      <w:r w:rsidRPr="00D96449">
        <w:t xml:space="preserve">opening distribution and transmission RABs </w:t>
      </w:r>
      <w:r w:rsidR="00D96449" w:rsidRPr="006E0911">
        <w:t>of</w:t>
      </w:r>
      <w:r w:rsidRPr="006E0911">
        <w:t xml:space="preserve"> $12 251.7 million and $2035.7 million ($ nominal) respectively, as at 1 July 2014.</w:t>
      </w:r>
      <w:r w:rsidR="00D96449">
        <w:t xml:space="preserve"> </w:t>
      </w:r>
    </w:p>
    <w:p w:rsidR="002C233C" w:rsidRPr="00D96449" w:rsidRDefault="00D96449" w:rsidP="00D96449">
      <w:r w:rsidRPr="00D96449">
        <w:t>Based on these approved opening RABs w</w:t>
      </w:r>
      <w:r w:rsidR="002966E2" w:rsidRPr="00D96449">
        <w:t xml:space="preserve">e forecast </w:t>
      </w:r>
      <w:r>
        <w:t xml:space="preserve">Ausgrid's </w:t>
      </w:r>
      <w:r w:rsidR="002966E2" w:rsidRPr="00D96449">
        <w:t xml:space="preserve">closing distribution and transmission RAB values </w:t>
      </w:r>
      <w:r>
        <w:t>to be</w:t>
      </w:r>
      <w:r w:rsidR="002966E2" w:rsidRPr="00D96449">
        <w:t xml:space="preserve"> $</w:t>
      </w:r>
      <w:r w:rsidR="00643E5C">
        <w:t>14</w:t>
      </w:r>
      <w:r w:rsidR="00883D06">
        <w:t> </w:t>
      </w:r>
      <w:r w:rsidR="00643E5C">
        <w:t>400</w:t>
      </w:r>
      <w:r w:rsidR="00883D06">
        <w:t>.1</w:t>
      </w:r>
      <w:r w:rsidR="002966E2" w:rsidRPr="00D96449">
        <w:t xml:space="preserve"> million and $</w:t>
      </w:r>
      <w:r w:rsidR="00643E5C">
        <w:t>225</w:t>
      </w:r>
      <w:r w:rsidR="00520727">
        <w:t>9.1</w:t>
      </w:r>
      <w:r w:rsidR="002966E2" w:rsidRPr="00D96449">
        <w:t xml:space="preserve"> million ($ nominal) respectively, as at 30 June 2019. Th</w:t>
      </w:r>
      <w:r w:rsidR="0093413A">
        <w:t>e</w:t>
      </w:r>
      <w:r w:rsidR="002966E2" w:rsidRPr="00D96449">
        <w:t>s</w:t>
      </w:r>
      <w:r w:rsidR="0093413A">
        <w:t>e</w:t>
      </w:r>
      <w:r w:rsidR="002966E2" w:rsidRPr="00D96449">
        <w:t xml:space="preserve"> represent reductions of $</w:t>
      </w:r>
      <w:r w:rsidR="00643E5C">
        <w:t>646.9</w:t>
      </w:r>
      <w:r w:rsidR="002966E2" w:rsidRPr="00D96449">
        <w:t xml:space="preserve"> million or </w:t>
      </w:r>
      <w:r w:rsidR="00643E5C">
        <w:t>4.3</w:t>
      </w:r>
      <w:r w:rsidR="002966E2" w:rsidRPr="00D96449">
        <w:t xml:space="preserve"> per cent and $</w:t>
      </w:r>
      <w:r w:rsidR="00643E5C">
        <w:t>10</w:t>
      </w:r>
      <w:r w:rsidR="00520727">
        <w:t>0.2</w:t>
      </w:r>
      <w:r w:rsidR="002966E2" w:rsidRPr="00D96449">
        <w:t xml:space="preserve"> million ($ nominal) or </w:t>
      </w:r>
      <w:r w:rsidR="00643E5C">
        <w:t>4.</w:t>
      </w:r>
      <w:r w:rsidR="00520727">
        <w:t>2</w:t>
      </w:r>
      <w:r w:rsidR="002966E2" w:rsidRPr="00D96449">
        <w:t xml:space="preserve"> per cent compared to </w:t>
      </w:r>
      <w:proofErr w:type="spellStart"/>
      <w:r w:rsidR="002966E2" w:rsidRPr="00D96449">
        <w:t>Ausgrid's</w:t>
      </w:r>
      <w:proofErr w:type="spellEnd"/>
      <w:r w:rsidR="002966E2" w:rsidRPr="00D96449">
        <w:t xml:space="preserve"> </w:t>
      </w:r>
      <w:r>
        <w:t xml:space="preserve">revised </w:t>
      </w:r>
      <w:r w:rsidR="002966E2" w:rsidRPr="00D96449">
        <w:t xml:space="preserve">proposal respectively. The reasons for our decision are discussed below. </w:t>
      </w:r>
    </w:p>
    <w:p w:rsidR="007B186E" w:rsidRDefault="002966E2" w:rsidP="001754EE">
      <w:pPr>
        <w:pStyle w:val="Heading3"/>
      </w:pPr>
      <w:bookmarkStart w:id="25" w:name="_Toc413315035"/>
      <w:r>
        <w:t>Opening RAB as at 1 July 2014</w:t>
      </w:r>
      <w:bookmarkEnd w:id="25"/>
      <w:r w:rsidR="007D456E">
        <w:t xml:space="preserve"> </w:t>
      </w:r>
    </w:p>
    <w:p w:rsidR="006E0911" w:rsidRDefault="006E0911" w:rsidP="006E0911">
      <w:r w:rsidRPr="002966E2">
        <w:t>We a</w:t>
      </w:r>
      <w:r>
        <w:t>ccept</w:t>
      </w:r>
      <w:r w:rsidRPr="002966E2">
        <w:t xml:space="preserve"> </w:t>
      </w:r>
      <w:r>
        <w:t xml:space="preserve">Ausgrid's revised proposed </w:t>
      </w:r>
      <w:r w:rsidRPr="002966E2">
        <w:t>opening RAB values of $12 251</w:t>
      </w:r>
      <w:r>
        <w:t>.7</w:t>
      </w:r>
      <w:r w:rsidRPr="002966E2">
        <w:t xml:space="preserve"> million for </w:t>
      </w:r>
      <w:r>
        <w:t>its</w:t>
      </w:r>
      <w:r w:rsidRPr="002966E2">
        <w:t xml:space="preserve"> distribution network and $2035</w:t>
      </w:r>
      <w:r>
        <w:t>.7</w:t>
      </w:r>
      <w:r w:rsidRPr="002966E2">
        <w:t xml:space="preserve"> million ($ nominal) for its transmission network, as at 1 July 2014.</w:t>
      </w:r>
    </w:p>
    <w:p w:rsidR="00321789" w:rsidRDefault="001A207B" w:rsidP="002966E2">
      <w:r>
        <w:t>In the</w:t>
      </w:r>
      <w:r w:rsidR="006E0911">
        <w:t xml:space="preserve"> draft decision, </w:t>
      </w:r>
      <w:r w:rsidR="005B4AB1">
        <w:t xml:space="preserve">we made a number of adjustments to Ausgrid's </w:t>
      </w:r>
      <w:r w:rsidR="00321789">
        <w:t xml:space="preserve">roll forward of </w:t>
      </w:r>
      <w:r w:rsidR="005B4AB1">
        <w:t>its distribution and transmission RABs over the 2009–14 regulatory control period.</w:t>
      </w:r>
      <w:r w:rsidR="00321789">
        <w:t xml:space="preserve"> These adjustments included an update to </w:t>
      </w:r>
      <w:r w:rsidR="003B73EC">
        <w:t xml:space="preserve">estimates of </w:t>
      </w:r>
      <w:r w:rsidR="00321789">
        <w:t xml:space="preserve">capex for 2013–14 to reflect actuals. </w:t>
      </w:r>
      <w:r w:rsidR="003B73EC">
        <w:t>We noted we would review the</w:t>
      </w:r>
      <w:r w:rsidR="008961F3">
        <w:t>se</w:t>
      </w:r>
      <w:r w:rsidR="003B73EC">
        <w:t xml:space="preserve"> updates with the audited annual reporting RIN</w:t>
      </w:r>
      <w:r w:rsidR="008961F3">
        <w:t xml:space="preserve"> to be submitted after the draft decision</w:t>
      </w:r>
      <w:r w:rsidR="003B73EC">
        <w:t>.</w:t>
      </w:r>
      <w:r w:rsidR="003B73EC">
        <w:rPr>
          <w:rStyle w:val="FootnoteReference"/>
        </w:rPr>
        <w:footnoteReference w:id="7"/>
      </w:r>
      <w:r w:rsidR="00321789">
        <w:t xml:space="preserve"> </w:t>
      </w:r>
    </w:p>
    <w:p w:rsidR="005F6747" w:rsidRDefault="00063B08" w:rsidP="002966E2">
      <w:r>
        <w:t>Ausgrid</w:t>
      </w:r>
      <w:r w:rsidR="00321789">
        <w:t>'s</w:t>
      </w:r>
      <w:r>
        <w:t xml:space="preserve"> revised proposal adopted </w:t>
      </w:r>
      <w:r w:rsidR="00EC7127">
        <w:t>all our draft decision adjustments to roll forward the opening RAB</w:t>
      </w:r>
      <w:r w:rsidR="005A72EA">
        <w:t>s</w:t>
      </w:r>
      <w:r w:rsidR="00EC7127">
        <w:t xml:space="preserve"> from 1 July 2009 to 1 July 2014</w:t>
      </w:r>
      <w:r w:rsidR="005B4AB1">
        <w:t>.</w:t>
      </w:r>
      <w:r w:rsidR="0060523B">
        <w:t xml:space="preserve"> </w:t>
      </w:r>
      <w:r w:rsidR="005C78F1">
        <w:t>Ausgrid's rev</w:t>
      </w:r>
      <w:r w:rsidR="000E219D">
        <w:t>is</w:t>
      </w:r>
      <w:r w:rsidR="005C78F1">
        <w:t xml:space="preserve">ed proposal did not </w:t>
      </w:r>
      <w:r w:rsidR="008961F3">
        <w:t xml:space="preserve">make any further </w:t>
      </w:r>
      <w:r w:rsidR="005C78F1">
        <w:t xml:space="preserve">update </w:t>
      </w:r>
      <w:r w:rsidR="008961F3">
        <w:t xml:space="preserve">to </w:t>
      </w:r>
      <w:r w:rsidR="005C78F1">
        <w:t xml:space="preserve">the 2013–14 capex from the values adopted in the draft decision. </w:t>
      </w:r>
      <w:r w:rsidR="0060523B">
        <w:t xml:space="preserve">We </w:t>
      </w:r>
      <w:r w:rsidR="008961F3">
        <w:t xml:space="preserve">have </w:t>
      </w:r>
      <w:r w:rsidR="0060523B">
        <w:t>reconciled the 2013</w:t>
      </w:r>
      <w:r w:rsidR="008961F3">
        <w:t>–</w:t>
      </w:r>
      <w:r w:rsidR="0060523B">
        <w:t xml:space="preserve">14 capex </w:t>
      </w:r>
      <w:r w:rsidR="005A72EA">
        <w:t xml:space="preserve">in the revised proposal against </w:t>
      </w:r>
      <w:r w:rsidR="0060523B">
        <w:t>Ausgrid</w:t>
      </w:r>
      <w:r w:rsidR="005A72EA">
        <w:t>'s</w:t>
      </w:r>
      <w:r w:rsidR="0060523B">
        <w:t xml:space="preserve"> annual RIN</w:t>
      </w:r>
      <w:r w:rsidR="008961F3">
        <w:t xml:space="preserve"> for that year</w:t>
      </w:r>
      <w:r w:rsidR="005A72EA">
        <w:t>. We therefore accept</w:t>
      </w:r>
      <w:r w:rsidR="0060523B">
        <w:t xml:space="preserve"> the </w:t>
      </w:r>
      <w:r w:rsidR="005A72EA">
        <w:t xml:space="preserve">actual </w:t>
      </w:r>
      <w:r w:rsidR="0060523B">
        <w:t>capex for 2013–14</w:t>
      </w:r>
      <w:r w:rsidR="005A72EA">
        <w:t>, and the revised propos</w:t>
      </w:r>
      <w:r w:rsidR="009961C3">
        <w:t>ed</w:t>
      </w:r>
      <w:r w:rsidR="005A72EA">
        <w:t xml:space="preserve"> opening RABs for Ausgrid's distribution and transmission networks.</w:t>
      </w:r>
      <w:r w:rsidR="0060523B">
        <w:t xml:space="preserve"> </w:t>
      </w:r>
    </w:p>
    <w:p w:rsidR="0060523B" w:rsidRDefault="005F6747" w:rsidP="002966E2">
      <w:r>
        <w:t>PIAC</w:t>
      </w:r>
      <w:r w:rsidRPr="00376D68">
        <w:t xml:space="preserve"> </w:t>
      </w:r>
      <w:r>
        <w:t xml:space="preserve">raised </w:t>
      </w:r>
      <w:r w:rsidRPr="00376D68">
        <w:t xml:space="preserve">concerns with the size of </w:t>
      </w:r>
      <w:r>
        <w:t>Ausgrid's</w:t>
      </w:r>
      <w:r w:rsidRPr="00376D68">
        <w:t xml:space="preserve"> opening RAB</w:t>
      </w:r>
      <w:r>
        <w:t xml:space="preserve"> in its submission to the draft decision.</w:t>
      </w:r>
      <w:r w:rsidRPr="00376D68">
        <w:rPr>
          <w:rStyle w:val="FootnoteReference"/>
        </w:rPr>
        <w:footnoteReference w:id="8"/>
      </w:r>
      <w:r>
        <w:t xml:space="preserve"> Its submission suggested the potential for </w:t>
      </w:r>
      <w:r w:rsidRPr="00854664">
        <w:t xml:space="preserve">writing off some parts of the </w:t>
      </w:r>
      <w:r>
        <w:t>RAB</w:t>
      </w:r>
      <w:r w:rsidRPr="00376D68">
        <w:t xml:space="preserve">. </w:t>
      </w:r>
      <w:r>
        <w:t>We note that t</w:t>
      </w:r>
      <w:r w:rsidRPr="00376D68">
        <w:t xml:space="preserve">he opening RAB reflects the capex incurred during the previous regulatory control periods. In the previous two regulatory control periods there was a significant increase in capex that only began to tail off in more recent years. </w:t>
      </w:r>
      <w:r>
        <w:t>W</w:t>
      </w:r>
      <w:r w:rsidRPr="00376D68">
        <w:t>e have no ability to adjust for past capex or to optimise/write down the opening RAB</w:t>
      </w:r>
      <w:r>
        <w:t xml:space="preserve"> for efficiency considerations</w:t>
      </w:r>
      <w:r w:rsidRPr="00376D68">
        <w:t xml:space="preserve">. </w:t>
      </w:r>
      <w:r>
        <w:t>Under</w:t>
      </w:r>
      <w:r w:rsidRPr="000F67F7">
        <w:t xml:space="preserve"> the transitional rules, the review of past</w:t>
      </w:r>
      <w:r>
        <w:t xml:space="preserve"> capex does not apply to Ausgrid</w:t>
      </w:r>
      <w:r w:rsidRPr="000F67F7">
        <w:t xml:space="preserve"> prior to 1 July 2015.</w:t>
      </w:r>
      <w:r w:rsidRPr="000F67F7">
        <w:rPr>
          <w:rStyle w:val="FootnoteReference"/>
        </w:rPr>
        <w:footnoteReference w:id="9"/>
      </w:r>
      <w:r w:rsidRPr="000F67F7">
        <w:t xml:space="preserve"> Therefore, for the purposes of this </w:t>
      </w:r>
      <w:r>
        <w:t>final</w:t>
      </w:r>
      <w:r w:rsidRPr="000F67F7">
        <w:t xml:space="preserve"> decision, we </w:t>
      </w:r>
      <w:r w:rsidR="00F86D03">
        <w:t>are required</w:t>
      </w:r>
      <w:r>
        <w:t xml:space="preserve"> to </w:t>
      </w:r>
      <w:r w:rsidRPr="000F67F7">
        <w:t xml:space="preserve">add </w:t>
      </w:r>
      <w:proofErr w:type="spellStart"/>
      <w:r>
        <w:t>Ausgrid's</w:t>
      </w:r>
      <w:proofErr w:type="spellEnd"/>
      <w:r w:rsidRPr="000F67F7">
        <w:t xml:space="preserve"> actual</w:t>
      </w:r>
      <w:r>
        <w:t xml:space="preserve"> capex </w:t>
      </w:r>
      <w:r w:rsidR="00825EA3">
        <w:t>from</w:t>
      </w:r>
      <w:r>
        <w:t xml:space="preserve"> the 2009</w:t>
      </w:r>
      <w:r w:rsidRPr="000F67F7">
        <w:t>–</w:t>
      </w:r>
      <w:r>
        <w:t>14</w:t>
      </w:r>
      <w:r w:rsidRPr="000F67F7">
        <w:t xml:space="preserve"> regulatory control </w:t>
      </w:r>
      <w:proofErr w:type="gramStart"/>
      <w:r w:rsidRPr="000F67F7">
        <w:t>period</w:t>
      </w:r>
      <w:proofErr w:type="gramEnd"/>
      <w:r w:rsidRPr="000F67F7">
        <w:t xml:space="preserve"> to the RAB. </w:t>
      </w:r>
      <w:r w:rsidRPr="00376D68">
        <w:t>However, with rule changes in 2012, we will have the ability to exclude inefficient capex incurred during the 201</w:t>
      </w:r>
      <w:r>
        <w:t>5</w:t>
      </w:r>
      <w:r w:rsidRPr="00376D68">
        <w:t xml:space="preserve">–19 </w:t>
      </w:r>
      <w:r>
        <w:t xml:space="preserve">regulatory control </w:t>
      </w:r>
      <w:r w:rsidRPr="00376D68">
        <w:t xml:space="preserve">period </w:t>
      </w:r>
      <w:r w:rsidR="000820F6">
        <w:t xml:space="preserve">in </w:t>
      </w:r>
      <w:r w:rsidR="000820F6">
        <w:lastRenderedPageBreak/>
        <w:t>future resets</w:t>
      </w:r>
      <w:r w:rsidRPr="00376D68">
        <w:t xml:space="preserve"> </w:t>
      </w:r>
      <w:r>
        <w:t xml:space="preserve">if it exceeds the approved forecast and </w:t>
      </w:r>
      <w:r w:rsidRPr="00376D68">
        <w:t>if we consider it does not reasonably reflect the capital expenditure criteria.</w:t>
      </w:r>
      <w:r w:rsidRPr="00376D68">
        <w:rPr>
          <w:rStyle w:val="FootnoteReference"/>
        </w:rPr>
        <w:footnoteReference w:id="10"/>
      </w:r>
      <w:r w:rsidRPr="00376D68">
        <w:t xml:space="preserve"> The details of our assessment approach for inefficient capex are set out in the </w:t>
      </w:r>
      <w:r w:rsidRPr="006C551A">
        <w:rPr>
          <w:rStyle w:val="AERtextitalic"/>
        </w:rPr>
        <w:t>Capital expenditure incentive guideline</w:t>
      </w:r>
      <w:r w:rsidRPr="00376D68">
        <w:t>.</w:t>
      </w:r>
      <w:r w:rsidRPr="00376D68">
        <w:rPr>
          <w:rStyle w:val="FootnoteReference"/>
        </w:rPr>
        <w:footnoteReference w:id="11"/>
      </w:r>
      <w:r w:rsidR="0060523B">
        <w:t xml:space="preserve"> </w:t>
      </w:r>
    </w:p>
    <w:p w:rsidR="007B186E" w:rsidRDefault="00504311" w:rsidP="001754EE">
      <w:pPr>
        <w:pStyle w:val="Heading3"/>
      </w:pPr>
      <w:bookmarkStart w:id="26" w:name="_Toc413315036"/>
      <w:r>
        <w:t>Forecast closing RAB as at 30 June 2019</w:t>
      </w:r>
      <w:bookmarkEnd w:id="26"/>
      <w:r w:rsidR="007D456E">
        <w:t xml:space="preserve"> </w:t>
      </w:r>
    </w:p>
    <w:p w:rsidR="00504311" w:rsidRPr="00504311" w:rsidRDefault="00504311" w:rsidP="00504311">
      <w:r w:rsidRPr="00504311">
        <w:t>We forecast closing RAB values of $</w:t>
      </w:r>
      <w:r w:rsidR="00862CD0">
        <w:t>14</w:t>
      </w:r>
      <w:r w:rsidR="00883D06">
        <w:t> </w:t>
      </w:r>
      <w:r w:rsidR="00862CD0">
        <w:t>400</w:t>
      </w:r>
      <w:r w:rsidR="00883D06">
        <w:t>.1</w:t>
      </w:r>
      <w:r w:rsidRPr="00504311">
        <w:t xml:space="preserve"> million and $</w:t>
      </w:r>
      <w:r w:rsidR="00862CD0">
        <w:t>225</w:t>
      </w:r>
      <w:r w:rsidR="00520727">
        <w:t>9.1</w:t>
      </w:r>
      <w:r w:rsidRPr="00504311">
        <w:t xml:space="preserve"> million by 30 June 2019 for Ausgrid's distribution and transmission network</w:t>
      </w:r>
      <w:r w:rsidR="00D473A1">
        <w:t>s</w:t>
      </w:r>
      <w:r w:rsidRPr="00504311">
        <w:t xml:space="preserve">, respectively. </w:t>
      </w:r>
    </w:p>
    <w:p w:rsidR="00504311" w:rsidRPr="00504311" w:rsidRDefault="00504311" w:rsidP="00504311">
      <w:r w:rsidRPr="00504311">
        <w:t>For Ausgrid's distribution RAB our decision results in a reduction of $</w:t>
      </w:r>
      <w:r w:rsidR="00862CD0">
        <w:t>646.9</w:t>
      </w:r>
      <w:r w:rsidRPr="00504311">
        <w:t xml:space="preserve"> million </w:t>
      </w:r>
      <w:r w:rsidR="00883D06" w:rsidRPr="00504311">
        <w:t>($</w:t>
      </w:r>
      <w:r w:rsidR="00883D06">
        <w:t> </w:t>
      </w:r>
      <w:r w:rsidRPr="00504311">
        <w:t xml:space="preserve">nominal) or </w:t>
      </w:r>
      <w:r w:rsidR="00862CD0">
        <w:t>4.3</w:t>
      </w:r>
      <w:r w:rsidRPr="00504311">
        <w:t xml:space="preserve"> per cent compared to Ausgrid's </w:t>
      </w:r>
      <w:r w:rsidR="006E0911">
        <w:t xml:space="preserve">revised </w:t>
      </w:r>
      <w:r w:rsidRPr="00504311">
        <w:t xml:space="preserve">proposal. </w:t>
      </w:r>
      <w:r w:rsidR="006E0911">
        <w:t xml:space="preserve">This reduction reflects our final decision on the inputs for determining the forecast </w:t>
      </w:r>
      <w:r w:rsidR="00E41C17">
        <w:t xml:space="preserve">distribution </w:t>
      </w:r>
      <w:r w:rsidR="006E0911">
        <w:t xml:space="preserve">RAB in the post-tax revenue model (PTRM). </w:t>
      </w:r>
      <w:r w:rsidRPr="00504311">
        <w:t>To determine Ausgrid's forecast distribution RAB value, we amended the following PTRM inputs:</w:t>
      </w:r>
    </w:p>
    <w:p w:rsidR="00504311" w:rsidRPr="00504311" w:rsidRDefault="00504311" w:rsidP="00504311">
      <w:pPr>
        <w:pStyle w:val="AERbulletlistfirststyle"/>
      </w:pPr>
      <w:r w:rsidRPr="00504311">
        <w:t xml:space="preserve">We reduced Ausgrid's </w:t>
      </w:r>
      <w:r w:rsidR="006E0911">
        <w:t xml:space="preserve">revised </w:t>
      </w:r>
      <w:r w:rsidRPr="00504311">
        <w:t>proposed forecast capex allowance by $</w:t>
      </w:r>
      <w:r w:rsidR="00862CD0">
        <w:t>576.8</w:t>
      </w:r>
      <w:r w:rsidRPr="00504311">
        <w:t xml:space="preserve"> million ($ nominal) or </w:t>
      </w:r>
      <w:r w:rsidR="00862CD0">
        <w:t>16.3</w:t>
      </w:r>
      <w:r w:rsidRPr="00504311">
        <w:t xml:space="preserve"> per cent (attachment 6).</w:t>
      </w:r>
    </w:p>
    <w:p w:rsidR="00504311" w:rsidRDefault="00504311" w:rsidP="00504311">
      <w:pPr>
        <w:pStyle w:val="AERbulletlistfirststyle"/>
      </w:pPr>
      <w:r w:rsidRPr="00504311">
        <w:t xml:space="preserve">We increased </w:t>
      </w:r>
      <w:proofErr w:type="spellStart"/>
      <w:r w:rsidRPr="00504311">
        <w:t>Ausgrid's</w:t>
      </w:r>
      <w:proofErr w:type="spellEnd"/>
      <w:r w:rsidRPr="00504311">
        <w:t xml:space="preserve"> </w:t>
      </w:r>
      <w:r w:rsidR="00E41C17">
        <w:t xml:space="preserve">revised </w:t>
      </w:r>
      <w:r w:rsidRPr="00504311">
        <w:t>proposed forecast regulatory depreciation allowance by $</w:t>
      </w:r>
      <w:r w:rsidR="00862CD0">
        <w:t>70.1</w:t>
      </w:r>
      <w:r w:rsidRPr="00504311">
        <w:t xml:space="preserve"> million ($ nominal) or </w:t>
      </w:r>
      <w:r w:rsidR="00862CD0">
        <w:t>9.3</w:t>
      </w:r>
      <w:r w:rsidRPr="00504311">
        <w:t xml:space="preserve"> per cent (attachment 5).</w:t>
      </w:r>
    </w:p>
    <w:p w:rsidR="00523EF4" w:rsidRPr="00504311" w:rsidRDefault="00523EF4" w:rsidP="00504311">
      <w:pPr>
        <w:pStyle w:val="AERbulletlistfirststyle"/>
      </w:pPr>
      <w:r w:rsidRPr="0064602F">
        <w:t xml:space="preserve">We reduced </w:t>
      </w:r>
      <w:r>
        <w:t>Ausgrid's</w:t>
      </w:r>
      <w:r w:rsidRPr="0064602F">
        <w:t xml:space="preserve"> </w:t>
      </w:r>
      <w:r>
        <w:t xml:space="preserve">revised </w:t>
      </w:r>
      <w:r w:rsidRPr="0064602F">
        <w:t>propos</w:t>
      </w:r>
      <w:r>
        <w:t>ed</w:t>
      </w:r>
      <w:r w:rsidRPr="0064602F">
        <w:t xml:space="preserve"> forecast </w:t>
      </w:r>
      <w:r>
        <w:t>inflation rate</w:t>
      </w:r>
      <w:r w:rsidRPr="0064602F">
        <w:t xml:space="preserve"> </w:t>
      </w:r>
      <w:r>
        <w:t xml:space="preserve">of 2.50 per cent per annum to 2.38 per cent per annum </w:t>
      </w:r>
      <w:r w:rsidRPr="0064602F">
        <w:t xml:space="preserve">(attachment </w:t>
      </w:r>
      <w:r>
        <w:t>3</w:t>
      </w:r>
      <w:r w:rsidRPr="0064602F">
        <w:t>).</w:t>
      </w:r>
    </w:p>
    <w:p w:rsidR="00504311" w:rsidRPr="00504311" w:rsidRDefault="00504311" w:rsidP="00504311">
      <w:r w:rsidRPr="00504311">
        <w:t>For Ausgrid's transmission RAB our decision results in a reduction of $</w:t>
      </w:r>
      <w:r w:rsidR="00862CD0">
        <w:t>10</w:t>
      </w:r>
      <w:r w:rsidR="00621527">
        <w:t>0.2</w:t>
      </w:r>
      <w:r w:rsidRPr="00504311">
        <w:t xml:space="preserve"> million ($ nominal) or </w:t>
      </w:r>
      <w:r w:rsidR="00862CD0">
        <w:t>4.</w:t>
      </w:r>
      <w:r w:rsidR="00621527">
        <w:t>2</w:t>
      </w:r>
      <w:r w:rsidRPr="00504311">
        <w:t xml:space="preserve"> per cent compared to Ausgrid's </w:t>
      </w:r>
      <w:r w:rsidR="009961C3">
        <w:t xml:space="preserve">revised </w:t>
      </w:r>
      <w:r w:rsidRPr="00504311">
        <w:t xml:space="preserve">proposal. </w:t>
      </w:r>
      <w:r w:rsidR="00E41C17">
        <w:t xml:space="preserve">This reduction reflects our final decision on the inputs for determining the forecast transmission RAB in the PTRM. </w:t>
      </w:r>
      <w:r w:rsidRPr="00504311">
        <w:t>To determine Ausgrid's forecast transmission RAB value, we amended the following PTRM inputs:</w:t>
      </w:r>
    </w:p>
    <w:p w:rsidR="00504311" w:rsidRPr="00504311" w:rsidRDefault="00504311" w:rsidP="00504311">
      <w:pPr>
        <w:pStyle w:val="AERbulletlistfirststyle"/>
      </w:pPr>
      <w:r w:rsidRPr="00504311">
        <w:t xml:space="preserve">We reduced Ausgrid's </w:t>
      </w:r>
      <w:r w:rsidR="00E41C17">
        <w:t xml:space="preserve">revised </w:t>
      </w:r>
      <w:r w:rsidRPr="00504311">
        <w:t>proposed forecast capex allowance by $</w:t>
      </w:r>
      <w:r w:rsidR="00862CD0">
        <w:t>89.8</w:t>
      </w:r>
      <w:r w:rsidRPr="00504311">
        <w:t xml:space="preserve"> million ($ nominal) or </w:t>
      </w:r>
      <w:r w:rsidR="00862CD0">
        <w:t>21.9</w:t>
      </w:r>
      <w:r w:rsidRPr="00504311">
        <w:t xml:space="preserve"> per cent (attachment 6).</w:t>
      </w:r>
    </w:p>
    <w:p w:rsidR="002C233C" w:rsidRDefault="00504311" w:rsidP="00504311">
      <w:pPr>
        <w:pStyle w:val="AERbulletlistfirststyle"/>
      </w:pPr>
      <w:r w:rsidRPr="00504311">
        <w:t xml:space="preserve">We </w:t>
      </w:r>
      <w:r w:rsidR="00862CD0">
        <w:t>increased</w:t>
      </w:r>
      <w:r w:rsidRPr="00504311">
        <w:t xml:space="preserve"> </w:t>
      </w:r>
      <w:proofErr w:type="spellStart"/>
      <w:r w:rsidRPr="00504311">
        <w:t>Ausgrid's</w:t>
      </w:r>
      <w:proofErr w:type="spellEnd"/>
      <w:r w:rsidRPr="00504311">
        <w:t xml:space="preserve"> </w:t>
      </w:r>
      <w:r w:rsidR="00E41C17">
        <w:t xml:space="preserve">revised </w:t>
      </w:r>
      <w:r w:rsidRPr="00504311">
        <w:t>proposed forecast regulatory depreciation allowance by $</w:t>
      </w:r>
      <w:r w:rsidR="00862CD0">
        <w:t>1</w:t>
      </w:r>
      <w:r w:rsidR="00520727">
        <w:t>0.</w:t>
      </w:r>
      <w:r w:rsidR="00862CD0">
        <w:t>4</w:t>
      </w:r>
      <w:r w:rsidRPr="00504311">
        <w:t xml:space="preserve"> million or </w:t>
      </w:r>
      <w:r w:rsidR="00862CD0">
        <w:t>1</w:t>
      </w:r>
      <w:r w:rsidR="00520727">
        <w:t>2.0</w:t>
      </w:r>
      <w:r w:rsidRPr="00504311">
        <w:t xml:space="preserve"> per cent (attachment 5)</w:t>
      </w:r>
      <w:r w:rsidR="00F204FA">
        <w:t>.</w:t>
      </w:r>
    </w:p>
    <w:p w:rsidR="00523EF4" w:rsidRDefault="00523EF4" w:rsidP="00504311">
      <w:pPr>
        <w:pStyle w:val="AERbulletlistfirststyle"/>
      </w:pPr>
      <w:r w:rsidRPr="0064602F">
        <w:t xml:space="preserve">We reduced </w:t>
      </w:r>
      <w:r>
        <w:t>Ausgrid's</w:t>
      </w:r>
      <w:r w:rsidRPr="0064602F">
        <w:t xml:space="preserve"> </w:t>
      </w:r>
      <w:r>
        <w:t xml:space="preserve">revised </w:t>
      </w:r>
      <w:r w:rsidRPr="0064602F">
        <w:t>propos</w:t>
      </w:r>
      <w:r>
        <w:t>ed</w:t>
      </w:r>
      <w:r w:rsidRPr="0064602F">
        <w:t xml:space="preserve"> forecast </w:t>
      </w:r>
      <w:r>
        <w:t>inflation rate</w:t>
      </w:r>
      <w:r w:rsidRPr="0064602F">
        <w:t xml:space="preserve"> </w:t>
      </w:r>
      <w:r>
        <w:t xml:space="preserve">of 2.50 per cent per annum to 2.38 per cent per annum </w:t>
      </w:r>
      <w:r w:rsidRPr="0064602F">
        <w:t xml:space="preserve">(attachment </w:t>
      </w:r>
      <w:r>
        <w:t>3</w:t>
      </w:r>
      <w:r w:rsidRPr="0064602F">
        <w:t>).</w:t>
      </w:r>
    </w:p>
    <w:p w:rsidR="004F6A0E" w:rsidRDefault="004F6A0E" w:rsidP="002C233C"/>
    <w:sectPr w:rsidR="004F6A0E"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258" w:rsidRPr="00290C63" w:rsidRDefault="00150258" w:rsidP="00290C63">
      <w:r>
        <w:separator/>
      </w:r>
    </w:p>
    <w:p w:rsidR="00150258" w:rsidRDefault="00150258"/>
  </w:endnote>
  <w:endnote w:type="continuationSeparator" w:id="0">
    <w:p w:rsidR="00150258" w:rsidRPr="00290C63" w:rsidRDefault="00150258" w:rsidP="00290C63">
      <w:r>
        <w:continuationSeparator/>
      </w:r>
    </w:p>
    <w:p w:rsidR="00150258" w:rsidRDefault="00150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258" w:rsidRPr="00290C63" w:rsidRDefault="00150258"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150258" w:rsidRDefault="00150258"/>
  <w:p w:rsidR="00150258" w:rsidRDefault="00150258"/>
  <w:p w:rsidR="00150258" w:rsidRDefault="00150258"/>
  <w:p w:rsidR="00150258" w:rsidRDefault="00150258"/>
  <w:p w:rsidR="00150258" w:rsidRDefault="00150258"/>
  <w:p w:rsidR="00150258" w:rsidRDefault="00150258"/>
  <w:p w:rsidR="00150258" w:rsidRDefault="0015025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150258" w:rsidRPr="009B6F84" w:rsidRDefault="00150258">
        <w:pPr>
          <w:pStyle w:val="Footer"/>
          <w:rPr>
            <w:sz w:val="20"/>
          </w:rPr>
        </w:pPr>
        <w:r>
          <w:fldChar w:fldCharType="begin"/>
        </w:r>
        <w:r>
          <w:instrText xml:space="preserve"> PAGE   \* MERGEFORMAT </w:instrText>
        </w:r>
        <w:r>
          <w:fldChar w:fldCharType="separate"/>
        </w:r>
        <w:r w:rsidR="00B11046">
          <w:rPr>
            <w:noProof/>
          </w:rPr>
          <w:t>2-7</w:t>
        </w:r>
        <w:r>
          <w:rPr>
            <w:noProof/>
          </w:rPr>
          <w:fldChar w:fldCharType="end"/>
        </w:r>
        <w:r>
          <w:rPr>
            <w:noProof/>
          </w:rPr>
          <w:t xml:space="preserve">         </w:t>
        </w:r>
        <w:r>
          <w:t xml:space="preserve">                                     </w:t>
        </w:r>
        <w:r>
          <w:rPr>
            <w:noProof/>
          </w:rPr>
          <w:t xml:space="preserve"> </w:t>
        </w:r>
        <w:r w:rsidRPr="009B6F84">
          <w:rPr>
            <w:noProof/>
            <w:szCs w:val="16"/>
          </w:rPr>
          <w:t xml:space="preserve">Attachment </w:t>
        </w:r>
        <w:r w:rsidRPr="008F34DD">
          <w:rPr>
            <w:noProof/>
            <w:szCs w:val="16"/>
          </w:rPr>
          <w:t xml:space="preserve">2 – Regulatory asset base </w:t>
        </w:r>
        <w:r w:rsidRPr="009B6F84">
          <w:rPr>
            <w:rFonts w:cs="Gautami"/>
            <w:noProof/>
            <w:szCs w:val="16"/>
          </w:rPr>
          <w:t>| Ausgrid Final decision</w:t>
        </w:r>
        <w:r w:rsidRPr="009B6F84">
          <w:rPr>
            <w:sz w:val="20"/>
          </w:rPr>
          <w:t xml:space="preserve"> </w:t>
        </w:r>
        <w:r w:rsidRPr="009B6F84">
          <w:rPr>
            <w:rFonts w:cs="Gautami"/>
            <w:noProof/>
            <w:szCs w:val="16"/>
          </w:rPr>
          <w:t>2015–19</w:t>
        </w:r>
      </w:p>
    </w:sdtContent>
  </w:sdt>
  <w:p w:rsidR="00150258" w:rsidRDefault="001502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258" w:rsidRPr="00290C63" w:rsidRDefault="00150258"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150258" w:rsidRDefault="00150258">
    <w:pPr>
      <w:pStyle w:val="Footer"/>
    </w:pPr>
  </w:p>
  <w:p w:rsidR="00150258" w:rsidRDefault="00150258"/>
  <w:p w:rsidR="00150258" w:rsidRDefault="00150258"/>
  <w:p w:rsidR="00150258" w:rsidRDefault="00150258"/>
  <w:p w:rsidR="00150258" w:rsidRDefault="00150258"/>
  <w:p w:rsidR="00150258" w:rsidRDefault="00150258"/>
  <w:p w:rsidR="00150258" w:rsidRDefault="00150258"/>
  <w:p w:rsidR="00150258" w:rsidRDefault="001502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258" w:rsidRPr="00290C63" w:rsidRDefault="00150258" w:rsidP="00290C63">
      <w:r>
        <w:separator/>
      </w:r>
    </w:p>
    <w:p w:rsidR="00150258" w:rsidRDefault="00150258"/>
  </w:footnote>
  <w:footnote w:type="continuationSeparator" w:id="0">
    <w:p w:rsidR="00150258" w:rsidRPr="00290C63" w:rsidRDefault="00150258" w:rsidP="00290C63">
      <w:r>
        <w:continuationSeparator/>
      </w:r>
    </w:p>
    <w:p w:rsidR="00150258" w:rsidRDefault="00150258"/>
  </w:footnote>
  <w:footnote w:id="1">
    <w:p w:rsidR="00150258" w:rsidRDefault="00150258">
      <w:pPr>
        <w:pStyle w:val="FootnoteText"/>
      </w:pPr>
      <w:r>
        <w:rPr>
          <w:rStyle w:val="FootnoteReference"/>
        </w:rPr>
        <w:footnoteRef/>
      </w:r>
      <w:r>
        <w:t xml:space="preserve"> </w:t>
      </w:r>
      <w:r>
        <w:tab/>
      </w:r>
      <w:proofErr w:type="gramStart"/>
      <w:r>
        <w:t xml:space="preserve">NER, </w:t>
      </w:r>
      <w:proofErr w:type="spellStart"/>
      <w:r>
        <w:t>cls</w:t>
      </w:r>
      <w:proofErr w:type="spellEnd"/>
      <w:r>
        <w:t>.</w:t>
      </w:r>
      <w:proofErr w:type="gramEnd"/>
      <w:r>
        <w:t xml:space="preserve"> 6.12.1(6), 6.26(b).</w:t>
      </w:r>
    </w:p>
  </w:footnote>
  <w:footnote w:id="2">
    <w:p w:rsidR="00150258" w:rsidRDefault="00150258">
      <w:pPr>
        <w:pStyle w:val="FootnoteText"/>
      </w:pPr>
      <w:r>
        <w:rPr>
          <w:rStyle w:val="FootnoteReference"/>
        </w:rPr>
        <w:footnoteRef/>
      </w:r>
      <w:r>
        <w:t xml:space="preserve"> </w:t>
      </w:r>
      <w:r>
        <w:tab/>
        <w:t xml:space="preserve">Ausgrid, </w:t>
      </w:r>
      <w:r w:rsidRPr="00374C7E">
        <w:rPr>
          <w:rStyle w:val="AERtextitalic"/>
        </w:rPr>
        <w:t>Revised regulatory proposal</w:t>
      </w:r>
      <w:r>
        <w:t>, January 2015, pp. 61-62.</w:t>
      </w:r>
    </w:p>
  </w:footnote>
  <w:footnote w:id="3">
    <w:p w:rsidR="00150258" w:rsidRDefault="00150258" w:rsidP="00D4289A">
      <w:pPr>
        <w:pStyle w:val="FootnoteText"/>
      </w:pPr>
      <w:r>
        <w:rPr>
          <w:rStyle w:val="FootnoteReference"/>
        </w:rPr>
        <w:footnoteRef/>
      </w:r>
      <w:r>
        <w:t xml:space="preserve"> </w:t>
      </w:r>
      <w:r>
        <w:tab/>
        <w:t xml:space="preserve">Ausgrid, </w:t>
      </w:r>
      <w:r w:rsidRPr="00374C7E">
        <w:rPr>
          <w:rStyle w:val="AERtextitalic"/>
        </w:rPr>
        <w:t>Revised regulatory proposal</w:t>
      </w:r>
      <w:r>
        <w:t>, January 2015, p. 61.</w:t>
      </w:r>
    </w:p>
  </w:footnote>
  <w:footnote w:id="4">
    <w:p w:rsidR="00150258" w:rsidRDefault="00150258" w:rsidP="00374C7E">
      <w:pPr>
        <w:pStyle w:val="FootnoteText"/>
      </w:pPr>
      <w:r>
        <w:rPr>
          <w:rStyle w:val="FootnoteReference"/>
        </w:rPr>
        <w:footnoteRef/>
      </w:r>
      <w:r>
        <w:t xml:space="preserve"> </w:t>
      </w:r>
      <w:r>
        <w:tab/>
        <w:t xml:space="preserve">Ausgrid, </w:t>
      </w:r>
      <w:r w:rsidRPr="00374C7E">
        <w:rPr>
          <w:rStyle w:val="AERtextitalic"/>
        </w:rPr>
        <w:t>Revised regulatory proposal</w:t>
      </w:r>
      <w:r>
        <w:t>, January 2015, pp. 61-62.</w:t>
      </w:r>
    </w:p>
  </w:footnote>
  <w:footnote w:id="5">
    <w:p w:rsidR="00150258" w:rsidRDefault="00150258">
      <w:pPr>
        <w:pStyle w:val="FootnoteText"/>
      </w:pPr>
      <w:r>
        <w:rPr>
          <w:rStyle w:val="FootnoteReference"/>
        </w:rPr>
        <w:footnoteRef/>
      </w:r>
      <w:r>
        <w:t xml:space="preserve"> </w:t>
      </w:r>
      <w:r>
        <w:tab/>
        <w:t xml:space="preserve">Ausgrid, </w:t>
      </w:r>
      <w:r w:rsidRPr="00374C7E">
        <w:rPr>
          <w:rStyle w:val="AERtextitalic"/>
        </w:rPr>
        <w:t>Revised regulatory proposal</w:t>
      </w:r>
      <w:r>
        <w:t>, January 2015, p. 61.</w:t>
      </w:r>
    </w:p>
  </w:footnote>
  <w:footnote w:id="6">
    <w:p w:rsidR="00150258" w:rsidRDefault="00150258">
      <w:pPr>
        <w:pStyle w:val="FootnoteText"/>
      </w:pPr>
      <w:r>
        <w:rPr>
          <w:rStyle w:val="FootnoteReference"/>
        </w:rPr>
        <w:footnoteRef/>
      </w:r>
      <w:r>
        <w:t xml:space="preserve"> </w:t>
      </w:r>
      <w:r>
        <w:tab/>
        <w:t xml:space="preserve">AER, </w:t>
      </w:r>
      <w:r w:rsidRPr="005C78F1">
        <w:rPr>
          <w:rStyle w:val="AERtextitalic"/>
        </w:rPr>
        <w:t>Draft decision - Ausgrid distribution determination attachment 2 - Regulatory asset base</w:t>
      </w:r>
      <w:r>
        <w:t>, November 2014, pp. 20-26.</w:t>
      </w:r>
    </w:p>
  </w:footnote>
  <w:footnote w:id="7">
    <w:p w:rsidR="00150258" w:rsidRDefault="00150258">
      <w:pPr>
        <w:pStyle w:val="FootnoteText"/>
      </w:pPr>
      <w:r>
        <w:rPr>
          <w:rStyle w:val="FootnoteReference"/>
        </w:rPr>
        <w:footnoteRef/>
      </w:r>
      <w:r>
        <w:t xml:space="preserve"> </w:t>
      </w:r>
      <w:r>
        <w:tab/>
        <w:t xml:space="preserve">AER, </w:t>
      </w:r>
      <w:r w:rsidRPr="00063B08">
        <w:rPr>
          <w:rStyle w:val="AERtextitalic"/>
        </w:rPr>
        <w:t>Draft decision - Ausgrid distribution determination, - Attachment 2</w:t>
      </w:r>
      <w:r>
        <w:rPr>
          <w:rStyle w:val="AERtextitalic"/>
        </w:rPr>
        <w:t xml:space="preserve"> -</w:t>
      </w:r>
      <w:r w:rsidRPr="00063B08">
        <w:rPr>
          <w:rStyle w:val="AERtextitalic"/>
        </w:rPr>
        <w:t xml:space="preserve"> Regulatory asset base</w:t>
      </w:r>
      <w:r>
        <w:t>, November 2014, p. 20.</w:t>
      </w:r>
    </w:p>
  </w:footnote>
  <w:footnote w:id="8">
    <w:p w:rsidR="00150258" w:rsidRPr="006A1A89" w:rsidRDefault="00150258" w:rsidP="005F6747">
      <w:pPr>
        <w:pStyle w:val="FootnoteText"/>
      </w:pPr>
      <w:r>
        <w:rPr>
          <w:rStyle w:val="FootnoteReference"/>
        </w:rPr>
        <w:footnoteRef/>
      </w:r>
      <w:r>
        <w:t xml:space="preserve"> </w:t>
      </w:r>
      <w:r>
        <w:tab/>
        <w:t>PIAC,</w:t>
      </w:r>
      <w:r w:rsidRPr="00376D68">
        <w:t xml:space="preserve"> </w:t>
      </w:r>
      <w:r w:rsidRPr="005A68EB">
        <w:rPr>
          <w:rStyle w:val="AERtextitalic"/>
        </w:rPr>
        <w:t>Submission on NSW draft decisions</w:t>
      </w:r>
      <w:r>
        <w:t xml:space="preserve">, </w:t>
      </w:r>
      <w:r w:rsidRPr="00376D68">
        <w:t>14 February 2015</w:t>
      </w:r>
      <w:r>
        <w:t>, pp. 60–61</w:t>
      </w:r>
      <w:r w:rsidRPr="006A1A89">
        <w:rPr>
          <w:rStyle w:val="AERtextitalic"/>
          <w:i w:val="0"/>
        </w:rPr>
        <w:t>.</w:t>
      </w:r>
    </w:p>
  </w:footnote>
  <w:footnote w:id="9">
    <w:p w:rsidR="00150258" w:rsidRDefault="00150258" w:rsidP="005F6747">
      <w:pPr>
        <w:pStyle w:val="FootnoteText"/>
      </w:pPr>
      <w:r>
        <w:rPr>
          <w:rStyle w:val="FootnoteReference"/>
        </w:rPr>
        <w:footnoteRef/>
      </w:r>
      <w:r>
        <w:t xml:space="preserve"> </w:t>
      </w:r>
      <w:r>
        <w:tab/>
      </w:r>
      <w:proofErr w:type="gramStart"/>
      <w:r>
        <w:t>NER, cl. 11.56.5.</w:t>
      </w:r>
      <w:proofErr w:type="gramEnd"/>
    </w:p>
  </w:footnote>
  <w:footnote w:id="10">
    <w:p w:rsidR="00150258" w:rsidRDefault="00150258" w:rsidP="005F6747">
      <w:pPr>
        <w:pStyle w:val="FootnoteText"/>
      </w:pPr>
      <w:r>
        <w:rPr>
          <w:rStyle w:val="FootnoteReference"/>
        </w:rPr>
        <w:footnoteRef/>
      </w:r>
      <w:r>
        <w:t xml:space="preserve"> </w:t>
      </w:r>
      <w:r>
        <w:tab/>
        <w:t xml:space="preserve">Under the NER, cl S6.2.2A(b), the exclusion of </w:t>
      </w:r>
      <w:r w:rsidRPr="00166EE4">
        <w:t>inefficient</w:t>
      </w:r>
      <w:r>
        <w:t xml:space="preserve"> capex could only come from three areas including overspend in capex , margin paid to third party and capitalisation of </w:t>
      </w:r>
      <w:proofErr w:type="spellStart"/>
      <w:r>
        <w:t>opex</w:t>
      </w:r>
      <w:proofErr w:type="spellEnd"/>
      <w:r>
        <w:t xml:space="preserve"> as defined in cl S6.2.2A(c), (d) and (e) of the NER. </w:t>
      </w:r>
    </w:p>
  </w:footnote>
  <w:footnote w:id="11">
    <w:p w:rsidR="00150258" w:rsidRDefault="00150258" w:rsidP="005F6747">
      <w:pPr>
        <w:pStyle w:val="FootnoteText"/>
      </w:pPr>
      <w:r>
        <w:rPr>
          <w:rStyle w:val="FootnoteReference"/>
        </w:rPr>
        <w:footnoteRef/>
      </w:r>
      <w:r>
        <w:t xml:space="preserve"> </w:t>
      </w:r>
      <w:r>
        <w:tab/>
      </w:r>
      <w:proofErr w:type="gramStart"/>
      <w:r>
        <w:t xml:space="preserve">AER, </w:t>
      </w:r>
      <w:r w:rsidRPr="00105346">
        <w:rPr>
          <w:rStyle w:val="AERtextitalic"/>
        </w:rPr>
        <w:t xml:space="preserve">Capital </w:t>
      </w:r>
      <w:r>
        <w:rPr>
          <w:rStyle w:val="AERtextitalic"/>
        </w:rPr>
        <w:t>e</w:t>
      </w:r>
      <w:r w:rsidRPr="00105346">
        <w:rPr>
          <w:rStyle w:val="AERtextitalic"/>
        </w:rPr>
        <w:t xml:space="preserve">xpenditure Incentive </w:t>
      </w:r>
      <w:r>
        <w:rPr>
          <w:rStyle w:val="AERtextitalic"/>
        </w:rPr>
        <w:t>g</w:t>
      </w:r>
      <w:r w:rsidRPr="00105346">
        <w:rPr>
          <w:rStyle w:val="AERtextitalic"/>
        </w:rPr>
        <w:t>uideline</w:t>
      </w:r>
      <w:r>
        <w:t>, November 2013, pp. 12–20.</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92056E"/>
    <w:multiLevelType w:val="multilevel"/>
    <w:tmpl w:val="950A1C52"/>
    <w:numStyleLink w:val="AERHeadings"/>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F5F4FFC"/>
    <w:multiLevelType w:val="multilevel"/>
    <w:tmpl w:val="950A1C52"/>
    <w:numStyleLink w:val="AERHeadings"/>
  </w:abstractNum>
  <w:abstractNum w:abstractNumId="24">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1A80E45"/>
    <w:multiLevelType w:val="multilevel"/>
    <w:tmpl w:val="950A1C52"/>
    <w:numStyleLink w:val="AERHeadings"/>
  </w:abstractNum>
  <w:abstractNum w:abstractNumId="26">
    <w:nsid w:val="487C7731"/>
    <w:multiLevelType w:val="multilevel"/>
    <w:tmpl w:val="950A1C52"/>
    <w:numStyleLink w:val="AERHeadings"/>
  </w:abstractNum>
  <w:abstractNum w:abstractNumId="27">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0">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2">
    <w:nsid w:val="5ECE4384"/>
    <w:multiLevelType w:val="multilevel"/>
    <w:tmpl w:val="2AB269CE"/>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4">
    <w:nsid w:val="6DE36827"/>
    <w:multiLevelType w:val="multilevel"/>
    <w:tmpl w:val="950A1C52"/>
    <w:numStyleLink w:val="AERHeadings"/>
  </w:abstractNum>
  <w:abstractNum w:abstractNumId="3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3"/>
  </w:num>
  <w:num w:numId="13">
    <w:abstractNumId w:val="22"/>
  </w:num>
  <w:num w:numId="14">
    <w:abstractNumId w:val="10"/>
  </w:num>
  <w:num w:numId="15">
    <w:abstractNumId w:val="13"/>
  </w:num>
  <w:num w:numId="16">
    <w:abstractNumId w:val="27"/>
  </w:num>
  <w:num w:numId="17">
    <w:abstractNumId w:val="9"/>
  </w:num>
  <w:num w:numId="18">
    <w:abstractNumId w:val="18"/>
  </w:num>
  <w:num w:numId="19">
    <w:abstractNumId w:val="28"/>
  </w:num>
  <w:num w:numId="20">
    <w:abstractNumId w:val="35"/>
  </w:num>
  <w:num w:numId="21">
    <w:abstractNumId w:val="14"/>
  </w:num>
  <w:num w:numId="22">
    <w:abstractNumId w:val="31"/>
  </w:num>
  <w:num w:numId="23">
    <w:abstractNumId w:val="29"/>
  </w:num>
  <w:num w:numId="24">
    <w:abstractNumId w:val="20"/>
  </w:num>
  <w:num w:numId="25">
    <w:abstractNumId w:val="30"/>
  </w:num>
  <w:num w:numId="26">
    <w:abstractNumId w:val="32"/>
  </w:num>
  <w:num w:numId="27">
    <w:abstractNumId w:val="21"/>
  </w:num>
  <w:num w:numId="28">
    <w:abstractNumId w:val="19"/>
  </w:num>
  <w:num w:numId="29">
    <w:abstractNumId w:val="17"/>
  </w:num>
  <w:num w:numId="30">
    <w:abstractNumId w:val="36"/>
  </w:num>
  <w:num w:numId="31">
    <w:abstractNumId w:val="15"/>
  </w:num>
  <w:num w:numId="32">
    <w:abstractNumId w:val="24"/>
  </w:num>
  <w:num w:numId="33">
    <w:abstractNumId w:val="20"/>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4"/>
  </w:num>
  <w:num w:numId="37">
    <w:abstractNumId w:val="26"/>
  </w:num>
  <w:num w:numId="38">
    <w:abstractNumId w:val="23"/>
  </w:num>
  <w:num w:numId="39">
    <w:abstractNumId w:val="12"/>
  </w:num>
  <w:num w:numId="40">
    <w:abstractNumId w:val="32"/>
  </w:num>
  <w:num w:numId="41">
    <w:abstractNumId w:val="32"/>
  </w:num>
  <w:num w:numId="42">
    <w:abstractNumId w:val="25"/>
  </w:num>
  <w:num w:numId="43">
    <w:abstractNumId w:val="16"/>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tqDheC3M3elo+D63uxsoa+J1vw1NjXc9H4qgSqumIP8=" w:saltValue="QuqAZUnDqGP14IzL5dtwbg==" w:algorithmName="SHA-256"/>
  <w:defaultTabStop w:val="34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5524\AER15 339  Ausgrid final decision - Attachment 1 – Annual revenue requirement.DOCX"/>
  </w:docVars>
  <w:rsids>
    <w:rsidRoot w:val="00961A4A"/>
    <w:rsid w:val="000017C3"/>
    <w:rsid w:val="00021202"/>
    <w:rsid w:val="00021C2B"/>
    <w:rsid w:val="0002517F"/>
    <w:rsid w:val="0003578C"/>
    <w:rsid w:val="00055C18"/>
    <w:rsid w:val="00063247"/>
    <w:rsid w:val="00063B08"/>
    <w:rsid w:val="00070F9F"/>
    <w:rsid w:val="0007137B"/>
    <w:rsid w:val="000820F6"/>
    <w:rsid w:val="00085663"/>
    <w:rsid w:val="00085EBF"/>
    <w:rsid w:val="0009094F"/>
    <w:rsid w:val="00091B15"/>
    <w:rsid w:val="000A3020"/>
    <w:rsid w:val="000A6C7B"/>
    <w:rsid w:val="000C2B40"/>
    <w:rsid w:val="000D122C"/>
    <w:rsid w:val="000E1819"/>
    <w:rsid w:val="000E219D"/>
    <w:rsid w:val="000E4821"/>
    <w:rsid w:val="000E6C72"/>
    <w:rsid w:val="00103338"/>
    <w:rsid w:val="00116EB2"/>
    <w:rsid w:val="00124609"/>
    <w:rsid w:val="00126A4C"/>
    <w:rsid w:val="0014573B"/>
    <w:rsid w:val="00150258"/>
    <w:rsid w:val="001573E4"/>
    <w:rsid w:val="00160756"/>
    <w:rsid w:val="0017232E"/>
    <w:rsid w:val="00174102"/>
    <w:rsid w:val="001754EE"/>
    <w:rsid w:val="00180157"/>
    <w:rsid w:val="00184ED3"/>
    <w:rsid w:val="00185CB9"/>
    <w:rsid w:val="00186F77"/>
    <w:rsid w:val="001926A4"/>
    <w:rsid w:val="00192AD5"/>
    <w:rsid w:val="001A207B"/>
    <w:rsid w:val="001B45A0"/>
    <w:rsid w:val="001B6A4C"/>
    <w:rsid w:val="001D055E"/>
    <w:rsid w:val="001D3E13"/>
    <w:rsid w:val="001F05A4"/>
    <w:rsid w:val="001F492E"/>
    <w:rsid w:val="001F6DA3"/>
    <w:rsid w:val="002010BC"/>
    <w:rsid w:val="002016E7"/>
    <w:rsid w:val="00202E03"/>
    <w:rsid w:val="0020492C"/>
    <w:rsid w:val="00224DB9"/>
    <w:rsid w:val="00233775"/>
    <w:rsid w:val="0023754F"/>
    <w:rsid w:val="00251745"/>
    <w:rsid w:val="00263AC0"/>
    <w:rsid w:val="00264264"/>
    <w:rsid w:val="0026772D"/>
    <w:rsid w:val="00286874"/>
    <w:rsid w:val="00290C63"/>
    <w:rsid w:val="002966E2"/>
    <w:rsid w:val="00296B65"/>
    <w:rsid w:val="002A7DEF"/>
    <w:rsid w:val="002C233C"/>
    <w:rsid w:val="002C29DB"/>
    <w:rsid w:val="002C2BEB"/>
    <w:rsid w:val="002D72E8"/>
    <w:rsid w:val="002E7B22"/>
    <w:rsid w:val="002F7986"/>
    <w:rsid w:val="00301B40"/>
    <w:rsid w:val="003029EE"/>
    <w:rsid w:val="00305CC8"/>
    <w:rsid w:val="00307F6D"/>
    <w:rsid w:val="003177A2"/>
    <w:rsid w:val="00321789"/>
    <w:rsid w:val="003271B5"/>
    <w:rsid w:val="00327A1E"/>
    <w:rsid w:val="00331264"/>
    <w:rsid w:val="00332A0A"/>
    <w:rsid w:val="00334C8D"/>
    <w:rsid w:val="00343A18"/>
    <w:rsid w:val="003518B3"/>
    <w:rsid w:val="0035742C"/>
    <w:rsid w:val="003604E3"/>
    <w:rsid w:val="00372648"/>
    <w:rsid w:val="00374C7E"/>
    <w:rsid w:val="003846F1"/>
    <w:rsid w:val="003B484F"/>
    <w:rsid w:val="003B73EC"/>
    <w:rsid w:val="003B7FBA"/>
    <w:rsid w:val="003F174D"/>
    <w:rsid w:val="004100A6"/>
    <w:rsid w:val="00415F31"/>
    <w:rsid w:val="00423A77"/>
    <w:rsid w:val="0045777E"/>
    <w:rsid w:val="004603F2"/>
    <w:rsid w:val="00480B4B"/>
    <w:rsid w:val="00485DC4"/>
    <w:rsid w:val="004A2B4B"/>
    <w:rsid w:val="004A43D1"/>
    <w:rsid w:val="004B34B0"/>
    <w:rsid w:val="004B4412"/>
    <w:rsid w:val="004C348C"/>
    <w:rsid w:val="004D55BA"/>
    <w:rsid w:val="004E22EC"/>
    <w:rsid w:val="004F6A0E"/>
    <w:rsid w:val="00504311"/>
    <w:rsid w:val="00520727"/>
    <w:rsid w:val="00523EF4"/>
    <w:rsid w:val="00530128"/>
    <w:rsid w:val="00532467"/>
    <w:rsid w:val="00534B00"/>
    <w:rsid w:val="005569F4"/>
    <w:rsid w:val="00560181"/>
    <w:rsid w:val="00564A4D"/>
    <w:rsid w:val="00567BA5"/>
    <w:rsid w:val="00571B35"/>
    <w:rsid w:val="00571D57"/>
    <w:rsid w:val="00574E8C"/>
    <w:rsid w:val="00577A09"/>
    <w:rsid w:val="005821EE"/>
    <w:rsid w:val="005829C2"/>
    <w:rsid w:val="00584D8F"/>
    <w:rsid w:val="005944E2"/>
    <w:rsid w:val="005A404D"/>
    <w:rsid w:val="005A72EA"/>
    <w:rsid w:val="005B1E3C"/>
    <w:rsid w:val="005B4AB1"/>
    <w:rsid w:val="005B704A"/>
    <w:rsid w:val="005C26CC"/>
    <w:rsid w:val="005C78F1"/>
    <w:rsid w:val="005D1702"/>
    <w:rsid w:val="005D7BA2"/>
    <w:rsid w:val="005E36C2"/>
    <w:rsid w:val="005E63AB"/>
    <w:rsid w:val="005F6747"/>
    <w:rsid w:val="0060523B"/>
    <w:rsid w:val="00610EF9"/>
    <w:rsid w:val="00612F4F"/>
    <w:rsid w:val="00615C6B"/>
    <w:rsid w:val="00621527"/>
    <w:rsid w:val="00621DCE"/>
    <w:rsid w:val="006234C4"/>
    <w:rsid w:val="00623D9A"/>
    <w:rsid w:val="00632D6D"/>
    <w:rsid w:val="00642C3E"/>
    <w:rsid w:val="00643E5C"/>
    <w:rsid w:val="0066104A"/>
    <w:rsid w:val="00663DAD"/>
    <w:rsid w:val="00675E20"/>
    <w:rsid w:val="00676679"/>
    <w:rsid w:val="00683C89"/>
    <w:rsid w:val="00693FA9"/>
    <w:rsid w:val="006B2395"/>
    <w:rsid w:val="006B4CF9"/>
    <w:rsid w:val="006B7AC8"/>
    <w:rsid w:val="006C1736"/>
    <w:rsid w:val="006D12F4"/>
    <w:rsid w:val="006D550F"/>
    <w:rsid w:val="006E0911"/>
    <w:rsid w:val="0070011E"/>
    <w:rsid w:val="00701CAB"/>
    <w:rsid w:val="00707563"/>
    <w:rsid w:val="00721DF7"/>
    <w:rsid w:val="0072348C"/>
    <w:rsid w:val="00724A37"/>
    <w:rsid w:val="007303C3"/>
    <w:rsid w:val="007429BE"/>
    <w:rsid w:val="00743223"/>
    <w:rsid w:val="00746E01"/>
    <w:rsid w:val="00757364"/>
    <w:rsid w:val="00757BDF"/>
    <w:rsid w:val="007609D0"/>
    <w:rsid w:val="00763E5D"/>
    <w:rsid w:val="00767740"/>
    <w:rsid w:val="0077755F"/>
    <w:rsid w:val="00777EE6"/>
    <w:rsid w:val="00782EEA"/>
    <w:rsid w:val="007B186E"/>
    <w:rsid w:val="007B2C72"/>
    <w:rsid w:val="007B36D6"/>
    <w:rsid w:val="007C1C53"/>
    <w:rsid w:val="007C74BB"/>
    <w:rsid w:val="007D456E"/>
    <w:rsid w:val="007E4904"/>
    <w:rsid w:val="007E4CB5"/>
    <w:rsid w:val="007F066B"/>
    <w:rsid w:val="008033C4"/>
    <w:rsid w:val="00806C88"/>
    <w:rsid w:val="0081034E"/>
    <w:rsid w:val="00825EA3"/>
    <w:rsid w:val="008344F6"/>
    <w:rsid w:val="0083510F"/>
    <w:rsid w:val="00846CB7"/>
    <w:rsid w:val="00851209"/>
    <w:rsid w:val="00862CD0"/>
    <w:rsid w:val="008837AC"/>
    <w:rsid w:val="00883D06"/>
    <w:rsid w:val="008933CC"/>
    <w:rsid w:val="008961F3"/>
    <w:rsid w:val="008A587D"/>
    <w:rsid w:val="008B35CD"/>
    <w:rsid w:val="008B5FCC"/>
    <w:rsid w:val="008C5486"/>
    <w:rsid w:val="008D1661"/>
    <w:rsid w:val="008D6800"/>
    <w:rsid w:val="008E7031"/>
    <w:rsid w:val="008E77DE"/>
    <w:rsid w:val="008F07A3"/>
    <w:rsid w:val="008F34DD"/>
    <w:rsid w:val="009001B6"/>
    <w:rsid w:val="00900E1B"/>
    <w:rsid w:val="009077DC"/>
    <w:rsid w:val="009233EE"/>
    <w:rsid w:val="0093413A"/>
    <w:rsid w:val="00937EEB"/>
    <w:rsid w:val="009460AA"/>
    <w:rsid w:val="00951978"/>
    <w:rsid w:val="00953CAF"/>
    <w:rsid w:val="00961A4A"/>
    <w:rsid w:val="009661DE"/>
    <w:rsid w:val="00983C25"/>
    <w:rsid w:val="009856B7"/>
    <w:rsid w:val="00985C86"/>
    <w:rsid w:val="009961C3"/>
    <w:rsid w:val="009A5FC3"/>
    <w:rsid w:val="009B6F84"/>
    <w:rsid w:val="009B74B0"/>
    <w:rsid w:val="009D3906"/>
    <w:rsid w:val="009D6B46"/>
    <w:rsid w:val="009E735B"/>
    <w:rsid w:val="009F4940"/>
    <w:rsid w:val="009F5BA1"/>
    <w:rsid w:val="00A02A88"/>
    <w:rsid w:val="00A0562E"/>
    <w:rsid w:val="00A0726D"/>
    <w:rsid w:val="00A32FBB"/>
    <w:rsid w:val="00A428EE"/>
    <w:rsid w:val="00A4478A"/>
    <w:rsid w:val="00A44852"/>
    <w:rsid w:val="00A50502"/>
    <w:rsid w:val="00A57D04"/>
    <w:rsid w:val="00A60A26"/>
    <w:rsid w:val="00A61598"/>
    <w:rsid w:val="00A84A99"/>
    <w:rsid w:val="00A84F46"/>
    <w:rsid w:val="00A871F4"/>
    <w:rsid w:val="00AA5270"/>
    <w:rsid w:val="00AC1B2C"/>
    <w:rsid w:val="00AC3264"/>
    <w:rsid w:val="00AE1BF1"/>
    <w:rsid w:val="00AF0DD2"/>
    <w:rsid w:val="00B11046"/>
    <w:rsid w:val="00B13048"/>
    <w:rsid w:val="00B14B98"/>
    <w:rsid w:val="00B159D3"/>
    <w:rsid w:val="00B1716D"/>
    <w:rsid w:val="00B17A1D"/>
    <w:rsid w:val="00B207A0"/>
    <w:rsid w:val="00B514DD"/>
    <w:rsid w:val="00B52AF0"/>
    <w:rsid w:val="00B561BD"/>
    <w:rsid w:val="00B56E03"/>
    <w:rsid w:val="00B8080B"/>
    <w:rsid w:val="00B82223"/>
    <w:rsid w:val="00B87BA5"/>
    <w:rsid w:val="00B87C39"/>
    <w:rsid w:val="00B9562D"/>
    <w:rsid w:val="00BA4665"/>
    <w:rsid w:val="00BB2E51"/>
    <w:rsid w:val="00BB2FB2"/>
    <w:rsid w:val="00BB3304"/>
    <w:rsid w:val="00BD3446"/>
    <w:rsid w:val="00BE1F1B"/>
    <w:rsid w:val="00BE47B5"/>
    <w:rsid w:val="00C22687"/>
    <w:rsid w:val="00C25FA6"/>
    <w:rsid w:val="00C36785"/>
    <w:rsid w:val="00C538A9"/>
    <w:rsid w:val="00C53B5A"/>
    <w:rsid w:val="00C54F5A"/>
    <w:rsid w:val="00C569B4"/>
    <w:rsid w:val="00C67A92"/>
    <w:rsid w:val="00C84560"/>
    <w:rsid w:val="00C86679"/>
    <w:rsid w:val="00CA062D"/>
    <w:rsid w:val="00CA489E"/>
    <w:rsid w:val="00CA65E1"/>
    <w:rsid w:val="00CB0279"/>
    <w:rsid w:val="00CB666B"/>
    <w:rsid w:val="00CC7F1D"/>
    <w:rsid w:val="00CE1492"/>
    <w:rsid w:val="00CE484B"/>
    <w:rsid w:val="00CF0DEE"/>
    <w:rsid w:val="00D006AE"/>
    <w:rsid w:val="00D01CF0"/>
    <w:rsid w:val="00D0442A"/>
    <w:rsid w:val="00D15D7A"/>
    <w:rsid w:val="00D34EF4"/>
    <w:rsid w:val="00D4289A"/>
    <w:rsid w:val="00D473A1"/>
    <w:rsid w:val="00D61388"/>
    <w:rsid w:val="00D61A54"/>
    <w:rsid w:val="00D64DEA"/>
    <w:rsid w:val="00D7168E"/>
    <w:rsid w:val="00D71E57"/>
    <w:rsid w:val="00D80893"/>
    <w:rsid w:val="00D84854"/>
    <w:rsid w:val="00D92CF1"/>
    <w:rsid w:val="00D92D38"/>
    <w:rsid w:val="00D950F5"/>
    <w:rsid w:val="00D96449"/>
    <w:rsid w:val="00DA4752"/>
    <w:rsid w:val="00DA61F3"/>
    <w:rsid w:val="00DB0F93"/>
    <w:rsid w:val="00DB1A67"/>
    <w:rsid w:val="00DB5074"/>
    <w:rsid w:val="00DC7981"/>
    <w:rsid w:val="00DE1093"/>
    <w:rsid w:val="00DE4EFA"/>
    <w:rsid w:val="00DE5520"/>
    <w:rsid w:val="00DE563D"/>
    <w:rsid w:val="00E04818"/>
    <w:rsid w:val="00E06442"/>
    <w:rsid w:val="00E23993"/>
    <w:rsid w:val="00E25B8C"/>
    <w:rsid w:val="00E41C17"/>
    <w:rsid w:val="00E57BBE"/>
    <w:rsid w:val="00E65C85"/>
    <w:rsid w:val="00E66199"/>
    <w:rsid w:val="00E71A60"/>
    <w:rsid w:val="00E755EC"/>
    <w:rsid w:val="00E7624D"/>
    <w:rsid w:val="00EA3D42"/>
    <w:rsid w:val="00EA6B1B"/>
    <w:rsid w:val="00EC04F1"/>
    <w:rsid w:val="00EC7127"/>
    <w:rsid w:val="00ED7323"/>
    <w:rsid w:val="00EE28F3"/>
    <w:rsid w:val="00EE50D1"/>
    <w:rsid w:val="00EF5110"/>
    <w:rsid w:val="00F10411"/>
    <w:rsid w:val="00F15882"/>
    <w:rsid w:val="00F171E0"/>
    <w:rsid w:val="00F204FA"/>
    <w:rsid w:val="00F20BD3"/>
    <w:rsid w:val="00F373A5"/>
    <w:rsid w:val="00F47559"/>
    <w:rsid w:val="00F64C7B"/>
    <w:rsid w:val="00F65369"/>
    <w:rsid w:val="00F676DD"/>
    <w:rsid w:val="00F75A26"/>
    <w:rsid w:val="00F76706"/>
    <w:rsid w:val="00F83FAD"/>
    <w:rsid w:val="00F86D03"/>
    <w:rsid w:val="00F952A0"/>
    <w:rsid w:val="00FA3C7F"/>
    <w:rsid w:val="00FB60FE"/>
    <w:rsid w:val="00FB74E2"/>
    <w:rsid w:val="00FD411D"/>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885CD0F7.dotm</Template>
  <TotalTime>0</TotalTime>
  <Pages>12</Pages>
  <Words>2523</Words>
  <Characters>14382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2015-04-27T07:10:00Z</dcterms:created>
  <dcterms:modified xsi:type="dcterms:W3CDTF">2015-04-27T07:11:00Z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8358324</vt:lpwstr>
  </property>
</Properties>
</file>