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5959C0E1" wp14:editId="63495060">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415F31">
            <w:t>FINAL</w:t>
          </w:r>
          <w:r w:rsidR="00DA4752">
            <w:t xml:space="preserve"> DECISION</w:t>
          </w:r>
        </w:p>
        <w:p w:rsidR="00415F31" w:rsidRDefault="00613756" w:rsidP="008F07A3">
          <w:pPr>
            <w:pStyle w:val="ReportSubtitle"/>
          </w:pPr>
          <w:r>
            <w:t>Endeavour</w:t>
          </w:r>
          <w:r w:rsidR="005C21A4">
            <w:t xml:space="preserve"> Energy</w:t>
          </w:r>
          <w:r w:rsidR="0070011E">
            <w:t xml:space="preserve"> distribution</w:t>
          </w:r>
          <w:r w:rsidR="00415F31">
            <w:t xml:space="preserve"> </w:t>
          </w:r>
          <w:r w:rsidR="00DA4752">
            <w:t>determination</w:t>
          </w:r>
        </w:p>
        <w:p w:rsidR="000A6C7B" w:rsidRDefault="00DA4752" w:rsidP="008F07A3">
          <w:pPr>
            <w:pStyle w:val="ReportSubtitle"/>
          </w:pPr>
          <w:r>
            <w:t xml:space="preserve"> 2015</w:t>
          </w:r>
          <w:r>
            <w:rPr>
              <w:rFonts w:cs="Arial"/>
            </w:rPr>
            <w:t>−</w:t>
          </w:r>
          <w:r>
            <w:t>16</w:t>
          </w:r>
          <w:bookmarkStart w:id="0" w:name="_GoBack"/>
          <w:bookmarkEnd w:id="0"/>
          <w:r>
            <w:t xml:space="preserve"> to 201</w:t>
          </w:r>
          <w:r w:rsidR="0070011E">
            <w:t>8</w:t>
          </w:r>
          <w:r>
            <w:rPr>
              <w:rFonts w:cs="Arial"/>
            </w:rPr>
            <w:t>−</w:t>
          </w:r>
          <w:r w:rsidR="0070011E">
            <w:t>19</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176FFA">
            <w:t>11</w:t>
          </w:r>
          <w:r w:rsidR="00DA4752">
            <w:t xml:space="preserve"> </w:t>
          </w:r>
          <w:r w:rsidR="00415F31">
            <w:rPr>
              <w:rFonts w:cs="Arial"/>
            </w:rPr>
            <w:t>–</w:t>
          </w:r>
          <w:r w:rsidR="00DA4752">
            <w:t xml:space="preserve"> </w:t>
          </w:r>
          <w:r w:rsidR="00176FFA">
            <w:t>Service target performance incentive scheme</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8F07A3" w:rsidRPr="009D3906" w:rsidRDefault="00613756" w:rsidP="00B9562D">
      <w:pPr>
        <w:pStyle w:val="Copyright"/>
      </w:pPr>
      <w:r>
        <w:t>AER reference:</w:t>
      </w:r>
      <w:r>
        <w:tab/>
        <w:t>54420</w:t>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8F07A3">
      <w:pPr>
        <w:pStyle w:val="UnnumberedHeading"/>
        <w:numPr>
          <w:ilvl w:val="0"/>
          <w:numId w:val="24"/>
        </w:numPr>
      </w:pPr>
      <w:bookmarkStart w:id="5" w:name="_Toc417302626"/>
      <w:r>
        <w:lastRenderedPageBreak/>
        <w:t>N</w:t>
      </w:r>
      <w:r w:rsidR="008F07A3">
        <w:t>ote</w:t>
      </w:r>
      <w:bookmarkEnd w:id="1"/>
      <w:bookmarkEnd w:id="2"/>
      <w:bookmarkEnd w:id="3"/>
      <w:bookmarkEnd w:id="4"/>
      <w:bookmarkEnd w:id="5"/>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415F31">
        <w:t xml:space="preserve">attachment forms part of the AER's final decision on </w:t>
      </w:r>
      <w:r w:rsidR="00613756">
        <w:t>Endeavour</w:t>
      </w:r>
      <w:r w:rsidR="005C21A4">
        <w:t xml:space="preserve"> Energy</w:t>
      </w:r>
      <w:r w:rsidR="0070011E">
        <w:t>’</w:t>
      </w:r>
      <w:r w:rsidR="00415F31">
        <w:t>s revenue proposal 2015</w:t>
      </w:r>
      <w:r w:rsidR="00415F31" w:rsidRPr="00D904FA">
        <w:t>–</w:t>
      </w:r>
      <w:r w:rsidR="00415F31">
        <w:t>1</w:t>
      </w:r>
      <w:r w:rsidR="0070011E">
        <w:t>9</w:t>
      </w:r>
      <w:r w:rsidR="00415F31">
        <w:t>. It should be read with other parts of the final decision.</w:t>
      </w:r>
    </w:p>
    <w:p w:rsidR="00415F31" w:rsidRDefault="00415F31" w:rsidP="00415F31">
      <w:pPr>
        <w:numPr>
          <w:ilvl w:val="0"/>
          <w:numId w:val="25"/>
        </w:numPr>
        <w:spacing w:before="0" w:after="240" w:line="288" w:lineRule="auto"/>
        <w:jc w:val="both"/>
      </w:pPr>
      <w:r>
        <w:t>The final decision includes the following documents:</w:t>
      </w:r>
    </w:p>
    <w:p w:rsidR="00415F31" w:rsidRDefault="00415F31" w:rsidP="00415F31">
      <w:pPr>
        <w:numPr>
          <w:ilvl w:val="0"/>
          <w:numId w:val="25"/>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8F07A3" w:rsidRDefault="0070011E" w:rsidP="00613756">
      <w:r>
        <w:t>Attach</w:t>
      </w:r>
      <w:r w:rsidR="00613756">
        <w:t>ment 18 - Connection policy</w:t>
      </w:r>
    </w:p>
    <w:p w:rsidR="00755844" w:rsidRPr="00755844" w:rsidRDefault="00755844" w:rsidP="00755844">
      <w:r>
        <w:t>Attachment 19</w:t>
      </w:r>
      <w:r w:rsidRPr="00755844">
        <w:t xml:space="preserve"> - Analysis of financial viability</w:t>
      </w:r>
    </w:p>
    <w:p w:rsidR="00755844" w:rsidRDefault="00755844" w:rsidP="00613756"/>
    <w:p w:rsidR="00755844" w:rsidRPr="008F07A3" w:rsidRDefault="00755844" w:rsidP="00613756">
      <w:pPr>
        <w:sectPr w:rsidR="00755844" w:rsidRPr="008F07A3" w:rsidSect="001754EE">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6" w:name="_Toc403144133"/>
      <w:bookmarkStart w:id="7" w:name="_Toc417302627"/>
      <w:r>
        <w:lastRenderedPageBreak/>
        <w:t>Contents</w:t>
      </w:r>
      <w:bookmarkEnd w:id="6"/>
      <w:bookmarkEnd w:id="7"/>
    </w:p>
    <w:p w:rsidR="005D7BA2" w:rsidRDefault="00613756" w:rsidP="00613756">
      <w:pPr>
        <w:tabs>
          <w:tab w:val="left" w:pos="3675"/>
        </w:tabs>
        <w:spacing w:line="240" w:lineRule="auto"/>
      </w:pPr>
      <w:r>
        <w:tab/>
      </w: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196484" w:rsidRDefault="00091B15">
          <w:pPr>
            <w:pStyle w:val="TOC1"/>
            <w:rPr>
              <w:rFonts w:asciiTheme="minorHAnsi"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17302626" w:history="1">
            <w:r w:rsidR="00196484" w:rsidRPr="00026D7D">
              <w:rPr>
                <w:rStyle w:val="Hyperlink"/>
              </w:rPr>
              <w:t>Note</w:t>
            </w:r>
            <w:r w:rsidR="00196484">
              <w:rPr>
                <w:webHidden/>
              </w:rPr>
              <w:tab/>
            </w:r>
            <w:r w:rsidR="00196484">
              <w:rPr>
                <w:webHidden/>
              </w:rPr>
              <w:fldChar w:fldCharType="begin"/>
            </w:r>
            <w:r w:rsidR="00196484">
              <w:rPr>
                <w:webHidden/>
              </w:rPr>
              <w:instrText xml:space="preserve"> PAGEREF _Toc417302626 \h </w:instrText>
            </w:r>
            <w:r w:rsidR="00196484">
              <w:rPr>
                <w:webHidden/>
              </w:rPr>
            </w:r>
            <w:r w:rsidR="00196484">
              <w:rPr>
                <w:webHidden/>
              </w:rPr>
              <w:fldChar w:fldCharType="separate"/>
            </w:r>
            <w:r w:rsidR="0094460E">
              <w:rPr>
                <w:webHidden/>
              </w:rPr>
              <w:t>11-2</w:t>
            </w:r>
            <w:r w:rsidR="00196484">
              <w:rPr>
                <w:webHidden/>
              </w:rPr>
              <w:fldChar w:fldCharType="end"/>
            </w:r>
          </w:hyperlink>
        </w:p>
        <w:p w:rsidR="00196484" w:rsidRDefault="00164ADF">
          <w:pPr>
            <w:pStyle w:val="TOC1"/>
            <w:rPr>
              <w:rFonts w:asciiTheme="minorHAnsi" w:hAnsiTheme="minorHAnsi"/>
              <w:b w:val="0"/>
              <w:color w:val="auto"/>
              <w:sz w:val="22"/>
              <w:lang w:val="en-AU" w:eastAsia="en-AU"/>
            </w:rPr>
          </w:pPr>
          <w:hyperlink w:anchor="_Toc417302627" w:history="1">
            <w:r w:rsidR="00196484" w:rsidRPr="00026D7D">
              <w:rPr>
                <w:rStyle w:val="Hyperlink"/>
              </w:rPr>
              <w:t>Contents</w:t>
            </w:r>
            <w:r w:rsidR="00196484">
              <w:rPr>
                <w:webHidden/>
              </w:rPr>
              <w:tab/>
            </w:r>
            <w:r w:rsidR="00196484">
              <w:rPr>
                <w:webHidden/>
              </w:rPr>
              <w:fldChar w:fldCharType="begin"/>
            </w:r>
            <w:r w:rsidR="00196484">
              <w:rPr>
                <w:webHidden/>
              </w:rPr>
              <w:instrText xml:space="preserve"> PAGEREF _Toc417302627 \h </w:instrText>
            </w:r>
            <w:r w:rsidR="00196484">
              <w:rPr>
                <w:webHidden/>
              </w:rPr>
            </w:r>
            <w:r w:rsidR="00196484">
              <w:rPr>
                <w:webHidden/>
              </w:rPr>
              <w:fldChar w:fldCharType="separate"/>
            </w:r>
            <w:r w:rsidR="0094460E">
              <w:rPr>
                <w:webHidden/>
              </w:rPr>
              <w:t>11-3</w:t>
            </w:r>
            <w:r w:rsidR="00196484">
              <w:rPr>
                <w:webHidden/>
              </w:rPr>
              <w:fldChar w:fldCharType="end"/>
            </w:r>
          </w:hyperlink>
        </w:p>
        <w:p w:rsidR="00196484" w:rsidRDefault="00164ADF">
          <w:pPr>
            <w:pStyle w:val="TOC1"/>
            <w:rPr>
              <w:rFonts w:asciiTheme="minorHAnsi" w:hAnsiTheme="minorHAnsi"/>
              <w:b w:val="0"/>
              <w:color w:val="auto"/>
              <w:sz w:val="22"/>
              <w:lang w:val="en-AU" w:eastAsia="en-AU"/>
            </w:rPr>
          </w:pPr>
          <w:hyperlink w:anchor="_Toc417302628" w:history="1">
            <w:r w:rsidR="00196484" w:rsidRPr="00026D7D">
              <w:rPr>
                <w:rStyle w:val="Hyperlink"/>
              </w:rPr>
              <w:t>Shortened forms</w:t>
            </w:r>
            <w:r w:rsidR="00196484">
              <w:rPr>
                <w:webHidden/>
              </w:rPr>
              <w:tab/>
            </w:r>
            <w:r w:rsidR="00196484">
              <w:rPr>
                <w:webHidden/>
              </w:rPr>
              <w:fldChar w:fldCharType="begin"/>
            </w:r>
            <w:r w:rsidR="00196484">
              <w:rPr>
                <w:webHidden/>
              </w:rPr>
              <w:instrText xml:space="preserve"> PAGEREF _Toc417302628 \h </w:instrText>
            </w:r>
            <w:r w:rsidR="00196484">
              <w:rPr>
                <w:webHidden/>
              </w:rPr>
            </w:r>
            <w:r w:rsidR="00196484">
              <w:rPr>
                <w:webHidden/>
              </w:rPr>
              <w:fldChar w:fldCharType="separate"/>
            </w:r>
            <w:r w:rsidR="0094460E">
              <w:rPr>
                <w:webHidden/>
              </w:rPr>
              <w:t>11-4</w:t>
            </w:r>
            <w:r w:rsidR="00196484">
              <w:rPr>
                <w:webHidden/>
              </w:rPr>
              <w:fldChar w:fldCharType="end"/>
            </w:r>
          </w:hyperlink>
        </w:p>
        <w:p w:rsidR="00196484" w:rsidRDefault="00164ADF">
          <w:pPr>
            <w:pStyle w:val="TOC1"/>
            <w:rPr>
              <w:rFonts w:asciiTheme="minorHAnsi" w:hAnsiTheme="minorHAnsi"/>
              <w:b w:val="0"/>
              <w:color w:val="auto"/>
              <w:sz w:val="22"/>
              <w:lang w:val="en-AU" w:eastAsia="en-AU"/>
            </w:rPr>
          </w:pPr>
          <w:hyperlink w:anchor="_Toc417302629" w:history="1">
            <w:r w:rsidR="00196484" w:rsidRPr="00026D7D">
              <w:rPr>
                <w:rStyle w:val="Hyperlink"/>
              </w:rPr>
              <w:t>11</w:t>
            </w:r>
            <w:r w:rsidR="00196484">
              <w:rPr>
                <w:rFonts w:asciiTheme="minorHAnsi" w:hAnsiTheme="minorHAnsi"/>
                <w:b w:val="0"/>
                <w:color w:val="auto"/>
                <w:sz w:val="22"/>
                <w:lang w:val="en-AU" w:eastAsia="en-AU"/>
              </w:rPr>
              <w:tab/>
            </w:r>
            <w:r w:rsidR="00196484" w:rsidRPr="00026D7D">
              <w:rPr>
                <w:rStyle w:val="Hyperlink"/>
              </w:rPr>
              <w:t>Service target performance incentive scheme</w:t>
            </w:r>
            <w:r w:rsidR="00196484">
              <w:rPr>
                <w:webHidden/>
              </w:rPr>
              <w:tab/>
            </w:r>
            <w:r w:rsidR="00196484">
              <w:rPr>
                <w:webHidden/>
              </w:rPr>
              <w:fldChar w:fldCharType="begin"/>
            </w:r>
            <w:r w:rsidR="00196484">
              <w:rPr>
                <w:webHidden/>
              </w:rPr>
              <w:instrText xml:space="preserve"> PAGEREF _Toc417302629 \h </w:instrText>
            </w:r>
            <w:r w:rsidR="00196484">
              <w:rPr>
                <w:webHidden/>
              </w:rPr>
            </w:r>
            <w:r w:rsidR="00196484">
              <w:rPr>
                <w:webHidden/>
              </w:rPr>
              <w:fldChar w:fldCharType="separate"/>
            </w:r>
            <w:r w:rsidR="0094460E">
              <w:rPr>
                <w:webHidden/>
              </w:rPr>
              <w:t>11-6</w:t>
            </w:r>
            <w:r w:rsidR="00196484">
              <w:rPr>
                <w:webHidden/>
              </w:rPr>
              <w:fldChar w:fldCharType="end"/>
            </w:r>
          </w:hyperlink>
        </w:p>
        <w:p w:rsidR="00196484" w:rsidRDefault="00164ADF">
          <w:pPr>
            <w:pStyle w:val="TOC2"/>
            <w:tabs>
              <w:tab w:val="left" w:pos="1276"/>
            </w:tabs>
            <w:rPr>
              <w:rFonts w:asciiTheme="minorHAnsi" w:hAnsiTheme="minorHAnsi"/>
              <w:b w:val="0"/>
              <w:color w:val="auto"/>
              <w:sz w:val="22"/>
              <w:lang w:eastAsia="en-AU"/>
            </w:rPr>
          </w:pPr>
          <w:hyperlink w:anchor="_Toc417302630" w:history="1">
            <w:r w:rsidR="00196484" w:rsidRPr="00026D7D">
              <w:rPr>
                <w:rStyle w:val="Hyperlink"/>
              </w:rPr>
              <w:t>11.1</w:t>
            </w:r>
            <w:r w:rsidR="00196484">
              <w:rPr>
                <w:rFonts w:asciiTheme="minorHAnsi" w:hAnsiTheme="minorHAnsi"/>
                <w:b w:val="0"/>
                <w:color w:val="auto"/>
                <w:sz w:val="22"/>
                <w:lang w:eastAsia="en-AU"/>
              </w:rPr>
              <w:tab/>
            </w:r>
            <w:r w:rsidR="00196484" w:rsidRPr="00026D7D">
              <w:rPr>
                <w:rStyle w:val="Hyperlink"/>
              </w:rPr>
              <w:t>Final decision</w:t>
            </w:r>
            <w:r w:rsidR="00196484">
              <w:rPr>
                <w:webHidden/>
              </w:rPr>
              <w:tab/>
            </w:r>
            <w:r w:rsidR="00196484">
              <w:rPr>
                <w:webHidden/>
              </w:rPr>
              <w:fldChar w:fldCharType="begin"/>
            </w:r>
            <w:r w:rsidR="00196484">
              <w:rPr>
                <w:webHidden/>
              </w:rPr>
              <w:instrText xml:space="preserve"> PAGEREF _Toc417302630 \h </w:instrText>
            </w:r>
            <w:r w:rsidR="00196484">
              <w:rPr>
                <w:webHidden/>
              </w:rPr>
            </w:r>
            <w:r w:rsidR="00196484">
              <w:rPr>
                <w:webHidden/>
              </w:rPr>
              <w:fldChar w:fldCharType="separate"/>
            </w:r>
            <w:r w:rsidR="0094460E">
              <w:rPr>
                <w:webHidden/>
              </w:rPr>
              <w:t>11-6</w:t>
            </w:r>
            <w:r w:rsidR="00196484">
              <w:rPr>
                <w:webHidden/>
              </w:rPr>
              <w:fldChar w:fldCharType="end"/>
            </w:r>
          </w:hyperlink>
        </w:p>
        <w:p w:rsidR="00196484" w:rsidRDefault="00164ADF">
          <w:pPr>
            <w:pStyle w:val="TOC2"/>
            <w:tabs>
              <w:tab w:val="left" w:pos="1276"/>
            </w:tabs>
            <w:rPr>
              <w:rFonts w:asciiTheme="minorHAnsi" w:hAnsiTheme="minorHAnsi"/>
              <w:b w:val="0"/>
              <w:color w:val="auto"/>
              <w:sz w:val="22"/>
              <w:lang w:eastAsia="en-AU"/>
            </w:rPr>
          </w:pPr>
          <w:hyperlink w:anchor="_Toc417302631" w:history="1">
            <w:r w:rsidR="00196484" w:rsidRPr="00026D7D">
              <w:rPr>
                <w:rStyle w:val="Hyperlink"/>
              </w:rPr>
              <w:t>11.2</w:t>
            </w:r>
            <w:r w:rsidR="00196484">
              <w:rPr>
                <w:rFonts w:asciiTheme="minorHAnsi" w:hAnsiTheme="minorHAnsi"/>
                <w:b w:val="0"/>
                <w:color w:val="auto"/>
                <w:sz w:val="22"/>
                <w:lang w:eastAsia="en-AU"/>
              </w:rPr>
              <w:tab/>
            </w:r>
            <w:r w:rsidR="00196484" w:rsidRPr="00026D7D">
              <w:rPr>
                <w:rStyle w:val="Hyperlink"/>
              </w:rPr>
              <w:t>Endeavour Energy’s revised proposal</w:t>
            </w:r>
            <w:r w:rsidR="00196484">
              <w:rPr>
                <w:webHidden/>
              </w:rPr>
              <w:tab/>
            </w:r>
            <w:r w:rsidR="00196484">
              <w:rPr>
                <w:webHidden/>
              </w:rPr>
              <w:fldChar w:fldCharType="begin"/>
            </w:r>
            <w:r w:rsidR="00196484">
              <w:rPr>
                <w:webHidden/>
              </w:rPr>
              <w:instrText xml:space="preserve"> PAGEREF _Toc417302631 \h </w:instrText>
            </w:r>
            <w:r w:rsidR="00196484">
              <w:rPr>
                <w:webHidden/>
              </w:rPr>
            </w:r>
            <w:r w:rsidR="00196484">
              <w:rPr>
                <w:webHidden/>
              </w:rPr>
              <w:fldChar w:fldCharType="separate"/>
            </w:r>
            <w:r w:rsidR="0094460E">
              <w:rPr>
                <w:webHidden/>
              </w:rPr>
              <w:t>11-9</w:t>
            </w:r>
            <w:r w:rsidR="00196484">
              <w:rPr>
                <w:webHidden/>
              </w:rPr>
              <w:fldChar w:fldCharType="end"/>
            </w:r>
          </w:hyperlink>
        </w:p>
        <w:p w:rsidR="00196484" w:rsidRDefault="00164ADF">
          <w:pPr>
            <w:pStyle w:val="TOC2"/>
            <w:tabs>
              <w:tab w:val="left" w:pos="1276"/>
            </w:tabs>
            <w:rPr>
              <w:rFonts w:asciiTheme="minorHAnsi" w:hAnsiTheme="minorHAnsi"/>
              <w:b w:val="0"/>
              <w:color w:val="auto"/>
              <w:sz w:val="22"/>
              <w:lang w:eastAsia="en-AU"/>
            </w:rPr>
          </w:pPr>
          <w:hyperlink w:anchor="_Toc417302632" w:history="1">
            <w:r w:rsidR="00196484" w:rsidRPr="00026D7D">
              <w:rPr>
                <w:rStyle w:val="Hyperlink"/>
              </w:rPr>
              <w:t>11.3</w:t>
            </w:r>
            <w:r w:rsidR="00196484">
              <w:rPr>
                <w:rFonts w:asciiTheme="minorHAnsi" w:hAnsiTheme="minorHAnsi"/>
                <w:b w:val="0"/>
                <w:color w:val="auto"/>
                <w:sz w:val="22"/>
                <w:lang w:eastAsia="en-AU"/>
              </w:rPr>
              <w:tab/>
            </w:r>
            <w:r w:rsidR="00196484" w:rsidRPr="00026D7D">
              <w:rPr>
                <w:rStyle w:val="Hyperlink"/>
              </w:rPr>
              <w:t>AER’s assessment approach</w:t>
            </w:r>
            <w:r w:rsidR="00196484">
              <w:rPr>
                <w:webHidden/>
              </w:rPr>
              <w:tab/>
            </w:r>
            <w:r w:rsidR="00196484">
              <w:rPr>
                <w:webHidden/>
              </w:rPr>
              <w:fldChar w:fldCharType="begin"/>
            </w:r>
            <w:r w:rsidR="00196484">
              <w:rPr>
                <w:webHidden/>
              </w:rPr>
              <w:instrText xml:space="preserve"> PAGEREF _Toc417302632 \h </w:instrText>
            </w:r>
            <w:r w:rsidR="00196484">
              <w:rPr>
                <w:webHidden/>
              </w:rPr>
            </w:r>
            <w:r w:rsidR="00196484">
              <w:rPr>
                <w:webHidden/>
              </w:rPr>
              <w:fldChar w:fldCharType="separate"/>
            </w:r>
            <w:r w:rsidR="0094460E">
              <w:rPr>
                <w:webHidden/>
              </w:rPr>
              <w:t>11-10</w:t>
            </w:r>
            <w:r w:rsidR="00196484">
              <w:rPr>
                <w:webHidden/>
              </w:rPr>
              <w:fldChar w:fldCharType="end"/>
            </w:r>
          </w:hyperlink>
        </w:p>
        <w:p w:rsidR="00196484" w:rsidRDefault="00164ADF">
          <w:pPr>
            <w:pStyle w:val="TOC3"/>
            <w:rPr>
              <w:rFonts w:asciiTheme="minorHAnsi" w:hAnsiTheme="minorHAnsi"/>
              <w:lang w:eastAsia="en-AU"/>
            </w:rPr>
          </w:pPr>
          <w:hyperlink w:anchor="_Toc417302633" w:history="1">
            <w:r w:rsidR="00196484" w:rsidRPr="00026D7D">
              <w:rPr>
                <w:rStyle w:val="Hyperlink"/>
              </w:rPr>
              <w:t>11.3.1</w:t>
            </w:r>
            <w:r w:rsidR="00196484">
              <w:rPr>
                <w:rFonts w:asciiTheme="minorHAnsi" w:hAnsiTheme="minorHAnsi"/>
                <w:lang w:eastAsia="en-AU"/>
              </w:rPr>
              <w:tab/>
            </w:r>
            <w:r w:rsidR="00196484" w:rsidRPr="00026D7D">
              <w:rPr>
                <w:rStyle w:val="Hyperlink"/>
              </w:rPr>
              <w:t>Interrelationships</w:t>
            </w:r>
            <w:r w:rsidR="00196484">
              <w:rPr>
                <w:webHidden/>
              </w:rPr>
              <w:tab/>
            </w:r>
            <w:r w:rsidR="00196484">
              <w:rPr>
                <w:webHidden/>
              </w:rPr>
              <w:fldChar w:fldCharType="begin"/>
            </w:r>
            <w:r w:rsidR="00196484">
              <w:rPr>
                <w:webHidden/>
              </w:rPr>
              <w:instrText xml:space="preserve"> PAGEREF _Toc417302633 \h </w:instrText>
            </w:r>
            <w:r w:rsidR="00196484">
              <w:rPr>
                <w:webHidden/>
              </w:rPr>
            </w:r>
            <w:r w:rsidR="00196484">
              <w:rPr>
                <w:webHidden/>
              </w:rPr>
              <w:fldChar w:fldCharType="separate"/>
            </w:r>
            <w:r w:rsidR="0094460E">
              <w:rPr>
                <w:webHidden/>
              </w:rPr>
              <w:t>11-11</w:t>
            </w:r>
            <w:r w:rsidR="00196484">
              <w:rPr>
                <w:webHidden/>
              </w:rPr>
              <w:fldChar w:fldCharType="end"/>
            </w:r>
          </w:hyperlink>
        </w:p>
        <w:p w:rsidR="00196484" w:rsidRDefault="00164ADF">
          <w:pPr>
            <w:pStyle w:val="TOC2"/>
            <w:tabs>
              <w:tab w:val="left" w:pos="1276"/>
            </w:tabs>
            <w:rPr>
              <w:rFonts w:asciiTheme="minorHAnsi" w:hAnsiTheme="minorHAnsi"/>
              <w:b w:val="0"/>
              <w:color w:val="auto"/>
              <w:sz w:val="22"/>
              <w:lang w:eastAsia="en-AU"/>
            </w:rPr>
          </w:pPr>
          <w:hyperlink w:anchor="_Toc417302634" w:history="1">
            <w:r w:rsidR="00196484" w:rsidRPr="00026D7D">
              <w:rPr>
                <w:rStyle w:val="Hyperlink"/>
              </w:rPr>
              <w:t>11.4</w:t>
            </w:r>
            <w:r w:rsidR="00196484">
              <w:rPr>
                <w:rFonts w:asciiTheme="minorHAnsi" w:hAnsiTheme="minorHAnsi"/>
                <w:b w:val="0"/>
                <w:color w:val="auto"/>
                <w:sz w:val="22"/>
                <w:lang w:eastAsia="en-AU"/>
              </w:rPr>
              <w:tab/>
            </w:r>
            <w:r w:rsidR="00196484" w:rsidRPr="00026D7D">
              <w:rPr>
                <w:rStyle w:val="Hyperlink"/>
              </w:rPr>
              <w:t>Reasons for final decision</w:t>
            </w:r>
            <w:r w:rsidR="00196484">
              <w:rPr>
                <w:webHidden/>
              </w:rPr>
              <w:tab/>
            </w:r>
            <w:r w:rsidR="00196484">
              <w:rPr>
                <w:webHidden/>
              </w:rPr>
              <w:fldChar w:fldCharType="begin"/>
            </w:r>
            <w:r w:rsidR="00196484">
              <w:rPr>
                <w:webHidden/>
              </w:rPr>
              <w:instrText xml:space="preserve"> PAGEREF _Toc417302634 \h </w:instrText>
            </w:r>
            <w:r w:rsidR="00196484">
              <w:rPr>
                <w:webHidden/>
              </w:rPr>
            </w:r>
            <w:r w:rsidR="00196484">
              <w:rPr>
                <w:webHidden/>
              </w:rPr>
              <w:fldChar w:fldCharType="separate"/>
            </w:r>
            <w:r w:rsidR="0094460E">
              <w:rPr>
                <w:webHidden/>
              </w:rPr>
              <w:t>11-11</w:t>
            </w:r>
            <w:r w:rsidR="00196484">
              <w:rPr>
                <w:webHidden/>
              </w:rPr>
              <w:fldChar w:fldCharType="end"/>
            </w:r>
          </w:hyperlink>
        </w:p>
        <w:p w:rsidR="00196484" w:rsidRDefault="00164ADF">
          <w:pPr>
            <w:pStyle w:val="TOC3"/>
            <w:rPr>
              <w:rFonts w:asciiTheme="minorHAnsi" w:hAnsiTheme="minorHAnsi"/>
              <w:lang w:eastAsia="en-AU"/>
            </w:rPr>
          </w:pPr>
          <w:hyperlink w:anchor="_Toc417302635" w:history="1">
            <w:r w:rsidR="00196484" w:rsidRPr="00026D7D">
              <w:rPr>
                <w:rStyle w:val="Hyperlink"/>
              </w:rPr>
              <w:t>11.4.1</w:t>
            </w:r>
            <w:r w:rsidR="00196484">
              <w:rPr>
                <w:rFonts w:asciiTheme="minorHAnsi" w:hAnsiTheme="minorHAnsi"/>
                <w:lang w:eastAsia="en-AU"/>
              </w:rPr>
              <w:tab/>
            </w:r>
            <w:r w:rsidR="00196484" w:rsidRPr="00026D7D">
              <w:rPr>
                <w:rStyle w:val="Hyperlink"/>
              </w:rPr>
              <w:t>Application of STPIS</w:t>
            </w:r>
            <w:r w:rsidR="00196484">
              <w:rPr>
                <w:webHidden/>
              </w:rPr>
              <w:tab/>
            </w:r>
            <w:r w:rsidR="00196484">
              <w:rPr>
                <w:webHidden/>
              </w:rPr>
              <w:fldChar w:fldCharType="begin"/>
            </w:r>
            <w:r w:rsidR="00196484">
              <w:rPr>
                <w:webHidden/>
              </w:rPr>
              <w:instrText xml:space="preserve"> PAGEREF _Toc417302635 \h </w:instrText>
            </w:r>
            <w:r w:rsidR="00196484">
              <w:rPr>
                <w:webHidden/>
              </w:rPr>
            </w:r>
            <w:r w:rsidR="00196484">
              <w:rPr>
                <w:webHidden/>
              </w:rPr>
              <w:fldChar w:fldCharType="separate"/>
            </w:r>
            <w:r w:rsidR="0094460E">
              <w:rPr>
                <w:webHidden/>
              </w:rPr>
              <w:t>11-11</w:t>
            </w:r>
            <w:r w:rsidR="00196484">
              <w:rPr>
                <w:webHidden/>
              </w:rPr>
              <w:fldChar w:fldCharType="end"/>
            </w:r>
          </w:hyperlink>
        </w:p>
        <w:p w:rsidR="00196484" w:rsidRDefault="00164ADF">
          <w:pPr>
            <w:pStyle w:val="TOC3"/>
            <w:rPr>
              <w:rFonts w:asciiTheme="minorHAnsi" w:hAnsiTheme="minorHAnsi"/>
              <w:lang w:eastAsia="en-AU"/>
            </w:rPr>
          </w:pPr>
          <w:hyperlink w:anchor="_Toc417302636" w:history="1">
            <w:r w:rsidR="00196484" w:rsidRPr="00026D7D">
              <w:rPr>
                <w:rStyle w:val="Hyperlink"/>
              </w:rPr>
              <w:t>11.4.2</w:t>
            </w:r>
            <w:r w:rsidR="00196484">
              <w:rPr>
                <w:rFonts w:asciiTheme="minorHAnsi" w:hAnsiTheme="minorHAnsi"/>
                <w:lang w:eastAsia="en-AU"/>
              </w:rPr>
              <w:tab/>
            </w:r>
            <w:r w:rsidR="00196484" w:rsidRPr="00026D7D">
              <w:rPr>
                <w:rStyle w:val="Hyperlink"/>
              </w:rPr>
              <w:t>Applicable components and parameters</w:t>
            </w:r>
            <w:r w:rsidR="00196484">
              <w:rPr>
                <w:webHidden/>
              </w:rPr>
              <w:tab/>
            </w:r>
            <w:r w:rsidR="00196484">
              <w:rPr>
                <w:webHidden/>
              </w:rPr>
              <w:fldChar w:fldCharType="begin"/>
            </w:r>
            <w:r w:rsidR="00196484">
              <w:rPr>
                <w:webHidden/>
              </w:rPr>
              <w:instrText xml:space="preserve"> PAGEREF _Toc417302636 \h </w:instrText>
            </w:r>
            <w:r w:rsidR="00196484">
              <w:rPr>
                <w:webHidden/>
              </w:rPr>
            </w:r>
            <w:r w:rsidR="00196484">
              <w:rPr>
                <w:webHidden/>
              </w:rPr>
              <w:fldChar w:fldCharType="separate"/>
            </w:r>
            <w:r w:rsidR="0094460E">
              <w:rPr>
                <w:webHidden/>
              </w:rPr>
              <w:t>11-12</w:t>
            </w:r>
            <w:r w:rsidR="00196484">
              <w:rPr>
                <w:webHidden/>
              </w:rPr>
              <w:fldChar w:fldCharType="end"/>
            </w:r>
          </w:hyperlink>
        </w:p>
        <w:p w:rsidR="00196484" w:rsidRDefault="00164ADF">
          <w:pPr>
            <w:pStyle w:val="TOC3"/>
            <w:rPr>
              <w:rFonts w:asciiTheme="minorHAnsi" w:hAnsiTheme="minorHAnsi"/>
              <w:lang w:eastAsia="en-AU"/>
            </w:rPr>
          </w:pPr>
          <w:hyperlink w:anchor="_Toc417302637" w:history="1">
            <w:r w:rsidR="00196484" w:rsidRPr="00026D7D">
              <w:rPr>
                <w:rStyle w:val="Hyperlink"/>
              </w:rPr>
              <w:t>11.4.3</w:t>
            </w:r>
            <w:r w:rsidR="00196484">
              <w:rPr>
                <w:rFonts w:asciiTheme="minorHAnsi" w:hAnsiTheme="minorHAnsi"/>
                <w:lang w:eastAsia="en-AU"/>
              </w:rPr>
              <w:tab/>
            </w:r>
            <w:r w:rsidR="00196484" w:rsidRPr="00026D7D">
              <w:rPr>
                <w:rStyle w:val="Hyperlink"/>
              </w:rPr>
              <w:t>Revenue at risk</w:t>
            </w:r>
            <w:r w:rsidR="00196484">
              <w:rPr>
                <w:webHidden/>
              </w:rPr>
              <w:tab/>
            </w:r>
            <w:r w:rsidR="00196484">
              <w:rPr>
                <w:webHidden/>
              </w:rPr>
              <w:fldChar w:fldCharType="begin"/>
            </w:r>
            <w:r w:rsidR="00196484">
              <w:rPr>
                <w:webHidden/>
              </w:rPr>
              <w:instrText xml:space="preserve"> PAGEREF _Toc417302637 \h </w:instrText>
            </w:r>
            <w:r w:rsidR="00196484">
              <w:rPr>
                <w:webHidden/>
              </w:rPr>
            </w:r>
            <w:r w:rsidR="00196484">
              <w:rPr>
                <w:webHidden/>
              </w:rPr>
              <w:fldChar w:fldCharType="separate"/>
            </w:r>
            <w:r w:rsidR="0094460E">
              <w:rPr>
                <w:webHidden/>
              </w:rPr>
              <w:t>11-12</w:t>
            </w:r>
            <w:r w:rsidR="00196484">
              <w:rPr>
                <w:webHidden/>
              </w:rPr>
              <w:fldChar w:fldCharType="end"/>
            </w:r>
          </w:hyperlink>
        </w:p>
        <w:p w:rsidR="00196484" w:rsidRDefault="00164ADF">
          <w:pPr>
            <w:pStyle w:val="TOC3"/>
            <w:rPr>
              <w:rFonts w:asciiTheme="minorHAnsi" w:hAnsiTheme="minorHAnsi"/>
              <w:lang w:eastAsia="en-AU"/>
            </w:rPr>
          </w:pPr>
          <w:hyperlink w:anchor="_Toc417302638" w:history="1">
            <w:r w:rsidR="00196484" w:rsidRPr="00026D7D">
              <w:rPr>
                <w:rStyle w:val="Hyperlink"/>
              </w:rPr>
              <w:t>11.4.4</w:t>
            </w:r>
            <w:r w:rsidR="00196484">
              <w:rPr>
                <w:rFonts w:asciiTheme="minorHAnsi" w:hAnsiTheme="minorHAnsi"/>
                <w:lang w:eastAsia="en-AU"/>
              </w:rPr>
              <w:tab/>
            </w:r>
            <w:r w:rsidR="00196484" w:rsidRPr="00026D7D">
              <w:rPr>
                <w:rStyle w:val="Hyperlink"/>
              </w:rPr>
              <w:t>Reliability of supply component</w:t>
            </w:r>
            <w:r w:rsidR="00196484">
              <w:rPr>
                <w:webHidden/>
              </w:rPr>
              <w:tab/>
            </w:r>
            <w:r w:rsidR="00196484">
              <w:rPr>
                <w:webHidden/>
              </w:rPr>
              <w:fldChar w:fldCharType="begin"/>
            </w:r>
            <w:r w:rsidR="00196484">
              <w:rPr>
                <w:webHidden/>
              </w:rPr>
              <w:instrText xml:space="preserve"> PAGEREF _Toc417302638 \h </w:instrText>
            </w:r>
            <w:r w:rsidR="00196484">
              <w:rPr>
                <w:webHidden/>
              </w:rPr>
            </w:r>
            <w:r w:rsidR="00196484">
              <w:rPr>
                <w:webHidden/>
              </w:rPr>
              <w:fldChar w:fldCharType="separate"/>
            </w:r>
            <w:r w:rsidR="0094460E">
              <w:rPr>
                <w:webHidden/>
              </w:rPr>
              <w:t>11-13</w:t>
            </w:r>
            <w:r w:rsidR="00196484">
              <w:rPr>
                <w:webHidden/>
              </w:rPr>
              <w:fldChar w:fldCharType="end"/>
            </w:r>
          </w:hyperlink>
        </w:p>
        <w:p w:rsidR="00196484" w:rsidRDefault="00164ADF">
          <w:pPr>
            <w:pStyle w:val="TOC3"/>
            <w:rPr>
              <w:rFonts w:asciiTheme="minorHAnsi" w:hAnsiTheme="minorHAnsi"/>
              <w:lang w:eastAsia="en-AU"/>
            </w:rPr>
          </w:pPr>
          <w:hyperlink w:anchor="_Toc417302639" w:history="1">
            <w:r w:rsidR="00196484" w:rsidRPr="00026D7D">
              <w:rPr>
                <w:rStyle w:val="Hyperlink"/>
              </w:rPr>
              <w:t>11.4.5</w:t>
            </w:r>
            <w:r w:rsidR="00196484">
              <w:rPr>
                <w:rFonts w:asciiTheme="minorHAnsi" w:hAnsiTheme="minorHAnsi"/>
                <w:lang w:eastAsia="en-AU"/>
              </w:rPr>
              <w:tab/>
            </w:r>
            <w:r w:rsidR="00196484" w:rsidRPr="00026D7D">
              <w:rPr>
                <w:rStyle w:val="Hyperlink"/>
              </w:rPr>
              <w:t>Customer service component</w:t>
            </w:r>
            <w:r w:rsidR="00196484">
              <w:rPr>
                <w:webHidden/>
              </w:rPr>
              <w:tab/>
            </w:r>
            <w:r w:rsidR="00196484">
              <w:rPr>
                <w:webHidden/>
              </w:rPr>
              <w:fldChar w:fldCharType="begin"/>
            </w:r>
            <w:r w:rsidR="00196484">
              <w:rPr>
                <w:webHidden/>
              </w:rPr>
              <w:instrText xml:space="preserve"> PAGEREF _Toc417302639 \h </w:instrText>
            </w:r>
            <w:r w:rsidR="00196484">
              <w:rPr>
                <w:webHidden/>
              </w:rPr>
            </w:r>
            <w:r w:rsidR="00196484">
              <w:rPr>
                <w:webHidden/>
              </w:rPr>
              <w:fldChar w:fldCharType="separate"/>
            </w:r>
            <w:r w:rsidR="0094460E">
              <w:rPr>
                <w:webHidden/>
              </w:rPr>
              <w:t>11-18</w:t>
            </w:r>
            <w:r w:rsidR="00196484">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415F31">
      <w:pPr>
        <w:pStyle w:val="UnnumberedHeading"/>
        <w:numPr>
          <w:ilvl w:val="0"/>
          <w:numId w:val="24"/>
        </w:numPr>
      </w:pPr>
      <w:bookmarkStart w:id="8" w:name="_Toc404700925"/>
      <w:bookmarkStart w:id="9" w:name="_Toc417302628"/>
      <w:r>
        <w:lastRenderedPageBreak/>
        <w:t>Shortened forms</w:t>
      </w:r>
      <w:bookmarkEnd w:id="8"/>
      <w:bookmarkEnd w:id="9"/>
    </w:p>
    <w:tbl>
      <w:tblPr>
        <w:tblStyle w:val="AERtable-text0"/>
        <w:tblW w:w="0" w:type="auto"/>
        <w:tblLook w:val="04A0" w:firstRow="1" w:lastRow="0" w:firstColumn="1" w:lastColumn="0" w:noHBand="0" w:noVBand="1"/>
      </w:tblPr>
      <w:tblGrid>
        <w:gridCol w:w="4349"/>
        <w:gridCol w:w="4344"/>
      </w:tblGrid>
      <w:tr w:rsidR="001F05A4" w:rsidTr="001737B9">
        <w:trPr>
          <w:cnfStyle w:val="100000000000" w:firstRow="1" w:lastRow="0" w:firstColumn="0" w:lastColumn="0" w:oddVBand="0" w:evenVBand="0" w:oddHBand="0" w:evenHBand="0" w:firstRowFirstColumn="0" w:firstRowLastColumn="0" w:lastRowFirstColumn="0" w:lastRowLastColumn="0"/>
          <w:tblHeader/>
        </w:trPr>
        <w:tc>
          <w:tcPr>
            <w:tcW w:w="4349" w:type="dxa"/>
          </w:tcPr>
          <w:p w:rsidR="001F05A4" w:rsidRDefault="001F05A4" w:rsidP="001F05A4">
            <w:pPr>
              <w:numPr>
                <w:ilvl w:val="0"/>
                <w:numId w:val="25"/>
              </w:numPr>
            </w:pPr>
            <w:r>
              <w:t>Shortened form</w:t>
            </w:r>
          </w:p>
        </w:tc>
        <w:tc>
          <w:tcPr>
            <w:tcW w:w="4344" w:type="dxa"/>
          </w:tcPr>
          <w:p w:rsidR="001F05A4" w:rsidRDefault="001F05A4" w:rsidP="001F05A4">
            <w:pPr>
              <w:numPr>
                <w:ilvl w:val="0"/>
                <w:numId w:val="25"/>
              </w:numPr>
            </w:pPr>
            <w:r>
              <w:t>Extended form</w:t>
            </w:r>
          </w:p>
        </w:tc>
      </w:tr>
      <w:tr w:rsidR="001737B9" w:rsidTr="001737B9">
        <w:tc>
          <w:tcPr>
            <w:tcW w:w="4349" w:type="dxa"/>
          </w:tcPr>
          <w:p w:rsidR="001737B9" w:rsidRPr="001737B9" w:rsidRDefault="001737B9" w:rsidP="001737B9">
            <w:pPr>
              <w:numPr>
                <w:ilvl w:val="0"/>
                <w:numId w:val="25"/>
              </w:numPr>
            </w:pPr>
            <w:r w:rsidRPr="001737B9">
              <w:t>AEMC</w:t>
            </w:r>
          </w:p>
        </w:tc>
        <w:tc>
          <w:tcPr>
            <w:tcW w:w="4344" w:type="dxa"/>
          </w:tcPr>
          <w:p w:rsidR="001737B9" w:rsidRPr="001737B9" w:rsidRDefault="001737B9" w:rsidP="001737B9">
            <w:pPr>
              <w:numPr>
                <w:ilvl w:val="0"/>
                <w:numId w:val="25"/>
              </w:numPr>
            </w:pPr>
            <w:r w:rsidRPr="001737B9">
              <w:t>Australian Energy Market Commission</w:t>
            </w:r>
          </w:p>
        </w:tc>
      </w:tr>
      <w:tr w:rsidR="001737B9" w:rsidTr="001737B9">
        <w:trPr>
          <w:cnfStyle w:val="000000010000" w:firstRow="0" w:lastRow="0" w:firstColumn="0" w:lastColumn="0" w:oddVBand="0" w:evenVBand="0" w:oddHBand="0" w:evenHBand="1" w:firstRowFirstColumn="0" w:firstRowLastColumn="0" w:lastRowFirstColumn="0" w:lastRowLastColumn="0"/>
        </w:trPr>
        <w:tc>
          <w:tcPr>
            <w:tcW w:w="4349" w:type="dxa"/>
          </w:tcPr>
          <w:p w:rsidR="001737B9" w:rsidRPr="001737B9" w:rsidRDefault="001737B9" w:rsidP="001737B9">
            <w:pPr>
              <w:numPr>
                <w:ilvl w:val="0"/>
                <w:numId w:val="25"/>
              </w:numPr>
            </w:pPr>
            <w:r w:rsidRPr="001737B9">
              <w:t>AEMO</w:t>
            </w:r>
          </w:p>
        </w:tc>
        <w:tc>
          <w:tcPr>
            <w:tcW w:w="4344" w:type="dxa"/>
          </w:tcPr>
          <w:p w:rsidR="001737B9" w:rsidRPr="001737B9" w:rsidRDefault="001737B9" w:rsidP="001737B9">
            <w:pPr>
              <w:numPr>
                <w:ilvl w:val="0"/>
                <w:numId w:val="25"/>
              </w:numPr>
            </w:pPr>
            <w:r w:rsidRPr="001737B9">
              <w:t>Australian Energy Market Operator</w:t>
            </w:r>
          </w:p>
        </w:tc>
      </w:tr>
      <w:tr w:rsidR="001737B9" w:rsidTr="001737B9">
        <w:tc>
          <w:tcPr>
            <w:tcW w:w="4349" w:type="dxa"/>
          </w:tcPr>
          <w:p w:rsidR="001737B9" w:rsidRPr="001737B9" w:rsidRDefault="001737B9" w:rsidP="001737B9">
            <w:pPr>
              <w:numPr>
                <w:ilvl w:val="0"/>
                <w:numId w:val="25"/>
              </w:numPr>
            </w:pPr>
            <w:r w:rsidRPr="001737B9">
              <w:t>AER</w:t>
            </w:r>
          </w:p>
        </w:tc>
        <w:tc>
          <w:tcPr>
            <w:tcW w:w="4344" w:type="dxa"/>
          </w:tcPr>
          <w:p w:rsidR="001737B9" w:rsidRPr="001737B9" w:rsidRDefault="001737B9" w:rsidP="001737B9">
            <w:pPr>
              <w:numPr>
                <w:ilvl w:val="0"/>
                <w:numId w:val="25"/>
              </w:numPr>
            </w:pPr>
            <w:r w:rsidRPr="001737B9">
              <w:t>Australian Energy Regulator</w:t>
            </w:r>
          </w:p>
        </w:tc>
      </w:tr>
      <w:tr w:rsidR="001737B9" w:rsidTr="001737B9">
        <w:trPr>
          <w:cnfStyle w:val="000000010000" w:firstRow="0" w:lastRow="0" w:firstColumn="0" w:lastColumn="0" w:oddVBand="0" w:evenVBand="0" w:oddHBand="0" w:evenHBand="1" w:firstRowFirstColumn="0" w:firstRowLastColumn="0" w:lastRowFirstColumn="0" w:lastRowLastColumn="0"/>
        </w:trPr>
        <w:tc>
          <w:tcPr>
            <w:tcW w:w="4349" w:type="dxa"/>
          </w:tcPr>
          <w:p w:rsidR="001737B9" w:rsidRPr="001737B9" w:rsidRDefault="001737B9" w:rsidP="001737B9">
            <w:pPr>
              <w:numPr>
                <w:ilvl w:val="0"/>
                <w:numId w:val="25"/>
              </w:numPr>
            </w:pPr>
            <w:proofErr w:type="spellStart"/>
            <w:r w:rsidRPr="001737B9">
              <w:t>augex</w:t>
            </w:r>
            <w:proofErr w:type="spellEnd"/>
          </w:p>
        </w:tc>
        <w:tc>
          <w:tcPr>
            <w:tcW w:w="4344" w:type="dxa"/>
          </w:tcPr>
          <w:p w:rsidR="001737B9" w:rsidRPr="001737B9" w:rsidRDefault="001737B9" w:rsidP="001737B9">
            <w:pPr>
              <w:numPr>
                <w:ilvl w:val="0"/>
                <w:numId w:val="25"/>
              </w:numPr>
            </w:pPr>
            <w:r w:rsidRPr="001737B9">
              <w:t>augmentation expenditure</w:t>
            </w:r>
          </w:p>
        </w:tc>
      </w:tr>
      <w:tr w:rsidR="001737B9" w:rsidTr="001737B9">
        <w:tc>
          <w:tcPr>
            <w:tcW w:w="4349" w:type="dxa"/>
          </w:tcPr>
          <w:p w:rsidR="001737B9" w:rsidRPr="001737B9" w:rsidRDefault="001737B9" w:rsidP="001737B9">
            <w:pPr>
              <w:numPr>
                <w:ilvl w:val="0"/>
                <w:numId w:val="25"/>
              </w:numPr>
            </w:pPr>
            <w:r w:rsidRPr="001737B9">
              <w:t>capex</w:t>
            </w:r>
          </w:p>
        </w:tc>
        <w:tc>
          <w:tcPr>
            <w:tcW w:w="4344" w:type="dxa"/>
          </w:tcPr>
          <w:p w:rsidR="001737B9" w:rsidRPr="001737B9" w:rsidRDefault="001737B9" w:rsidP="001737B9">
            <w:pPr>
              <w:numPr>
                <w:ilvl w:val="0"/>
                <w:numId w:val="25"/>
              </w:numPr>
            </w:pPr>
            <w:r w:rsidRPr="001737B9">
              <w:t>capital expenditure</w:t>
            </w:r>
          </w:p>
        </w:tc>
      </w:tr>
      <w:tr w:rsidR="001737B9" w:rsidTr="001737B9">
        <w:trPr>
          <w:cnfStyle w:val="000000010000" w:firstRow="0" w:lastRow="0" w:firstColumn="0" w:lastColumn="0" w:oddVBand="0" w:evenVBand="0" w:oddHBand="0" w:evenHBand="1" w:firstRowFirstColumn="0" w:firstRowLastColumn="0" w:lastRowFirstColumn="0" w:lastRowLastColumn="0"/>
        </w:trPr>
        <w:tc>
          <w:tcPr>
            <w:tcW w:w="4349" w:type="dxa"/>
          </w:tcPr>
          <w:p w:rsidR="001737B9" w:rsidRPr="001737B9" w:rsidRDefault="001737B9" w:rsidP="001737B9">
            <w:pPr>
              <w:numPr>
                <w:ilvl w:val="0"/>
                <w:numId w:val="25"/>
              </w:numPr>
            </w:pPr>
            <w:r w:rsidRPr="001737B9">
              <w:t>CCP</w:t>
            </w:r>
          </w:p>
        </w:tc>
        <w:tc>
          <w:tcPr>
            <w:tcW w:w="4344" w:type="dxa"/>
          </w:tcPr>
          <w:p w:rsidR="001737B9" w:rsidRPr="001737B9" w:rsidRDefault="001737B9" w:rsidP="001737B9">
            <w:pPr>
              <w:numPr>
                <w:ilvl w:val="0"/>
                <w:numId w:val="25"/>
              </w:numPr>
            </w:pPr>
            <w:r w:rsidRPr="001737B9">
              <w:t>Consumer Challenge Panel</w:t>
            </w:r>
          </w:p>
        </w:tc>
      </w:tr>
      <w:tr w:rsidR="001737B9" w:rsidTr="001737B9">
        <w:tc>
          <w:tcPr>
            <w:tcW w:w="4349" w:type="dxa"/>
          </w:tcPr>
          <w:p w:rsidR="001737B9" w:rsidRPr="001737B9" w:rsidRDefault="001737B9" w:rsidP="001737B9">
            <w:pPr>
              <w:numPr>
                <w:ilvl w:val="0"/>
                <w:numId w:val="25"/>
              </w:numPr>
            </w:pPr>
            <w:r w:rsidRPr="001737B9">
              <w:t>CESS</w:t>
            </w:r>
          </w:p>
        </w:tc>
        <w:tc>
          <w:tcPr>
            <w:tcW w:w="4344" w:type="dxa"/>
          </w:tcPr>
          <w:p w:rsidR="001737B9" w:rsidRPr="001737B9" w:rsidRDefault="001737B9" w:rsidP="001737B9">
            <w:pPr>
              <w:numPr>
                <w:ilvl w:val="0"/>
                <w:numId w:val="25"/>
              </w:numPr>
            </w:pPr>
            <w:r w:rsidRPr="001737B9">
              <w:t>capital expenditure sharing scheme</w:t>
            </w:r>
          </w:p>
        </w:tc>
      </w:tr>
      <w:tr w:rsidR="001737B9" w:rsidTr="001737B9">
        <w:trPr>
          <w:cnfStyle w:val="000000010000" w:firstRow="0" w:lastRow="0" w:firstColumn="0" w:lastColumn="0" w:oddVBand="0" w:evenVBand="0" w:oddHBand="0" w:evenHBand="1" w:firstRowFirstColumn="0" w:firstRowLastColumn="0" w:lastRowFirstColumn="0" w:lastRowLastColumn="0"/>
        </w:trPr>
        <w:tc>
          <w:tcPr>
            <w:tcW w:w="4349" w:type="dxa"/>
          </w:tcPr>
          <w:p w:rsidR="001737B9" w:rsidRPr="001737B9" w:rsidRDefault="001737B9" w:rsidP="001737B9">
            <w:pPr>
              <w:numPr>
                <w:ilvl w:val="0"/>
                <w:numId w:val="25"/>
              </w:numPr>
            </w:pPr>
            <w:r w:rsidRPr="001737B9">
              <w:t>CPI</w:t>
            </w:r>
          </w:p>
        </w:tc>
        <w:tc>
          <w:tcPr>
            <w:tcW w:w="4344" w:type="dxa"/>
          </w:tcPr>
          <w:p w:rsidR="001737B9" w:rsidRPr="001737B9" w:rsidRDefault="001737B9" w:rsidP="001737B9">
            <w:pPr>
              <w:numPr>
                <w:ilvl w:val="0"/>
                <w:numId w:val="25"/>
              </w:numPr>
            </w:pPr>
            <w:r w:rsidRPr="001737B9">
              <w:t>consumer price index</w:t>
            </w:r>
          </w:p>
        </w:tc>
      </w:tr>
      <w:tr w:rsidR="001737B9" w:rsidTr="001737B9">
        <w:tc>
          <w:tcPr>
            <w:tcW w:w="4349" w:type="dxa"/>
          </w:tcPr>
          <w:p w:rsidR="001737B9" w:rsidRPr="001737B9" w:rsidRDefault="001737B9" w:rsidP="001737B9">
            <w:pPr>
              <w:numPr>
                <w:ilvl w:val="0"/>
                <w:numId w:val="25"/>
              </w:numPr>
            </w:pPr>
            <w:r w:rsidRPr="001737B9">
              <w:t>DRP</w:t>
            </w:r>
          </w:p>
        </w:tc>
        <w:tc>
          <w:tcPr>
            <w:tcW w:w="4344" w:type="dxa"/>
          </w:tcPr>
          <w:p w:rsidR="001737B9" w:rsidRPr="001737B9" w:rsidRDefault="001737B9" w:rsidP="001737B9">
            <w:pPr>
              <w:numPr>
                <w:ilvl w:val="0"/>
                <w:numId w:val="25"/>
              </w:numPr>
            </w:pPr>
            <w:r w:rsidRPr="001737B9">
              <w:t>debt risk premium</w:t>
            </w:r>
          </w:p>
        </w:tc>
      </w:tr>
      <w:tr w:rsidR="001737B9" w:rsidTr="001737B9">
        <w:trPr>
          <w:cnfStyle w:val="000000010000" w:firstRow="0" w:lastRow="0" w:firstColumn="0" w:lastColumn="0" w:oddVBand="0" w:evenVBand="0" w:oddHBand="0" w:evenHBand="1" w:firstRowFirstColumn="0" w:firstRowLastColumn="0" w:lastRowFirstColumn="0" w:lastRowLastColumn="0"/>
        </w:trPr>
        <w:tc>
          <w:tcPr>
            <w:tcW w:w="4349" w:type="dxa"/>
          </w:tcPr>
          <w:p w:rsidR="001737B9" w:rsidRPr="001737B9" w:rsidRDefault="001737B9" w:rsidP="001737B9">
            <w:pPr>
              <w:numPr>
                <w:ilvl w:val="0"/>
                <w:numId w:val="25"/>
              </w:numPr>
            </w:pPr>
            <w:r w:rsidRPr="001737B9">
              <w:t>DMIA</w:t>
            </w:r>
          </w:p>
        </w:tc>
        <w:tc>
          <w:tcPr>
            <w:tcW w:w="4344" w:type="dxa"/>
          </w:tcPr>
          <w:p w:rsidR="001737B9" w:rsidRPr="001737B9" w:rsidRDefault="001737B9" w:rsidP="001737B9">
            <w:pPr>
              <w:numPr>
                <w:ilvl w:val="0"/>
                <w:numId w:val="25"/>
              </w:numPr>
            </w:pPr>
            <w:r w:rsidRPr="001737B9">
              <w:t>demand management innovation allowance</w:t>
            </w:r>
          </w:p>
        </w:tc>
      </w:tr>
      <w:tr w:rsidR="001737B9" w:rsidTr="001737B9">
        <w:tc>
          <w:tcPr>
            <w:tcW w:w="4349" w:type="dxa"/>
          </w:tcPr>
          <w:p w:rsidR="001737B9" w:rsidRPr="001737B9" w:rsidRDefault="001737B9" w:rsidP="001737B9">
            <w:pPr>
              <w:numPr>
                <w:ilvl w:val="0"/>
                <w:numId w:val="25"/>
              </w:numPr>
            </w:pPr>
            <w:r w:rsidRPr="001737B9">
              <w:t>DMIS</w:t>
            </w:r>
          </w:p>
        </w:tc>
        <w:tc>
          <w:tcPr>
            <w:tcW w:w="4344" w:type="dxa"/>
          </w:tcPr>
          <w:p w:rsidR="001737B9" w:rsidRPr="001737B9" w:rsidRDefault="001737B9" w:rsidP="001737B9">
            <w:pPr>
              <w:numPr>
                <w:ilvl w:val="0"/>
                <w:numId w:val="25"/>
              </w:numPr>
            </w:pPr>
            <w:r w:rsidRPr="001737B9">
              <w:t>demand management incentive scheme</w:t>
            </w:r>
          </w:p>
        </w:tc>
      </w:tr>
      <w:tr w:rsidR="001737B9" w:rsidTr="001737B9">
        <w:trPr>
          <w:cnfStyle w:val="000000010000" w:firstRow="0" w:lastRow="0" w:firstColumn="0" w:lastColumn="0" w:oddVBand="0" w:evenVBand="0" w:oddHBand="0" w:evenHBand="1" w:firstRowFirstColumn="0" w:firstRowLastColumn="0" w:lastRowFirstColumn="0" w:lastRowLastColumn="0"/>
        </w:trPr>
        <w:tc>
          <w:tcPr>
            <w:tcW w:w="4349" w:type="dxa"/>
          </w:tcPr>
          <w:p w:rsidR="001737B9" w:rsidRPr="001737B9" w:rsidRDefault="001737B9" w:rsidP="001737B9">
            <w:pPr>
              <w:numPr>
                <w:ilvl w:val="0"/>
                <w:numId w:val="25"/>
              </w:numPr>
            </w:pPr>
            <w:r w:rsidRPr="001737B9">
              <w:t>distributor</w:t>
            </w:r>
          </w:p>
        </w:tc>
        <w:tc>
          <w:tcPr>
            <w:tcW w:w="4344" w:type="dxa"/>
          </w:tcPr>
          <w:p w:rsidR="001737B9" w:rsidRPr="001737B9" w:rsidRDefault="001737B9" w:rsidP="001737B9">
            <w:pPr>
              <w:numPr>
                <w:ilvl w:val="0"/>
                <w:numId w:val="25"/>
              </w:numPr>
            </w:pPr>
            <w:r w:rsidRPr="001737B9">
              <w:t>distribution network service provider</w:t>
            </w:r>
          </w:p>
        </w:tc>
      </w:tr>
      <w:tr w:rsidR="001737B9" w:rsidTr="001737B9">
        <w:tc>
          <w:tcPr>
            <w:tcW w:w="4349" w:type="dxa"/>
          </w:tcPr>
          <w:p w:rsidR="001737B9" w:rsidRPr="001737B9" w:rsidRDefault="001737B9" w:rsidP="001737B9">
            <w:pPr>
              <w:numPr>
                <w:ilvl w:val="0"/>
                <w:numId w:val="25"/>
              </w:numPr>
            </w:pPr>
            <w:proofErr w:type="spellStart"/>
            <w:r w:rsidRPr="001737B9">
              <w:t>DUoS</w:t>
            </w:r>
            <w:proofErr w:type="spellEnd"/>
          </w:p>
        </w:tc>
        <w:tc>
          <w:tcPr>
            <w:tcW w:w="4344" w:type="dxa"/>
          </w:tcPr>
          <w:p w:rsidR="001737B9" w:rsidRPr="001737B9" w:rsidRDefault="001737B9" w:rsidP="001737B9">
            <w:pPr>
              <w:numPr>
                <w:ilvl w:val="0"/>
                <w:numId w:val="25"/>
              </w:numPr>
            </w:pPr>
            <w:r w:rsidRPr="001737B9">
              <w:t>distribution use of system</w:t>
            </w:r>
          </w:p>
        </w:tc>
      </w:tr>
      <w:tr w:rsidR="001737B9" w:rsidTr="001737B9">
        <w:trPr>
          <w:cnfStyle w:val="000000010000" w:firstRow="0" w:lastRow="0" w:firstColumn="0" w:lastColumn="0" w:oddVBand="0" w:evenVBand="0" w:oddHBand="0" w:evenHBand="1" w:firstRowFirstColumn="0" w:firstRowLastColumn="0" w:lastRowFirstColumn="0" w:lastRowLastColumn="0"/>
        </w:trPr>
        <w:tc>
          <w:tcPr>
            <w:tcW w:w="4349" w:type="dxa"/>
          </w:tcPr>
          <w:p w:rsidR="001737B9" w:rsidRPr="001737B9" w:rsidRDefault="001737B9" w:rsidP="001737B9">
            <w:pPr>
              <w:numPr>
                <w:ilvl w:val="0"/>
                <w:numId w:val="25"/>
              </w:numPr>
            </w:pPr>
            <w:r w:rsidRPr="001737B9">
              <w:t>EBSS</w:t>
            </w:r>
          </w:p>
        </w:tc>
        <w:tc>
          <w:tcPr>
            <w:tcW w:w="4344" w:type="dxa"/>
          </w:tcPr>
          <w:p w:rsidR="001737B9" w:rsidRPr="001737B9" w:rsidRDefault="001737B9" w:rsidP="001737B9">
            <w:pPr>
              <w:numPr>
                <w:ilvl w:val="0"/>
                <w:numId w:val="25"/>
              </w:numPr>
            </w:pPr>
            <w:r w:rsidRPr="001737B9">
              <w:t>efficiency benefit sharing scheme</w:t>
            </w:r>
          </w:p>
        </w:tc>
      </w:tr>
      <w:tr w:rsidR="001737B9" w:rsidTr="001737B9">
        <w:tc>
          <w:tcPr>
            <w:tcW w:w="4349" w:type="dxa"/>
          </w:tcPr>
          <w:p w:rsidR="001737B9" w:rsidRPr="001737B9" w:rsidRDefault="001737B9" w:rsidP="001737B9">
            <w:pPr>
              <w:numPr>
                <w:ilvl w:val="0"/>
                <w:numId w:val="25"/>
              </w:numPr>
            </w:pPr>
            <w:r w:rsidRPr="001737B9">
              <w:t>ERP</w:t>
            </w:r>
          </w:p>
        </w:tc>
        <w:tc>
          <w:tcPr>
            <w:tcW w:w="4344" w:type="dxa"/>
          </w:tcPr>
          <w:p w:rsidR="001737B9" w:rsidRPr="001737B9" w:rsidRDefault="001737B9" w:rsidP="001737B9">
            <w:pPr>
              <w:numPr>
                <w:ilvl w:val="0"/>
                <w:numId w:val="25"/>
              </w:numPr>
            </w:pPr>
            <w:r w:rsidRPr="001737B9">
              <w:t>equity risk premium</w:t>
            </w:r>
          </w:p>
        </w:tc>
      </w:tr>
      <w:tr w:rsidR="001737B9" w:rsidTr="001737B9">
        <w:trPr>
          <w:cnfStyle w:val="000000010000" w:firstRow="0" w:lastRow="0" w:firstColumn="0" w:lastColumn="0" w:oddVBand="0" w:evenVBand="0" w:oddHBand="0" w:evenHBand="1" w:firstRowFirstColumn="0" w:firstRowLastColumn="0" w:lastRowFirstColumn="0" w:lastRowLastColumn="0"/>
        </w:trPr>
        <w:tc>
          <w:tcPr>
            <w:tcW w:w="4349" w:type="dxa"/>
          </w:tcPr>
          <w:p w:rsidR="001737B9" w:rsidRPr="001737B9" w:rsidRDefault="001737B9" w:rsidP="001737B9">
            <w:pPr>
              <w:numPr>
                <w:ilvl w:val="0"/>
                <w:numId w:val="25"/>
              </w:numPr>
            </w:pPr>
            <w:r w:rsidRPr="001737B9">
              <w:t>Expenditure Assessment Guideline</w:t>
            </w:r>
          </w:p>
        </w:tc>
        <w:tc>
          <w:tcPr>
            <w:tcW w:w="4344" w:type="dxa"/>
          </w:tcPr>
          <w:p w:rsidR="001737B9" w:rsidRPr="001737B9" w:rsidRDefault="001737B9" w:rsidP="001737B9">
            <w:pPr>
              <w:numPr>
                <w:ilvl w:val="0"/>
                <w:numId w:val="25"/>
              </w:numPr>
            </w:pPr>
            <w:r w:rsidRPr="001737B9">
              <w:t>expenditure forecast assessment Guideline for electricity distribution</w:t>
            </w:r>
          </w:p>
        </w:tc>
      </w:tr>
      <w:tr w:rsidR="001737B9" w:rsidTr="001737B9">
        <w:tc>
          <w:tcPr>
            <w:tcW w:w="4349" w:type="dxa"/>
          </w:tcPr>
          <w:p w:rsidR="001737B9" w:rsidRPr="001737B9" w:rsidRDefault="001737B9" w:rsidP="001737B9">
            <w:pPr>
              <w:numPr>
                <w:ilvl w:val="0"/>
                <w:numId w:val="25"/>
              </w:numPr>
            </w:pPr>
            <w:r w:rsidRPr="001737B9">
              <w:t>F&amp;A</w:t>
            </w:r>
          </w:p>
        </w:tc>
        <w:tc>
          <w:tcPr>
            <w:tcW w:w="4344" w:type="dxa"/>
          </w:tcPr>
          <w:p w:rsidR="001737B9" w:rsidRPr="001737B9" w:rsidRDefault="001737B9" w:rsidP="001737B9">
            <w:pPr>
              <w:numPr>
                <w:ilvl w:val="0"/>
                <w:numId w:val="25"/>
              </w:numPr>
            </w:pPr>
            <w:r w:rsidRPr="001737B9">
              <w:t>framework and approach</w:t>
            </w:r>
          </w:p>
        </w:tc>
      </w:tr>
      <w:tr w:rsidR="001737B9" w:rsidTr="001737B9">
        <w:trPr>
          <w:cnfStyle w:val="000000010000" w:firstRow="0" w:lastRow="0" w:firstColumn="0" w:lastColumn="0" w:oddVBand="0" w:evenVBand="0" w:oddHBand="0" w:evenHBand="1" w:firstRowFirstColumn="0" w:firstRowLastColumn="0" w:lastRowFirstColumn="0" w:lastRowLastColumn="0"/>
        </w:trPr>
        <w:tc>
          <w:tcPr>
            <w:tcW w:w="4349" w:type="dxa"/>
          </w:tcPr>
          <w:p w:rsidR="001737B9" w:rsidRPr="001737B9" w:rsidRDefault="001737B9" w:rsidP="001737B9">
            <w:pPr>
              <w:numPr>
                <w:ilvl w:val="0"/>
                <w:numId w:val="25"/>
              </w:numPr>
            </w:pPr>
            <w:r w:rsidRPr="001737B9">
              <w:t>MRP</w:t>
            </w:r>
          </w:p>
        </w:tc>
        <w:tc>
          <w:tcPr>
            <w:tcW w:w="4344" w:type="dxa"/>
          </w:tcPr>
          <w:p w:rsidR="001737B9" w:rsidRPr="001737B9" w:rsidRDefault="001737B9" w:rsidP="001737B9">
            <w:pPr>
              <w:numPr>
                <w:ilvl w:val="0"/>
                <w:numId w:val="25"/>
              </w:numPr>
            </w:pPr>
            <w:r w:rsidRPr="001737B9">
              <w:t>market risk premium</w:t>
            </w:r>
          </w:p>
        </w:tc>
      </w:tr>
      <w:tr w:rsidR="001737B9" w:rsidTr="001737B9">
        <w:tc>
          <w:tcPr>
            <w:tcW w:w="4349" w:type="dxa"/>
          </w:tcPr>
          <w:p w:rsidR="001737B9" w:rsidRPr="001737B9" w:rsidRDefault="001737B9" w:rsidP="001737B9">
            <w:pPr>
              <w:numPr>
                <w:ilvl w:val="0"/>
                <w:numId w:val="25"/>
              </w:numPr>
            </w:pPr>
            <w:r w:rsidRPr="001737B9">
              <w:t>NEL</w:t>
            </w:r>
          </w:p>
        </w:tc>
        <w:tc>
          <w:tcPr>
            <w:tcW w:w="4344" w:type="dxa"/>
          </w:tcPr>
          <w:p w:rsidR="001737B9" w:rsidRPr="001737B9" w:rsidRDefault="001737B9" w:rsidP="001737B9">
            <w:pPr>
              <w:numPr>
                <w:ilvl w:val="0"/>
                <w:numId w:val="25"/>
              </w:numPr>
            </w:pPr>
            <w:r w:rsidRPr="001737B9">
              <w:t>national electricity law</w:t>
            </w:r>
          </w:p>
        </w:tc>
      </w:tr>
      <w:tr w:rsidR="001737B9" w:rsidTr="001737B9">
        <w:trPr>
          <w:cnfStyle w:val="000000010000" w:firstRow="0" w:lastRow="0" w:firstColumn="0" w:lastColumn="0" w:oddVBand="0" w:evenVBand="0" w:oddHBand="0" w:evenHBand="1" w:firstRowFirstColumn="0" w:firstRowLastColumn="0" w:lastRowFirstColumn="0" w:lastRowLastColumn="0"/>
        </w:trPr>
        <w:tc>
          <w:tcPr>
            <w:tcW w:w="4349" w:type="dxa"/>
          </w:tcPr>
          <w:p w:rsidR="001737B9" w:rsidRPr="001737B9" w:rsidRDefault="001737B9" w:rsidP="001737B9">
            <w:pPr>
              <w:numPr>
                <w:ilvl w:val="0"/>
                <w:numId w:val="25"/>
              </w:numPr>
            </w:pPr>
            <w:r w:rsidRPr="001737B9">
              <w:t>NEM</w:t>
            </w:r>
          </w:p>
        </w:tc>
        <w:tc>
          <w:tcPr>
            <w:tcW w:w="4344" w:type="dxa"/>
          </w:tcPr>
          <w:p w:rsidR="001737B9" w:rsidRPr="001737B9" w:rsidRDefault="001737B9" w:rsidP="001737B9">
            <w:pPr>
              <w:numPr>
                <w:ilvl w:val="0"/>
                <w:numId w:val="25"/>
              </w:numPr>
            </w:pPr>
            <w:r w:rsidRPr="001737B9">
              <w:t>national electricity market</w:t>
            </w:r>
          </w:p>
        </w:tc>
      </w:tr>
      <w:tr w:rsidR="001737B9" w:rsidTr="001737B9">
        <w:tc>
          <w:tcPr>
            <w:tcW w:w="4349" w:type="dxa"/>
          </w:tcPr>
          <w:p w:rsidR="001737B9" w:rsidRPr="001737B9" w:rsidRDefault="001737B9" w:rsidP="001737B9">
            <w:pPr>
              <w:numPr>
                <w:ilvl w:val="0"/>
                <w:numId w:val="25"/>
              </w:numPr>
            </w:pPr>
            <w:r w:rsidRPr="001737B9">
              <w:t>NEO</w:t>
            </w:r>
          </w:p>
        </w:tc>
        <w:tc>
          <w:tcPr>
            <w:tcW w:w="4344" w:type="dxa"/>
          </w:tcPr>
          <w:p w:rsidR="001737B9" w:rsidRPr="001737B9" w:rsidRDefault="001737B9" w:rsidP="001737B9">
            <w:pPr>
              <w:numPr>
                <w:ilvl w:val="0"/>
                <w:numId w:val="25"/>
              </w:numPr>
            </w:pPr>
            <w:r w:rsidRPr="001737B9">
              <w:t>national electricity objective</w:t>
            </w:r>
          </w:p>
        </w:tc>
      </w:tr>
      <w:tr w:rsidR="001737B9" w:rsidTr="001737B9">
        <w:trPr>
          <w:cnfStyle w:val="000000010000" w:firstRow="0" w:lastRow="0" w:firstColumn="0" w:lastColumn="0" w:oddVBand="0" w:evenVBand="0" w:oddHBand="0" w:evenHBand="1" w:firstRowFirstColumn="0" w:firstRowLastColumn="0" w:lastRowFirstColumn="0" w:lastRowLastColumn="0"/>
        </w:trPr>
        <w:tc>
          <w:tcPr>
            <w:tcW w:w="4349" w:type="dxa"/>
          </w:tcPr>
          <w:p w:rsidR="001737B9" w:rsidRPr="001737B9" w:rsidRDefault="001737B9" w:rsidP="001737B9">
            <w:pPr>
              <w:numPr>
                <w:ilvl w:val="0"/>
                <w:numId w:val="25"/>
              </w:numPr>
            </w:pPr>
            <w:r w:rsidRPr="001737B9">
              <w:t>NER</w:t>
            </w:r>
          </w:p>
        </w:tc>
        <w:tc>
          <w:tcPr>
            <w:tcW w:w="4344" w:type="dxa"/>
          </w:tcPr>
          <w:p w:rsidR="001737B9" w:rsidRPr="001737B9" w:rsidRDefault="001737B9" w:rsidP="001737B9">
            <w:pPr>
              <w:numPr>
                <w:ilvl w:val="0"/>
                <w:numId w:val="25"/>
              </w:numPr>
            </w:pPr>
            <w:r w:rsidRPr="001737B9">
              <w:t>national electricity rules</w:t>
            </w:r>
          </w:p>
        </w:tc>
      </w:tr>
      <w:tr w:rsidR="001737B9" w:rsidTr="001737B9">
        <w:tc>
          <w:tcPr>
            <w:tcW w:w="4349" w:type="dxa"/>
          </w:tcPr>
          <w:p w:rsidR="001737B9" w:rsidRPr="001737B9" w:rsidRDefault="001737B9" w:rsidP="001737B9">
            <w:pPr>
              <w:numPr>
                <w:ilvl w:val="0"/>
                <w:numId w:val="25"/>
              </w:numPr>
            </w:pPr>
            <w:r w:rsidRPr="001737B9">
              <w:t>NSP</w:t>
            </w:r>
          </w:p>
        </w:tc>
        <w:tc>
          <w:tcPr>
            <w:tcW w:w="4344" w:type="dxa"/>
          </w:tcPr>
          <w:p w:rsidR="001737B9" w:rsidRPr="001737B9" w:rsidRDefault="001737B9" w:rsidP="001737B9">
            <w:pPr>
              <w:numPr>
                <w:ilvl w:val="0"/>
                <w:numId w:val="25"/>
              </w:numPr>
            </w:pPr>
            <w:r w:rsidRPr="001737B9">
              <w:t>network service provider</w:t>
            </w:r>
          </w:p>
        </w:tc>
      </w:tr>
      <w:tr w:rsidR="001737B9" w:rsidTr="001737B9">
        <w:trPr>
          <w:cnfStyle w:val="000000010000" w:firstRow="0" w:lastRow="0" w:firstColumn="0" w:lastColumn="0" w:oddVBand="0" w:evenVBand="0" w:oddHBand="0" w:evenHBand="1" w:firstRowFirstColumn="0" w:firstRowLastColumn="0" w:lastRowFirstColumn="0" w:lastRowLastColumn="0"/>
        </w:trPr>
        <w:tc>
          <w:tcPr>
            <w:tcW w:w="4349" w:type="dxa"/>
          </w:tcPr>
          <w:p w:rsidR="001737B9" w:rsidRPr="001737B9" w:rsidRDefault="001737B9" w:rsidP="001737B9">
            <w:pPr>
              <w:numPr>
                <w:ilvl w:val="0"/>
                <w:numId w:val="25"/>
              </w:numPr>
            </w:pPr>
            <w:proofErr w:type="spellStart"/>
            <w:r w:rsidRPr="001737B9">
              <w:t>opex</w:t>
            </w:r>
            <w:proofErr w:type="spellEnd"/>
          </w:p>
        </w:tc>
        <w:tc>
          <w:tcPr>
            <w:tcW w:w="4344" w:type="dxa"/>
          </w:tcPr>
          <w:p w:rsidR="001737B9" w:rsidRPr="001737B9" w:rsidRDefault="001737B9" w:rsidP="001737B9">
            <w:pPr>
              <w:numPr>
                <w:ilvl w:val="0"/>
                <w:numId w:val="25"/>
              </w:numPr>
            </w:pPr>
            <w:r w:rsidRPr="001737B9">
              <w:t>operating expenditure</w:t>
            </w:r>
          </w:p>
        </w:tc>
      </w:tr>
      <w:tr w:rsidR="001737B9" w:rsidTr="001737B9">
        <w:tc>
          <w:tcPr>
            <w:tcW w:w="4349" w:type="dxa"/>
          </w:tcPr>
          <w:p w:rsidR="001737B9" w:rsidRPr="001737B9" w:rsidRDefault="001737B9" w:rsidP="001737B9">
            <w:pPr>
              <w:numPr>
                <w:ilvl w:val="0"/>
                <w:numId w:val="25"/>
              </w:numPr>
            </w:pPr>
            <w:r w:rsidRPr="001737B9">
              <w:t>PPI</w:t>
            </w:r>
          </w:p>
        </w:tc>
        <w:tc>
          <w:tcPr>
            <w:tcW w:w="4344" w:type="dxa"/>
          </w:tcPr>
          <w:p w:rsidR="001737B9" w:rsidRPr="001737B9" w:rsidRDefault="001737B9" w:rsidP="001737B9">
            <w:pPr>
              <w:numPr>
                <w:ilvl w:val="0"/>
                <w:numId w:val="25"/>
              </w:numPr>
            </w:pPr>
            <w:r w:rsidRPr="001737B9">
              <w:t>partial performance indicators</w:t>
            </w:r>
          </w:p>
        </w:tc>
      </w:tr>
      <w:tr w:rsidR="001737B9" w:rsidTr="001737B9">
        <w:trPr>
          <w:cnfStyle w:val="000000010000" w:firstRow="0" w:lastRow="0" w:firstColumn="0" w:lastColumn="0" w:oddVBand="0" w:evenVBand="0" w:oddHBand="0" w:evenHBand="1" w:firstRowFirstColumn="0" w:firstRowLastColumn="0" w:lastRowFirstColumn="0" w:lastRowLastColumn="0"/>
        </w:trPr>
        <w:tc>
          <w:tcPr>
            <w:tcW w:w="4349" w:type="dxa"/>
          </w:tcPr>
          <w:p w:rsidR="001737B9" w:rsidRPr="001737B9" w:rsidRDefault="001737B9" w:rsidP="001737B9">
            <w:pPr>
              <w:numPr>
                <w:ilvl w:val="0"/>
                <w:numId w:val="25"/>
              </w:numPr>
            </w:pPr>
            <w:r w:rsidRPr="001737B9">
              <w:t>PTRM</w:t>
            </w:r>
          </w:p>
        </w:tc>
        <w:tc>
          <w:tcPr>
            <w:tcW w:w="4344" w:type="dxa"/>
          </w:tcPr>
          <w:p w:rsidR="001737B9" w:rsidRPr="001737B9" w:rsidRDefault="001737B9" w:rsidP="001737B9">
            <w:pPr>
              <w:numPr>
                <w:ilvl w:val="0"/>
                <w:numId w:val="25"/>
              </w:numPr>
            </w:pPr>
            <w:r w:rsidRPr="001737B9">
              <w:t>post-tax revenue model</w:t>
            </w:r>
          </w:p>
        </w:tc>
      </w:tr>
      <w:tr w:rsidR="001737B9" w:rsidTr="001737B9">
        <w:tc>
          <w:tcPr>
            <w:tcW w:w="4349" w:type="dxa"/>
          </w:tcPr>
          <w:p w:rsidR="001737B9" w:rsidRPr="001737B9" w:rsidRDefault="001737B9" w:rsidP="001737B9">
            <w:pPr>
              <w:numPr>
                <w:ilvl w:val="0"/>
                <w:numId w:val="25"/>
              </w:numPr>
            </w:pPr>
            <w:r w:rsidRPr="001737B9">
              <w:t>RAB</w:t>
            </w:r>
          </w:p>
        </w:tc>
        <w:tc>
          <w:tcPr>
            <w:tcW w:w="4344" w:type="dxa"/>
          </w:tcPr>
          <w:p w:rsidR="001737B9" w:rsidRPr="001737B9" w:rsidRDefault="001737B9" w:rsidP="001737B9">
            <w:pPr>
              <w:numPr>
                <w:ilvl w:val="0"/>
                <w:numId w:val="25"/>
              </w:numPr>
            </w:pPr>
            <w:r w:rsidRPr="001737B9">
              <w:t>regulatory asset base</w:t>
            </w:r>
          </w:p>
        </w:tc>
      </w:tr>
      <w:tr w:rsidR="001737B9" w:rsidTr="001737B9">
        <w:trPr>
          <w:cnfStyle w:val="000000010000" w:firstRow="0" w:lastRow="0" w:firstColumn="0" w:lastColumn="0" w:oddVBand="0" w:evenVBand="0" w:oddHBand="0" w:evenHBand="1" w:firstRowFirstColumn="0" w:firstRowLastColumn="0" w:lastRowFirstColumn="0" w:lastRowLastColumn="0"/>
        </w:trPr>
        <w:tc>
          <w:tcPr>
            <w:tcW w:w="4349" w:type="dxa"/>
          </w:tcPr>
          <w:p w:rsidR="001737B9" w:rsidRPr="001737B9" w:rsidRDefault="001737B9" w:rsidP="001737B9">
            <w:pPr>
              <w:numPr>
                <w:ilvl w:val="0"/>
                <w:numId w:val="25"/>
              </w:numPr>
            </w:pPr>
            <w:r w:rsidRPr="001737B9">
              <w:t>RBA</w:t>
            </w:r>
          </w:p>
        </w:tc>
        <w:tc>
          <w:tcPr>
            <w:tcW w:w="4344" w:type="dxa"/>
          </w:tcPr>
          <w:p w:rsidR="001737B9" w:rsidRPr="001737B9" w:rsidRDefault="001737B9" w:rsidP="001737B9">
            <w:pPr>
              <w:numPr>
                <w:ilvl w:val="0"/>
                <w:numId w:val="25"/>
              </w:numPr>
            </w:pPr>
            <w:r w:rsidRPr="001737B9">
              <w:t>Reserve Bank of Australia</w:t>
            </w:r>
          </w:p>
        </w:tc>
      </w:tr>
      <w:tr w:rsidR="001737B9" w:rsidTr="001737B9">
        <w:tc>
          <w:tcPr>
            <w:tcW w:w="4349" w:type="dxa"/>
          </w:tcPr>
          <w:p w:rsidR="001737B9" w:rsidRPr="001737B9" w:rsidRDefault="001737B9" w:rsidP="001737B9">
            <w:pPr>
              <w:numPr>
                <w:ilvl w:val="0"/>
                <w:numId w:val="25"/>
              </w:numPr>
            </w:pPr>
            <w:proofErr w:type="spellStart"/>
            <w:r w:rsidRPr="001737B9">
              <w:t>repex</w:t>
            </w:r>
            <w:proofErr w:type="spellEnd"/>
          </w:p>
        </w:tc>
        <w:tc>
          <w:tcPr>
            <w:tcW w:w="4344" w:type="dxa"/>
          </w:tcPr>
          <w:p w:rsidR="001737B9" w:rsidRPr="001737B9" w:rsidRDefault="001737B9" w:rsidP="001737B9">
            <w:pPr>
              <w:numPr>
                <w:ilvl w:val="0"/>
                <w:numId w:val="25"/>
              </w:numPr>
            </w:pPr>
            <w:r w:rsidRPr="001737B9">
              <w:t>replacement expenditure</w:t>
            </w:r>
          </w:p>
        </w:tc>
      </w:tr>
      <w:tr w:rsidR="001737B9" w:rsidTr="001737B9">
        <w:trPr>
          <w:cnfStyle w:val="000000010000" w:firstRow="0" w:lastRow="0" w:firstColumn="0" w:lastColumn="0" w:oddVBand="0" w:evenVBand="0" w:oddHBand="0" w:evenHBand="1" w:firstRowFirstColumn="0" w:firstRowLastColumn="0" w:lastRowFirstColumn="0" w:lastRowLastColumn="0"/>
        </w:trPr>
        <w:tc>
          <w:tcPr>
            <w:tcW w:w="4349" w:type="dxa"/>
          </w:tcPr>
          <w:p w:rsidR="001737B9" w:rsidRPr="001737B9" w:rsidRDefault="001737B9" w:rsidP="001737B9">
            <w:pPr>
              <w:numPr>
                <w:ilvl w:val="0"/>
                <w:numId w:val="25"/>
              </w:numPr>
            </w:pPr>
            <w:r w:rsidRPr="001737B9">
              <w:t>RFM</w:t>
            </w:r>
          </w:p>
        </w:tc>
        <w:tc>
          <w:tcPr>
            <w:tcW w:w="4344" w:type="dxa"/>
          </w:tcPr>
          <w:p w:rsidR="001737B9" w:rsidRPr="001737B9" w:rsidRDefault="001737B9" w:rsidP="001737B9">
            <w:pPr>
              <w:numPr>
                <w:ilvl w:val="0"/>
                <w:numId w:val="25"/>
              </w:numPr>
            </w:pPr>
            <w:r w:rsidRPr="001737B9">
              <w:t>roll forward model</w:t>
            </w:r>
          </w:p>
        </w:tc>
      </w:tr>
      <w:tr w:rsidR="001737B9" w:rsidTr="001737B9">
        <w:tc>
          <w:tcPr>
            <w:tcW w:w="4349" w:type="dxa"/>
          </w:tcPr>
          <w:p w:rsidR="001737B9" w:rsidRPr="001737B9" w:rsidRDefault="001737B9" w:rsidP="001737B9">
            <w:pPr>
              <w:numPr>
                <w:ilvl w:val="0"/>
                <w:numId w:val="25"/>
              </w:numPr>
            </w:pPr>
            <w:r w:rsidRPr="001737B9">
              <w:lastRenderedPageBreak/>
              <w:t>RIN</w:t>
            </w:r>
          </w:p>
        </w:tc>
        <w:tc>
          <w:tcPr>
            <w:tcW w:w="4344" w:type="dxa"/>
          </w:tcPr>
          <w:p w:rsidR="001737B9" w:rsidRPr="001737B9" w:rsidRDefault="001737B9" w:rsidP="001737B9">
            <w:pPr>
              <w:numPr>
                <w:ilvl w:val="0"/>
                <w:numId w:val="25"/>
              </w:numPr>
            </w:pPr>
            <w:r w:rsidRPr="001737B9">
              <w:t>regulatory information notice</w:t>
            </w:r>
          </w:p>
        </w:tc>
      </w:tr>
      <w:tr w:rsidR="001737B9" w:rsidTr="001737B9">
        <w:trPr>
          <w:cnfStyle w:val="000000010000" w:firstRow="0" w:lastRow="0" w:firstColumn="0" w:lastColumn="0" w:oddVBand="0" w:evenVBand="0" w:oddHBand="0" w:evenHBand="1" w:firstRowFirstColumn="0" w:firstRowLastColumn="0" w:lastRowFirstColumn="0" w:lastRowLastColumn="0"/>
        </w:trPr>
        <w:tc>
          <w:tcPr>
            <w:tcW w:w="4349" w:type="dxa"/>
          </w:tcPr>
          <w:p w:rsidR="001737B9" w:rsidRPr="001737B9" w:rsidRDefault="001737B9" w:rsidP="001737B9">
            <w:pPr>
              <w:numPr>
                <w:ilvl w:val="0"/>
                <w:numId w:val="25"/>
              </w:numPr>
            </w:pPr>
            <w:r w:rsidRPr="001737B9">
              <w:t>RPP</w:t>
            </w:r>
          </w:p>
        </w:tc>
        <w:tc>
          <w:tcPr>
            <w:tcW w:w="4344" w:type="dxa"/>
          </w:tcPr>
          <w:p w:rsidR="001737B9" w:rsidRPr="001737B9" w:rsidRDefault="001737B9" w:rsidP="001737B9">
            <w:pPr>
              <w:numPr>
                <w:ilvl w:val="0"/>
                <w:numId w:val="25"/>
              </w:numPr>
            </w:pPr>
            <w:r w:rsidRPr="001737B9">
              <w:t>revenue and pricing principles</w:t>
            </w:r>
          </w:p>
        </w:tc>
      </w:tr>
      <w:tr w:rsidR="001737B9" w:rsidTr="001737B9">
        <w:tc>
          <w:tcPr>
            <w:tcW w:w="4349" w:type="dxa"/>
          </w:tcPr>
          <w:p w:rsidR="001737B9" w:rsidRPr="001737B9" w:rsidRDefault="001737B9" w:rsidP="001737B9">
            <w:pPr>
              <w:numPr>
                <w:ilvl w:val="0"/>
                <w:numId w:val="25"/>
              </w:numPr>
            </w:pPr>
            <w:r w:rsidRPr="001737B9">
              <w:t>SAIDI</w:t>
            </w:r>
          </w:p>
        </w:tc>
        <w:tc>
          <w:tcPr>
            <w:tcW w:w="4344" w:type="dxa"/>
          </w:tcPr>
          <w:p w:rsidR="001737B9" w:rsidRPr="001737B9" w:rsidRDefault="001737B9" w:rsidP="001737B9">
            <w:pPr>
              <w:numPr>
                <w:ilvl w:val="0"/>
                <w:numId w:val="25"/>
              </w:numPr>
            </w:pPr>
            <w:r w:rsidRPr="001737B9">
              <w:t>system average interruption duration index</w:t>
            </w:r>
          </w:p>
        </w:tc>
      </w:tr>
      <w:tr w:rsidR="001737B9" w:rsidTr="001737B9">
        <w:trPr>
          <w:cnfStyle w:val="000000010000" w:firstRow="0" w:lastRow="0" w:firstColumn="0" w:lastColumn="0" w:oddVBand="0" w:evenVBand="0" w:oddHBand="0" w:evenHBand="1" w:firstRowFirstColumn="0" w:firstRowLastColumn="0" w:lastRowFirstColumn="0" w:lastRowLastColumn="0"/>
        </w:trPr>
        <w:tc>
          <w:tcPr>
            <w:tcW w:w="4349" w:type="dxa"/>
          </w:tcPr>
          <w:p w:rsidR="001737B9" w:rsidRPr="001737B9" w:rsidRDefault="001737B9" w:rsidP="001737B9">
            <w:pPr>
              <w:numPr>
                <w:ilvl w:val="0"/>
                <w:numId w:val="25"/>
              </w:numPr>
            </w:pPr>
            <w:r w:rsidRPr="001737B9">
              <w:t>SAIFI</w:t>
            </w:r>
          </w:p>
        </w:tc>
        <w:tc>
          <w:tcPr>
            <w:tcW w:w="4344" w:type="dxa"/>
          </w:tcPr>
          <w:p w:rsidR="001737B9" w:rsidRPr="001737B9" w:rsidRDefault="001737B9" w:rsidP="001737B9">
            <w:pPr>
              <w:numPr>
                <w:ilvl w:val="0"/>
                <w:numId w:val="25"/>
              </w:numPr>
            </w:pPr>
            <w:r w:rsidRPr="001737B9">
              <w:t>system average interruption frequency index</w:t>
            </w:r>
          </w:p>
        </w:tc>
      </w:tr>
      <w:tr w:rsidR="001737B9" w:rsidTr="001737B9">
        <w:tc>
          <w:tcPr>
            <w:tcW w:w="4349" w:type="dxa"/>
          </w:tcPr>
          <w:p w:rsidR="001737B9" w:rsidRPr="001737B9" w:rsidRDefault="001737B9" w:rsidP="001737B9">
            <w:pPr>
              <w:numPr>
                <w:ilvl w:val="0"/>
                <w:numId w:val="25"/>
              </w:numPr>
            </w:pPr>
            <w:r w:rsidRPr="001737B9">
              <w:t>SLCAPM</w:t>
            </w:r>
          </w:p>
        </w:tc>
        <w:tc>
          <w:tcPr>
            <w:tcW w:w="4344" w:type="dxa"/>
          </w:tcPr>
          <w:p w:rsidR="001737B9" w:rsidRPr="001737B9" w:rsidRDefault="001737B9" w:rsidP="001737B9">
            <w:pPr>
              <w:numPr>
                <w:ilvl w:val="0"/>
                <w:numId w:val="25"/>
              </w:numPr>
            </w:pPr>
            <w:r w:rsidRPr="001737B9">
              <w:t>Sharpe-</w:t>
            </w:r>
            <w:proofErr w:type="spellStart"/>
            <w:r w:rsidRPr="001737B9">
              <w:t>Lintner</w:t>
            </w:r>
            <w:proofErr w:type="spellEnd"/>
            <w:r w:rsidRPr="001737B9">
              <w:t xml:space="preserve"> capital asset pricing model</w:t>
            </w:r>
          </w:p>
        </w:tc>
      </w:tr>
      <w:tr w:rsidR="001737B9" w:rsidTr="001737B9">
        <w:trPr>
          <w:cnfStyle w:val="000000010000" w:firstRow="0" w:lastRow="0" w:firstColumn="0" w:lastColumn="0" w:oddVBand="0" w:evenVBand="0" w:oddHBand="0" w:evenHBand="1" w:firstRowFirstColumn="0" w:firstRowLastColumn="0" w:lastRowFirstColumn="0" w:lastRowLastColumn="0"/>
        </w:trPr>
        <w:tc>
          <w:tcPr>
            <w:tcW w:w="4349" w:type="dxa"/>
          </w:tcPr>
          <w:p w:rsidR="001737B9" w:rsidRPr="001737B9" w:rsidRDefault="001737B9" w:rsidP="001737B9">
            <w:pPr>
              <w:numPr>
                <w:ilvl w:val="0"/>
                <w:numId w:val="25"/>
              </w:numPr>
            </w:pPr>
            <w:r w:rsidRPr="001737B9">
              <w:t>STPIS</w:t>
            </w:r>
          </w:p>
        </w:tc>
        <w:tc>
          <w:tcPr>
            <w:tcW w:w="4344" w:type="dxa"/>
          </w:tcPr>
          <w:p w:rsidR="001737B9" w:rsidRPr="001737B9" w:rsidRDefault="001737B9" w:rsidP="001737B9">
            <w:pPr>
              <w:numPr>
                <w:ilvl w:val="0"/>
                <w:numId w:val="25"/>
              </w:numPr>
            </w:pPr>
            <w:r w:rsidRPr="001737B9">
              <w:t>service target performance incentive scheme</w:t>
            </w:r>
          </w:p>
        </w:tc>
      </w:tr>
      <w:tr w:rsidR="001737B9" w:rsidTr="001737B9">
        <w:tc>
          <w:tcPr>
            <w:tcW w:w="4349" w:type="dxa"/>
          </w:tcPr>
          <w:p w:rsidR="001737B9" w:rsidRPr="001737B9" w:rsidRDefault="001737B9" w:rsidP="001737B9">
            <w:pPr>
              <w:numPr>
                <w:ilvl w:val="0"/>
                <w:numId w:val="25"/>
              </w:numPr>
            </w:pPr>
            <w:r w:rsidRPr="001737B9">
              <w:t>WACC</w:t>
            </w:r>
          </w:p>
        </w:tc>
        <w:tc>
          <w:tcPr>
            <w:tcW w:w="4344" w:type="dxa"/>
          </w:tcPr>
          <w:p w:rsidR="001737B9" w:rsidRPr="001737B9" w:rsidRDefault="001737B9" w:rsidP="001737B9">
            <w:pPr>
              <w:numPr>
                <w:ilvl w:val="0"/>
                <w:numId w:val="25"/>
              </w:numPr>
            </w:pPr>
            <w:r w:rsidRPr="001737B9">
              <w:t>weighted average cost of capital</w:t>
            </w:r>
          </w:p>
        </w:tc>
      </w:tr>
    </w:tbl>
    <w:p w:rsidR="00DE563D" w:rsidRPr="00436A39" w:rsidRDefault="00DE563D" w:rsidP="00DE563D">
      <w:pPr>
        <w:numPr>
          <w:ilvl w:val="0"/>
          <w:numId w:val="25"/>
        </w:numPr>
      </w:pPr>
    </w:p>
    <w:p w:rsidR="00DE563D" w:rsidRDefault="00DE563D" w:rsidP="00DE563D"/>
    <w:p w:rsidR="00B2638C" w:rsidRDefault="00B2638C" w:rsidP="00B2638C">
      <w:pPr>
        <w:pStyle w:val="Heading1"/>
      </w:pPr>
      <w:bookmarkStart w:id="10" w:name="_Toc417302629"/>
      <w:r>
        <w:lastRenderedPageBreak/>
        <w:t>Service target performance incentive scheme</w:t>
      </w:r>
      <w:bookmarkEnd w:id="10"/>
    </w:p>
    <w:p w:rsidR="00B2638C" w:rsidRDefault="00B2638C" w:rsidP="00B2638C">
      <w:bookmarkStart w:id="11" w:name="_Toc403144136"/>
      <w:r>
        <w:t xml:space="preserve">The national </w:t>
      </w:r>
      <w:r w:rsidRPr="00E73EFA">
        <w:t xml:space="preserve">Service Target Performance Incentive Scheme </w:t>
      </w:r>
      <w:r>
        <w:t xml:space="preserve">(STPIS) </w:t>
      </w:r>
      <w:r w:rsidRPr="00124186">
        <w:t xml:space="preserve">is intended to balance the incentives to reduce expenditure with the need to maintain or improve service quality. It achieves this by providing financial incentives to </w:t>
      </w:r>
      <w:r>
        <w:t>distributors</w:t>
      </w:r>
      <w:r w:rsidRPr="00124186">
        <w:t xml:space="preserve"> to maintain and improve service performance where customers are willing to pay for these improvements.</w:t>
      </w:r>
      <w:r>
        <w:rPr>
          <w:rStyle w:val="FootnoteReference"/>
        </w:rPr>
        <w:footnoteReference w:id="1"/>
      </w:r>
      <w:r>
        <w:t xml:space="preserve"> </w:t>
      </w:r>
      <w:r w:rsidRPr="00E73EFA">
        <w:t xml:space="preserve"> </w:t>
      </w:r>
    </w:p>
    <w:p w:rsidR="00B2638C" w:rsidRDefault="00B2638C" w:rsidP="00B2638C">
      <w:r>
        <w:t xml:space="preserve">The STPIS establishes targets based on historical performance, and provides financial rewards for distributors exceeding performance targets and financial penalties for distributors failing to meet targets. These rewards and penalties are calculated by taking into account the value of customer reliability (VCR). This aligns the distributors' incentives with the long term interests of consumer, which is consistent with the </w:t>
      </w:r>
      <w:r w:rsidR="00095219">
        <w:t>National Electricity Objective (</w:t>
      </w:r>
      <w:r>
        <w:t>NEO</w:t>
      </w:r>
      <w:r w:rsidR="00095219">
        <w:t>)</w:t>
      </w:r>
      <w:r>
        <w:t xml:space="preserve">. </w:t>
      </w:r>
    </w:p>
    <w:p w:rsidR="00B2638C" w:rsidRDefault="00B2638C" w:rsidP="00B2638C">
      <w:r>
        <w:t xml:space="preserve">The STPIS has two components, the s-factor component and the guaranteed service levels (GSL) scheme. The s-factor component adjusts the revenue that a distributor earns depending on reliability of supply and customer service performance. The GSL scheme sets threshold levels of service for distributors to achieve and requires direct payment to customers who experience service </w:t>
      </w:r>
      <w:r w:rsidR="00095219">
        <w:t xml:space="preserve">levels below those at </w:t>
      </w:r>
      <w:r>
        <w:t>the predetermined level.</w:t>
      </w:r>
    </w:p>
    <w:p w:rsidR="00B2638C" w:rsidRDefault="00B2638C" w:rsidP="00B2638C">
      <w:r w:rsidRPr="007377A1">
        <w:t xml:space="preserve">While the regulatory regime as a whole encourages a business to improve its operating and capital efficiency, the STPIS is designed to ensure that this increase in efficiency is not at the expense of deterioration in service performance for customers. Further, the STPIS is designed to encourage a business to improve its service performance where customers are willing to pay for these improvements. </w:t>
      </w:r>
      <w:r w:rsidR="00095219">
        <w:t>T</w:t>
      </w:r>
      <w:r w:rsidRPr="007377A1">
        <w:t xml:space="preserve">he STPIS plays an important part in balancing the incentives on regulated businesses to ensure outcomes are consistent with the </w:t>
      </w:r>
      <w:r>
        <w:t>NEO</w:t>
      </w:r>
      <w:r w:rsidRPr="007377A1">
        <w:t xml:space="preserve"> of the National Electricity Law (NEL), in terms of efficient price and non-price outcomes for the long-term benefit of users.</w:t>
      </w:r>
      <w:r>
        <w:rPr>
          <w:rStyle w:val="FootnoteReference"/>
        </w:rPr>
        <w:footnoteReference w:id="2"/>
      </w:r>
    </w:p>
    <w:p w:rsidR="00B2638C" w:rsidRPr="001754EE" w:rsidRDefault="00B2638C" w:rsidP="00B2638C">
      <w:pPr>
        <w:pStyle w:val="Heading2"/>
      </w:pPr>
      <w:bookmarkStart w:id="12" w:name="_Toc417302630"/>
      <w:r w:rsidRPr="001754EE">
        <w:t>Final decision</w:t>
      </w:r>
      <w:bookmarkEnd w:id="11"/>
      <w:bookmarkEnd w:id="12"/>
    </w:p>
    <w:p w:rsidR="00022807" w:rsidRDefault="00022807" w:rsidP="00022807">
      <w:pPr>
        <w:numPr>
          <w:ilvl w:val="0"/>
          <w:numId w:val="25"/>
        </w:numPr>
      </w:pPr>
      <w:bookmarkStart w:id="13" w:name="_Toc403144137"/>
      <w:r>
        <w:t>We do not accept Endeavour Energy</w:t>
      </w:r>
      <w:r w:rsidRPr="00EF6A32">
        <w:t xml:space="preserve">'s proposal that </w:t>
      </w:r>
      <w:r w:rsidR="005D7284">
        <w:t xml:space="preserve">the </w:t>
      </w:r>
      <w:r w:rsidRPr="00EF6A32">
        <w:t xml:space="preserve">application of the STPIS should be dependent on whether </w:t>
      </w:r>
      <w:r>
        <w:t>we</w:t>
      </w:r>
      <w:r w:rsidRPr="00EF6A32">
        <w:t xml:space="preserve"> accept its revised </w:t>
      </w:r>
      <w:proofErr w:type="spellStart"/>
      <w:r w:rsidRPr="00EF6A32">
        <w:t>opex</w:t>
      </w:r>
      <w:proofErr w:type="spellEnd"/>
      <w:r w:rsidRPr="00EF6A32">
        <w:t xml:space="preserve"> and capex proposals.  Our </w:t>
      </w:r>
      <w:r w:rsidR="00717EAB">
        <w:t>approved</w:t>
      </w:r>
      <w:r w:rsidR="00717EAB" w:rsidRPr="00EF6A32">
        <w:t xml:space="preserve"> </w:t>
      </w:r>
      <w:r w:rsidRPr="00EF6A32">
        <w:t>expenditure</w:t>
      </w:r>
      <w:r w:rsidR="00717EAB">
        <w:t xml:space="preserve"> forecast</w:t>
      </w:r>
      <w:r w:rsidRPr="00EF6A32">
        <w:t xml:space="preserve"> in the final decision reasonably reflects the </w:t>
      </w:r>
      <w:r w:rsidR="005D7284">
        <w:t xml:space="preserve">capex and </w:t>
      </w:r>
      <w:proofErr w:type="spellStart"/>
      <w:r w:rsidR="005D7284">
        <w:t>opex</w:t>
      </w:r>
      <w:proofErr w:type="spellEnd"/>
      <w:r w:rsidR="005D7284">
        <w:t xml:space="preserve"> criteria and provides a </w:t>
      </w:r>
      <w:r>
        <w:t xml:space="preserve">sufficient </w:t>
      </w:r>
      <w:r w:rsidRPr="00EF6A32">
        <w:t xml:space="preserve">amount </w:t>
      </w:r>
      <w:proofErr w:type="gramStart"/>
      <w:r w:rsidR="005D7284">
        <w:t xml:space="preserve">for </w:t>
      </w:r>
      <w:r w:rsidR="00095219">
        <w:t xml:space="preserve">a prudent </w:t>
      </w:r>
      <w:r>
        <w:t>Endeavour Energy</w:t>
      </w:r>
      <w:r w:rsidR="00095219">
        <w:t xml:space="preserve"> incurring efficient costs</w:t>
      </w:r>
      <w:proofErr w:type="gramEnd"/>
      <w:r>
        <w:t xml:space="preserve"> </w:t>
      </w:r>
      <w:r w:rsidRPr="00EF6A32">
        <w:t xml:space="preserve">to </w:t>
      </w:r>
      <w:r>
        <w:t>maintain reliability</w:t>
      </w:r>
      <w:r w:rsidRPr="00EF6A32">
        <w:t xml:space="preserve">. </w:t>
      </w:r>
    </w:p>
    <w:p w:rsidR="00022807" w:rsidRDefault="00022807" w:rsidP="00022807">
      <w:pPr>
        <w:numPr>
          <w:ilvl w:val="0"/>
          <w:numId w:val="25"/>
        </w:numPr>
      </w:pPr>
      <w:r>
        <w:t xml:space="preserve">The STPIS will </w:t>
      </w:r>
      <w:r w:rsidRPr="00EF6A32">
        <w:t xml:space="preserve">provide an incentive </w:t>
      </w:r>
      <w:r>
        <w:t xml:space="preserve">for Endeavour Energy to maintain </w:t>
      </w:r>
      <w:r w:rsidR="00095219">
        <w:t xml:space="preserve">its </w:t>
      </w:r>
      <w:r>
        <w:t xml:space="preserve">current levels of reliability or to improve them where customers are willing to pay for these improvements. </w:t>
      </w:r>
      <w:r w:rsidR="00095219">
        <w:t xml:space="preserve"> </w:t>
      </w:r>
      <w:r w:rsidRPr="00E73EFA">
        <w:t xml:space="preserve"> </w:t>
      </w:r>
      <w:r>
        <w:t xml:space="preserve">  </w:t>
      </w:r>
    </w:p>
    <w:p w:rsidR="00022807" w:rsidRDefault="00022807" w:rsidP="00022807">
      <w:pPr>
        <w:numPr>
          <w:ilvl w:val="0"/>
          <w:numId w:val="25"/>
        </w:numPr>
      </w:pPr>
      <w:r>
        <w:lastRenderedPageBreak/>
        <w:t xml:space="preserve">Consistent with our draft decision, we will apply the s-factor component of our national STPIS to Endeavour Energy for the 2015–19 regulatory control </w:t>
      </w:r>
      <w:proofErr w:type="gramStart"/>
      <w:r>
        <w:t>period</w:t>
      </w:r>
      <w:proofErr w:type="gramEnd"/>
      <w:r>
        <w:t>.</w:t>
      </w:r>
      <w:r w:rsidR="00994087">
        <w:rPr>
          <w:rStyle w:val="FootnoteReference"/>
        </w:rPr>
        <w:footnoteReference w:id="3"/>
      </w:r>
      <w:r>
        <w:t xml:space="preserve"> We will not apply the GSL component to Endeavour Energy as the existing </w:t>
      </w:r>
      <w:r w:rsidR="007810F2">
        <w:t xml:space="preserve">NSW </w:t>
      </w:r>
      <w:r w:rsidR="00095219">
        <w:t>jurisdictional</w:t>
      </w:r>
      <w:r w:rsidR="007810F2">
        <w:t xml:space="preserve"> </w:t>
      </w:r>
      <w:r>
        <w:t xml:space="preserve">GSL arrangements will continue to apply. </w:t>
      </w:r>
    </w:p>
    <w:p w:rsidR="00022807" w:rsidRDefault="00022807" w:rsidP="00022807">
      <w:pPr>
        <w:numPr>
          <w:ilvl w:val="0"/>
          <w:numId w:val="25"/>
        </w:numPr>
      </w:pPr>
      <w:r>
        <w:t>In the draft decision, we accepted Endeavour Energy's proposal that:</w:t>
      </w:r>
    </w:p>
    <w:p w:rsidR="00022807" w:rsidRDefault="00022807" w:rsidP="00022807">
      <w:pPr>
        <w:pStyle w:val="AERbulletlistfirststyle"/>
      </w:pPr>
      <w:proofErr w:type="gramStart"/>
      <w:r>
        <w:t>the</w:t>
      </w:r>
      <w:proofErr w:type="gramEnd"/>
      <w:r>
        <w:t xml:space="preserve"> revenue at risk for each regulatory year of the 2015–19 regulatory control period will be capped at </w:t>
      </w:r>
      <w:r w:rsidRPr="00E73EFA">
        <w:t>±</w:t>
      </w:r>
      <w:r>
        <w:t xml:space="preserve">2.5 per cent. Within this there will be a cap of </w:t>
      </w:r>
      <w:r w:rsidRPr="00E73EFA">
        <w:t>±</w:t>
      </w:r>
      <w:r>
        <w:t xml:space="preserve">2.25 per cent for the reliability of supply component and a cap of </w:t>
      </w:r>
      <w:r w:rsidRPr="00E73EFA">
        <w:t>±</w:t>
      </w:r>
      <w:r>
        <w:t>0.25 per cent for the customer service component</w:t>
      </w:r>
    </w:p>
    <w:p w:rsidR="00022807" w:rsidRDefault="00022807" w:rsidP="00022807">
      <w:pPr>
        <w:pStyle w:val="AERbulletlistfirststyle"/>
      </w:pPr>
      <w:r>
        <w:t xml:space="preserve">to apply the System Average Interruption Duration Index (SAIDI) and System Average Interruption Frequency Index (SAIFI) of the reliability of supply component of the STPIS and use </w:t>
      </w:r>
      <w:r w:rsidR="00E926DC">
        <w:t xml:space="preserve">the </w:t>
      </w:r>
      <w:r>
        <w:t>Box-Cox transformation to derive the major event day thresholds (MED), and</w:t>
      </w:r>
    </w:p>
    <w:p w:rsidR="00022807" w:rsidRDefault="00022807" w:rsidP="00022807">
      <w:pPr>
        <w:pStyle w:val="AERbulletlistfirststyle"/>
      </w:pPr>
      <w:proofErr w:type="gramStart"/>
      <w:r>
        <w:t>to</w:t>
      </w:r>
      <w:proofErr w:type="gramEnd"/>
      <w:r>
        <w:t xml:space="preserve"> apply an incentive rate of </w:t>
      </w:r>
      <w:r w:rsidRPr="007F3E1D">
        <w:t>–</w:t>
      </w:r>
      <w:r>
        <w:t>0.04 per cent per unit of the telephone answering parameter.</w:t>
      </w:r>
    </w:p>
    <w:p w:rsidR="00022807" w:rsidRDefault="00022807" w:rsidP="00022807">
      <w:pPr>
        <w:numPr>
          <w:ilvl w:val="0"/>
          <w:numId w:val="25"/>
        </w:numPr>
      </w:pPr>
      <w:r>
        <w:t xml:space="preserve">Endeavour Energy did not propose alternatives in the revised proposal, </w:t>
      </w:r>
      <w:r w:rsidR="00717EAB">
        <w:t xml:space="preserve">and </w:t>
      </w:r>
      <w:r>
        <w:t xml:space="preserve">we </w:t>
      </w:r>
      <w:r w:rsidR="005D7284">
        <w:t>maintain</w:t>
      </w:r>
      <w:r>
        <w:t xml:space="preserve"> this position in this final decision.</w:t>
      </w:r>
      <w:r>
        <w:rPr>
          <w:rStyle w:val="FootnoteReference"/>
        </w:rPr>
        <w:footnoteReference w:id="4"/>
      </w:r>
    </w:p>
    <w:p w:rsidR="00B573E9" w:rsidRDefault="00022807" w:rsidP="00022807">
      <w:r>
        <w:t xml:space="preserve">In the draft decision, we applied </w:t>
      </w:r>
      <w:proofErr w:type="spellStart"/>
      <w:r>
        <w:t>Ausgrid's</w:t>
      </w:r>
      <w:proofErr w:type="spellEnd"/>
      <w:r>
        <w:t xml:space="preserve"> performance trend as the benchmark for estimating the potential reliability improvement for </w:t>
      </w:r>
      <w:r w:rsidR="003A6661">
        <w:t>Endeavour</w:t>
      </w:r>
      <w:r>
        <w:t xml:space="preserve"> Energy as we did not observe </w:t>
      </w:r>
      <w:r w:rsidRPr="00075C9E">
        <w:t xml:space="preserve">any </w:t>
      </w:r>
      <w:r>
        <w:t xml:space="preserve">obvious </w:t>
      </w:r>
      <w:r w:rsidRPr="00075C9E">
        <w:t xml:space="preserve">overall reliability improvement trend from </w:t>
      </w:r>
      <w:r w:rsidR="003A6661">
        <w:t>Endeavour</w:t>
      </w:r>
      <w:r>
        <w:t xml:space="preserve"> Energy's past performance. We</w:t>
      </w:r>
      <w:r w:rsidRPr="00075C9E">
        <w:t xml:space="preserve"> expect</w:t>
      </w:r>
      <w:r>
        <w:t>ed</w:t>
      </w:r>
      <w:r w:rsidRPr="00075C9E">
        <w:t xml:space="preserve"> </w:t>
      </w:r>
      <w:r w:rsidR="003A6661">
        <w:t>Endeavour</w:t>
      </w:r>
      <w:r>
        <w:t xml:space="preserve"> Energy should achieve a similar level of SAIDI and SAIFI improvement, </w:t>
      </w:r>
      <w:r w:rsidRPr="00075C9E">
        <w:t xml:space="preserve">after taking into account the relative past </w:t>
      </w:r>
      <w:r>
        <w:t>investments</w:t>
      </w:r>
      <w:r w:rsidRPr="00075C9E">
        <w:t xml:space="preserve"> and sizes</w:t>
      </w:r>
      <w:r w:rsidR="00095219">
        <w:t xml:space="preserve"> of the two distributors</w:t>
      </w:r>
      <w:r w:rsidRPr="00075C9E">
        <w:t>.</w:t>
      </w:r>
      <w:r w:rsidR="00B573E9">
        <w:rPr>
          <w:rStyle w:val="FootnoteReference"/>
        </w:rPr>
        <w:footnoteReference w:id="5"/>
      </w:r>
      <w:r w:rsidRPr="00075C9E">
        <w:t xml:space="preserve"> </w:t>
      </w:r>
      <w:r w:rsidRPr="00657612">
        <w:t>E</w:t>
      </w:r>
      <w:r w:rsidR="00B573E9">
        <w:t>ndeavour</w:t>
      </w:r>
      <w:r w:rsidRPr="00657612">
        <w:t xml:space="preserve"> Energy rejected </w:t>
      </w:r>
      <w:r w:rsidR="00113B43">
        <w:t xml:space="preserve">this aspect of </w:t>
      </w:r>
      <w:r w:rsidRPr="00657612">
        <w:t xml:space="preserve">our draft decision </w:t>
      </w:r>
      <w:r>
        <w:t>in its revised proposal</w:t>
      </w:r>
      <w:r w:rsidRPr="00657612">
        <w:t xml:space="preserve">. It noted </w:t>
      </w:r>
      <w:r w:rsidR="00B573E9">
        <w:t xml:space="preserve">a </w:t>
      </w:r>
      <w:r w:rsidR="00185CBA">
        <w:t xml:space="preserve">number of </w:t>
      </w:r>
      <w:r w:rsidR="00B573E9">
        <w:t>differences</w:t>
      </w:r>
      <w:r>
        <w:t xml:space="preserve"> between the </w:t>
      </w:r>
      <w:proofErr w:type="spellStart"/>
      <w:r>
        <w:t>Ausgrid's</w:t>
      </w:r>
      <w:proofErr w:type="spellEnd"/>
      <w:r>
        <w:t xml:space="preserve"> and E</w:t>
      </w:r>
      <w:r w:rsidR="00B573E9">
        <w:t>ndeavour</w:t>
      </w:r>
      <w:r>
        <w:t xml:space="preserve"> Energy's network</w:t>
      </w:r>
      <w:r w:rsidRPr="00657612">
        <w:t>.</w:t>
      </w:r>
      <w:r w:rsidR="00AE04E9">
        <w:rPr>
          <w:rStyle w:val="FootnoteReference"/>
        </w:rPr>
        <w:footnoteReference w:id="6"/>
      </w:r>
      <w:r>
        <w:t xml:space="preserve"> </w:t>
      </w:r>
    </w:p>
    <w:p w:rsidR="00185CBA" w:rsidRPr="00185CBA" w:rsidRDefault="00185CBA" w:rsidP="00185CBA">
      <w:r w:rsidRPr="00185CBA">
        <w:t xml:space="preserve">We accept that there are differences between the </w:t>
      </w:r>
      <w:proofErr w:type="spellStart"/>
      <w:r w:rsidRPr="00185CBA">
        <w:t>Ausgrid's</w:t>
      </w:r>
      <w:proofErr w:type="spellEnd"/>
      <w:r w:rsidRPr="00185CBA">
        <w:t xml:space="preserve"> and Endeavour Energy’s network</w:t>
      </w:r>
      <w:r w:rsidR="00095219">
        <w:t xml:space="preserve"> that were not captured in our STPIS analysis</w:t>
      </w:r>
      <w:r w:rsidRPr="00185CBA">
        <w:t xml:space="preserve">. Hence, we </w:t>
      </w:r>
      <w:r w:rsidR="00095219">
        <w:t>accept</w:t>
      </w:r>
      <w:r w:rsidRPr="00185CBA">
        <w:t xml:space="preserve"> that setting Endeavour Energy's performance targets based on </w:t>
      </w:r>
      <w:proofErr w:type="spellStart"/>
      <w:r w:rsidRPr="00185CBA">
        <w:t>Ausgrid's</w:t>
      </w:r>
      <w:proofErr w:type="spellEnd"/>
      <w:r w:rsidRPr="00185CBA">
        <w:t xml:space="preserve"> </w:t>
      </w:r>
      <w:r w:rsidR="004B566C">
        <w:t>trend</w:t>
      </w:r>
      <w:r w:rsidRPr="00185CBA">
        <w:t xml:space="preserve"> may not be appropriate.</w:t>
      </w:r>
    </w:p>
    <w:p w:rsidR="00185CBA" w:rsidRDefault="00185CBA" w:rsidP="00185CBA">
      <w:r w:rsidRPr="00185CBA">
        <w:t xml:space="preserve">In our final decisions, we have set the performance targets for </w:t>
      </w:r>
      <w:proofErr w:type="spellStart"/>
      <w:r w:rsidRPr="00185CBA">
        <w:t>Ausgrid</w:t>
      </w:r>
      <w:proofErr w:type="spellEnd"/>
      <w:r w:rsidRPr="00185CBA">
        <w:t xml:space="preserve"> and Essential Energy based on </w:t>
      </w:r>
      <w:r w:rsidR="000B2967">
        <w:t>their</w:t>
      </w:r>
      <w:r w:rsidRPr="00185CBA">
        <w:t xml:space="preserve"> actual </w:t>
      </w:r>
      <w:r w:rsidR="004B566C">
        <w:t>improvement</w:t>
      </w:r>
      <w:r w:rsidRPr="00185CBA">
        <w:t xml:space="preserve"> trends. We consider that we should apply </w:t>
      </w:r>
      <w:r w:rsidR="004B566C">
        <w:t>this</w:t>
      </w:r>
      <w:r w:rsidRPr="00185CBA">
        <w:t xml:space="preserve"> consistent approach for all NSW distributors.</w:t>
      </w:r>
      <w:r w:rsidR="000B2967">
        <w:t xml:space="preserve"> However,</w:t>
      </w:r>
      <w:r w:rsidR="00A95C33" w:rsidRPr="00EB2F3F">
        <w:t xml:space="preserve"> </w:t>
      </w:r>
      <w:r w:rsidR="00A95C33">
        <w:t xml:space="preserve">we have </w:t>
      </w:r>
      <w:r w:rsidR="00A95C33">
        <w:rPr>
          <w:rFonts w:hint="eastAsia"/>
        </w:rPr>
        <w:t xml:space="preserve">not </w:t>
      </w:r>
      <w:r w:rsidR="00A95C33">
        <w:t>observed an improvement trend w</w:t>
      </w:r>
      <w:r w:rsidR="00A95C33" w:rsidRPr="00EB2F3F">
        <w:t xml:space="preserve">ith </w:t>
      </w:r>
      <w:r w:rsidR="00A95C33">
        <w:t>E</w:t>
      </w:r>
      <w:r w:rsidR="00A95C33">
        <w:rPr>
          <w:rFonts w:hint="eastAsia"/>
        </w:rPr>
        <w:t>ndeavour</w:t>
      </w:r>
      <w:r w:rsidR="00A95C33">
        <w:t xml:space="preserve"> Energy's</w:t>
      </w:r>
      <w:r w:rsidR="00A95C33" w:rsidRPr="00EB2F3F">
        <w:t xml:space="preserve"> </w:t>
      </w:r>
      <w:r w:rsidR="00A95C33">
        <w:rPr>
          <w:rFonts w:hint="eastAsia"/>
        </w:rPr>
        <w:t xml:space="preserve">historical </w:t>
      </w:r>
      <w:r w:rsidR="00A95C33" w:rsidRPr="00EB2F3F">
        <w:t>data</w:t>
      </w:r>
      <w:r w:rsidR="00A95C33">
        <w:rPr>
          <w:rFonts w:hint="eastAsia"/>
        </w:rPr>
        <w:t xml:space="preserve">, </w:t>
      </w:r>
      <w:r w:rsidR="00A95C33">
        <w:t>despite its historical N-1 investment to increasing supply security and network capacity.</w:t>
      </w:r>
      <w:r w:rsidR="00A95C33" w:rsidRPr="00A95C33">
        <w:rPr>
          <w:rFonts w:hint="eastAsia"/>
        </w:rPr>
        <w:t xml:space="preserve"> </w:t>
      </w:r>
      <w:r w:rsidR="00095219">
        <w:t>Rather than drawing the conclusion that we did in the draft decision, we accept that t</w:t>
      </w:r>
      <w:r w:rsidRPr="00185CBA">
        <w:t xml:space="preserve">his observation </w:t>
      </w:r>
      <w:r w:rsidRPr="00185CBA">
        <w:lastRenderedPageBreak/>
        <w:t xml:space="preserve">supports Endeavour Energy’s revised submission that its historical N-1 investment did not have the same focus </w:t>
      </w:r>
      <w:r w:rsidR="007460BF">
        <w:t xml:space="preserve">on reliability improvement </w:t>
      </w:r>
      <w:r w:rsidRPr="00185CBA">
        <w:t xml:space="preserve">as that of </w:t>
      </w:r>
      <w:proofErr w:type="spellStart"/>
      <w:r w:rsidRPr="00185CBA">
        <w:t>Ausgrid</w:t>
      </w:r>
      <w:proofErr w:type="spellEnd"/>
      <w:r w:rsidRPr="00185CBA">
        <w:t xml:space="preserve">. </w:t>
      </w:r>
    </w:p>
    <w:p w:rsidR="00022807" w:rsidRDefault="00095219" w:rsidP="00185CBA">
      <w:r>
        <w:t>W</w:t>
      </w:r>
      <w:r w:rsidR="00A95C33">
        <w:rPr>
          <w:rFonts w:hint="eastAsia"/>
        </w:rPr>
        <w:t>e accept</w:t>
      </w:r>
      <w:r w:rsidR="00A95C33">
        <w:t xml:space="preserve"> Endeavour Energy’s </w:t>
      </w:r>
      <w:r w:rsidR="00A95C33">
        <w:rPr>
          <w:rFonts w:hint="eastAsia"/>
        </w:rPr>
        <w:t xml:space="preserve">revised proposal to set the </w:t>
      </w:r>
      <w:r w:rsidR="00A95C33">
        <w:t xml:space="preserve">performance targets </w:t>
      </w:r>
      <w:r w:rsidR="00A95C33">
        <w:rPr>
          <w:rFonts w:hint="eastAsia"/>
        </w:rPr>
        <w:t xml:space="preserve">based on </w:t>
      </w:r>
      <w:r w:rsidR="00A95C33">
        <w:t xml:space="preserve">the average of the past 5 years without further adjustments. </w:t>
      </w:r>
      <w:r w:rsidR="00185CBA">
        <w:t xml:space="preserve">Table 11-1 </w:t>
      </w:r>
      <w:r w:rsidR="00022807">
        <w:t xml:space="preserve">sets out our final decision on </w:t>
      </w:r>
      <w:r w:rsidR="00B573E9">
        <w:t>Endeavour</w:t>
      </w:r>
      <w:r w:rsidR="00022807">
        <w:t xml:space="preserve"> Energy's performance targets for reliability of supply component.</w:t>
      </w:r>
    </w:p>
    <w:p w:rsidR="00022807" w:rsidRDefault="00022807" w:rsidP="00022807">
      <w:pPr>
        <w:pStyle w:val="Caption"/>
      </w:pPr>
      <w:r>
        <w:t xml:space="preserve">Table </w:t>
      </w:r>
      <w:r w:rsidRPr="007F3E1D">
        <w:fldChar w:fldCharType="begin"/>
      </w:r>
      <w:r>
        <w:instrText xml:space="preserve"> STYLEREF 1 \s </w:instrText>
      </w:r>
      <w:r w:rsidRPr="007F3E1D">
        <w:fldChar w:fldCharType="separate"/>
      </w:r>
      <w:r w:rsidR="0094460E">
        <w:rPr>
          <w:noProof/>
        </w:rPr>
        <w:t>11</w:t>
      </w:r>
      <w:r w:rsidRPr="007F3E1D">
        <w:fldChar w:fldCharType="end"/>
      </w:r>
      <w:r w:rsidRPr="007F3E1D">
        <w:t>-</w:t>
      </w:r>
      <w:r w:rsidRPr="007F3E1D">
        <w:fldChar w:fldCharType="begin"/>
      </w:r>
      <w:r>
        <w:instrText xml:space="preserve"> SEQ Table \* ARABIC \s 1 </w:instrText>
      </w:r>
      <w:r w:rsidRPr="007F3E1D">
        <w:fldChar w:fldCharType="separate"/>
      </w:r>
      <w:r w:rsidR="0094460E">
        <w:rPr>
          <w:noProof/>
        </w:rPr>
        <w:t>1</w:t>
      </w:r>
      <w:r w:rsidRPr="007F3E1D">
        <w:fldChar w:fldCharType="end"/>
      </w:r>
      <w:r>
        <w:tab/>
      </w:r>
      <w:proofErr w:type="gramStart"/>
      <w:r>
        <w:t>The</w:t>
      </w:r>
      <w:proofErr w:type="gramEnd"/>
      <w:r>
        <w:t xml:space="preserve"> proposed performance targets for</w:t>
      </w:r>
      <w:r w:rsidRPr="00CE0EF5">
        <w:t xml:space="preserve"> </w:t>
      </w:r>
      <w:r w:rsidR="00B573E9">
        <w:t>Endeavour</w:t>
      </w:r>
      <w:r>
        <w:t xml:space="preserve"> Energy</w:t>
      </w:r>
      <w:r w:rsidRPr="00CE0EF5">
        <w:t xml:space="preserve">'s </w:t>
      </w:r>
      <w:r>
        <w:t>reliability of supply component</w:t>
      </w:r>
    </w:p>
    <w:tbl>
      <w:tblPr>
        <w:tblStyle w:val="AERtable-numbers"/>
        <w:tblW w:w="8613" w:type="dxa"/>
        <w:tblLayout w:type="fixed"/>
        <w:tblLook w:val="04A0" w:firstRow="1" w:lastRow="0" w:firstColumn="1" w:lastColumn="0" w:noHBand="0" w:noVBand="1"/>
      </w:tblPr>
      <w:tblGrid>
        <w:gridCol w:w="1809"/>
        <w:gridCol w:w="1701"/>
        <w:gridCol w:w="1701"/>
        <w:gridCol w:w="1701"/>
        <w:gridCol w:w="1701"/>
      </w:tblGrid>
      <w:tr w:rsidR="00022807" w:rsidTr="000228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022807" w:rsidRDefault="00022807" w:rsidP="00022807">
            <w:pPr>
              <w:numPr>
                <w:ilvl w:val="0"/>
                <w:numId w:val="25"/>
              </w:numPr>
            </w:pPr>
            <w:r>
              <w:t>Year</w:t>
            </w:r>
          </w:p>
        </w:tc>
        <w:tc>
          <w:tcPr>
            <w:tcW w:w="1701" w:type="dxa"/>
          </w:tcPr>
          <w:p w:rsidR="00022807" w:rsidRDefault="00022807" w:rsidP="00022807">
            <w:pPr>
              <w:numPr>
                <w:ilvl w:val="0"/>
                <w:numId w:val="25"/>
              </w:numPr>
              <w:cnfStyle w:val="100000000000" w:firstRow="1" w:lastRow="0" w:firstColumn="0" w:lastColumn="0" w:oddVBand="0" w:evenVBand="0" w:oddHBand="0" w:evenHBand="0" w:firstRowFirstColumn="0" w:firstRowLastColumn="0" w:lastRowFirstColumn="0" w:lastRowLastColumn="0"/>
            </w:pPr>
            <w:r>
              <w:t>2015/16</w:t>
            </w:r>
          </w:p>
        </w:tc>
        <w:tc>
          <w:tcPr>
            <w:tcW w:w="1701" w:type="dxa"/>
          </w:tcPr>
          <w:p w:rsidR="00022807" w:rsidRDefault="00022807" w:rsidP="00022807">
            <w:pPr>
              <w:numPr>
                <w:ilvl w:val="0"/>
                <w:numId w:val="25"/>
              </w:numPr>
              <w:cnfStyle w:val="100000000000" w:firstRow="1" w:lastRow="0" w:firstColumn="0" w:lastColumn="0" w:oddVBand="0" w:evenVBand="0" w:oddHBand="0" w:evenHBand="0" w:firstRowFirstColumn="0" w:firstRowLastColumn="0" w:lastRowFirstColumn="0" w:lastRowLastColumn="0"/>
            </w:pPr>
            <w:r>
              <w:t>2016/17</w:t>
            </w:r>
          </w:p>
        </w:tc>
        <w:tc>
          <w:tcPr>
            <w:tcW w:w="1701" w:type="dxa"/>
          </w:tcPr>
          <w:p w:rsidR="00022807" w:rsidRDefault="00022807" w:rsidP="00022807">
            <w:pPr>
              <w:numPr>
                <w:ilvl w:val="0"/>
                <w:numId w:val="25"/>
              </w:numPr>
              <w:cnfStyle w:val="100000000000" w:firstRow="1" w:lastRow="0" w:firstColumn="0" w:lastColumn="0" w:oddVBand="0" w:evenVBand="0" w:oddHBand="0" w:evenHBand="0" w:firstRowFirstColumn="0" w:firstRowLastColumn="0" w:lastRowFirstColumn="0" w:lastRowLastColumn="0"/>
            </w:pPr>
            <w:r>
              <w:t>2017/18</w:t>
            </w:r>
          </w:p>
        </w:tc>
        <w:tc>
          <w:tcPr>
            <w:tcW w:w="1701" w:type="dxa"/>
          </w:tcPr>
          <w:p w:rsidR="00022807" w:rsidRDefault="00022807" w:rsidP="00022807">
            <w:pPr>
              <w:numPr>
                <w:ilvl w:val="0"/>
                <w:numId w:val="25"/>
              </w:numPr>
              <w:cnfStyle w:val="100000000000" w:firstRow="1" w:lastRow="0" w:firstColumn="0" w:lastColumn="0" w:oddVBand="0" w:evenVBand="0" w:oddHBand="0" w:evenHBand="0" w:firstRowFirstColumn="0" w:firstRowLastColumn="0" w:lastRowFirstColumn="0" w:lastRowLastColumn="0"/>
            </w:pPr>
            <w:r>
              <w:t>2018/19</w:t>
            </w:r>
          </w:p>
        </w:tc>
      </w:tr>
      <w:tr w:rsidR="00022807" w:rsidTr="00022807">
        <w:tc>
          <w:tcPr>
            <w:cnfStyle w:val="001000000000" w:firstRow="0" w:lastRow="0" w:firstColumn="1" w:lastColumn="0" w:oddVBand="0" w:evenVBand="0" w:oddHBand="0" w:evenHBand="0" w:firstRowFirstColumn="0" w:firstRowLastColumn="0" w:lastRowFirstColumn="0" w:lastRowLastColumn="0"/>
            <w:tcW w:w="1809" w:type="dxa"/>
          </w:tcPr>
          <w:p w:rsidR="00022807" w:rsidRPr="00022807" w:rsidRDefault="00022807" w:rsidP="00022807">
            <w:pPr>
              <w:pStyle w:val="AERtabletextleft"/>
              <w:rPr>
                <w:rStyle w:val="Strong"/>
              </w:rPr>
            </w:pPr>
            <w:r w:rsidRPr="00CE0EF5">
              <w:rPr>
                <w:rStyle w:val="Strong"/>
              </w:rPr>
              <w:t>Unplanned SAIDI</w:t>
            </w:r>
          </w:p>
        </w:tc>
        <w:tc>
          <w:tcPr>
            <w:tcW w:w="1701" w:type="dxa"/>
          </w:tcPr>
          <w:p w:rsidR="00022807" w:rsidRDefault="00022807" w:rsidP="00022807">
            <w:pPr>
              <w:pStyle w:val="AERtabletextleft"/>
              <w:cnfStyle w:val="000000000000" w:firstRow="0" w:lastRow="0" w:firstColumn="0" w:lastColumn="0" w:oddVBand="0" w:evenVBand="0" w:oddHBand="0" w:evenHBand="0" w:firstRowFirstColumn="0" w:firstRowLastColumn="0" w:lastRowFirstColumn="0" w:lastRowLastColumn="0"/>
            </w:pPr>
          </w:p>
        </w:tc>
        <w:tc>
          <w:tcPr>
            <w:tcW w:w="1701" w:type="dxa"/>
          </w:tcPr>
          <w:p w:rsidR="00022807" w:rsidRDefault="00022807" w:rsidP="00022807">
            <w:pPr>
              <w:pStyle w:val="AERtabletextleft"/>
              <w:cnfStyle w:val="000000000000" w:firstRow="0" w:lastRow="0" w:firstColumn="0" w:lastColumn="0" w:oddVBand="0" w:evenVBand="0" w:oddHBand="0" w:evenHBand="0" w:firstRowFirstColumn="0" w:firstRowLastColumn="0" w:lastRowFirstColumn="0" w:lastRowLastColumn="0"/>
            </w:pPr>
          </w:p>
        </w:tc>
        <w:tc>
          <w:tcPr>
            <w:tcW w:w="1701" w:type="dxa"/>
          </w:tcPr>
          <w:p w:rsidR="00022807" w:rsidRDefault="00022807" w:rsidP="00022807">
            <w:pPr>
              <w:pStyle w:val="AERtabletextleft"/>
              <w:cnfStyle w:val="000000000000" w:firstRow="0" w:lastRow="0" w:firstColumn="0" w:lastColumn="0" w:oddVBand="0" w:evenVBand="0" w:oddHBand="0" w:evenHBand="0" w:firstRowFirstColumn="0" w:firstRowLastColumn="0" w:lastRowFirstColumn="0" w:lastRowLastColumn="0"/>
            </w:pPr>
          </w:p>
        </w:tc>
        <w:tc>
          <w:tcPr>
            <w:tcW w:w="1701" w:type="dxa"/>
          </w:tcPr>
          <w:p w:rsidR="00022807" w:rsidRDefault="00022807" w:rsidP="00022807">
            <w:pPr>
              <w:pStyle w:val="AERtabletextleft"/>
              <w:cnfStyle w:val="000000000000" w:firstRow="0" w:lastRow="0" w:firstColumn="0" w:lastColumn="0" w:oddVBand="0" w:evenVBand="0" w:oddHBand="0" w:evenHBand="0" w:firstRowFirstColumn="0" w:firstRowLastColumn="0" w:lastRowFirstColumn="0" w:lastRowLastColumn="0"/>
            </w:pPr>
          </w:p>
        </w:tc>
      </w:tr>
      <w:tr w:rsidR="00B52FD0" w:rsidTr="003A1A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B52FD0" w:rsidRPr="00B52FD0" w:rsidRDefault="00B52FD0" w:rsidP="00B52FD0">
            <w:pPr>
              <w:numPr>
                <w:ilvl w:val="0"/>
                <w:numId w:val="25"/>
              </w:numPr>
            </w:pPr>
            <w:r w:rsidRPr="00B52FD0">
              <w:t>Urban</w:t>
            </w:r>
          </w:p>
        </w:tc>
        <w:tc>
          <w:tcPr>
            <w:tcW w:w="1701" w:type="dxa"/>
            <w:vAlign w:val="top"/>
          </w:tcPr>
          <w:p w:rsidR="00B52FD0" w:rsidRPr="00B52FD0" w:rsidRDefault="00B52FD0" w:rsidP="00B52FD0">
            <w:pPr>
              <w:numPr>
                <w:ilvl w:val="0"/>
                <w:numId w:val="25"/>
              </w:numPr>
              <w:cnfStyle w:val="000000010000" w:firstRow="0" w:lastRow="0" w:firstColumn="0" w:lastColumn="0" w:oddVBand="0" w:evenVBand="0" w:oddHBand="0" w:evenHBand="1" w:firstRowFirstColumn="0" w:firstRowLastColumn="0" w:lastRowFirstColumn="0" w:lastRowLastColumn="0"/>
            </w:pPr>
            <w:r w:rsidRPr="00B52FD0">
              <w:t>60.33</w:t>
            </w:r>
          </w:p>
        </w:tc>
        <w:tc>
          <w:tcPr>
            <w:tcW w:w="1701" w:type="dxa"/>
            <w:vAlign w:val="top"/>
          </w:tcPr>
          <w:p w:rsidR="00B52FD0" w:rsidRPr="00B52FD0" w:rsidRDefault="00B52FD0" w:rsidP="00B52FD0">
            <w:pPr>
              <w:numPr>
                <w:ilvl w:val="0"/>
                <w:numId w:val="25"/>
              </w:numPr>
              <w:cnfStyle w:val="000000010000" w:firstRow="0" w:lastRow="0" w:firstColumn="0" w:lastColumn="0" w:oddVBand="0" w:evenVBand="0" w:oddHBand="0" w:evenHBand="1" w:firstRowFirstColumn="0" w:firstRowLastColumn="0" w:lastRowFirstColumn="0" w:lastRowLastColumn="0"/>
            </w:pPr>
            <w:r w:rsidRPr="00B52FD0">
              <w:t>60.33</w:t>
            </w:r>
          </w:p>
        </w:tc>
        <w:tc>
          <w:tcPr>
            <w:tcW w:w="1701" w:type="dxa"/>
            <w:vAlign w:val="top"/>
          </w:tcPr>
          <w:p w:rsidR="00B52FD0" w:rsidRPr="00B52FD0" w:rsidRDefault="00B52FD0" w:rsidP="00B52FD0">
            <w:pPr>
              <w:numPr>
                <w:ilvl w:val="0"/>
                <w:numId w:val="25"/>
              </w:numPr>
              <w:cnfStyle w:val="000000010000" w:firstRow="0" w:lastRow="0" w:firstColumn="0" w:lastColumn="0" w:oddVBand="0" w:evenVBand="0" w:oddHBand="0" w:evenHBand="1" w:firstRowFirstColumn="0" w:firstRowLastColumn="0" w:lastRowFirstColumn="0" w:lastRowLastColumn="0"/>
            </w:pPr>
            <w:r w:rsidRPr="00B52FD0">
              <w:t>60.33</w:t>
            </w:r>
          </w:p>
        </w:tc>
        <w:tc>
          <w:tcPr>
            <w:tcW w:w="1701" w:type="dxa"/>
            <w:vAlign w:val="top"/>
          </w:tcPr>
          <w:p w:rsidR="00B52FD0" w:rsidRPr="00B52FD0" w:rsidRDefault="00B52FD0" w:rsidP="00B52FD0">
            <w:pPr>
              <w:numPr>
                <w:ilvl w:val="0"/>
                <w:numId w:val="25"/>
              </w:numPr>
              <w:cnfStyle w:val="000000010000" w:firstRow="0" w:lastRow="0" w:firstColumn="0" w:lastColumn="0" w:oddVBand="0" w:evenVBand="0" w:oddHBand="0" w:evenHBand="1" w:firstRowFirstColumn="0" w:firstRowLastColumn="0" w:lastRowFirstColumn="0" w:lastRowLastColumn="0"/>
            </w:pPr>
            <w:r w:rsidRPr="00B52FD0">
              <w:t>60.33</w:t>
            </w:r>
          </w:p>
        </w:tc>
      </w:tr>
      <w:tr w:rsidR="00B52FD0" w:rsidTr="003A1AA7">
        <w:tc>
          <w:tcPr>
            <w:cnfStyle w:val="001000000000" w:firstRow="0" w:lastRow="0" w:firstColumn="1" w:lastColumn="0" w:oddVBand="0" w:evenVBand="0" w:oddHBand="0" w:evenHBand="0" w:firstRowFirstColumn="0" w:firstRowLastColumn="0" w:lastRowFirstColumn="0" w:lastRowLastColumn="0"/>
            <w:tcW w:w="1809" w:type="dxa"/>
          </w:tcPr>
          <w:p w:rsidR="00B52FD0" w:rsidRPr="00B52FD0" w:rsidRDefault="00B52FD0" w:rsidP="00B52FD0">
            <w:pPr>
              <w:numPr>
                <w:ilvl w:val="0"/>
                <w:numId w:val="25"/>
              </w:numPr>
            </w:pPr>
            <w:r w:rsidRPr="00B52FD0">
              <w:t>Short rural</w:t>
            </w:r>
          </w:p>
        </w:tc>
        <w:tc>
          <w:tcPr>
            <w:tcW w:w="1701" w:type="dxa"/>
            <w:vAlign w:val="top"/>
          </w:tcPr>
          <w:p w:rsidR="00B52FD0" w:rsidRPr="00B52FD0" w:rsidRDefault="00B52FD0" w:rsidP="00B52FD0">
            <w:pPr>
              <w:numPr>
                <w:ilvl w:val="0"/>
                <w:numId w:val="25"/>
              </w:numPr>
              <w:cnfStyle w:val="000000000000" w:firstRow="0" w:lastRow="0" w:firstColumn="0" w:lastColumn="0" w:oddVBand="0" w:evenVBand="0" w:oddHBand="0" w:evenHBand="0" w:firstRowFirstColumn="0" w:firstRowLastColumn="0" w:lastRowFirstColumn="0" w:lastRowLastColumn="0"/>
            </w:pPr>
            <w:r w:rsidRPr="00B52FD0">
              <w:t>175.86</w:t>
            </w:r>
          </w:p>
        </w:tc>
        <w:tc>
          <w:tcPr>
            <w:tcW w:w="1701" w:type="dxa"/>
            <w:vAlign w:val="top"/>
          </w:tcPr>
          <w:p w:rsidR="00B52FD0" w:rsidRPr="00B52FD0" w:rsidRDefault="00B52FD0" w:rsidP="00B52FD0">
            <w:pPr>
              <w:numPr>
                <w:ilvl w:val="0"/>
                <w:numId w:val="25"/>
              </w:numPr>
              <w:cnfStyle w:val="000000000000" w:firstRow="0" w:lastRow="0" w:firstColumn="0" w:lastColumn="0" w:oddVBand="0" w:evenVBand="0" w:oddHBand="0" w:evenHBand="0" w:firstRowFirstColumn="0" w:firstRowLastColumn="0" w:lastRowFirstColumn="0" w:lastRowLastColumn="0"/>
            </w:pPr>
            <w:r w:rsidRPr="00B52FD0">
              <w:t>175.86</w:t>
            </w:r>
          </w:p>
        </w:tc>
        <w:tc>
          <w:tcPr>
            <w:tcW w:w="1701" w:type="dxa"/>
            <w:vAlign w:val="top"/>
          </w:tcPr>
          <w:p w:rsidR="00B52FD0" w:rsidRPr="00B52FD0" w:rsidRDefault="00B52FD0" w:rsidP="00B52FD0">
            <w:pPr>
              <w:numPr>
                <w:ilvl w:val="0"/>
                <w:numId w:val="25"/>
              </w:numPr>
              <w:cnfStyle w:val="000000000000" w:firstRow="0" w:lastRow="0" w:firstColumn="0" w:lastColumn="0" w:oddVBand="0" w:evenVBand="0" w:oddHBand="0" w:evenHBand="0" w:firstRowFirstColumn="0" w:firstRowLastColumn="0" w:lastRowFirstColumn="0" w:lastRowLastColumn="0"/>
            </w:pPr>
            <w:r w:rsidRPr="00B52FD0">
              <w:t>175.86</w:t>
            </w:r>
          </w:p>
        </w:tc>
        <w:tc>
          <w:tcPr>
            <w:tcW w:w="1701" w:type="dxa"/>
            <w:vAlign w:val="top"/>
          </w:tcPr>
          <w:p w:rsidR="00B52FD0" w:rsidRPr="00B52FD0" w:rsidRDefault="00B52FD0" w:rsidP="00B52FD0">
            <w:pPr>
              <w:numPr>
                <w:ilvl w:val="0"/>
                <w:numId w:val="25"/>
              </w:numPr>
              <w:cnfStyle w:val="000000000000" w:firstRow="0" w:lastRow="0" w:firstColumn="0" w:lastColumn="0" w:oddVBand="0" w:evenVBand="0" w:oddHBand="0" w:evenHBand="0" w:firstRowFirstColumn="0" w:firstRowLastColumn="0" w:lastRowFirstColumn="0" w:lastRowLastColumn="0"/>
            </w:pPr>
            <w:r w:rsidRPr="00B52FD0">
              <w:t>175.86</w:t>
            </w:r>
          </w:p>
        </w:tc>
      </w:tr>
      <w:tr w:rsidR="00035DDA" w:rsidTr="000228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035DDA" w:rsidRPr="00035DDA" w:rsidRDefault="00035DDA" w:rsidP="00035DDA">
            <w:pPr>
              <w:pStyle w:val="AERtabletextleft"/>
              <w:rPr>
                <w:rStyle w:val="Strong"/>
              </w:rPr>
            </w:pPr>
            <w:r w:rsidRPr="00CE0EF5">
              <w:rPr>
                <w:rStyle w:val="Strong"/>
              </w:rPr>
              <w:t>Unplanned</w:t>
            </w:r>
            <w:r w:rsidRPr="00035DDA">
              <w:rPr>
                <w:rStyle w:val="Strong"/>
              </w:rPr>
              <w:t xml:space="preserve"> SAIFI</w:t>
            </w:r>
          </w:p>
        </w:tc>
        <w:tc>
          <w:tcPr>
            <w:tcW w:w="1701" w:type="dxa"/>
          </w:tcPr>
          <w:p w:rsidR="00035DDA" w:rsidRDefault="00035DDA" w:rsidP="00035DDA">
            <w:pPr>
              <w:numPr>
                <w:ilvl w:val="0"/>
                <w:numId w:val="25"/>
              </w:numPr>
              <w:cnfStyle w:val="000000010000" w:firstRow="0" w:lastRow="0" w:firstColumn="0" w:lastColumn="0" w:oddVBand="0" w:evenVBand="0" w:oddHBand="0" w:evenHBand="1" w:firstRowFirstColumn="0" w:firstRowLastColumn="0" w:lastRowFirstColumn="0" w:lastRowLastColumn="0"/>
            </w:pPr>
          </w:p>
        </w:tc>
        <w:tc>
          <w:tcPr>
            <w:tcW w:w="1701" w:type="dxa"/>
          </w:tcPr>
          <w:p w:rsidR="00035DDA" w:rsidRDefault="00035DDA" w:rsidP="00035DDA">
            <w:pPr>
              <w:numPr>
                <w:ilvl w:val="0"/>
                <w:numId w:val="25"/>
              </w:numPr>
              <w:cnfStyle w:val="000000010000" w:firstRow="0" w:lastRow="0" w:firstColumn="0" w:lastColumn="0" w:oddVBand="0" w:evenVBand="0" w:oddHBand="0" w:evenHBand="1" w:firstRowFirstColumn="0" w:firstRowLastColumn="0" w:lastRowFirstColumn="0" w:lastRowLastColumn="0"/>
            </w:pPr>
          </w:p>
        </w:tc>
        <w:tc>
          <w:tcPr>
            <w:tcW w:w="1701" w:type="dxa"/>
          </w:tcPr>
          <w:p w:rsidR="00035DDA" w:rsidRDefault="00035DDA" w:rsidP="00035DDA">
            <w:pPr>
              <w:numPr>
                <w:ilvl w:val="0"/>
                <w:numId w:val="25"/>
              </w:numPr>
              <w:cnfStyle w:val="000000010000" w:firstRow="0" w:lastRow="0" w:firstColumn="0" w:lastColumn="0" w:oddVBand="0" w:evenVBand="0" w:oddHBand="0" w:evenHBand="1" w:firstRowFirstColumn="0" w:firstRowLastColumn="0" w:lastRowFirstColumn="0" w:lastRowLastColumn="0"/>
            </w:pPr>
          </w:p>
        </w:tc>
        <w:tc>
          <w:tcPr>
            <w:tcW w:w="1701" w:type="dxa"/>
          </w:tcPr>
          <w:p w:rsidR="00035DDA" w:rsidRDefault="00035DDA" w:rsidP="00035DDA">
            <w:pPr>
              <w:numPr>
                <w:ilvl w:val="0"/>
                <w:numId w:val="25"/>
              </w:numPr>
              <w:cnfStyle w:val="000000010000" w:firstRow="0" w:lastRow="0" w:firstColumn="0" w:lastColumn="0" w:oddVBand="0" w:evenVBand="0" w:oddHBand="0" w:evenHBand="1" w:firstRowFirstColumn="0" w:firstRowLastColumn="0" w:lastRowFirstColumn="0" w:lastRowLastColumn="0"/>
            </w:pPr>
          </w:p>
        </w:tc>
      </w:tr>
      <w:tr w:rsidR="00B52FD0" w:rsidTr="003A1AA7">
        <w:tc>
          <w:tcPr>
            <w:cnfStyle w:val="001000000000" w:firstRow="0" w:lastRow="0" w:firstColumn="1" w:lastColumn="0" w:oddVBand="0" w:evenVBand="0" w:oddHBand="0" w:evenHBand="0" w:firstRowFirstColumn="0" w:firstRowLastColumn="0" w:lastRowFirstColumn="0" w:lastRowLastColumn="0"/>
            <w:tcW w:w="1809" w:type="dxa"/>
          </w:tcPr>
          <w:p w:rsidR="00B52FD0" w:rsidRPr="00B52FD0" w:rsidRDefault="00B52FD0" w:rsidP="00B52FD0">
            <w:pPr>
              <w:numPr>
                <w:ilvl w:val="0"/>
                <w:numId w:val="25"/>
              </w:numPr>
            </w:pPr>
            <w:r w:rsidRPr="00B52FD0">
              <w:t>Urban</w:t>
            </w:r>
          </w:p>
        </w:tc>
        <w:tc>
          <w:tcPr>
            <w:tcW w:w="1701" w:type="dxa"/>
            <w:vAlign w:val="top"/>
          </w:tcPr>
          <w:p w:rsidR="00B52FD0" w:rsidRPr="00B52FD0" w:rsidRDefault="00B52FD0" w:rsidP="00B52FD0">
            <w:pPr>
              <w:numPr>
                <w:ilvl w:val="0"/>
                <w:numId w:val="25"/>
              </w:numPr>
              <w:cnfStyle w:val="000000000000" w:firstRow="0" w:lastRow="0" w:firstColumn="0" w:lastColumn="0" w:oddVBand="0" w:evenVBand="0" w:oddHBand="0" w:evenHBand="0" w:firstRowFirstColumn="0" w:firstRowLastColumn="0" w:lastRowFirstColumn="0" w:lastRowLastColumn="0"/>
            </w:pPr>
            <w:r w:rsidRPr="00B52FD0">
              <w:t>0.800</w:t>
            </w:r>
          </w:p>
        </w:tc>
        <w:tc>
          <w:tcPr>
            <w:tcW w:w="1701" w:type="dxa"/>
            <w:vAlign w:val="top"/>
          </w:tcPr>
          <w:p w:rsidR="00B52FD0" w:rsidRPr="00B52FD0" w:rsidRDefault="00B52FD0" w:rsidP="00B52FD0">
            <w:pPr>
              <w:numPr>
                <w:ilvl w:val="0"/>
                <w:numId w:val="25"/>
              </w:numPr>
              <w:cnfStyle w:val="000000000000" w:firstRow="0" w:lastRow="0" w:firstColumn="0" w:lastColumn="0" w:oddVBand="0" w:evenVBand="0" w:oddHBand="0" w:evenHBand="0" w:firstRowFirstColumn="0" w:firstRowLastColumn="0" w:lastRowFirstColumn="0" w:lastRowLastColumn="0"/>
            </w:pPr>
            <w:r w:rsidRPr="00B52FD0">
              <w:t>0.800</w:t>
            </w:r>
          </w:p>
        </w:tc>
        <w:tc>
          <w:tcPr>
            <w:tcW w:w="1701" w:type="dxa"/>
            <w:vAlign w:val="top"/>
          </w:tcPr>
          <w:p w:rsidR="00B52FD0" w:rsidRPr="00B52FD0" w:rsidRDefault="00B52FD0" w:rsidP="00B52FD0">
            <w:pPr>
              <w:numPr>
                <w:ilvl w:val="0"/>
                <w:numId w:val="25"/>
              </w:numPr>
              <w:cnfStyle w:val="000000000000" w:firstRow="0" w:lastRow="0" w:firstColumn="0" w:lastColumn="0" w:oddVBand="0" w:evenVBand="0" w:oddHBand="0" w:evenHBand="0" w:firstRowFirstColumn="0" w:firstRowLastColumn="0" w:lastRowFirstColumn="0" w:lastRowLastColumn="0"/>
            </w:pPr>
            <w:r w:rsidRPr="00B52FD0">
              <w:t>0.800</w:t>
            </w:r>
          </w:p>
        </w:tc>
        <w:tc>
          <w:tcPr>
            <w:tcW w:w="1701" w:type="dxa"/>
            <w:vAlign w:val="top"/>
          </w:tcPr>
          <w:p w:rsidR="00B52FD0" w:rsidRPr="00B52FD0" w:rsidRDefault="00B52FD0" w:rsidP="00B52FD0">
            <w:pPr>
              <w:numPr>
                <w:ilvl w:val="0"/>
                <w:numId w:val="25"/>
              </w:numPr>
              <w:cnfStyle w:val="000000000000" w:firstRow="0" w:lastRow="0" w:firstColumn="0" w:lastColumn="0" w:oddVBand="0" w:evenVBand="0" w:oddHBand="0" w:evenHBand="0" w:firstRowFirstColumn="0" w:firstRowLastColumn="0" w:lastRowFirstColumn="0" w:lastRowLastColumn="0"/>
            </w:pPr>
            <w:r w:rsidRPr="00B52FD0">
              <w:t>0.800</w:t>
            </w:r>
          </w:p>
        </w:tc>
      </w:tr>
      <w:tr w:rsidR="00B52FD0" w:rsidTr="003A1A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B52FD0" w:rsidRPr="00B52FD0" w:rsidRDefault="00B52FD0" w:rsidP="00B52FD0">
            <w:pPr>
              <w:numPr>
                <w:ilvl w:val="0"/>
                <w:numId w:val="25"/>
              </w:numPr>
            </w:pPr>
            <w:r w:rsidRPr="00B52FD0">
              <w:t>Short rural</w:t>
            </w:r>
          </w:p>
        </w:tc>
        <w:tc>
          <w:tcPr>
            <w:tcW w:w="1701" w:type="dxa"/>
            <w:vAlign w:val="top"/>
          </w:tcPr>
          <w:p w:rsidR="00B52FD0" w:rsidRPr="00B52FD0" w:rsidRDefault="00B52FD0" w:rsidP="00B52FD0">
            <w:pPr>
              <w:numPr>
                <w:ilvl w:val="0"/>
                <w:numId w:val="25"/>
              </w:numPr>
              <w:cnfStyle w:val="000000010000" w:firstRow="0" w:lastRow="0" w:firstColumn="0" w:lastColumn="0" w:oddVBand="0" w:evenVBand="0" w:oddHBand="0" w:evenHBand="1" w:firstRowFirstColumn="0" w:firstRowLastColumn="0" w:lastRowFirstColumn="0" w:lastRowLastColumn="0"/>
            </w:pPr>
            <w:r w:rsidRPr="00B52FD0">
              <w:t>1.765</w:t>
            </w:r>
          </w:p>
        </w:tc>
        <w:tc>
          <w:tcPr>
            <w:tcW w:w="1701" w:type="dxa"/>
            <w:vAlign w:val="top"/>
          </w:tcPr>
          <w:p w:rsidR="00B52FD0" w:rsidRPr="00B52FD0" w:rsidRDefault="00B52FD0" w:rsidP="00B52FD0">
            <w:pPr>
              <w:numPr>
                <w:ilvl w:val="0"/>
                <w:numId w:val="25"/>
              </w:numPr>
              <w:cnfStyle w:val="000000010000" w:firstRow="0" w:lastRow="0" w:firstColumn="0" w:lastColumn="0" w:oddVBand="0" w:evenVBand="0" w:oddHBand="0" w:evenHBand="1" w:firstRowFirstColumn="0" w:firstRowLastColumn="0" w:lastRowFirstColumn="0" w:lastRowLastColumn="0"/>
            </w:pPr>
            <w:r w:rsidRPr="00B52FD0">
              <w:t>1.765</w:t>
            </w:r>
          </w:p>
        </w:tc>
        <w:tc>
          <w:tcPr>
            <w:tcW w:w="1701" w:type="dxa"/>
            <w:vAlign w:val="top"/>
          </w:tcPr>
          <w:p w:rsidR="00B52FD0" w:rsidRPr="00B52FD0" w:rsidRDefault="00B52FD0" w:rsidP="00B52FD0">
            <w:pPr>
              <w:numPr>
                <w:ilvl w:val="0"/>
                <w:numId w:val="25"/>
              </w:numPr>
              <w:cnfStyle w:val="000000010000" w:firstRow="0" w:lastRow="0" w:firstColumn="0" w:lastColumn="0" w:oddVBand="0" w:evenVBand="0" w:oddHBand="0" w:evenHBand="1" w:firstRowFirstColumn="0" w:firstRowLastColumn="0" w:lastRowFirstColumn="0" w:lastRowLastColumn="0"/>
            </w:pPr>
            <w:r w:rsidRPr="00B52FD0">
              <w:t>1.765</w:t>
            </w:r>
          </w:p>
        </w:tc>
        <w:tc>
          <w:tcPr>
            <w:tcW w:w="1701" w:type="dxa"/>
            <w:vAlign w:val="top"/>
          </w:tcPr>
          <w:p w:rsidR="00B52FD0" w:rsidRPr="00B52FD0" w:rsidRDefault="00B52FD0" w:rsidP="00B52FD0">
            <w:pPr>
              <w:numPr>
                <w:ilvl w:val="0"/>
                <w:numId w:val="25"/>
              </w:numPr>
              <w:cnfStyle w:val="000000010000" w:firstRow="0" w:lastRow="0" w:firstColumn="0" w:lastColumn="0" w:oddVBand="0" w:evenVBand="0" w:oddHBand="0" w:evenHBand="1" w:firstRowFirstColumn="0" w:firstRowLastColumn="0" w:lastRowFirstColumn="0" w:lastRowLastColumn="0"/>
            </w:pPr>
            <w:r w:rsidRPr="00B52FD0">
              <w:t>1.765</w:t>
            </w:r>
          </w:p>
        </w:tc>
      </w:tr>
    </w:tbl>
    <w:p w:rsidR="00022807" w:rsidRDefault="00022807" w:rsidP="00022807">
      <w:pPr>
        <w:pStyle w:val="FootnoteText"/>
      </w:pPr>
      <w:r>
        <w:t xml:space="preserve">Source: </w:t>
      </w:r>
      <w:r>
        <w:tab/>
        <w:t>AER analysis.</w:t>
      </w:r>
    </w:p>
    <w:p w:rsidR="00022807" w:rsidRDefault="00022807" w:rsidP="00022807">
      <w:pPr>
        <w:numPr>
          <w:ilvl w:val="0"/>
          <w:numId w:val="25"/>
        </w:numPr>
      </w:pPr>
      <w:r>
        <w:t>We applied the September 2014 AEMO VCR for NSW i</w:t>
      </w:r>
      <w:r w:rsidRPr="00E73EFA">
        <w:t>nstead of the VCR prescrib</w:t>
      </w:r>
      <w:r>
        <w:t>ed in clause 3.2.2 of the STPIS for the reliability of service component of the STPIS in the draft decision. W</w:t>
      </w:r>
      <w:r w:rsidRPr="00E73EFA">
        <w:t>e consider</w:t>
      </w:r>
      <w:r>
        <w:t>ed</w:t>
      </w:r>
      <w:r w:rsidRPr="00E73EFA">
        <w:t xml:space="preserve"> </w:t>
      </w:r>
      <w:r>
        <w:t>the most recent VCR better reflects</w:t>
      </w:r>
      <w:r w:rsidR="00CB2448">
        <w:t xml:space="preserve"> the value</w:t>
      </w:r>
      <w:r>
        <w:t xml:space="preserve"> customers current</w:t>
      </w:r>
      <w:r w:rsidR="00CB2448">
        <w:t>ly attribute to</w:t>
      </w:r>
      <w:r>
        <w:t xml:space="preserve"> reliability.</w:t>
      </w:r>
      <w:r>
        <w:rPr>
          <w:rStyle w:val="FootnoteReference"/>
        </w:rPr>
        <w:footnoteReference w:id="7"/>
      </w:r>
      <w:r>
        <w:t xml:space="preserve"> E</w:t>
      </w:r>
      <w:r w:rsidR="00BB6F8D">
        <w:t>ndeavour</w:t>
      </w:r>
      <w:r>
        <w:t xml:space="preserve"> Energy accepted this new AEMO VCR in the revised proposal. However, it noted the September 2014 VCR should be indexed to July 2015, consistent with the approach set out in the STPIS.</w:t>
      </w:r>
      <w:r>
        <w:rPr>
          <w:rStyle w:val="FootnoteReference"/>
        </w:rPr>
        <w:footnoteReference w:id="8"/>
      </w:r>
      <w:r>
        <w:t xml:space="preserve"> We accept that the AEMO VCR should be indexed to the start of the regulatory control period by applying the appropriate CPI adjustment. We also accept </w:t>
      </w:r>
      <w:r w:rsidR="00BB6F8D">
        <w:t>Endeavour</w:t>
      </w:r>
      <w:r>
        <w:t xml:space="preserve"> Energy's average annual energy</w:t>
      </w:r>
      <w:r w:rsidRPr="003D661A">
        <w:t xml:space="preserve"> consumption</w:t>
      </w:r>
      <w:r>
        <w:t xml:space="preserve"> (C</w:t>
      </w:r>
      <w:r w:rsidRPr="009B7552">
        <w:rPr>
          <w:rStyle w:val="AERsubscript"/>
        </w:rPr>
        <w:t>n</w:t>
      </w:r>
      <w:r>
        <w:t xml:space="preserve">) estimations in the revised proposal, as the proposed estimation period is consistent with the STPIS period. </w:t>
      </w:r>
      <w:r>
        <w:fldChar w:fldCharType="begin"/>
      </w:r>
      <w:r>
        <w:instrText xml:space="preserve"> REF _Ref401745292 \h </w:instrText>
      </w:r>
      <w:r>
        <w:fldChar w:fldCharType="separate"/>
      </w:r>
      <w:r w:rsidR="0094460E">
        <w:t xml:space="preserve">Table </w:t>
      </w:r>
      <w:r w:rsidR="0094460E">
        <w:rPr>
          <w:noProof/>
        </w:rPr>
        <w:t>11</w:t>
      </w:r>
      <w:r w:rsidR="0094460E" w:rsidRPr="007F3E1D">
        <w:t>-</w:t>
      </w:r>
      <w:r w:rsidR="0094460E">
        <w:rPr>
          <w:noProof/>
        </w:rPr>
        <w:t>2</w:t>
      </w:r>
      <w:r>
        <w:fldChar w:fldCharType="end"/>
      </w:r>
      <w:r>
        <w:t xml:space="preserve"> below p</w:t>
      </w:r>
      <w:r w:rsidRPr="00E73EFA">
        <w:t xml:space="preserve">resents our </w:t>
      </w:r>
      <w:r>
        <w:t xml:space="preserve">calculated </w:t>
      </w:r>
      <w:r w:rsidRPr="00E73EFA">
        <w:t xml:space="preserve">incentive rates to apply to </w:t>
      </w:r>
      <w:r w:rsidR="00C63F52">
        <w:t>Endeavour</w:t>
      </w:r>
      <w:r>
        <w:t xml:space="preserve"> Energy</w:t>
      </w:r>
      <w:r w:rsidRPr="00E73EFA">
        <w:t>'s SAIDI and SAIFI tar</w:t>
      </w:r>
      <w:r>
        <w:t xml:space="preserve">gets. </w:t>
      </w:r>
      <w:bookmarkStart w:id="14" w:name="_Ref398909477"/>
    </w:p>
    <w:p w:rsidR="003A1AA7" w:rsidRDefault="003A1AA7" w:rsidP="003A1AA7"/>
    <w:p w:rsidR="003A1AA7" w:rsidRDefault="003A1AA7" w:rsidP="003A1AA7"/>
    <w:p w:rsidR="00022807" w:rsidRDefault="00022807" w:rsidP="00022807">
      <w:pPr>
        <w:pStyle w:val="Caption"/>
      </w:pPr>
      <w:bookmarkStart w:id="15" w:name="_Ref401745292"/>
      <w:bookmarkEnd w:id="14"/>
      <w:r>
        <w:lastRenderedPageBreak/>
        <w:t xml:space="preserve">Table </w:t>
      </w:r>
      <w:r w:rsidRPr="007F3E1D">
        <w:fldChar w:fldCharType="begin"/>
      </w:r>
      <w:r>
        <w:instrText xml:space="preserve"> STYLEREF 1 \s </w:instrText>
      </w:r>
      <w:r w:rsidRPr="007F3E1D">
        <w:fldChar w:fldCharType="separate"/>
      </w:r>
      <w:r w:rsidR="0094460E">
        <w:rPr>
          <w:noProof/>
        </w:rPr>
        <w:t>11</w:t>
      </w:r>
      <w:r w:rsidRPr="007F3E1D">
        <w:fldChar w:fldCharType="end"/>
      </w:r>
      <w:r w:rsidRPr="007F3E1D">
        <w:t>-</w:t>
      </w:r>
      <w:r w:rsidRPr="007F3E1D">
        <w:fldChar w:fldCharType="begin"/>
      </w:r>
      <w:r>
        <w:instrText xml:space="preserve"> SEQ Table \* ARABIC \s 1 </w:instrText>
      </w:r>
      <w:r w:rsidRPr="007F3E1D">
        <w:fldChar w:fldCharType="separate"/>
      </w:r>
      <w:r w:rsidR="0094460E">
        <w:rPr>
          <w:noProof/>
        </w:rPr>
        <w:t>2</w:t>
      </w:r>
      <w:r w:rsidRPr="007F3E1D">
        <w:fldChar w:fldCharType="end"/>
      </w:r>
      <w:bookmarkEnd w:id="15"/>
      <w:r>
        <w:tab/>
      </w:r>
      <w:proofErr w:type="gramStart"/>
      <w:r>
        <w:t>The</w:t>
      </w:r>
      <w:proofErr w:type="gramEnd"/>
      <w:r>
        <w:t xml:space="preserve"> proposed incentive rates on E</w:t>
      </w:r>
      <w:r w:rsidR="00E926DC">
        <w:t>ndeavour</w:t>
      </w:r>
      <w:r>
        <w:t xml:space="preserve"> Energy's reliability of supply targets</w:t>
      </w:r>
    </w:p>
    <w:tbl>
      <w:tblPr>
        <w:tblStyle w:val="AERtable-numbers"/>
        <w:tblW w:w="4954" w:type="pct"/>
        <w:tblLook w:val="04A0" w:firstRow="1" w:lastRow="0" w:firstColumn="1" w:lastColumn="0" w:noHBand="0" w:noVBand="1"/>
      </w:tblPr>
      <w:tblGrid>
        <w:gridCol w:w="2235"/>
        <w:gridCol w:w="3189"/>
        <w:gridCol w:w="3189"/>
      </w:tblGrid>
      <w:tr w:rsidR="00BB6F8D" w:rsidTr="00BB6F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 w:type="pct"/>
          </w:tcPr>
          <w:p w:rsidR="00BB6F8D" w:rsidRDefault="00BB6F8D" w:rsidP="00022807">
            <w:pPr>
              <w:numPr>
                <w:ilvl w:val="0"/>
                <w:numId w:val="25"/>
              </w:numPr>
            </w:pPr>
            <w:r>
              <w:t>Network type</w:t>
            </w:r>
          </w:p>
        </w:tc>
        <w:tc>
          <w:tcPr>
            <w:tcW w:w="1851" w:type="pct"/>
          </w:tcPr>
          <w:p w:rsidR="00BB6F8D" w:rsidRDefault="00BB6F8D" w:rsidP="00022807">
            <w:pPr>
              <w:numPr>
                <w:ilvl w:val="0"/>
                <w:numId w:val="25"/>
              </w:numPr>
              <w:cnfStyle w:val="100000000000" w:firstRow="1" w:lastRow="0" w:firstColumn="0" w:lastColumn="0" w:oddVBand="0" w:evenVBand="0" w:oddHBand="0" w:evenHBand="0" w:firstRowFirstColumn="0" w:firstRowLastColumn="0" w:lastRowFirstColumn="0" w:lastRowLastColumn="0"/>
            </w:pPr>
            <w:r>
              <w:t>Urban</w:t>
            </w:r>
          </w:p>
        </w:tc>
        <w:tc>
          <w:tcPr>
            <w:tcW w:w="1851" w:type="pct"/>
          </w:tcPr>
          <w:p w:rsidR="00BB6F8D" w:rsidRDefault="00BB6F8D" w:rsidP="00022807">
            <w:pPr>
              <w:numPr>
                <w:ilvl w:val="0"/>
                <w:numId w:val="25"/>
              </w:numPr>
              <w:cnfStyle w:val="100000000000" w:firstRow="1" w:lastRow="0" w:firstColumn="0" w:lastColumn="0" w:oddVBand="0" w:evenVBand="0" w:oddHBand="0" w:evenHBand="0" w:firstRowFirstColumn="0" w:firstRowLastColumn="0" w:lastRowFirstColumn="0" w:lastRowLastColumn="0"/>
            </w:pPr>
            <w:r>
              <w:t>Short rural</w:t>
            </w:r>
          </w:p>
        </w:tc>
      </w:tr>
      <w:tr w:rsidR="00C14594" w:rsidTr="003A1AA7">
        <w:tc>
          <w:tcPr>
            <w:cnfStyle w:val="001000000000" w:firstRow="0" w:lastRow="0" w:firstColumn="1" w:lastColumn="0" w:oddVBand="0" w:evenVBand="0" w:oddHBand="0" w:evenHBand="0" w:firstRowFirstColumn="0" w:firstRowLastColumn="0" w:lastRowFirstColumn="0" w:lastRowLastColumn="0"/>
            <w:tcW w:w="1297" w:type="pct"/>
          </w:tcPr>
          <w:p w:rsidR="00C14594" w:rsidRPr="00C14594" w:rsidRDefault="00C14594" w:rsidP="00C14594">
            <w:pPr>
              <w:numPr>
                <w:ilvl w:val="0"/>
                <w:numId w:val="25"/>
              </w:numPr>
            </w:pPr>
            <w:r w:rsidRPr="00C14594">
              <w:t>Unplanned SAIDI</w:t>
            </w:r>
          </w:p>
        </w:tc>
        <w:tc>
          <w:tcPr>
            <w:tcW w:w="1851" w:type="pct"/>
            <w:vAlign w:val="top"/>
          </w:tcPr>
          <w:p w:rsidR="00C14594" w:rsidRPr="00C14594" w:rsidRDefault="00C14594" w:rsidP="00A23DC7">
            <w:pPr>
              <w:cnfStyle w:val="000000000000" w:firstRow="0" w:lastRow="0" w:firstColumn="0" w:lastColumn="0" w:oddVBand="0" w:evenVBand="0" w:oddHBand="0" w:evenHBand="0" w:firstRowFirstColumn="0" w:firstRowLastColumn="0" w:lastRowFirstColumn="0" w:lastRowLastColumn="0"/>
            </w:pPr>
            <w:r w:rsidRPr="00C14594">
              <w:t>0.0605</w:t>
            </w:r>
          </w:p>
        </w:tc>
        <w:tc>
          <w:tcPr>
            <w:tcW w:w="1851" w:type="pct"/>
            <w:vAlign w:val="top"/>
          </w:tcPr>
          <w:p w:rsidR="00C14594" w:rsidRPr="00C14594" w:rsidRDefault="00C14594" w:rsidP="00A23DC7">
            <w:pPr>
              <w:cnfStyle w:val="000000000000" w:firstRow="0" w:lastRow="0" w:firstColumn="0" w:lastColumn="0" w:oddVBand="0" w:evenVBand="0" w:oddHBand="0" w:evenHBand="0" w:firstRowFirstColumn="0" w:firstRowLastColumn="0" w:lastRowFirstColumn="0" w:lastRowLastColumn="0"/>
            </w:pPr>
            <w:r w:rsidRPr="00C14594">
              <w:t>0.009</w:t>
            </w:r>
            <w:r w:rsidR="00A23DC7">
              <w:rPr>
                <w:rFonts w:hint="eastAsia"/>
              </w:rPr>
              <w:t>6</w:t>
            </w:r>
          </w:p>
        </w:tc>
      </w:tr>
      <w:tr w:rsidR="00C14594" w:rsidTr="003A1A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 w:type="pct"/>
          </w:tcPr>
          <w:p w:rsidR="00C14594" w:rsidRPr="00C14594" w:rsidRDefault="00C14594" w:rsidP="00C14594">
            <w:pPr>
              <w:numPr>
                <w:ilvl w:val="0"/>
                <w:numId w:val="25"/>
              </w:numPr>
            </w:pPr>
            <w:r w:rsidRPr="00C14594">
              <w:t>Unplanned SAIFI</w:t>
            </w:r>
          </w:p>
        </w:tc>
        <w:tc>
          <w:tcPr>
            <w:tcW w:w="1851" w:type="pct"/>
            <w:vAlign w:val="top"/>
          </w:tcPr>
          <w:p w:rsidR="00C14594" w:rsidRPr="00C14594" w:rsidRDefault="00C14594" w:rsidP="00A23DC7">
            <w:pPr>
              <w:cnfStyle w:val="000000010000" w:firstRow="0" w:lastRow="0" w:firstColumn="0" w:lastColumn="0" w:oddVBand="0" w:evenVBand="0" w:oddHBand="0" w:evenHBand="1" w:firstRowFirstColumn="0" w:firstRowLastColumn="0" w:lastRowFirstColumn="0" w:lastRowLastColumn="0"/>
            </w:pPr>
            <w:r w:rsidRPr="00C14594">
              <w:t>4.703</w:t>
            </w:r>
            <w:r w:rsidR="00A23DC7">
              <w:rPr>
                <w:rFonts w:hint="eastAsia"/>
              </w:rPr>
              <w:t>3</w:t>
            </w:r>
          </w:p>
        </w:tc>
        <w:tc>
          <w:tcPr>
            <w:tcW w:w="1851" w:type="pct"/>
            <w:vAlign w:val="top"/>
          </w:tcPr>
          <w:p w:rsidR="00C14594" w:rsidRPr="00C14594" w:rsidRDefault="00C14594" w:rsidP="00A23DC7">
            <w:pPr>
              <w:cnfStyle w:val="000000010000" w:firstRow="0" w:lastRow="0" w:firstColumn="0" w:lastColumn="0" w:oddVBand="0" w:evenVBand="0" w:oddHBand="0" w:evenHBand="1" w:firstRowFirstColumn="0" w:firstRowLastColumn="0" w:lastRowFirstColumn="0" w:lastRowLastColumn="0"/>
            </w:pPr>
            <w:r w:rsidRPr="00C14594">
              <w:t>1.0384</w:t>
            </w:r>
          </w:p>
        </w:tc>
      </w:tr>
    </w:tbl>
    <w:p w:rsidR="00022807" w:rsidRDefault="00022807" w:rsidP="00022807">
      <w:pPr>
        <w:pStyle w:val="AERtablesource"/>
      </w:pPr>
      <w:r>
        <w:t xml:space="preserve">Source: </w:t>
      </w:r>
      <w:r>
        <w:tab/>
        <w:t>AER analysis.</w:t>
      </w:r>
    </w:p>
    <w:p w:rsidR="00B2638C" w:rsidRPr="001754EE" w:rsidRDefault="00B2638C" w:rsidP="00B2638C">
      <w:pPr>
        <w:pStyle w:val="Heading2"/>
      </w:pPr>
      <w:bookmarkStart w:id="16" w:name="_Ref416187827"/>
      <w:bookmarkStart w:id="17" w:name="_Ref416187835"/>
      <w:bookmarkStart w:id="18" w:name="_Toc417302631"/>
      <w:r>
        <w:t>Endeavour Energy</w:t>
      </w:r>
      <w:r w:rsidRPr="001754EE">
        <w:t>’s revised proposal</w:t>
      </w:r>
      <w:bookmarkEnd w:id="13"/>
      <w:bookmarkEnd w:id="16"/>
      <w:bookmarkEnd w:id="17"/>
      <w:bookmarkEnd w:id="18"/>
    </w:p>
    <w:p w:rsidR="00B2638C" w:rsidRPr="00074FCE" w:rsidRDefault="00B2638C" w:rsidP="00B2638C">
      <w:r>
        <w:t>Endeavour Energy did not accept our draft decision</w:t>
      </w:r>
      <w:r w:rsidR="00026C2C">
        <w:t>s on its performance targets</w:t>
      </w:r>
      <w:r>
        <w:t xml:space="preserve"> in its revised proposal. It </w:t>
      </w:r>
      <w:r w:rsidR="00026C2C">
        <w:t xml:space="preserve">further </w:t>
      </w:r>
      <w:r>
        <w:t>submitted that u</w:t>
      </w:r>
      <w:r w:rsidRPr="00074FCE">
        <w:t xml:space="preserve">nless </w:t>
      </w:r>
      <w:r>
        <w:t>we</w:t>
      </w:r>
      <w:r w:rsidRPr="00074FCE">
        <w:t xml:space="preserve"> accept its revised capital and operating programs, the STPIS should not apply.</w:t>
      </w:r>
      <w:r>
        <w:rPr>
          <w:rStyle w:val="FootnoteReference"/>
        </w:rPr>
        <w:footnoteReference w:id="9"/>
      </w:r>
      <w:r>
        <w:t xml:space="preserve"> It considers that we have not</w:t>
      </w:r>
      <w:r w:rsidRPr="00074FCE">
        <w:t xml:space="preserve"> adequately </w:t>
      </w:r>
      <w:r w:rsidR="00CB2448">
        <w:t>taken into account</w:t>
      </w:r>
      <w:r w:rsidR="00CB2448" w:rsidRPr="00074FCE">
        <w:t xml:space="preserve"> </w:t>
      </w:r>
      <w:r w:rsidRPr="00074FCE">
        <w:t xml:space="preserve">the impact of the proposed reductions to </w:t>
      </w:r>
      <w:r>
        <w:t xml:space="preserve">capex and </w:t>
      </w:r>
      <w:proofErr w:type="spellStart"/>
      <w:r w:rsidR="006B3823">
        <w:t>opex</w:t>
      </w:r>
      <w:proofErr w:type="spellEnd"/>
      <w:r w:rsidRPr="00074FCE">
        <w:t xml:space="preserve"> programs on reliability performance</w:t>
      </w:r>
      <w:r>
        <w:t>.</w:t>
      </w:r>
      <w:r>
        <w:rPr>
          <w:rStyle w:val="FootnoteReference"/>
        </w:rPr>
        <w:footnoteReference w:id="10"/>
      </w:r>
      <w:r>
        <w:t xml:space="preserve"> </w:t>
      </w:r>
    </w:p>
    <w:p w:rsidR="00B2638C" w:rsidRPr="00074FCE" w:rsidRDefault="00B2638C" w:rsidP="00B2638C">
      <w:r>
        <w:t xml:space="preserve">Endeavour Energy forecasted </w:t>
      </w:r>
      <w:r w:rsidRPr="00074FCE">
        <w:t xml:space="preserve">$65.3 million of reliability expenditure for the 2014-19 </w:t>
      </w:r>
      <w:proofErr w:type="gramStart"/>
      <w:r w:rsidRPr="00074FCE">
        <w:t>period</w:t>
      </w:r>
      <w:proofErr w:type="gramEnd"/>
      <w:r>
        <w:t xml:space="preserve"> in the initial proposal</w:t>
      </w:r>
      <w:r w:rsidRPr="00074FCE">
        <w:t xml:space="preserve">. </w:t>
      </w:r>
      <w:r w:rsidR="00C3447E">
        <w:t xml:space="preserve">In its revised proposal, Endeavour </w:t>
      </w:r>
      <w:r w:rsidR="00026C2C">
        <w:t>E</w:t>
      </w:r>
      <w:r w:rsidR="00C3447E">
        <w:t xml:space="preserve">nergy </w:t>
      </w:r>
      <w:r>
        <w:t>submitted that t</w:t>
      </w:r>
      <w:r w:rsidRPr="00074FCE">
        <w:t>his expenditure was designed to ensure compliance with reliability performance targets set out in jurisdictional licence conditions and in particular ensure that customers connected to the worst performing parts of the network receive at least the minimum specified levels of reliability.</w:t>
      </w:r>
      <w:r>
        <w:rPr>
          <w:rStyle w:val="FootnoteReference"/>
        </w:rPr>
        <w:footnoteReference w:id="11"/>
      </w:r>
      <w:r w:rsidRPr="00074FCE">
        <w:t xml:space="preserve"> Jacobs’ modelling suggested Endeavour </w:t>
      </w:r>
      <w:r>
        <w:t xml:space="preserve">Energy </w:t>
      </w:r>
      <w:r w:rsidRPr="00074FCE">
        <w:t xml:space="preserve">would experience a significant deterioration in SAIFI and SAIDI over the regulatory period with </w:t>
      </w:r>
      <w:r w:rsidR="00717EAB">
        <w:t>a</w:t>
      </w:r>
      <w:r w:rsidR="00717EAB" w:rsidRPr="00074FCE">
        <w:t xml:space="preserve"> </w:t>
      </w:r>
      <w:r w:rsidRPr="00074FCE">
        <w:t>23</w:t>
      </w:r>
      <w:r>
        <w:t xml:space="preserve"> per cent</w:t>
      </w:r>
      <w:r w:rsidRPr="00074FCE">
        <w:t xml:space="preserve"> cut to </w:t>
      </w:r>
      <w:r w:rsidR="00717EAB">
        <w:t xml:space="preserve">its forecast </w:t>
      </w:r>
      <w:proofErr w:type="spellStart"/>
      <w:r w:rsidRPr="00074FCE">
        <w:t>opex</w:t>
      </w:r>
      <w:proofErr w:type="spellEnd"/>
      <w:r w:rsidRPr="00074FCE">
        <w:t>.</w:t>
      </w:r>
      <w:r>
        <w:rPr>
          <w:rStyle w:val="FootnoteReference"/>
        </w:rPr>
        <w:footnoteReference w:id="12"/>
      </w:r>
    </w:p>
    <w:p w:rsidR="00B2638C" w:rsidRDefault="00B2638C" w:rsidP="00B2638C">
      <w:r>
        <w:t>Endeavour Energy proposed to set the performance targets for reliability of supply component based on the average of</w:t>
      </w:r>
      <w:r w:rsidR="00717EAB">
        <w:t xml:space="preserve"> the</w:t>
      </w:r>
      <w:r>
        <w:t xml:space="preserve"> last five years.</w:t>
      </w:r>
      <w:r>
        <w:rPr>
          <w:rStyle w:val="FootnoteReference"/>
        </w:rPr>
        <w:footnoteReference w:id="13"/>
      </w:r>
      <w:r>
        <w:t xml:space="preserve"> It </w:t>
      </w:r>
      <w:r w:rsidR="00717EAB">
        <w:t xml:space="preserve">submitted that </w:t>
      </w:r>
      <w:r>
        <w:t>our proposed adjustment</w:t>
      </w:r>
      <w:r w:rsidR="00717EAB">
        <w:t>,</w:t>
      </w:r>
      <w:r>
        <w:t xml:space="preserve"> based on </w:t>
      </w:r>
      <w:proofErr w:type="spellStart"/>
      <w:r>
        <w:t>Ausgrid's</w:t>
      </w:r>
      <w:proofErr w:type="spellEnd"/>
      <w:r>
        <w:t xml:space="preserve"> trend</w:t>
      </w:r>
      <w:r w:rsidR="00717EAB">
        <w:t>,</w:t>
      </w:r>
      <w:r>
        <w:t xml:space="preserve"> in the draft decision fails to recognise:</w:t>
      </w:r>
      <w:r>
        <w:rPr>
          <w:rStyle w:val="FootnoteReference"/>
        </w:rPr>
        <w:footnoteReference w:id="14"/>
      </w:r>
    </w:p>
    <w:p w:rsidR="00B2638C" w:rsidRPr="00074FCE" w:rsidRDefault="00B2638C" w:rsidP="00B2638C">
      <w:pPr>
        <w:pStyle w:val="AERbulletlistfirststyle"/>
      </w:pPr>
      <w:r w:rsidRPr="00074FCE">
        <w:t>Endeavour’s recent performance trend</w:t>
      </w:r>
      <w:r>
        <w:t>,</w:t>
      </w:r>
      <w:r w:rsidRPr="00074FCE">
        <w:t xml:space="preserve"> which is significantly different to </w:t>
      </w:r>
      <w:proofErr w:type="spellStart"/>
      <w:r w:rsidRPr="00074FCE">
        <w:t>Ausgrid’s</w:t>
      </w:r>
      <w:proofErr w:type="spellEnd"/>
      <w:r w:rsidRPr="00074FCE">
        <w:t xml:space="preserve"> recent performance trend</w:t>
      </w:r>
    </w:p>
    <w:p w:rsidR="00B2638C" w:rsidRPr="00074FCE" w:rsidRDefault="00C3447E" w:rsidP="00B2638C">
      <w:pPr>
        <w:pStyle w:val="AERbulletlistfirststyle"/>
      </w:pPr>
      <w:proofErr w:type="gramStart"/>
      <w:r>
        <w:t>t</w:t>
      </w:r>
      <w:r w:rsidR="00BE3FBB">
        <w:t>he</w:t>
      </w:r>
      <w:proofErr w:type="gramEnd"/>
      <w:r w:rsidR="00BE3FBB">
        <w:t xml:space="preserve"> </w:t>
      </w:r>
      <w:r w:rsidR="00B2638C">
        <w:t>d</w:t>
      </w:r>
      <w:r w:rsidR="00B2638C" w:rsidRPr="00074FCE">
        <w:t xml:space="preserve">ifference in network type and exposure between Endeavour </w:t>
      </w:r>
      <w:r w:rsidR="00B2638C">
        <w:t xml:space="preserve">Energy </w:t>
      </w:r>
      <w:r w:rsidR="00B2638C" w:rsidRPr="00074FCE">
        <w:t xml:space="preserve">and </w:t>
      </w:r>
      <w:proofErr w:type="spellStart"/>
      <w:r w:rsidR="00B2638C" w:rsidRPr="00074FCE">
        <w:t>Ausgrid</w:t>
      </w:r>
      <w:proofErr w:type="spellEnd"/>
      <w:r w:rsidR="00B2638C" w:rsidRPr="00074FCE">
        <w:t xml:space="preserve"> </w:t>
      </w:r>
      <w:r w:rsidR="00B2638C" w:rsidRPr="00074FCE">
        <w:softHyphen/>
        <w:t xml:space="preserve">– Endeavour’s ratio of </w:t>
      </w:r>
      <w:r w:rsidR="00B2638C">
        <w:t>overhead</w:t>
      </w:r>
      <w:r w:rsidR="00B2638C" w:rsidRPr="00074FCE">
        <w:t xml:space="preserve"> to </w:t>
      </w:r>
      <w:r w:rsidR="00B2638C">
        <w:t>underground</w:t>
      </w:r>
      <w:r w:rsidR="00B2638C" w:rsidRPr="00074FCE">
        <w:t xml:space="preserve"> distribution network is significantly higher at 72.6</w:t>
      </w:r>
      <w:r w:rsidR="00B2638C">
        <w:t xml:space="preserve"> per cent</w:t>
      </w:r>
      <w:r w:rsidR="00B2638C" w:rsidRPr="00074FCE">
        <w:t xml:space="preserve"> compared to </w:t>
      </w:r>
      <w:proofErr w:type="spellStart"/>
      <w:r w:rsidR="00B2638C" w:rsidRPr="00074FCE">
        <w:t>Ausgrid’s</w:t>
      </w:r>
      <w:proofErr w:type="spellEnd"/>
      <w:r w:rsidR="00B2638C" w:rsidRPr="00074FCE">
        <w:t xml:space="preserve"> 56</w:t>
      </w:r>
      <w:r w:rsidR="00B2638C">
        <w:t xml:space="preserve"> per cent</w:t>
      </w:r>
      <w:r w:rsidR="00B2638C" w:rsidRPr="00074FCE">
        <w:t>. Endeavour has a greater exposure to drivers of reliability and performance volatility.</w:t>
      </w:r>
    </w:p>
    <w:p w:rsidR="00B2638C" w:rsidRPr="00074FCE" w:rsidRDefault="00C3447E" w:rsidP="00B2638C">
      <w:pPr>
        <w:pStyle w:val="AERbulletlistfirststyle"/>
      </w:pPr>
      <w:proofErr w:type="gramStart"/>
      <w:r>
        <w:lastRenderedPageBreak/>
        <w:t>t</w:t>
      </w:r>
      <w:r w:rsidR="00BE3FBB">
        <w:t>he</w:t>
      </w:r>
      <w:proofErr w:type="gramEnd"/>
      <w:r w:rsidR="00BE3FBB">
        <w:t xml:space="preserve"> </w:t>
      </w:r>
      <w:r w:rsidR="00B2638C">
        <w:t>c</w:t>
      </w:r>
      <w:r w:rsidR="00B2638C" w:rsidRPr="00074FCE">
        <w:t xml:space="preserve">apital investment difference in the previous period – </w:t>
      </w:r>
      <w:proofErr w:type="spellStart"/>
      <w:r w:rsidR="00B2638C" w:rsidRPr="00074FCE">
        <w:t>Ausgrid</w:t>
      </w:r>
      <w:proofErr w:type="spellEnd"/>
      <w:r w:rsidR="00B2638C" w:rsidRPr="00074FCE">
        <w:t xml:space="preserve"> invested in Distribution Monitoring and Control rollout which provides reliability benefits, Endeavour </w:t>
      </w:r>
      <w:r w:rsidR="00B2638C">
        <w:t xml:space="preserve">Energy </w:t>
      </w:r>
      <w:r w:rsidR="00B2638C" w:rsidRPr="00074FCE">
        <w:t>made no such equivalent investment.</w:t>
      </w:r>
    </w:p>
    <w:p w:rsidR="00B2638C" w:rsidRPr="00074FCE" w:rsidRDefault="00C3447E" w:rsidP="00B2638C">
      <w:pPr>
        <w:pStyle w:val="AERbulletlistfirststyle"/>
      </w:pPr>
      <w:proofErr w:type="gramStart"/>
      <w:r>
        <w:t>t</w:t>
      </w:r>
      <w:r w:rsidR="00BE3FBB">
        <w:t>he</w:t>
      </w:r>
      <w:proofErr w:type="gramEnd"/>
      <w:r w:rsidR="00BE3FBB">
        <w:t xml:space="preserve"> </w:t>
      </w:r>
      <w:r w:rsidR="00B2638C">
        <w:t>s</w:t>
      </w:r>
      <w:r w:rsidR="00B2638C" w:rsidRPr="00074FCE">
        <w:t>ignificant proportion of the reliability gains from the early years of the previous regulatory period would have already been reflected in subsequent reliability results and therefore accounted for in the five year average performance.</w:t>
      </w:r>
    </w:p>
    <w:p w:rsidR="00B2638C" w:rsidRPr="00B2638C" w:rsidRDefault="00B2638C" w:rsidP="00DE4491">
      <w:pPr>
        <w:pStyle w:val="AERbulletlistfirststyle"/>
        <w:numPr>
          <w:ilvl w:val="0"/>
          <w:numId w:val="0"/>
        </w:numPr>
      </w:pPr>
      <w:r>
        <w:t xml:space="preserve">It noted that </w:t>
      </w:r>
      <w:r w:rsidRPr="00B2638C">
        <w:t>11kV and 22kV distribution network contribute to 80 per cent of overall network SAIDI and SAIFI</w:t>
      </w:r>
      <w:r w:rsidR="00045C1D">
        <w:t xml:space="preserve"> </w:t>
      </w:r>
      <w:r w:rsidR="00045C1D" w:rsidRPr="00074FCE">
        <w:t>–</w:t>
      </w:r>
      <w:r w:rsidRPr="00B2638C">
        <w:t xml:space="preserve"> </w:t>
      </w:r>
      <w:r w:rsidR="00045C1D">
        <w:t>Endeavour</w:t>
      </w:r>
      <w:r w:rsidR="00FE2F94">
        <w:t xml:space="preserve"> Energy</w:t>
      </w:r>
      <w:r w:rsidR="00045C1D">
        <w:t>'s</w:t>
      </w:r>
      <w:r w:rsidRPr="00B2638C">
        <w:t xml:space="preserve"> capex</w:t>
      </w:r>
      <w:r w:rsidR="00045C1D">
        <w:t xml:space="preserve"> over the previous period</w:t>
      </w:r>
      <w:r w:rsidRPr="00B2638C">
        <w:t xml:space="preserve"> related to addressing Schedule 1 (N-1) capacity constraints at the sub-transmission level and reliability was not a specific focus of its previous capex.</w:t>
      </w:r>
      <w:r w:rsidRPr="00B2638C">
        <w:rPr>
          <w:rStyle w:val="FootnoteReference"/>
        </w:rPr>
        <w:footnoteReference w:id="15"/>
      </w:r>
      <w:r w:rsidRPr="00B2638C">
        <w:t xml:space="preserve"> </w:t>
      </w:r>
    </w:p>
    <w:p w:rsidR="00B2638C" w:rsidRDefault="00B2638C" w:rsidP="00B2638C">
      <w:r>
        <w:t>Endeavour Energy calculated slight</w:t>
      </w:r>
      <w:r>
        <w:rPr>
          <w:rFonts w:hint="eastAsia"/>
        </w:rPr>
        <w:t>ly</w:t>
      </w:r>
      <w:r>
        <w:t xml:space="preserve"> different </w:t>
      </w:r>
      <w:r w:rsidR="00045C1D">
        <w:t>MED</w:t>
      </w:r>
      <w:r>
        <w:t xml:space="preserve"> thresholds to those </w:t>
      </w:r>
      <w:r w:rsidR="00045C1D">
        <w:t>set out</w:t>
      </w:r>
      <w:r>
        <w:t xml:space="preserve"> in </w:t>
      </w:r>
      <w:r w:rsidR="00045C1D">
        <w:t>our</w:t>
      </w:r>
      <w:r>
        <w:t xml:space="preserve"> draft determination</w:t>
      </w:r>
      <w:r w:rsidR="00045C1D">
        <w:t xml:space="preserve">. Endeavour Energy also </w:t>
      </w:r>
      <w:r>
        <w:t xml:space="preserve">updated </w:t>
      </w:r>
      <w:r w:rsidR="00045C1D">
        <w:t xml:space="preserve">the </w:t>
      </w:r>
      <w:r>
        <w:t>incentive rate calculation for reliability of supply component using energy consumption data based on four years</w:t>
      </w:r>
      <w:r w:rsidR="00045C1D">
        <w:t xml:space="preserve"> of data</w:t>
      </w:r>
      <w:r>
        <w:t xml:space="preserve"> and </w:t>
      </w:r>
      <w:r w:rsidR="00045C1D">
        <w:t xml:space="preserve"> the</w:t>
      </w:r>
      <w:r w:rsidR="0068372E">
        <w:t xml:space="preserve"> </w:t>
      </w:r>
      <w:r>
        <w:t xml:space="preserve">September 2014 AEMO NSW VCR </w:t>
      </w:r>
      <w:r w:rsidR="00045C1D">
        <w:t xml:space="preserve">indexed </w:t>
      </w:r>
      <w:r>
        <w:t>by CPI.</w:t>
      </w:r>
      <w:r>
        <w:rPr>
          <w:rStyle w:val="FootnoteReference"/>
        </w:rPr>
        <w:footnoteReference w:id="16"/>
      </w:r>
      <w:r>
        <w:t xml:space="preserve"> </w:t>
      </w:r>
    </w:p>
    <w:p w:rsidR="00B2638C" w:rsidRDefault="00B2638C" w:rsidP="00BB6F8D">
      <w:r>
        <w:t>In relation to the t</w:t>
      </w:r>
      <w:r w:rsidRPr="00074FCE">
        <w:t>elephone answering target</w:t>
      </w:r>
      <w:r>
        <w:t xml:space="preserve">, it suggested its originally proposed </w:t>
      </w:r>
      <w:r w:rsidRPr="00074FCE">
        <w:t>75</w:t>
      </w:r>
      <w:r>
        <w:t xml:space="preserve"> per cent target</w:t>
      </w:r>
      <w:r w:rsidRPr="00074FCE">
        <w:t xml:space="preserve"> should be reduced in a similar portion to any reduction made to </w:t>
      </w:r>
      <w:proofErr w:type="spellStart"/>
      <w:r w:rsidRPr="00074FCE">
        <w:t>opex</w:t>
      </w:r>
      <w:proofErr w:type="spellEnd"/>
      <w:r>
        <w:t xml:space="preserve"> </w:t>
      </w:r>
      <w:r w:rsidR="005628B3">
        <w:t>forecast</w:t>
      </w:r>
      <w:r>
        <w:t>. It proposed to</w:t>
      </w:r>
      <w:r w:rsidRPr="00074FCE">
        <w:t xml:space="preserve"> adopt the benchmark target of 68.53</w:t>
      </w:r>
      <w:r>
        <w:t xml:space="preserve"> per cent based on </w:t>
      </w:r>
      <w:r>
        <w:rPr>
          <w:rFonts w:hint="eastAsia"/>
        </w:rPr>
        <w:t xml:space="preserve">the </w:t>
      </w:r>
      <w:r>
        <w:t>average performance of Victorian distributors</w:t>
      </w:r>
      <w:r w:rsidRPr="00074FCE">
        <w:t>.</w:t>
      </w:r>
      <w:r>
        <w:rPr>
          <w:rStyle w:val="FootnoteReference"/>
        </w:rPr>
        <w:footnoteReference w:id="17"/>
      </w:r>
    </w:p>
    <w:p w:rsidR="00B2638C" w:rsidRDefault="00B2638C" w:rsidP="00B2638C">
      <w:pPr>
        <w:pStyle w:val="Heading2"/>
      </w:pPr>
      <w:bookmarkStart w:id="19" w:name="_Toc403144138"/>
      <w:bookmarkStart w:id="20" w:name="_Toc417302632"/>
      <w:r w:rsidRPr="001754EE">
        <w:t>AER’s</w:t>
      </w:r>
      <w:r>
        <w:t xml:space="preserve"> assessment approach</w:t>
      </w:r>
      <w:bookmarkEnd w:id="19"/>
      <w:bookmarkEnd w:id="20"/>
    </w:p>
    <w:p w:rsidR="00B2638C" w:rsidRDefault="00B2638C" w:rsidP="00B2638C">
      <w:r>
        <w:t>We have outlined our assessment approach to the application of the STPIS in the draft decision:</w:t>
      </w:r>
      <w:r w:rsidR="00FE2F94">
        <w:rPr>
          <w:rStyle w:val="FootnoteReference"/>
        </w:rPr>
        <w:footnoteReference w:id="18"/>
      </w:r>
    </w:p>
    <w:p w:rsidR="00B2638C" w:rsidRPr="00A72BB2" w:rsidRDefault="00B2638C" w:rsidP="00B2638C">
      <w:pPr>
        <w:pStyle w:val="AERbulletlistfirststyle"/>
      </w:pPr>
      <w:r>
        <w:t>r</w:t>
      </w:r>
      <w:r w:rsidRPr="00A72BB2">
        <w:t>ule 6.6.2 of the NER describes the consultative process that we must apply in deve</w:t>
      </w:r>
      <w:r>
        <w:t>loping and publishing the STPIS</w:t>
      </w:r>
    </w:p>
    <w:p w:rsidR="00B2638C" w:rsidRPr="00A72BB2" w:rsidRDefault="00B2638C" w:rsidP="00B2638C">
      <w:pPr>
        <w:pStyle w:val="AERbulletlistfirststyle"/>
      </w:pPr>
      <w:r>
        <w:t>r</w:t>
      </w:r>
      <w:r w:rsidRPr="00A72BB2">
        <w:t xml:space="preserve">ule 6.12.1(9) of the NER </w:t>
      </w:r>
      <w:r w:rsidR="00975136">
        <w:t>requires us to</w:t>
      </w:r>
      <w:r w:rsidRPr="00A72BB2">
        <w:t xml:space="preserve"> make a decision on how the STPIS is to apply to the relevant </w:t>
      </w:r>
      <w:r>
        <w:t>distributor</w:t>
      </w:r>
      <w:r w:rsidRPr="00A72BB2">
        <w:t xml:space="preserve"> in the </w:t>
      </w:r>
      <w:r>
        <w:t>Distribution Determination, and</w:t>
      </w:r>
    </w:p>
    <w:p w:rsidR="00B2638C" w:rsidRPr="00A72BB2" w:rsidRDefault="00B2638C" w:rsidP="00B2638C">
      <w:pPr>
        <w:pStyle w:val="AERbulletlistfirststyle"/>
      </w:pPr>
      <w:proofErr w:type="gramStart"/>
      <w:r>
        <w:t>t</w:t>
      </w:r>
      <w:r w:rsidRPr="00A72BB2">
        <w:t>he</w:t>
      </w:r>
      <w:proofErr w:type="gramEnd"/>
      <w:r w:rsidRPr="00A72BB2">
        <w:t xml:space="preserve"> STPIS Guideline outlines the process to be applied in determining performance targets under the STPIS, incentive rates and the MED thresholds.</w:t>
      </w:r>
      <w:r>
        <w:rPr>
          <w:rStyle w:val="FootnoteReference"/>
        </w:rPr>
        <w:footnoteReference w:id="19"/>
      </w:r>
    </w:p>
    <w:p w:rsidR="00B2638C" w:rsidRDefault="00B2638C" w:rsidP="00B2638C">
      <w:pPr>
        <w:numPr>
          <w:ilvl w:val="0"/>
          <w:numId w:val="25"/>
        </w:numPr>
      </w:pPr>
      <w:r>
        <w:t xml:space="preserve">We have assessed Endeavour Energy's STPIS proposal according to the </w:t>
      </w:r>
      <w:r w:rsidR="00026C2C">
        <w:t xml:space="preserve">NER </w:t>
      </w:r>
      <w:r>
        <w:t xml:space="preserve">and the guideline outlined above. </w:t>
      </w:r>
      <w:r w:rsidRPr="00B01044">
        <w:t xml:space="preserve">When </w:t>
      </w:r>
      <w:r w:rsidR="00717EAB">
        <w:t>alternatives are presented</w:t>
      </w:r>
      <w:r w:rsidRPr="00B01044">
        <w:t>, which warrant a reconsideration of this approach, we have considered the relative merits of the alternative against the objectives of the STPIS.</w:t>
      </w:r>
    </w:p>
    <w:p w:rsidR="002838BC" w:rsidRPr="00151F43" w:rsidRDefault="002838BC" w:rsidP="00B2638C">
      <w:pPr>
        <w:numPr>
          <w:ilvl w:val="0"/>
          <w:numId w:val="25"/>
        </w:numPr>
      </w:pPr>
    </w:p>
    <w:p w:rsidR="00B2638C" w:rsidRDefault="00B2638C" w:rsidP="00B2638C">
      <w:pPr>
        <w:pStyle w:val="Heading3"/>
      </w:pPr>
      <w:bookmarkStart w:id="21" w:name="_Toc417302633"/>
      <w:r>
        <w:lastRenderedPageBreak/>
        <w:t>Interrelationships</w:t>
      </w:r>
      <w:bookmarkEnd w:id="21"/>
      <w:r>
        <w:t xml:space="preserve"> </w:t>
      </w:r>
    </w:p>
    <w:p w:rsidR="00B2638C" w:rsidRDefault="00B2638C" w:rsidP="00B2638C">
      <w:pPr>
        <w:numPr>
          <w:ilvl w:val="0"/>
          <w:numId w:val="25"/>
        </w:numPr>
      </w:pPr>
      <w:r>
        <w:t>In applying the STPIS we must consider any other incentives available to the distributor under the NER or relevant distribution determination.</w:t>
      </w:r>
      <w:r>
        <w:rPr>
          <w:rStyle w:val="FootnoteReference"/>
        </w:rPr>
        <w:footnoteReference w:id="20"/>
      </w:r>
      <w:r>
        <w:t xml:space="preserve"> </w:t>
      </w:r>
      <w:r w:rsidRPr="00A270A8">
        <w:t xml:space="preserve">One of the objectives of the STPIS is to </w:t>
      </w:r>
      <w:r>
        <w:t>ensure that the incentives</w:t>
      </w:r>
      <w:r w:rsidR="00975136">
        <w:t xml:space="preserve"> under the scheme</w:t>
      </w:r>
      <w:r>
        <w:t xml:space="preserve"> are sufficient to offset any </w:t>
      </w:r>
      <w:r w:rsidR="00975136">
        <w:t xml:space="preserve">other </w:t>
      </w:r>
      <w:r>
        <w:t xml:space="preserve">incentives the </w:t>
      </w:r>
      <w:r w:rsidR="00EC0872">
        <w:t>distributor</w:t>
      </w:r>
      <w:r>
        <w:t xml:space="preserve"> may have to reduce costs at the expense of service levels.</w:t>
      </w:r>
      <w:r>
        <w:rPr>
          <w:rStyle w:val="FootnoteReference"/>
        </w:rPr>
        <w:footnoteReference w:id="21"/>
      </w:r>
      <w:r>
        <w:t xml:space="preserve"> For the 2015–19 regulatory control </w:t>
      </w:r>
      <w:proofErr w:type="gramStart"/>
      <w:r>
        <w:t>period</w:t>
      </w:r>
      <w:proofErr w:type="gramEnd"/>
      <w:r>
        <w:t>, the STPIS will interact with the Capital Expenditure Sharing Scheme (CESS)</w:t>
      </w:r>
      <w:r w:rsidR="00717EAB" w:rsidRPr="00717EAB">
        <w:t xml:space="preserve"> </w:t>
      </w:r>
      <w:r w:rsidR="00717EAB">
        <w:t>and the efficiency benefit sharing scheme (EBSS)</w:t>
      </w:r>
      <w:r>
        <w:t xml:space="preserve">. </w:t>
      </w:r>
    </w:p>
    <w:p w:rsidR="00B2638C" w:rsidRDefault="00B2638C" w:rsidP="00B2638C">
      <w:pPr>
        <w:numPr>
          <w:ilvl w:val="0"/>
          <w:numId w:val="25"/>
        </w:numPr>
      </w:pPr>
      <w:r>
        <w:t xml:space="preserve">The CESS </w:t>
      </w:r>
      <w:r w:rsidR="00717EAB">
        <w:t xml:space="preserve">and the EBSS </w:t>
      </w:r>
      <w:r>
        <w:t xml:space="preserve">rewards distributors who pursue efficiency improvements in </w:t>
      </w:r>
      <w:r w:rsidR="00717EAB">
        <w:t xml:space="preserve">expenditure </w:t>
      </w:r>
      <w:r>
        <w:t xml:space="preserve">to the benefit of both distributors and network users. In setting the STPIS performance targets, we will consider both completed and planned reliability improvements </w:t>
      </w:r>
      <w:r w:rsidRPr="00233A32">
        <w:t>expected to materially affect network reliability performance</w:t>
      </w:r>
      <w:r>
        <w:t>.</w:t>
      </w:r>
      <w:r w:rsidRPr="00233A32">
        <w:rPr>
          <w:rStyle w:val="FootnoteReference"/>
        </w:rPr>
        <w:footnoteReference w:id="22"/>
      </w:r>
      <w:r w:rsidRPr="00233A32">
        <w:t xml:space="preserve"> </w:t>
      </w:r>
      <w:r>
        <w:t xml:space="preserve">By setting the performance targets in such a way, any incentive a distributor may have to reduce </w:t>
      </w:r>
      <w:r w:rsidR="00717EAB">
        <w:t>expenditure</w:t>
      </w:r>
      <w:r>
        <w:t xml:space="preserve"> at the expense of target service levels </w:t>
      </w:r>
      <w:r w:rsidR="00026C2C">
        <w:t xml:space="preserve">should </w:t>
      </w:r>
      <w:r>
        <w:t>be curtailed by the STPIS financial penalties.</w:t>
      </w:r>
    </w:p>
    <w:p w:rsidR="00B2638C" w:rsidRPr="00671AF8" w:rsidRDefault="00026C2C" w:rsidP="00BA66A7">
      <w:r>
        <w:t>Contrary to Endeavour Energy's submissions</w:t>
      </w:r>
      <w:r w:rsidR="00B2638C">
        <w:t xml:space="preserve">, we </w:t>
      </w:r>
      <w:r w:rsidR="003B2B64">
        <w:t xml:space="preserve">have determined that </w:t>
      </w:r>
      <w:r w:rsidR="00B2638C">
        <w:t>o</w:t>
      </w:r>
      <w:r w:rsidR="00B2638C" w:rsidRPr="00887E00">
        <w:t xml:space="preserve">ur </w:t>
      </w:r>
      <w:r w:rsidR="00267A7A">
        <w:t>approved</w:t>
      </w:r>
      <w:r w:rsidR="00B2638C" w:rsidRPr="00887E00">
        <w:t xml:space="preserve"> </w:t>
      </w:r>
      <w:r w:rsidR="00B2638C">
        <w:t xml:space="preserve">capex and </w:t>
      </w:r>
      <w:proofErr w:type="spellStart"/>
      <w:r w:rsidR="00B2638C">
        <w:t>opex</w:t>
      </w:r>
      <w:proofErr w:type="spellEnd"/>
      <w:r w:rsidR="00267A7A">
        <w:t xml:space="preserve"> forecasts</w:t>
      </w:r>
      <w:r w:rsidR="00B2638C">
        <w:t xml:space="preserve"> </w:t>
      </w:r>
      <w:r w:rsidR="00B2638C" w:rsidRPr="00887E00">
        <w:t xml:space="preserve">in the final decision </w:t>
      </w:r>
      <w:r w:rsidR="00267A7A">
        <w:t>are</w:t>
      </w:r>
      <w:r w:rsidR="00B2638C">
        <w:t xml:space="preserve"> sufficient to allow </w:t>
      </w:r>
      <w:r w:rsidR="003B2B64">
        <w:t xml:space="preserve">prudent and efficient </w:t>
      </w:r>
      <w:r w:rsidR="00B2638C">
        <w:t>Endeavour Energy</w:t>
      </w:r>
      <w:r w:rsidR="003B2B64">
        <w:t xml:space="preserve"> facing a </w:t>
      </w:r>
      <w:r w:rsidR="003B2B64" w:rsidRPr="00196484">
        <w:t xml:space="preserve">realistic expectation of </w:t>
      </w:r>
      <w:r w:rsidR="00267A7A" w:rsidRPr="00196484">
        <w:t xml:space="preserve">the </w:t>
      </w:r>
      <w:r w:rsidR="003B2B64" w:rsidRPr="00196484">
        <w:t>demand forecast and cost inputs</w:t>
      </w:r>
      <w:r w:rsidR="00B2638C" w:rsidRPr="00196484">
        <w:t xml:space="preserve"> to maintain reliability at current level (see </w:t>
      </w:r>
      <w:r w:rsidR="00B2638C" w:rsidRPr="00BA66A7">
        <w:t xml:space="preserve">sections 6.4 and </w:t>
      </w:r>
      <w:r w:rsidR="00251652" w:rsidRPr="00BA66A7">
        <w:t>appendix A of attachment 7</w:t>
      </w:r>
      <w:r w:rsidR="00B2638C" w:rsidRPr="00BA66A7">
        <w:t xml:space="preserve">). </w:t>
      </w:r>
      <w:r w:rsidR="00B2638C" w:rsidRPr="00196484">
        <w:t>This is discussed in more detail in s</w:t>
      </w:r>
      <w:r w:rsidR="00B2638C">
        <w:t xml:space="preserve">ection </w:t>
      </w:r>
      <w:r w:rsidR="00B2638C">
        <w:fldChar w:fldCharType="begin"/>
      </w:r>
      <w:r w:rsidR="00B2638C">
        <w:instrText xml:space="preserve"> REF _Ref414862295 \r \h </w:instrText>
      </w:r>
      <w:r w:rsidR="00B2638C">
        <w:fldChar w:fldCharType="separate"/>
      </w:r>
      <w:r w:rsidR="0094460E">
        <w:t>11.4.1</w:t>
      </w:r>
      <w:r w:rsidR="00B2638C">
        <w:fldChar w:fldCharType="end"/>
      </w:r>
      <w:r w:rsidR="00B2638C">
        <w:t>.</w:t>
      </w:r>
    </w:p>
    <w:p w:rsidR="00B2638C" w:rsidRDefault="00B2638C" w:rsidP="00B2638C">
      <w:pPr>
        <w:pStyle w:val="Heading2"/>
      </w:pPr>
      <w:bookmarkStart w:id="22" w:name="_Toc403144140"/>
      <w:bookmarkStart w:id="23" w:name="_Toc417302634"/>
      <w:r w:rsidRPr="001754EE">
        <w:t>Reasons</w:t>
      </w:r>
      <w:r>
        <w:t xml:space="preserve"> for final decision</w:t>
      </w:r>
      <w:bookmarkEnd w:id="22"/>
      <w:bookmarkEnd w:id="23"/>
      <w:r>
        <w:t xml:space="preserve"> </w:t>
      </w:r>
    </w:p>
    <w:p w:rsidR="005628B3" w:rsidRDefault="005628B3" w:rsidP="005628B3">
      <w:pPr>
        <w:numPr>
          <w:ilvl w:val="0"/>
          <w:numId w:val="25"/>
        </w:numPr>
      </w:pPr>
      <w:bookmarkStart w:id="24" w:name="_Toc409016542"/>
      <w:r w:rsidRPr="005628B3">
        <w:t>The following section sets out our reasons for our final decision</w:t>
      </w:r>
      <w:r>
        <w:t>.</w:t>
      </w:r>
      <w:r w:rsidRPr="005628B3">
        <w:t xml:space="preserve"> </w:t>
      </w:r>
    </w:p>
    <w:p w:rsidR="00B2638C" w:rsidRDefault="00B2638C" w:rsidP="00B2638C">
      <w:pPr>
        <w:pStyle w:val="Heading3"/>
      </w:pPr>
      <w:bookmarkStart w:id="25" w:name="_Ref414862295"/>
      <w:bookmarkStart w:id="26" w:name="_Toc417302635"/>
      <w:bookmarkStart w:id="27" w:name="_Toc404362397"/>
      <w:bookmarkEnd w:id="24"/>
      <w:r>
        <w:t>Application of STPIS</w:t>
      </w:r>
      <w:bookmarkEnd w:id="25"/>
      <w:bookmarkEnd w:id="26"/>
    </w:p>
    <w:bookmarkEnd w:id="27"/>
    <w:p w:rsidR="00B2638C" w:rsidRDefault="00B2638C" w:rsidP="00BA66A7">
      <w:r>
        <w:t>We do not accept</w:t>
      </w:r>
      <w:r w:rsidRPr="00E52105">
        <w:t xml:space="preserve"> </w:t>
      </w:r>
      <w:r>
        <w:t>Endeavour Energy</w:t>
      </w:r>
      <w:r w:rsidRPr="00E52105">
        <w:t xml:space="preserve">'s </w:t>
      </w:r>
      <w:r>
        <w:t>proposal</w:t>
      </w:r>
      <w:r w:rsidRPr="00E52105">
        <w:t xml:space="preserve"> that </w:t>
      </w:r>
      <w:r w:rsidR="004B79F9">
        <w:t xml:space="preserve">the </w:t>
      </w:r>
      <w:r w:rsidRPr="00E52105">
        <w:t xml:space="preserve">application of the STPIS should be dependent on whether </w:t>
      </w:r>
      <w:r>
        <w:t>we</w:t>
      </w:r>
      <w:r w:rsidRPr="00E52105">
        <w:t xml:space="preserve"> accept its revised </w:t>
      </w:r>
      <w:proofErr w:type="spellStart"/>
      <w:r w:rsidRPr="00E52105">
        <w:t>opex</w:t>
      </w:r>
      <w:proofErr w:type="spellEnd"/>
      <w:r w:rsidRPr="00E52105">
        <w:t xml:space="preserve"> and capex proposals. </w:t>
      </w:r>
      <w:r w:rsidR="00026C2C" w:rsidRPr="00E52105">
        <w:t xml:space="preserve">Our </w:t>
      </w:r>
      <w:r w:rsidR="00026C2C">
        <w:t>approved</w:t>
      </w:r>
      <w:r w:rsidR="00026C2C" w:rsidRPr="00E52105">
        <w:t xml:space="preserve"> </w:t>
      </w:r>
      <w:r w:rsidR="00026C2C">
        <w:t xml:space="preserve">capex and </w:t>
      </w:r>
      <w:proofErr w:type="spellStart"/>
      <w:r w:rsidR="00026C2C">
        <w:t>opex</w:t>
      </w:r>
      <w:proofErr w:type="spellEnd"/>
      <w:r w:rsidR="00026C2C" w:rsidRPr="00887E00">
        <w:t xml:space="preserve"> </w:t>
      </w:r>
      <w:r w:rsidR="00026C2C">
        <w:t xml:space="preserve">forecasts </w:t>
      </w:r>
      <w:r w:rsidR="00026C2C" w:rsidRPr="00887E00">
        <w:t xml:space="preserve">in the final </w:t>
      </w:r>
      <w:r w:rsidR="00026C2C" w:rsidRPr="00196484">
        <w:t>decision are sufficient to allow Endeavour Energy to maintain its current levels of reliability (</w:t>
      </w:r>
      <w:r w:rsidR="00026C2C" w:rsidRPr="00BA66A7">
        <w:t xml:space="preserve">see sections 6.4 and </w:t>
      </w:r>
      <w:r w:rsidR="00251652" w:rsidRPr="00BA66A7">
        <w:t>appendix A of attachment 7</w:t>
      </w:r>
      <w:r w:rsidR="00026C2C" w:rsidRPr="00196484">
        <w:t xml:space="preserve">). </w:t>
      </w:r>
      <w:r w:rsidRPr="00196484">
        <w:t>We n</w:t>
      </w:r>
      <w:r w:rsidRPr="0096268A">
        <w:t xml:space="preserve">ote that </w:t>
      </w:r>
      <w:r>
        <w:t xml:space="preserve">Endeavour Energy has been delivering performance levels </w:t>
      </w:r>
      <w:r w:rsidRPr="0096268A">
        <w:t xml:space="preserve">higher than the minimum standards </w:t>
      </w:r>
      <w:r>
        <w:t xml:space="preserve">it </w:t>
      </w:r>
      <w:r w:rsidRPr="0096268A">
        <w:t xml:space="preserve">is required to achieve under its licence obligations.     </w:t>
      </w:r>
    </w:p>
    <w:p w:rsidR="00B2638C" w:rsidRDefault="00B2638C" w:rsidP="00BA66A7">
      <w:r>
        <w:t xml:space="preserve">In arriving at our capex </w:t>
      </w:r>
      <w:r w:rsidR="005628B3">
        <w:t>forecast</w:t>
      </w:r>
      <w:r>
        <w:t>, w</w:t>
      </w:r>
      <w:r w:rsidRPr="00912B39">
        <w:t xml:space="preserve">e have considered the interaction between the removal of the </w:t>
      </w:r>
      <w:r w:rsidR="00026C2C">
        <w:t xml:space="preserve">N-1 </w:t>
      </w:r>
      <w:r w:rsidR="00900634">
        <w:t xml:space="preserve">deterministic </w:t>
      </w:r>
      <w:r w:rsidRPr="00912B39">
        <w:t>planning standards</w:t>
      </w:r>
      <w:r>
        <w:t xml:space="preserve"> imposed by the NSW Government in the previous regulatory control period</w:t>
      </w:r>
      <w:r w:rsidRPr="00912B39">
        <w:t xml:space="preserve">, the minimum reliability standards and the historical reliability that </w:t>
      </w:r>
      <w:r>
        <w:t>E</w:t>
      </w:r>
      <w:r>
        <w:rPr>
          <w:rFonts w:hint="eastAsia"/>
        </w:rPr>
        <w:t>ndeavour</w:t>
      </w:r>
      <w:r>
        <w:t xml:space="preserve"> Energy</w:t>
      </w:r>
      <w:r w:rsidRPr="00912B39">
        <w:t xml:space="preserve"> has been achieving. </w:t>
      </w:r>
      <w:r>
        <w:t xml:space="preserve">We </w:t>
      </w:r>
      <w:r w:rsidR="005F66F1">
        <w:t xml:space="preserve">have provided sufficient revenue to allow </w:t>
      </w:r>
      <w:r>
        <w:t>E</w:t>
      </w:r>
      <w:r>
        <w:rPr>
          <w:rFonts w:hint="eastAsia"/>
        </w:rPr>
        <w:t>ndeavour</w:t>
      </w:r>
      <w:r>
        <w:t xml:space="preserve"> Energy</w:t>
      </w:r>
      <w:r w:rsidRPr="00912B39">
        <w:t xml:space="preserve"> </w:t>
      </w:r>
      <w:r w:rsidR="005F66F1">
        <w:t xml:space="preserve">acting prudently and efficiently </w:t>
      </w:r>
      <w:r w:rsidRPr="00912B39">
        <w:t xml:space="preserve">to </w:t>
      </w:r>
      <w:r w:rsidRPr="00912B39">
        <w:lastRenderedPageBreak/>
        <w:t xml:space="preserve">maintain its </w:t>
      </w:r>
      <w:r w:rsidR="00900C64" w:rsidRPr="00196484">
        <w:t>current</w:t>
      </w:r>
      <w:r w:rsidRPr="00196484">
        <w:t xml:space="preserve"> reliability level with our approved capex </w:t>
      </w:r>
      <w:r w:rsidR="005628B3" w:rsidRPr="00196484">
        <w:t>forecast</w:t>
      </w:r>
      <w:r w:rsidRPr="00196484">
        <w:t xml:space="preserve">. In addition, as the </w:t>
      </w:r>
      <w:r w:rsidR="00900C64" w:rsidRPr="00196484">
        <w:t>current</w:t>
      </w:r>
      <w:r w:rsidR="00BD068B" w:rsidRPr="00196484">
        <w:t xml:space="preserve"> </w:t>
      </w:r>
      <w:r w:rsidRPr="00196484">
        <w:t>reliability level is higher than the minimum reliability standards, Endeavour Energy will also be able to meet</w:t>
      </w:r>
      <w:r w:rsidR="005F66F1" w:rsidRPr="00196484">
        <w:t>, and indeed exceed,</w:t>
      </w:r>
      <w:r w:rsidRPr="00196484">
        <w:t xml:space="preserve"> </w:t>
      </w:r>
      <w:r w:rsidR="00805582" w:rsidRPr="00196484">
        <w:t xml:space="preserve">the </w:t>
      </w:r>
      <w:r w:rsidRPr="00196484">
        <w:t>jurisdictional minimum standard</w:t>
      </w:r>
      <w:r w:rsidR="00717EAB" w:rsidRPr="00196484">
        <w:t>s</w:t>
      </w:r>
      <w:r w:rsidRPr="00196484">
        <w:t>. (</w:t>
      </w:r>
      <w:proofErr w:type="gramStart"/>
      <w:r w:rsidRPr="00BA66A7">
        <w:t>see</w:t>
      </w:r>
      <w:proofErr w:type="gramEnd"/>
      <w:r w:rsidRPr="00BA66A7">
        <w:t xml:space="preserve"> section </w:t>
      </w:r>
      <w:r w:rsidR="00251652" w:rsidRPr="00BA66A7">
        <w:t>6.4</w:t>
      </w:r>
      <w:r w:rsidRPr="00BA66A7">
        <w:t>)</w:t>
      </w:r>
      <w:r w:rsidRPr="00196484">
        <w:t>.</w:t>
      </w:r>
    </w:p>
    <w:p w:rsidR="00B2638C" w:rsidRDefault="00E840BC" w:rsidP="00BA66A7">
      <w:r>
        <w:t>We</w:t>
      </w:r>
      <w:r w:rsidR="00B2638C">
        <w:rPr>
          <w:rFonts w:hint="eastAsia"/>
        </w:rPr>
        <w:t xml:space="preserve"> have adopted</w:t>
      </w:r>
      <w:r w:rsidR="00B2638C">
        <w:t xml:space="preserve"> </w:t>
      </w:r>
      <w:r w:rsidR="00943E67">
        <w:t xml:space="preserve">a </w:t>
      </w:r>
      <w:r w:rsidR="00B2638C">
        <w:t>revealed cost approach</w:t>
      </w:r>
      <w:r w:rsidR="00B2638C" w:rsidRPr="006E03BC">
        <w:t xml:space="preserve"> to determine Endeavour Energy’s </w:t>
      </w:r>
      <w:r w:rsidR="00943E67">
        <w:t xml:space="preserve">approved </w:t>
      </w:r>
      <w:proofErr w:type="spellStart"/>
      <w:r w:rsidR="00B2638C" w:rsidRPr="006E03BC">
        <w:t>opex</w:t>
      </w:r>
      <w:proofErr w:type="spellEnd"/>
      <w:r w:rsidR="00B2638C" w:rsidRPr="006E03BC">
        <w:t xml:space="preserve"> </w:t>
      </w:r>
      <w:r>
        <w:t>forecast</w:t>
      </w:r>
      <w:r w:rsidR="00B2638C">
        <w:rPr>
          <w:rFonts w:hint="eastAsia"/>
        </w:rPr>
        <w:t xml:space="preserve"> in this final decision. W</w:t>
      </w:r>
      <w:r w:rsidR="00B2638C">
        <w:t xml:space="preserve">e consider our approved </w:t>
      </w:r>
      <w:proofErr w:type="spellStart"/>
      <w:r w:rsidR="00B2638C">
        <w:t>opex</w:t>
      </w:r>
      <w:proofErr w:type="spellEnd"/>
      <w:r w:rsidR="00B2638C">
        <w:t xml:space="preserve"> for E</w:t>
      </w:r>
      <w:r w:rsidR="00B2638C">
        <w:rPr>
          <w:rFonts w:hint="eastAsia"/>
        </w:rPr>
        <w:t>ndeavour</w:t>
      </w:r>
      <w:r w:rsidR="00B2638C">
        <w:t xml:space="preserve"> Energy is consistent with the targets that we have set for the STPIS in this period</w:t>
      </w:r>
      <w:r w:rsidR="00B2638C">
        <w:rPr>
          <w:rFonts w:hint="eastAsia"/>
        </w:rPr>
        <w:t xml:space="preserve"> and</w:t>
      </w:r>
      <w:r w:rsidR="00B2638C">
        <w:t xml:space="preserve"> is also sufficient to allow </w:t>
      </w:r>
      <w:r w:rsidR="00900C64">
        <w:t xml:space="preserve">prudent and efficient </w:t>
      </w:r>
      <w:r w:rsidR="00B2638C">
        <w:t>E</w:t>
      </w:r>
      <w:r w:rsidR="00B2638C">
        <w:rPr>
          <w:rFonts w:hint="eastAsia"/>
        </w:rPr>
        <w:t>ndeavour</w:t>
      </w:r>
      <w:r w:rsidR="00B2638C">
        <w:t xml:space="preserve"> Energy</w:t>
      </w:r>
      <w:r w:rsidR="003F60AB">
        <w:t xml:space="preserve"> facing a realistic expectation of demand forecasts and cost inputs</w:t>
      </w:r>
      <w:r w:rsidR="00B2638C">
        <w:t xml:space="preserve"> to maintain reliability at the current </w:t>
      </w:r>
      <w:r w:rsidR="00B2638C" w:rsidRPr="00196484">
        <w:t xml:space="preserve">level </w:t>
      </w:r>
      <w:r w:rsidR="00B2638C" w:rsidRPr="00BA66A7">
        <w:t xml:space="preserve">(see section </w:t>
      </w:r>
      <w:r w:rsidR="00251652" w:rsidRPr="00BA66A7">
        <w:t>attachment 7</w:t>
      </w:r>
      <w:r w:rsidR="00B2638C" w:rsidRPr="00BA66A7">
        <w:t>).</w:t>
      </w:r>
    </w:p>
    <w:p w:rsidR="00B2638C" w:rsidRDefault="00A449C9" w:rsidP="00B2638C">
      <w:r>
        <w:t xml:space="preserve">In addition, we consider that a distributor's reliability performance is influenced by the configuration and condition of its network assets. This is a result of the distributor's historical investment and operating practices.  </w:t>
      </w:r>
      <w:r w:rsidRPr="002474C7">
        <w:t xml:space="preserve">Most </w:t>
      </w:r>
      <w:r>
        <w:t>network</w:t>
      </w:r>
      <w:r w:rsidRPr="002474C7">
        <w:t xml:space="preserve"> assets have an expected life in excess of 50 </w:t>
      </w:r>
      <w:proofErr w:type="gramStart"/>
      <w:r w:rsidRPr="002474C7">
        <w:t>years,</w:t>
      </w:r>
      <w:proofErr w:type="gramEnd"/>
      <w:r w:rsidRPr="002474C7">
        <w:t xml:space="preserve"> therefore</w:t>
      </w:r>
      <w:r>
        <w:t>,</w:t>
      </w:r>
      <w:r w:rsidRPr="002474C7">
        <w:t xml:space="preserve"> by discounting for uncontrollable external impacts such as weather variations, the </w:t>
      </w:r>
      <w:r>
        <w:t>distributor</w:t>
      </w:r>
      <w:r w:rsidRPr="002474C7">
        <w:t>'s reliability level should not change abruptly</w:t>
      </w:r>
      <w:r>
        <w:t>.</w:t>
      </w:r>
      <w:r w:rsidR="00B2638C" w:rsidRPr="002474C7">
        <w:t xml:space="preserve"> </w:t>
      </w:r>
    </w:p>
    <w:p w:rsidR="00B2638C" w:rsidRDefault="00B2638C" w:rsidP="00B2638C">
      <w:pPr>
        <w:pStyle w:val="Heading3"/>
      </w:pPr>
      <w:bookmarkStart w:id="28" w:name="_Toc417302636"/>
      <w:r>
        <w:t>Applicable components and parameters</w:t>
      </w:r>
      <w:bookmarkEnd w:id="28"/>
      <w:r>
        <w:t xml:space="preserve"> </w:t>
      </w:r>
    </w:p>
    <w:p w:rsidR="00B2638C" w:rsidRDefault="00B2638C" w:rsidP="00B2638C">
      <w:pPr>
        <w:numPr>
          <w:ilvl w:val="0"/>
          <w:numId w:val="25"/>
        </w:numPr>
      </w:pPr>
      <w:bookmarkStart w:id="29" w:name="_Toc409016543"/>
      <w:r>
        <w:t xml:space="preserve">In both the </w:t>
      </w:r>
      <w:r w:rsidR="005F66F1">
        <w:t xml:space="preserve">Stage two F&amp;A and the </w:t>
      </w:r>
      <w:r>
        <w:t>draft decision, we noted that:</w:t>
      </w:r>
      <w:r>
        <w:rPr>
          <w:rStyle w:val="FootnoteReference"/>
        </w:rPr>
        <w:footnoteReference w:id="23"/>
      </w:r>
    </w:p>
    <w:p w:rsidR="00B2638C" w:rsidRPr="00465BB8" w:rsidRDefault="00B2638C" w:rsidP="00B2638C">
      <w:pPr>
        <w:pStyle w:val="AERbulletlistfirststyle"/>
      </w:pPr>
      <w:proofErr w:type="gramStart"/>
      <w:r>
        <w:t>performance</w:t>
      </w:r>
      <w:proofErr w:type="gramEnd"/>
      <w:r w:rsidRPr="00465BB8">
        <w:t xml:space="preserve"> targets would be set for both SAIDI and SAIFI under the reliability of supply component</w:t>
      </w:r>
      <w:r w:rsidR="00900C64">
        <w:t xml:space="preserve"> of the STPIS</w:t>
      </w:r>
      <w:r w:rsidRPr="00465BB8">
        <w:t xml:space="preserve">, with financial incentives attached to each. </w:t>
      </w:r>
    </w:p>
    <w:p w:rsidR="00B2638C" w:rsidRPr="00465BB8" w:rsidRDefault="00B2638C" w:rsidP="00B2638C">
      <w:pPr>
        <w:pStyle w:val="AERbulletlistfirststyle"/>
      </w:pPr>
      <w:r>
        <w:t>E</w:t>
      </w:r>
      <w:r>
        <w:rPr>
          <w:rFonts w:hint="eastAsia"/>
        </w:rPr>
        <w:t xml:space="preserve">ndeavour </w:t>
      </w:r>
      <w:r>
        <w:t>Energy's</w:t>
      </w:r>
      <w:r w:rsidRPr="00465BB8">
        <w:t xml:space="preserve"> network would be divided into urban</w:t>
      </w:r>
      <w:r>
        <w:rPr>
          <w:rFonts w:hint="eastAsia"/>
        </w:rPr>
        <w:t xml:space="preserve"> and</w:t>
      </w:r>
      <w:r w:rsidRPr="00465BB8">
        <w:t xml:space="preserve"> short rural </w:t>
      </w:r>
      <w:r>
        <w:t>feeder types</w:t>
      </w:r>
      <w:r w:rsidRPr="00465BB8">
        <w:t xml:space="preserve">. </w:t>
      </w:r>
    </w:p>
    <w:p w:rsidR="00B2638C" w:rsidRPr="00465BB8" w:rsidRDefault="00B2638C" w:rsidP="00B2638C">
      <w:pPr>
        <w:pStyle w:val="AERbulletlistfirststyle"/>
      </w:pPr>
      <w:proofErr w:type="gramStart"/>
      <w:r>
        <w:t>w</w:t>
      </w:r>
      <w:r w:rsidRPr="00465BB8">
        <w:t>e</w:t>
      </w:r>
      <w:proofErr w:type="gramEnd"/>
      <w:r w:rsidRPr="00465BB8">
        <w:t xml:space="preserve"> </w:t>
      </w:r>
      <w:r>
        <w:t>would</w:t>
      </w:r>
      <w:r w:rsidRPr="00465BB8">
        <w:t xml:space="preserve"> apply the telephone answering parameter under the customer service component to </w:t>
      </w:r>
      <w:r>
        <w:t>E</w:t>
      </w:r>
      <w:r w:rsidR="00E31D74">
        <w:t>ndeavour</w:t>
      </w:r>
      <w:r>
        <w:t xml:space="preserve"> Energy</w:t>
      </w:r>
      <w:r w:rsidRPr="00465BB8">
        <w:t xml:space="preserve"> in the 2015–19 regulatory control period. </w:t>
      </w:r>
    </w:p>
    <w:p w:rsidR="00B2638C" w:rsidRPr="00465BB8" w:rsidRDefault="00B2638C" w:rsidP="00B2638C">
      <w:pPr>
        <w:pStyle w:val="AERbulletlistfirststyle"/>
      </w:pPr>
      <w:proofErr w:type="gramStart"/>
      <w:r>
        <w:t>we</w:t>
      </w:r>
      <w:proofErr w:type="gramEnd"/>
      <w:r>
        <w:t xml:space="preserve"> would not apply the GSL component of the STPIS to E</w:t>
      </w:r>
      <w:r>
        <w:rPr>
          <w:rFonts w:hint="eastAsia"/>
        </w:rPr>
        <w:t>ndeavour</w:t>
      </w:r>
      <w:r>
        <w:t xml:space="preserve"> Energy while the jurisdictional GSL scheme remains in place. </w:t>
      </w:r>
    </w:p>
    <w:p w:rsidR="00B2638C" w:rsidRDefault="00B2638C" w:rsidP="00B2638C">
      <w:pPr>
        <w:numPr>
          <w:ilvl w:val="0"/>
          <w:numId w:val="25"/>
        </w:numPr>
      </w:pPr>
      <w:r>
        <w:t xml:space="preserve">We did not receive any submissions objecting our draft </w:t>
      </w:r>
      <w:r w:rsidR="00900C64">
        <w:t>decision or our</w:t>
      </w:r>
      <w:r>
        <w:t xml:space="preserve"> F&amp;A positions in relation to these issue and we will not depart from the above position in this final decision. </w:t>
      </w:r>
    </w:p>
    <w:p w:rsidR="00B2638C" w:rsidRDefault="00B2638C" w:rsidP="00B2638C">
      <w:pPr>
        <w:pStyle w:val="Heading3"/>
      </w:pPr>
      <w:bookmarkStart w:id="30" w:name="_Toc417302637"/>
      <w:bookmarkEnd w:id="29"/>
      <w:r>
        <w:t>Revenue at risk</w:t>
      </w:r>
      <w:bookmarkEnd w:id="30"/>
      <w:r>
        <w:t xml:space="preserve"> </w:t>
      </w:r>
    </w:p>
    <w:p w:rsidR="00B2638C" w:rsidRDefault="00B2638C" w:rsidP="00B2638C">
      <w:pPr>
        <w:numPr>
          <w:ilvl w:val="0"/>
          <w:numId w:val="25"/>
        </w:numPr>
      </w:pPr>
      <w:r>
        <w:t>Revenue at risk caps the potential rewards and penalties that E</w:t>
      </w:r>
      <w:r>
        <w:rPr>
          <w:rFonts w:hint="eastAsia"/>
        </w:rPr>
        <w:t>ndeavour</w:t>
      </w:r>
      <w:r>
        <w:t xml:space="preserve"> Energy </w:t>
      </w:r>
      <w:r w:rsidR="00E840BC">
        <w:t xml:space="preserve">can </w:t>
      </w:r>
      <w:r>
        <w:t xml:space="preserve">receive under the scheme. The STPIS allows us to vary the revenue at risk where this would satisfy the objectives of the scheme. In setting the revenue at risk, we must take into account the benefits to consumers that are likely to result from the scheme, and in </w:t>
      </w:r>
      <w:r>
        <w:lastRenderedPageBreak/>
        <w:t xml:space="preserve">particular, that the benefits are sufficient to warrant any reward or penalty under the scheme for the distributors.  </w:t>
      </w:r>
    </w:p>
    <w:p w:rsidR="00B2638C" w:rsidRDefault="00B2638C" w:rsidP="00B2638C">
      <w:pPr>
        <w:numPr>
          <w:ilvl w:val="0"/>
          <w:numId w:val="25"/>
        </w:numPr>
      </w:pPr>
      <w:r>
        <w:t>E</w:t>
      </w:r>
      <w:r>
        <w:rPr>
          <w:rFonts w:hint="eastAsia"/>
        </w:rPr>
        <w:t>ndeavour</w:t>
      </w:r>
      <w:r>
        <w:t xml:space="preserve"> Energy proposed to</w:t>
      </w:r>
      <w:r w:rsidRPr="00E61BD1">
        <w:t xml:space="preserve"> </w:t>
      </w:r>
      <w:r>
        <w:t>apply a</w:t>
      </w:r>
      <w:r w:rsidRPr="00E61BD1">
        <w:t xml:space="preserve"> revenue at risk of ±2.5 per cent</w:t>
      </w:r>
      <w:r>
        <w:t xml:space="preserve">. Within this there will be a cap of </w:t>
      </w:r>
      <w:r w:rsidRPr="00E73EFA">
        <w:t>±</w:t>
      </w:r>
      <w:r>
        <w:t xml:space="preserve">2.25 per cent for the reliability of supply component and </w:t>
      </w:r>
      <w:r w:rsidRPr="00E73EFA">
        <w:t>±</w:t>
      </w:r>
      <w:r>
        <w:t>0.25 per cent for the customer service component.</w:t>
      </w:r>
      <w:r>
        <w:rPr>
          <w:rStyle w:val="FootnoteReference"/>
        </w:rPr>
        <w:footnoteReference w:id="24"/>
      </w:r>
      <w:r>
        <w:t xml:space="preserve"> </w:t>
      </w:r>
      <w:r>
        <w:rPr>
          <w:rFonts w:hint="eastAsia"/>
        </w:rPr>
        <w:t xml:space="preserve">We accepted </w:t>
      </w:r>
      <w:r>
        <w:t>E</w:t>
      </w:r>
      <w:r>
        <w:rPr>
          <w:rFonts w:hint="eastAsia"/>
        </w:rPr>
        <w:t>ndeavour</w:t>
      </w:r>
      <w:r>
        <w:t xml:space="preserve"> Energy's proposal </w:t>
      </w:r>
      <w:r>
        <w:rPr>
          <w:rFonts w:hint="eastAsia"/>
        </w:rPr>
        <w:t>in the draft decision</w:t>
      </w:r>
      <w:r>
        <w:t>. We consider</w:t>
      </w:r>
      <w:r>
        <w:rPr>
          <w:rFonts w:hint="eastAsia"/>
        </w:rPr>
        <w:t>ed</w:t>
      </w:r>
      <w:r>
        <w:t xml:space="preserve"> this lower powered incentive would balance the risk to both consumers and E</w:t>
      </w:r>
      <w:r w:rsidR="00E31D74">
        <w:t xml:space="preserve">ndeavour </w:t>
      </w:r>
      <w:r>
        <w:t>Energy and thus better meet the objectives of the STPIS.</w:t>
      </w:r>
      <w:r>
        <w:rPr>
          <w:rStyle w:val="FootnoteReference"/>
        </w:rPr>
        <w:footnoteReference w:id="25"/>
      </w:r>
      <w:r>
        <w:rPr>
          <w:rFonts w:hint="eastAsia"/>
        </w:rPr>
        <w:t xml:space="preserve"> </w:t>
      </w:r>
      <w:r>
        <w:t>E</w:t>
      </w:r>
      <w:r>
        <w:rPr>
          <w:rFonts w:hint="eastAsia"/>
        </w:rPr>
        <w:t>ndeavour</w:t>
      </w:r>
      <w:r>
        <w:t xml:space="preserve"> Energy</w:t>
      </w:r>
      <w:r>
        <w:rPr>
          <w:rFonts w:hint="eastAsia"/>
        </w:rPr>
        <w:t xml:space="preserve"> did not propose </w:t>
      </w:r>
      <w:proofErr w:type="gramStart"/>
      <w:r w:rsidR="00B21066">
        <w:t xml:space="preserve">an </w:t>
      </w:r>
      <w:r>
        <w:t>alternative</w:t>
      </w:r>
      <w:proofErr w:type="gramEnd"/>
      <w:r>
        <w:rPr>
          <w:rFonts w:hint="eastAsia"/>
        </w:rPr>
        <w:t xml:space="preserve"> revenue at risk in the revised proposal, therefore we maintain this view in this final decision.</w:t>
      </w:r>
      <w:r>
        <w:rPr>
          <w:rStyle w:val="FootnoteReference"/>
        </w:rPr>
        <w:footnoteReference w:id="26"/>
      </w:r>
    </w:p>
    <w:p w:rsidR="0038112E" w:rsidRDefault="00B2638C" w:rsidP="0038112E">
      <w:pPr>
        <w:numPr>
          <w:ilvl w:val="0"/>
          <w:numId w:val="25"/>
        </w:numPr>
      </w:pPr>
      <w:r>
        <w:t>The Energy Users Association of Australia (EUAA) recommended that we should apply an asymmetrical incentive of +1 per cent to -3 per cent. It considered such asymmetrical incentive is needed to take account of the networks' excess capacity and would more appropriately balance the risks to both consumers and the distributors.</w:t>
      </w:r>
      <w:r>
        <w:rPr>
          <w:rStyle w:val="FootnoteReference"/>
        </w:rPr>
        <w:footnoteReference w:id="27"/>
      </w:r>
      <w:r>
        <w:t xml:space="preserve"> </w:t>
      </w:r>
      <w:r w:rsidR="0038112E">
        <w:t>We note t</w:t>
      </w:r>
      <w:r w:rsidR="0038112E" w:rsidRPr="00552BF4">
        <w:t xml:space="preserve">he s-factor component in the STPIS </w:t>
      </w:r>
      <w:r w:rsidR="0038112E">
        <w:t>scheme</w:t>
      </w:r>
      <w:r w:rsidR="0038112E" w:rsidRPr="00552BF4">
        <w:t xml:space="preserve"> </w:t>
      </w:r>
      <w:r w:rsidR="0038112E">
        <w:t>specifies a symmetrical incentive framework.</w:t>
      </w:r>
      <w:r w:rsidR="0038112E">
        <w:rPr>
          <w:rStyle w:val="FootnoteReference"/>
        </w:rPr>
        <w:footnoteReference w:id="28"/>
      </w:r>
      <w:r w:rsidR="0038112E">
        <w:t xml:space="preserve"> </w:t>
      </w:r>
      <w:r w:rsidR="005F66F1">
        <w:t xml:space="preserve">Hence, we cannot apply an asymmetrical </w:t>
      </w:r>
      <w:r w:rsidR="00C12D5E">
        <w:t xml:space="preserve">incentive under the current scheme. When we next review the design of STPIS, we shall also review </w:t>
      </w:r>
      <w:r w:rsidR="000402BE">
        <w:t xml:space="preserve">this aspect of the </w:t>
      </w:r>
      <w:r w:rsidR="005F66F1">
        <w:t>scheme design</w:t>
      </w:r>
      <w:r w:rsidR="000402BE">
        <w:t>.</w:t>
      </w:r>
      <w:r w:rsidR="005F66F1">
        <w:t xml:space="preserve">   </w:t>
      </w:r>
    </w:p>
    <w:p w:rsidR="00B2638C" w:rsidRDefault="00B2638C" w:rsidP="00B2638C">
      <w:pPr>
        <w:pStyle w:val="Heading3"/>
      </w:pPr>
      <w:bookmarkStart w:id="31" w:name="_Ref399168566"/>
      <w:bookmarkStart w:id="32" w:name="_Toc404362399"/>
      <w:bookmarkStart w:id="33" w:name="_Toc417302638"/>
      <w:r w:rsidRPr="00230C9F">
        <w:t>Reliability</w:t>
      </w:r>
      <w:r>
        <w:t xml:space="preserve"> of supply component</w:t>
      </w:r>
      <w:bookmarkEnd w:id="31"/>
      <w:bookmarkEnd w:id="32"/>
      <w:bookmarkEnd w:id="33"/>
    </w:p>
    <w:p w:rsidR="00B2638C" w:rsidRPr="008B0A32" w:rsidRDefault="00B2638C" w:rsidP="00B2638C">
      <w:r>
        <w:t xml:space="preserve">We will apply unplanned SAIDI and unplanned SAIFI parameters </w:t>
      </w:r>
      <w:r w:rsidRPr="008B0A32">
        <w:t>under the reliability of supply component</w:t>
      </w:r>
      <w:r>
        <w:t xml:space="preserve"> to </w:t>
      </w:r>
      <w:r>
        <w:rPr>
          <w:rFonts w:hint="eastAsia"/>
        </w:rPr>
        <w:t>Endeavour</w:t>
      </w:r>
      <w:r>
        <w:t xml:space="preserve"> Energy </w:t>
      </w:r>
      <w:r w:rsidRPr="008B0A32">
        <w:t xml:space="preserve">for the 2015–19 regulatory control </w:t>
      </w:r>
      <w:proofErr w:type="gramStart"/>
      <w:r w:rsidRPr="008B0A32">
        <w:t>period</w:t>
      </w:r>
      <w:proofErr w:type="gramEnd"/>
      <w:r w:rsidRPr="008B0A32">
        <w:t>.</w:t>
      </w:r>
      <w:r>
        <w:t xml:space="preserve"> Unplanned SAIDI measures the sum of the duration of each unplanned sustained customer interruption (in minutes) divided by the total number of distribution customers. Unplanned SAIFI measures the total number of unplanned sustained customer interruptions divided by the total number of distribution customers. </w:t>
      </w:r>
    </w:p>
    <w:p w:rsidR="00B76223" w:rsidRDefault="00B76223">
      <w:pPr>
        <w:spacing w:line="240" w:lineRule="auto"/>
        <w:rPr>
          <w:rFonts w:eastAsiaTheme="majorEastAsia" w:cstheme="majorBidi"/>
          <w:b/>
          <w:bCs/>
          <w:color w:val="70635A" w:themeColor="text2"/>
          <w:sz w:val="28"/>
        </w:rPr>
      </w:pPr>
      <w:r>
        <w:br w:type="page"/>
      </w:r>
    </w:p>
    <w:p w:rsidR="00B2638C" w:rsidRDefault="00B2638C" w:rsidP="00B76223">
      <w:pPr>
        <w:pStyle w:val="HeadingBoldBlue"/>
      </w:pPr>
      <w:r>
        <w:lastRenderedPageBreak/>
        <w:t>Major Event Day exclusions</w:t>
      </w:r>
    </w:p>
    <w:p w:rsidR="00B2638C" w:rsidRDefault="00B2638C" w:rsidP="00B2638C">
      <w:pPr>
        <w:numPr>
          <w:ilvl w:val="0"/>
          <w:numId w:val="25"/>
        </w:numPr>
      </w:pPr>
      <w:r>
        <w:t xml:space="preserve">The STPIS allows certain events to be excluded from the calculation of the s-factor revenue adjustment. These exclusions include the events that are beyond the control of </w:t>
      </w:r>
      <w:r>
        <w:rPr>
          <w:rFonts w:hint="eastAsia"/>
        </w:rPr>
        <w:t>Endeavour</w:t>
      </w:r>
      <w:r>
        <w:t xml:space="preserve"> Energy, such as the effects of transmission network outages and other upstream events. They also exclude the effects of extreme weather events that have the potential to significantly affect </w:t>
      </w:r>
      <w:r>
        <w:rPr>
          <w:rFonts w:hint="eastAsia"/>
        </w:rPr>
        <w:t>Endeavour</w:t>
      </w:r>
      <w:r>
        <w:t xml:space="preserve"> Energy's STPIS performance. </w:t>
      </w:r>
    </w:p>
    <w:p w:rsidR="00B2638C" w:rsidRDefault="00B2638C" w:rsidP="00B2638C">
      <w:pPr>
        <w:numPr>
          <w:ilvl w:val="0"/>
          <w:numId w:val="25"/>
        </w:numPr>
      </w:pPr>
      <w:r>
        <w:rPr>
          <w:rFonts w:hint="eastAsia"/>
        </w:rPr>
        <w:t xml:space="preserve">We accepted </w:t>
      </w:r>
      <w:r>
        <w:t>E</w:t>
      </w:r>
      <w:r>
        <w:rPr>
          <w:rFonts w:hint="eastAsia"/>
        </w:rPr>
        <w:t>ndeavour</w:t>
      </w:r>
      <w:r>
        <w:t xml:space="preserve"> Energy</w:t>
      </w:r>
      <w:r>
        <w:rPr>
          <w:rFonts w:hint="eastAsia"/>
        </w:rPr>
        <w:t>'s</w:t>
      </w:r>
      <w:r>
        <w:t xml:space="preserve"> propos</w:t>
      </w:r>
      <w:r>
        <w:rPr>
          <w:rFonts w:hint="eastAsia"/>
        </w:rPr>
        <w:t>al</w:t>
      </w:r>
      <w:r>
        <w:t xml:space="preserve"> to calculate MED thresholds using</w:t>
      </w:r>
      <w:r>
        <w:rPr>
          <w:rFonts w:hint="eastAsia"/>
        </w:rPr>
        <w:t xml:space="preserve"> Box-Cox transformation in the draft decision as it </w:t>
      </w:r>
      <w:r>
        <w:t xml:space="preserve">provides a more normally distributed data set </w:t>
      </w:r>
      <w:r w:rsidR="00B7415C">
        <w:t xml:space="preserve">for Endeavour Energy </w:t>
      </w:r>
      <w:r>
        <w:t>compared to the logarithm transformation under the 2.5 beta method.</w:t>
      </w:r>
      <w:r w:rsidR="00D8161E">
        <w:rPr>
          <w:rStyle w:val="FootnoteReference"/>
        </w:rPr>
        <w:footnoteReference w:id="29"/>
      </w:r>
      <w:r>
        <w:t xml:space="preserve"> E</w:t>
      </w:r>
      <w:r>
        <w:rPr>
          <w:rFonts w:hint="eastAsia"/>
        </w:rPr>
        <w:t>ndeavour</w:t>
      </w:r>
      <w:r>
        <w:t xml:space="preserve"> Energy</w:t>
      </w:r>
      <w:r>
        <w:rPr>
          <w:rFonts w:hint="eastAsia"/>
        </w:rPr>
        <w:t xml:space="preserve"> did not propose </w:t>
      </w:r>
      <w:r>
        <w:t xml:space="preserve">an </w:t>
      </w:r>
      <w:r>
        <w:rPr>
          <w:rFonts w:hint="eastAsia"/>
        </w:rPr>
        <w:t xml:space="preserve">alternative method in the revised </w:t>
      </w:r>
      <w:proofErr w:type="gramStart"/>
      <w:r>
        <w:rPr>
          <w:rFonts w:hint="eastAsia"/>
        </w:rPr>
        <w:t>proposal,</w:t>
      </w:r>
      <w:proofErr w:type="gramEnd"/>
      <w:r>
        <w:rPr>
          <w:rFonts w:hint="eastAsia"/>
        </w:rPr>
        <w:t xml:space="preserve"> therefore we maintain this view in this final decision.</w:t>
      </w:r>
      <w:r>
        <w:rPr>
          <w:rStyle w:val="FootnoteReference"/>
        </w:rPr>
        <w:footnoteReference w:id="30"/>
      </w:r>
      <w:r>
        <w:rPr>
          <w:rFonts w:hint="eastAsia"/>
        </w:rPr>
        <w:t xml:space="preserve"> </w:t>
      </w:r>
      <w:r>
        <w:fldChar w:fldCharType="begin"/>
      </w:r>
      <w:r>
        <w:instrText xml:space="preserve"> REF _Ref401742895 \h </w:instrText>
      </w:r>
      <w:r>
        <w:fldChar w:fldCharType="separate"/>
      </w:r>
      <w:r w:rsidR="0094460E">
        <w:t xml:space="preserve">Table </w:t>
      </w:r>
      <w:r w:rsidR="0094460E">
        <w:rPr>
          <w:noProof/>
        </w:rPr>
        <w:t>11</w:t>
      </w:r>
      <w:r w:rsidR="0094460E" w:rsidRPr="00465BB8">
        <w:t>-</w:t>
      </w:r>
      <w:r w:rsidR="0094460E">
        <w:rPr>
          <w:noProof/>
        </w:rPr>
        <w:t>3</w:t>
      </w:r>
      <w:r>
        <w:fldChar w:fldCharType="end"/>
      </w:r>
      <w:r>
        <w:t xml:space="preserve"> sets out our calculated MED thresholds </w:t>
      </w:r>
      <w:r w:rsidR="00C14594">
        <w:t>using</w:t>
      </w:r>
      <w:r w:rsidR="00C14594">
        <w:rPr>
          <w:rFonts w:hint="eastAsia"/>
        </w:rPr>
        <w:t xml:space="preserve"> Box-Cox transformation</w:t>
      </w:r>
      <w:r>
        <w:t>.</w:t>
      </w:r>
      <w:r w:rsidR="00470E11">
        <w:t xml:space="preserve"> These numbers are consistent with the numbers presented by Endeavour Energy in its revised proposal.</w:t>
      </w:r>
      <w:r w:rsidR="00470E11">
        <w:rPr>
          <w:rStyle w:val="FootnoteReference"/>
        </w:rPr>
        <w:footnoteReference w:id="31"/>
      </w:r>
    </w:p>
    <w:p w:rsidR="00B2638C" w:rsidRDefault="00B2638C" w:rsidP="00B2638C">
      <w:pPr>
        <w:pStyle w:val="Caption"/>
      </w:pPr>
      <w:bookmarkStart w:id="34" w:name="_Ref401742895"/>
      <w:r>
        <w:t xml:space="preserve">Table </w:t>
      </w:r>
      <w:r w:rsidRPr="00465BB8">
        <w:fldChar w:fldCharType="begin"/>
      </w:r>
      <w:r>
        <w:instrText xml:space="preserve"> STYLEREF 1 \s </w:instrText>
      </w:r>
      <w:r w:rsidRPr="00465BB8">
        <w:fldChar w:fldCharType="separate"/>
      </w:r>
      <w:r w:rsidR="0094460E">
        <w:rPr>
          <w:noProof/>
        </w:rPr>
        <w:t>11</w:t>
      </w:r>
      <w:r w:rsidRPr="00465BB8">
        <w:fldChar w:fldCharType="end"/>
      </w:r>
      <w:r w:rsidRPr="00465BB8">
        <w:t>-</w:t>
      </w:r>
      <w:r w:rsidRPr="00465BB8">
        <w:fldChar w:fldCharType="begin"/>
      </w:r>
      <w:r>
        <w:instrText xml:space="preserve"> SEQ Table \* ARABIC \s 1 </w:instrText>
      </w:r>
      <w:r w:rsidRPr="00465BB8">
        <w:fldChar w:fldCharType="separate"/>
      </w:r>
      <w:r w:rsidR="0094460E">
        <w:rPr>
          <w:noProof/>
        </w:rPr>
        <w:t>3</w:t>
      </w:r>
      <w:r w:rsidRPr="00465BB8">
        <w:fldChar w:fldCharType="end"/>
      </w:r>
      <w:bookmarkEnd w:id="34"/>
      <w:r>
        <w:tab/>
        <w:t>MED thresholds (T</w:t>
      </w:r>
      <w:r w:rsidRPr="00D853BE">
        <w:rPr>
          <w:rStyle w:val="AERsubscript"/>
        </w:rPr>
        <w:t>MED</w:t>
      </w:r>
      <w:r>
        <w:t>)</w:t>
      </w:r>
      <w:r>
        <w:rPr>
          <w:rFonts w:hint="eastAsia"/>
        </w:rPr>
        <w:t xml:space="preserve"> for </w:t>
      </w:r>
      <w:r>
        <w:t>E</w:t>
      </w:r>
      <w:r>
        <w:rPr>
          <w:rFonts w:hint="eastAsia"/>
        </w:rPr>
        <w:t>ndeavour</w:t>
      </w:r>
      <w:r>
        <w:t xml:space="preserve"> Energy</w:t>
      </w:r>
    </w:p>
    <w:tbl>
      <w:tblPr>
        <w:tblStyle w:val="AERtable-numbers"/>
        <w:tblW w:w="0" w:type="auto"/>
        <w:tblLook w:val="04A0" w:firstRow="1" w:lastRow="0" w:firstColumn="1" w:lastColumn="0" w:noHBand="0" w:noVBand="1"/>
      </w:tblPr>
      <w:tblGrid>
        <w:gridCol w:w="4362"/>
        <w:gridCol w:w="4331"/>
      </w:tblGrid>
      <w:tr w:rsidR="00B2638C" w:rsidRPr="00D3473D" w:rsidTr="000228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2" w:type="dxa"/>
          </w:tcPr>
          <w:p w:rsidR="00B2638C" w:rsidRPr="00D3473D" w:rsidRDefault="00B2638C" w:rsidP="00D3473D">
            <w:pPr>
              <w:pStyle w:val="AERtabletextleft"/>
              <w:rPr>
                <w:rStyle w:val="Strong"/>
              </w:rPr>
            </w:pPr>
            <w:r w:rsidRPr="00D3473D">
              <w:rPr>
                <w:rStyle w:val="Strong"/>
              </w:rPr>
              <w:t>Regulatory year</w:t>
            </w:r>
          </w:p>
        </w:tc>
        <w:tc>
          <w:tcPr>
            <w:tcW w:w="4331" w:type="dxa"/>
          </w:tcPr>
          <w:p w:rsidR="00B2638C" w:rsidRPr="00D3473D" w:rsidRDefault="00B2638C" w:rsidP="00D3473D">
            <w:pPr>
              <w:pStyle w:val="AERtabletextleft"/>
              <w:cnfStyle w:val="100000000000" w:firstRow="1" w:lastRow="0" w:firstColumn="0" w:lastColumn="0" w:oddVBand="0" w:evenVBand="0" w:oddHBand="0" w:evenHBand="0" w:firstRowFirstColumn="0" w:firstRowLastColumn="0" w:lastRowFirstColumn="0" w:lastRowLastColumn="0"/>
              <w:rPr>
                <w:rStyle w:val="Strong"/>
              </w:rPr>
            </w:pPr>
            <w:r w:rsidRPr="00D3473D">
              <w:rPr>
                <w:rStyle w:val="Strong"/>
              </w:rPr>
              <w:t>T</w:t>
            </w:r>
            <w:r w:rsidRPr="00D3473D">
              <w:rPr>
                <w:rStyle w:val="AERsubscript"/>
              </w:rPr>
              <w:t>MED</w:t>
            </w:r>
          </w:p>
        </w:tc>
      </w:tr>
      <w:tr w:rsidR="00B2638C" w:rsidTr="00022807">
        <w:tc>
          <w:tcPr>
            <w:cnfStyle w:val="001000000000" w:firstRow="0" w:lastRow="0" w:firstColumn="1" w:lastColumn="0" w:oddVBand="0" w:evenVBand="0" w:oddHBand="0" w:evenHBand="0" w:firstRowFirstColumn="0" w:firstRowLastColumn="0" w:lastRowFirstColumn="0" w:lastRowLastColumn="0"/>
            <w:tcW w:w="4362" w:type="dxa"/>
          </w:tcPr>
          <w:p w:rsidR="00B2638C" w:rsidRPr="00B2638C" w:rsidRDefault="00B2638C" w:rsidP="00D3473D">
            <w:pPr>
              <w:pStyle w:val="AERtabletextleft"/>
            </w:pPr>
            <w:r w:rsidRPr="00D74827">
              <w:t>2009/10</w:t>
            </w:r>
          </w:p>
        </w:tc>
        <w:tc>
          <w:tcPr>
            <w:tcW w:w="4331" w:type="dxa"/>
          </w:tcPr>
          <w:p w:rsidR="00B2638C" w:rsidRPr="00B2638C" w:rsidRDefault="00B2638C" w:rsidP="00C14594">
            <w:pPr>
              <w:pStyle w:val="AERtabletextleft"/>
              <w:cnfStyle w:val="000000000000" w:firstRow="0" w:lastRow="0" w:firstColumn="0" w:lastColumn="0" w:oddVBand="0" w:evenVBand="0" w:oddHBand="0" w:evenHBand="0" w:firstRowFirstColumn="0" w:firstRowLastColumn="0" w:lastRowFirstColumn="0" w:lastRowLastColumn="0"/>
            </w:pPr>
            <w:r>
              <w:rPr>
                <w:rFonts w:hint="eastAsia"/>
              </w:rPr>
              <w:t>4.</w:t>
            </w:r>
            <w:r w:rsidR="00C14594">
              <w:rPr>
                <w:rFonts w:hint="eastAsia"/>
              </w:rPr>
              <w:t>909</w:t>
            </w:r>
          </w:p>
        </w:tc>
      </w:tr>
      <w:tr w:rsidR="00B2638C" w:rsidTr="000228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2" w:type="dxa"/>
          </w:tcPr>
          <w:p w:rsidR="00B2638C" w:rsidRPr="00B2638C" w:rsidRDefault="00B2638C" w:rsidP="00D3473D">
            <w:pPr>
              <w:pStyle w:val="AERtabletextleft"/>
            </w:pPr>
            <w:r w:rsidRPr="00D74827">
              <w:t>2010/11</w:t>
            </w:r>
          </w:p>
        </w:tc>
        <w:tc>
          <w:tcPr>
            <w:tcW w:w="4331" w:type="dxa"/>
          </w:tcPr>
          <w:p w:rsidR="00B2638C" w:rsidRPr="00B2638C" w:rsidRDefault="00C14594" w:rsidP="00D3473D">
            <w:pPr>
              <w:pStyle w:val="AERtabletextleft"/>
              <w:cnfStyle w:val="000000010000" w:firstRow="0" w:lastRow="0" w:firstColumn="0" w:lastColumn="0" w:oddVBand="0" w:evenVBand="0" w:oddHBand="0" w:evenHBand="1" w:firstRowFirstColumn="0" w:firstRowLastColumn="0" w:lastRowFirstColumn="0" w:lastRowLastColumn="0"/>
            </w:pPr>
            <w:r>
              <w:rPr>
                <w:rFonts w:hint="eastAsia"/>
              </w:rPr>
              <w:t>4.033</w:t>
            </w:r>
          </w:p>
        </w:tc>
      </w:tr>
      <w:tr w:rsidR="00B2638C" w:rsidTr="00022807">
        <w:tc>
          <w:tcPr>
            <w:cnfStyle w:val="001000000000" w:firstRow="0" w:lastRow="0" w:firstColumn="1" w:lastColumn="0" w:oddVBand="0" w:evenVBand="0" w:oddHBand="0" w:evenHBand="0" w:firstRowFirstColumn="0" w:firstRowLastColumn="0" w:lastRowFirstColumn="0" w:lastRowLastColumn="0"/>
            <w:tcW w:w="4362" w:type="dxa"/>
          </w:tcPr>
          <w:p w:rsidR="00B2638C" w:rsidRPr="00B2638C" w:rsidRDefault="00B2638C" w:rsidP="00D3473D">
            <w:pPr>
              <w:pStyle w:val="AERtabletextleft"/>
            </w:pPr>
            <w:r w:rsidRPr="00D74827">
              <w:t>2011/12</w:t>
            </w:r>
          </w:p>
        </w:tc>
        <w:tc>
          <w:tcPr>
            <w:tcW w:w="4331" w:type="dxa"/>
          </w:tcPr>
          <w:p w:rsidR="00B2638C" w:rsidRPr="00B2638C" w:rsidRDefault="00C14594" w:rsidP="00D3473D">
            <w:pPr>
              <w:pStyle w:val="AERtabletextleft"/>
              <w:cnfStyle w:val="000000000000" w:firstRow="0" w:lastRow="0" w:firstColumn="0" w:lastColumn="0" w:oddVBand="0" w:evenVBand="0" w:oddHBand="0" w:evenHBand="0" w:firstRowFirstColumn="0" w:firstRowLastColumn="0" w:lastRowFirstColumn="0" w:lastRowLastColumn="0"/>
            </w:pPr>
            <w:r>
              <w:rPr>
                <w:rFonts w:hint="eastAsia"/>
              </w:rPr>
              <w:t>3.856</w:t>
            </w:r>
          </w:p>
        </w:tc>
      </w:tr>
      <w:tr w:rsidR="00B2638C" w:rsidTr="000228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2" w:type="dxa"/>
          </w:tcPr>
          <w:p w:rsidR="00B2638C" w:rsidRPr="00B2638C" w:rsidRDefault="00B2638C" w:rsidP="00D3473D">
            <w:pPr>
              <w:pStyle w:val="AERtabletextleft"/>
            </w:pPr>
            <w:r w:rsidRPr="00D74827">
              <w:t>2012/13</w:t>
            </w:r>
          </w:p>
        </w:tc>
        <w:tc>
          <w:tcPr>
            <w:tcW w:w="4331" w:type="dxa"/>
          </w:tcPr>
          <w:p w:rsidR="00B2638C" w:rsidRPr="00B2638C" w:rsidRDefault="00C14594" w:rsidP="00D3473D">
            <w:pPr>
              <w:pStyle w:val="AERtabletextleft"/>
              <w:cnfStyle w:val="000000010000" w:firstRow="0" w:lastRow="0" w:firstColumn="0" w:lastColumn="0" w:oddVBand="0" w:evenVBand="0" w:oddHBand="0" w:evenHBand="1" w:firstRowFirstColumn="0" w:firstRowLastColumn="0" w:lastRowFirstColumn="0" w:lastRowLastColumn="0"/>
            </w:pPr>
            <w:r>
              <w:rPr>
                <w:rFonts w:hint="eastAsia"/>
              </w:rPr>
              <w:t>3.561</w:t>
            </w:r>
          </w:p>
        </w:tc>
      </w:tr>
      <w:tr w:rsidR="00B2638C" w:rsidTr="00022807">
        <w:tc>
          <w:tcPr>
            <w:cnfStyle w:val="001000000000" w:firstRow="0" w:lastRow="0" w:firstColumn="1" w:lastColumn="0" w:oddVBand="0" w:evenVBand="0" w:oddHBand="0" w:evenHBand="0" w:firstRowFirstColumn="0" w:firstRowLastColumn="0" w:lastRowFirstColumn="0" w:lastRowLastColumn="0"/>
            <w:tcW w:w="4362" w:type="dxa"/>
          </w:tcPr>
          <w:p w:rsidR="00B2638C" w:rsidRPr="00B2638C" w:rsidRDefault="00B2638C" w:rsidP="00D3473D">
            <w:pPr>
              <w:pStyle w:val="AERtabletextleft"/>
            </w:pPr>
            <w:r w:rsidRPr="00D74827">
              <w:t>2013/14</w:t>
            </w:r>
          </w:p>
        </w:tc>
        <w:tc>
          <w:tcPr>
            <w:tcW w:w="4331" w:type="dxa"/>
          </w:tcPr>
          <w:p w:rsidR="00B2638C" w:rsidRPr="00B2638C" w:rsidRDefault="00C14594" w:rsidP="00D3473D">
            <w:pPr>
              <w:pStyle w:val="AERtabletextleft"/>
              <w:cnfStyle w:val="000000000000" w:firstRow="0" w:lastRow="0" w:firstColumn="0" w:lastColumn="0" w:oddVBand="0" w:evenVBand="0" w:oddHBand="0" w:evenHBand="0" w:firstRowFirstColumn="0" w:firstRowLastColumn="0" w:lastRowFirstColumn="0" w:lastRowLastColumn="0"/>
            </w:pPr>
            <w:r>
              <w:rPr>
                <w:rFonts w:hint="eastAsia"/>
              </w:rPr>
              <w:t>3.280</w:t>
            </w:r>
          </w:p>
        </w:tc>
      </w:tr>
    </w:tbl>
    <w:p w:rsidR="00B2638C" w:rsidRDefault="00B2638C" w:rsidP="00B2638C">
      <w:pPr>
        <w:pStyle w:val="FootnoteText"/>
      </w:pPr>
      <w:r>
        <w:t xml:space="preserve">Source: </w:t>
      </w:r>
      <w:r>
        <w:tab/>
        <w:t>AER analysis</w:t>
      </w:r>
      <w:r w:rsidR="00EC0872">
        <w:t>.</w:t>
      </w:r>
    </w:p>
    <w:p w:rsidR="00B2638C" w:rsidRDefault="00B2638C" w:rsidP="00B76223">
      <w:pPr>
        <w:pStyle w:val="HeadingBoldBlue"/>
      </w:pPr>
      <w:bookmarkStart w:id="35" w:name="_Ref414956502"/>
      <w:r>
        <w:t>Performance targets</w:t>
      </w:r>
      <w:bookmarkEnd w:id="35"/>
    </w:p>
    <w:p w:rsidR="00B2638C" w:rsidRDefault="00B2638C" w:rsidP="00B2638C">
      <w:pPr>
        <w:numPr>
          <w:ilvl w:val="0"/>
          <w:numId w:val="25"/>
        </w:numPr>
      </w:pPr>
      <w:r w:rsidRPr="00311027">
        <w:t xml:space="preserve">Clause 3.2.1(a) of the STPIS states that performance targets for the reliability of supply parameters must be established with reference to average historical performance modified to account for completed or planned reliability improvements and any other factor expected to materially affect network reliability performance. </w:t>
      </w:r>
    </w:p>
    <w:p w:rsidR="00B2638C" w:rsidRDefault="00B2638C" w:rsidP="00B2638C">
      <w:pPr>
        <w:numPr>
          <w:ilvl w:val="0"/>
          <w:numId w:val="25"/>
        </w:numPr>
      </w:pPr>
      <w:r>
        <w:rPr>
          <w:rFonts w:hint="eastAsia"/>
        </w:rPr>
        <w:t>Endeavour</w:t>
      </w:r>
      <w:r>
        <w:t xml:space="preserve"> Energy is required to meet the minimum reliability standards prescribed in schedule 2 of the NSW licence conditions for electricity distributors.</w:t>
      </w:r>
      <w:r>
        <w:rPr>
          <w:rStyle w:val="FootnoteReference"/>
        </w:rPr>
        <w:footnoteReference w:id="32"/>
      </w:r>
      <w:r>
        <w:t xml:space="preserve">  We noted E</w:t>
      </w:r>
      <w:r>
        <w:rPr>
          <w:rFonts w:hint="eastAsia"/>
        </w:rPr>
        <w:t>ndeavour</w:t>
      </w:r>
      <w:r>
        <w:t xml:space="preserve"> Energy's current performance level is better than these prescribed minimum requirement</w:t>
      </w:r>
      <w:r w:rsidR="00586CB6">
        <w:t>s</w:t>
      </w:r>
      <w:r>
        <w:t xml:space="preserve">. </w:t>
      </w:r>
      <w:r w:rsidRPr="00733C04">
        <w:t xml:space="preserve">The </w:t>
      </w:r>
      <w:r>
        <w:t>NSW licence conditions indicate</w:t>
      </w:r>
      <w:r w:rsidRPr="00733C04">
        <w:t xml:space="preserve"> that</w:t>
      </w:r>
      <w:r>
        <w:t xml:space="preserve"> t</w:t>
      </w:r>
      <w:r w:rsidRPr="00E64211">
        <w:t xml:space="preserve">he </w:t>
      </w:r>
      <w:r>
        <w:t>distributor</w:t>
      </w:r>
      <w:r w:rsidRPr="00E64211">
        <w:t xml:space="preserve"> has </w:t>
      </w:r>
      <w:r w:rsidRPr="00E64211">
        <w:lastRenderedPageBreak/>
        <w:t>discretion to plan its investment for compliance with these licence conditions to suit its individual circumstances</w:t>
      </w:r>
      <w:r>
        <w:t xml:space="preserve"> if it is economically efficient to do so</w:t>
      </w:r>
      <w:r w:rsidRPr="00E64211">
        <w:t>.</w:t>
      </w:r>
      <w:r>
        <w:rPr>
          <w:rStyle w:val="FootnoteReference"/>
        </w:rPr>
        <w:footnoteReference w:id="33"/>
      </w:r>
    </w:p>
    <w:p w:rsidR="00B2638C" w:rsidRDefault="00B2638C" w:rsidP="00B2638C">
      <w:pPr>
        <w:numPr>
          <w:ilvl w:val="0"/>
          <w:numId w:val="25"/>
        </w:numPr>
      </w:pPr>
      <w:r>
        <w:t xml:space="preserve">In the draft decision, we proposed to </w:t>
      </w:r>
      <w:r w:rsidR="000C663F">
        <w:t>forecast</w:t>
      </w:r>
      <w:r w:rsidR="00586CB6">
        <w:t xml:space="preserve"> service performance using</w:t>
      </w:r>
      <w:r>
        <w:t xml:space="preserve"> historical data f</w:t>
      </w:r>
      <w:r w:rsidR="00586CB6">
        <w:t>rom</w:t>
      </w:r>
      <w:r>
        <w:t xml:space="preserve"> the 2009</w:t>
      </w:r>
      <w:r w:rsidRPr="00465BB8">
        <w:t>–</w:t>
      </w:r>
      <w:r w:rsidR="00586CB6">
        <w:t xml:space="preserve">14 regulatory control </w:t>
      </w:r>
      <w:proofErr w:type="gramStart"/>
      <w:r w:rsidR="00586CB6">
        <w:t>period</w:t>
      </w:r>
      <w:proofErr w:type="gramEnd"/>
      <w:r w:rsidR="00586CB6">
        <w:t xml:space="preserve"> and adjust </w:t>
      </w:r>
      <w:r w:rsidRPr="00311027">
        <w:t>the results</w:t>
      </w:r>
      <w:r w:rsidR="000C663F">
        <w:t xml:space="preserve"> for</w:t>
      </w:r>
      <w:r w:rsidRPr="00311027">
        <w:t xml:space="preserve"> completed and planned reliability improvement</w:t>
      </w:r>
      <w:r w:rsidR="000C663F">
        <w:t>s</w:t>
      </w:r>
      <w:r>
        <w:t>. We noted a</w:t>
      </w:r>
      <w:r w:rsidRPr="001134C4">
        <w:t xml:space="preserve"> key driver of </w:t>
      </w:r>
      <w:r>
        <w:t>the E</w:t>
      </w:r>
      <w:r>
        <w:rPr>
          <w:rFonts w:hint="eastAsia"/>
        </w:rPr>
        <w:t>ndeavour</w:t>
      </w:r>
      <w:r>
        <w:t xml:space="preserve"> Energy's </w:t>
      </w:r>
      <w:r w:rsidRPr="001134C4">
        <w:t xml:space="preserve">expenditure in </w:t>
      </w:r>
      <w:r>
        <w:t xml:space="preserve">the 2009–14 regulatory control </w:t>
      </w:r>
      <w:proofErr w:type="gramStart"/>
      <w:r>
        <w:t>period</w:t>
      </w:r>
      <w:proofErr w:type="gramEnd"/>
      <w:r>
        <w:t xml:space="preserve"> </w:t>
      </w:r>
      <w:r w:rsidRPr="001134C4">
        <w:t xml:space="preserve">was to augment </w:t>
      </w:r>
      <w:r w:rsidR="00A432C4">
        <w:t xml:space="preserve">its </w:t>
      </w:r>
      <w:r w:rsidRPr="001134C4">
        <w:t>network</w:t>
      </w:r>
      <w:r>
        <w:t>s</w:t>
      </w:r>
      <w:r w:rsidRPr="001134C4">
        <w:t xml:space="preserve"> to meet the previous </w:t>
      </w:r>
      <w:r>
        <w:t xml:space="preserve">N-1 </w:t>
      </w:r>
      <w:r w:rsidRPr="001134C4">
        <w:t xml:space="preserve">deterministic </w:t>
      </w:r>
      <w:r>
        <w:t>planning standard.</w:t>
      </w:r>
      <w:r w:rsidRPr="003937C2">
        <w:rPr>
          <w:rStyle w:val="FootnoteReference"/>
        </w:rPr>
        <w:t xml:space="preserve"> </w:t>
      </w:r>
      <w:r>
        <w:t xml:space="preserve"> </w:t>
      </w:r>
      <w:r w:rsidR="00C63F52">
        <w:t>Endeavour</w:t>
      </w:r>
      <w:r>
        <w:t xml:space="preserve"> Energy reported it has spent a total of $660 million to improve security and reliability of its network during the 2009–14 regulatory control </w:t>
      </w:r>
      <w:proofErr w:type="gramStart"/>
      <w:r>
        <w:t>period</w:t>
      </w:r>
      <w:proofErr w:type="gramEnd"/>
      <w:r w:rsidR="006A4368">
        <w:t xml:space="preserve"> (the N-1 investment)</w:t>
      </w:r>
      <w:r>
        <w:t>.</w:t>
      </w:r>
      <w:r w:rsidR="00B622AD">
        <w:rPr>
          <w:rStyle w:val="FootnoteReference"/>
        </w:rPr>
        <w:footnoteReference w:id="34"/>
      </w:r>
      <w:r>
        <w:t xml:space="preserve"> </w:t>
      </w:r>
    </w:p>
    <w:p w:rsidR="00B2638C" w:rsidRPr="00075C9E" w:rsidRDefault="00B2638C" w:rsidP="00B2638C">
      <w:r w:rsidRPr="001134C4">
        <w:t xml:space="preserve">The application of our STPIS </w:t>
      </w:r>
      <w:r>
        <w:t xml:space="preserve">from 2015–16 onwards </w:t>
      </w:r>
      <w:r w:rsidRPr="001134C4">
        <w:t>will ensure that</w:t>
      </w:r>
      <w:r w:rsidR="000C663F">
        <w:t xml:space="preserve"> reliability improvements resulting from</w:t>
      </w:r>
      <w:r w:rsidRPr="001134C4">
        <w:t xml:space="preserve"> past capital expenditure are </w:t>
      </w:r>
      <w:r>
        <w:t>retained</w:t>
      </w:r>
      <w:r w:rsidR="000C663F">
        <w:t>. This is important</w:t>
      </w:r>
      <w:r>
        <w:t xml:space="preserve"> </w:t>
      </w:r>
      <w:r w:rsidRPr="001134C4">
        <w:t>because customers are</w:t>
      </w:r>
      <w:r w:rsidR="000C663F">
        <w:t xml:space="preserve"> continuing to pay for this</w:t>
      </w:r>
      <w:r w:rsidRPr="001134C4">
        <w:t xml:space="preserve"> historical investment</w:t>
      </w:r>
      <w:r w:rsidR="000C663F">
        <w:t>.</w:t>
      </w:r>
      <w:r>
        <w:t xml:space="preserve"> In the absence of reliable expenditure data associated with reliability improvement and a robust method that can precisely quantify the impacts of such investment, we considered it is reasonable to examine E</w:t>
      </w:r>
      <w:r>
        <w:rPr>
          <w:rFonts w:hint="eastAsia"/>
        </w:rPr>
        <w:t>ndeavour</w:t>
      </w:r>
      <w:r>
        <w:t xml:space="preserve"> Energy's observed historical reliability performance and modify the performance targets based on the observed trends. As we did not observe </w:t>
      </w:r>
      <w:r w:rsidRPr="00075C9E">
        <w:t xml:space="preserve">any </w:t>
      </w:r>
      <w:r>
        <w:t xml:space="preserve">obvious </w:t>
      </w:r>
      <w:r w:rsidRPr="00075C9E">
        <w:t xml:space="preserve">overall reliability improvement trend from </w:t>
      </w:r>
      <w:r>
        <w:t>E</w:t>
      </w:r>
      <w:r>
        <w:rPr>
          <w:rFonts w:hint="eastAsia"/>
        </w:rPr>
        <w:t>ndeavour</w:t>
      </w:r>
      <w:r>
        <w:t xml:space="preserve"> Energy's past performance, we applied </w:t>
      </w:r>
      <w:proofErr w:type="spellStart"/>
      <w:r>
        <w:t>Ausgrid's</w:t>
      </w:r>
      <w:proofErr w:type="spellEnd"/>
      <w:r>
        <w:t xml:space="preserve"> trend as the benchmark for estimating the potential reliability improvement for E</w:t>
      </w:r>
      <w:r>
        <w:rPr>
          <w:rFonts w:hint="eastAsia"/>
        </w:rPr>
        <w:t>ndeavour</w:t>
      </w:r>
      <w:r>
        <w:t xml:space="preserve"> Energy in the draft decision. We</w:t>
      </w:r>
      <w:r w:rsidRPr="00075C9E">
        <w:t xml:space="preserve"> expect</w:t>
      </w:r>
      <w:r>
        <w:t>ed</w:t>
      </w:r>
      <w:r w:rsidRPr="00075C9E">
        <w:t xml:space="preserve"> </w:t>
      </w:r>
      <w:r>
        <w:t>a similar level of SAIDI and SAIFI improvement by E</w:t>
      </w:r>
      <w:r>
        <w:rPr>
          <w:rFonts w:hint="eastAsia"/>
        </w:rPr>
        <w:t>ndeavour</w:t>
      </w:r>
      <w:r>
        <w:t xml:space="preserve"> Energy, </w:t>
      </w:r>
      <w:r w:rsidRPr="00075C9E">
        <w:t xml:space="preserve">after taking into account their relative past </w:t>
      </w:r>
      <w:r>
        <w:t>investments</w:t>
      </w:r>
      <w:r w:rsidRPr="00075C9E">
        <w:t xml:space="preserve"> and sizes.</w:t>
      </w:r>
      <w:r>
        <w:rPr>
          <w:rStyle w:val="FootnoteReference"/>
        </w:rPr>
        <w:footnoteReference w:id="35"/>
      </w:r>
      <w:r w:rsidRPr="00075C9E">
        <w:t xml:space="preserve"> </w:t>
      </w:r>
    </w:p>
    <w:p w:rsidR="00B2638C" w:rsidRDefault="00B2638C" w:rsidP="00B2638C">
      <w:pPr>
        <w:pStyle w:val="ListParagraph"/>
        <w:numPr>
          <w:ilvl w:val="0"/>
          <w:numId w:val="25"/>
        </w:numPr>
      </w:pPr>
      <w:r>
        <w:t>The Consumer Challenge Panel (CCP) and the EUAA agreed with our approach of setting the improved performance targets. They consider these adjustments are reasonable and will enable the benefits of the reliability improvement resulting from past capital expenditures to be retained.</w:t>
      </w:r>
      <w:r>
        <w:rPr>
          <w:rStyle w:val="FootnoteReference"/>
        </w:rPr>
        <w:footnoteReference w:id="36"/>
      </w:r>
    </w:p>
    <w:p w:rsidR="00B2638C" w:rsidRDefault="00895A82" w:rsidP="00B2638C">
      <w:r>
        <w:t xml:space="preserve">As detailed in section </w:t>
      </w:r>
      <w:r>
        <w:fldChar w:fldCharType="begin"/>
      </w:r>
      <w:r>
        <w:instrText xml:space="preserve"> REF _Ref416187835 \r \h </w:instrText>
      </w:r>
      <w:r>
        <w:fldChar w:fldCharType="separate"/>
      </w:r>
      <w:r w:rsidR="0094460E">
        <w:t>11.2</w:t>
      </w:r>
      <w:r>
        <w:fldChar w:fldCharType="end"/>
      </w:r>
      <w:r>
        <w:t xml:space="preserve">, </w:t>
      </w:r>
      <w:r w:rsidR="00B2638C">
        <w:t>E</w:t>
      </w:r>
      <w:r w:rsidR="00B2638C">
        <w:rPr>
          <w:rFonts w:hint="eastAsia"/>
        </w:rPr>
        <w:t>ndeavour</w:t>
      </w:r>
      <w:r w:rsidR="00B2638C">
        <w:t xml:space="preserve"> Energy rejected our draft decision to set its performance targets on trend data observed from </w:t>
      </w:r>
      <w:proofErr w:type="spellStart"/>
      <w:r w:rsidR="00B2638C">
        <w:t>Ausgrid's</w:t>
      </w:r>
      <w:proofErr w:type="spellEnd"/>
      <w:r w:rsidR="00B2638C">
        <w:t xml:space="preserve"> historical performance</w:t>
      </w:r>
      <w:r w:rsidRPr="00895A82">
        <w:t xml:space="preserve"> </w:t>
      </w:r>
      <w:r>
        <w:t>in its revised proposal</w:t>
      </w:r>
      <w:r w:rsidR="00B2638C">
        <w:t xml:space="preserve">. It noted our proposed adjustment based on </w:t>
      </w:r>
      <w:proofErr w:type="spellStart"/>
      <w:r w:rsidR="00B2638C">
        <w:t>Ausgrid's</w:t>
      </w:r>
      <w:proofErr w:type="spellEnd"/>
      <w:r w:rsidR="00B2638C">
        <w:t xml:space="preserve"> trend in the draft decision fails to recognise:</w:t>
      </w:r>
      <w:r w:rsidR="00B2638C">
        <w:rPr>
          <w:rStyle w:val="FootnoteReference"/>
        </w:rPr>
        <w:footnoteReference w:id="37"/>
      </w:r>
    </w:p>
    <w:p w:rsidR="00B2638C" w:rsidRPr="00074FCE" w:rsidRDefault="006B35D8" w:rsidP="00B2638C">
      <w:pPr>
        <w:pStyle w:val="AERbulletlistfirststyle"/>
      </w:pPr>
      <w:r>
        <w:t>the</w:t>
      </w:r>
      <w:r w:rsidR="00895A82">
        <w:t xml:space="preserve"> </w:t>
      </w:r>
      <w:r w:rsidR="00B2638C">
        <w:t>d</w:t>
      </w:r>
      <w:r w:rsidR="00B2638C" w:rsidRPr="00074FCE">
        <w:t xml:space="preserve">ifference in network type and exposure between Endeavour </w:t>
      </w:r>
      <w:r w:rsidR="00B2638C">
        <w:t xml:space="preserve">Energy </w:t>
      </w:r>
      <w:r w:rsidR="00B2638C" w:rsidRPr="00074FCE">
        <w:t xml:space="preserve">and </w:t>
      </w:r>
      <w:proofErr w:type="spellStart"/>
      <w:r w:rsidR="00B2638C" w:rsidRPr="00074FCE">
        <w:t>Ausgrid</w:t>
      </w:r>
      <w:proofErr w:type="spellEnd"/>
      <w:r w:rsidR="00B2638C" w:rsidRPr="00074FCE">
        <w:t xml:space="preserve"> </w:t>
      </w:r>
      <w:r w:rsidR="00B2638C" w:rsidRPr="00074FCE">
        <w:softHyphen/>
      </w:r>
      <w:r w:rsidR="00895A82">
        <w:t xml:space="preserve"> </w:t>
      </w:r>
    </w:p>
    <w:p w:rsidR="00B2638C" w:rsidRPr="00074FCE" w:rsidRDefault="00E15FD8" w:rsidP="00B2638C">
      <w:pPr>
        <w:pStyle w:val="AERbulletlistfirststyle"/>
      </w:pPr>
      <w:r>
        <w:t xml:space="preserve">the </w:t>
      </w:r>
      <w:r w:rsidR="00B2638C">
        <w:t>c</w:t>
      </w:r>
      <w:r w:rsidR="00B2638C" w:rsidRPr="00074FCE">
        <w:t>apital investment difference in the previous period</w:t>
      </w:r>
    </w:p>
    <w:p w:rsidR="00895A82" w:rsidRDefault="00895A82" w:rsidP="00DE4491">
      <w:pPr>
        <w:pStyle w:val="AERbulletlistfirststyle"/>
      </w:pPr>
      <w:proofErr w:type="gramStart"/>
      <w:r>
        <w:lastRenderedPageBreak/>
        <w:t>the</w:t>
      </w:r>
      <w:proofErr w:type="gramEnd"/>
      <w:r>
        <w:t xml:space="preserve"> difference in </w:t>
      </w:r>
      <w:r w:rsidRPr="0035399E">
        <w:t>investment</w:t>
      </w:r>
      <w:r>
        <w:t xml:space="preserve"> approach––</w:t>
      </w:r>
      <w:r w:rsidR="00E15FD8">
        <w:t>that</w:t>
      </w:r>
      <w:r w:rsidR="00B2638C" w:rsidRPr="00B2638C">
        <w:t xml:space="preserve"> 11kV and 22kV distribution network contribute to 80 per cent of overall network SAIDI and SAIFI. Its previous period capex related to addressing Schedule 1 (N-1) capacity constraints at the sub-transmission level and reliability was not a specific focus of its previous capex.</w:t>
      </w:r>
      <w:r w:rsidR="00B2638C" w:rsidRPr="00B2638C">
        <w:rPr>
          <w:rStyle w:val="FootnoteReference"/>
        </w:rPr>
        <w:footnoteReference w:id="38"/>
      </w:r>
      <w:r w:rsidR="00B2638C" w:rsidRPr="00B2638C">
        <w:t xml:space="preserve"> </w:t>
      </w:r>
      <w:r w:rsidR="00B2638C" w:rsidRPr="00B2638C">
        <w:rPr>
          <w:rFonts w:hint="eastAsia"/>
        </w:rPr>
        <w:t xml:space="preserve"> </w:t>
      </w:r>
    </w:p>
    <w:p w:rsidR="00B2638C" w:rsidRPr="00B2638C" w:rsidRDefault="00B2638C" w:rsidP="00DE4491">
      <w:r w:rsidRPr="00B2638C">
        <w:rPr>
          <w:rFonts w:hint="eastAsia"/>
        </w:rPr>
        <w:t xml:space="preserve">It </w:t>
      </w:r>
      <w:r w:rsidRPr="00B2638C">
        <w:t>proposed to set the performance targets for reliability of supply component based on the average of last five years.</w:t>
      </w:r>
      <w:r w:rsidRPr="00B2638C">
        <w:rPr>
          <w:rStyle w:val="FootnoteReference"/>
        </w:rPr>
        <w:footnoteReference w:id="39"/>
      </w:r>
      <w:r w:rsidRPr="00B2638C">
        <w:t xml:space="preserve"> </w:t>
      </w:r>
    </w:p>
    <w:p w:rsidR="00242685" w:rsidRDefault="00242685" w:rsidP="00B2638C">
      <w:r>
        <w:t>W</w:t>
      </w:r>
      <w:r w:rsidR="00B2638C">
        <w:t xml:space="preserve">e accept that there are differences between the </w:t>
      </w:r>
      <w:proofErr w:type="spellStart"/>
      <w:r w:rsidR="00B2638C">
        <w:t>Ausgrid's</w:t>
      </w:r>
      <w:proofErr w:type="spellEnd"/>
      <w:r w:rsidR="00B2638C">
        <w:t xml:space="preserve"> and E</w:t>
      </w:r>
      <w:r w:rsidR="00B2638C">
        <w:rPr>
          <w:rFonts w:hint="eastAsia"/>
        </w:rPr>
        <w:t>ndeavour Energy</w:t>
      </w:r>
      <w:r w:rsidR="00B2638C">
        <w:t>’s network</w:t>
      </w:r>
      <w:r w:rsidR="009B0655">
        <w:t>.</w:t>
      </w:r>
      <w:r w:rsidR="00B2638C">
        <w:t xml:space="preserve"> </w:t>
      </w:r>
      <w:r>
        <w:t xml:space="preserve">Hence, we agree that setting Endeavour Energy's performance targets based on </w:t>
      </w:r>
      <w:proofErr w:type="spellStart"/>
      <w:r>
        <w:t>Ausgrid's</w:t>
      </w:r>
      <w:proofErr w:type="spellEnd"/>
      <w:r>
        <w:t xml:space="preserve"> result may not be appropriate.</w:t>
      </w:r>
    </w:p>
    <w:p w:rsidR="00514060" w:rsidRDefault="00242685" w:rsidP="00DE4491">
      <w:r>
        <w:t xml:space="preserve">In our final decisions, we have set the performance targets for </w:t>
      </w:r>
      <w:proofErr w:type="spellStart"/>
      <w:r>
        <w:t>Ausgrid</w:t>
      </w:r>
      <w:proofErr w:type="spellEnd"/>
      <w:r>
        <w:t xml:space="preserve"> and Essential Energy based on </w:t>
      </w:r>
      <w:r w:rsidR="00E43AB3">
        <w:t>their</w:t>
      </w:r>
      <w:r>
        <w:t xml:space="preserve"> actual </w:t>
      </w:r>
      <w:r w:rsidR="00E43AB3">
        <w:t>improvement</w:t>
      </w:r>
      <w:r>
        <w:t xml:space="preserve"> trends. We consider that we should apply a consistent approach for all NSW distributors.</w:t>
      </w:r>
      <w:r w:rsidR="00867D9A">
        <w:t xml:space="preserve"> </w:t>
      </w:r>
      <w:r w:rsidR="00E43AB3">
        <w:t>However,</w:t>
      </w:r>
      <w:r w:rsidR="00B2638C" w:rsidRPr="00EB2F3F">
        <w:t xml:space="preserve"> </w:t>
      </w:r>
      <w:r w:rsidR="00B2638C">
        <w:t xml:space="preserve">we have </w:t>
      </w:r>
      <w:r w:rsidR="00B2638C">
        <w:rPr>
          <w:rFonts w:hint="eastAsia"/>
        </w:rPr>
        <w:t xml:space="preserve">not </w:t>
      </w:r>
      <w:r w:rsidR="00B2638C">
        <w:t>observed an</w:t>
      </w:r>
      <w:r w:rsidR="00F02843">
        <w:t>y</w:t>
      </w:r>
      <w:r w:rsidR="00B2638C">
        <w:t xml:space="preserve"> improvement trend w</w:t>
      </w:r>
      <w:r w:rsidR="00B2638C" w:rsidRPr="00EB2F3F">
        <w:t xml:space="preserve">ith </w:t>
      </w:r>
      <w:r w:rsidR="00B2638C">
        <w:t>E</w:t>
      </w:r>
      <w:r w:rsidR="00B2638C">
        <w:rPr>
          <w:rFonts w:hint="eastAsia"/>
        </w:rPr>
        <w:t>ndeavour</w:t>
      </w:r>
      <w:r w:rsidR="00B2638C">
        <w:t xml:space="preserve"> Energy's</w:t>
      </w:r>
      <w:r w:rsidR="00B2638C" w:rsidRPr="00EB2F3F">
        <w:t xml:space="preserve"> </w:t>
      </w:r>
      <w:r w:rsidR="00B2638C">
        <w:rPr>
          <w:rFonts w:hint="eastAsia"/>
        </w:rPr>
        <w:t xml:space="preserve">historical </w:t>
      </w:r>
      <w:proofErr w:type="gramStart"/>
      <w:r w:rsidR="00B2638C" w:rsidRPr="00EB2F3F">
        <w:t>data</w:t>
      </w:r>
      <w:r w:rsidR="00B2638C">
        <w:rPr>
          <w:rFonts w:hint="eastAsia"/>
        </w:rPr>
        <w:t>,</w:t>
      </w:r>
      <w:proofErr w:type="gramEnd"/>
      <w:r w:rsidR="00B2638C">
        <w:rPr>
          <w:rFonts w:hint="eastAsia"/>
        </w:rPr>
        <w:t xml:space="preserve"> </w:t>
      </w:r>
      <w:r w:rsidR="00B2638C">
        <w:t>despite its historical N-1 investment to increasing supply security and network capacity</w:t>
      </w:r>
      <w:r w:rsidR="008E41D4">
        <w:t xml:space="preserve"> (see </w:t>
      </w:r>
      <w:r w:rsidR="00632E46">
        <w:fldChar w:fldCharType="begin"/>
      </w:r>
      <w:r w:rsidR="00632E46">
        <w:instrText xml:space="preserve"> REF _Ref415725806 \h </w:instrText>
      </w:r>
      <w:r w:rsidR="00632E46">
        <w:fldChar w:fldCharType="separate"/>
      </w:r>
      <w:r w:rsidR="0094460E">
        <w:t xml:space="preserve">Figure </w:t>
      </w:r>
      <w:r w:rsidR="0094460E">
        <w:rPr>
          <w:noProof/>
        </w:rPr>
        <w:t>11</w:t>
      </w:r>
      <w:r w:rsidR="0094460E">
        <w:noBreakHyphen/>
      </w:r>
      <w:r w:rsidR="0094460E">
        <w:rPr>
          <w:noProof/>
        </w:rPr>
        <w:t>1</w:t>
      </w:r>
      <w:r w:rsidR="00632E46">
        <w:fldChar w:fldCharType="end"/>
      </w:r>
      <w:r w:rsidR="008E41D4">
        <w:t>)</w:t>
      </w:r>
      <w:r w:rsidR="00B2638C">
        <w:t xml:space="preserve">. </w:t>
      </w:r>
    </w:p>
    <w:p w:rsidR="00514060" w:rsidRPr="00733CA8" w:rsidRDefault="00514060" w:rsidP="00514060">
      <w:pPr>
        <w:pStyle w:val="Caption"/>
      </w:pPr>
      <w:bookmarkStart w:id="36" w:name="_Ref415725806"/>
      <w:r>
        <w:t xml:space="preserve">Figure </w:t>
      </w:r>
      <w:r w:rsidR="00164ADF">
        <w:fldChar w:fldCharType="begin"/>
      </w:r>
      <w:r w:rsidR="00164ADF">
        <w:instrText xml:space="preserve"> STYLEREF 1 \s </w:instrText>
      </w:r>
      <w:r w:rsidR="00164ADF">
        <w:fldChar w:fldCharType="separate"/>
      </w:r>
      <w:r w:rsidR="0094460E">
        <w:rPr>
          <w:noProof/>
        </w:rPr>
        <w:t>11</w:t>
      </w:r>
      <w:r w:rsidR="00164ADF">
        <w:rPr>
          <w:noProof/>
        </w:rPr>
        <w:fldChar w:fldCharType="end"/>
      </w:r>
      <w:r>
        <w:noBreakHyphen/>
      </w:r>
      <w:r w:rsidR="00164ADF">
        <w:fldChar w:fldCharType="begin"/>
      </w:r>
      <w:r w:rsidR="00164ADF">
        <w:instrText xml:space="preserve"> SEQ Figure \* ARABIC \s 1 </w:instrText>
      </w:r>
      <w:r w:rsidR="00164ADF">
        <w:fldChar w:fldCharType="separate"/>
      </w:r>
      <w:r w:rsidR="0094460E">
        <w:rPr>
          <w:noProof/>
        </w:rPr>
        <w:t>1</w:t>
      </w:r>
      <w:r w:rsidR="00164ADF">
        <w:rPr>
          <w:noProof/>
        </w:rPr>
        <w:fldChar w:fldCharType="end"/>
      </w:r>
      <w:bookmarkEnd w:id="36"/>
      <w:r>
        <w:tab/>
      </w:r>
      <w:r>
        <w:tab/>
        <w:t xml:space="preserve">Historical network overall SAIDI </w:t>
      </w:r>
      <w:r w:rsidR="00C14594">
        <w:rPr>
          <w:rFonts w:hint="eastAsia"/>
        </w:rPr>
        <w:t xml:space="preserve">and SAIFI </w:t>
      </w:r>
      <w:r>
        <w:t>trend of Endeavour Energy</w:t>
      </w:r>
    </w:p>
    <w:p w:rsidR="00514060" w:rsidRDefault="00C14594" w:rsidP="00DE4491">
      <w:r w:rsidRPr="00C14594">
        <w:rPr>
          <w:noProof/>
          <w:lang w:eastAsia="en-AU"/>
        </w:rPr>
        <w:drawing>
          <wp:inline distT="0" distB="0" distL="0" distR="0" wp14:anchorId="2CA222EE" wp14:editId="6322CE6A">
            <wp:extent cx="5379194" cy="3288522"/>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81336" cy="3289831"/>
                    </a:xfrm>
                    <a:prstGeom prst="rect">
                      <a:avLst/>
                    </a:prstGeom>
                    <a:noFill/>
                    <a:ln>
                      <a:noFill/>
                    </a:ln>
                  </pic:spPr>
                </pic:pic>
              </a:graphicData>
            </a:graphic>
          </wp:inline>
        </w:drawing>
      </w:r>
      <w:r w:rsidRPr="00C14594" w:rsidDel="00C14594">
        <w:t xml:space="preserve"> </w:t>
      </w:r>
    </w:p>
    <w:p w:rsidR="00514060" w:rsidRDefault="00514060" w:rsidP="00514060">
      <w:pPr>
        <w:pStyle w:val="AERtablesource"/>
      </w:pPr>
      <w:r>
        <w:t xml:space="preserve">Source: </w:t>
      </w:r>
      <w:r>
        <w:tab/>
      </w:r>
      <w:r w:rsidR="00C14594">
        <w:rPr>
          <w:rFonts w:hint="eastAsia"/>
        </w:rPr>
        <w:t>AER analysis</w:t>
      </w:r>
    </w:p>
    <w:p w:rsidR="00B2638C" w:rsidRPr="00DE4491" w:rsidRDefault="00B2638C" w:rsidP="00DE4491">
      <w:r w:rsidRPr="00DE4491">
        <w:t>There are many factors that contribute to the reliability</w:t>
      </w:r>
      <w:r w:rsidR="00F02843" w:rsidRPr="00DE4491">
        <w:t xml:space="preserve"> of supply</w:t>
      </w:r>
      <w:r w:rsidRPr="00DE4491">
        <w:t xml:space="preserve"> performance outcomes. The fact that Endeavour Energy’s performance indicators did not show an </w:t>
      </w:r>
      <w:r w:rsidRPr="00DE4491">
        <w:lastRenderedPageBreak/>
        <w:t>improvement trend in recent years suggest that</w:t>
      </w:r>
      <w:r w:rsidR="00EC0872">
        <w:t>—</w:t>
      </w:r>
      <w:r w:rsidRPr="00DE4491">
        <w:t>in combination with other factors</w:t>
      </w:r>
      <w:r w:rsidR="00EC0872">
        <w:t>—</w:t>
      </w:r>
      <w:r w:rsidR="009B0655" w:rsidRPr="00DE4491">
        <w:t>its</w:t>
      </w:r>
      <w:r w:rsidRPr="00DE4491">
        <w:t xml:space="preserve"> historical N-1 investments in supply security had no or minimal direct impact that resulted in observable reliability improvement. </w:t>
      </w:r>
      <w:r w:rsidR="00A309DD" w:rsidRPr="00DE4491">
        <w:t xml:space="preserve">This observation supports Endeavour Energy’s revised submission that its historical N-1 investment did not have the same focus as that of </w:t>
      </w:r>
      <w:proofErr w:type="spellStart"/>
      <w:r w:rsidR="00A309DD" w:rsidRPr="00DE4491">
        <w:t>Ausgrid</w:t>
      </w:r>
      <w:proofErr w:type="spellEnd"/>
      <w:r w:rsidR="00A309DD" w:rsidRPr="00DE4491">
        <w:t xml:space="preserve">. </w:t>
      </w:r>
      <w:r w:rsidRPr="00DE4491">
        <w:t xml:space="preserve">In this sense, we are unable to determine an adjustment to reliability performance as a result of this previous N-1 spending with any level of accuracy. </w:t>
      </w:r>
    </w:p>
    <w:p w:rsidR="00B2638C" w:rsidRPr="00DE4491" w:rsidRDefault="00B2638C" w:rsidP="00DE4491">
      <w:r w:rsidRPr="00DE4491">
        <w:rPr>
          <w:rFonts w:hint="eastAsia"/>
        </w:rPr>
        <w:t>I</w:t>
      </w:r>
      <w:r w:rsidRPr="00DE4491">
        <w:t xml:space="preserve">n absence of a robust method to </w:t>
      </w:r>
      <w:r w:rsidR="00B927B1" w:rsidRPr="00DE4491">
        <w:t xml:space="preserve">more </w:t>
      </w:r>
      <w:r w:rsidRPr="00DE4491">
        <w:t xml:space="preserve">precisely quantify the impact of the previous N-1 expenditure on reliability improvements, </w:t>
      </w:r>
      <w:r w:rsidRPr="00DE4491">
        <w:rPr>
          <w:rFonts w:hint="eastAsia"/>
        </w:rPr>
        <w:t>we accept</w:t>
      </w:r>
      <w:r w:rsidRPr="00DE4491">
        <w:t xml:space="preserve"> Endeavour Energy’s </w:t>
      </w:r>
      <w:r w:rsidRPr="00DE4491">
        <w:rPr>
          <w:rFonts w:hint="eastAsia"/>
        </w:rPr>
        <w:t xml:space="preserve">revised proposal to set the </w:t>
      </w:r>
      <w:r w:rsidRPr="00DE4491">
        <w:t xml:space="preserve">performance targets </w:t>
      </w:r>
      <w:r w:rsidRPr="00DE4491">
        <w:rPr>
          <w:rFonts w:hint="eastAsia"/>
        </w:rPr>
        <w:t xml:space="preserve">based on </w:t>
      </w:r>
      <w:r w:rsidRPr="00DE4491">
        <w:t xml:space="preserve">the average of the past 5 years without further adjustments. We have revised our analysis and </w:t>
      </w:r>
      <w:r w:rsidRPr="00DE4491">
        <w:fldChar w:fldCharType="begin"/>
      </w:r>
      <w:r w:rsidRPr="00DE4491">
        <w:instrText xml:space="preserve"> REF _Ref401739637 \h </w:instrText>
      </w:r>
      <w:r w:rsidR="00DE4491">
        <w:instrText xml:space="preserve"> \* MERGEFORMAT </w:instrText>
      </w:r>
      <w:r w:rsidRPr="00DE4491">
        <w:fldChar w:fldCharType="separate"/>
      </w:r>
      <w:r w:rsidR="0094460E">
        <w:t>Table 11</w:t>
      </w:r>
      <w:r w:rsidR="0094460E" w:rsidRPr="00465BB8">
        <w:t>-</w:t>
      </w:r>
      <w:r w:rsidR="0094460E">
        <w:t>4</w:t>
      </w:r>
      <w:r w:rsidRPr="00DE4491">
        <w:fldChar w:fldCharType="end"/>
      </w:r>
      <w:r w:rsidRPr="00DE4491">
        <w:t xml:space="preserve"> sets out our proposed unplanned SAIDI and SAIFI targets for E</w:t>
      </w:r>
      <w:r w:rsidRPr="00DE4491">
        <w:rPr>
          <w:rFonts w:hint="eastAsia"/>
        </w:rPr>
        <w:t>ndeavour</w:t>
      </w:r>
      <w:r w:rsidRPr="00DE4491">
        <w:t xml:space="preserve"> Energy.  </w:t>
      </w:r>
    </w:p>
    <w:p w:rsidR="00B2638C" w:rsidRDefault="00B2638C" w:rsidP="00B2638C">
      <w:pPr>
        <w:pStyle w:val="Caption"/>
      </w:pPr>
      <w:bookmarkStart w:id="37" w:name="_Ref400728975"/>
      <w:bookmarkStart w:id="38" w:name="_Ref401739637"/>
      <w:r>
        <w:t xml:space="preserve">Table </w:t>
      </w:r>
      <w:r w:rsidRPr="00465BB8">
        <w:fldChar w:fldCharType="begin"/>
      </w:r>
      <w:r>
        <w:instrText xml:space="preserve"> STYLEREF 1 \s </w:instrText>
      </w:r>
      <w:r w:rsidRPr="00465BB8">
        <w:fldChar w:fldCharType="separate"/>
      </w:r>
      <w:r w:rsidR="0094460E">
        <w:rPr>
          <w:noProof/>
        </w:rPr>
        <w:t>11</w:t>
      </w:r>
      <w:r w:rsidRPr="00465BB8">
        <w:fldChar w:fldCharType="end"/>
      </w:r>
      <w:r w:rsidRPr="00465BB8">
        <w:t>-</w:t>
      </w:r>
      <w:r w:rsidRPr="00465BB8">
        <w:fldChar w:fldCharType="begin"/>
      </w:r>
      <w:r>
        <w:instrText xml:space="preserve"> SEQ Table \* ARABIC \s 1 </w:instrText>
      </w:r>
      <w:r w:rsidRPr="00465BB8">
        <w:fldChar w:fldCharType="separate"/>
      </w:r>
      <w:r w:rsidR="0094460E">
        <w:rPr>
          <w:noProof/>
        </w:rPr>
        <w:t>4</w:t>
      </w:r>
      <w:r w:rsidRPr="00465BB8">
        <w:fldChar w:fldCharType="end"/>
      </w:r>
      <w:bookmarkEnd w:id="37"/>
      <w:bookmarkEnd w:id="38"/>
      <w:r>
        <w:tab/>
        <w:t xml:space="preserve">Performance targets for </w:t>
      </w:r>
      <w:r w:rsidR="00C63F52">
        <w:t>Endeavour</w:t>
      </w:r>
      <w:r>
        <w:t xml:space="preserve"> Energy's reliability of supply component</w:t>
      </w:r>
    </w:p>
    <w:tbl>
      <w:tblPr>
        <w:tblStyle w:val="AERtable-numbers"/>
        <w:tblW w:w="5000" w:type="pct"/>
        <w:tblLook w:val="04A0" w:firstRow="1" w:lastRow="0" w:firstColumn="1" w:lastColumn="0" w:noHBand="0" w:noVBand="1"/>
      </w:tblPr>
      <w:tblGrid>
        <w:gridCol w:w="2078"/>
        <w:gridCol w:w="2205"/>
        <w:gridCol w:w="2205"/>
        <w:gridCol w:w="2205"/>
      </w:tblGrid>
      <w:tr w:rsidR="00B2638C" w:rsidTr="002838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5" w:type="pct"/>
          </w:tcPr>
          <w:p w:rsidR="00B2638C" w:rsidRDefault="00B2638C" w:rsidP="00B2638C">
            <w:pPr>
              <w:numPr>
                <w:ilvl w:val="0"/>
                <w:numId w:val="25"/>
              </w:numPr>
            </w:pPr>
          </w:p>
        </w:tc>
        <w:tc>
          <w:tcPr>
            <w:tcW w:w="1268" w:type="pct"/>
          </w:tcPr>
          <w:p w:rsidR="00B2638C" w:rsidRDefault="00B2638C" w:rsidP="00B2638C">
            <w:pPr>
              <w:numPr>
                <w:ilvl w:val="0"/>
                <w:numId w:val="25"/>
              </w:numPr>
              <w:cnfStyle w:val="100000000000" w:firstRow="1" w:lastRow="0" w:firstColumn="0" w:lastColumn="0" w:oddVBand="0" w:evenVBand="0" w:oddHBand="0" w:evenHBand="0" w:firstRowFirstColumn="0" w:firstRowLastColumn="0" w:lastRowFirstColumn="0" w:lastRowLastColumn="0"/>
            </w:pPr>
            <w:r w:rsidRPr="00F8239E">
              <w:t>Performance target based on five year average</w:t>
            </w:r>
          </w:p>
        </w:tc>
        <w:tc>
          <w:tcPr>
            <w:tcW w:w="1268" w:type="pct"/>
          </w:tcPr>
          <w:p w:rsidR="00B2638C" w:rsidRDefault="00B2638C" w:rsidP="00B2638C">
            <w:pPr>
              <w:numPr>
                <w:ilvl w:val="0"/>
                <w:numId w:val="25"/>
              </w:numPr>
              <w:cnfStyle w:val="100000000000" w:firstRow="1" w:lastRow="0" w:firstColumn="0" w:lastColumn="0" w:oddVBand="0" w:evenVBand="0" w:oddHBand="0" w:evenHBand="0" w:firstRowFirstColumn="0" w:firstRowLastColumn="0" w:lastRowFirstColumn="0" w:lastRowLastColumn="0"/>
            </w:pPr>
            <w:r>
              <w:t>Our proposed performance target</w:t>
            </w:r>
          </w:p>
        </w:tc>
        <w:tc>
          <w:tcPr>
            <w:tcW w:w="1268" w:type="pct"/>
          </w:tcPr>
          <w:p w:rsidR="00B2638C" w:rsidRDefault="00B2638C" w:rsidP="00B2638C">
            <w:pPr>
              <w:numPr>
                <w:ilvl w:val="0"/>
                <w:numId w:val="25"/>
              </w:numPr>
              <w:cnfStyle w:val="100000000000" w:firstRow="1" w:lastRow="0" w:firstColumn="0" w:lastColumn="0" w:oddVBand="0" w:evenVBand="0" w:oddHBand="0" w:evenHBand="0" w:firstRowFirstColumn="0" w:firstRowLastColumn="0" w:lastRowFirstColumn="0" w:lastRowLastColumn="0"/>
            </w:pPr>
            <w:r>
              <w:t>Difference (%)</w:t>
            </w:r>
          </w:p>
        </w:tc>
      </w:tr>
      <w:tr w:rsidR="00B2638C" w:rsidTr="002838BC">
        <w:tc>
          <w:tcPr>
            <w:cnfStyle w:val="001000000000" w:firstRow="0" w:lastRow="0" w:firstColumn="1" w:lastColumn="0" w:oddVBand="0" w:evenVBand="0" w:oddHBand="0" w:evenHBand="0" w:firstRowFirstColumn="0" w:firstRowLastColumn="0" w:lastRowFirstColumn="0" w:lastRowLastColumn="0"/>
            <w:tcW w:w="1195" w:type="pct"/>
          </w:tcPr>
          <w:p w:rsidR="00B2638C" w:rsidRPr="00CE0EF5" w:rsidRDefault="00B2638C" w:rsidP="00B2638C">
            <w:pPr>
              <w:numPr>
                <w:ilvl w:val="0"/>
                <w:numId w:val="25"/>
              </w:numPr>
              <w:rPr>
                <w:rStyle w:val="Strong"/>
              </w:rPr>
            </w:pPr>
            <w:r w:rsidRPr="00CE0EF5">
              <w:rPr>
                <w:rStyle w:val="Strong"/>
              </w:rPr>
              <w:t>Unplanned SAIDI</w:t>
            </w:r>
          </w:p>
        </w:tc>
        <w:tc>
          <w:tcPr>
            <w:tcW w:w="1268" w:type="pct"/>
          </w:tcPr>
          <w:p w:rsidR="00B2638C" w:rsidRDefault="00B2638C" w:rsidP="00B2638C">
            <w:pPr>
              <w:numPr>
                <w:ilvl w:val="0"/>
                <w:numId w:val="25"/>
              </w:numPr>
              <w:cnfStyle w:val="000000000000" w:firstRow="0" w:lastRow="0" w:firstColumn="0" w:lastColumn="0" w:oddVBand="0" w:evenVBand="0" w:oddHBand="0" w:evenHBand="0" w:firstRowFirstColumn="0" w:firstRowLastColumn="0" w:lastRowFirstColumn="0" w:lastRowLastColumn="0"/>
            </w:pPr>
          </w:p>
        </w:tc>
        <w:tc>
          <w:tcPr>
            <w:tcW w:w="1268" w:type="pct"/>
          </w:tcPr>
          <w:p w:rsidR="00B2638C" w:rsidRDefault="00B2638C" w:rsidP="00B2638C">
            <w:pPr>
              <w:numPr>
                <w:ilvl w:val="0"/>
                <w:numId w:val="25"/>
              </w:numPr>
              <w:cnfStyle w:val="000000000000" w:firstRow="0" w:lastRow="0" w:firstColumn="0" w:lastColumn="0" w:oddVBand="0" w:evenVBand="0" w:oddHBand="0" w:evenHBand="0" w:firstRowFirstColumn="0" w:firstRowLastColumn="0" w:lastRowFirstColumn="0" w:lastRowLastColumn="0"/>
            </w:pPr>
          </w:p>
        </w:tc>
        <w:tc>
          <w:tcPr>
            <w:tcW w:w="1268" w:type="pct"/>
          </w:tcPr>
          <w:p w:rsidR="00B2638C" w:rsidRDefault="00B2638C" w:rsidP="00B2638C">
            <w:pPr>
              <w:numPr>
                <w:ilvl w:val="0"/>
                <w:numId w:val="25"/>
              </w:numPr>
              <w:cnfStyle w:val="000000000000" w:firstRow="0" w:lastRow="0" w:firstColumn="0" w:lastColumn="0" w:oddVBand="0" w:evenVBand="0" w:oddHBand="0" w:evenHBand="0" w:firstRowFirstColumn="0" w:firstRowLastColumn="0" w:lastRowFirstColumn="0" w:lastRowLastColumn="0"/>
            </w:pPr>
          </w:p>
        </w:tc>
      </w:tr>
      <w:tr w:rsidR="00035DDA" w:rsidTr="002838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5" w:type="pct"/>
          </w:tcPr>
          <w:p w:rsidR="00035DDA" w:rsidRDefault="00035DDA" w:rsidP="00035DDA">
            <w:pPr>
              <w:numPr>
                <w:ilvl w:val="0"/>
                <w:numId w:val="25"/>
              </w:numPr>
            </w:pPr>
            <w:r>
              <w:t>Urban</w:t>
            </w:r>
          </w:p>
        </w:tc>
        <w:tc>
          <w:tcPr>
            <w:tcW w:w="1268" w:type="pct"/>
          </w:tcPr>
          <w:p w:rsidR="00035DDA" w:rsidRDefault="00035DDA" w:rsidP="00C14594">
            <w:pPr>
              <w:numPr>
                <w:ilvl w:val="0"/>
                <w:numId w:val="25"/>
              </w:numPr>
              <w:cnfStyle w:val="000000010000" w:firstRow="0" w:lastRow="0" w:firstColumn="0" w:lastColumn="0" w:oddVBand="0" w:evenVBand="0" w:oddHBand="0" w:evenHBand="1" w:firstRowFirstColumn="0" w:firstRowLastColumn="0" w:lastRowFirstColumn="0" w:lastRowLastColumn="0"/>
            </w:pPr>
            <w:r>
              <w:t>60.</w:t>
            </w:r>
            <w:r w:rsidR="00C14594">
              <w:rPr>
                <w:rFonts w:hint="eastAsia"/>
              </w:rPr>
              <w:t>33</w:t>
            </w:r>
          </w:p>
        </w:tc>
        <w:tc>
          <w:tcPr>
            <w:tcW w:w="1268" w:type="pct"/>
          </w:tcPr>
          <w:p w:rsidR="00035DDA" w:rsidRDefault="00035DDA" w:rsidP="00C14594">
            <w:pPr>
              <w:numPr>
                <w:ilvl w:val="0"/>
                <w:numId w:val="25"/>
              </w:numPr>
              <w:cnfStyle w:val="000000010000" w:firstRow="0" w:lastRow="0" w:firstColumn="0" w:lastColumn="0" w:oddVBand="0" w:evenVBand="0" w:oddHBand="0" w:evenHBand="1" w:firstRowFirstColumn="0" w:firstRowLastColumn="0" w:lastRowFirstColumn="0" w:lastRowLastColumn="0"/>
            </w:pPr>
            <w:r>
              <w:t>60.</w:t>
            </w:r>
            <w:r w:rsidR="00C14594">
              <w:rPr>
                <w:rFonts w:hint="eastAsia"/>
              </w:rPr>
              <w:t>33</w:t>
            </w:r>
          </w:p>
        </w:tc>
        <w:tc>
          <w:tcPr>
            <w:tcW w:w="1268" w:type="pct"/>
          </w:tcPr>
          <w:p w:rsidR="00035DDA" w:rsidRDefault="00035DDA" w:rsidP="00035DDA">
            <w:pPr>
              <w:numPr>
                <w:ilvl w:val="0"/>
                <w:numId w:val="25"/>
              </w:numPr>
              <w:cnfStyle w:val="000000010000" w:firstRow="0" w:lastRow="0" w:firstColumn="0" w:lastColumn="0" w:oddVBand="0" w:evenVBand="0" w:oddHBand="0" w:evenHBand="1" w:firstRowFirstColumn="0" w:firstRowLastColumn="0" w:lastRowFirstColumn="0" w:lastRowLastColumn="0"/>
            </w:pPr>
            <w:r>
              <w:rPr>
                <w:rFonts w:hint="eastAsia"/>
              </w:rPr>
              <w:t>0</w:t>
            </w:r>
          </w:p>
        </w:tc>
      </w:tr>
      <w:tr w:rsidR="00035DDA" w:rsidTr="002838BC">
        <w:tc>
          <w:tcPr>
            <w:cnfStyle w:val="001000000000" w:firstRow="0" w:lastRow="0" w:firstColumn="1" w:lastColumn="0" w:oddVBand="0" w:evenVBand="0" w:oddHBand="0" w:evenHBand="0" w:firstRowFirstColumn="0" w:firstRowLastColumn="0" w:lastRowFirstColumn="0" w:lastRowLastColumn="0"/>
            <w:tcW w:w="1195" w:type="pct"/>
          </w:tcPr>
          <w:p w:rsidR="00035DDA" w:rsidRDefault="00035DDA" w:rsidP="00035DDA">
            <w:pPr>
              <w:numPr>
                <w:ilvl w:val="0"/>
                <w:numId w:val="25"/>
              </w:numPr>
            </w:pPr>
            <w:r>
              <w:t>Short rural</w:t>
            </w:r>
          </w:p>
        </w:tc>
        <w:tc>
          <w:tcPr>
            <w:tcW w:w="1268" w:type="pct"/>
          </w:tcPr>
          <w:p w:rsidR="00035DDA" w:rsidRDefault="00C14594" w:rsidP="00035DDA">
            <w:pPr>
              <w:numPr>
                <w:ilvl w:val="0"/>
                <w:numId w:val="25"/>
              </w:numPr>
              <w:cnfStyle w:val="000000000000" w:firstRow="0" w:lastRow="0" w:firstColumn="0" w:lastColumn="0" w:oddVBand="0" w:evenVBand="0" w:oddHBand="0" w:evenHBand="0" w:firstRowFirstColumn="0" w:firstRowLastColumn="0" w:lastRowFirstColumn="0" w:lastRowLastColumn="0"/>
            </w:pPr>
            <w:r>
              <w:rPr>
                <w:rFonts w:hint="eastAsia"/>
              </w:rPr>
              <w:t>175.86</w:t>
            </w:r>
          </w:p>
        </w:tc>
        <w:tc>
          <w:tcPr>
            <w:tcW w:w="1268" w:type="pct"/>
          </w:tcPr>
          <w:p w:rsidR="00035DDA" w:rsidRDefault="00C14594" w:rsidP="00035DDA">
            <w:pPr>
              <w:numPr>
                <w:ilvl w:val="0"/>
                <w:numId w:val="25"/>
              </w:numPr>
              <w:cnfStyle w:val="000000000000" w:firstRow="0" w:lastRow="0" w:firstColumn="0" w:lastColumn="0" w:oddVBand="0" w:evenVBand="0" w:oddHBand="0" w:evenHBand="0" w:firstRowFirstColumn="0" w:firstRowLastColumn="0" w:lastRowFirstColumn="0" w:lastRowLastColumn="0"/>
            </w:pPr>
            <w:r>
              <w:rPr>
                <w:rFonts w:hint="eastAsia"/>
              </w:rPr>
              <w:t>175.86</w:t>
            </w:r>
          </w:p>
        </w:tc>
        <w:tc>
          <w:tcPr>
            <w:tcW w:w="1268" w:type="pct"/>
          </w:tcPr>
          <w:p w:rsidR="00035DDA" w:rsidRDefault="00035DDA" w:rsidP="00035DDA">
            <w:pPr>
              <w:numPr>
                <w:ilvl w:val="0"/>
                <w:numId w:val="25"/>
              </w:numPr>
              <w:cnfStyle w:val="000000000000" w:firstRow="0" w:lastRow="0" w:firstColumn="0" w:lastColumn="0" w:oddVBand="0" w:evenVBand="0" w:oddHBand="0" w:evenHBand="0" w:firstRowFirstColumn="0" w:firstRowLastColumn="0" w:lastRowFirstColumn="0" w:lastRowLastColumn="0"/>
            </w:pPr>
            <w:r>
              <w:rPr>
                <w:rFonts w:hint="eastAsia"/>
              </w:rPr>
              <w:t>0</w:t>
            </w:r>
          </w:p>
        </w:tc>
      </w:tr>
      <w:tr w:rsidR="00035DDA" w:rsidTr="002838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5" w:type="pct"/>
          </w:tcPr>
          <w:p w:rsidR="00035DDA" w:rsidRPr="00CE0EF5" w:rsidRDefault="00035DDA" w:rsidP="00035DDA">
            <w:pPr>
              <w:numPr>
                <w:ilvl w:val="0"/>
                <w:numId w:val="25"/>
              </w:numPr>
              <w:rPr>
                <w:rStyle w:val="Strong"/>
              </w:rPr>
            </w:pPr>
            <w:r w:rsidRPr="00CE0EF5">
              <w:rPr>
                <w:rStyle w:val="Strong"/>
              </w:rPr>
              <w:t>Unplanned SAIFI</w:t>
            </w:r>
          </w:p>
        </w:tc>
        <w:tc>
          <w:tcPr>
            <w:tcW w:w="1268" w:type="pct"/>
          </w:tcPr>
          <w:p w:rsidR="00035DDA" w:rsidRDefault="00035DDA" w:rsidP="00035DDA">
            <w:pPr>
              <w:numPr>
                <w:ilvl w:val="0"/>
                <w:numId w:val="25"/>
              </w:numPr>
              <w:cnfStyle w:val="000000010000" w:firstRow="0" w:lastRow="0" w:firstColumn="0" w:lastColumn="0" w:oddVBand="0" w:evenVBand="0" w:oddHBand="0" w:evenHBand="1" w:firstRowFirstColumn="0" w:firstRowLastColumn="0" w:lastRowFirstColumn="0" w:lastRowLastColumn="0"/>
            </w:pPr>
          </w:p>
        </w:tc>
        <w:tc>
          <w:tcPr>
            <w:tcW w:w="1268" w:type="pct"/>
          </w:tcPr>
          <w:p w:rsidR="00035DDA" w:rsidRDefault="00035DDA" w:rsidP="00035DDA">
            <w:pPr>
              <w:numPr>
                <w:ilvl w:val="0"/>
                <w:numId w:val="25"/>
              </w:numPr>
              <w:cnfStyle w:val="000000010000" w:firstRow="0" w:lastRow="0" w:firstColumn="0" w:lastColumn="0" w:oddVBand="0" w:evenVBand="0" w:oddHBand="0" w:evenHBand="1" w:firstRowFirstColumn="0" w:firstRowLastColumn="0" w:lastRowFirstColumn="0" w:lastRowLastColumn="0"/>
            </w:pPr>
          </w:p>
        </w:tc>
        <w:tc>
          <w:tcPr>
            <w:tcW w:w="1268" w:type="pct"/>
          </w:tcPr>
          <w:p w:rsidR="00035DDA" w:rsidRDefault="00035DDA" w:rsidP="00035DDA">
            <w:pPr>
              <w:numPr>
                <w:ilvl w:val="0"/>
                <w:numId w:val="25"/>
              </w:numPr>
              <w:cnfStyle w:val="000000010000" w:firstRow="0" w:lastRow="0" w:firstColumn="0" w:lastColumn="0" w:oddVBand="0" w:evenVBand="0" w:oddHBand="0" w:evenHBand="1" w:firstRowFirstColumn="0" w:firstRowLastColumn="0" w:lastRowFirstColumn="0" w:lastRowLastColumn="0"/>
            </w:pPr>
          </w:p>
        </w:tc>
      </w:tr>
      <w:tr w:rsidR="00035DDA" w:rsidTr="002838BC">
        <w:tc>
          <w:tcPr>
            <w:cnfStyle w:val="001000000000" w:firstRow="0" w:lastRow="0" w:firstColumn="1" w:lastColumn="0" w:oddVBand="0" w:evenVBand="0" w:oddHBand="0" w:evenHBand="0" w:firstRowFirstColumn="0" w:firstRowLastColumn="0" w:lastRowFirstColumn="0" w:lastRowLastColumn="0"/>
            <w:tcW w:w="1195" w:type="pct"/>
          </w:tcPr>
          <w:p w:rsidR="00035DDA" w:rsidRDefault="00035DDA" w:rsidP="00035DDA">
            <w:pPr>
              <w:numPr>
                <w:ilvl w:val="0"/>
                <w:numId w:val="25"/>
              </w:numPr>
            </w:pPr>
            <w:r>
              <w:t>Urban</w:t>
            </w:r>
          </w:p>
        </w:tc>
        <w:tc>
          <w:tcPr>
            <w:tcW w:w="1268" w:type="pct"/>
          </w:tcPr>
          <w:p w:rsidR="00035DDA" w:rsidRDefault="00035DDA" w:rsidP="00C14594">
            <w:pPr>
              <w:numPr>
                <w:ilvl w:val="0"/>
                <w:numId w:val="25"/>
              </w:numPr>
              <w:cnfStyle w:val="000000000000" w:firstRow="0" w:lastRow="0" w:firstColumn="0" w:lastColumn="0" w:oddVBand="0" w:evenVBand="0" w:oddHBand="0" w:evenHBand="0" w:firstRowFirstColumn="0" w:firstRowLastColumn="0" w:lastRowFirstColumn="0" w:lastRowLastColumn="0"/>
            </w:pPr>
            <w:r>
              <w:t>0.</w:t>
            </w:r>
            <w:r w:rsidR="00C14594">
              <w:t>80</w:t>
            </w:r>
            <w:r w:rsidR="00C14594">
              <w:rPr>
                <w:rFonts w:hint="eastAsia"/>
              </w:rPr>
              <w:t>0</w:t>
            </w:r>
          </w:p>
        </w:tc>
        <w:tc>
          <w:tcPr>
            <w:tcW w:w="1268" w:type="pct"/>
          </w:tcPr>
          <w:p w:rsidR="00035DDA" w:rsidRDefault="00035DDA" w:rsidP="00C14594">
            <w:pPr>
              <w:numPr>
                <w:ilvl w:val="0"/>
                <w:numId w:val="25"/>
              </w:numPr>
              <w:cnfStyle w:val="000000000000" w:firstRow="0" w:lastRow="0" w:firstColumn="0" w:lastColumn="0" w:oddVBand="0" w:evenVBand="0" w:oddHBand="0" w:evenHBand="0" w:firstRowFirstColumn="0" w:firstRowLastColumn="0" w:lastRowFirstColumn="0" w:lastRowLastColumn="0"/>
            </w:pPr>
            <w:r>
              <w:t>0.</w:t>
            </w:r>
            <w:r w:rsidR="00C14594">
              <w:t>80</w:t>
            </w:r>
            <w:r w:rsidR="00C14594">
              <w:rPr>
                <w:rFonts w:hint="eastAsia"/>
              </w:rPr>
              <w:t>0</w:t>
            </w:r>
          </w:p>
        </w:tc>
        <w:tc>
          <w:tcPr>
            <w:tcW w:w="1268" w:type="pct"/>
          </w:tcPr>
          <w:p w:rsidR="00035DDA" w:rsidRDefault="00035DDA" w:rsidP="00035DDA">
            <w:pPr>
              <w:numPr>
                <w:ilvl w:val="0"/>
                <w:numId w:val="25"/>
              </w:numPr>
              <w:cnfStyle w:val="000000000000" w:firstRow="0" w:lastRow="0" w:firstColumn="0" w:lastColumn="0" w:oddVBand="0" w:evenVBand="0" w:oddHBand="0" w:evenHBand="0" w:firstRowFirstColumn="0" w:firstRowLastColumn="0" w:lastRowFirstColumn="0" w:lastRowLastColumn="0"/>
            </w:pPr>
            <w:r>
              <w:rPr>
                <w:rFonts w:hint="eastAsia"/>
              </w:rPr>
              <w:t>0</w:t>
            </w:r>
          </w:p>
        </w:tc>
      </w:tr>
      <w:tr w:rsidR="00035DDA" w:rsidTr="002838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5" w:type="pct"/>
          </w:tcPr>
          <w:p w:rsidR="00035DDA" w:rsidRDefault="00035DDA" w:rsidP="00035DDA">
            <w:pPr>
              <w:numPr>
                <w:ilvl w:val="0"/>
                <w:numId w:val="25"/>
              </w:numPr>
            </w:pPr>
            <w:r>
              <w:t>Short rural</w:t>
            </w:r>
          </w:p>
        </w:tc>
        <w:tc>
          <w:tcPr>
            <w:tcW w:w="1268" w:type="pct"/>
          </w:tcPr>
          <w:p w:rsidR="00035DDA" w:rsidRDefault="00035DDA" w:rsidP="00C14594">
            <w:pPr>
              <w:numPr>
                <w:ilvl w:val="0"/>
                <w:numId w:val="25"/>
              </w:numPr>
              <w:cnfStyle w:val="000000010000" w:firstRow="0" w:lastRow="0" w:firstColumn="0" w:lastColumn="0" w:oddVBand="0" w:evenVBand="0" w:oddHBand="0" w:evenHBand="1" w:firstRowFirstColumn="0" w:firstRowLastColumn="0" w:lastRowFirstColumn="0" w:lastRowLastColumn="0"/>
            </w:pPr>
            <w:r>
              <w:t>1.</w:t>
            </w:r>
            <w:r w:rsidR="00C14594">
              <w:rPr>
                <w:rFonts w:hint="eastAsia"/>
              </w:rPr>
              <w:t>765</w:t>
            </w:r>
          </w:p>
        </w:tc>
        <w:tc>
          <w:tcPr>
            <w:tcW w:w="1268" w:type="pct"/>
          </w:tcPr>
          <w:p w:rsidR="00035DDA" w:rsidRDefault="00035DDA" w:rsidP="00C14594">
            <w:pPr>
              <w:numPr>
                <w:ilvl w:val="0"/>
                <w:numId w:val="25"/>
              </w:numPr>
              <w:cnfStyle w:val="000000010000" w:firstRow="0" w:lastRow="0" w:firstColumn="0" w:lastColumn="0" w:oddVBand="0" w:evenVBand="0" w:oddHBand="0" w:evenHBand="1" w:firstRowFirstColumn="0" w:firstRowLastColumn="0" w:lastRowFirstColumn="0" w:lastRowLastColumn="0"/>
            </w:pPr>
            <w:r>
              <w:t>1.</w:t>
            </w:r>
            <w:r w:rsidR="00C14594">
              <w:rPr>
                <w:rFonts w:hint="eastAsia"/>
              </w:rPr>
              <w:t>765</w:t>
            </w:r>
          </w:p>
        </w:tc>
        <w:tc>
          <w:tcPr>
            <w:tcW w:w="1268" w:type="pct"/>
          </w:tcPr>
          <w:p w:rsidR="00035DDA" w:rsidRDefault="00035DDA" w:rsidP="00035DDA">
            <w:pPr>
              <w:numPr>
                <w:ilvl w:val="0"/>
                <w:numId w:val="25"/>
              </w:numPr>
              <w:cnfStyle w:val="000000010000" w:firstRow="0" w:lastRow="0" w:firstColumn="0" w:lastColumn="0" w:oddVBand="0" w:evenVBand="0" w:oddHBand="0" w:evenHBand="1" w:firstRowFirstColumn="0" w:firstRowLastColumn="0" w:lastRowFirstColumn="0" w:lastRowLastColumn="0"/>
            </w:pPr>
            <w:r>
              <w:rPr>
                <w:rFonts w:hint="eastAsia"/>
              </w:rPr>
              <w:t>0</w:t>
            </w:r>
          </w:p>
        </w:tc>
      </w:tr>
    </w:tbl>
    <w:p w:rsidR="00B2638C" w:rsidRDefault="00B2638C" w:rsidP="00B2638C">
      <w:pPr>
        <w:pStyle w:val="AERtablesource"/>
      </w:pPr>
      <w:r>
        <w:t xml:space="preserve">Source: </w:t>
      </w:r>
      <w:r>
        <w:tab/>
      </w:r>
      <w:r w:rsidRPr="00224962">
        <w:t>AER analysis</w:t>
      </w:r>
      <w:r>
        <w:t>.</w:t>
      </w:r>
    </w:p>
    <w:p w:rsidR="00B2638C" w:rsidRPr="001134C4" w:rsidRDefault="00B2638C" w:rsidP="00B76223">
      <w:pPr>
        <w:pStyle w:val="HeadingBoldBlue"/>
      </w:pPr>
      <w:r>
        <w:t>Incentive rates</w:t>
      </w:r>
    </w:p>
    <w:p w:rsidR="00B2638C" w:rsidRDefault="00B2638C" w:rsidP="00B2638C">
      <w:pPr>
        <w:numPr>
          <w:ilvl w:val="0"/>
          <w:numId w:val="25"/>
        </w:numPr>
      </w:pPr>
      <w:r>
        <w:t>Clause 6.6.2(b</w:t>
      </w:r>
      <w:proofErr w:type="gramStart"/>
      <w:r>
        <w:t>)(</w:t>
      </w:r>
      <w:proofErr w:type="gramEnd"/>
      <w:r>
        <w:t>3) of the NER stipulates that we must take into account the willingness of the customer to pay for improved service performance when developing and implementing a STPIS. The incentive rates in the STPIS are based on measures of customers</w:t>
      </w:r>
      <w:r w:rsidR="00BC3651">
        <w:t>'</w:t>
      </w:r>
      <w:r>
        <w:t xml:space="preserve"> willingness to pay for performance, specifically, the value that customers place on supply reliability, referred to as the VCR. </w:t>
      </w:r>
    </w:p>
    <w:p w:rsidR="00B2638C" w:rsidRDefault="00B2638C" w:rsidP="00B2638C">
      <w:r>
        <w:rPr>
          <w:rFonts w:hint="eastAsia"/>
        </w:rPr>
        <w:t>In the draft decision, w</w:t>
      </w:r>
      <w:r>
        <w:t>e note</w:t>
      </w:r>
      <w:r>
        <w:rPr>
          <w:rFonts w:hint="eastAsia"/>
        </w:rPr>
        <w:t>d</w:t>
      </w:r>
      <w:r>
        <w:t xml:space="preserve"> the</w:t>
      </w:r>
      <w:r w:rsidRPr="00844D57">
        <w:t xml:space="preserve"> AEMO has carried out a review of the VCR and published the final results in September 2014.</w:t>
      </w:r>
      <w:r>
        <w:rPr>
          <w:rFonts w:hint="eastAsia"/>
        </w:rPr>
        <w:t xml:space="preserve"> We</w:t>
      </w:r>
      <w:r>
        <w:t xml:space="preserve"> propose</w:t>
      </w:r>
      <w:r>
        <w:rPr>
          <w:rFonts w:hint="eastAsia"/>
        </w:rPr>
        <w:t>d</w:t>
      </w:r>
      <w:r>
        <w:t xml:space="preserve"> to apply the 2014 AEMO NSW VCR to calculate the incentive rates for E</w:t>
      </w:r>
      <w:r>
        <w:rPr>
          <w:rFonts w:hint="eastAsia"/>
        </w:rPr>
        <w:t>ndeavour</w:t>
      </w:r>
      <w:r>
        <w:t xml:space="preserve"> Energy.</w:t>
      </w:r>
      <w:r w:rsidRPr="00C57EF6">
        <w:rPr>
          <w:rStyle w:val="AERsuperscript"/>
        </w:rPr>
        <w:footnoteReference w:id="40"/>
      </w:r>
      <w:r w:rsidRPr="00844D57">
        <w:t xml:space="preserve"> </w:t>
      </w:r>
      <w:r>
        <w:t xml:space="preserve">The EUAA agreed with us that the incentive rates under the scheme should be based on the AEMO </w:t>
      </w:r>
      <w:r>
        <w:lastRenderedPageBreak/>
        <w:t>September 2014 VCR values as they were determined through a robust method and represent the best available information for this purpose.</w:t>
      </w:r>
      <w:r>
        <w:rPr>
          <w:rStyle w:val="FootnoteReference"/>
        </w:rPr>
        <w:footnoteReference w:id="41"/>
      </w:r>
    </w:p>
    <w:p w:rsidR="00B2638C" w:rsidRDefault="00B2638C" w:rsidP="00B2638C">
      <w:pPr>
        <w:numPr>
          <w:ilvl w:val="0"/>
          <w:numId w:val="25"/>
        </w:numPr>
      </w:pPr>
      <w:r>
        <w:t>E</w:t>
      </w:r>
      <w:r>
        <w:rPr>
          <w:rFonts w:hint="eastAsia"/>
        </w:rPr>
        <w:t>ndeavour</w:t>
      </w:r>
      <w:r>
        <w:t xml:space="preserve"> Energy accepted </w:t>
      </w:r>
      <w:r w:rsidR="0029004F">
        <w:t xml:space="preserve">the use of </w:t>
      </w:r>
      <w:r>
        <w:t>this new AEMO VCR in the revised proposal. However, it noted the September 2014 VCR should be indexed to July 2015 as it is consistent with the approach set out in the STPIS.</w:t>
      </w:r>
      <w:r>
        <w:rPr>
          <w:rStyle w:val="FootnoteReference"/>
        </w:rPr>
        <w:footnoteReference w:id="42"/>
      </w:r>
      <w:r>
        <w:t xml:space="preserve"> We accept that the AEMO VCR should be indexed to the start of the regulatory control period by applying the appropriate CPI adjustment. We consider the reasonable adjustment is nine months (or 75 per cent) of the annual RBA inflation target of 2.5 per cent, which is 1.875 per cent. This adjustment is also consistent with the value proposed by </w:t>
      </w:r>
      <w:r>
        <w:rPr>
          <w:rFonts w:hint="eastAsia"/>
        </w:rPr>
        <w:t>Endeavour</w:t>
      </w:r>
      <w:r>
        <w:t xml:space="preserve"> Energy.</w:t>
      </w:r>
      <w:r>
        <w:rPr>
          <w:rStyle w:val="FootnoteReference"/>
        </w:rPr>
        <w:footnoteReference w:id="43"/>
      </w:r>
    </w:p>
    <w:p w:rsidR="00B2638C" w:rsidRDefault="00B2638C" w:rsidP="00B2638C">
      <w:pPr>
        <w:pStyle w:val="ListParagraph"/>
        <w:numPr>
          <w:ilvl w:val="0"/>
          <w:numId w:val="25"/>
        </w:numPr>
      </w:pPr>
      <w:r>
        <w:t>In addition, E</w:t>
      </w:r>
      <w:r>
        <w:rPr>
          <w:rFonts w:hint="eastAsia"/>
        </w:rPr>
        <w:t>ndeavour</w:t>
      </w:r>
      <w:r>
        <w:t xml:space="preserve"> Energy noted that we have</w:t>
      </w:r>
      <w:r w:rsidRPr="003D661A">
        <w:t xml:space="preserve"> used five year</w:t>
      </w:r>
      <w:r>
        <w:t>s of data in estimating average annual energy</w:t>
      </w:r>
      <w:r w:rsidRPr="003D661A">
        <w:t xml:space="preserve"> consumption</w:t>
      </w:r>
      <w:r>
        <w:t xml:space="preserve"> for different network type</w:t>
      </w:r>
      <w:r w:rsidR="00F902B3">
        <w:t>s</w:t>
      </w:r>
      <w:r>
        <w:t xml:space="preserve"> (C</w:t>
      </w:r>
      <w:r w:rsidRPr="009B7552">
        <w:rPr>
          <w:rStyle w:val="AERsubscript"/>
        </w:rPr>
        <w:t>n</w:t>
      </w:r>
      <w:r>
        <w:t>)</w:t>
      </w:r>
      <w:r w:rsidRPr="003D661A">
        <w:t>, but the regulatory control period in relation to the STPIS is actually four years</w:t>
      </w:r>
      <w:r>
        <w:t>.</w:t>
      </w:r>
      <w:r>
        <w:rPr>
          <w:rStyle w:val="FootnoteReference"/>
        </w:rPr>
        <w:footnoteReference w:id="44"/>
      </w:r>
      <w:r>
        <w:t xml:space="preserve"> We agree that a consistent period should be used when estimating C</w:t>
      </w:r>
      <w:r w:rsidRPr="009B7552">
        <w:rPr>
          <w:rStyle w:val="AERsubscript"/>
        </w:rPr>
        <w:t>n</w:t>
      </w:r>
      <w:r>
        <w:t xml:space="preserve"> and revised our calculation accordingly. </w:t>
      </w:r>
      <w:r>
        <w:fldChar w:fldCharType="begin"/>
      </w:r>
      <w:r>
        <w:instrText xml:space="preserve"> REF _Ref401745292 \h </w:instrText>
      </w:r>
      <w:r>
        <w:fldChar w:fldCharType="separate"/>
      </w:r>
      <w:r w:rsidR="0094460E">
        <w:t xml:space="preserve">Table </w:t>
      </w:r>
      <w:r w:rsidR="0094460E">
        <w:rPr>
          <w:noProof/>
        </w:rPr>
        <w:t>11</w:t>
      </w:r>
      <w:r w:rsidR="0094460E" w:rsidRPr="007F3E1D">
        <w:t>-</w:t>
      </w:r>
      <w:r w:rsidR="0094460E">
        <w:rPr>
          <w:noProof/>
        </w:rPr>
        <w:t>2</w:t>
      </w:r>
      <w:r>
        <w:fldChar w:fldCharType="end"/>
      </w:r>
      <w:r w:rsidRPr="005D235F">
        <w:t xml:space="preserve"> </w:t>
      </w:r>
      <w:r w:rsidR="00F902B3">
        <w:t xml:space="preserve">above </w:t>
      </w:r>
      <w:r w:rsidRPr="005D235F">
        <w:t xml:space="preserve">sets out </w:t>
      </w:r>
      <w:r>
        <w:rPr>
          <w:rFonts w:hint="eastAsia"/>
        </w:rPr>
        <w:t>the</w:t>
      </w:r>
      <w:r>
        <w:t xml:space="preserve"> incentive rates that will</w:t>
      </w:r>
      <w:r w:rsidRPr="005D235F">
        <w:t xml:space="preserve"> apply to </w:t>
      </w:r>
      <w:r>
        <w:t>E</w:t>
      </w:r>
      <w:r>
        <w:rPr>
          <w:rFonts w:hint="eastAsia"/>
        </w:rPr>
        <w:t>ndeavour</w:t>
      </w:r>
      <w:r>
        <w:t xml:space="preserve"> Energy</w:t>
      </w:r>
      <w:r w:rsidRPr="005D235F">
        <w:t>'s SAIDI and SAIFI targets calculated based on th</w:t>
      </w:r>
      <w:r>
        <w:t>ese</w:t>
      </w:r>
      <w:r w:rsidRPr="005D235F">
        <w:t xml:space="preserve"> revised VCR value</w:t>
      </w:r>
      <w:r>
        <w:t>s.</w:t>
      </w:r>
    </w:p>
    <w:p w:rsidR="00B2638C" w:rsidRDefault="00B2638C" w:rsidP="00B2638C">
      <w:pPr>
        <w:pStyle w:val="Heading3"/>
      </w:pPr>
      <w:bookmarkStart w:id="39" w:name="_Toc404362400"/>
      <w:bookmarkStart w:id="40" w:name="_Toc417302639"/>
      <w:r>
        <w:t>Customer service component</w:t>
      </w:r>
      <w:bookmarkEnd w:id="39"/>
      <w:bookmarkEnd w:id="40"/>
    </w:p>
    <w:p w:rsidR="00B2638C" w:rsidRDefault="00B2638C" w:rsidP="00B2638C">
      <w:r>
        <w:t>The telephone answering parameter measures the proportion of calls forwarded to an operator that are answered in 30 seconds. In the initial proposal, E</w:t>
      </w:r>
      <w:r>
        <w:rPr>
          <w:rFonts w:hint="eastAsia"/>
        </w:rPr>
        <w:t>ndeavour</w:t>
      </w:r>
      <w:r>
        <w:t xml:space="preserve"> Energy proposed to set the telephone answering target at </w:t>
      </w:r>
      <w:r>
        <w:rPr>
          <w:rFonts w:hint="eastAsia"/>
        </w:rPr>
        <w:t>75</w:t>
      </w:r>
      <w:r>
        <w:t xml:space="preserve"> per cent based on the historical performance from February 2013</w:t>
      </w:r>
      <w:r w:rsidR="00F902B3">
        <w:t xml:space="preserve">. It considered that </w:t>
      </w:r>
      <w:r>
        <w:rPr>
          <w:rFonts w:hint="eastAsia"/>
        </w:rPr>
        <w:t xml:space="preserve">its </w:t>
      </w:r>
      <w:r>
        <w:t>telephone answering performance might decline with the expiry of its</w:t>
      </w:r>
      <w:r>
        <w:rPr>
          <w:rFonts w:hint="eastAsia"/>
        </w:rPr>
        <w:t xml:space="preserve"> </w:t>
      </w:r>
      <w:r>
        <w:t>Transitional Service Agreement (TSA).</w:t>
      </w:r>
      <w:r>
        <w:rPr>
          <w:rStyle w:val="FootnoteReference"/>
        </w:rPr>
        <w:footnoteReference w:id="45"/>
      </w:r>
      <w:r>
        <w:t xml:space="preserve"> We accept</w:t>
      </w:r>
      <w:r>
        <w:rPr>
          <w:rFonts w:hint="eastAsia"/>
        </w:rPr>
        <w:t>ed</w:t>
      </w:r>
      <w:r>
        <w:t xml:space="preserve"> E</w:t>
      </w:r>
      <w:r>
        <w:rPr>
          <w:rFonts w:hint="eastAsia"/>
        </w:rPr>
        <w:t>ndeavour</w:t>
      </w:r>
      <w:r>
        <w:t xml:space="preserve"> Energy's proposed target</w:t>
      </w:r>
      <w:r w:rsidR="00447FB0">
        <w:t xml:space="preserve"> in the draft decision</w:t>
      </w:r>
      <w:r>
        <w:t xml:space="preserve"> as</w:t>
      </w:r>
      <w:r w:rsidRPr="00B06F13">
        <w:t xml:space="preserve"> </w:t>
      </w:r>
      <w:r>
        <w:t>Endeavour Energy's proposed performance target is better than the comparable benchmark.</w:t>
      </w:r>
      <w:r>
        <w:rPr>
          <w:rStyle w:val="FootnoteReference"/>
        </w:rPr>
        <w:footnoteReference w:id="46"/>
      </w:r>
    </w:p>
    <w:p w:rsidR="00B2638C" w:rsidRDefault="00B2638C" w:rsidP="00B2638C">
      <w:r>
        <w:t xml:space="preserve">In the revised proposal, </w:t>
      </w:r>
      <w:r>
        <w:rPr>
          <w:rFonts w:hint="eastAsia"/>
        </w:rPr>
        <w:t>Endeavour Energy submitted that</w:t>
      </w:r>
      <w:r>
        <w:t xml:space="preserve"> its originally proposed </w:t>
      </w:r>
      <w:r w:rsidRPr="00074FCE">
        <w:t>75</w:t>
      </w:r>
      <w:r>
        <w:t xml:space="preserve"> per cent target</w:t>
      </w:r>
      <w:r w:rsidRPr="00074FCE">
        <w:t xml:space="preserve"> should be reduced in a similar portion to any reduction made to </w:t>
      </w:r>
      <w:proofErr w:type="spellStart"/>
      <w:r w:rsidRPr="00074FCE">
        <w:t>opex</w:t>
      </w:r>
      <w:proofErr w:type="spellEnd"/>
      <w:r>
        <w:t xml:space="preserve"> </w:t>
      </w:r>
      <w:r w:rsidR="005628B3">
        <w:t>forecast</w:t>
      </w:r>
      <w:r>
        <w:t>. It proposed to</w:t>
      </w:r>
      <w:r w:rsidRPr="00074FCE">
        <w:t xml:space="preserve"> adopt the benchmark target of 68.53</w:t>
      </w:r>
      <w:r>
        <w:t xml:space="preserve"> per cent based on </w:t>
      </w:r>
      <w:r>
        <w:rPr>
          <w:rFonts w:hint="eastAsia"/>
        </w:rPr>
        <w:t xml:space="preserve">the </w:t>
      </w:r>
      <w:r>
        <w:t>average performance of Victorian distributors</w:t>
      </w:r>
      <w:r w:rsidRPr="00074FCE">
        <w:t>.</w:t>
      </w:r>
      <w:r>
        <w:rPr>
          <w:rStyle w:val="FootnoteReference"/>
        </w:rPr>
        <w:footnoteReference w:id="47"/>
      </w:r>
      <w:r>
        <w:rPr>
          <w:rFonts w:hint="eastAsia"/>
        </w:rPr>
        <w:t xml:space="preserve"> As discussed in section </w:t>
      </w:r>
      <w:r>
        <w:fldChar w:fldCharType="begin"/>
      </w:r>
      <w:r>
        <w:instrText xml:space="preserve"> </w:instrText>
      </w:r>
      <w:r>
        <w:rPr>
          <w:rFonts w:hint="eastAsia"/>
        </w:rPr>
        <w:instrText>REF _Ref414862295 \r \h</w:instrText>
      </w:r>
      <w:r>
        <w:instrText xml:space="preserve"> </w:instrText>
      </w:r>
      <w:r>
        <w:fldChar w:fldCharType="separate"/>
      </w:r>
      <w:r w:rsidR="0094460E">
        <w:t>11.4.1</w:t>
      </w:r>
      <w:r>
        <w:fldChar w:fldCharType="end"/>
      </w:r>
      <w:r>
        <w:rPr>
          <w:rFonts w:hint="eastAsia"/>
        </w:rPr>
        <w:t>, we have adopted</w:t>
      </w:r>
      <w:r>
        <w:t xml:space="preserve"> </w:t>
      </w:r>
      <w:r w:rsidR="0089253E">
        <w:t xml:space="preserve">a </w:t>
      </w:r>
      <w:r>
        <w:t>revealed cost approach</w:t>
      </w:r>
      <w:r w:rsidRPr="006E03BC">
        <w:t xml:space="preserve"> to determine Endeavour Energy’s </w:t>
      </w:r>
      <w:proofErr w:type="spellStart"/>
      <w:r w:rsidRPr="006E03BC">
        <w:t>opex</w:t>
      </w:r>
      <w:proofErr w:type="spellEnd"/>
      <w:r w:rsidRPr="006E03BC">
        <w:t xml:space="preserve"> </w:t>
      </w:r>
      <w:r w:rsidR="005628B3">
        <w:t>forecast</w:t>
      </w:r>
      <w:r>
        <w:rPr>
          <w:rFonts w:hint="eastAsia"/>
        </w:rPr>
        <w:t xml:space="preserve"> in this final decision. </w:t>
      </w:r>
      <w:r w:rsidR="0089253E">
        <w:t xml:space="preserve">Therefore, as we are not reducing Endeavour Energy's </w:t>
      </w:r>
      <w:proofErr w:type="spellStart"/>
      <w:r w:rsidR="0089253E">
        <w:t>opex</w:t>
      </w:r>
      <w:proofErr w:type="spellEnd"/>
      <w:r w:rsidR="0089253E">
        <w:t xml:space="preserve"> to a benchmark, w</w:t>
      </w:r>
      <w:r>
        <w:rPr>
          <w:rFonts w:hint="eastAsia"/>
        </w:rPr>
        <w:t xml:space="preserve">e maintain the view that Endeavour Energy's telephone answering target should be set at 75 per cent. </w:t>
      </w:r>
    </w:p>
    <w:p w:rsidR="00091B15" w:rsidRPr="00996A9C" w:rsidRDefault="00B2638C" w:rsidP="00996A9C">
      <w:pPr>
        <w:rPr>
          <w:rStyle w:val="AERbody"/>
        </w:rPr>
      </w:pPr>
      <w:r>
        <w:lastRenderedPageBreak/>
        <w:t>In the draft decision, w</w:t>
      </w:r>
      <w:r>
        <w:rPr>
          <w:rFonts w:hint="eastAsia"/>
        </w:rPr>
        <w:t xml:space="preserve">e accepted </w:t>
      </w:r>
      <w:r>
        <w:t>E</w:t>
      </w:r>
      <w:r>
        <w:rPr>
          <w:rFonts w:hint="eastAsia"/>
        </w:rPr>
        <w:t>ndeavour</w:t>
      </w:r>
      <w:r>
        <w:t xml:space="preserve"> Energy</w:t>
      </w:r>
      <w:r>
        <w:rPr>
          <w:rFonts w:hint="eastAsia"/>
        </w:rPr>
        <w:t xml:space="preserve">'s proposed incentive rate for the telephone answering parameter of </w:t>
      </w:r>
      <w:r w:rsidRPr="00465BB8">
        <w:t>–</w:t>
      </w:r>
      <w:r>
        <w:t>0.04 per cent per unit.</w:t>
      </w:r>
      <w:r>
        <w:rPr>
          <w:rStyle w:val="FootnoteReference"/>
        </w:rPr>
        <w:footnoteReference w:id="48"/>
      </w:r>
      <w:r w:rsidRPr="001F4CC5">
        <w:rPr>
          <w:rFonts w:hint="eastAsia"/>
        </w:rPr>
        <w:t xml:space="preserve"> </w:t>
      </w:r>
      <w:r>
        <w:t>E</w:t>
      </w:r>
      <w:r>
        <w:rPr>
          <w:rFonts w:hint="eastAsia"/>
        </w:rPr>
        <w:t>ndeavour</w:t>
      </w:r>
      <w:r>
        <w:t xml:space="preserve"> Energy</w:t>
      </w:r>
      <w:r>
        <w:rPr>
          <w:rFonts w:hint="eastAsia"/>
        </w:rPr>
        <w:t xml:space="preserve"> did not propose alternative </w:t>
      </w:r>
      <w:r>
        <w:t>values</w:t>
      </w:r>
      <w:r>
        <w:rPr>
          <w:rFonts w:hint="eastAsia"/>
        </w:rPr>
        <w:t xml:space="preserve"> in the revised </w:t>
      </w:r>
      <w:proofErr w:type="gramStart"/>
      <w:r>
        <w:rPr>
          <w:rFonts w:hint="eastAsia"/>
        </w:rPr>
        <w:t>proposal,</w:t>
      </w:r>
      <w:proofErr w:type="gramEnd"/>
      <w:r>
        <w:rPr>
          <w:rFonts w:hint="eastAsia"/>
        </w:rPr>
        <w:t xml:space="preserve"> therefore we maintain this </w:t>
      </w:r>
      <w:r w:rsidR="00C12D5E">
        <w:t>finding</w:t>
      </w:r>
      <w:r w:rsidR="00C12D5E">
        <w:rPr>
          <w:rFonts w:hint="eastAsia"/>
        </w:rPr>
        <w:t xml:space="preserve"> </w:t>
      </w:r>
      <w:r>
        <w:rPr>
          <w:rFonts w:hint="eastAsia"/>
        </w:rPr>
        <w:t>in this final decision.</w:t>
      </w:r>
      <w:r>
        <w:rPr>
          <w:rStyle w:val="FootnoteReference"/>
        </w:rPr>
        <w:footnoteReference w:id="49"/>
      </w:r>
      <w:r w:rsidR="00996A9C">
        <w:t xml:space="preserve"> </w:t>
      </w:r>
    </w:p>
    <w:sectPr w:rsidR="00091B15" w:rsidRPr="00996A9C" w:rsidSect="00EE50D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872" w:rsidRPr="00290C63" w:rsidRDefault="00EC0872" w:rsidP="00290C63">
      <w:r>
        <w:separator/>
      </w:r>
    </w:p>
    <w:p w:rsidR="00EC0872" w:rsidRDefault="00EC0872"/>
  </w:endnote>
  <w:endnote w:type="continuationSeparator" w:id="0">
    <w:p w:rsidR="00EC0872" w:rsidRPr="00290C63" w:rsidRDefault="00EC0872" w:rsidP="00290C63">
      <w:r>
        <w:continuationSeparator/>
      </w:r>
    </w:p>
    <w:p w:rsidR="00EC0872" w:rsidRDefault="00EC08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0"/>
    <w:family w:val="swiss"/>
    <w:pitch w:val="variable"/>
    <w:sig w:usb0="002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872" w:rsidRPr="00290C63" w:rsidRDefault="00EC0872"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EC0872" w:rsidRDefault="00EC0872"/>
  <w:p w:rsidR="00EC0872" w:rsidRDefault="00EC0872"/>
  <w:p w:rsidR="00EC0872" w:rsidRDefault="00EC0872"/>
  <w:p w:rsidR="00EC0872" w:rsidRDefault="00EC0872"/>
  <w:p w:rsidR="00EC0872" w:rsidRDefault="00EC0872"/>
  <w:p w:rsidR="00EC0872" w:rsidRDefault="00EC0872"/>
  <w:p w:rsidR="00EC0872" w:rsidRDefault="00EC087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EC0872" w:rsidRPr="009B6F84" w:rsidRDefault="00EC0872">
        <w:pPr>
          <w:pStyle w:val="Footer"/>
          <w:rPr>
            <w:sz w:val="20"/>
          </w:rPr>
        </w:pPr>
        <w:r>
          <w:fldChar w:fldCharType="begin"/>
        </w:r>
        <w:r>
          <w:instrText xml:space="preserve"> PAGE   \* MERGEFORMAT </w:instrText>
        </w:r>
        <w:r>
          <w:fldChar w:fldCharType="separate"/>
        </w:r>
        <w:r w:rsidR="00164ADF">
          <w:rPr>
            <w:noProof/>
          </w:rPr>
          <w:t>11-7</w:t>
        </w:r>
        <w:r>
          <w:rPr>
            <w:noProof/>
          </w:rPr>
          <w:fldChar w:fldCharType="end"/>
        </w:r>
        <w:r>
          <w:rPr>
            <w:noProof/>
          </w:rPr>
          <w:t xml:space="preserve">          </w:t>
        </w:r>
        <w:r w:rsidRPr="005E1582">
          <w:rPr>
            <w:noProof/>
          </w:rPr>
          <w:t>Attachment 1</w:t>
        </w:r>
        <w:r>
          <w:rPr>
            <w:noProof/>
          </w:rPr>
          <w:t>1</w:t>
        </w:r>
        <w:r w:rsidRPr="005E1582">
          <w:rPr>
            <w:noProof/>
          </w:rPr>
          <w:t xml:space="preserve"> – </w:t>
        </w:r>
        <w:r>
          <w:rPr>
            <w:noProof/>
          </w:rPr>
          <w:t xml:space="preserve">STPIS </w:t>
        </w:r>
        <w:r w:rsidRPr="009B6F84">
          <w:rPr>
            <w:rFonts w:cs="Gautami"/>
            <w:noProof/>
            <w:szCs w:val="16"/>
          </w:rPr>
          <w:t xml:space="preserve">| </w:t>
        </w:r>
        <w:r>
          <w:t>Endeavour Energy</w:t>
        </w:r>
        <w:r w:rsidRPr="009B6F84">
          <w:rPr>
            <w:rFonts w:cs="Gautami"/>
            <w:noProof/>
            <w:szCs w:val="16"/>
          </w:rPr>
          <w:t xml:space="preserve"> Final decision</w:t>
        </w:r>
        <w:r>
          <w:rPr>
            <w:rFonts w:cs="Gautami"/>
            <w:noProof/>
            <w:szCs w:val="16"/>
          </w:rPr>
          <w:t xml:space="preserve"> 2015</w:t>
        </w:r>
        <w:r w:rsidRPr="005E1582">
          <w:rPr>
            <w:rFonts w:cs="Gautami"/>
            <w:noProof/>
            <w:szCs w:val="16"/>
          </w:rPr>
          <w:t>–</w:t>
        </w:r>
        <w:r>
          <w:rPr>
            <w:rFonts w:cs="Gautami"/>
            <w:noProof/>
            <w:szCs w:val="16"/>
          </w:rPr>
          <w:t>19</w:t>
        </w:r>
      </w:p>
    </w:sdtContent>
  </w:sdt>
  <w:p w:rsidR="00EC0872" w:rsidRDefault="00EC08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872" w:rsidRPr="00290C63" w:rsidRDefault="00EC0872"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EC0872" w:rsidRDefault="00EC0872">
    <w:pPr>
      <w:pStyle w:val="Footer"/>
    </w:pPr>
  </w:p>
  <w:p w:rsidR="00EC0872" w:rsidRDefault="00EC0872"/>
  <w:p w:rsidR="00EC0872" w:rsidRDefault="00EC0872"/>
  <w:p w:rsidR="00EC0872" w:rsidRDefault="00EC0872"/>
  <w:p w:rsidR="00EC0872" w:rsidRDefault="00EC0872"/>
  <w:p w:rsidR="00EC0872" w:rsidRDefault="00EC0872"/>
  <w:p w:rsidR="00EC0872" w:rsidRDefault="00EC0872"/>
  <w:p w:rsidR="00EC0872" w:rsidRDefault="00EC087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872" w:rsidRPr="00290C63" w:rsidRDefault="00EC0872" w:rsidP="00290C63">
      <w:r>
        <w:separator/>
      </w:r>
    </w:p>
    <w:p w:rsidR="00EC0872" w:rsidRDefault="00EC0872"/>
  </w:footnote>
  <w:footnote w:type="continuationSeparator" w:id="0">
    <w:p w:rsidR="00EC0872" w:rsidRPr="00290C63" w:rsidRDefault="00EC0872" w:rsidP="00290C63">
      <w:r>
        <w:continuationSeparator/>
      </w:r>
    </w:p>
    <w:p w:rsidR="00EC0872" w:rsidRDefault="00EC0872"/>
  </w:footnote>
  <w:footnote w:id="1">
    <w:p w:rsidR="00EC0872" w:rsidRDefault="00EC0872" w:rsidP="00B2638C">
      <w:pPr>
        <w:pStyle w:val="FootnoteText"/>
      </w:pPr>
      <w:r>
        <w:rPr>
          <w:rStyle w:val="FootnoteReference"/>
        </w:rPr>
        <w:footnoteRef/>
      </w:r>
      <w:r>
        <w:t xml:space="preserve"> </w:t>
      </w:r>
      <w:r>
        <w:tab/>
      </w:r>
      <w:r w:rsidRPr="005D44E7">
        <w:t xml:space="preserve">AER, </w:t>
      </w:r>
      <w:r w:rsidRPr="000565BE">
        <w:rPr>
          <w:rStyle w:val="AERtextitalic"/>
        </w:rPr>
        <w:t>Electricity distribution network service providers—service target performance incentive scheme</w:t>
      </w:r>
      <w:r w:rsidRPr="005D44E7">
        <w:t xml:space="preserve">, 1 November 2009. </w:t>
      </w:r>
      <w:proofErr w:type="gramStart"/>
      <w:r w:rsidRPr="005D44E7">
        <w:t xml:space="preserve">(AER, </w:t>
      </w:r>
      <w:r w:rsidRPr="000565BE">
        <w:rPr>
          <w:rStyle w:val="AERtextitalic"/>
        </w:rPr>
        <w:t>Electricity distribution STPIS</w:t>
      </w:r>
      <w:r w:rsidRPr="005D44E7">
        <w:t>, Nov 2009).</w:t>
      </w:r>
      <w:proofErr w:type="gramEnd"/>
    </w:p>
  </w:footnote>
  <w:footnote w:id="2">
    <w:p w:rsidR="00EC0872" w:rsidRDefault="00EC0872" w:rsidP="00B2638C">
      <w:pPr>
        <w:pStyle w:val="FootnoteText"/>
      </w:pPr>
      <w:r>
        <w:rPr>
          <w:rStyle w:val="FootnoteReference"/>
        </w:rPr>
        <w:footnoteRef/>
      </w:r>
      <w:r>
        <w:t xml:space="preserve"> </w:t>
      </w:r>
      <w:r>
        <w:tab/>
        <w:t xml:space="preserve">AER, </w:t>
      </w:r>
      <w:r w:rsidRPr="000565BE">
        <w:rPr>
          <w:rStyle w:val="AERtextitalic"/>
        </w:rPr>
        <w:t>Electricity distribution STPIS</w:t>
      </w:r>
      <w:r w:rsidRPr="005D44E7">
        <w:t>, Nov 2009</w:t>
      </w:r>
      <w:r>
        <w:t>, p.</w:t>
      </w:r>
      <w:r w:rsidR="00196484">
        <w:t xml:space="preserve"> </w:t>
      </w:r>
      <w:r>
        <w:t>3</w:t>
      </w:r>
    </w:p>
  </w:footnote>
  <w:footnote w:id="3">
    <w:p w:rsidR="00EC0872" w:rsidRDefault="00EC0872">
      <w:pPr>
        <w:pStyle w:val="FootnoteText"/>
      </w:pPr>
      <w:r>
        <w:rPr>
          <w:rStyle w:val="FootnoteReference"/>
        </w:rPr>
        <w:footnoteRef/>
      </w:r>
      <w:r>
        <w:t xml:space="preserve"> </w:t>
      </w:r>
      <w:r>
        <w:tab/>
      </w:r>
      <w:r w:rsidRPr="005D44E7">
        <w:t xml:space="preserve">AER, </w:t>
      </w:r>
      <w:r w:rsidRPr="000565BE">
        <w:rPr>
          <w:rStyle w:val="AERtextitalic"/>
        </w:rPr>
        <w:t>Electricity distribution STPIS</w:t>
      </w:r>
      <w:r w:rsidRPr="005D44E7">
        <w:t>, Nov 2009</w:t>
      </w:r>
    </w:p>
  </w:footnote>
  <w:footnote w:id="4">
    <w:p w:rsidR="00EC0872" w:rsidRDefault="00EC0872" w:rsidP="00022807">
      <w:pPr>
        <w:pStyle w:val="FootnoteText"/>
      </w:pPr>
      <w:r>
        <w:rPr>
          <w:rStyle w:val="FootnoteReference"/>
        </w:rPr>
        <w:footnoteRef/>
      </w:r>
      <w:r>
        <w:t xml:space="preserve"> </w:t>
      </w:r>
      <w:r>
        <w:tab/>
        <w:t xml:space="preserve">Endeavour Energy, </w:t>
      </w:r>
      <w:r w:rsidRPr="00D922C9">
        <w:rPr>
          <w:rStyle w:val="AERtextitalic"/>
        </w:rPr>
        <w:t>Attachment 5.04 response to AER decision on reliability and STPIS</w:t>
      </w:r>
      <w:r>
        <w:t>, January 2015</w:t>
      </w:r>
    </w:p>
  </w:footnote>
  <w:footnote w:id="5">
    <w:p w:rsidR="00EC0872" w:rsidRDefault="00EC0872" w:rsidP="00B573E9">
      <w:pPr>
        <w:pStyle w:val="FootnoteText"/>
      </w:pPr>
      <w:r>
        <w:rPr>
          <w:rStyle w:val="FootnoteReference"/>
        </w:rPr>
        <w:footnoteRef/>
      </w:r>
      <w:r>
        <w:t xml:space="preserve"> </w:t>
      </w:r>
      <w:r>
        <w:tab/>
        <w:t xml:space="preserve">AER, </w:t>
      </w:r>
      <w:r w:rsidRPr="003013C3">
        <w:rPr>
          <w:rStyle w:val="AERtextitalic"/>
        </w:rPr>
        <w:t>Draft decision attachment 11: Service target performance incentive scheme</w:t>
      </w:r>
      <w:r>
        <w:t>, November 2014, pp.</w:t>
      </w:r>
      <w:r>
        <w:rPr>
          <w:rFonts w:hint="eastAsia"/>
        </w:rPr>
        <w:t>24-35.</w:t>
      </w:r>
    </w:p>
  </w:footnote>
  <w:footnote w:id="6">
    <w:p w:rsidR="00EC0872" w:rsidRDefault="00EC0872" w:rsidP="00AE04E9">
      <w:pPr>
        <w:pStyle w:val="FootnoteText"/>
      </w:pPr>
      <w:r>
        <w:rPr>
          <w:rStyle w:val="FootnoteReference"/>
        </w:rPr>
        <w:footnoteRef/>
      </w:r>
      <w:r>
        <w:t xml:space="preserve"> </w:t>
      </w:r>
      <w:r>
        <w:tab/>
        <w:t xml:space="preserve">Endeavour Energy, </w:t>
      </w:r>
      <w:r w:rsidRPr="00D922C9">
        <w:rPr>
          <w:rStyle w:val="AERtextitalic"/>
        </w:rPr>
        <w:t>Attachment 5.04 response to AER decision on reliability and STPIS</w:t>
      </w:r>
      <w:r>
        <w:t>, January 2015, p.8.</w:t>
      </w:r>
    </w:p>
  </w:footnote>
  <w:footnote w:id="7">
    <w:p w:rsidR="00EC0872" w:rsidRDefault="00EC0872" w:rsidP="00022807">
      <w:pPr>
        <w:pStyle w:val="FootnoteText"/>
      </w:pPr>
      <w:r>
        <w:rPr>
          <w:rStyle w:val="FootnoteReference"/>
        </w:rPr>
        <w:footnoteRef/>
      </w:r>
      <w:r>
        <w:t xml:space="preserve"> </w:t>
      </w:r>
      <w:r>
        <w:tab/>
        <w:t xml:space="preserve">AER, </w:t>
      </w:r>
      <w:r w:rsidRPr="003013C3">
        <w:rPr>
          <w:rStyle w:val="AERtextitalic"/>
        </w:rPr>
        <w:t>Draft decision attachment 11: Service target performance incentive scheme</w:t>
      </w:r>
      <w:r>
        <w:t>, November 2014, p. 35</w:t>
      </w:r>
      <w:r w:rsidR="00196484">
        <w:t>–</w:t>
      </w:r>
      <w:r>
        <w:t>37.</w:t>
      </w:r>
    </w:p>
  </w:footnote>
  <w:footnote w:id="8">
    <w:p w:rsidR="00EC0872" w:rsidRDefault="00EC0872" w:rsidP="00022807">
      <w:pPr>
        <w:pStyle w:val="FootnoteText"/>
      </w:pPr>
      <w:r>
        <w:rPr>
          <w:rStyle w:val="FootnoteReference"/>
        </w:rPr>
        <w:footnoteRef/>
      </w:r>
      <w:r>
        <w:t xml:space="preserve"> </w:t>
      </w:r>
      <w:r>
        <w:tab/>
        <w:t xml:space="preserve">Endeavour Energy, </w:t>
      </w:r>
      <w:r w:rsidRPr="00D922C9">
        <w:rPr>
          <w:rStyle w:val="AERtextitalic"/>
        </w:rPr>
        <w:t>Attachment 5.04 response to AER decision on reliability and STPIS</w:t>
      </w:r>
      <w:r>
        <w:t>, January 2015, pp.5</w:t>
      </w:r>
      <w:r w:rsidR="00196484">
        <w:t>–</w:t>
      </w:r>
      <w:r>
        <w:t>7.</w:t>
      </w:r>
    </w:p>
  </w:footnote>
  <w:footnote w:id="9">
    <w:p w:rsidR="00EC0872" w:rsidRDefault="00EC0872" w:rsidP="00B2638C">
      <w:pPr>
        <w:pStyle w:val="FootnoteText"/>
      </w:pPr>
      <w:r>
        <w:rPr>
          <w:rStyle w:val="FootnoteReference"/>
        </w:rPr>
        <w:footnoteRef/>
      </w:r>
      <w:r>
        <w:t xml:space="preserve"> </w:t>
      </w:r>
      <w:r>
        <w:tab/>
        <w:t>Endeavour Energy, Revised regulatory proposal to the Australian Energy Regulator 1 July 2014 – 30 June 2019, p.</w:t>
      </w:r>
      <w:r w:rsidR="00196484">
        <w:t> </w:t>
      </w:r>
      <w:r>
        <w:t>67</w:t>
      </w:r>
    </w:p>
  </w:footnote>
  <w:footnote w:id="10">
    <w:p w:rsidR="00EC0872" w:rsidRDefault="00EC0872" w:rsidP="00B2638C">
      <w:pPr>
        <w:pStyle w:val="FootnoteText"/>
      </w:pPr>
      <w:r>
        <w:rPr>
          <w:rStyle w:val="FootnoteReference"/>
        </w:rPr>
        <w:footnoteRef/>
      </w:r>
      <w:r>
        <w:t xml:space="preserve"> </w:t>
      </w:r>
      <w:r>
        <w:tab/>
        <w:t xml:space="preserve">Endeavour Energy, </w:t>
      </w:r>
      <w:r w:rsidRPr="00D922C9">
        <w:rPr>
          <w:rStyle w:val="AERtextitalic"/>
        </w:rPr>
        <w:t>Attachment 5.04 response to AER decision on reliability and STPIS</w:t>
      </w:r>
      <w:r>
        <w:t>, January 2015, p.</w:t>
      </w:r>
      <w:r w:rsidR="00196484">
        <w:t> </w:t>
      </w:r>
      <w:r>
        <w:t>5.</w:t>
      </w:r>
    </w:p>
  </w:footnote>
  <w:footnote w:id="11">
    <w:p w:rsidR="00EC0872" w:rsidRDefault="00EC0872" w:rsidP="00B2638C">
      <w:pPr>
        <w:pStyle w:val="FootnoteText"/>
      </w:pPr>
      <w:r>
        <w:rPr>
          <w:rStyle w:val="FootnoteReference"/>
        </w:rPr>
        <w:footnoteRef/>
      </w:r>
      <w:r>
        <w:t xml:space="preserve"> </w:t>
      </w:r>
      <w:r>
        <w:tab/>
        <w:t xml:space="preserve">Endeavour Energy, </w:t>
      </w:r>
      <w:r w:rsidRPr="00D922C9">
        <w:rPr>
          <w:rStyle w:val="AERtextitalic"/>
        </w:rPr>
        <w:t>Attachment 5.04 response to AER decision on reliability and STPIS</w:t>
      </w:r>
      <w:r>
        <w:t>, January 2015, pp.</w:t>
      </w:r>
      <w:r w:rsidR="00196484">
        <w:t> </w:t>
      </w:r>
      <w:r>
        <w:t>2</w:t>
      </w:r>
      <w:r w:rsidR="00196484">
        <w:t>–</w:t>
      </w:r>
      <w:r>
        <w:t>3.</w:t>
      </w:r>
    </w:p>
  </w:footnote>
  <w:footnote w:id="12">
    <w:p w:rsidR="00EC0872" w:rsidRDefault="00EC0872" w:rsidP="00B2638C">
      <w:pPr>
        <w:pStyle w:val="FootnoteText"/>
      </w:pPr>
      <w:r>
        <w:rPr>
          <w:rStyle w:val="FootnoteReference"/>
        </w:rPr>
        <w:footnoteRef/>
      </w:r>
      <w:r>
        <w:t xml:space="preserve"> </w:t>
      </w:r>
      <w:r>
        <w:tab/>
        <w:t xml:space="preserve">Endeavour Energy, </w:t>
      </w:r>
      <w:r w:rsidRPr="00D922C9">
        <w:rPr>
          <w:rStyle w:val="AERtextitalic"/>
        </w:rPr>
        <w:t>Attachment 5.04 response to AER decision on reliability and STPIS</w:t>
      </w:r>
      <w:r>
        <w:t>, January 2015, p.</w:t>
      </w:r>
      <w:r w:rsidR="00196484">
        <w:t> </w:t>
      </w:r>
      <w:r>
        <w:t>10.</w:t>
      </w:r>
    </w:p>
  </w:footnote>
  <w:footnote w:id="13">
    <w:p w:rsidR="00EC0872" w:rsidRDefault="00EC0872" w:rsidP="00B2638C">
      <w:pPr>
        <w:pStyle w:val="FootnoteText"/>
      </w:pPr>
      <w:r>
        <w:rPr>
          <w:rStyle w:val="FootnoteReference"/>
        </w:rPr>
        <w:footnoteRef/>
      </w:r>
      <w:r>
        <w:t xml:space="preserve"> </w:t>
      </w:r>
      <w:r>
        <w:tab/>
        <w:t xml:space="preserve">Endeavour Energy, </w:t>
      </w:r>
      <w:r w:rsidRPr="00D922C9">
        <w:rPr>
          <w:rStyle w:val="AERtextitalic"/>
        </w:rPr>
        <w:t>Attachment 5.04 response to AER decision on reliability and STPIS</w:t>
      </w:r>
      <w:r>
        <w:t>, January 2015, p.</w:t>
      </w:r>
      <w:r w:rsidR="00196484">
        <w:t> </w:t>
      </w:r>
      <w:r>
        <w:t>7.</w:t>
      </w:r>
    </w:p>
  </w:footnote>
  <w:footnote w:id="14">
    <w:p w:rsidR="00EC0872" w:rsidRDefault="00EC0872" w:rsidP="00B2638C">
      <w:pPr>
        <w:pStyle w:val="FootnoteText"/>
      </w:pPr>
      <w:r>
        <w:rPr>
          <w:rStyle w:val="FootnoteReference"/>
        </w:rPr>
        <w:footnoteRef/>
      </w:r>
      <w:r>
        <w:t xml:space="preserve"> </w:t>
      </w:r>
      <w:r>
        <w:tab/>
        <w:t xml:space="preserve">Endeavour Energy, </w:t>
      </w:r>
      <w:r w:rsidRPr="00D922C9">
        <w:rPr>
          <w:rStyle w:val="AERtextitalic"/>
        </w:rPr>
        <w:t>Attachment 5.04 response to AER decision on reliability and STPIS</w:t>
      </w:r>
      <w:r>
        <w:t>, January 2015, p.</w:t>
      </w:r>
      <w:r w:rsidR="00196484">
        <w:t> </w:t>
      </w:r>
      <w:r>
        <w:t>8.</w:t>
      </w:r>
    </w:p>
  </w:footnote>
  <w:footnote w:id="15">
    <w:p w:rsidR="00EC0872" w:rsidRDefault="00EC0872" w:rsidP="00B2638C">
      <w:pPr>
        <w:pStyle w:val="FootnoteText"/>
      </w:pPr>
      <w:r>
        <w:rPr>
          <w:rStyle w:val="FootnoteReference"/>
        </w:rPr>
        <w:footnoteRef/>
      </w:r>
      <w:r>
        <w:t xml:space="preserve"> </w:t>
      </w:r>
      <w:r>
        <w:tab/>
        <w:t xml:space="preserve">Endeavour Energy, </w:t>
      </w:r>
      <w:r w:rsidRPr="00D922C9">
        <w:rPr>
          <w:rStyle w:val="AERtextitalic"/>
        </w:rPr>
        <w:t>Attachment 5.04 response to AER decision on reliability and STPIS</w:t>
      </w:r>
      <w:r>
        <w:t>, January 2015, p.</w:t>
      </w:r>
      <w:r w:rsidR="00196484">
        <w:t> </w:t>
      </w:r>
      <w:r>
        <w:t>8.</w:t>
      </w:r>
    </w:p>
  </w:footnote>
  <w:footnote w:id="16">
    <w:p w:rsidR="00EC0872" w:rsidRDefault="00EC0872" w:rsidP="00B2638C">
      <w:pPr>
        <w:pStyle w:val="FootnoteText"/>
      </w:pPr>
      <w:r>
        <w:rPr>
          <w:rStyle w:val="FootnoteReference"/>
        </w:rPr>
        <w:footnoteRef/>
      </w:r>
      <w:r>
        <w:t xml:space="preserve"> </w:t>
      </w:r>
      <w:r>
        <w:tab/>
        <w:t xml:space="preserve">Endeavour Energy, </w:t>
      </w:r>
      <w:r w:rsidRPr="00D922C9">
        <w:rPr>
          <w:rStyle w:val="AERtextitalic"/>
        </w:rPr>
        <w:t>Attachment 5.04 response to AER decision on reliability and STPIS</w:t>
      </w:r>
      <w:r>
        <w:t>, January 2015, pp.</w:t>
      </w:r>
      <w:r w:rsidR="00196484">
        <w:t> </w:t>
      </w:r>
      <w:r>
        <w:t>5</w:t>
      </w:r>
      <w:r w:rsidR="00196484">
        <w:t>–</w:t>
      </w:r>
      <w:r>
        <w:t>7.</w:t>
      </w:r>
    </w:p>
  </w:footnote>
  <w:footnote w:id="17">
    <w:p w:rsidR="00EC0872" w:rsidRDefault="00EC0872" w:rsidP="00B2638C">
      <w:pPr>
        <w:pStyle w:val="FootnoteText"/>
      </w:pPr>
      <w:r>
        <w:rPr>
          <w:rStyle w:val="FootnoteReference"/>
        </w:rPr>
        <w:footnoteRef/>
      </w:r>
      <w:r>
        <w:t xml:space="preserve"> </w:t>
      </w:r>
      <w:r>
        <w:tab/>
        <w:t xml:space="preserve">Endeavour Energy, </w:t>
      </w:r>
      <w:r w:rsidRPr="00D922C9">
        <w:rPr>
          <w:rStyle w:val="AERtextitalic"/>
        </w:rPr>
        <w:t>Attachment 5.04 response to AER decision on reliability and STPIS</w:t>
      </w:r>
      <w:r>
        <w:t>, January 2015, p.</w:t>
      </w:r>
      <w:r w:rsidR="00196484">
        <w:t> </w:t>
      </w:r>
      <w:r>
        <w:t>11.</w:t>
      </w:r>
    </w:p>
  </w:footnote>
  <w:footnote w:id="18">
    <w:p w:rsidR="00EC0872" w:rsidRDefault="00EC0872">
      <w:pPr>
        <w:pStyle w:val="FootnoteText"/>
      </w:pPr>
      <w:r>
        <w:rPr>
          <w:rStyle w:val="FootnoteReference"/>
        </w:rPr>
        <w:footnoteRef/>
      </w:r>
      <w:r>
        <w:t xml:space="preserve"> </w:t>
      </w:r>
      <w:r>
        <w:tab/>
        <w:t xml:space="preserve">AER, </w:t>
      </w:r>
      <w:r w:rsidRPr="003013C3">
        <w:rPr>
          <w:rStyle w:val="AERtextitalic"/>
        </w:rPr>
        <w:t>Draft decision attachment 11: Service target performance incentive scheme</w:t>
      </w:r>
      <w:r>
        <w:t>, November 2014.</w:t>
      </w:r>
    </w:p>
  </w:footnote>
  <w:footnote w:id="19">
    <w:p w:rsidR="00EC0872" w:rsidRDefault="00EC0872" w:rsidP="00B2638C">
      <w:pPr>
        <w:pStyle w:val="FootnoteText"/>
      </w:pPr>
      <w:r>
        <w:rPr>
          <w:rStyle w:val="FootnoteReference"/>
        </w:rPr>
        <w:footnoteRef/>
      </w:r>
      <w:r>
        <w:t xml:space="preserve"> </w:t>
      </w:r>
      <w:r>
        <w:tab/>
      </w:r>
      <w:proofErr w:type="gramStart"/>
      <w:r w:rsidRPr="005D44E7">
        <w:t xml:space="preserve">AER, </w:t>
      </w:r>
      <w:r w:rsidRPr="000565BE">
        <w:rPr>
          <w:rStyle w:val="AERtextitalic"/>
        </w:rPr>
        <w:t>Electricity distribution STPIS</w:t>
      </w:r>
      <w:r w:rsidRPr="005D44E7">
        <w:t>, Nov 2009</w:t>
      </w:r>
      <w:r>
        <w:t>.</w:t>
      </w:r>
      <w:proofErr w:type="gramEnd"/>
    </w:p>
  </w:footnote>
  <w:footnote w:id="20">
    <w:p w:rsidR="00EC0872" w:rsidRDefault="00EC0872" w:rsidP="00B2638C">
      <w:pPr>
        <w:pStyle w:val="FootnoteText"/>
      </w:pPr>
      <w:r>
        <w:rPr>
          <w:rStyle w:val="FootnoteReference"/>
        </w:rPr>
        <w:footnoteRef/>
      </w:r>
      <w:r>
        <w:t xml:space="preserve"> </w:t>
      </w:r>
      <w:r>
        <w:tab/>
        <w:t>NER, cl. 6.6.2(b</w:t>
      </w:r>
      <w:proofErr w:type="gramStart"/>
      <w:r>
        <w:t>)(</w:t>
      </w:r>
      <w:proofErr w:type="gramEnd"/>
      <w:r>
        <w:t>3)(iv).</w:t>
      </w:r>
    </w:p>
  </w:footnote>
  <w:footnote w:id="21">
    <w:p w:rsidR="00EC0872" w:rsidRDefault="00EC0872" w:rsidP="00B2638C">
      <w:pPr>
        <w:pStyle w:val="FootnoteText"/>
      </w:pPr>
      <w:r>
        <w:rPr>
          <w:rStyle w:val="FootnoteReference"/>
        </w:rPr>
        <w:footnoteRef/>
      </w:r>
      <w:r>
        <w:t xml:space="preserve"> </w:t>
      </w:r>
      <w:r>
        <w:tab/>
        <w:t>AER, STPIS, cl</w:t>
      </w:r>
      <w:r w:rsidR="00196484">
        <w:t>.</w:t>
      </w:r>
      <w:r>
        <w:t xml:space="preserve"> 1.5(b</w:t>
      </w:r>
      <w:proofErr w:type="gramStart"/>
      <w:r>
        <w:t>)(</w:t>
      </w:r>
      <w:proofErr w:type="gramEnd"/>
      <w:r>
        <w:t>5).</w:t>
      </w:r>
    </w:p>
  </w:footnote>
  <w:footnote w:id="22">
    <w:p w:rsidR="00EC0872" w:rsidRDefault="00EC0872" w:rsidP="00B2638C">
      <w:pPr>
        <w:pStyle w:val="FootnoteText"/>
      </w:pPr>
      <w:r>
        <w:rPr>
          <w:rStyle w:val="FootnoteReference"/>
        </w:rPr>
        <w:footnoteRef/>
      </w:r>
      <w:r>
        <w:t xml:space="preserve"> </w:t>
      </w:r>
      <w:r>
        <w:tab/>
      </w:r>
      <w:proofErr w:type="gramStart"/>
      <w:r>
        <w:t>I</w:t>
      </w:r>
      <w:r w:rsidRPr="00233A32">
        <w:t>ncluded in the distributor's approved forecast capex for the subsequent period</w:t>
      </w:r>
      <w:r w:rsidRPr="009A4F34">
        <w:t>.</w:t>
      </w:r>
      <w:proofErr w:type="gramEnd"/>
    </w:p>
  </w:footnote>
  <w:footnote w:id="23">
    <w:p w:rsidR="00EC0872" w:rsidRDefault="00EC0872" w:rsidP="00B2638C">
      <w:pPr>
        <w:pStyle w:val="FootnoteText"/>
      </w:pPr>
      <w:r>
        <w:rPr>
          <w:rStyle w:val="FootnoteReference"/>
        </w:rPr>
        <w:footnoteRef/>
      </w:r>
      <w:r>
        <w:t xml:space="preserve"> </w:t>
      </w:r>
      <w:r>
        <w:tab/>
        <w:t xml:space="preserve">AER, </w:t>
      </w:r>
      <w:r w:rsidRPr="003013C3">
        <w:rPr>
          <w:rStyle w:val="AERtextitalic"/>
        </w:rPr>
        <w:t>Draft decision attachment 11: Service target performance incentive scheme</w:t>
      </w:r>
      <w:r>
        <w:t xml:space="preserve">, November 2014, pp. 18-19; AER, </w:t>
      </w:r>
      <w:r w:rsidRPr="008E4161">
        <w:rPr>
          <w:rStyle w:val="AERtextitalic"/>
        </w:rPr>
        <w:t xml:space="preserve">Stage 2 framework and approach </w:t>
      </w:r>
      <w:proofErr w:type="spellStart"/>
      <w:r w:rsidRPr="008E4161">
        <w:rPr>
          <w:rStyle w:val="AERtextitalic"/>
        </w:rPr>
        <w:t>Ausgrid</w:t>
      </w:r>
      <w:proofErr w:type="spellEnd"/>
      <w:r w:rsidRPr="008E4161">
        <w:rPr>
          <w:rStyle w:val="AERtextitalic"/>
        </w:rPr>
        <w:t>, Endeavour Energy and Essential Energy</w:t>
      </w:r>
      <w:r>
        <w:t>, January 2014, pp.14</w:t>
      </w:r>
      <w:r>
        <w:rPr>
          <w:rFonts w:cs="Gautami"/>
        </w:rPr>
        <w:t>–</w:t>
      </w:r>
      <w:r>
        <w:t>15.</w:t>
      </w:r>
    </w:p>
  </w:footnote>
  <w:footnote w:id="24">
    <w:p w:rsidR="00EC0872" w:rsidRDefault="00EC0872" w:rsidP="00B2638C">
      <w:pPr>
        <w:pStyle w:val="FootnoteText"/>
      </w:pPr>
      <w:r>
        <w:rPr>
          <w:rStyle w:val="FootnoteReference"/>
        </w:rPr>
        <w:footnoteRef/>
      </w:r>
      <w:r>
        <w:t xml:space="preserve"> </w:t>
      </w:r>
      <w:r>
        <w:tab/>
        <w:t xml:space="preserve">Endeavour Energy, </w:t>
      </w:r>
      <w:r w:rsidRPr="003148F2">
        <w:rPr>
          <w:rStyle w:val="AERtextitalic"/>
        </w:rPr>
        <w:t>Endeavour Energy regulatory proposal – 1 July 2015 to 30 June 2019</w:t>
      </w:r>
      <w:r>
        <w:t xml:space="preserve">, May 2014, p.28. Endeavour Energy, </w:t>
      </w:r>
      <w:r w:rsidRPr="00FD6C21">
        <w:rPr>
          <w:rStyle w:val="AERtextitalic"/>
        </w:rPr>
        <w:t>STPIS Proposal 2014–2019 regulatory control period</w:t>
      </w:r>
      <w:r>
        <w:t>, May 2014, pp.5-8.</w:t>
      </w:r>
    </w:p>
  </w:footnote>
  <w:footnote w:id="25">
    <w:p w:rsidR="00EC0872" w:rsidRDefault="00EC0872" w:rsidP="00B2638C">
      <w:pPr>
        <w:pStyle w:val="FootnoteText"/>
      </w:pPr>
      <w:r>
        <w:rPr>
          <w:rStyle w:val="FootnoteReference"/>
        </w:rPr>
        <w:footnoteRef/>
      </w:r>
      <w:r>
        <w:t xml:space="preserve"> </w:t>
      </w:r>
      <w:r>
        <w:tab/>
        <w:t xml:space="preserve">AER, </w:t>
      </w:r>
      <w:r w:rsidRPr="003013C3">
        <w:rPr>
          <w:rStyle w:val="AERtextitalic"/>
        </w:rPr>
        <w:t>Draft decision attachment 11: Service target performance incentive scheme</w:t>
      </w:r>
      <w:r>
        <w:t>, November 2014, pp.19–20.</w:t>
      </w:r>
    </w:p>
  </w:footnote>
  <w:footnote w:id="26">
    <w:p w:rsidR="00EC0872" w:rsidRDefault="00EC0872" w:rsidP="00B2638C">
      <w:pPr>
        <w:pStyle w:val="FootnoteText"/>
      </w:pPr>
      <w:r>
        <w:rPr>
          <w:rStyle w:val="FootnoteReference"/>
        </w:rPr>
        <w:footnoteRef/>
      </w:r>
      <w:r>
        <w:t xml:space="preserve"> </w:t>
      </w:r>
      <w:r>
        <w:rPr>
          <w:rFonts w:hint="eastAsia"/>
        </w:rPr>
        <w:tab/>
      </w:r>
      <w:r>
        <w:t xml:space="preserve">Endeavour Energy, </w:t>
      </w:r>
      <w:r w:rsidRPr="00D922C9">
        <w:rPr>
          <w:rStyle w:val="AERtextitalic"/>
        </w:rPr>
        <w:t>Attachment 5.04 response to AER decision on reliability and STPIS</w:t>
      </w:r>
      <w:r>
        <w:t>, January 2015.</w:t>
      </w:r>
    </w:p>
  </w:footnote>
  <w:footnote w:id="27">
    <w:p w:rsidR="00EC0872" w:rsidRDefault="00EC0872" w:rsidP="00B2638C">
      <w:pPr>
        <w:pStyle w:val="FootnoteText"/>
      </w:pPr>
      <w:r>
        <w:rPr>
          <w:rStyle w:val="FootnoteReference"/>
        </w:rPr>
        <w:footnoteRef/>
      </w:r>
      <w:r>
        <w:t xml:space="preserve"> </w:t>
      </w:r>
      <w:r>
        <w:tab/>
        <w:t xml:space="preserve">EUAA, </w:t>
      </w:r>
      <w:r w:rsidRPr="00B503B3">
        <w:rPr>
          <w:rStyle w:val="AERtextitalic"/>
        </w:rPr>
        <w:t>Submission AER 2015-19 draft revenue decision and NSW DNSPs' revenue proposals</w:t>
      </w:r>
      <w:r>
        <w:t>, 13 February 2015, p. 50.</w:t>
      </w:r>
    </w:p>
  </w:footnote>
  <w:footnote w:id="28">
    <w:p w:rsidR="00EC0872" w:rsidRDefault="00EC0872" w:rsidP="0038112E">
      <w:pPr>
        <w:pStyle w:val="FootnoteText"/>
      </w:pPr>
      <w:r>
        <w:rPr>
          <w:rStyle w:val="FootnoteReference"/>
        </w:rPr>
        <w:footnoteRef/>
      </w:r>
      <w:r>
        <w:t xml:space="preserve"> </w:t>
      </w:r>
      <w:r>
        <w:tab/>
        <w:t>Our</w:t>
      </w:r>
      <w:r w:rsidRPr="00DD548F">
        <w:t xml:space="preserve"> </w:t>
      </w:r>
      <w:r w:rsidRPr="00DD548F">
        <w:rPr>
          <w:rStyle w:val="AERtextitalic"/>
        </w:rPr>
        <w:t>final decision electricity distribution network service providers service target performance incentive scheme, June 2008</w:t>
      </w:r>
      <w:r w:rsidRPr="00DD548F">
        <w:t xml:space="preserve">, </w:t>
      </w:r>
      <w:r>
        <w:t xml:space="preserve">explained </w:t>
      </w:r>
      <w:r w:rsidRPr="00DD548F">
        <w:t>that a symmetrical scheme provides the incentive for distributors to maintain and improve service performance [p.9]; and, in practice this means that where a distributor's actual cost of undertaking works to improve service performance is less than the reward provided through the scheme the distributor has an incentive to carry out the works and achieve the desired performance level. In this way the scheme can act as an additional cost-recovery mechanism for service performance improvements, where these improvements are over and above those being funded through the revenue allowed in a distribution determination. As the scheme is symmetrical, that is penalties are accrued at the same rate as rewards, there is also an incentive under the scheme for a distributor to maintain its service performance [p.6].</w:t>
      </w:r>
    </w:p>
  </w:footnote>
  <w:footnote w:id="29">
    <w:p w:rsidR="00EC0872" w:rsidRDefault="00EC0872">
      <w:pPr>
        <w:pStyle w:val="FootnoteText"/>
      </w:pPr>
      <w:r>
        <w:rPr>
          <w:rStyle w:val="FootnoteReference"/>
        </w:rPr>
        <w:footnoteRef/>
      </w:r>
      <w:r>
        <w:t xml:space="preserve"> </w:t>
      </w:r>
      <w:r>
        <w:tab/>
        <w:t xml:space="preserve">AER, </w:t>
      </w:r>
      <w:r w:rsidRPr="003013C3">
        <w:rPr>
          <w:rStyle w:val="AERtextitalic"/>
        </w:rPr>
        <w:t>Draft decision attachment 11: Service target performance incentive scheme</w:t>
      </w:r>
      <w:r>
        <w:t>, November 2014, pp. 21–23.</w:t>
      </w:r>
    </w:p>
  </w:footnote>
  <w:footnote w:id="30">
    <w:p w:rsidR="00EC0872" w:rsidRDefault="00EC0872" w:rsidP="00B2638C">
      <w:pPr>
        <w:pStyle w:val="FootnoteText"/>
      </w:pPr>
      <w:r>
        <w:rPr>
          <w:rStyle w:val="FootnoteReference"/>
        </w:rPr>
        <w:footnoteRef/>
      </w:r>
      <w:r>
        <w:t xml:space="preserve"> </w:t>
      </w:r>
      <w:r>
        <w:rPr>
          <w:rFonts w:hint="eastAsia"/>
        </w:rPr>
        <w:tab/>
      </w:r>
      <w:r>
        <w:t xml:space="preserve">Endeavour Energy, </w:t>
      </w:r>
      <w:r w:rsidRPr="00D922C9">
        <w:rPr>
          <w:rStyle w:val="AERtextitalic"/>
        </w:rPr>
        <w:t>Attachment 5.04 response to AER decision on reliability and STPIS</w:t>
      </w:r>
      <w:r>
        <w:t>, January 2015.</w:t>
      </w:r>
    </w:p>
  </w:footnote>
  <w:footnote w:id="31">
    <w:p w:rsidR="00470E11" w:rsidRDefault="00470E11">
      <w:pPr>
        <w:pStyle w:val="FootnoteText"/>
      </w:pPr>
      <w:r>
        <w:rPr>
          <w:rStyle w:val="FootnoteReference"/>
        </w:rPr>
        <w:footnoteRef/>
      </w:r>
      <w:r>
        <w:t xml:space="preserve"> </w:t>
      </w:r>
      <w:r>
        <w:tab/>
        <w:t xml:space="preserve">Endeavour Energy, </w:t>
      </w:r>
      <w:r w:rsidRPr="00D922C9">
        <w:rPr>
          <w:rStyle w:val="AERtextitalic"/>
        </w:rPr>
        <w:t>Attachment 5.04 response to AER decision on reliability and STPIS</w:t>
      </w:r>
      <w:r>
        <w:t>, January 2015, p.5.</w:t>
      </w:r>
    </w:p>
  </w:footnote>
  <w:footnote w:id="32">
    <w:p w:rsidR="00EC0872" w:rsidRDefault="00EC0872" w:rsidP="00B2638C">
      <w:pPr>
        <w:pStyle w:val="FootnoteText"/>
      </w:pPr>
      <w:r>
        <w:rPr>
          <w:rStyle w:val="FootnoteReference"/>
        </w:rPr>
        <w:footnoteRef/>
      </w:r>
      <w:r>
        <w:t xml:space="preserve"> </w:t>
      </w:r>
      <w:r>
        <w:tab/>
      </w:r>
      <w:r w:rsidRPr="00E45AE6">
        <w:rPr>
          <w:rStyle w:val="AERtextitalic"/>
        </w:rPr>
        <w:t xml:space="preserve">Reliability and performance licence conditions for electricity distributors – the </w:t>
      </w:r>
      <w:proofErr w:type="spellStart"/>
      <w:r w:rsidRPr="00E45AE6">
        <w:rPr>
          <w:rStyle w:val="AERtextitalic"/>
        </w:rPr>
        <w:t>Hon</w:t>
      </w:r>
      <w:proofErr w:type="spellEnd"/>
      <w:r w:rsidRPr="00E45AE6">
        <w:rPr>
          <w:rStyle w:val="AERtextitalic"/>
        </w:rPr>
        <w:t xml:space="preserve"> Anthony Roberts MP Minster for Resources &amp; Energy</w:t>
      </w:r>
      <w:r>
        <w:t xml:space="preserve">, 1 July 2014. </w:t>
      </w:r>
    </w:p>
  </w:footnote>
  <w:footnote w:id="33">
    <w:p w:rsidR="00EC0872" w:rsidRDefault="00EC0872" w:rsidP="00B2638C">
      <w:pPr>
        <w:pStyle w:val="FootnoteText"/>
      </w:pPr>
      <w:r>
        <w:rPr>
          <w:rStyle w:val="FootnoteReference"/>
        </w:rPr>
        <w:footnoteRef/>
      </w:r>
      <w:r>
        <w:t xml:space="preserve"> </w:t>
      </w:r>
      <w:r>
        <w:tab/>
      </w:r>
      <w:r w:rsidRPr="00491846">
        <w:rPr>
          <w:rStyle w:val="AERtextitalic"/>
        </w:rPr>
        <w:t>Reliability and performance licence conditions for electricity distributors</w:t>
      </w:r>
      <w:r>
        <w:rPr>
          <w:rStyle w:val="AERtextitalic"/>
        </w:rPr>
        <w:t>,</w:t>
      </w:r>
      <w:r w:rsidRPr="00491846">
        <w:rPr>
          <w:rStyle w:val="AERtextitalic"/>
        </w:rPr>
        <w:t xml:space="preserve"> explanatory note</w:t>
      </w:r>
      <w:r>
        <w:t xml:space="preserve">, Commencement date 1 July 2014, </w:t>
      </w:r>
      <w:proofErr w:type="gramStart"/>
      <w:r>
        <w:t>p</w:t>
      </w:r>
      <w:proofErr w:type="gramEnd"/>
      <w:r>
        <w:t>. 3.</w:t>
      </w:r>
    </w:p>
  </w:footnote>
  <w:footnote w:id="34">
    <w:p w:rsidR="00EC0872" w:rsidRDefault="00EC0872">
      <w:pPr>
        <w:pStyle w:val="FootnoteText"/>
      </w:pPr>
      <w:r>
        <w:rPr>
          <w:rStyle w:val="FootnoteReference"/>
        </w:rPr>
        <w:footnoteRef/>
      </w:r>
      <w:r>
        <w:t xml:space="preserve"> </w:t>
      </w:r>
      <w:r>
        <w:tab/>
        <w:t xml:space="preserve">AER, </w:t>
      </w:r>
      <w:r w:rsidRPr="003013C3">
        <w:rPr>
          <w:rStyle w:val="AERtextitalic"/>
        </w:rPr>
        <w:t>Draft decision attachment 11: Service target performance incentive scheme</w:t>
      </w:r>
      <w:r>
        <w:t>, November 2014, pp. 27–35.</w:t>
      </w:r>
    </w:p>
  </w:footnote>
  <w:footnote w:id="35">
    <w:p w:rsidR="00EC0872" w:rsidRDefault="00EC0872" w:rsidP="00B2638C">
      <w:pPr>
        <w:pStyle w:val="FootnoteText"/>
      </w:pPr>
      <w:r>
        <w:rPr>
          <w:rStyle w:val="FootnoteReference"/>
        </w:rPr>
        <w:footnoteRef/>
      </w:r>
      <w:r>
        <w:t xml:space="preserve"> </w:t>
      </w:r>
      <w:r>
        <w:tab/>
        <w:t xml:space="preserve">AER, </w:t>
      </w:r>
      <w:r w:rsidRPr="003013C3">
        <w:rPr>
          <w:rStyle w:val="AERtextitalic"/>
        </w:rPr>
        <w:t>Draft decision attachment 11: Service target performance incentive scheme</w:t>
      </w:r>
      <w:r>
        <w:t xml:space="preserve">, November 2014, pp. </w:t>
      </w:r>
      <w:r>
        <w:rPr>
          <w:rFonts w:hint="eastAsia"/>
        </w:rPr>
        <w:t>24</w:t>
      </w:r>
      <w:r>
        <w:t>–</w:t>
      </w:r>
      <w:r>
        <w:rPr>
          <w:rFonts w:hint="eastAsia"/>
        </w:rPr>
        <w:t>35.</w:t>
      </w:r>
    </w:p>
  </w:footnote>
  <w:footnote w:id="36">
    <w:p w:rsidR="00EC0872" w:rsidRDefault="00EC0872" w:rsidP="00B2638C">
      <w:pPr>
        <w:pStyle w:val="FootnoteText"/>
      </w:pPr>
      <w:r>
        <w:rPr>
          <w:rStyle w:val="FootnoteReference"/>
        </w:rPr>
        <w:footnoteRef/>
      </w:r>
      <w:r>
        <w:t xml:space="preserve"> </w:t>
      </w:r>
      <w:r>
        <w:tab/>
        <w:t xml:space="preserve">CCP, </w:t>
      </w:r>
      <w:r w:rsidRPr="00B503B3">
        <w:rPr>
          <w:rStyle w:val="AERtextitalic"/>
        </w:rPr>
        <w:t>Submission to AER responding to NSW draft determinations and revised proposals from electricity distribution networks</w:t>
      </w:r>
      <w:r>
        <w:t xml:space="preserve">, 2 January 2015, p. 54; EUAA, </w:t>
      </w:r>
      <w:r w:rsidRPr="00B503B3">
        <w:rPr>
          <w:rStyle w:val="AERtextitalic"/>
        </w:rPr>
        <w:t>Submission AER 2015-19 draft revenue decision and NSW DNSPs' revenue proposal</w:t>
      </w:r>
      <w:r>
        <w:t>s, 13 February 2015, p. 49.</w:t>
      </w:r>
    </w:p>
  </w:footnote>
  <w:footnote w:id="37">
    <w:p w:rsidR="00EC0872" w:rsidRDefault="00EC0872" w:rsidP="00B2638C">
      <w:pPr>
        <w:pStyle w:val="FootnoteText"/>
      </w:pPr>
      <w:r>
        <w:rPr>
          <w:rStyle w:val="FootnoteReference"/>
        </w:rPr>
        <w:footnoteRef/>
      </w:r>
      <w:r>
        <w:t xml:space="preserve"> </w:t>
      </w:r>
      <w:r>
        <w:tab/>
        <w:t xml:space="preserve">Endeavour Energy, </w:t>
      </w:r>
      <w:r w:rsidRPr="00D922C9">
        <w:rPr>
          <w:rStyle w:val="AERtextitalic"/>
        </w:rPr>
        <w:t>Attachment 5.04 response to AER decision on reliability and STPIS</w:t>
      </w:r>
      <w:r>
        <w:t>, January 2015, p. 8.</w:t>
      </w:r>
    </w:p>
  </w:footnote>
  <w:footnote w:id="38">
    <w:p w:rsidR="00EC0872" w:rsidRDefault="00EC0872" w:rsidP="00B2638C">
      <w:pPr>
        <w:pStyle w:val="FootnoteText"/>
      </w:pPr>
      <w:r>
        <w:rPr>
          <w:rStyle w:val="FootnoteReference"/>
        </w:rPr>
        <w:footnoteRef/>
      </w:r>
      <w:r>
        <w:t xml:space="preserve"> </w:t>
      </w:r>
      <w:r>
        <w:tab/>
        <w:t xml:space="preserve">Endeavour Energy, </w:t>
      </w:r>
      <w:r w:rsidRPr="00D922C9">
        <w:rPr>
          <w:rStyle w:val="AERtextitalic"/>
        </w:rPr>
        <w:t>Attachment 5.04 response to AER decision on reliability and STPIS</w:t>
      </w:r>
      <w:r>
        <w:t>, January 2015, p. 8.</w:t>
      </w:r>
    </w:p>
  </w:footnote>
  <w:footnote w:id="39">
    <w:p w:rsidR="00EC0872" w:rsidRDefault="00EC0872" w:rsidP="00B2638C">
      <w:pPr>
        <w:pStyle w:val="FootnoteText"/>
      </w:pPr>
      <w:r>
        <w:rPr>
          <w:rStyle w:val="FootnoteReference"/>
        </w:rPr>
        <w:footnoteRef/>
      </w:r>
      <w:r>
        <w:t xml:space="preserve"> </w:t>
      </w:r>
      <w:r>
        <w:tab/>
        <w:t xml:space="preserve">Endeavour Energy, </w:t>
      </w:r>
      <w:r w:rsidRPr="00D922C9">
        <w:rPr>
          <w:rStyle w:val="AERtextitalic"/>
        </w:rPr>
        <w:t>Attachment 5.04 response to AER decision on reliability and STPIS</w:t>
      </w:r>
      <w:r>
        <w:t>, January 2015, p. 7.</w:t>
      </w:r>
    </w:p>
  </w:footnote>
  <w:footnote w:id="40">
    <w:p w:rsidR="00EC0872" w:rsidRDefault="00EC0872" w:rsidP="00B2638C">
      <w:pPr>
        <w:pStyle w:val="FootnoteText"/>
      </w:pPr>
      <w:r>
        <w:rPr>
          <w:rStyle w:val="FootnoteReference"/>
        </w:rPr>
        <w:footnoteRef/>
      </w:r>
      <w:r>
        <w:t xml:space="preserve"> </w:t>
      </w:r>
      <w:r>
        <w:tab/>
        <w:t>Note the AEMO NSW VCR represents customers' willingness to pay in both NSW and the ACT.</w:t>
      </w:r>
    </w:p>
  </w:footnote>
  <w:footnote w:id="41">
    <w:p w:rsidR="00EC0872" w:rsidRDefault="00EC0872" w:rsidP="00B2638C">
      <w:pPr>
        <w:pStyle w:val="FootnoteText"/>
      </w:pPr>
      <w:r>
        <w:rPr>
          <w:rStyle w:val="FootnoteReference"/>
        </w:rPr>
        <w:footnoteRef/>
      </w:r>
      <w:r>
        <w:t xml:space="preserve"> </w:t>
      </w:r>
      <w:r>
        <w:tab/>
        <w:t xml:space="preserve">EUAA, </w:t>
      </w:r>
      <w:r w:rsidRPr="00B503B3">
        <w:rPr>
          <w:rStyle w:val="AERtextitalic"/>
        </w:rPr>
        <w:t>Submission AER 2015-19 draft revenue decision and NSW DNSPs' revenue proposals</w:t>
      </w:r>
      <w:r>
        <w:t>, 13 February 2015, p.</w:t>
      </w:r>
      <w:r w:rsidR="00196484">
        <w:t xml:space="preserve"> </w:t>
      </w:r>
      <w:r>
        <w:t>50</w:t>
      </w:r>
      <w:r w:rsidR="00196484">
        <w:t>.</w:t>
      </w:r>
    </w:p>
  </w:footnote>
  <w:footnote w:id="42">
    <w:p w:rsidR="00EC0872" w:rsidRDefault="00EC0872" w:rsidP="00B2638C">
      <w:pPr>
        <w:pStyle w:val="FootnoteText"/>
      </w:pPr>
      <w:r>
        <w:rPr>
          <w:rStyle w:val="FootnoteReference"/>
        </w:rPr>
        <w:footnoteRef/>
      </w:r>
      <w:r>
        <w:t xml:space="preserve"> </w:t>
      </w:r>
      <w:r>
        <w:tab/>
        <w:t xml:space="preserve">Endeavour Energy, </w:t>
      </w:r>
      <w:r w:rsidRPr="00D922C9">
        <w:rPr>
          <w:rStyle w:val="AERtextitalic"/>
        </w:rPr>
        <w:t>Attachment 5.04 response to AER decision on reliability and STPIS</w:t>
      </w:r>
      <w:r>
        <w:t>, January 2015, p</w:t>
      </w:r>
      <w:r>
        <w:rPr>
          <w:rFonts w:hint="eastAsia"/>
        </w:rPr>
        <w:t>p.</w:t>
      </w:r>
      <w:r w:rsidR="00196484">
        <w:t xml:space="preserve"> </w:t>
      </w:r>
      <w:r>
        <w:rPr>
          <w:rFonts w:hint="eastAsia"/>
        </w:rPr>
        <w:t>6</w:t>
      </w:r>
      <w:r w:rsidR="00196484">
        <w:t>–</w:t>
      </w:r>
      <w:r>
        <w:rPr>
          <w:rFonts w:hint="eastAsia"/>
        </w:rPr>
        <w:t>7.</w:t>
      </w:r>
    </w:p>
  </w:footnote>
  <w:footnote w:id="43">
    <w:p w:rsidR="00EC0872" w:rsidRDefault="00EC0872" w:rsidP="00B2638C">
      <w:pPr>
        <w:pStyle w:val="FootnoteText"/>
      </w:pPr>
      <w:r>
        <w:rPr>
          <w:rStyle w:val="FootnoteReference"/>
        </w:rPr>
        <w:footnoteRef/>
      </w:r>
      <w:r>
        <w:t xml:space="preserve"> </w:t>
      </w:r>
      <w:r>
        <w:tab/>
        <w:t xml:space="preserve">Endeavour Energy, </w:t>
      </w:r>
      <w:r w:rsidRPr="00D922C9">
        <w:rPr>
          <w:rStyle w:val="AERtextitalic"/>
        </w:rPr>
        <w:t>Attachment 5.04 response to AER decision on reliability and STPIS</w:t>
      </w:r>
      <w:r>
        <w:t>, January 2015, pp.</w:t>
      </w:r>
      <w:r w:rsidR="00196484">
        <w:t xml:space="preserve"> </w:t>
      </w:r>
      <w:r>
        <w:rPr>
          <w:rFonts w:hint="eastAsia"/>
        </w:rPr>
        <w:t>6</w:t>
      </w:r>
      <w:r w:rsidR="00196484">
        <w:t>–</w:t>
      </w:r>
      <w:r>
        <w:t>7.</w:t>
      </w:r>
    </w:p>
  </w:footnote>
  <w:footnote w:id="44">
    <w:p w:rsidR="00EC0872" w:rsidRDefault="00EC0872" w:rsidP="00B2638C">
      <w:pPr>
        <w:pStyle w:val="FootnoteText"/>
      </w:pPr>
      <w:r>
        <w:rPr>
          <w:rStyle w:val="FootnoteReference"/>
        </w:rPr>
        <w:footnoteRef/>
      </w:r>
      <w:r>
        <w:t xml:space="preserve"> </w:t>
      </w:r>
      <w:r>
        <w:tab/>
        <w:t xml:space="preserve">Endeavour Energy, </w:t>
      </w:r>
      <w:r w:rsidRPr="00D922C9">
        <w:rPr>
          <w:rStyle w:val="AERtextitalic"/>
        </w:rPr>
        <w:t>Attachment 5.04 response to AER decision on reliability and STPIS</w:t>
      </w:r>
      <w:r>
        <w:t>, January 2015, pp.</w:t>
      </w:r>
      <w:r w:rsidR="00196484">
        <w:t xml:space="preserve"> </w:t>
      </w:r>
      <w:r>
        <w:rPr>
          <w:rFonts w:hint="eastAsia"/>
        </w:rPr>
        <w:t>6</w:t>
      </w:r>
      <w:r w:rsidR="00196484">
        <w:t>–</w:t>
      </w:r>
      <w:r>
        <w:t>7.</w:t>
      </w:r>
    </w:p>
  </w:footnote>
  <w:footnote w:id="45">
    <w:p w:rsidR="00EC0872" w:rsidRDefault="00EC0872" w:rsidP="00B2638C">
      <w:pPr>
        <w:pStyle w:val="FootnoteText"/>
      </w:pPr>
      <w:r>
        <w:rPr>
          <w:rStyle w:val="FootnoteReference"/>
        </w:rPr>
        <w:footnoteRef/>
      </w:r>
      <w:r>
        <w:t xml:space="preserve"> </w:t>
      </w:r>
      <w:r>
        <w:tab/>
        <w:t xml:space="preserve">Endeavour Energy, </w:t>
      </w:r>
      <w:r w:rsidRPr="00FD6C21">
        <w:rPr>
          <w:rStyle w:val="AERtextitalic"/>
        </w:rPr>
        <w:t>STPIS Proposal 2014–2019 regulatory control period</w:t>
      </w:r>
      <w:r>
        <w:t>, May 2014, pp.</w:t>
      </w:r>
      <w:r w:rsidR="00196484">
        <w:t xml:space="preserve"> </w:t>
      </w:r>
      <w:r>
        <w:t>7</w:t>
      </w:r>
      <w:r w:rsidR="00196484">
        <w:t>–</w:t>
      </w:r>
      <w:r>
        <w:t>9.</w:t>
      </w:r>
    </w:p>
  </w:footnote>
  <w:footnote w:id="46">
    <w:p w:rsidR="00EC0872" w:rsidRDefault="00EC0872" w:rsidP="00B2638C">
      <w:pPr>
        <w:pStyle w:val="FootnoteText"/>
      </w:pPr>
      <w:r>
        <w:rPr>
          <w:rStyle w:val="FootnoteReference"/>
        </w:rPr>
        <w:footnoteRef/>
      </w:r>
      <w:r>
        <w:t xml:space="preserve"> </w:t>
      </w:r>
      <w:r>
        <w:tab/>
        <w:t xml:space="preserve">AER, </w:t>
      </w:r>
      <w:r w:rsidRPr="003013C3">
        <w:rPr>
          <w:rStyle w:val="AERtextitalic"/>
        </w:rPr>
        <w:t>Draft decision attachment 11: Service target performance incentive scheme</w:t>
      </w:r>
      <w:r>
        <w:t xml:space="preserve">, November 2014, </w:t>
      </w:r>
      <w:r>
        <w:rPr>
          <w:rFonts w:hint="eastAsia"/>
        </w:rPr>
        <w:t>p.</w:t>
      </w:r>
      <w:r w:rsidR="00196484">
        <w:t xml:space="preserve"> </w:t>
      </w:r>
      <w:r>
        <w:rPr>
          <w:rFonts w:hint="eastAsia"/>
        </w:rPr>
        <w:t>38.</w:t>
      </w:r>
    </w:p>
  </w:footnote>
  <w:footnote w:id="47">
    <w:p w:rsidR="00EC0872" w:rsidRDefault="00EC0872" w:rsidP="00B2638C">
      <w:pPr>
        <w:pStyle w:val="FootnoteText"/>
      </w:pPr>
      <w:r>
        <w:rPr>
          <w:rStyle w:val="FootnoteReference"/>
        </w:rPr>
        <w:footnoteRef/>
      </w:r>
      <w:r>
        <w:t xml:space="preserve"> </w:t>
      </w:r>
      <w:r>
        <w:tab/>
        <w:t xml:space="preserve">Endeavour Energy, </w:t>
      </w:r>
      <w:r w:rsidRPr="00D922C9">
        <w:rPr>
          <w:rStyle w:val="AERtextitalic"/>
        </w:rPr>
        <w:t>Attachment 5.04 response to AER decision on reliability and STPIS</w:t>
      </w:r>
      <w:r>
        <w:t>, January 2015, p.</w:t>
      </w:r>
      <w:r w:rsidR="00196484">
        <w:t xml:space="preserve"> </w:t>
      </w:r>
      <w:r>
        <w:t>11.</w:t>
      </w:r>
    </w:p>
  </w:footnote>
  <w:footnote w:id="48">
    <w:p w:rsidR="00EC0872" w:rsidRDefault="00EC0872" w:rsidP="00B2638C">
      <w:pPr>
        <w:pStyle w:val="FootnoteText"/>
      </w:pPr>
      <w:r>
        <w:rPr>
          <w:rStyle w:val="FootnoteReference"/>
        </w:rPr>
        <w:footnoteRef/>
      </w:r>
      <w:r>
        <w:t xml:space="preserve"> </w:t>
      </w:r>
      <w:r>
        <w:tab/>
        <w:t xml:space="preserve">AER, </w:t>
      </w:r>
      <w:r w:rsidRPr="003013C3">
        <w:rPr>
          <w:rStyle w:val="AERtextitalic"/>
        </w:rPr>
        <w:t>Draft decision attachment 11: Service target performance incentive scheme</w:t>
      </w:r>
      <w:r>
        <w:t>, November 2014, p.</w:t>
      </w:r>
      <w:r w:rsidR="00196484">
        <w:t xml:space="preserve"> </w:t>
      </w:r>
      <w:r>
        <w:t>3</w:t>
      </w:r>
      <w:r>
        <w:rPr>
          <w:rFonts w:hint="eastAsia"/>
        </w:rPr>
        <w:t>9</w:t>
      </w:r>
      <w:r>
        <w:t>.</w:t>
      </w:r>
    </w:p>
  </w:footnote>
  <w:footnote w:id="49">
    <w:p w:rsidR="00EC0872" w:rsidRDefault="00EC0872" w:rsidP="00B2638C">
      <w:pPr>
        <w:pStyle w:val="FootnoteText"/>
      </w:pPr>
      <w:r>
        <w:rPr>
          <w:rStyle w:val="FootnoteReference"/>
        </w:rPr>
        <w:footnoteRef/>
      </w:r>
      <w:r>
        <w:t xml:space="preserve"> </w:t>
      </w:r>
      <w:r>
        <w:rPr>
          <w:rFonts w:hint="eastAsia"/>
        </w:rPr>
        <w:tab/>
      </w:r>
      <w:r>
        <w:t xml:space="preserve">Endeavour Energy, </w:t>
      </w:r>
      <w:r w:rsidRPr="00D922C9">
        <w:rPr>
          <w:rStyle w:val="AERtextitalic"/>
        </w:rPr>
        <w:t>Attachment 5.04 response to AER decision on reliability and STPIS</w:t>
      </w:r>
      <w:r>
        <w:t>, January 2015, p.</w:t>
      </w:r>
      <w:r w:rsidR="00196484">
        <w:t xml:space="preserve"> </w:t>
      </w:r>
      <w:r>
        <w:t>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C31450"/>
    <w:multiLevelType w:val="hybridMultilevel"/>
    <w:tmpl w:val="ADD663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C3F44DE"/>
    <w:multiLevelType w:val="multilevel"/>
    <w:tmpl w:val="950A1C52"/>
    <w:numStyleLink w:val="AERHeadings"/>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592056E"/>
    <w:multiLevelType w:val="multilevel"/>
    <w:tmpl w:val="950A1C52"/>
    <w:numStyleLink w:val="AERHeadings"/>
  </w:abstractNum>
  <w:abstractNum w:abstractNumId="18">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2">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F5F4FFC"/>
    <w:multiLevelType w:val="multilevel"/>
    <w:tmpl w:val="950A1C52"/>
    <w:numStyleLink w:val="AERHeadings"/>
  </w:abstractNum>
  <w:abstractNum w:abstractNumId="25">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41A80E45"/>
    <w:multiLevelType w:val="multilevel"/>
    <w:tmpl w:val="950A1C52"/>
    <w:numStyleLink w:val="AERHeadings"/>
  </w:abstractNum>
  <w:abstractNum w:abstractNumId="27">
    <w:nsid w:val="487C7731"/>
    <w:multiLevelType w:val="multilevel"/>
    <w:tmpl w:val="950A1C52"/>
    <w:numStyleLink w:val="AERHeadings"/>
  </w:abstractNum>
  <w:abstractNum w:abstractNumId="2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3">
    <w:nsid w:val="5ECE4384"/>
    <w:multiLevelType w:val="multilevel"/>
    <w:tmpl w:val="1810844E"/>
    <w:lvl w:ilvl="0">
      <w:start w:val="1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1290"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5">
    <w:nsid w:val="6DE36827"/>
    <w:multiLevelType w:val="multilevel"/>
    <w:tmpl w:val="950A1C52"/>
    <w:numStyleLink w:val="AERHeadings"/>
  </w:abstractNum>
  <w:abstractNum w:abstractNumId="36">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8"/>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4"/>
  </w:num>
  <w:num w:numId="13">
    <w:abstractNumId w:val="23"/>
  </w:num>
  <w:num w:numId="14">
    <w:abstractNumId w:val="11"/>
  </w:num>
  <w:num w:numId="15">
    <w:abstractNumId w:val="14"/>
  </w:num>
  <w:num w:numId="16">
    <w:abstractNumId w:val="28"/>
  </w:num>
  <w:num w:numId="17">
    <w:abstractNumId w:val="9"/>
  </w:num>
  <w:num w:numId="18">
    <w:abstractNumId w:val="19"/>
  </w:num>
  <w:num w:numId="19">
    <w:abstractNumId w:val="29"/>
  </w:num>
  <w:num w:numId="20">
    <w:abstractNumId w:val="36"/>
  </w:num>
  <w:num w:numId="21">
    <w:abstractNumId w:val="15"/>
  </w:num>
  <w:num w:numId="22">
    <w:abstractNumId w:val="32"/>
  </w:num>
  <w:num w:numId="23">
    <w:abstractNumId w:val="30"/>
  </w:num>
  <w:num w:numId="24">
    <w:abstractNumId w:val="21"/>
  </w:num>
  <w:num w:numId="25">
    <w:abstractNumId w:val="31"/>
  </w:num>
  <w:num w:numId="26">
    <w:abstractNumId w:val="33"/>
  </w:num>
  <w:num w:numId="27">
    <w:abstractNumId w:val="22"/>
  </w:num>
  <w:num w:numId="28">
    <w:abstractNumId w:val="20"/>
  </w:num>
  <w:num w:numId="29">
    <w:abstractNumId w:val="18"/>
  </w:num>
  <w:num w:numId="30">
    <w:abstractNumId w:val="37"/>
  </w:num>
  <w:num w:numId="31">
    <w:abstractNumId w:val="16"/>
  </w:num>
  <w:num w:numId="32">
    <w:abstractNumId w:val="25"/>
  </w:num>
  <w:num w:numId="33">
    <w:abstractNumId w:val="21"/>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1"/>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1"/>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5"/>
  </w:num>
  <w:num w:numId="37">
    <w:abstractNumId w:val="27"/>
  </w:num>
  <w:num w:numId="38">
    <w:abstractNumId w:val="24"/>
  </w:num>
  <w:num w:numId="39">
    <w:abstractNumId w:val="13"/>
  </w:num>
  <w:num w:numId="40">
    <w:abstractNumId w:val="33"/>
  </w:num>
  <w:num w:numId="41">
    <w:abstractNumId w:val="33"/>
  </w:num>
  <w:num w:numId="42">
    <w:abstractNumId w:val="26"/>
  </w:num>
  <w:num w:numId="43">
    <w:abstractNumId w:val="17"/>
  </w:num>
  <w:num w:numId="44">
    <w:abstractNumId w:val="10"/>
  </w:num>
  <w:num w:numId="45">
    <w:abstractNumId w:val="33"/>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IK2BMASqsHRLGW8zJf1nc3Eiy58aUzH1dvmokGNXfKY=" w:saltValue="Ds9o5Fz3X2l2gWZnuDmlhw==" w:algorithmName="SHA-256"/>
  <w:defaultTabStop w:val="340"/>
  <w:characterSpacingControl w:val="doNotCompress"/>
  <w:hdrShapeDefaults>
    <o:shapedefaults v:ext="edit" spidmax="1740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2548\AER15 443  AER - Final decision Endeavour Energy distribution determination - Attachment 11 - Service target performance incentive scheme - April 2015.DOCX"/>
  </w:docVars>
  <w:rsids>
    <w:rsidRoot w:val="00961A4A"/>
    <w:rsid w:val="00001A7D"/>
    <w:rsid w:val="00011F13"/>
    <w:rsid w:val="00021202"/>
    <w:rsid w:val="00021C2B"/>
    <w:rsid w:val="00022807"/>
    <w:rsid w:val="0002517F"/>
    <w:rsid w:val="00026C2C"/>
    <w:rsid w:val="000323FB"/>
    <w:rsid w:val="0003578C"/>
    <w:rsid w:val="00035DDA"/>
    <w:rsid w:val="000371F3"/>
    <w:rsid w:val="000402BE"/>
    <w:rsid w:val="00045C1D"/>
    <w:rsid w:val="00047654"/>
    <w:rsid w:val="0006131B"/>
    <w:rsid w:val="00063247"/>
    <w:rsid w:val="000670CF"/>
    <w:rsid w:val="00070F9F"/>
    <w:rsid w:val="0007137B"/>
    <w:rsid w:val="00074FCE"/>
    <w:rsid w:val="00085663"/>
    <w:rsid w:val="00085EBF"/>
    <w:rsid w:val="00091B15"/>
    <w:rsid w:val="00095219"/>
    <w:rsid w:val="000A3020"/>
    <w:rsid w:val="000A6C7B"/>
    <w:rsid w:val="000B2967"/>
    <w:rsid w:val="000C2B40"/>
    <w:rsid w:val="000C3E90"/>
    <w:rsid w:val="000C663F"/>
    <w:rsid w:val="000C6F43"/>
    <w:rsid w:val="000D122C"/>
    <w:rsid w:val="000E1819"/>
    <w:rsid w:val="000E4821"/>
    <w:rsid w:val="000E6C72"/>
    <w:rsid w:val="00113B43"/>
    <w:rsid w:val="00116EB2"/>
    <w:rsid w:val="001200C9"/>
    <w:rsid w:val="00124609"/>
    <w:rsid w:val="00126A4C"/>
    <w:rsid w:val="00141ADD"/>
    <w:rsid w:val="0014573B"/>
    <w:rsid w:val="00147DD6"/>
    <w:rsid w:val="001573E4"/>
    <w:rsid w:val="00160756"/>
    <w:rsid w:val="001614C3"/>
    <w:rsid w:val="00164ADF"/>
    <w:rsid w:val="0017232E"/>
    <w:rsid w:val="001737B9"/>
    <w:rsid w:val="00174102"/>
    <w:rsid w:val="001754EE"/>
    <w:rsid w:val="00176FFA"/>
    <w:rsid w:val="00180157"/>
    <w:rsid w:val="00185CB9"/>
    <w:rsid w:val="00185CBA"/>
    <w:rsid w:val="00186F77"/>
    <w:rsid w:val="001926A4"/>
    <w:rsid w:val="00192AD5"/>
    <w:rsid w:val="00196484"/>
    <w:rsid w:val="001B45A0"/>
    <w:rsid w:val="001B5D0D"/>
    <w:rsid w:val="001D055E"/>
    <w:rsid w:val="001F05A4"/>
    <w:rsid w:val="001F492E"/>
    <w:rsid w:val="001F6DA3"/>
    <w:rsid w:val="002010BC"/>
    <w:rsid w:val="002016E7"/>
    <w:rsid w:val="00202E03"/>
    <w:rsid w:val="0020492C"/>
    <w:rsid w:val="00216961"/>
    <w:rsid w:val="00224DB9"/>
    <w:rsid w:val="00233775"/>
    <w:rsid w:val="00242685"/>
    <w:rsid w:val="00251652"/>
    <w:rsid w:val="00251745"/>
    <w:rsid w:val="00263AC0"/>
    <w:rsid w:val="00264264"/>
    <w:rsid w:val="0026772D"/>
    <w:rsid w:val="00267A7A"/>
    <w:rsid w:val="002838BC"/>
    <w:rsid w:val="00286874"/>
    <w:rsid w:val="00286A8B"/>
    <w:rsid w:val="0029004F"/>
    <w:rsid w:val="00290C63"/>
    <w:rsid w:val="00296B65"/>
    <w:rsid w:val="002A7DEF"/>
    <w:rsid w:val="002B2EA5"/>
    <w:rsid w:val="002C233C"/>
    <w:rsid w:val="002D72E8"/>
    <w:rsid w:val="002E7B22"/>
    <w:rsid w:val="002F7986"/>
    <w:rsid w:val="00301B40"/>
    <w:rsid w:val="003029EE"/>
    <w:rsid w:val="003038DE"/>
    <w:rsid w:val="00305CC8"/>
    <w:rsid w:val="00307F6D"/>
    <w:rsid w:val="00312F39"/>
    <w:rsid w:val="0031483B"/>
    <w:rsid w:val="003177A2"/>
    <w:rsid w:val="00322D71"/>
    <w:rsid w:val="003271B5"/>
    <w:rsid w:val="00327A1E"/>
    <w:rsid w:val="00331264"/>
    <w:rsid w:val="00334C8D"/>
    <w:rsid w:val="00336AE5"/>
    <w:rsid w:val="00343A18"/>
    <w:rsid w:val="003518B3"/>
    <w:rsid w:val="0035399E"/>
    <w:rsid w:val="0038112E"/>
    <w:rsid w:val="003846F1"/>
    <w:rsid w:val="003A1559"/>
    <w:rsid w:val="003A1AA7"/>
    <w:rsid w:val="003A6661"/>
    <w:rsid w:val="003B2B64"/>
    <w:rsid w:val="003B484F"/>
    <w:rsid w:val="003B7FBA"/>
    <w:rsid w:val="003D37DF"/>
    <w:rsid w:val="003F174D"/>
    <w:rsid w:val="003F60AB"/>
    <w:rsid w:val="00415F31"/>
    <w:rsid w:val="00417306"/>
    <w:rsid w:val="00423A77"/>
    <w:rsid w:val="00447FB0"/>
    <w:rsid w:val="00450C47"/>
    <w:rsid w:val="0045777E"/>
    <w:rsid w:val="00470E11"/>
    <w:rsid w:val="00480B4B"/>
    <w:rsid w:val="00485DC4"/>
    <w:rsid w:val="004A43D1"/>
    <w:rsid w:val="004B4412"/>
    <w:rsid w:val="004B566C"/>
    <w:rsid w:val="004B79F9"/>
    <w:rsid w:val="004C348C"/>
    <w:rsid w:val="004D55BA"/>
    <w:rsid w:val="004E22EC"/>
    <w:rsid w:val="004F6A0E"/>
    <w:rsid w:val="00505B1E"/>
    <w:rsid w:val="00514060"/>
    <w:rsid w:val="00517C03"/>
    <w:rsid w:val="00530128"/>
    <w:rsid w:val="00532467"/>
    <w:rsid w:val="00540157"/>
    <w:rsid w:val="0055391D"/>
    <w:rsid w:val="005628B3"/>
    <w:rsid w:val="00564A4D"/>
    <w:rsid w:val="0056714A"/>
    <w:rsid w:val="00567BA5"/>
    <w:rsid w:val="00571B35"/>
    <w:rsid w:val="00571D57"/>
    <w:rsid w:val="005756F3"/>
    <w:rsid w:val="00577A09"/>
    <w:rsid w:val="005829C2"/>
    <w:rsid w:val="00584D8F"/>
    <w:rsid w:val="00586CB6"/>
    <w:rsid w:val="00592CAA"/>
    <w:rsid w:val="005A404D"/>
    <w:rsid w:val="005B1E3C"/>
    <w:rsid w:val="005B704A"/>
    <w:rsid w:val="005C21A4"/>
    <w:rsid w:val="005C26CC"/>
    <w:rsid w:val="005D5A32"/>
    <w:rsid w:val="005D7284"/>
    <w:rsid w:val="005D7BA2"/>
    <w:rsid w:val="005E1582"/>
    <w:rsid w:val="005E36C2"/>
    <w:rsid w:val="005E77F8"/>
    <w:rsid w:val="005F66F1"/>
    <w:rsid w:val="00600B7C"/>
    <w:rsid w:val="00610EF9"/>
    <w:rsid w:val="00612F4F"/>
    <w:rsid w:val="00613756"/>
    <w:rsid w:val="00615C6B"/>
    <w:rsid w:val="00621DCE"/>
    <w:rsid w:val="00631879"/>
    <w:rsid w:val="00632D6D"/>
    <w:rsid w:val="00632E46"/>
    <w:rsid w:val="00642C3E"/>
    <w:rsid w:val="0064439B"/>
    <w:rsid w:val="006571A1"/>
    <w:rsid w:val="0066104A"/>
    <w:rsid w:val="00663DAD"/>
    <w:rsid w:val="00673377"/>
    <w:rsid w:val="00675E20"/>
    <w:rsid w:val="00676679"/>
    <w:rsid w:val="0068372E"/>
    <w:rsid w:val="00683C89"/>
    <w:rsid w:val="006A1CD7"/>
    <w:rsid w:val="006A4368"/>
    <w:rsid w:val="006B2395"/>
    <w:rsid w:val="006B35D8"/>
    <w:rsid w:val="006B3823"/>
    <w:rsid w:val="006B4CF9"/>
    <w:rsid w:val="006B7AC8"/>
    <w:rsid w:val="006C1736"/>
    <w:rsid w:val="006C649B"/>
    <w:rsid w:val="006D550F"/>
    <w:rsid w:val="006F1BB0"/>
    <w:rsid w:val="0070011E"/>
    <w:rsid w:val="00701CAB"/>
    <w:rsid w:val="007020FD"/>
    <w:rsid w:val="00707563"/>
    <w:rsid w:val="00707B67"/>
    <w:rsid w:val="00717EAB"/>
    <w:rsid w:val="0072348C"/>
    <w:rsid w:val="00724A37"/>
    <w:rsid w:val="007303C3"/>
    <w:rsid w:val="007429BE"/>
    <w:rsid w:val="00743223"/>
    <w:rsid w:val="00743BAC"/>
    <w:rsid w:val="007460BF"/>
    <w:rsid w:val="00746E01"/>
    <w:rsid w:val="00755844"/>
    <w:rsid w:val="00757364"/>
    <w:rsid w:val="00757BDF"/>
    <w:rsid w:val="007609D0"/>
    <w:rsid w:val="00763E5D"/>
    <w:rsid w:val="00767740"/>
    <w:rsid w:val="00777EE6"/>
    <w:rsid w:val="007810F2"/>
    <w:rsid w:val="00782EEA"/>
    <w:rsid w:val="007A5EA6"/>
    <w:rsid w:val="007B186E"/>
    <w:rsid w:val="007B2C72"/>
    <w:rsid w:val="007C1C53"/>
    <w:rsid w:val="007C74BB"/>
    <w:rsid w:val="007D456E"/>
    <w:rsid w:val="007E4904"/>
    <w:rsid w:val="007E4CB5"/>
    <w:rsid w:val="007F066B"/>
    <w:rsid w:val="008033C4"/>
    <w:rsid w:val="00805582"/>
    <w:rsid w:val="00806C88"/>
    <w:rsid w:val="0081034E"/>
    <w:rsid w:val="00826183"/>
    <w:rsid w:val="008344F6"/>
    <w:rsid w:val="0083510F"/>
    <w:rsid w:val="00851209"/>
    <w:rsid w:val="00867D9A"/>
    <w:rsid w:val="008837AC"/>
    <w:rsid w:val="0089253E"/>
    <w:rsid w:val="00895A82"/>
    <w:rsid w:val="0089600D"/>
    <w:rsid w:val="008A587D"/>
    <w:rsid w:val="008A67F9"/>
    <w:rsid w:val="008B35CD"/>
    <w:rsid w:val="008B5FCC"/>
    <w:rsid w:val="008C38EE"/>
    <w:rsid w:val="008C5486"/>
    <w:rsid w:val="008D1661"/>
    <w:rsid w:val="008D6800"/>
    <w:rsid w:val="008E41D4"/>
    <w:rsid w:val="008E7031"/>
    <w:rsid w:val="008E77DE"/>
    <w:rsid w:val="008F07A3"/>
    <w:rsid w:val="008F71C5"/>
    <w:rsid w:val="009001B6"/>
    <w:rsid w:val="00900634"/>
    <w:rsid w:val="00900C64"/>
    <w:rsid w:val="00900E1B"/>
    <w:rsid w:val="009031DD"/>
    <w:rsid w:val="00904421"/>
    <w:rsid w:val="009233EE"/>
    <w:rsid w:val="00943E67"/>
    <w:rsid w:val="0094460E"/>
    <w:rsid w:val="009460AA"/>
    <w:rsid w:val="00950D85"/>
    <w:rsid w:val="00951978"/>
    <w:rsid w:val="00961A4A"/>
    <w:rsid w:val="009661DE"/>
    <w:rsid w:val="00975136"/>
    <w:rsid w:val="00983C25"/>
    <w:rsid w:val="009856B7"/>
    <w:rsid w:val="00985C86"/>
    <w:rsid w:val="00994087"/>
    <w:rsid w:val="00996A9C"/>
    <w:rsid w:val="009A5FC3"/>
    <w:rsid w:val="009B0655"/>
    <w:rsid w:val="009B6F84"/>
    <w:rsid w:val="009B74B0"/>
    <w:rsid w:val="009D0121"/>
    <w:rsid w:val="009D3906"/>
    <w:rsid w:val="009D6B46"/>
    <w:rsid w:val="009F4940"/>
    <w:rsid w:val="009F5BA1"/>
    <w:rsid w:val="009F647C"/>
    <w:rsid w:val="00A02A88"/>
    <w:rsid w:val="00A0562E"/>
    <w:rsid w:val="00A0726D"/>
    <w:rsid w:val="00A23DC7"/>
    <w:rsid w:val="00A309DD"/>
    <w:rsid w:val="00A32FBB"/>
    <w:rsid w:val="00A40F4F"/>
    <w:rsid w:val="00A428EE"/>
    <w:rsid w:val="00A432C4"/>
    <w:rsid w:val="00A43713"/>
    <w:rsid w:val="00A4478A"/>
    <w:rsid w:val="00A44852"/>
    <w:rsid w:val="00A449C9"/>
    <w:rsid w:val="00A50502"/>
    <w:rsid w:val="00A57D04"/>
    <w:rsid w:val="00A60A26"/>
    <w:rsid w:val="00A61598"/>
    <w:rsid w:val="00A639AC"/>
    <w:rsid w:val="00A84A99"/>
    <w:rsid w:val="00A84F46"/>
    <w:rsid w:val="00A871F4"/>
    <w:rsid w:val="00A95C33"/>
    <w:rsid w:val="00AC1B2C"/>
    <w:rsid w:val="00AC3264"/>
    <w:rsid w:val="00AD6AD1"/>
    <w:rsid w:val="00AE04E9"/>
    <w:rsid w:val="00AE1BF1"/>
    <w:rsid w:val="00AF0DD2"/>
    <w:rsid w:val="00B05EE1"/>
    <w:rsid w:val="00B13048"/>
    <w:rsid w:val="00B1716D"/>
    <w:rsid w:val="00B17A1D"/>
    <w:rsid w:val="00B207A0"/>
    <w:rsid w:val="00B21066"/>
    <w:rsid w:val="00B2638C"/>
    <w:rsid w:val="00B32072"/>
    <w:rsid w:val="00B3763C"/>
    <w:rsid w:val="00B476B8"/>
    <w:rsid w:val="00B514DD"/>
    <w:rsid w:val="00B52AF0"/>
    <w:rsid w:val="00B52FD0"/>
    <w:rsid w:val="00B561BD"/>
    <w:rsid w:val="00B56E03"/>
    <w:rsid w:val="00B573E9"/>
    <w:rsid w:val="00B622AD"/>
    <w:rsid w:val="00B667C7"/>
    <w:rsid w:val="00B7415C"/>
    <w:rsid w:val="00B76223"/>
    <w:rsid w:val="00B8080B"/>
    <w:rsid w:val="00B816FB"/>
    <w:rsid w:val="00B82223"/>
    <w:rsid w:val="00B87BA5"/>
    <w:rsid w:val="00B87C39"/>
    <w:rsid w:val="00B927B1"/>
    <w:rsid w:val="00B9562D"/>
    <w:rsid w:val="00BA4665"/>
    <w:rsid w:val="00BA66A7"/>
    <w:rsid w:val="00BB2FB2"/>
    <w:rsid w:val="00BB3304"/>
    <w:rsid w:val="00BB6F8D"/>
    <w:rsid w:val="00BC1B07"/>
    <w:rsid w:val="00BC3651"/>
    <w:rsid w:val="00BD068B"/>
    <w:rsid w:val="00BD3446"/>
    <w:rsid w:val="00BE1F1B"/>
    <w:rsid w:val="00BE3FBB"/>
    <w:rsid w:val="00BE47B5"/>
    <w:rsid w:val="00C1281A"/>
    <w:rsid w:val="00C12D5E"/>
    <w:rsid w:val="00C14594"/>
    <w:rsid w:val="00C25FA6"/>
    <w:rsid w:val="00C2769C"/>
    <w:rsid w:val="00C3447E"/>
    <w:rsid w:val="00C4466F"/>
    <w:rsid w:val="00C47C48"/>
    <w:rsid w:val="00C538A9"/>
    <w:rsid w:val="00C53B5A"/>
    <w:rsid w:val="00C54F5A"/>
    <w:rsid w:val="00C569B4"/>
    <w:rsid w:val="00C63F52"/>
    <w:rsid w:val="00C67A92"/>
    <w:rsid w:val="00C84560"/>
    <w:rsid w:val="00C86679"/>
    <w:rsid w:val="00CA22DD"/>
    <w:rsid w:val="00CA489E"/>
    <w:rsid w:val="00CB0279"/>
    <w:rsid w:val="00CB2448"/>
    <w:rsid w:val="00CB666B"/>
    <w:rsid w:val="00CC7F1D"/>
    <w:rsid w:val="00CE484B"/>
    <w:rsid w:val="00CE6D14"/>
    <w:rsid w:val="00CE7E04"/>
    <w:rsid w:val="00CF0DEE"/>
    <w:rsid w:val="00CF3FC7"/>
    <w:rsid w:val="00D006AE"/>
    <w:rsid w:val="00D01CF0"/>
    <w:rsid w:val="00D0442A"/>
    <w:rsid w:val="00D251BD"/>
    <w:rsid w:val="00D3473D"/>
    <w:rsid w:val="00D61388"/>
    <w:rsid w:val="00D61A54"/>
    <w:rsid w:val="00D64DEA"/>
    <w:rsid w:val="00D65F95"/>
    <w:rsid w:val="00D7168E"/>
    <w:rsid w:val="00D71E57"/>
    <w:rsid w:val="00D75482"/>
    <w:rsid w:val="00D80893"/>
    <w:rsid w:val="00D8161E"/>
    <w:rsid w:val="00D84854"/>
    <w:rsid w:val="00D922C9"/>
    <w:rsid w:val="00D92CF1"/>
    <w:rsid w:val="00D92D38"/>
    <w:rsid w:val="00D950F5"/>
    <w:rsid w:val="00DA4752"/>
    <w:rsid w:val="00DA61F3"/>
    <w:rsid w:val="00DB0F93"/>
    <w:rsid w:val="00DB1A67"/>
    <w:rsid w:val="00DB5074"/>
    <w:rsid w:val="00DB787B"/>
    <w:rsid w:val="00DC53D2"/>
    <w:rsid w:val="00DC7981"/>
    <w:rsid w:val="00DD2FEB"/>
    <w:rsid w:val="00DD7216"/>
    <w:rsid w:val="00DE1093"/>
    <w:rsid w:val="00DE4491"/>
    <w:rsid w:val="00DE4EFA"/>
    <w:rsid w:val="00DE5520"/>
    <w:rsid w:val="00DE563D"/>
    <w:rsid w:val="00E0177A"/>
    <w:rsid w:val="00E04818"/>
    <w:rsid w:val="00E06442"/>
    <w:rsid w:val="00E15FD8"/>
    <w:rsid w:val="00E23993"/>
    <w:rsid w:val="00E25B8C"/>
    <w:rsid w:val="00E31D74"/>
    <w:rsid w:val="00E43AB3"/>
    <w:rsid w:val="00E65C85"/>
    <w:rsid w:val="00E66199"/>
    <w:rsid w:val="00E755EC"/>
    <w:rsid w:val="00E7624D"/>
    <w:rsid w:val="00E840BC"/>
    <w:rsid w:val="00E926DC"/>
    <w:rsid w:val="00EA3D42"/>
    <w:rsid w:val="00EA6B1B"/>
    <w:rsid w:val="00EB1DDA"/>
    <w:rsid w:val="00EC04F1"/>
    <w:rsid w:val="00EC0872"/>
    <w:rsid w:val="00ED7323"/>
    <w:rsid w:val="00EE28F3"/>
    <w:rsid w:val="00EE50D1"/>
    <w:rsid w:val="00EF5110"/>
    <w:rsid w:val="00F02843"/>
    <w:rsid w:val="00F10411"/>
    <w:rsid w:val="00F15882"/>
    <w:rsid w:val="00F171E0"/>
    <w:rsid w:val="00F20BD3"/>
    <w:rsid w:val="00F373A5"/>
    <w:rsid w:val="00F47559"/>
    <w:rsid w:val="00F64C7B"/>
    <w:rsid w:val="00F676DD"/>
    <w:rsid w:val="00F75A26"/>
    <w:rsid w:val="00F76706"/>
    <w:rsid w:val="00F83FAD"/>
    <w:rsid w:val="00F902B3"/>
    <w:rsid w:val="00F952A0"/>
    <w:rsid w:val="00FA0FD1"/>
    <w:rsid w:val="00FA3C7F"/>
    <w:rsid w:val="00FB60FE"/>
    <w:rsid w:val="00FB74E2"/>
    <w:rsid w:val="00FC548A"/>
    <w:rsid w:val="00FD5614"/>
    <w:rsid w:val="00FD5E78"/>
    <w:rsid w:val="00FE0BE1"/>
    <w:rsid w:val="00FE1DE9"/>
    <w:rsid w:val="00FE2F94"/>
    <w:rsid w:val="00FE36AF"/>
    <w:rsid w:val="00FE39C2"/>
    <w:rsid w:val="00FE3C32"/>
    <w:rsid w:val="00FE64AE"/>
    <w:rsid w:val="00FF110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0"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ind w:left="864"/>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0"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ind w:left="864"/>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emf"/></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B682227F.dotm</Template>
  <TotalTime>0</TotalTime>
  <Pages>20</Pages>
  <Words>5010</Words>
  <Characters>28561</Characters>
  <Application>Microsoft Office Word</Application>
  <DocSecurity>0</DocSecurity>
  <Lines>238</Lines>
  <Paragraphs>67</Paragraphs>
  <ScaleCrop>false</ScaleCrop>
  <Company/>
  <LinksUpToDate>false</LinksUpToDate>
  <CharactersWithSpaces>33504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2015-04-27T06:37:00Z</dcterms:created>
  <dcterms:modified xsi:type="dcterms:W3CDTF">2015-04-27T06:37:00Z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