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879A207" wp14:editId="6D49D5CF">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613756" w:rsidP="008F07A3">
          <w:pPr>
            <w:pStyle w:val="ReportSubtitle"/>
          </w:pPr>
          <w:r>
            <w:t>Endeavour</w:t>
          </w:r>
          <w:r w:rsidR="005C21A4">
            <w:t xml:space="preserve">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5E1582">
            <w:t>1</w:t>
          </w:r>
          <w:r w:rsidR="006F016F">
            <w:t xml:space="preserve">2 </w:t>
          </w:r>
          <w:r w:rsidR="006F016F">
            <w:rPr>
              <w:rFonts w:cs="Arial"/>
            </w:rPr>
            <w:t>−</w:t>
          </w:r>
          <w:r w:rsidR="006F016F">
            <w:t xml:space="preserve"> Demand management incentive scheme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613756" w:rsidP="00B9562D">
      <w:pPr>
        <w:pStyle w:val="Copyright"/>
      </w:pPr>
      <w:r>
        <w:t>AER reference:</w:t>
      </w:r>
      <w:r>
        <w:tab/>
        <w:t>54420</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6789079"/>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613756">
        <w:t>Endeavour</w:t>
      </w:r>
      <w:r w:rsidR="005C21A4">
        <w:t xml:space="preserve">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8F07A3" w:rsidRDefault="0070011E" w:rsidP="00613756">
      <w:r>
        <w:t>Attach</w:t>
      </w:r>
      <w:r w:rsidR="00613756">
        <w:t>ment 18 - Connection policy</w:t>
      </w:r>
    </w:p>
    <w:p w:rsidR="00AC4A65" w:rsidRPr="00AC4A65" w:rsidRDefault="00AC4A65" w:rsidP="00AC4A65">
      <w:r>
        <w:t>Attachment 19</w:t>
      </w:r>
      <w:r w:rsidRPr="00AC4A65">
        <w:t xml:space="preserve"> - Analysis of financial viability</w:t>
      </w:r>
    </w:p>
    <w:p w:rsidR="00AC4A65" w:rsidRDefault="00AC4A65" w:rsidP="00613756"/>
    <w:p w:rsidR="00AC4A65" w:rsidRPr="008F07A3" w:rsidRDefault="00AC4A65" w:rsidP="00613756">
      <w:pPr>
        <w:sectPr w:rsidR="00AC4A65"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16789080"/>
      <w:r>
        <w:lastRenderedPageBreak/>
        <w:t>Contents</w:t>
      </w:r>
      <w:bookmarkEnd w:id="5"/>
      <w:bookmarkEnd w:id="6"/>
    </w:p>
    <w:p w:rsidR="005D7BA2" w:rsidRDefault="00613756" w:rsidP="00613756">
      <w:pPr>
        <w:tabs>
          <w:tab w:val="left" w:pos="3675"/>
        </w:tabs>
        <w:spacing w:line="240" w:lineRule="auto"/>
      </w:pPr>
      <w:r>
        <w:tab/>
      </w: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65BC1"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6789079" w:history="1">
            <w:r w:rsidR="00965BC1" w:rsidRPr="00B72F6C">
              <w:rPr>
                <w:rStyle w:val="Hyperlink"/>
              </w:rPr>
              <w:t>Note</w:t>
            </w:r>
            <w:r w:rsidR="00965BC1">
              <w:rPr>
                <w:webHidden/>
              </w:rPr>
              <w:tab/>
            </w:r>
            <w:r w:rsidR="00965BC1">
              <w:rPr>
                <w:webHidden/>
              </w:rPr>
              <w:fldChar w:fldCharType="begin"/>
            </w:r>
            <w:r w:rsidR="00965BC1">
              <w:rPr>
                <w:webHidden/>
              </w:rPr>
              <w:instrText xml:space="preserve"> PAGEREF _Toc416789079 \h </w:instrText>
            </w:r>
            <w:r w:rsidR="00965BC1">
              <w:rPr>
                <w:webHidden/>
              </w:rPr>
            </w:r>
            <w:r w:rsidR="00965BC1">
              <w:rPr>
                <w:webHidden/>
              </w:rPr>
              <w:fldChar w:fldCharType="separate"/>
            </w:r>
            <w:r w:rsidR="00965BC1">
              <w:rPr>
                <w:webHidden/>
              </w:rPr>
              <w:t>12-2</w:t>
            </w:r>
            <w:r w:rsidR="00965BC1">
              <w:rPr>
                <w:webHidden/>
              </w:rPr>
              <w:fldChar w:fldCharType="end"/>
            </w:r>
          </w:hyperlink>
        </w:p>
        <w:p w:rsidR="00965BC1" w:rsidRDefault="00905389">
          <w:pPr>
            <w:pStyle w:val="TOC1"/>
            <w:rPr>
              <w:rFonts w:asciiTheme="minorHAnsi" w:eastAsiaTheme="minorEastAsia" w:hAnsiTheme="minorHAnsi"/>
              <w:b w:val="0"/>
              <w:color w:val="auto"/>
              <w:sz w:val="22"/>
              <w:lang w:val="en-AU" w:eastAsia="en-AU"/>
            </w:rPr>
          </w:pPr>
          <w:hyperlink w:anchor="_Toc416789080" w:history="1">
            <w:r w:rsidR="00965BC1" w:rsidRPr="00B72F6C">
              <w:rPr>
                <w:rStyle w:val="Hyperlink"/>
              </w:rPr>
              <w:t>Contents</w:t>
            </w:r>
            <w:r w:rsidR="00965BC1">
              <w:rPr>
                <w:webHidden/>
              </w:rPr>
              <w:tab/>
            </w:r>
            <w:r w:rsidR="00965BC1">
              <w:rPr>
                <w:webHidden/>
              </w:rPr>
              <w:fldChar w:fldCharType="begin"/>
            </w:r>
            <w:r w:rsidR="00965BC1">
              <w:rPr>
                <w:webHidden/>
              </w:rPr>
              <w:instrText xml:space="preserve"> PAGEREF _Toc416789080 \h </w:instrText>
            </w:r>
            <w:r w:rsidR="00965BC1">
              <w:rPr>
                <w:webHidden/>
              </w:rPr>
            </w:r>
            <w:r w:rsidR="00965BC1">
              <w:rPr>
                <w:webHidden/>
              </w:rPr>
              <w:fldChar w:fldCharType="separate"/>
            </w:r>
            <w:r w:rsidR="00965BC1">
              <w:rPr>
                <w:webHidden/>
              </w:rPr>
              <w:t>12-3</w:t>
            </w:r>
            <w:r w:rsidR="00965BC1">
              <w:rPr>
                <w:webHidden/>
              </w:rPr>
              <w:fldChar w:fldCharType="end"/>
            </w:r>
          </w:hyperlink>
        </w:p>
        <w:p w:rsidR="00965BC1" w:rsidRDefault="00905389">
          <w:pPr>
            <w:pStyle w:val="TOC1"/>
            <w:rPr>
              <w:rFonts w:asciiTheme="minorHAnsi" w:eastAsiaTheme="minorEastAsia" w:hAnsiTheme="minorHAnsi"/>
              <w:b w:val="0"/>
              <w:color w:val="auto"/>
              <w:sz w:val="22"/>
              <w:lang w:val="en-AU" w:eastAsia="en-AU"/>
            </w:rPr>
          </w:pPr>
          <w:hyperlink w:anchor="_Toc416789081" w:history="1">
            <w:r w:rsidR="00965BC1" w:rsidRPr="00B72F6C">
              <w:rPr>
                <w:rStyle w:val="Hyperlink"/>
              </w:rPr>
              <w:t>Shortened forms</w:t>
            </w:r>
            <w:r w:rsidR="00965BC1">
              <w:rPr>
                <w:webHidden/>
              </w:rPr>
              <w:tab/>
            </w:r>
            <w:r w:rsidR="00965BC1">
              <w:rPr>
                <w:webHidden/>
              </w:rPr>
              <w:fldChar w:fldCharType="begin"/>
            </w:r>
            <w:r w:rsidR="00965BC1">
              <w:rPr>
                <w:webHidden/>
              </w:rPr>
              <w:instrText xml:space="preserve"> PAGEREF _Toc416789081 \h </w:instrText>
            </w:r>
            <w:r w:rsidR="00965BC1">
              <w:rPr>
                <w:webHidden/>
              </w:rPr>
            </w:r>
            <w:r w:rsidR="00965BC1">
              <w:rPr>
                <w:webHidden/>
              </w:rPr>
              <w:fldChar w:fldCharType="separate"/>
            </w:r>
            <w:r w:rsidR="00965BC1">
              <w:rPr>
                <w:webHidden/>
              </w:rPr>
              <w:t>12-4</w:t>
            </w:r>
            <w:r w:rsidR="00965BC1">
              <w:rPr>
                <w:webHidden/>
              </w:rPr>
              <w:fldChar w:fldCharType="end"/>
            </w:r>
          </w:hyperlink>
        </w:p>
        <w:p w:rsidR="00965BC1" w:rsidRDefault="00905389">
          <w:pPr>
            <w:pStyle w:val="TOC1"/>
            <w:rPr>
              <w:rFonts w:asciiTheme="minorHAnsi" w:eastAsiaTheme="minorEastAsia" w:hAnsiTheme="minorHAnsi"/>
              <w:b w:val="0"/>
              <w:color w:val="auto"/>
              <w:sz w:val="22"/>
              <w:lang w:val="en-AU" w:eastAsia="en-AU"/>
            </w:rPr>
          </w:pPr>
          <w:hyperlink w:anchor="_Toc416789082" w:history="1">
            <w:r w:rsidR="00965BC1" w:rsidRPr="00B72F6C">
              <w:rPr>
                <w:rStyle w:val="Hyperlink"/>
              </w:rPr>
              <w:t>12</w:t>
            </w:r>
            <w:r w:rsidR="00965BC1">
              <w:rPr>
                <w:rFonts w:asciiTheme="minorHAnsi" w:eastAsiaTheme="minorEastAsia" w:hAnsiTheme="minorHAnsi"/>
                <w:b w:val="0"/>
                <w:color w:val="auto"/>
                <w:sz w:val="22"/>
                <w:lang w:val="en-AU" w:eastAsia="en-AU"/>
              </w:rPr>
              <w:tab/>
            </w:r>
            <w:r w:rsidR="00965BC1" w:rsidRPr="00B72F6C">
              <w:rPr>
                <w:rStyle w:val="Hyperlink"/>
              </w:rPr>
              <w:t>Demand management incentive scheme</w:t>
            </w:r>
            <w:r w:rsidR="00965BC1">
              <w:rPr>
                <w:webHidden/>
              </w:rPr>
              <w:tab/>
            </w:r>
            <w:r w:rsidR="00965BC1">
              <w:rPr>
                <w:webHidden/>
              </w:rPr>
              <w:fldChar w:fldCharType="begin"/>
            </w:r>
            <w:r w:rsidR="00965BC1">
              <w:rPr>
                <w:webHidden/>
              </w:rPr>
              <w:instrText xml:space="preserve"> PAGEREF _Toc416789082 \h </w:instrText>
            </w:r>
            <w:r w:rsidR="00965BC1">
              <w:rPr>
                <w:webHidden/>
              </w:rPr>
            </w:r>
            <w:r w:rsidR="00965BC1">
              <w:rPr>
                <w:webHidden/>
              </w:rPr>
              <w:fldChar w:fldCharType="separate"/>
            </w:r>
            <w:r w:rsidR="00965BC1">
              <w:rPr>
                <w:webHidden/>
              </w:rPr>
              <w:t>12-6</w:t>
            </w:r>
            <w:r w:rsidR="00965BC1">
              <w:rPr>
                <w:webHidden/>
              </w:rPr>
              <w:fldChar w:fldCharType="end"/>
            </w:r>
          </w:hyperlink>
        </w:p>
        <w:p w:rsidR="00965BC1" w:rsidRDefault="00905389">
          <w:pPr>
            <w:pStyle w:val="TOC2"/>
            <w:tabs>
              <w:tab w:val="left" w:pos="1276"/>
            </w:tabs>
            <w:rPr>
              <w:rFonts w:asciiTheme="minorHAnsi" w:eastAsiaTheme="minorEastAsia" w:hAnsiTheme="minorHAnsi"/>
              <w:b w:val="0"/>
              <w:color w:val="auto"/>
              <w:sz w:val="22"/>
              <w:lang w:eastAsia="en-AU"/>
            </w:rPr>
          </w:pPr>
          <w:hyperlink w:anchor="_Toc416789083" w:history="1">
            <w:r w:rsidR="00965BC1" w:rsidRPr="00B72F6C">
              <w:rPr>
                <w:rStyle w:val="Hyperlink"/>
              </w:rPr>
              <w:t>12.1</w:t>
            </w:r>
            <w:r w:rsidR="00965BC1">
              <w:rPr>
                <w:rFonts w:asciiTheme="minorHAnsi" w:eastAsiaTheme="minorEastAsia" w:hAnsiTheme="minorHAnsi"/>
                <w:b w:val="0"/>
                <w:color w:val="auto"/>
                <w:sz w:val="22"/>
                <w:lang w:eastAsia="en-AU"/>
              </w:rPr>
              <w:tab/>
            </w:r>
            <w:r w:rsidR="00965BC1" w:rsidRPr="00B72F6C">
              <w:rPr>
                <w:rStyle w:val="Hyperlink"/>
              </w:rPr>
              <w:t>Final decision</w:t>
            </w:r>
            <w:r w:rsidR="00965BC1">
              <w:rPr>
                <w:webHidden/>
              </w:rPr>
              <w:tab/>
            </w:r>
            <w:r w:rsidR="00965BC1">
              <w:rPr>
                <w:webHidden/>
              </w:rPr>
              <w:fldChar w:fldCharType="begin"/>
            </w:r>
            <w:r w:rsidR="00965BC1">
              <w:rPr>
                <w:webHidden/>
              </w:rPr>
              <w:instrText xml:space="preserve"> PAGEREF _Toc416789083 \h </w:instrText>
            </w:r>
            <w:r w:rsidR="00965BC1">
              <w:rPr>
                <w:webHidden/>
              </w:rPr>
            </w:r>
            <w:r w:rsidR="00965BC1">
              <w:rPr>
                <w:webHidden/>
              </w:rPr>
              <w:fldChar w:fldCharType="separate"/>
            </w:r>
            <w:r w:rsidR="00965BC1">
              <w:rPr>
                <w:webHidden/>
              </w:rPr>
              <w:t>12-7</w:t>
            </w:r>
            <w:r w:rsidR="00965BC1">
              <w:rPr>
                <w:webHidden/>
              </w:rPr>
              <w:fldChar w:fldCharType="end"/>
            </w:r>
          </w:hyperlink>
        </w:p>
        <w:p w:rsidR="00965BC1" w:rsidRDefault="00905389">
          <w:pPr>
            <w:pStyle w:val="TOC2"/>
            <w:tabs>
              <w:tab w:val="left" w:pos="1276"/>
            </w:tabs>
            <w:rPr>
              <w:rFonts w:asciiTheme="minorHAnsi" w:eastAsiaTheme="minorEastAsia" w:hAnsiTheme="minorHAnsi"/>
              <w:b w:val="0"/>
              <w:color w:val="auto"/>
              <w:sz w:val="22"/>
              <w:lang w:eastAsia="en-AU"/>
            </w:rPr>
          </w:pPr>
          <w:hyperlink w:anchor="_Toc416789084" w:history="1">
            <w:r w:rsidR="00965BC1" w:rsidRPr="00B72F6C">
              <w:rPr>
                <w:rStyle w:val="Hyperlink"/>
              </w:rPr>
              <w:t>12.2</w:t>
            </w:r>
            <w:r w:rsidR="00965BC1">
              <w:rPr>
                <w:rFonts w:asciiTheme="minorHAnsi" w:eastAsiaTheme="minorEastAsia" w:hAnsiTheme="minorHAnsi"/>
                <w:b w:val="0"/>
                <w:color w:val="auto"/>
                <w:sz w:val="22"/>
                <w:lang w:eastAsia="en-AU"/>
              </w:rPr>
              <w:tab/>
            </w:r>
            <w:r w:rsidR="00965BC1" w:rsidRPr="00B72F6C">
              <w:rPr>
                <w:rStyle w:val="Hyperlink"/>
              </w:rPr>
              <w:t>Endeavour Energy's revised proposal</w:t>
            </w:r>
            <w:r w:rsidR="00965BC1">
              <w:rPr>
                <w:webHidden/>
              </w:rPr>
              <w:tab/>
            </w:r>
            <w:r w:rsidR="00965BC1">
              <w:rPr>
                <w:webHidden/>
              </w:rPr>
              <w:fldChar w:fldCharType="begin"/>
            </w:r>
            <w:r w:rsidR="00965BC1">
              <w:rPr>
                <w:webHidden/>
              </w:rPr>
              <w:instrText xml:space="preserve"> PAGEREF _Toc416789084 \h </w:instrText>
            </w:r>
            <w:r w:rsidR="00965BC1">
              <w:rPr>
                <w:webHidden/>
              </w:rPr>
            </w:r>
            <w:r w:rsidR="00965BC1">
              <w:rPr>
                <w:webHidden/>
              </w:rPr>
              <w:fldChar w:fldCharType="separate"/>
            </w:r>
            <w:r w:rsidR="00965BC1">
              <w:rPr>
                <w:webHidden/>
              </w:rPr>
              <w:t>12-7</w:t>
            </w:r>
            <w:r w:rsidR="00965BC1">
              <w:rPr>
                <w:webHidden/>
              </w:rPr>
              <w:fldChar w:fldCharType="end"/>
            </w:r>
          </w:hyperlink>
        </w:p>
        <w:p w:rsidR="00965BC1" w:rsidRDefault="00905389">
          <w:pPr>
            <w:pStyle w:val="TOC2"/>
            <w:tabs>
              <w:tab w:val="left" w:pos="1276"/>
            </w:tabs>
            <w:rPr>
              <w:rFonts w:asciiTheme="minorHAnsi" w:eastAsiaTheme="minorEastAsia" w:hAnsiTheme="minorHAnsi"/>
              <w:b w:val="0"/>
              <w:color w:val="auto"/>
              <w:sz w:val="22"/>
              <w:lang w:eastAsia="en-AU"/>
            </w:rPr>
          </w:pPr>
          <w:hyperlink w:anchor="_Toc416789085" w:history="1">
            <w:r w:rsidR="00965BC1" w:rsidRPr="00B72F6C">
              <w:rPr>
                <w:rStyle w:val="Hyperlink"/>
              </w:rPr>
              <w:t>12.3</w:t>
            </w:r>
            <w:r w:rsidR="00965BC1">
              <w:rPr>
                <w:rFonts w:asciiTheme="minorHAnsi" w:eastAsiaTheme="minorEastAsia" w:hAnsiTheme="minorHAnsi"/>
                <w:b w:val="0"/>
                <w:color w:val="auto"/>
                <w:sz w:val="22"/>
                <w:lang w:eastAsia="en-AU"/>
              </w:rPr>
              <w:tab/>
            </w:r>
            <w:r w:rsidR="00965BC1" w:rsidRPr="00B72F6C">
              <w:rPr>
                <w:rStyle w:val="Hyperlink"/>
              </w:rPr>
              <w:t>AER’s assessment approach</w:t>
            </w:r>
            <w:r w:rsidR="00965BC1">
              <w:rPr>
                <w:webHidden/>
              </w:rPr>
              <w:tab/>
            </w:r>
            <w:r w:rsidR="00965BC1">
              <w:rPr>
                <w:webHidden/>
              </w:rPr>
              <w:fldChar w:fldCharType="begin"/>
            </w:r>
            <w:r w:rsidR="00965BC1">
              <w:rPr>
                <w:webHidden/>
              </w:rPr>
              <w:instrText xml:space="preserve"> PAGEREF _Toc416789085 \h </w:instrText>
            </w:r>
            <w:r w:rsidR="00965BC1">
              <w:rPr>
                <w:webHidden/>
              </w:rPr>
            </w:r>
            <w:r w:rsidR="00965BC1">
              <w:rPr>
                <w:webHidden/>
              </w:rPr>
              <w:fldChar w:fldCharType="separate"/>
            </w:r>
            <w:r w:rsidR="00965BC1">
              <w:rPr>
                <w:webHidden/>
              </w:rPr>
              <w:t>12-7</w:t>
            </w:r>
            <w:r w:rsidR="00965BC1">
              <w:rPr>
                <w:webHidden/>
              </w:rPr>
              <w:fldChar w:fldCharType="end"/>
            </w:r>
          </w:hyperlink>
        </w:p>
        <w:p w:rsidR="00965BC1" w:rsidRDefault="00905389">
          <w:pPr>
            <w:pStyle w:val="TOC2"/>
            <w:tabs>
              <w:tab w:val="left" w:pos="1276"/>
            </w:tabs>
            <w:rPr>
              <w:rFonts w:asciiTheme="minorHAnsi" w:eastAsiaTheme="minorEastAsia" w:hAnsiTheme="minorHAnsi"/>
              <w:b w:val="0"/>
              <w:color w:val="auto"/>
              <w:sz w:val="22"/>
              <w:lang w:eastAsia="en-AU"/>
            </w:rPr>
          </w:pPr>
          <w:hyperlink w:anchor="_Toc416789086" w:history="1">
            <w:r w:rsidR="00965BC1" w:rsidRPr="00B72F6C">
              <w:rPr>
                <w:rStyle w:val="Hyperlink"/>
              </w:rPr>
              <w:t>12.4</w:t>
            </w:r>
            <w:r w:rsidR="00965BC1">
              <w:rPr>
                <w:rFonts w:asciiTheme="minorHAnsi" w:eastAsiaTheme="minorEastAsia" w:hAnsiTheme="minorHAnsi"/>
                <w:b w:val="0"/>
                <w:color w:val="auto"/>
                <w:sz w:val="22"/>
                <w:lang w:eastAsia="en-AU"/>
              </w:rPr>
              <w:tab/>
            </w:r>
            <w:r w:rsidR="00965BC1" w:rsidRPr="00B72F6C">
              <w:rPr>
                <w:rStyle w:val="Hyperlink"/>
              </w:rPr>
              <w:t>Reasons for final decision</w:t>
            </w:r>
            <w:r w:rsidR="00965BC1">
              <w:rPr>
                <w:webHidden/>
              </w:rPr>
              <w:tab/>
            </w:r>
            <w:r w:rsidR="00965BC1">
              <w:rPr>
                <w:webHidden/>
              </w:rPr>
              <w:fldChar w:fldCharType="begin"/>
            </w:r>
            <w:r w:rsidR="00965BC1">
              <w:rPr>
                <w:webHidden/>
              </w:rPr>
              <w:instrText xml:space="preserve"> PAGEREF _Toc416789086 \h </w:instrText>
            </w:r>
            <w:r w:rsidR="00965BC1">
              <w:rPr>
                <w:webHidden/>
              </w:rPr>
            </w:r>
            <w:r w:rsidR="00965BC1">
              <w:rPr>
                <w:webHidden/>
              </w:rPr>
              <w:fldChar w:fldCharType="separate"/>
            </w:r>
            <w:r w:rsidR="00965BC1">
              <w:rPr>
                <w:webHidden/>
              </w:rPr>
              <w:t>12-8</w:t>
            </w:r>
            <w:r w:rsidR="00965BC1">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7" w:name="_Toc404700925"/>
      <w:bookmarkStart w:id="8" w:name="_Toc416789081"/>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3940EE">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3940EE" w:rsidTr="003940EE">
        <w:tc>
          <w:tcPr>
            <w:tcW w:w="4349" w:type="dxa"/>
          </w:tcPr>
          <w:p w:rsidR="003940EE" w:rsidRPr="003940EE" w:rsidRDefault="003940EE" w:rsidP="003940EE">
            <w:pPr>
              <w:numPr>
                <w:ilvl w:val="0"/>
                <w:numId w:val="25"/>
              </w:numPr>
            </w:pPr>
            <w:r w:rsidRPr="003940EE">
              <w:t>AEMC</w:t>
            </w:r>
          </w:p>
        </w:tc>
        <w:tc>
          <w:tcPr>
            <w:tcW w:w="4344" w:type="dxa"/>
          </w:tcPr>
          <w:p w:rsidR="003940EE" w:rsidRPr="003940EE" w:rsidRDefault="003940EE" w:rsidP="003940EE">
            <w:pPr>
              <w:numPr>
                <w:ilvl w:val="0"/>
                <w:numId w:val="25"/>
              </w:numPr>
            </w:pPr>
            <w:r w:rsidRPr="003940EE">
              <w:t>Australian Energy Market Commission</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AEMO</w:t>
            </w:r>
          </w:p>
        </w:tc>
        <w:tc>
          <w:tcPr>
            <w:tcW w:w="4344" w:type="dxa"/>
          </w:tcPr>
          <w:p w:rsidR="003940EE" w:rsidRPr="003940EE" w:rsidRDefault="003940EE" w:rsidP="003940EE">
            <w:pPr>
              <w:numPr>
                <w:ilvl w:val="0"/>
                <w:numId w:val="25"/>
              </w:numPr>
            </w:pPr>
            <w:r w:rsidRPr="003940EE">
              <w:t>Australian Energy Market Operator</w:t>
            </w:r>
          </w:p>
        </w:tc>
      </w:tr>
      <w:tr w:rsidR="003940EE" w:rsidTr="003940EE">
        <w:tc>
          <w:tcPr>
            <w:tcW w:w="4349" w:type="dxa"/>
          </w:tcPr>
          <w:p w:rsidR="003940EE" w:rsidRPr="003940EE" w:rsidRDefault="003940EE" w:rsidP="003940EE">
            <w:pPr>
              <w:numPr>
                <w:ilvl w:val="0"/>
                <w:numId w:val="25"/>
              </w:numPr>
            </w:pPr>
            <w:r w:rsidRPr="003940EE">
              <w:t>AER</w:t>
            </w:r>
          </w:p>
        </w:tc>
        <w:tc>
          <w:tcPr>
            <w:tcW w:w="4344" w:type="dxa"/>
          </w:tcPr>
          <w:p w:rsidR="003940EE" w:rsidRPr="003940EE" w:rsidRDefault="003940EE" w:rsidP="003940EE">
            <w:pPr>
              <w:numPr>
                <w:ilvl w:val="0"/>
                <w:numId w:val="25"/>
              </w:numPr>
            </w:pPr>
            <w:r w:rsidRPr="003940EE">
              <w:t>Australian Energy Regulator</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proofErr w:type="spellStart"/>
            <w:r w:rsidRPr="003940EE">
              <w:t>augex</w:t>
            </w:r>
            <w:proofErr w:type="spellEnd"/>
          </w:p>
        </w:tc>
        <w:tc>
          <w:tcPr>
            <w:tcW w:w="4344" w:type="dxa"/>
          </w:tcPr>
          <w:p w:rsidR="003940EE" w:rsidRPr="003940EE" w:rsidRDefault="003940EE" w:rsidP="003940EE">
            <w:pPr>
              <w:numPr>
                <w:ilvl w:val="0"/>
                <w:numId w:val="25"/>
              </w:numPr>
            </w:pPr>
            <w:r w:rsidRPr="003940EE">
              <w:t>augmentation expenditure</w:t>
            </w:r>
          </w:p>
        </w:tc>
      </w:tr>
      <w:tr w:rsidR="003940EE" w:rsidTr="003940EE">
        <w:tc>
          <w:tcPr>
            <w:tcW w:w="4349" w:type="dxa"/>
          </w:tcPr>
          <w:p w:rsidR="003940EE" w:rsidRPr="003940EE" w:rsidRDefault="003940EE" w:rsidP="003940EE">
            <w:pPr>
              <w:numPr>
                <w:ilvl w:val="0"/>
                <w:numId w:val="25"/>
              </w:numPr>
            </w:pPr>
            <w:r w:rsidRPr="003940EE">
              <w:t>capex</w:t>
            </w:r>
          </w:p>
        </w:tc>
        <w:tc>
          <w:tcPr>
            <w:tcW w:w="4344" w:type="dxa"/>
          </w:tcPr>
          <w:p w:rsidR="003940EE" w:rsidRPr="003940EE" w:rsidRDefault="003940EE" w:rsidP="003940EE">
            <w:pPr>
              <w:numPr>
                <w:ilvl w:val="0"/>
                <w:numId w:val="25"/>
              </w:numPr>
            </w:pPr>
            <w:r w:rsidRPr="003940EE">
              <w:t>capital expenditure</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CCP</w:t>
            </w:r>
          </w:p>
        </w:tc>
        <w:tc>
          <w:tcPr>
            <w:tcW w:w="4344" w:type="dxa"/>
          </w:tcPr>
          <w:p w:rsidR="003940EE" w:rsidRPr="003940EE" w:rsidRDefault="003940EE" w:rsidP="003940EE">
            <w:pPr>
              <w:numPr>
                <w:ilvl w:val="0"/>
                <w:numId w:val="25"/>
              </w:numPr>
            </w:pPr>
            <w:r w:rsidRPr="003940EE">
              <w:t>Consumer Challenge Panel</w:t>
            </w:r>
          </w:p>
        </w:tc>
      </w:tr>
      <w:tr w:rsidR="003940EE" w:rsidTr="003940EE">
        <w:tc>
          <w:tcPr>
            <w:tcW w:w="4349" w:type="dxa"/>
          </w:tcPr>
          <w:p w:rsidR="003940EE" w:rsidRPr="003940EE" w:rsidRDefault="003940EE" w:rsidP="003940EE">
            <w:pPr>
              <w:numPr>
                <w:ilvl w:val="0"/>
                <w:numId w:val="25"/>
              </w:numPr>
            </w:pPr>
            <w:r w:rsidRPr="003940EE">
              <w:t>CESS</w:t>
            </w:r>
          </w:p>
        </w:tc>
        <w:tc>
          <w:tcPr>
            <w:tcW w:w="4344" w:type="dxa"/>
          </w:tcPr>
          <w:p w:rsidR="003940EE" w:rsidRPr="003940EE" w:rsidRDefault="003940EE" w:rsidP="003940EE">
            <w:pPr>
              <w:numPr>
                <w:ilvl w:val="0"/>
                <w:numId w:val="25"/>
              </w:numPr>
            </w:pPr>
            <w:r w:rsidRPr="003940EE">
              <w:t>capital expenditure sharing scheme</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CPI</w:t>
            </w:r>
          </w:p>
        </w:tc>
        <w:tc>
          <w:tcPr>
            <w:tcW w:w="4344" w:type="dxa"/>
          </w:tcPr>
          <w:p w:rsidR="003940EE" w:rsidRPr="003940EE" w:rsidRDefault="003940EE" w:rsidP="003940EE">
            <w:pPr>
              <w:numPr>
                <w:ilvl w:val="0"/>
                <w:numId w:val="25"/>
              </w:numPr>
            </w:pPr>
            <w:r w:rsidRPr="003940EE">
              <w:t>consumer price index</w:t>
            </w:r>
          </w:p>
        </w:tc>
      </w:tr>
      <w:tr w:rsidR="003940EE" w:rsidTr="003940EE">
        <w:tc>
          <w:tcPr>
            <w:tcW w:w="4349" w:type="dxa"/>
          </w:tcPr>
          <w:p w:rsidR="003940EE" w:rsidRPr="003940EE" w:rsidRDefault="003940EE" w:rsidP="003940EE">
            <w:pPr>
              <w:numPr>
                <w:ilvl w:val="0"/>
                <w:numId w:val="25"/>
              </w:numPr>
            </w:pPr>
            <w:r w:rsidRPr="003940EE">
              <w:t>DRP</w:t>
            </w:r>
          </w:p>
        </w:tc>
        <w:tc>
          <w:tcPr>
            <w:tcW w:w="4344" w:type="dxa"/>
          </w:tcPr>
          <w:p w:rsidR="003940EE" w:rsidRPr="003940EE" w:rsidRDefault="003940EE" w:rsidP="003940EE">
            <w:pPr>
              <w:numPr>
                <w:ilvl w:val="0"/>
                <w:numId w:val="25"/>
              </w:numPr>
            </w:pPr>
            <w:r w:rsidRPr="003940EE">
              <w:t>debt risk premium</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DMIA</w:t>
            </w:r>
          </w:p>
        </w:tc>
        <w:tc>
          <w:tcPr>
            <w:tcW w:w="4344" w:type="dxa"/>
          </w:tcPr>
          <w:p w:rsidR="003940EE" w:rsidRPr="003940EE" w:rsidRDefault="003940EE" w:rsidP="003940EE">
            <w:pPr>
              <w:numPr>
                <w:ilvl w:val="0"/>
                <w:numId w:val="25"/>
              </w:numPr>
            </w:pPr>
            <w:r w:rsidRPr="003940EE">
              <w:t>demand management innovation allowance</w:t>
            </w:r>
          </w:p>
        </w:tc>
      </w:tr>
      <w:tr w:rsidR="003940EE" w:rsidTr="003940EE">
        <w:tc>
          <w:tcPr>
            <w:tcW w:w="4349" w:type="dxa"/>
          </w:tcPr>
          <w:p w:rsidR="003940EE" w:rsidRPr="003940EE" w:rsidRDefault="003940EE" w:rsidP="003940EE">
            <w:pPr>
              <w:numPr>
                <w:ilvl w:val="0"/>
                <w:numId w:val="25"/>
              </w:numPr>
            </w:pPr>
            <w:r w:rsidRPr="003940EE">
              <w:t>DMIS</w:t>
            </w:r>
          </w:p>
        </w:tc>
        <w:tc>
          <w:tcPr>
            <w:tcW w:w="4344" w:type="dxa"/>
          </w:tcPr>
          <w:p w:rsidR="003940EE" w:rsidRPr="003940EE" w:rsidRDefault="003940EE" w:rsidP="003940EE">
            <w:pPr>
              <w:numPr>
                <w:ilvl w:val="0"/>
                <w:numId w:val="25"/>
              </w:numPr>
            </w:pPr>
            <w:r w:rsidRPr="003940EE">
              <w:t>demand management incentive scheme</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distributor</w:t>
            </w:r>
          </w:p>
        </w:tc>
        <w:tc>
          <w:tcPr>
            <w:tcW w:w="4344" w:type="dxa"/>
          </w:tcPr>
          <w:p w:rsidR="003940EE" w:rsidRPr="003940EE" w:rsidRDefault="003940EE" w:rsidP="003940EE">
            <w:pPr>
              <w:numPr>
                <w:ilvl w:val="0"/>
                <w:numId w:val="25"/>
              </w:numPr>
            </w:pPr>
            <w:r w:rsidRPr="003940EE">
              <w:t>distribution network service provider</w:t>
            </w:r>
          </w:p>
        </w:tc>
      </w:tr>
      <w:tr w:rsidR="003940EE" w:rsidTr="003940EE">
        <w:tc>
          <w:tcPr>
            <w:tcW w:w="4349" w:type="dxa"/>
          </w:tcPr>
          <w:p w:rsidR="003940EE" w:rsidRPr="003940EE" w:rsidRDefault="003940EE" w:rsidP="003940EE">
            <w:pPr>
              <w:numPr>
                <w:ilvl w:val="0"/>
                <w:numId w:val="25"/>
              </w:numPr>
            </w:pPr>
            <w:proofErr w:type="spellStart"/>
            <w:r w:rsidRPr="003940EE">
              <w:t>DUoS</w:t>
            </w:r>
            <w:proofErr w:type="spellEnd"/>
          </w:p>
        </w:tc>
        <w:tc>
          <w:tcPr>
            <w:tcW w:w="4344" w:type="dxa"/>
          </w:tcPr>
          <w:p w:rsidR="003940EE" w:rsidRPr="003940EE" w:rsidRDefault="003940EE" w:rsidP="003940EE">
            <w:pPr>
              <w:numPr>
                <w:ilvl w:val="0"/>
                <w:numId w:val="25"/>
              </w:numPr>
            </w:pPr>
            <w:r w:rsidRPr="003940EE">
              <w:t>distribution use of system</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EBSS</w:t>
            </w:r>
          </w:p>
        </w:tc>
        <w:tc>
          <w:tcPr>
            <w:tcW w:w="4344" w:type="dxa"/>
          </w:tcPr>
          <w:p w:rsidR="003940EE" w:rsidRPr="003940EE" w:rsidRDefault="003940EE" w:rsidP="003940EE">
            <w:pPr>
              <w:numPr>
                <w:ilvl w:val="0"/>
                <w:numId w:val="25"/>
              </w:numPr>
            </w:pPr>
            <w:r w:rsidRPr="003940EE">
              <w:t>efficiency benefit sharing scheme</w:t>
            </w:r>
          </w:p>
        </w:tc>
      </w:tr>
      <w:tr w:rsidR="003940EE" w:rsidTr="003940EE">
        <w:tc>
          <w:tcPr>
            <w:tcW w:w="4349" w:type="dxa"/>
          </w:tcPr>
          <w:p w:rsidR="003940EE" w:rsidRPr="003940EE" w:rsidRDefault="003940EE" w:rsidP="003940EE">
            <w:pPr>
              <w:numPr>
                <w:ilvl w:val="0"/>
                <w:numId w:val="25"/>
              </w:numPr>
            </w:pPr>
            <w:r w:rsidRPr="003940EE">
              <w:t>ERP</w:t>
            </w:r>
          </w:p>
        </w:tc>
        <w:tc>
          <w:tcPr>
            <w:tcW w:w="4344" w:type="dxa"/>
          </w:tcPr>
          <w:p w:rsidR="003940EE" w:rsidRPr="003940EE" w:rsidRDefault="003940EE" w:rsidP="003940EE">
            <w:pPr>
              <w:numPr>
                <w:ilvl w:val="0"/>
                <w:numId w:val="25"/>
              </w:numPr>
            </w:pPr>
            <w:r w:rsidRPr="003940EE">
              <w:t>equity risk premium</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Expenditure Assessment Guideline</w:t>
            </w:r>
          </w:p>
        </w:tc>
        <w:tc>
          <w:tcPr>
            <w:tcW w:w="4344" w:type="dxa"/>
          </w:tcPr>
          <w:p w:rsidR="003940EE" w:rsidRPr="003940EE" w:rsidRDefault="003940EE" w:rsidP="003940EE">
            <w:pPr>
              <w:numPr>
                <w:ilvl w:val="0"/>
                <w:numId w:val="25"/>
              </w:numPr>
            </w:pPr>
            <w:r w:rsidRPr="003940EE">
              <w:t>expenditure forecast assessment Guideline for electricity distribution</w:t>
            </w:r>
          </w:p>
        </w:tc>
      </w:tr>
      <w:tr w:rsidR="003940EE" w:rsidTr="003940EE">
        <w:tc>
          <w:tcPr>
            <w:tcW w:w="4349" w:type="dxa"/>
          </w:tcPr>
          <w:p w:rsidR="003940EE" w:rsidRPr="003940EE" w:rsidRDefault="003940EE" w:rsidP="003940EE">
            <w:pPr>
              <w:numPr>
                <w:ilvl w:val="0"/>
                <w:numId w:val="25"/>
              </w:numPr>
            </w:pPr>
            <w:r w:rsidRPr="003940EE">
              <w:t>F&amp;A</w:t>
            </w:r>
          </w:p>
        </w:tc>
        <w:tc>
          <w:tcPr>
            <w:tcW w:w="4344" w:type="dxa"/>
          </w:tcPr>
          <w:p w:rsidR="003940EE" w:rsidRPr="003940EE" w:rsidRDefault="003940EE" w:rsidP="003940EE">
            <w:pPr>
              <w:numPr>
                <w:ilvl w:val="0"/>
                <w:numId w:val="25"/>
              </w:numPr>
            </w:pPr>
            <w:r w:rsidRPr="003940EE">
              <w:t>framework and approach</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MRP</w:t>
            </w:r>
          </w:p>
        </w:tc>
        <w:tc>
          <w:tcPr>
            <w:tcW w:w="4344" w:type="dxa"/>
          </w:tcPr>
          <w:p w:rsidR="003940EE" w:rsidRPr="003940EE" w:rsidRDefault="003940EE" w:rsidP="003940EE">
            <w:pPr>
              <w:numPr>
                <w:ilvl w:val="0"/>
                <w:numId w:val="25"/>
              </w:numPr>
            </w:pPr>
            <w:r w:rsidRPr="003940EE">
              <w:t>market risk premium</w:t>
            </w:r>
          </w:p>
        </w:tc>
      </w:tr>
      <w:tr w:rsidR="003940EE" w:rsidTr="003940EE">
        <w:tc>
          <w:tcPr>
            <w:tcW w:w="4349" w:type="dxa"/>
          </w:tcPr>
          <w:p w:rsidR="003940EE" w:rsidRPr="003940EE" w:rsidRDefault="003940EE" w:rsidP="003940EE">
            <w:pPr>
              <w:numPr>
                <w:ilvl w:val="0"/>
                <w:numId w:val="25"/>
              </w:numPr>
            </w:pPr>
            <w:r w:rsidRPr="003940EE">
              <w:t>NEL</w:t>
            </w:r>
          </w:p>
        </w:tc>
        <w:tc>
          <w:tcPr>
            <w:tcW w:w="4344" w:type="dxa"/>
          </w:tcPr>
          <w:p w:rsidR="003940EE" w:rsidRPr="003940EE" w:rsidRDefault="003940EE" w:rsidP="003940EE">
            <w:pPr>
              <w:numPr>
                <w:ilvl w:val="0"/>
                <w:numId w:val="25"/>
              </w:numPr>
            </w:pPr>
            <w:r w:rsidRPr="003940EE">
              <w:t>national electricity law</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NEM</w:t>
            </w:r>
          </w:p>
        </w:tc>
        <w:tc>
          <w:tcPr>
            <w:tcW w:w="4344" w:type="dxa"/>
          </w:tcPr>
          <w:p w:rsidR="003940EE" w:rsidRPr="003940EE" w:rsidRDefault="003940EE" w:rsidP="003940EE">
            <w:pPr>
              <w:numPr>
                <w:ilvl w:val="0"/>
                <w:numId w:val="25"/>
              </w:numPr>
            </w:pPr>
            <w:r w:rsidRPr="003940EE">
              <w:t>national electricity market</w:t>
            </w:r>
          </w:p>
        </w:tc>
      </w:tr>
      <w:tr w:rsidR="003940EE" w:rsidTr="003940EE">
        <w:tc>
          <w:tcPr>
            <w:tcW w:w="4349" w:type="dxa"/>
          </w:tcPr>
          <w:p w:rsidR="003940EE" w:rsidRPr="003940EE" w:rsidRDefault="003940EE" w:rsidP="003940EE">
            <w:pPr>
              <w:numPr>
                <w:ilvl w:val="0"/>
                <w:numId w:val="25"/>
              </w:numPr>
            </w:pPr>
            <w:r w:rsidRPr="003940EE">
              <w:t>NEO</w:t>
            </w:r>
          </w:p>
        </w:tc>
        <w:tc>
          <w:tcPr>
            <w:tcW w:w="4344" w:type="dxa"/>
          </w:tcPr>
          <w:p w:rsidR="003940EE" w:rsidRPr="003940EE" w:rsidRDefault="003940EE" w:rsidP="003940EE">
            <w:pPr>
              <w:numPr>
                <w:ilvl w:val="0"/>
                <w:numId w:val="25"/>
              </w:numPr>
            </w:pPr>
            <w:r w:rsidRPr="003940EE">
              <w:t>national electricity objective</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NER</w:t>
            </w:r>
          </w:p>
        </w:tc>
        <w:tc>
          <w:tcPr>
            <w:tcW w:w="4344" w:type="dxa"/>
          </w:tcPr>
          <w:p w:rsidR="003940EE" w:rsidRPr="003940EE" w:rsidRDefault="003940EE" w:rsidP="003940EE">
            <w:pPr>
              <w:numPr>
                <w:ilvl w:val="0"/>
                <w:numId w:val="25"/>
              </w:numPr>
            </w:pPr>
            <w:r w:rsidRPr="003940EE">
              <w:t>national electricity rules</w:t>
            </w:r>
          </w:p>
        </w:tc>
      </w:tr>
      <w:tr w:rsidR="003940EE" w:rsidTr="003940EE">
        <w:tc>
          <w:tcPr>
            <w:tcW w:w="4349" w:type="dxa"/>
          </w:tcPr>
          <w:p w:rsidR="003940EE" w:rsidRPr="003940EE" w:rsidRDefault="003940EE" w:rsidP="003940EE">
            <w:pPr>
              <w:numPr>
                <w:ilvl w:val="0"/>
                <w:numId w:val="25"/>
              </w:numPr>
            </w:pPr>
            <w:r w:rsidRPr="003940EE">
              <w:t>NSP</w:t>
            </w:r>
          </w:p>
        </w:tc>
        <w:tc>
          <w:tcPr>
            <w:tcW w:w="4344" w:type="dxa"/>
          </w:tcPr>
          <w:p w:rsidR="003940EE" w:rsidRPr="003940EE" w:rsidRDefault="003940EE" w:rsidP="003940EE">
            <w:pPr>
              <w:numPr>
                <w:ilvl w:val="0"/>
                <w:numId w:val="25"/>
              </w:numPr>
            </w:pPr>
            <w:r w:rsidRPr="003940EE">
              <w:t>network service provider</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proofErr w:type="spellStart"/>
            <w:r w:rsidRPr="003940EE">
              <w:t>opex</w:t>
            </w:r>
            <w:proofErr w:type="spellEnd"/>
          </w:p>
        </w:tc>
        <w:tc>
          <w:tcPr>
            <w:tcW w:w="4344" w:type="dxa"/>
          </w:tcPr>
          <w:p w:rsidR="003940EE" w:rsidRPr="003940EE" w:rsidRDefault="003940EE" w:rsidP="003940EE">
            <w:pPr>
              <w:numPr>
                <w:ilvl w:val="0"/>
                <w:numId w:val="25"/>
              </w:numPr>
            </w:pPr>
            <w:r w:rsidRPr="003940EE">
              <w:t>operating expenditure</w:t>
            </w:r>
          </w:p>
        </w:tc>
      </w:tr>
      <w:tr w:rsidR="003940EE" w:rsidTr="003940EE">
        <w:tc>
          <w:tcPr>
            <w:tcW w:w="4349" w:type="dxa"/>
          </w:tcPr>
          <w:p w:rsidR="003940EE" w:rsidRPr="003940EE" w:rsidRDefault="003940EE" w:rsidP="003940EE">
            <w:pPr>
              <w:numPr>
                <w:ilvl w:val="0"/>
                <w:numId w:val="25"/>
              </w:numPr>
            </w:pPr>
            <w:r w:rsidRPr="003940EE">
              <w:t>PPI</w:t>
            </w:r>
          </w:p>
        </w:tc>
        <w:tc>
          <w:tcPr>
            <w:tcW w:w="4344" w:type="dxa"/>
          </w:tcPr>
          <w:p w:rsidR="003940EE" w:rsidRPr="003940EE" w:rsidRDefault="003940EE" w:rsidP="003940EE">
            <w:pPr>
              <w:numPr>
                <w:ilvl w:val="0"/>
                <w:numId w:val="25"/>
              </w:numPr>
            </w:pPr>
            <w:r w:rsidRPr="003940EE">
              <w:t>partial performance indicators</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PTRM</w:t>
            </w:r>
          </w:p>
        </w:tc>
        <w:tc>
          <w:tcPr>
            <w:tcW w:w="4344" w:type="dxa"/>
          </w:tcPr>
          <w:p w:rsidR="003940EE" w:rsidRPr="003940EE" w:rsidRDefault="003940EE" w:rsidP="003940EE">
            <w:pPr>
              <w:numPr>
                <w:ilvl w:val="0"/>
                <w:numId w:val="25"/>
              </w:numPr>
            </w:pPr>
            <w:r w:rsidRPr="003940EE">
              <w:t>post-tax revenue model</w:t>
            </w:r>
          </w:p>
        </w:tc>
      </w:tr>
      <w:tr w:rsidR="003940EE" w:rsidTr="003940EE">
        <w:tc>
          <w:tcPr>
            <w:tcW w:w="4349" w:type="dxa"/>
          </w:tcPr>
          <w:p w:rsidR="003940EE" w:rsidRPr="003940EE" w:rsidRDefault="003940EE" w:rsidP="003940EE">
            <w:pPr>
              <w:numPr>
                <w:ilvl w:val="0"/>
                <w:numId w:val="25"/>
              </w:numPr>
            </w:pPr>
            <w:r w:rsidRPr="003940EE">
              <w:t>RAB</w:t>
            </w:r>
          </w:p>
        </w:tc>
        <w:tc>
          <w:tcPr>
            <w:tcW w:w="4344" w:type="dxa"/>
          </w:tcPr>
          <w:p w:rsidR="003940EE" w:rsidRPr="003940EE" w:rsidRDefault="003940EE" w:rsidP="003940EE">
            <w:pPr>
              <w:numPr>
                <w:ilvl w:val="0"/>
                <w:numId w:val="25"/>
              </w:numPr>
            </w:pPr>
            <w:r w:rsidRPr="003940EE">
              <w:t>regulatory asset base</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RBA</w:t>
            </w:r>
          </w:p>
        </w:tc>
        <w:tc>
          <w:tcPr>
            <w:tcW w:w="4344" w:type="dxa"/>
          </w:tcPr>
          <w:p w:rsidR="003940EE" w:rsidRPr="003940EE" w:rsidRDefault="003940EE" w:rsidP="003940EE">
            <w:pPr>
              <w:numPr>
                <w:ilvl w:val="0"/>
                <w:numId w:val="25"/>
              </w:numPr>
            </w:pPr>
            <w:r w:rsidRPr="003940EE">
              <w:t>Reserve Bank of Australia</w:t>
            </w:r>
          </w:p>
        </w:tc>
      </w:tr>
      <w:tr w:rsidR="003940EE" w:rsidTr="003940EE">
        <w:tc>
          <w:tcPr>
            <w:tcW w:w="4349" w:type="dxa"/>
          </w:tcPr>
          <w:p w:rsidR="003940EE" w:rsidRPr="003940EE" w:rsidRDefault="003940EE" w:rsidP="003940EE">
            <w:pPr>
              <w:numPr>
                <w:ilvl w:val="0"/>
                <w:numId w:val="25"/>
              </w:numPr>
            </w:pPr>
            <w:proofErr w:type="spellStart"/>
            <w:r w:rsidRPr="003940EE">
              <w:t>repex</w:t>
            </w:r>
            <w:proofErr w:type="spellEnd"/>
          </w:p>
        </w:tc>
        <w:tc>
          <w:tcPr>
            <w:tcW w:w="4344" w:type="dxa"/>
          </w:tcPr>
          <w:p w:rsidR="003940EE" w:rsidRPr="003940EE" w:rsidRDefault="003940EE" w:rsidP="003940EE">
            <w:pPr>
              <w:numPr>
                <w:ilvl w:val="0"/>
                <w:numId w:val="25"/>
              </w:numPr>
            </w:pPr>
            <w:r w:rsidRPr="003940EE">
              <w:t>replacement expenditure</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RFM</w:t>
            </w:r>
          </w:p>
        </w:tc>
        <w:tc>
          <w:tcPr>
            <w:tcW w:w="4344" w:type="dxa"/>
          </w:tcPr>
          <w:p w:rsidR="003940EE" w:rsidRPr="003940EE" w:rsidRDefault="003940EE" w:rsidP="003940EE">
            <w:pPr>
              <w:numPr>
                <w:ilvl w:val="0"/>
                <w:numId w:val="25"/>
              </w:numPr>
            </w:pPr>
            <w:r w:rsidRPr="003940EE">
              <w:t>roll forward model</w:t>
            </w:r>
          </w:p>
        </w:tc>
      </w:tr>
      <w:tr w:rsidR="003940EE" w:rsidTr="003940EE">
        <w:tc>
          <w:tcPr>
            <w:tcW w:w="4349" w:type="dxa"/>
          </w:tcPr>
          <w:p w:rsidR="003940EE" w:rsidRPr="003940EE" w:rsidRDefault="003940EE" w:rsidP="003940EE">
            <w:pPr>
              <w:numPr>
                <w:ilvl w:val="0"/>
                <w:numId w:val="25"/>
              </w:numPr>
            </w:pPr>
            <w:r w:rsidRPr="003940EE">
              <w:lastRenderedPageBreak/>
              <w:t>RIN</w:t>
            </w:r>
          </w:p>
        </w:tc>
        <w:tc>
          <w:tcPr>
            <w:tcW w:w="4344" w:type="dxa"/>
          </w:tcPr>
          <w:p w:rsidR="003940EE" w:rsidRPr="003940EE" w:rsidRDefault="003940EE" w:rsidP="003940EE">
            <w:pPr>
              <w:numPr>
                <w:ilvl w:val="0"/>
                <w:numId w:val="25"/>
              </w:numPr>
            </w:pPr>
            <w:r w:rsidRPr="003940EE">
              <w:t>regulatory information notice</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RPP</w:t>
            </w:r>
          </w:p>
        </w:tc>
        <w:tc>
          <w:tcPr>
            <w:tcW w:w="4344" w:type="dxa"/>
          </w:tcPr>
          <w:p w:rsidR="003940EE" w:rsidRPr="003940EE" w:rsidRDefault="003940EE" w:rsidP="003940EE">
            <w:pPr>
              <w:numPr>
                <w:ilvl w:val="0"/>
                <w:numId w:val="25"/>
              </w:numPr>
            </w:pPr>
            <w:r w:rsidRPr="003940EE">
              <w:t>revenue and pricing principles</w:t>
            </w:r>
          </w:p>
        </w:tc>
      </w:tr>
      <w:tr w:rsidR="003940EE" w:rsidTr="003940EE">
        <w:tc>
          <w:tcPr>
            <w:tcW w:w="4349" w:type="dxa"/>
          </w:tcPr>
          <w:p w:rsidR="003940EE" w:rsidRPr="003940EE" w:rsidRDefault="003940EE" w:rsidP="003940EE">
            <w:pPr>
              <w:numPr>
                <w:ilvl w:val="0"/>
                <w:numId w:val="25"/>
              </w:numPr>
            </w:pPr>
            <w:r w:rsidRPr="003940EE">
              <w:t>SAIDI</w:t>
            </w:r>
          </w:p>
        </w:tc>
        <w:tc>
          <w:tcPr>
            <w:tcW w:w="4344" w:type="dxa"/>
          </w:tcPr>
          <w:p w:rsidR="003940EE" w:rsidRPr="003940EE" w:rsidRDefault="003940EE" w:rsidP="003940EE">
            <w:pPr>
              <w:numPr>
                <w:ilvl w:val="0"/>
                <w:numId w:val="25"/>
              </w:numPr>
            </w:pPr>
            <w:r w:rsidRPr="003940EE">
              <w:t>system average interruption duration index</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SAIFI</w:t>
            </w:r>
          </w:p>
        </w:tc>
        <w:tc>
          <w:tcPr>
            <w:tcW w:w="4344" w:type="dxa"/>
          </w:tcPr>
          <w:p w:rsidR="003940EE" w:rsidRPr="003940EE" w:rsidRDefault="003940EE" w:rsidP="003940EE">
            <w:pPr>
              <w:numPr>
                <w:ilvl w:val="0"/>
                <w:numId w:val="25"/>
              </w:numPr>
            </w:pPr>
            <w:r w:rsidRPr="003940EE">
              <w:t>system average interruption frequency index</w:t>
            </w:r>
          </w:p>
        </w:tc>
      </w:tr>
      <w:tr w:rsidR="003940EE" w:rsidTr="003940EE">
        <w:tc>
          <w:tcPr>
            <w:tcW w:w="4349" w:type="dxa"/>
          </w:tcPr>
          <w:p w:rsidR="003940EE" w:rsidRPr="003940EE" w:rsidRDefault="003940EE" w:rsidP="003940EE">
            <w:pPr>
              <w:numPr>
                <w:ilvl w:val="0"/>
                <w:numId w:val="25"/>
              </w:numPr>
            </w:pPr>
            <w:r w:rsidRPr="003940EE">
              <w:t>SLCAPM</w:t>
            </w:r>
          </w:p>
        </w:tc>
        <w:tc>
          <w:tcPr>
            <w:tcW w:w="4344" w:type="dxa"/>
          </w:tcPr>
          <w:p w:rsidR="003940EE" w:rsidRPr="003940EE" w:rsidRDefault="003940EE" w:rsidP="003940EE">
            <w:pPr>
              <w:numPr>
                <w:ilvl w:val="0"/>
                <w:numId w:val="25"/>
              </w:numPr>
            </w:pPr>
            <w:r w:rsidRPr="003940EE">
              <w:t>Sharpe-</w:t>
            </w:r>
            <w:proofErr w:type="spellStart"/>
            <w:r w:rsidRPr="003940EE">
              <w:t>Lintner</w:t>
            </w:r>
            <w:proofErr w:type="spellEnd"/>
            <w:r w:rsidRPr="003940EE">
              <w:t xml:space="preserve"> capital asset pricing model</w:t>
            </w:r>
          </w:p>
        </w:tc>
      </w:tr>
      <w:tr w:rsidR="003940EE" w:rsidTr="003940EE">
        <w:trPr>
          <w:cnfStyle w:val="000000010000" w:firstRow="0" w:lastRow="0" w:firstColumn="0" w:lastColumn="0" w:oddVBand="0" w:evenVBand="0" w:oddHBand="0" w:evenHBand="1" w:firstRowFirstColumn="0" w:firstRowLastColumn="0" w:lastRowFirstColumn="0" w:lastRowLastColumn="0"/>
        </w:trPr>
        <w:tc>
          <w:tcPr>
            <w:tcW w:w="4349" w:type="dxa"/>
          </w:tcPr>
          <w:p w:rsidR="003940EE" w:rsidRPr="003940EE" w:rsidRDefault="003940EE" w:rsidP="003940EE">
            <w:pPr>
              <w:numPr>
                <w:ilvl w:val="0"/>
                <w:numId w:val="25"/>
              </w:numPr>
            </w:pPr>
            <w:r w:rsidRPr="003940EE">
              <w:t>STPIS</w:t>
            </w:r>
          </w:p>
        </w:tc>
        <w:tc>
          <w:tcPr>
            <w:tcW w:w="4344" w:type="dxa"/>
          </w:tcPr>
          <w:p w:rsidR="003940EE" w:rsidRPr="003940EE" w:rsidRDefault="003940EE" w:rsidP="003940EE">
            <w:pPr>
              <w:numPr>
                <w:ilvl w:val="0"/>
                <w:numId w:val="25"/>
              </w:numPr>
            </w:pPr>
            <w:r w:rsidRPr="003940EE">
              <w:t>service target performance incentive scheme</w:t>
            </w:r>
          </w:p>
        </w:tc>
      </w:tr>
      <w:tr w:rsidR="003940EE" w:rsidTr="003940EE">
        <w:tc>
          <w:tcPr>
            <w:tcW w:w="4349" w:type="dxa"/>
          </w:tcPr>
          <w:p w:rsidR="003940EE" w:rsidRPr="003940EE" w:rsidRDefault="003940EE" w:rsidP="003940EE">
            <w:pPr>
              <w:numPr>
                <w:ilvl w:val="0"/>
                <w:numId w:val="25"/>
              </w:numPr>
            </w:pPr>
            <w:r w:rsidRPr="003940EE">
              <w:t>WACC</w:t>
            </w:r>
          </w:p>
        </w:tc>
        <w:tc>
          <w:tcPr>
            <w:tcW w:w="4344" w:type="dxa"/>
          </w:tcPr>
          <w:p w:rsidR="003940EE" w:rsidRPr="003940EE" w:rsidRDefault="003940EE" w:rsidP="003940EE">
            <w:pPr>
              <w:numPr>
                <w:ilvl w:val="0"/>
                <w:numId w:val="25"/>
              </w:numPr>
            </w:pPr>
            <w:r w:rsidRPr="003940EE">
              <w:t>weighted average cost of capital</w:t>
            </w:r>
          </w:p>
        </w:tc>
      </w:tr>
    </w:tbl>
    <w:p w:rsidR="00DE563D" w:rsidRPr="00436A39" w:rsidRDefault="00DE563D" w:rsidP="00DE563D">
      <w:pPr>
        <w:numPr>
          <w:ilvl w:val="0"/>
          <w:numId w:val="25"/>
        </w:numPr>
      </w:pPr>
    </w:p>
    <w:p w:rsidR="00DE563D" w:rsidRDefault="00DE563D" w:rsidP="00DE563D"/>
    <w:p w:rsidR="00066F19" w:rsidRDefault="00066F19" w:rsidP="00066F19">
      <w:pPr>
        <w:pStyle w:val="Heading1"/>
      </w:pPr>
      <w:bookmarkStart w:id="9" w:name="_Toc409017590"/>
      <w:bookmarkStart w:id="10" w:name="_Toc416789082"/>
      <w:r>
        <w:lastRenderedPageBreak/>
        <w:t>Demand management</w:t>
      </w:r>
      <w:r w:rsidRPr="00901C3C">
        <w:t xml:space="preserve"> incentive scheme</w:t>
      </w:r>
      <w:bookmarkEnd w:id="9"/>
      <w:bookmarkEnd w:id="10"/>
    </w:p>
    <w:p w:rsidR="00066F19" w:rsidRDefault="00066F19" w:rsidP="00066F19">
      <w:pPr>
        <w:numPr>
          <w:ilvl w:val="0"/>
          <w:numId w:val="25"/>
        </w:numPr>
      </w:pPr>
      <w:bookmarkStart w:id="11" w:name="_Toc409017591"/>
      <w:r>
        <w:t>The National Electricity Rules (NER)</w:t>
      </w:r>
      <w:r w:rsidRPr="00A940CC">
        <w:t xml:space="preserve"> </w:t>
      </w:r>
      <w:proofErr w:type="gramStart"/>
      <w:r w:rsidRPr="00A940CC">
        <w:t>require</w:t>
      </w:r>
      <w:proofErr w:type="gramEnd"/>
      <w:r w:rsidRPr="00A940CC">
        <w:t xml:space="preserve"> </w:t>
      </w:r>
      <w:r>
        <w:t>us to</w:t>
      </w:r>
      <w:r w:rsidRPr="00A940CC">
        <w:t xml:space="preserve"> develop and implement mechanisms to incentivise distributors</w:t>
      </w:r>
      <w:r>
        <w:t xml:space="preserve"> to consider</w:t>
      </w:r>
      <w:r w:rsidRPr="00A940CC">
        <w:t xml:space="preserve"> </w:t>
      </w:r>
      <w:r>
        <w:t xml:space="preserve">efficient </w:t>
      </w:r>
      <w:r w:rsidRPr="00A940CC">
        <w:t>alternatives to building more network</w:t>
      </w:r>
      <w:r>
        <w:t>.</w:t>
      </w:r>
      <w:r w:rsidRPr="001717EA">
        <w:rPr>
          <w:rStyle w:val="FootnoteReference"/>
        </w:rPr>
        <w:footnoteReference w:id="1"/>
      </w:r>
      <w:r>
        <w:t xml:space="preserve"> To meet this requirement, and motivated by the need to improve distributors' capability in the demand management</w:t>
      </w:r>
      <w:r w:rsidRPr="00D801DC">
        <w:t xml:space="preserve"> </w:t>
      </w:r>
      <w:r>
        <w:t>area</w:t>
      </w:r>
      <w:r w:rsidRPr="00D801DC">
        <w:t xml:space="preserve">, we </w:t>
      </w:r>
      <w:r>
        <w:t>implemented a demand management incentive scheme (</w:t>
      </w:r>
      <w:r w:rsidRPr="00D801DC">
        <w:t>DMIS</w:t>
      </w:r>
      <w:r>
        <w:t xml:space="preserve">) </w:t>
      </w:r>
      <w:r w:rsidRPr="00D801DC">
        <w:t xml:space="preserve">in our </w:t>
      </w:r>
      <w:r>
        <w:t>NSW/ACT distribution</w:t>
      </w:r>
      <w:r w:rsidRPr="00D801DC">
        <w:t xml:space="preserve"> determination</w:t>
      </w:r>
      <w:r>
        <w:t>s</w:t>
      </w:r>
      <w:r w:rsidRPr="00D801DC">
        <w:t xml:space="preserve"> for the </w:t>
      </w:r>
      <w:r>
        <w:t>2009</w:t>
      </w:r>
      <w:r w:rsidRPr="00DF6CC5">
        <w:t>–</w:t>
      </w:r>
      <w:r>
        <w:t>14</w:t>
      </w:r>
      <w:r w:rsidRPr="00D801DC">
        <w:t xml:space="preserve"> regulatory </w:t>
      </w:r>
      <w:r>
        <w:t xml:space="preserve">control </w:t>
      </w:r>
      <w:r w:rsidRPr="009207B7">
        <w:t>period.</w:t>
      </w:r>
      <w:r w:rsidRPr="009207B7">
        <w:rPr>
          <w:rStyle w:val="FootnoteReference"/>
        </w:rPr>
        <w:footnoteReference w:id="2"/>
      </w:r>
    </w:p>
    <w:p w:rsidR="00066F19" w:rsidRPr="009207B7" w:rsidRDefault="00066F19" w:rsidP="00066F19">
      <w:pPr>
        <w:numPr>
          <w:ilvl w:val="0"/>
          <w:numId w:val="25"/>
        </w:numPr>
      </w:pPr>
      <w:r w:rsidRPr="00EA12DA">
        <w:t>The current DMIS for NSW distr</w:t>
      </w:r>
      <w:bookmarkStart w:id="12" w:name="_GoBack"/>
      <w:bookmarkEnd w:id="12"/>
      <w:r w:rsidRPr="00EA12DA">
        <w:t>ibutors includes two components—the demand management innovation allowance (DMIA)</w:t>
      </w:r>
      <w:r w:rsidRPr="00EA12DA">
        <w:rPr>
          <w:rStyle w:val="AERsuperscript"/>
        </w:rPr>
        <w:footnoteReference w:id="3"/>
      </w:r>
      <w:r w:rsidRPr="00EA12DA">
        <w:t xml:space="preserve"> and the D-factor.</w:t>
      </w:r>
      <w:r w:rsidRPr="00EA12DA">
        <w:rPr>
          <w:rStyle w:val="AERsuperscript"/>
        </w:rPr>
        <w:footnoteReference w:id="4"/>
      </w:r>
    </w:p>
    <w:p w:rsidR="00066F19" w:rsidRDefault="00066F19" w:rsidP="00066F19">
      <w:pPr>
        <w:numPr>
          <w:ilvl w:val="0"/>
          <w:numId w:val="25"/>
        </w:numPr>
      </w:pPr>
      <w:r w:rsidRPr="0057413E">
        <w:t xml:space="preserve">The </w:t>
      </w:r>
      <w:r>
        <w:t>DMIA is</w:t>
      </w:r>
      <w:r w:rsidRPr="0057413E">
        <w:t xml:space="preserve"> a</w:t>
      </w:r>
      <w:r>
        <w:t xml:space="preserve"> capped allowance for distributors to </w:t>
      </w:r>
      <w:r w:rsidRPr="00086D68">
        <w:t>investigate and c</w:t>
      </w:r>
      <w:r>
        <w:t>onduct broad-based and/or peak demand management</w:t>
      </w:r>
      <w:r w:rsidRPr="00086D68">
        <w:t xml:space="preserve"> projects</w:t>
      </w:r>
      <w:r>
        <w:t>. It contains two parts:</w:t>
      </w:r>
    </w:p>
    <w:p w:rsidR="00066F19" w:rsidRPr="00992C26" w:rsidRDefault="00066F19" w:rsidP="00066F19">
      <w:pPr>
        <w:pStyle w:val="AERbulletlistfirststyle"/>
      </w:pPr>
      <w:r>
        <w:t xml:space="preserve">Part A provides for an innovation allowance to be incorporated into each distributor's </w:t>
      </w:r>
      <w:r w:rsidRPr="00992C26">
        <w:t xml:space="preserve">revenue allowance for </w:t>
      </w:r>
      <w:proofErr w:type="spellStart"/>
      <w:r w:rsidRPr="00992C26">
        <w:t>opex</w:t>
      </w:r>
      <w:proofErr w:type="spellEnd"/>
      <w:r w:rsidRPr="00992C26">
        <w:t xml:space="preserve"> each year of the regulatory control period. Distributors prepare annual reports on their expenditure under the DMIA</w:t>
      </w:r>
      <w:r w:rsidRPr="00992C26">
        <w:rPr>
          <w:rStyle w:val="AERsuperscript"/>
        </w:rPr>
        <w:footnoteReference w:id="5"/>
      </w:r>
      <w:r w:rsidRPr="00992C26">
        <w:t xml:space="preserve">  in the previous year, which we then assess against specific criteria.</w:t>
      </w:r>
      <w:r w:rsidRPr="00992C26">
        <w:rPr>
          <w:rStyle w:val="AERsuperscript"/>
        </w:rPr>
        <w:footnoteReference w:id="6"/>
      </w:r>
    </w:p>
    <w:p w:rsidR="00066F19" w:rsidRPr="00992C26" w:rsidRDefault="00066F19" w:rsidP="00066F19">
      <w:pPr>
        <w:pStyle w:val="AERbulletlistfirststyle"/>
        <w:rPr>
          <w:rStyle w:val="AERbody"/>
        </w:rPr>
      </w:pPr>
      <w:r>
        <w:t xml:space="preserve">Part B compensates distributors for any foregone revenue demonstrated to have resulted from demand management initiatives approved under Part A. During the </w:t>
      </w:r>
      <w:r w:rsidRPr="00992C26">
        <w:t xml:space="preserve">2009–14 regulatory control </w:t>
      </w:r>
      <w:proofErr w:type="gramStart"/>
      <w:r w:rsidRPr="00992C26">
        <w:t>period</w:t>
      </w:r>
      <w:proofErr w:type="gramEnd"/>
      <w:r w:rsidRPr="00992C26">
        <w:t>, NSW distributors were subject to a weighted average price cap (WAPC) form of control. Under this control mechanism, if a demand management project resulted in a fall in demand for direct control services, the distributor's recoverable revenues would fall as prices were fixed. For this reason, foregone revenue was recoverable under Part B of the DMIA.</w:t>
      </w:r>
    </w:p>
    <w:p w:rsidR="00066F19" w:rsidRDefault="00A03E23" w:rsidP="00066F19">
      <w:pPr>
        <w:numPr>
          <w:ilvl w:val="0"/>
          <w:numId w:val="25"/>
        </w:numPr>
      </w:pPr>
      <w:r>
        <w:t>Under the scheme, we return any underspend against the allowance to customers. Also, once we know the approved DMIA expenditure for each year of the current period, we compensate</w:t>
      </w:r>
      <w:r w:rsidRPr="00947FAD">
        <w:t xml:space="preserve"> distributors for approved foregone revenue</w:t>
      </w:r>
      <w:r>
        <w:t>.</w:t>
      </w:r>
      <w:r w:rsidDel="00A03E23">
        <w:t xml:space="preserve"> </w:t>
      </w:r>
      <w:r w:rsidR="00066F19">
        <w:t xml:space="preserve"> We implement this as an adjustment to each distributor's innovation allowance in</w:t>
      </w:r>
      <w:r w:rsidR="00066F19" w:rsidRPr="008A1826">
        <w:t xml:space="preserve"> the </w:t>
      </w:r>
      <w:r w:rsidR="00066F19">
        <w:t xml:space="preserve">following </w:t>
      </w:r>
      <w:r w:rsidR="00066F19" w:rsidRPr="008A1826">
        <w:t>regu</w:t>
      </w:r>
      <w:r w:rsidR="00066F19">
        <w:t>latory control period.</w:t>
      </w:r>
    </w:p>
    <w:p w:rsidR="00066F19" w:rsidRDefault="00066F19" w:rsidP="00066F19">
      <w:pPr>
        <w:numPr>
          <w:ilvl w:val="0"/>
          <w:numId w:val="25"/>
        </w:numPr>
      </w:pPr>
      <w:r>
        <w:lastRenderedPageBreak/>
        <w:t xml:space="preserve">The </w:t>
      </w:r>
      <w:r w:rsidRPr="005244AA">
        <w:t>D-factor scheme</w:t>
      </w:r>
      <w:r w:rsidRPr="004C7901">
        <w:rPr>
          <w:rStyle w:val="AERsuperscript"/>
        </w:rPr>
        <w:footnoteReference w:id="7"/>
      </w:r>
      <w:r w:rsidRPr="005244AA">
        <w:t xml:space="preserve"> </w:t>
      </w:r>
      <w:r>
        <w:t>acts as</w:t>
      </w:r>
      <w:r w:rsidRPr="005244AA">
        <w:t xml:space="preserve"> a counter balance to distribut</w:t>
      </w:r>
      <w:r>
        <w:t>ors' disincentive to implement demand management</w:t>
      </w:r>
      <w:r w:rsidRPr="005244AA">
        <w:t xml:space="preserve"> u</w:t>
      </w:r>
      <w:r>
        <w:t>nder the WAPC form of control. The D-factor offers</w:t>
      </w:r>
      <w:r w:rsidRPr="005244AA">
        <w:t xml:space="preserve"> compensation for both the costs and for</w:t>
      </w:r>
      <w:r>
        <w:t>e</w:t>
      </w:r>
      <w:r w:rsidRPr="005244AA">
        <w:t xml:space="preserve">gone revenue incurred from </w:t>
      </w:r>
      <w:r>
        <w:t xml:space="preserve">demand management </w:t>
      </w:r>
      <w:r w:rsidRPr="005244AA">
        <w:t>projec</w:t>
      </w:r>
      <w:r>
        <w:t>ts for which the distributor can</w:t>
      </w:r>
      <w:r w:rsidRPr="005244AA">
        <w:t xml:space="preserve"> demonstrate a resultant reduc</w:t>
      </w:r>
      <w:r>
        <w:t>tion in both capex and demand.</w:t>
      </w:r>
    </w:p>
    <w:p w:rsidR="00066F19" w:rsidRPr="001754EE" w:rsidRDefault="00066F19" w:rsidP="00066F19">
      <w:pPr>
        <w:pStyle w:val="Heading2"/>
      </w:pPr>
      <w:bookmarkStart w:id="13" w:name="_Toc416789083"/>
      <w:r w:rsidRPr="001754EE">
        <w:t>Final decision</w:t>
      </w:r>
      <w:bookmarkEnd w:id="11"/>
      <w:bookmarkEnd w:id="13"/>
    </w:p>
    <w:p w:rsidR="00066F19" w:rsidRDefault="00066F19" w:rsidP="00066F19">
      <w:pPr>
        <w:numPr>
          <w:ilvl w:val="0"/>
          <w:numId w:val="25"/>
        </w:numPr>
      </w:pPr>
      <w:bookmarkStart w:id="14" w:name="_Toc409017592"/>
      <w:r>
        <w:t xml:space="preserve">We have determined to continue Part A of the DMIA but we will not apply either Part B of the DMIA or the D-Factor scheme for </w:t>
      </w:r>
      <w:r w:rsidR="00BA78FF">
        <w:t>Endeavour Energy</w:t>
      </w:r>
      <w:r>
        <w:t xml:space="preserve"> in the </w:t>
      </w:r>
      <w:r w:rsidRPr="00AD6CBB">
        <w:t>20</w:t>
      </w:r>
      <w:r>
        <w:t>15</w:t>
      </w:r>
      <w:r w:rsidRPr="00AD6CBB">
        <w:t>–1</w:t>
      </w:r>
      <w:r>
        <w:t xml:space="preserve">9 regulatory control period. This is consistent with our </w:t>
      </w:r>
      <w:r w:rsidR="00B61B38">
        <w:t>d</w:t>
      </w:r>
      <w:r>
        <w:t xml:space="preserve">raft </w:t>
      </w:r>
      <w:r w:rsidR="00B61B38">
        <w:t>d</w:t>
      </w:r>
      <w:r>
        <w:t>ecision</w:t>
      </w:r>
      <w:r>
        <w:rPr>
          <w:rStyle w:val="FootnoteReference"/>
        </w:rPr>
        <w:footnoteReference w:id="8"/>
      </w:r>
      <w:r>
        <w:t xml:space="preserve"> and our proposed approach in the Stage 2 Framework and Approach (F&amp;A).</w:t>
      </w:r>
      <w:r>
        <w:rPr>
          <w:rStyle w:val="FootnoteReference"/>
        </w:rPr>
        <w:footnoteReference w:id="9"/>
      </w:r>
    </w:p>
    <w:p w:rsidR="00066F19" w:rsidRDefault="00066F19" w:rsidP="00066F19">
      <w:pPr>
        <w:numPr>
          <w:ilvl w:val="0"/>
          <w:numId w:val="25"/>
        </w:numPr>
      </w:pPr>
      <w:r w:rsidRPr="00135C6D">
        <w:t>The curr</w:t>
      </w:r>
      <w:r>
        <w:t>ent innovation allowance amount of $</w:t>
      </w:r>
      <w:r w:rsidR="00BA78FF">
        <w:t>0.6</w:t>
      </w:r>
      <w:r>
        <w:t xml:space="preserve"> million ($2014–15) per annum</w:t>
      </w:r>
      <w:r w:rsidRPr="003A217E">
        <w:t xml:space="preserve"> </w:t>
      </w:r>
      <w:r w:rsidRPr="00135C6D">
        <w:t xml:space="preserve">will continue in the </w:t>
      </w:r>
      <w:r w:rsidRPr="00043842">
        <w:t xml:space="preserve">2015–19 </w:t>
      </w:r>
      <w:r w:rsidRPr="00135C6D">
        <w:t>regulatory control period.</w:t>
      </w:r>
    </w:p>
    <w:p w:rsidR="00066F19" w:rsidRPr="001754EE" w:rsidRDefault="0080765A" w:rsidP="00066F19">
      <w:pPr>
        <w:pStyle w:val="Heading2"/>
      </w:pPr>
      <w:bookmarkStart w:id="15" w:name="_Toc416789084"/>
      <w:r>
        <w:t>Endeavour Energy'</w:t>
      </w:r>
      <w:r w:rsidR="00066F19" w:rsidRPr="001754EE">
        <w:t>s revised proposal</w:t>
      </w:r>
      <w:bookmarkEnd w:id="14"/>
      <w:bookmarkEnd w:id="15"/>
    </w:p>
    <w:p w:rsidR="0080765A" w:rsidRDefault="00BA78FF" w:rsidP="00066F19">
      <w:pPr>
        <w:numPr>
          <w:ilvl w:val="0"/>
          <w:numId w:val="25"/>
        </w:numPr>
      </w:pPr>
      <w:r>
        <w:t>Endeavour Energy</w:t>
      </w:r>
      <w:r w:rsidR="00066F19">
        <w:t xml:space="preserve"> accepted our </w:t>
      </w:r>
      <w:r w:rsidR="00A03E23">
        <w:t xml:space="preserve">draft </w:t>
      </w:r>
      <w:r w:rsidR="00066F19">
        <w:t>decision</w:t>
      </w:r>
      <w:r w:rsidR="00066F19" w:rsidRPr="00073725">
        <w:t xml:space="preserve"> to continue applying Part A of the DMIA at the same scal</w:t>
      </w:r>
      <w:r w:rsidR="00066F19">
        <w:t>e as is currently applied</w:t>
      </w:r>
      <w:r w:rsidR="00066F19" w:rsidRPr="00073725">
        <w:t>, but to discontinue Part B of the scheme as it related to compensation for for</w:t>
      </w:r>
      <w:r w:rsidR="00066F19">
        <w:t>e</w:t>
      </w:r>
      <w:r w:rsidR="00066F19" w:rsidRPr="00073725">
        <w:t>gone revenue.</w:t>
      </w:r>
    </w:p>
    <w:p w:rsidR="00066F19" w:rsidRDefault="00941C0E" w:rsidP="00066F19">
      <w:pPr>
        <w:numPr>
          <w:ilvl w:val="0"/>
          <w:numId w:val="25"/>
        </w:numPr>
      </w:pPr>
      <w:r>
        <w:t>Endeavour Energy acknowledged the AEMC's Power of Choice review which includes an examination of distributor incentives to pursue efficient alternatives to network augmentation and anticipates new rules and principles guiding the design of a new DMIS. Regarding anticipated changes to the DMIS, Endeavour Energy proposed that, should the AEMC provide new rules and principles guiding the design of a new DMIS in time, we apply a revised DMIS for Endeavour Energy’s final revenue determination, subject to consultation with Endeavour Energy</w:t>
      </w:r>
      <w:r w:rsidR="00066F19">
        <w:t>.</w:t>
      </w:r>
      <w:r w:rsidR="00066F19" w:rsidRPr="00073725">
        <w:rPr>
          <w:rStyle w:val="FootnoteReference"/>
        </w:rPr>
        <w:footnoteReference w:id="10"/>
      </w:r>
    </w:p>
    <w:p w:rsidR="00066F19" w:rsidRDefault="00066F19" w:rsidP="00066F19">
      <w:pPr>
        <w:pStyle w:val="Heading2"/>
      </w:pPr>
      <w:bookmarkStart w:id="16" w:name="_Toc409017595"/>
      <w:bookmarkStart w:id="17" w:name="_Toc416789085"/>
      <w:r w:rsidRPr="001754EE">
        <w:t>AER’s</w:t>
      </w:r>
      <w:r>
        <w:t xml:space="preserve"> assessment approach</w:t>
      </w:r>
      <w:bookmarkEnd w:id="16"/>
      <w:bookmarkEnd w:id="17"/>
    </w:p>
    <w:p w:rsidR="00066F19" w:rsidRDefault="00066F19" w:rsidP="00066F19">
      <w:pPr>
        <w:numPr>
          <w:ilvl w:val="0"/>
          <w:numId w:val="25"/>
        </w:numPr>
      </w:pPr>
      <w:bookmarkStart w:id="18" w:name="_Toc409017596"/>
      <w:r>
        <w:t xml:space="preserve">The rules require us to have regard to several factors in developing and implementing a DMIS for </w:t>
      </w:r>
      <w:r w:rsidR="00BA78FF">
        <w:t>Endeavour Energy</w:t>
      </w:r>
      <w:r>
        <w:t>.</w:t>
      </w:r>
      <w:r w:rsidRPr="004C7901">
        <w:rPr>
          <w:rStyle w:val="FootnoteReference"/>
        </w:rPr>
        <w:footnoteReference w:id="11"/>
      </w:r>
      <w:r>
        <w:t xml:space="preserve"> These are:</w:t>
      </w:r>
    </w:p>
    <w:p w:rsidR="00066F19" w:rsidRPr="00904998" w:rsidRDefault="00066F19" w:rsidP="00066F19">
      <w:pPr>
        <w:pStyle w:val="AERbulletlistfirststyle"/>
      </w:pPr>
      <w:r>
        <w:t>Benefits to consumers</w:t>
      </w:r>
    </w:p>
    <w:p w:rsidR="00066F19" w:rsidRPr="00904998" w:rsidRDefault="00066F19" w:rsidP="00066F19">
      <w:pPr>
        <w:pStyle w:val="AERbulletlistsecondstyle"/>
      </w:pPr>
      <w:r>
        <w:t>the need to ensure that benefits to electricity consumers likely to result from the scheme are sufficient to warrant any reward or penalty under the scheme</w:t>
      </w:r>
    </w:p>
    <w:p w:rsidR="00066F19" w:rsidRPr="00904998" w:rsidRDefault="00066F19" w:rsidP="00066F19">
      <w:pPr>
        <w:pStyle w:val="AERbulletlistsecondstyle"/>
      </w:pPr>
      <w:proofErr w:type="gramStart"/>
      <w:r>
        <w:lastRenderedPageBreak/>
        <w:t>the</w:t>
      </w:r>
      <w:proofErr w:type="gramEnd"/>
      <w:r>
        <w:t xml:space="preserve"> willingness of customers or </w:t>
      </w:r>
      <w:r w:rsidRPr="00904998">
        <w:t>end users to pay for increases in costs resulting from implementing DMIS.</w:t>
      </w:r>
    </w:p>
    <w:p w:rsidR="00066F19" w:rsidRPr="00904998" w:rsidRDefault="00066F19" w:rsidP="00066F19">
      <w:pPr>
        <w:pStyle w:val="AERbulletlistfirststyle"/>
      </w:pPr>
      <w:r>
        <w:t>Balanced incentives</w:t>
      </w:r>
    </w:p>
    <w:p w:rsidR="00066F19" w:rsidRPr="00904998" w:rsidRDefault="00066F19" w:rsidP="00066F19">
      <w:pPr>
        <w:pStyle w:val="AERbulletlistsecondstyle"/>
      </w:pPr>
      <w:r>
        <w:t>the effect of a particular control mechanism (i.e. price as distinct from revenue regulation)</w:t>
      </w:r>
      <w:r w:rsidRPr="00904998">
        <w:t xml:space="preserve"> on a distributor's incentives to adopt or implement efficient non-network alternatives</w:t>
      </w:r>
    </w:p>
    <w:p w:rsidR="00066F19" w:rsidRPr="00904998" w:rsidRDefault="00066F19" w:rsidP="00066F19">
      <w:pPr>
        <w:pStyle w:val="AERbulletlistsecondstyle"/>
      </w:pPr>
      <w:r w:rsidRPr="00A46438">
        <w:t xml:space="preserve">the effect of classification of services on a distributor's incentive to adopt or implement efficient embedded generator connections </w:t>
      </w:r>
    </w:p>
    <w:p w:rsidR="00066F19" w:rsidRPr="00904998" w:rsidRDefault="00066F19" w:rsidP="00066F19">
      <w:pPr>
        <w:pStyle w:val="AERbulletlistsecondstyle"/>
      </w:pPr>
      <w:r>
        <w:t>the extent the distributor is able to offer efficient pricing structures</w:t>
      </w:r>
    </w:p>
    <w:p w:rsidR="00066F19" w:rsidRPr="00904998" w:rsidRDefault="00066F19" w:rsidP="00066F19">
      <w:pPr>
        <w:pStyle w:val="AERbulletlistsecondstyle"/>
      </w:pPr>
      <w:proofErr w:type="gramStart"/>
      <w:r>
        <w:t>the</w:t>
      </w:r>
      <w:proofErr w:type="gramEnd"/>
      <w:r>
        <w:t xml:space="preserve"> possible interactions between DMIS and other incentive schemes.</w:t>
      </w:r>
    </w:p>
    <w:p w:rsidR="00066F19" w:rsidRDefault="00066F19" w:rsidP="00066F19">
      <w:pPr>
        <w:numPr>
          <w:ilvl w:val="0"/>
          <w:numId w:val="25"/>
        </w:numPr>
      </w:pPr>
      <w:r>
        <w:t xml:space="preserve">We had regard to these factors in considering the proposed approach to the DMIS for </w:t>
      </w:r>
      <w:r w:rsidR="00BA78FF">
        <w:t>Endeavour Energy</w:t>
      </w:r>
      <w:r>
        <w:t xml:space="preserve"> as set out in our </w:t>
      </w:r>
      <w:r w:rsidR="00B61B38">
        <w:t>d</w:t>
      </w:r>
      <w:r>
        <w:t xml:space="preserve">raft </w:t>
      </w:r>
      <w:r w:rsidR="00B61B38">
        <w:t>d</w:t>
      </w:r>
      <w:r>
        <w:t>ecision</w:t>
      </w:r>
      <w:r>
        <w:rPr>
          <w:rStyle w:val="FootnoteReference"/>
        </w:rPr>
        <w:footnoteReference w:id="12"/>
      </w:r>
      <w:r>
        <w:t xml:space="preserve"> and the Stage 2 F&amp;A for the NSW </w:t>
      </w:r>
      <w:r w:rsidR="00A6052A">
        <w:t>distributor</w:t>
      </w:r>
      <w:r>
        <w:t>s</w:t>
      </w:r>
      <w:r>
        <w:rPr>
          <w:rStyle w:val="FootnoteReference"/>
        </w:rPr>
        <w:footnoteReference w:id="13"/>
      </w:r>
      <w:r w:rsidR="00A03E23">
        <w:t xml:space="preserve"> and we have again taken these factors into account in making our final decision</w:t>
      </w:r>
      <w:r>
        <w:t>.</w:t>
      </w:r>
    </w:p>
    <w:p w:rsidR="00066F19" w:rsidRDefault="00066F19" w:rsidP="00066F19">
      <w:pPr>
        <w:pStyle w:val="Heading2"/>
      </w:pPr>
      <w:bookmarkStart w:id="19" w:name="_Toc409017598"/>
      <w:bookmarkStart w:id="20" w:name="_Toc416789086"/>
      <w:bookmarkEnd w:id="18"/>
      <w:r w:rsidRPr="001754EE">
        <w:t>Reasons</w:t>
      </w:r>
      <w:r>
        <w:t xml:space="preserve"> for final decision</w:t>
      </w:r>
      <w:bookmarkEnd w:id="19"/>
      <w:bookmarkEnd w:id="20"/>
      <w:r>
        <w:t xml:space="preserve"> </w:t>
      </w:r>
    </w:p>
    <w:p w:rsidR="00066F19" w:rsidRDefault="00066F19" w:rsidP="005B0967">
      <w:pPr>
        <w:numPr>
          <w:ilvl w:val="0"/>
          <w:numId w:val="25"/>
        </w:numPr>
      </w:pPr>
      <w:r w:rsidRPr="00043842">
        <w:t>Consistent with our decisions for the transitional regulatory control period</w:t>
      </w:r>
      <w:r>
        <w:t xml:space="preserve"> and our </w:t>
      </w:r>
      <w:r w:rsidR="00B61B38">
        <w:t>d</w:t>
      </w:r>
      <w:r>
        <w:t xml:space="preserve">raft </w:t>
      </w:r>
      <w:r w:rsidR="00B61B38">
        <w:t>d</w:t>
      </w:r>
      <w:r>
        <w:t>ecision</w:t>
      </w:r>
      <w:r w:rsidRPr="00043842">
        <w:t xml:space="preserve">, we </w:t>
      </w:r>
      <w:r>
        <w:t>will</w:t>
      </w:r>
      <w:r w:rsidRPr="00043842">
        <w:t xml:space="preserve"> not apply the Part B foregone revenue component of the DMIA or the D-factor in the </w:t>
      </w:r>
      <w:r w:rsidRPr="00792AEF">
        <w:t xml:space="preserve">2015–19 </w:t>
      </w:r>
      <w:r w:rsidRPr="00043842">
        <w:t xml:space="preserve">regulatory control </w:t>
      </w:r>
      <w:proofErr w:type="gramStart"/>
      <w:r w:rsidRPr="00043842">
        <w:t>period</w:t>
      </w:r>
      <w:proofErr w:type="gramEnd"/>
      <w:r w:rsidRPr="00043842">
        <w:t xml:space="preserve"> due to the move to a revenue cap.</w:t>
      </w:r>
      <w:r>
        <w:rPr>
          <w:rStyle w:val="FootnoteReference"/>
        </w:rPr>
        <w:footnoteReference w:id="14"/>
      </w:r>
      <w:r w:rsidR="005B0967">
        <w:t xml:space="preserve"> However, </w:t>
      </w:r>
      <w:r w:rsidRPr="00043842">
        <w:t xml:space="preserve">as the D-factor operates on a two-year lag, </w:t>
      </w:r>
      <w:r w:rsidR="000B224A">
        <w:t>Endeavour Energy</w:t>
      </w:r>
      <w:r w:rsidRPr="00043842">
        <w:t xml:space="preserve"> will be able to recover the costs and foregone revenues of applicable demand management projects relevant to the </w:t>
      </w:r>
      <w:r w:rsidRPr="00792AEF">
        <w:t xml:space="preserve">2009–14 </w:t>
      </w:r>
      <w:r w:rsidRPr="00043842">
        <w:t xml:space="preserve">regulatory control period in the </w:t>
      </w:r>
      <w:r w:rsidRPr="00792AEF">
        <w:t xml:space="preserve">2015–19 </w:t>
      </w:r>
      <w:r w:rsidRPr="00043842">
        <w:t>regulatory control period.</w:t>
      </w:r>
    </w:p>
    <w:p w:rsidR="00F72D08" w:rsidRDefault="005B0967" w:rsidP="00066F19">
      <w:r>
        <w:t xml:space="preserve">Considering </w:t>
      </w:r>
      <w:r w:rsidR="00E836FD">
        <w:t xml:space="preserve">a significant proportion of </w:t>
      </w:r>
      <w:r>
        <w:t xml:space="preserve">Endeavour Energy's </w:t>
      </w:r>
      <w:r w:rsidR="00E836FD">
        <w:t xml:space="preserve">allowance </w:t>
      </w:r>
      <w:r w:rsidR="00361922">
        <w:t xml:space="preserve">remains </w:t>
      </w:r>
      <w:r>
        <w:t>for the current regulatory control period</w:t>
      </w:r>
      <w:r w:rsidR="00E836FD">
        <w:rPr>
          <w:rStyle w:val="FootnoteReference"/>
        </w:rPr>
        <w:footnoteReference w:id="15"/>
      </w:r>
      <w:r>
        <w:t>, we have determined that t</w:t>
      </w:r>
      <w:r w:rsidRPr="00135C6D">
        <w:t>he curr</w:t>
      </w:r>
      <w:r>
        <w:t>ent innovation allowance amount of $</w:t>
      </w:r>
      <w:r w:rsidR="00E70454">
        <w:t>0.6</w:t>
      </w:r>
      <w:r>
        <w:t xml:space="preserve"> million ($2014–15) per annum</w:t>
      </w:r>
      <w:r w:rsidRPr="003A217E">
        <w:t xml:space="preserve"> </w:t>
      </w:r>
      <w:r w:rsidRPr="00135C6D">
        <w:t xml:space="preserve">will continue in the </w:t>
      </w:r>
      <w:r w:rsidRPr="00043842">
        <w:t xml:space="preserve">2015–19 </w:t>
      </w:r>
      <w:r w:rsidRPr="00135C6D">
        <w:t>regulatory control period.</w:t>
      </w:r>
    </w:p>
    <w:p w:rsidR="00066F19" w:rsidRPr="00552F74" w:rsidRDefault="00066F19" w:rsidP="00066F19">
      <w:pPr>
        <w:rPr>
          <w:rStyle w:val="AERbody"/>
        </w:rPr>
      </w:pPr>
      <w:r>
        <w:t xml:space="preserve">Our Stage 2 F&amp;A and </w:t>
      </w:r>
      <w:r w:rsidR="00B61B38">
        <w:t>d</w:t>
      </w:r>
      <w:r>
        <w:t xml:space="preserve">raft </w:t>
      </w:r>
      <w:r w:rsidR="00B61B38">
        <w:t>d</w:t>
      </w:r>
      <w:r>
        <w:t xml:space="preserve">ecision stated that our intention to develop and implement a new DMIS for the </w:t>
      </w:r>
      <w:r w:rsidRPr="00792AEF">
        <w:t xml:space="preserve">2015–19 </w:t>
      </w:r>
      <w:r>
        <w:t xml:space="preserve">regulatory control </w:t>
      </w:r>
      <w:proofErr w:type="gramStart"/>
      <w:r>
        <w:t>period</w:t>
      </w:r>
      <w:proofErr w:type="gramEnd"/>
      <w:r>
        <w:t xml:space="preserve"> was dependent on the progress of the rule change process arising from the AEMC’s Power of Choice review.</w:t>
      </w:r>
      <w:r>
        <w:rPr>
          <w:rStyle w:val="FootnoteReference"/>
        </w:rPr>
        <w:footnoteReference w:id="16"/>
      </w:r>
      <w:r>
        <w:t xml:space="preserve"> </w:t>
      </w:r>
      <w:r w:rsidR="000677C2" w:rsidRPr="00734F0B">
        <w:rPr>
          <w:rStyle w:val="AERbody"/>
        </w:rPr>
        <w:t>On 19</w:t>
      </w:r>
      <w:r w:rsidR="00615085">
        <w:rPr>
          <w:rStyle w:val="AERbody"/>
        </w:rPr>
        <w:t> </w:t>
      </w:r>
      <w:r w:rsidR="000677C2" w:rsidRPr="00734F0B">
        <w:rPr>
          <w:rStyle w:val="AERbody"/>
        </w:rPr>
        <w:t>February 2015, the AEMC commenced consultation on the rule change</w:t>
      </w:r>
      <w:r w:rsidR="00832B64">
        <w:rPr>
          <w:rStyle w:val="AERbody"/>
        </w:rPr>
        <w:t>.</w:t>
      </w:r>
      <w:r w:rsidR="000677C2" w:rsidRPr="00734F0B">
        <w:rPr>
          <w:rStyle w:val="AERbody"/>
        </w:rPr>
        <w:t xml:space="preserve"> </w:t>
      </w:r>
      <w:r w:rsidR="00832B64">
        <w:rPr>
          <w:rStyle w:val="AERbody"/>
        </w:rPr>
        <w:lastRenderedPageBreak/>
        <w:t>S</w:t>
      </w:r>
      <w:r w:rsidR="000677C2" w:rsidRPr="00734F0B">
        <w:rPr>
          <w:rStyle w:val="AERbody"/>
        </w:rPr>
        <w:t xml:space="preserve">ubmissions closed on 19 March </w:t>
      </w:r>
      <w:r w:rsidR="000677C2" w:rsidRPr="00981B3C">
        <w:rPr>
          <w:rStyle w:val="AERbody"/>
        </w:rPr>
        <w:t>2015</w:t>
      </w:r>
      <w:r w:rsidRPr="00552F74">
        <w:rPr>
          <w:rStyle w:val="AERbody"/>
        </w:rPr>
        <w:t xml:space="preserve">. </w:t>
      </w:r>
      <w:r w:rsidR="00D2183F" w:rsidRPr="007160AE">
        <w:rPr>
          <w:rStyle w:val="AERbody"/>
        </w:rPr>
        <w:t xml:space="preserve">The AEMC is currently considering </w:t>
      </w:r>
      <w:r w:rsidR="00D2183F">
        <w:rPr>
          <w:rStyle w:val="AERbody"/>
        </w:rPr>
        <w:t xml:space="preserve">the </w:t>
      </w:r>
      <w:r w:rsidR="00D2183F" w:rsidRPr="007160AE">
        <w:rPr>
          <w:rStyle w:val="AERbody"/>
        </w:rPr>
        <w:t>rule amendments.</w:t>
      </w:r>
    </w:p>
    <w:p w:rsidR="000677C2" w:rsidRDefault="000677C2" w:rsidP="0080765A">
      <w:pPr>
        <w:numPr>
          <w:ilvl w:val="0"/>
          <w:numId w:val="25"/>
        </w:numPr>
      </w:pPr>
      <w:r>
        <w:t xml:space="preserve">The </w:t>
      </w:r>
      <w:r w:rsidR="00ED6BAD">
        <w:t>Total Environment Centre (</w:t>
      </w:r>
      <w:r>
        <w:t>TEC</w:t>
      </w:r>
      <w:r w:rsidR="00ED6BAD">
        <w:t>)</w:t>
      </w:r>
      <w:r>
        <w:t xml:space="preserve"> accepted the position we adopted in our draft decision to await the outcomes of the AEMC's review before considering reform of the current DMIS but suggested that we consider introducing measures to promote the effective use of demand management initiatives. Such measures included requiring businesses to report annually, providing businesses with specific metrics or performance indicators and the development of a demand management guideline.</w:t>
      </w:r>
      <w:r>
        <w:rPr>
          <w:rStyle w:val="FootnoteReference"/>
        </w:rPr>
        <w:footnoteReference w:id="17"/>
      </w:r>
    </w:p>
    <w:p w:rsidR="000677C2" w:rsidRDefault="00B43A1D" w:rsidP="0080765A">
      <w:pPr>
        <w:numPr>
          <w:ilvl w:val="0"/>
          <w:numId w:val="25"/>
        </w:numPr>
        <w:rPr>
          <w:rStyle w:val="AERbody"/>
        </w:rPr>
      </w:pPr>
      <w:r>
        <w:t xml:space="preserve">The </w:t>
      </w:r>
      <w:r w:rsidR="00ED6BAD">
        <w:t>Public Interest Advocacy Centre (</w:t>
      </w:r>
      <w:r>
        <w:t>PIAC</w:t>
      </w:r>
      <w:r w:rsidR="00ED6BAD">
        <w:t>)</w:t>
      </w:r>
      <w:r>
        <w:t xml:space="preserve"> also agreed that revision of the DMIS would ideally follow the AEMC's review, however, given delays in the rule change process and the importance of demand management to consumers, recommended that we urgently revise the current scheme such that it applies to the current deter</w:t>
      </w:r>
      <w:r w:rsidR="00C32196">
        <w:t xml:space="preserve">mination. </w:t>
      </w:r>
      <w:r>
        <w:t xml:space="preserve">PIAC supported </w:t>
      </w:r>
      <w:proofErr w:type="spellStart"/>
      <w:r>
        <w:t>Ausgrid's</w:t>
      </w:r>
      <w:proofErr w:type="spellEnd"/>
      <w:r>
        <w:t xml:space="preserve"> proposed Demand Management Benefit Sharing Scheme (DMBSS) as an interim measure and recommended that we also apply that scheme to Endeavour Energy's broad-based demand management proposal.</w:t>
      </w:r>
      <w:r>
        <w:rPr>
          <w:rStyle w:val="FootnoteReference"/>
        </w:rPr>
        <w:footnoteReference w:id="18"/>
      </w:r>
      <w:r>
        <w:t xml:space="preserve"> The Ethnic Communities' Council of NSW Inc. supported these recommendations made by the PIAC.</w:t>
      </w:r>
      <w:r>
        <w:rPr>
          <w:rStyle w:val="FootnoteReference"/>
        </w:rPr>
        <w:footnoteReference w:id="19"/>
      </w:r>
    </w:p>
    <w:p w:rsidR="001E2FD2" w:rsidRPr="001E2FD2" w:rsidRDefault="001E2FD2" w:rsidP="001E2FD2">
      <w:pPr>
        <w:pStyle w:val="ListParagraph"/>
        <w:numPr>
          <w:ilvl w:val="0"/>
          <w:numId w:val="25"/>
        </w:numPr>
        <w:rPr>
          <w:rStyle w:val="AERtextitalic"/>
        </w:rPr>
      </w:pPr>
      <w:proofErr w:type="spellStart"/>
      <w:r w:rsidRPr="001E2FD2">
        <w:t>EnerNOC</w:t>
      </w:r>
      <w:proofErr w:type="spellEnd"/>
      <w:r w:rsidRPr="001E2FD2">
        <w:t xml:space="preserve"> submitted that our </w:t>
      </w:r>
      <w:r w:rsidRPr="001E2FD2">
        <w:rPr>
          <w:rStyle w:val="AERbody"/>
        </w:rPr>
        <w:t>position was 'to prioritise process over outcomes'</w:t>
      </w:r>
      <w:r>
        <w:rPr>
          <w:rStyle w:val="AERbody"/>
        </w:rPr>
        <w:t>. It stated that</w:t>
      </w:r>
      <w:r w:rsidRPr="001E2FD2">
        <w:t xml:space="preserve"> </w:t>
      </w:r>
      <w:proofErr w:type="spellStart"/>
      <w:r w:rsidRPr="001E2FD2">
        <w:t>Ausgrid's</w:t>
      </w:r>
      <w:proofErr w:type="spellEnd"/>
      <w:r w:rsidRPr="001E2FD2">
        <w:t xml:space="preserve"> proposed </w:t>
      </w:r>
      <w:r w:rsidRPr="001E2FD2">
        <w:rPr>
          <w:rStyle w:val="AERbody"/>
        </w:rPr>
        <w:t>DMBSS 'is good enough to serve as an interim scheme until it is replaced by an AEMC-consulted one for the next regulatory cycle'</w:t>
      </w:r>
      <w:r>
        <w:rPr>
          <w:rStyle w:val="AERbody"/>
        </w:rPr>
        <w:t xml:space="preserve"> and that this interim incentive could be limited to NSW distribution businesses since these are the businesses for which the D-factor currently applies</w:t>
      </w:r>
      <w:r w:rsidRPr="001E2FD2">
        <w:rPr>
          <w:rStyle w:val="AERtextitalic"/>
        </w:rPr>
        <w:t>.</w:t>
      </w:r>
      <w:r w:rsidRPr="001E2FD2">
        <w:rPr>
          <w:rStyle w:val="FootnoteReference"/>
        </w:rPr>
        <w:footnoteReference w:id="20"/>
      </w:r>
    </w:p>
    <w:p w:rsidR="006A0411" w:rsidRDefault="006A0411" w:rsidP="006A0411">
      <w:pPr>
        <w:rPr>
          <w:rStyle w:val="AERbody"/>
        </w:rPr>
      </w:pPr>
      <w:r>
        <w:rPr>
          <w:rStyle w:val="AERbody"/>
        </w:rPr>
        <w:t>Regarding the i</w:t>
      </w:r>
      <w:r w:rsidR="00C32196">
        <w:rPr>
          <w:rStyle w:val="AERbody"/>
        </w:rPr>
        <w:t xml:space="preserve">nnovation allowance amount, </w:t>
      </w:r>
      <w:r>
        <w:rPr>
          <w:rStyle w:val="AERbody"/>
        </w:rPr>
        <w:t>TEC submitted that we should consider providing Endeavour Energy with a $1 million minimum allowance rather than cap the allowance provided it is accompanied by a robust measurement, verification and reporting mechanism.</w:t>
      </w:r>
      <w:r>
        <w:rPr>
          <w:rStyle w:val="FootnoteReference"/>
        </w:rPr>
        <w:footnoteReference w:id="21"/>
      </w:r>
      <w:r w:rsidR="00C32196">
        <w:rPr>
          <w:rStyle w:val="AERbody"/>
        </w:rPr>
        <w:t xml:space="preserve"> </w:t>
      </w:r>
      <w:r>
        <w:rPr>
          <w:rStyle w:val="AERbody"/>
        </w:rPr>
        <w:t>PIAC also recommended that we consider whether there is a case for increasing Endeavour Energy's innovation allowance and reviewing the DMIA criteria, particularly to fund proposed pilots and trials.</w:t>
      </w:r>
      <w:r>
        <w:rPr>
          <w:rStyle w:val="FootnoteReference"/>
        </w:rPr>
        <w:footnoteReference w:id="22"/>
      </w:r>
    </w:p>
    <w:p w:rsidR="006A0411" w:rsidRDefault="006A0411" w:rsidP="006A0411">
      <w:pPr>
        <w:numPr>
          <w:ilvl w:val="0"/>
          <w:numId w:val="25"/>
        </w:numPr>
        <w:rPr>
          <w:rStyle w:val="AERbody"/>
        </w:rPr>
      </w:pPr>
      <w:r>
        <w:lastRenderedPageBreak/>
        <w:t>Regarding forms of pric</w:t>
      </w:r>
      <w:r w:rsidR="00C32196">
        <w:t xml:space="preserve">e control and the D-factor, </w:t>
      </w:r>
      <w:r>
        <w:t xml:space="preserve">TEC and </w:t>
      </w:r>
      <w:r w:rsidR="00ED6BAD">
        <w:t xml:space="preserve">the </w:t>
      </w:r>
      <w:r>
        <w:t>CCP accepted it is appropriate to remove the D-factor in light of the move to a revenue cap.</w:t>
      </w:r>
      <w:r>
        <w:rPr>
          <w:rStyle w:val="FootnoteReference"/>
        </w:rPr>
        <w:footnoteReference w:id="23"/>
      </w:r>
    </w:p>
    <w:p w:rsidR="0080765A" w:rsidRDefault="00361922" w:rsidP="0080765A">
      <w:pPr>
        <w:numPr>
          <w:ilvl w:val="0"/>
          <w:numId w:val="25"/>
        </w:numPr>
      </w:pPr>
      <w:r>
        <w:rPr>
          <w:rStyle w:val="AERbody"/>
        </w:rPr>
        <w:t>In response to submissions and</w:t>
      </w:r>
      <w:r w:rsidR="00ED6BAD">
        <w:rPr>
          <w:rStyle w:val="AERbody"/>
        </w:rPr>
        <w:t xml:space="preserve"> c</w:t>
      </w:r>
      <w:r w:rsidR="00CC46EA">
        <w:rPr>
          <w:rStyle w:val="AERbody"/>
        </w:rPr>
        <w:t>onsistent with our draft decision, w</w:t>
      </w:r>
      <w:r w:rsidR="0080765A" w:rsidRPr="00D820B8">
        <w:rPr>
          <w:rStyle w:val="AERbody"/>
        </w:rPr>
        <w:t xml:space="preserve">e do not intend to pre-empt consultation on the AEMC’s review of the current demand management arrangements by commencing a separate consultation process on a new DMIS before the outcomes of the review are finalised. </w:t>
      </w:r>
      <w:r w:rsidR="0080765A">
        <w:t>Quite apart from the unnecessary complications and inefficiencies that a parallel policy process would create, the confines of a distribution revenue review make it ill-suited to driving regulatory reform.</w:t>
      </w:r>
    </w:p>
    <w:p w:rsidR="0080765A" w:rsidRDefault="0080765A" w:rsidP="0080765A">
      <w:pPr>
        <w:numPr>
          <w:ilvl w:val="0"/>
          <w:numId w:val="25"/>
        </w:numPr>
      </w:pPr>
      <w:r>
        <w:t>We acknowledge the need to reform the existing demand management incentive arrangements and the importance of demand management in deferring the need for network augmentation by alleviating network utilisation during peak usage periods. The move to a revenue cap form of control remov</w:t>
      </w:r>
      <w:r w:rsidR="00CC46EA">
        <w:t>es</w:t>
      </w:r>
      <w:r>
        <w:t xml:space="preserve"> any disincentive for distributors to reduce the quantity of electricity sold by pursuing demand management initiatives</w:t>
      </w:r>
      <w:r w:rsidR="00EC67D7">
        <w:t>.</w:t>
      </w:r>
      <w:r>
        <w:t xml:space="preserve"> </w:t>
      </w:r>
      <w:r w:rsidR="00EC67D7">
        <w:t>M</w:t>
      </w:r>
      <w:r>
        <w:t>ore robust obligations to consider non-network alternatives in order to satisfy RIT-D requirements provide distributors with opportunities to improve and expand their demand management programs.</w:t>
      </w:r>
    </w:p>
    <w:p w:rsidR="00EC67D7" w:rsidRDefault="0080765A" w:rsidP="0080765A">
      <w:pPr>
        <w:numPr>
          <w:ilvl w:val="0"/>
          <w:numId w:val="25"/>
        </w:numPr>
      </w:pPr>
      <w:r>
        <w:t xml:space="preserve">Beyond increasing opportunities, we recognise the importance of strengthening demand management incentives in order to defer network augmentation. However, </w:t>
      </w:r>
      <w:r w:rsidR="00A54DBB">
        <w:t>w</w:t>
      </w:r>
      <w:r w:rsidR="00A54DBB" w:rsidRPr="00A54DBB">
        <w:t xml:space="preserve">e do not consider it appropriate to develop an alternative incentive structure in parallel to the AEMC's review through </w:t>
      </w:r>
      <w:r w:rsidR="00A54DBB">
        <w:t>Endeavour Energy's</w:t>
      </w:r>
      <w:r w:rsidR="00A54DBB" w:rsidRPr="00A54DBB">
        <w:t xml:space="preserve"> regulatory proposal. The AEMC will be able to consider how any changes to the NER can be implemented in the 201</w:t>
      </w:r>
      <w:r w:rsidR="00941610">
        <w:t>5</w:t>
      </w:r>
      <w:r w:rsidR="00EC67D7">
        <w:t>–</w:t>
      </w:r>
      <w:r w:rsidR="00A54DBB" w:rsidRPr="00A54DBB">
        <w:t xml:space="preserve">19 regulatory </w:t>
      </w:r>
      <w:r w:rsidR="00941610">
        <w:t xml:space="preserve">control </w:t>
      </w:r>
      <w:r w:rsidR="00A54DBB" w:rsidRPr="00A54DBB">
        <w:t>period through transitional arrangements.</w:t>
      </w:r>
      <w:r>
        <w:t xml:space="preserve"> </w:t>
      </w:r>
    </w:p>
    <w:p w:rsidR="0080765A" w:rsidRDefault="0080765A" w:rsidP="0080765A">
      <w:pPr>
        <w:numPr>
          <w:ilvl w:val="0"/>
          <w:numId w:val="25"/>
        </w:numPr>
        <w:rPr>
          <w:rStyle w:val="AERbody"/>
        </w:rPr>
      </w:pPr>
      <w:r>
        <w:t>For these reasons,</w:t>
      </w:r>
      <w:r w:rsidRPr="00D820B8">
        <w:rPr>
          <w:rStyle w:val="AERbody"/>
        </w:rPr>
        <w:t xml:space="preserve"> we have adopted the position proposed in the Stage 2 Framework and Approach</w:t>
      </w:r>
      <w:r w:rsidR="00CC46EA">
        <w:rPr>
          <w:rStyle w:val="AERbody"/>
        </w:rPr>
        <w:t xml:space="preserve"> and our draft decision</w:t>
      </w:r>
      <w:r w:rsidRPr="00D820B8">
        <w:rPr>
          <w:rStyle w:val="AERbody"/>
        </w:rPr>
        <w:t xml:space="preserve"> and approved DMIA allowances consistent with their current scale.</w:t>
      </w:r>
      <w:r w:rsidR="00EC67D7">
        <w:rPr>
          <w:rStyle w:val="AERbody"/>
        </w:rPr>
        <w:t xml:space="preserve"> </w:t>
      </w:r>
      <w:r w:rsidRPr="00D820B8">
        <w:rPr>
          <w:rStyle w:val="AERbody"/>
        </w:rPr>
        <w:t xml:space="preserve">We </w:t>
      </w:r>
      <w:r w:rsidR="00CC46EA">
        <w:rPr>
          <w:rStyle w:val="AERbody"/>
        </w:rPr>
        <w:t>will consider the introduction of</w:t>
      </w:r>
      <w:r w:rsidRPr="00D820B8">
        <w:rPr>
          <w:rStyle w:val="AERbody"/>
        </w:rPr>
        <w:t xml:space="preserve"> a revised DMIS as soon as practicable following the AEMC's rule</w:t>
      </w:r>
      <w:r>
        <w:rPr>
          <w:rStyle w:val="AERbody"/>
        </w:rPr>
        <w:t xml:space="preserve"> </w:t>
      </w:r>
      <w:proofErr w:type="gramStart"/>
      <w:r w:rsidRPr="00D820B8">
        <w:rPr>
          <w:rStyle w:val="AERbody"/>
        </w:rPr>
        <w:t>change</w:t>
      </w:r>
      <w:proofErr w:type="gramEnd"/>
      <w:r w:rsidRPr="00D820B8">
        <w:rPr>
          <w:rStyle w:val="AERbody"/>
        </w:rPr>
        <w:t xml:space="preserve"> process.</w:t>
      </w:r>
      <w:r>
        <w:rPr>
          <w:rStyle w:val="AERbody"/>
        </w:rPr>
        <w:t xml:space="preserve"> </w:t>
      </w:r>
    </w:p>
    <w:p w:rsidR="000B224A" w:rsidRDefault="0080765A" w:rsidP="0080765A">
      <w:r>
        <w:t>Endeavour</w:t>
      </w:r>
      <w:r w:rsidRPr="00143D6B">
        <w:t xml:space="preserve"> </w:t>
      </w:r>
      <w:r>
        <w:t xml:space="preserve">Energy </w:t>
      </w:r>
      <w:r w:rsidRPr="00143D6B">
        <w:t xml:space="preserve">proposed a number of demand management costs as part of its </w:t>
      </w:r>
      <w:r>
        <w:t>total forecast operating expenditure building block</w:t>
      </w:r>
      <w:r w:rsidRPr="00143D6B">
        <w:t>.</w:t>
      </w:r>
      <w:r>
        <w:t xml:space="preserve"> </w:t>
      </w:r>
      <w:r w:rsidRPr="00143D6B">
        <w:t xml:space="preserve">Our decision on </w:t>
      </w:r>
      <w:r w:rsidRPr="00B37D4B">
        <w:t>Endeavour Energy</w:t>
      </w:r>
      <w:r w:rsidRPr="00143D6B">
        <w:t>'s demand management relate</w:t>
      </w:r>
      <w:r>
        <w:t>d operating expenditure building block</w:t>
      </w:r>
      <w:r w:rsidRPr="00143D6B">
        <w:t xml:space="preserve"> can be found </w:t>
      </w:r>
      <w:r w:rsidRPr="0080765A">
        <w:rPr>
          <w:rStyle w:val="AERbody"/>
        </w:rPr>
        <w:t>in attachment 7</w:t>
      </w:r>
      <w:r>
        <w:rPr>
          <w:rStyle w:val="AERbody"/>
        </w:rPr>
        <w:t>.</w:t>
      </w:r>
    </w:p>
    <w:sectPr w:rsidR="000B224A"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DE563D" w:rsidRPr="009B6F84" w:rsidRDefault="00423A77">
        <w:pPr>
          <w:pStyle w:val="Footer"/>
          <w:rPr>
            <w:sz w:val="20"/>
          </w:rPr>
        </w:pPr>
        <w:r>
          <w:fldChar w:fldCharType="begin"/>
        </w:r>
        <w:r>
          <w:instrText xml:space="preserve"> PAGE   \* MERGEFORMAT </w:instrText>
        </w:r>
        <w:r>
          <w:fldChar w:fldCharType="separate"/>
        </w:r>
        <w:r w:rsidR="00905389">
          <w:rPr>
            <w:noProof/>
          </w:rPr>
          <w:t>12-1</w:t>
        </w:r>
        <w:r>
          <w:rPr>
            <w:noProof/>
          </w:rPr>
          <w:fldChar w:fldCharType="end"/>
        </w:r>
        <w:r w:rsidR="00592CAA">
          <w:rPr>
            <w:noProof/>
          </w:rPr>
          <w:t xml:space="preserve">          </w:t>
        </w:r>
        <w:r w:rsidR="005E1582" w:rsidRPr="005E1582">
          <w:rPr>
            <w:noProof/>
          </w:rPr>
          <w:t>Attachment 1</w:t>
        </w:r>
        <w:r w:rsidR="006F016F">
          <w:rPr>
            <w:noProof/>
          </w:rPr>
          <w:t>2</w:t>
        </w:r>
        <w:r w:rsidR="005E1582" w:rsidRPr="005E1582">
          <w:rPr>
            <w:noProof/>
          </w:rPr>
          <w:t xml:space="preserve"> – </w:t>
        </w:r>
        <w:r w:rsidR="006F016F">
          <w:rPr>
            <w:noProof/>
          </w:rPr>
          <w:t>DMIS</w:t>
        </w:r>
        <w:r w:rsidR="005E1582">
          <w:rPr>
            <w:noProof/>
          </w:rPr>
          <w:t xml:space="preserve"> </w:t>
        </w:r>
        <w:r w:rsidR="00DE563D" w:rsidRPr="009B6F84">
          <w:rPr>
            <w:rFonts w:cs="Gautami"/>
            <w:noProof/>
            <w:szCs w:val="16"/>
          </w:rPr>
          <w:t>|</w:t>
        </w:r>
        <w:r w:rsidR="009B6F84" w:rsidRPr="009B6F84">
          <w:rPr>
            <w:rFonts w:cs="Gautami"/>
            <w:noProof/>
            <w:szCs w:val="16"/>
          </w:rPr>
          <w:t xml:space="preserve"> </w:t>
        </w:r>
        <w:r w:rsidR="00613756">
          <w:t>Endeavour</w:t>
        </w:r>
        <w:r w:rsidR="005C21A4">
          <w:t xml:space="preserve"> Energy</w:t>
        </w:r>
        <w:r w:rsidR="009B6F84" w:rsidRPr="009B6F84">
          <w:rPr>
            <w:rFonts w:cs="Gautami"/>
            <w:noProof/>
            <w:szCs w:val="16"/>
          </w:rPr>
          <w:t xml:space="preserve"> Final decision</w:t>
        </w:r>
        <w:r w:rsidR="005E1582">
          <w:rPr>
            <w:rFonts w:cs="Gautami"/>
            <w:noProof/>
            <w:szCs w:val="16"/>
          </w:rPr>
          <w:t xml:space="preserve"> 2015</w:t>
        </w:r>
        <w:r w:rsidR="005E1582" w:rsidRPr="005E1582">
          <w:rPr>
            <w:rFonts w:cs="Gautami"/>
            <w:noProof/>
            <w:szCs w:val="16"/>
          </w:rPr>
          <w:t>–</w:t>
        </w:r>
        <w:r w:rsidR="005E1582">
          <w:rPr>
            <w:rFonts w:cs="Gautami"/>
            <w:noProof/>
            <w:szCs w:val="16"/>
          </w:rPr>
          <w:t>19</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066F19" w:rsidRDefault="00066F19" w:rsidP="00066F19">
      <w:pPr>
        <w:pStyle w:val="FootnoteText"/>
      </w:pPr>
      <w:r>
        <w:rPr>
          <w:rStyle w:val="FootnoteReference"/>
        </w:rPr>
        <w:footnoteRef/>
      </w:r>
      <w:r>
        <w:t xml:space="preserve"> </w:t>
      </w:r>
      <w:r>
        <w:tab/>
      </w:r>
      <w:proofErr w:type="gramStart"/>
      <w:r>
        <w:t>NER, cl. 6.6.3(a).</w:t>
      </w:r>
      <w:proofErr w:type="gramEnd"/>
      <w:r>
        <w:t xml:space="preserve"> </w:t>
      </w:r>
    </w:p>
  </w:footnote>
  <w:footnote w:id="2">
    <w:p w:rsidR="00066F19" w:rsidRDefault="00066F19" w:rsidP="00066F19">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w:t>
      </w:r>
      <w:r w:rsidR="00A03E23">
        <w:t>s</w:t>
      </w:r>
      <w:r>
        <w:t xml:space="preserve"> embedded generation. We consider embedded generation to be one means of demand management, as it typically reduces demand for power drawn from a distribution network. </w:t>
      </w:r>
    </w:p>
  </w:footnote>
  <w:footnote w:id="3">
    <w:p w:rsidR="00066F19" w:rsidRDefault="00066F19" w:rsidP="00066F19">
      <w:pPr>
        <w:pStyle w:val="FootnoteText"/>
      </w:pPr>
      <w:r>
        <w:rPr>
          <w:rStyle w:val="FootnoteReference"/>
        </w:rPr>
        <w:footnoteRef/>
      </w:r>
      <w:r>
        <w:t xml:space="preserve"> </w:t>
      </w:r>
      <w:r>
        <w:tab/>
        <w:t xml:space="preserve">AER, </w:t>
      </w:r>
      <w:r>
        <w:rPr>
          <w:rStyle w:val="AERtextitalic"/>
        </w:rPr>
        <w:t>Demand management incentive scheme for the ACT and NSW 2009 distribution determinations—Demand management innovation allowance scheme</w:t>
      </w:r>
      <w:r>
        <w:t>, 28 November 2008. (AER, DMIA for ACT and NSW distributors, Nov 2008).</w:t>
      </w:r>
    </w:p>
  </w:footnote>
  <w:footnote w:id="4">
    <w:p w:rsidR="00066F19" w:rsidRDefault="00066F19" w:rsidP="00066F19">
      <w:pPr>
        <w:pStyle w:val="FootnoteText"/>
      </w:pPr>
      <w:r>
        <w:rPr>
          <w:rStyle w:val="FootnoteReference"/>
        </w:rPr>
        <w:footnoteRef/>
      </w:r>
      <w:r>
        <w:t xml:space="preserve"> </w:t>
      </w:r>
      <w:r>
        <w:tab/>
      </w:r>
      <w:proofErr w:type="gramStart"/>
      <w:r>
        <w:t xml:space="preserve">AER, </w:t>
      </w:r>
      <w:r>
        <w:rPr>
          <w:rStyle w:val="AERtextitalic"/>
        </w:rPr>
        <w:t>Demand management incentive scheme for the ACT and NSW 2009 distribution determinations—D-factor scheme</w:t>
      </w:r>
      <w:r>
        <w:t>, 29 February 2008.</w:t>
      </w:r>
      <w:proofErr w:type="gramEnd"/>
    </w:p>
  </w:footnote>
  <w:footnote w:id="5">
    <w:p w:rsidR="00066F19" w:rsidRDefault="00066F19" w:rsidP="00066F19">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w:t>
      </w:r>
      <w:r>
        <w:t xml:space="preserve"> our determination for the 2009</w:t>
      </w:r>
      <w:r>
        <w:rPr>
          <w:rFonts w:cs="Gautami"/>
        </w:rPr>
        <w:t>–</w:t>
      </w:r>
      <w:r>
        <w:t>1</w:t>
      </w:r>
      <w:r w:rsidRPr="008D016F">
        <w:t xml:space="preserve">4 </w:t>
      </w:r>
      <w:r>
        <w:t xml:space="preserve">regulatory control </w:t>
      </w:r>
      <w:proofErr w:type="gramStart"/>
      <w:r w:rsidRPr="008D016F">
        <w:t>period</w:t>
      </w:r>
      <w:proofErr w:type="gramEnd"/>
      <w:r w:rsidRPr="008D016F">
        <w:t xml:space="preserve"> or under the D-factor scheme</w:t>
      </w:r>
      <w:r>
        <w:rPr>
          <w:rStyle w:val="AERtextitalic"/>
        </w:rPr>
        <w:t>.</w:t>
      </w:r>
    </w:p>
  </w:footnote>
  <w:footnote w:id="6">
    <w:p w:rsidR="00066F19" w:rsidRDefault="00066F19" w:rsidP="00066F19">
      <w:pPr>
        <w:pStyle w:val="FootnoteText"/>
      </w:pPr>
      <w:r>
        <w:rPr>
          <w:rStyle w:val="FootnoteReference"/>
        </w:rPr>
        <w:footnoteRef/>
      </w:r>
      <w:r>
        <w:t xml:space="preserve"> </w:t>
      </w:r>
      <w:r>
        <w:tab/>
      </w:r>
      <w:proofErr w:type="gramStart"/>
      <w:r>
        <w:t xml:space="preserve">AER, </w:t>
      </w:r>
      <w:r w:rsidRPr="00491849">
        <w:rPr>
          <w:rStyle w:val="AERtextitalic"/>
        </w:rPr>
        <w:t>DMIA for ACT and NSW distributors</w:t>
      </w:r>
      <w:r>
        <w:t>, Nov</w:t>
      </w:r>
      <w:r w:rsidR="003D09C5">
        <w:t>ember</w:t>
      </w:r>
      <w:r>
        <w:t xml:space="preserve"> 2008, pp. 4</w:t>
      </w:r>
      <w:r>
        <w:rPr>
          <w:rFonts w:cs="Gautami"/>
        </w:rPr>
        <w:t>–</w:t>
      </w:r>
      <w:r>
        <w:t>5.</w:t>
      </w:r>
      <w:proofErr w:type="gramEnd"/>
    </w:p>
  </w:footnote>
  <w:footnote w:id="7">
    <w:p w:rsidR="00066F19" w:rsidRDefault="00066F19" w:rsidP="00066F19">
      <w:pPr>
        <w:pStyle w:val="FootnoteText"/>
      </w:pPr>
      <w:r>
        <w:rPr>
          <w:rStyle w:val="FootnoteReference"/>
        </w:rPr>
        <w:footnoteRef/>
      </w:r>
      <w:r>
        <w:t xml:space="preserve"> </w:t>
      </w:r>
      <w:r>
        <w:tab/>
        <w:t>From</w:t>
      </w:r>
      <w:r w:rsidRPr="00F74B53">
        <w:t xml:space="preserve"> </w:t>
      </w:r>
      <w:r>
        <w:t xml:space="preserve">IPART's </w:t>
      </w:r>
      <w:r w:rsidRPr="00F74B53">
        <w:t xml:space="preserve">NSW distribution determinations </w:t>
      </w:r>
      <w:r>
        <w:t>for the 2004</w:t>
      </w:r>
      <w:r>
        <w:rPr>
          <w:rFonts w:cs="Gautami"/>
        </w:rPr>
        <w:t>–</w:t>
      </w:r>
      <w:r>
        <w:t>09 regulatory control period.</w:t>
      </w:r>
    </w:p>
  </w:footnote>
  <w:footnote w:id="8">
    <w:p w:rsidR="00066F19" w:rsidRPr="001D04BD" w:rsidRDefault="00066F19" w:rsidP="00066F19">
      <w:pPr>
        <w:pStyle w:val="FootnoteText"/>
        <w:rPr>
          <w:rStyle w:val="AERtextitalic"/>
          <w:i w:val="0"/>
        </w:rPr>
      </w:pPr>
      <w:r>
        <w:rPr>
          <w:rStyle w:val="FootnoteReference"/>
        </w:rPr>
        <w:footnoteRef/>
      </w:r>
      <w:r>
        <w:t xml:space="preserve"> </w:t>
      </w:r>
      <w:r>
        <w:tab/>
        <w:t xml:space="preserve">AER, </w:t>
      </w:r>
      <w:r>
        <w:rPr>
          <w:rStyle w:val="AERtextitalic"/>
        </w:rPr>
        <w:t xml:space="preserve">Draft decision: </w:t>
      </w:r>
      <w:r w:rsidR="00BA78FF">
        <w:rPr>
          <w:rStyle w:val="AERtextitalic"/>
        </w:rPr>
        <w:t>Endeavour Energy</w:t>
      </w:r>
      <w:r>
        <w:rPr>
          <w:rStyle w:val="AERtextitalic"/>
        </w:rPr>
        <w:t xml:space="preserve"> distribution determination </w:t>
      </w:r>
      <w:r w:rsidRPr="001D04BD">
        <w:rPr>
          <w:rStyle w:val="AERtextitalic"/>
        </w:rPr>
        <w:t>2015–19</w:t>
      </w:r>
      <w:r>
        <w:rPr>
          <w:rStyle w:val="AERtextitalic"/>
        </w:rPr>
        <w:t xml:space="preserve">, </w:t>
      </w:r>
      <w:r>
        <w:t>November 2014, Attachment 12, pp</w:t>
      </w:r>
      <w:r w:rsidR="00504CA7">
        <w:t>.</w:t>
      </w:r>
      <w:r>
        <w:t xml:space="preserve"> 7 &amp; 8 (AE</w:t>
      </w:r>
      <w:r w:rsidR="00BA78FF">
        <w:t>R, Draft Decision, November 2014</w:t>
      </w:r>
      <w:r>
        <w:t>).</w:t>
      </w:r>
    </w:p>
  </w:footnote>
  <w:footnote w:id="9">
    <w:p w:rsidR="00066F19" w:rsidRDefault="00066F19" w:rsidP="00066F19">
      <w:pPr>
        <w:pStyle w:val="FootnoteText"/>
      </w:pPr>
      <w:r>
        <w:rPr>
          <w:rStyle w:val="FootnoteReference"/>
        </w:rPr>
        <w:footnoteRef/>
      </w:r>
      <w:r>
        <w:t xml:space="preserve"> </w:t>
      </w:r>
      <w:r>
        <w:tab/>
        <w:t xml:space="preserve">AER, </w:t>
      </w:r>
      <w:r>
        <w:rPr>
          <w:rStyle w:val="AERtextitalic"/>
        </w:rPr>
        <w:t xml:space="preserve">Stage 2 Framework and Approach paper for </w:t>
      </w:r>
      <w:r w:rsidR="00BA78FF">
        <w:rPr>
          <w:rStyle w:val="AERtextitalic"/>
        </w:rPr>
        <w:t>Endeavour Energy</w:t>
      </w:r>
      <w:r>
        <w:t>, January 2014, p</w:t>
      </w:r>
      <w:r w:rsidR="00C32196">
        <w:t>.</w:t>
      </w:r>
      <w:r>
        <w:t xml:space="preserve"> 32 (AER, Stage 2 Framework and Approach, Jan</w:t>
      </w:r>
      <w:r w:rsidR="007635E6">
        <w:t>uary</w:t>
      </w:r>
      <w:r>
        <w:t xml:space="preserve"> 2014).</w:t>
      </w:r>
    </w:p>
  </w:footnote>
  <w:footnote w:id="10">
    <w:p w:rsidR="00066F19" w:rsidRDefault="00066F19" w:rsidP="00066F19">
      <w:pPr>
        <w:pStyle w:val="FootnoteText"/>
      </w:pPr>
      <w:r>
        <w:rPr>
          <w:rStyle w:val="FootnoteReference"/>
        </w:rPr>
        <w:footnoteRef/>
      </w:r>
      <w:r>
        <w:t xml:space="preserve"> </w:t>
      </w:r>
      <w:r>
        <w:tab/>
      </w:r>
      <w:r w:rsidR="0080765A">
        <w:t>Endeavour Energy</w:t>
      </w:r>
      <w:r>
        <w:t xml:space="preserve">, </w:t>
      </w:r>
      <w:r w:rsidR="0080765A">
        <w:rPr>
          <w:rStyle w:val="AERtextitalic"/>
        </w:rPr>
        <w:t>Revised R</w:t>
      </w:r>
      <w:r w:rsidRPr="00B7425A">
        <w:rPr>
          <w:rStyle w:val="AERtextitalic"/>
        </w:rPr>
        <w:t>e</w:t>
      </w:r>
      <w:r>
        <w:rPr>
          <w:rStyle w:val="AERtextitalic"/>
        </w:rPr>
        <w:t xml:space="preserve">gulatory Proposal </w:t>
      </w:r>
      <w:r w:rsidR="001967ED">
        <w:rPr>
          <w:rStyle w:val="AERtextitalic"/>
        </w:rPr>
        <w:t xml:space="preserve">to the Australian Energy Regulator </w:t>
      </w:r>
      <w:r w:rsidR="001967ED" w:rsidRPr="001D04BD">
        <w:rPr>
          <w:rStyle w:val="AERtextitalic"/>
        </w:rPr>
        <w:t>–</w:t>
      </w:r>
      <w:r w:rsidR="001967ED">
        <w:rPr>
          <w:rStyle w:val="AERtextitalic"/>
        </w:rPr>
        <w:t xml:space="preserve"> Delivering Better Value</w:t>
      </w:r>
      <w:r>
        <w:rPr>
          <w:rStyle w:val="AERtextitalic"/>
        </w:rPr>
        <w:t>: 1 July 2014 to 30 June 2019,</w:t>
      </w:r>
      <w:r>
        <w:t xml:space="preserve"> January 2015, p</w:t>
      </w:r>
      <w:r w:rsidR="00C32196">
        <w:t>.</w:t>
      </w:r>
      <w:r w:rsidR="0080765A">
        <w:t xml:space="preserve"> 67</w:t>
      </w:r>
      <w:r>
        <w:t xml:space="preserve"> (</w:t>
      </w:r>
      <w:r w:rsidR="0080765A">
        <w:t>Endeavour Energy</w:t>
      </w:r>
      <w:r>
        <w:t xml:space="preserve">, Revised Regulatory Proposal, </w:t>
      </w:r>
      <w:proofErr w:type="gramStart"/>
      <w:r>
        <w:t>January</w:t>
      </w:r>
      <w:proofErr w:type="gramEnd"/>
      <w:r>
        <w:t xml:space="preserve"> 2015).</w:t>
      </w:r>
    </w:p>
  </w:footnote>
  <w:footnote w:id="11">
    <w:p w:rsidR="00066F19" w:rsidRDefault="00066F19" w:rsidP="00066F19">
      <w:pPr>
        <w:pStyle w:val="FootnoteText"/>
      </w:pPr>
      <w:r>
        <w:rPr>
          <w:rStyle w:val="FootnoteReference"/>
        </w:rPr>
        <w:footnoteRef/>
      </w:r>
      <w:r>
        <w:t xml:space="preserve"> </w:t>
      </w:r>
      <w:r>
        <w:tab/>
      </w:r>
      <w:proofErr w:type="gramStart"/>
      <w:r>
        <w:t>NER, cl 6.6.3(b).</w:t>
      </w:r>
      <w:proofErr w:type="gramEnd"/>
    </w:p>
  </w:footnote>
  <w:footnote w:id="12">
    <w:p w:rsidR="00066F19" w:rsidRDefault="00066F19" w:rsidP="00066F19">
      <w:pPr>
        <w:pStyle w:val="FootnoteText"/>
      </w:pPr>
      <w:r>
        <w:rPr>
          <w:rStyle w:val="FootnoteReference"/>
        </w:rPr>
        <w:footnoteRef/>
      </w:r>
      <w:r>
        <w:t xml:space="preserve"> </w:t>
      </w:r>
      <w:r>
        <w:tab/>
        <w:t>AER, Draft Decision, November 201</w:t>
      </w:r>
      <w:r w:rsidR="000B224A">
        <w:t>4</w:t>
      </w:r>
      <w:r>
        <w:t>, Attachment 12, p</w:t>
      </w:r>
      <w:r w:rsidR="00C32196">
        <w:t>.</w:t>
      </w:r>
      <w:r>
        <w:t xml:space="preserve"> 9.</w:t>
      </w:r>
    </w:p>
  </w:footnote>
  <w:footnote w:id="13">
    <w:p w:rsidR="00066F19" w:rsidRDefault="00066F19" w:rsidP="00066F19">
      <w:pPr>
        <w:pStyle w:val="FootnoteText"/>
      </w:pPr>
      <w:r>
        <w:rPr>
          <w:rStyle w:val="FootnoteReference"/>
        </w:rPr>
        <w:footnoteRef/>
      </w:r>
      <w:r>
        <w:t xml:space="preserve"> </w:t>
      </w:r>
      <w:r>
        <w:tab/>
        <w:t xml:space="preserve">AER, </w:t>
      </w:r>
      <w:r>
        <w:rPr>
          <w:rStyle w:val="AERtextitalic"/>
        </w:rPr>
        <w:t>S</w:t>
      </w:r>
      <w:r w:rsidRPr="00ED6CB8">
        <w:rPr>
          <w:rStyle w:val="AERtextitalic"/>
        </w:rPr>
        <w:t>t</w:t>
      </w:r>
      <w:r>
        <w:rPr>
          <w:rStyle w:val="AERtextitalic"/>
        </w:rPr>
        <w:t>age 2 Framework and Approach,</w:t>
      </w:r>
      <w:r>
        <w:t xml:space="preserve"> January 2014, pp. 33</w:t>
      </w:r>
      <w:r>
        <w:rPr>
          <w:rFonts w:cs="Gautami"/>
        </w:rPr>
        <w:t>–</w:t>
      </w:r>
      <w:r>
        <w:t>35.</w:t>
      </w:r>
    </w:p>
  </w:footnote>
  <w:footnote w:id="14">
    <w:p w:rsidR="00066F19" w:rsidRDefault="00066F19" w:rsidP="00066F19">
      <w:pPr>
        <w:pStyle w:val="FootnoteText"/>
      </w:pPr>
      <w:r>
        <w:rPr>
          <w:rStyle w:val="FootnoteReference"/>
        </w:rPr>
        <w:footnoteRef/>
      </w:r>
      <w:r>
        <w:t xml:space="preserve"> </w:t>
      </w:r>
      <w:r>
        <w:tab/>
        <w:t>AER, Draft Decision, November 201</w:t>
      </w:r>
      <w:r w:rsidR="000B224A">
        <w:t>4</w:t>
      </w:r>
      <w:r>
        <w:t>, Attachment 12, p</w:t>
      </w:r>
      <w:r w:rsidR="00C32196">
        <w:t>.</w:t>
      </w:r>
      <w:r>
        <w:t xml:space="preserve"> 9.</w:t>
      </w:r>
    </w:p>
  </w:footnote>
  <w:footnote w:id="15">
    <w:p w:rsidR="00E836FD" w:rsidRDefault="00E836FD" w:rsidP="00D2183F">
      <w:pPr>
        <w:pStyle w:val="FootnoteText"/>
      </w:pPr>
      <w:r>
        <w:rPr>
          <w:rStyle w:val="FootnoteReference"/>
        </w:rPr>
        <w:footnoteRef/>
      </w:r>
      <w:r>
        <w:t xml:space="preserve"> </w:t>
      </w:r>
      <w:r>
        <w:tab/>
      </w:r>
      <w:r w:rsidR="00D2183F" w:rsidRPr="00D2183F">
        <w:rPr>
          <w:rStyle w:val="AERtexthighlight"/>
          <w:shd w:val="clear" w:color="auto" w:fill="auto"/>
        </w:rPr>
        <w:t xml:space="preserve">AER, </w:t>
      </w:r>
      <w:r w:rsidR="00D2183F" w:rsidRPr="00D2183F">
        <w:rPr>
          <w:rStyle w:val="AERtextitalic"/>
        </w:rPr>
        <w:t>Applications</w:t>
      </w:r>
      <w:r w:rsidR="00D2183F">
        <w:rPr>
          <w:rStyle w:val="AERtextitalic"/>
        </w:rPr>
        <w:t xml:space="preserve"> by DNSPs for Demand Management Innovation Allowance for 2013 calendar year (Victorian DNSPs) and 2012–13 financial year (all other DNSPs),</w:t>
      </w:r>
      <w:r w:rsidR="00D2183F" w:rsidRPr="00E4133F">
        <w:t xml:space="preserve"> </w:t>
      </w:r>
      <w:r w:rsidR="00D2183F">
        <w:t>April 2015, p. 4.</w:t>
      </w:r>
    </w:p>
  </w:footnote>
  <w:footnote w:id="16">
    <w:p w:rsidR="00066F19" w:rsidRDefault="00066F19" w:rsidP="00066F19">
      <w:pPr>
        <w:pStyle w:val="FootnoteText"/>
      </w:pPr>
      <w:r>
        <w:rPr>
          <w:rStyle w:val="FootnoteReference"/>
        </w:rPr>
        <w:footnoteRef/>
      </w:r>
      <w:r>
        <w:t xml:space="preserve"> </w:t>
      </w:r>
      <w:r>
        <w:tab/>
      </w:r>
      <w:r w:rsidRPr="00C32126">
        <w:t xml:space="preserve">AER, </w:t>
      </w:r>
      <w:r w:rsidRPr="00C32126">
        <w:rPr>
          <w:rStyle w:val="AERtextitalic"/>
        </w:rPr>
        <w:t>Stage 2 Framework and Approach,</w:t>
      </w:r>
      <w:r w:rsidRPr="00C32126">
        <w:t xml:space="preserve"> January 2014, p</w:t>
      </w:r>
      <w:r>
        <w:t>. 32</w:t>
      </w:r>
      <w:r w:rsidRPr="00C32126">
        <w:t>.</w:t>
      </w:r>
      <w:r>
        <w:t xml:space="preserve"> AER, Draft Decision, November 2015, Attachment 12, p</w:t>
      </w:r>
      <w:r w:rsidR="007635E6">
        <w:t>.</w:t>
      </w:r>
      <w:r>
        <w:t xml:space="preserve"> 9. For information regarding the AEMC's Power of Choice Review, see </w:t>
      </w:r>
      <w:hyperlink r:id="rId1" w:history="1">
        <w:r w:rsidRPr="006600CA">
          <w:rPr>
            <w:rStyle w:val="Hyperlink"/>
            <w:sz w:val="16"/>
          </w:rPr>
          <w:t>http://www.aemc.gov.au/Major-Pages/Power-of-choice</w:t>
        </w:r>
      </w:hyperlink>
      <w:r>
        <w:t>. The AEMC received a proposed rule change from COAG Energy Ministers and the Total Environment Centre.</w:t>
      </w:r>
    </w:p>
  </w:footnote>
  <w:footnote w:id="17">
    <w:p w:rsidR="000677C2" w:rsidRDefault="000677C2" w:rsidP="000677C2">
      <w:pPr>
        <w:pStyle w:val="FootnoteText"/>
      </w:pPr>
      <w:r>
        <w:rPr>
          <w:rStyle w:val="FootnoteReference"/>
        </w:rPr>
        <w:footnoteRef/>
      </w:r>
      <w:r>
        <w:t xml:space="preserve"> </w:t>
      </w:r>
      <w:r>
        <w:tab/>
        <w:t xml:space="preserve">Total Environment Centre, </w:t>
      </w:r>
      <w:r w:rsidRPr="00734F0B">
        <w:rPr>
          <w:rStyle w:val="AERtextitalic"/>
        </w:rPr>
        <w:t>Submission to the AER on the Draft Determination on NSW DB's Regulatory Proposals 2014–19</w:t>
      </w:r>
      <w:r>
        <w:t>, February 2015, pp. 2-3 &amp; 5-6.</w:t>
      </w:r>
    </w:p>
  </w:footnote>
  <w:footnote w:id="18">
    <w:p w:rsidR="00B43A1D" w:rsidRPr="0013658D" w:rsidRDefault="00B43A1D" w:rsidP="00B43A1D">
      <w:pPr>
        <w:pStyle w:val="FootnoteText"/>
      </w:pPr>
      <w:r>
        <w:rPr>
          <w:rStyle w:val="FootnoteReference"/>
        </w:rPr>
        <w:footnoteRef/>
      </w:r>
      <w:r>
        <w:t xml:space="preserve"> </w:t>
      </w:r>
      <w:r>
        <w:tab/>
        <w:t xml:space="preserve">Public Interest Advocacy Centre Inc., </w:t>
      </w:r>
      <w:r>
        <w:rPr>
          <w:rStyle w:val="AERtextitalic"/>
        </w:rPr>
        <w:t xml:space="preserve">Submission to the Australian Energy Regulator's Draft Determination for </w:t>
      </w:r>
      <w:proofErr w:type="spellStart"/>
      <w:r>
        <w:rPr>
          <w:rStyle w:val="AERtextitalic"/>
        </w:rPr>
        <w:t>Ausgrid</w:t>
      </w:r>
      <w:proofErr w:type="spellEnd"/>
      <w:r>
        <w:rPr>
          <w:rStyle w:val="AERtextitalic"/>
        </w:rPr>
        <w:t xml:space="preserve">, Endeavour Energy and Essential Energy, </w:t>
      </w:r>
      <w:r w:rsidRPr="00E110CE">
        <w:rPr>
          <w:rStyle w:val="AERtextitalic"/>
          <w:i w:val="0"/>
        </w:rPr>
        <w:t>13 February 2015, pp</w:t>
      </w:r>
      <w:r w:rsidR="00504CA7">
        <w:rPr>
          <w:rStyle w:val="AERtextitalic"/>
        </w:rPr>
        <w:t>.</w:t>
      </w:r>
      <w:r w:rsidRPr="00DC2AB8">
        <w:rPr>
          <w:rStyle w:val="AERtextitalic"/>
          <w:i w:val="0"/>
        </w:rPr>
        <w:t xml:space="preserve"> 51-52</w:t>
      </w:r>
      <w:r w:rsidRPr="00D049AF">
        <w:rPr>
          <w:rStyle w:val="AERtextitalic"/>
          <w:i w:val="0"/>
        </w:rPr>
        <w:t>.</w:t>
      </w:r>
    </w:p>
  </w:footnote>
  <w:footnote w:id="19">
    <w:p w:rsidR="00B43A1D" w:rsidRPr="002729FA" w:rsidRDefault="00B43A1D" w:rsidP="00B43A1D">
      <w:pPr>
        <w:pStyle w:val="FootnoteText"/>
      </w:pPr>
      <w:r>
        <w:rPr>
          <w:rStyle w:val="FootnoteReference"/>
        </w:rPr>
        <w:footnoteRef/>
      </w:r>
      <w:r>
        <w:t xml:space="preserve"> </w:t>
      </w:r>
      <w:r>
        <w:tab/>
        <w:t xml:space="preserve">Ethnic Communities' Council of NSW Inc., </w:t>
      </w:r>
      <w:r>
        <w:rPr>
          <w:rStyle w:val="AERtextitalic"/>
        </w:rPr>
        <w:t xml:space="preserve">Submission concerning the NSW Distribution Networks Revised Revenue Proposal 2014–19, </w:t>
      </w:r>
      <w:r w:rsidRPr="00E110CE">
        <w:rPr>
          <w:rStyle w:val="AERtextitalic"/>
          <w:i w:val="0"/>
        </w:rPr>
        <w:t>11 February 2015, pp. 5-6.</w:t>
      </w:r>
    </w:p>
  </w:footnote>
  <w:footnote w:id="20">
    <w:p w:rsidR="001E2FD2" w:rsidRPr="00734F0B" w:rsidRDefault="001E2FD2" w:rsidP="001E2FD2">
      <w:pPr>
        <w:pStyle w:val="FootnoteText"/>
        <w:rPr>
          <w:rStyle w:val="AERtextitalic"/>
          <w:i w:val="0"/>
        </w:rPr>
      </w:pPr>
      <w:r>
        <w:rPr>
          <w:rStyle w:val="FootnoteReference"/>
        </w:rPr>
        <w:footnoteRef/>
      </w:r>
      <w:r>
        <w:t xml:space="preserve"> </w:t>
      </w:r>
      <w:r>
        <w:tab/>
      </w:r>
      <w:proofErr w:type="spellStart"/>
      <w:r>
        <w:t>EnerNOC</w:t>
      </w:r>
      <w:proofErr w:type="spellEnd"/>
      <w:r>
        <w:t xml:space="preserve">, </w:t>
      </w:r>
      <w:r>
        <w:rPr>
          <w:rStyle w:val="AERtextitalic"/>
        </w:rPr>
        <w:t xml:space="preserve">Submission on 2015–19 draft decisions and revised proposals for NSW DNSPs, </w:t>
      </w:r>
      <w:r w:rsidRPr="00630717">
        <w:rPr>
          <w:rStyle w:val="AERtextitalic"/>
          <w:i w:val="0"/>
        </w:rPr>
        <w:t>13 February 2015, p</w:t>
      </w:r>
      <w:r w:rsidR="007635E6">
        <w:rPr>
          <w:rStyle w:val="AERtextitalic"/>
        </w:rPr>
        <w:t>.</w:t>
      </w:r>
      <w:r w:rsidRPr="00630717">
        <w:rPr>
          <w:rStyle w:val="AERtextitalic"/>
          <w:i w:val="0"/>
        </w:rPr>
        <w:t xml:space="preserve"> 3.</w:t>
      </w:r>
    </w:p>
  </w:footnote>
  <w:footnote w:id="21">
    <w:p w:rsidR="006A0411" w:rsidRDefault="006A0411" w:rsidP="006A0411">
      <w:pPr>
        <w:pStyle w:val="FootnoteText"/>
      </w:pPr>
      <w:r>
        <w:rPr>
          <w:rStyle w:val="FootnoteReference"/>
        </w:rPr>
        <w:footnoteRef/>
      </w:r>
      <w:r>
        <w:t xml:space="preserve"> </w:t>
      </w:r>
      <w:r>
        <w:tab/>
        <w:t xml:space="preserve">Total Environment Centre, </w:t>
      </w:r>
      <w:r w:rsidRPr="000B207D">
        <w:rPr>
          <w:rStyle w:val="AERtextitalic"/>
        </w:rPr>
        <w:t>Submission to the AER on the Draft Determination on NSW DB's Regulatory Proposals 2014–19</w:t>
      </w:r>
      <w:r>
        <w:t>, February 2015, p</w:t>
      </w:r>
      <w:r w:rsidR="00C32196">
        <w:t>.</w:t>
      </w:r>
      <w:r>
        <w:t xml:space="preserve"> 11.</w:t>
      </w:r>
    </w:p>
  </w:footnote>
  <w:footnote w:id="22">
    <w:p w:rsidR="006A0411" w:rsidRDefault="006A0411" w:rsidP="006A0411">
      <w:pPr>
        <w:pStyle w:val="FootnoteText"/>
      </w:pPr>
      <w:r>
        <w:rPr>
          <w:rStyle w:val="FootnoteReference"/>
        </w:rPr>
        <w:footnoteRef/>
      </w:r>
      <w:r>
        <w:t xml:space="preserve"> </w:t>
      </w:r>
      <w:r>
        <w:tab/>
        <w:t xml:space="preserve">Public Interest Advocacy Centre Inc., </w:t>
      </w:r>
      <w:r>
        <w:rPr>
          <w:rStyle w:val="AERtextitalic"/>
        </w:rPr>
        <w:t xml:space="preserve">Submission to the Australian Energy Regulator's Draft Determination for </w:t>
      </w:r>
      <w:proofErr w:type="spellStart"/>
      <w:r>
        <w:rPr>
          <w:rStyle w:val="AERtextitalic"/>
        </w:rPr>
        <w:t>Ausgrid</w:t>
      </w:r>
      <w:proofErr w:type="spellEnd"/>
      <w:r>
        <w:rPr>
          <w:rStyle w:val="AERtextitalic"/>
        </w:rPr>
        <w:t xml:space="preserve">, Endeavour Energy and Essential Energy, </w:t>
      </w:r>
      <w:r w:rsidRPr="00E110CE">
        <w:rPr>
          <w:rStyle w:val="AERtextitalic"/>
          <w:i w:val="0"/>
        </w:rPr>
        <w:t>13 February 2015, p</w:t>
      </w:r>
      <w:r w:rsidR="00504CA7">
        <w:rPr>
          <w:rStyle w:val="AERtextitalic"/>
          <w:i w:val="0"/>
        </w:rPr>
        <w:t xml:space="preserve">. </w:t>
      </w:r>
      <w:r w:rsidRPr="00E110CE">
        <w:rPr>
          <w:rStyle w:val="AERtextitalic"/>
          <w:i w:val="0"/>
        </w:rPr>
        <w:t>49.</w:t>
      </w:r>
    </w:p>
  </w:footnote>
  <w:footnote w:id="23">
    <w:p w:rsidR="006A0411" w:rsidRDefault="006A0411" w:rsidP="006A0411">
      <w:pPr>
        <w:pStyle w:val="FootnoteText"/>
      </w:pPr>
      <w:r>
        <w:rPr>
          <w:rStyle w:val="FootnoteReference"/>
        </w:rPr>
        <w:footnoteRef/>
      </w:r>
      <w:r>
        <w:t xml:space="preserve"> </w:t>
      </w:r>
      <w:r>
        <w:tab/>
        <w:t xml:space="preserve">Total Environment Centre, </w:t>
      </w:r>
      <w:r w:rsidRPr="000B207D">
        <w:rPr>
          <w:rStyle w:val="AERtextitalic"/>
        </w:rPr>
        <w:t>Submission to the AER on the Draft Determination on NSW DB's Regulatory Proposals 2014–19</w:t>
      </w:r>
      <w:r>
        <w:t>, February 2015, p</w:t>
      </w:r>
      <w:r w:rsidR="00C32196">
        <w:t>.</w:t>
      </w:r>
      <w:r>
        <w:t xml:space="preserve"> 6.</w:t>
      </w:r>
    </w:p>
    <w:p w:rsidR="006A0411" w:rsidRPr="002B5CBF" w:rsidRDefault="006A0411" w:rsidP="006A0411">
      <w:pPr>
        <w:pStyle w:val="FootnoteText"/>
      </w:pPr>
      <w:r>
        <w:tab/>
        <w:t xml:space="preserve">Consumer Challenge Panel, </w:t>
      </w:r>
      <w:r>
        <w:rPr>
          <w:rStyle w:val="AERtextitalic"/>
        </w:rPr>
        <w:t xml:space="preserve">Submission to the AER: Responding to NSW draft determinations and revised proposals from electricity distribution networks, </w:t>
      </w:r>
      <w:r w:rsidRPr="00E110CE">
        <w:rPr>
          <w:rStyle w:val="AERtextitalic"/>
          <w:i w:val="0"/>
        </w:rPr>
        <w:t>16 February 2015, p. 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F9109066"/>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L0QhivwLOcXoGoI4IdlH4kIIEplh8RfGUXJGx1gVtVQ=" w:saltValue="gDH0ROcJUQYu/k94zdneJQ==" w:algorithmName="SHA-256"/>
  <w:defaultTabStop w:val="34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080\AER15 442  AER - Final decision Endeavour Energy distribution determination - Attachment 12 - Demand management incentive scheme - April 2015.DOCX"/>
  </w:docVars>
  <w:rsids>
    <w:rsidRoot w:val="00961A4A"/>
    <w:rsid w:val="00011F13"/>
    <w:rsid w:val="00021202"/>
    <w:rsid w:val="00021C2B"/>
    <w:rsid w:val="0002517F"/>
    <w:rsid w:val="0003578C"/>
    <w:rsid w:val="00063247"/>
    <w:rsid w:val="00066F19"/>
    <w:rsid w:val="000677C2"/>
    <w:rsid w:val="00070F9F"/>
    <w:rsid w:val="0007137B"/>
    <w:rsid w:val="00085663"/>
    <w:rsid w:val="00085EBF"/>
    <w:rsid w:val="00091B15"/>
    <w:rsid w:val="000A3020"/>
    <w:rsid w:val="000A6C7B"/>
    <w:rsid w:val="000B224A"/>
    <w:rsid w:val="000C2B40"/>
    <w:rsid w:val="000C3E90"/>
    <w:rsid w:val="000D122C"/>
    <w:rsid w:val="000E1819"/>
    <w:rsid w:val="000E4821"/>
    <w:rsid w:val="000E6C72"/>
    <w:rsid w:val="00116EB2"/>
    <w:rsid w:val="00124609"/>
    <w:rsid w:val="00126A4C"/>
    <w:rsid w:val="0014573B"/>
    <w:rsid w:val="001573E4"/>
    <w:rsid w:val="00160756"/>
    <w:rsid w:val="0017232E"/>
    <w:rsid w:val="00174102"/>
    <w:rsid w:val="001754EE"/>
    <w:rsid w:val="00180157"/>
    <w:rsid w:val="00185CB9"/>
    <w:rsid w:val="00186F77"/>
    <w:rsid w:val="001926A4"/>
    <w:rsid w:val="00192AD5"/>
    <w:rsid w:val="001967ED"/>
    <w:rsid w:val="001B45A0"/>
    <w:rsid w:val="001D055E"/>
    <w:rsid w:val="001E2FD2"/>
    <w:rsid w:val="001F05A4"/>
    <w:rsid w:val="001F492E"/>
    <w:rsid w:val="001F6DA3"/>
    <w:rsid w:val="002010BC"/>
    <w:rsid w:val="002016E7"/>
    <w:rsid w:val="00202E03"/>
    <w:rsid w:val="0020492C"/>
    <w:rsid w:val="00224DB9"/>
    <w:rsid w:val="00233775"/>
    <w:rsid w:val="00251745"/>
    <w:rsid w:val="00263AC0"/>
    <w:rsid w:val="00264264"/>
    <w:rsid w:val="0026772D"/>
    <w:rsid w:val="00286874"/>
    <w:rsid w:val="00290C63"/>
    <w:rsid w:val="00296B65"/>
    <w:rsid w:val="002A7DEF"/>
    <w:rsid w:val="002C233C"/>
    <w:rsid w:val="002D72E8"/>
    <w:rsid w:val="002E7B22"/>
    <w:rsid w:val="002F7986"/>
    <w:rsid w:val="00301B40"/>
    <w:rsid w:val="003029EE"/>
    <w:rsid w:val="00305CC8"/>
    <w:rsid w:val="00307F6D"/>
    <w:rsid w:val="003177A2"/>
    <w:rsid w:val="003271B5"/>
    <w:rsid w:val="00327A1E"/>
    <w:rsid w:val="00331264"/>
    <w:rsid w:val="00334C8D"/>
    <w:rsid w:val="00343A18"/>
    <w:rsid w:val="003518B3"/>
    <w:rsid w:val="00361922"/>
    <w:rsid w:val="003846F1"/>
    <w:rsid w:val="003940EE"/>
    <w:rsid w:val="003A6405"/>
    <w:rsid w:val="003B484F"/>
    <w:rsid w:val="003B7FBA"/>
    <w:rsid w:val="003D09C5"/>
    <w:rsid w:val="003F174D"/>
    <w:rsid w:val="00415F31"/>
    <w:rsid w:val="00423A77"/>
    <w:rsid w:val="0045777E"/>
    <w:rsid w:val="00480B4B"/>
    <w:rsid w:val="00485DC4"/>
    <w:rsid w:val="004A43D1"/>
    <w:rsid w:val="004B4412"/>
    <w:rsid w:val="004C348C"/>
    <w:rsid w:val="004D55BA"/>
    <w:rsid w:val="004E22EC"/>
    <w:rsid w:val="004F6A0E"/>
    <w:rsid w:val="00504CA7"/>
    <w:rsid w:val="00530128"/>
    <w:rsid w:val="00532467"/>
    <w:rsid w:val="00552F74"/>
    <w:rsid w:val="00564A4D"/>
    <w:rsid w:val="00567BA5"/>
    <w:rsid w:val="00571B35"/>
    <w:rsid w:val="00571D57"/>
    <w:rsid w:val="00577A09"/>
    <w:rsid w:val="005829C2"/>
    <w:rsid w:val="00584D8F"/>
    <w:rsid w:val="00592CAA"/>
    <w:rsid w:val="005A404D"/>
    <w:rsid w:val="005B0967"/>
    <w:rsid w:val="005B1E3C"/>
    <w:rsid w:val="005B704A"/>
    <w:rsid w:val="005C21A4"/>
    <w:rsid w:val="005C26CC"/>
    <w:rsid w:val="005D7BA2"/>
    <w:rsid w:val="005E1582"/>
    <w:rsid w:val="005E36C2"/>
    <w:rsid w:val="005E77F8"/>
    <w:rsid w:val="00610EF9"/>
    <w:rsid w:val="00612F4F"/>
    <w:rsid w:val="00613756"/>
    <w:rsid w:val="00615085"/>
    <w:rsid w:val="00615C6B"/>
    <w:rsid w:val="00621DCE"/>
    <w:rsid w:val="00632D6D"/>
    <w:rsid w:val="00642C3E"/>
    <w:rsid w:val="0066104A"/>
    <w:rsid w:val="00663DAD"/>
    <w:rsid w:val="00675E20"/>
    <w:rsid w:val="00676679"/>
    <w:rsid w:val="00683C89"/>
    <w:rsid w:val="006A0411"/>
    <w:rsid w:val="006B2395"/>
    <w:rsid w:val="006B4CF9"/>
    <w:rsid w:val="006B7AC8"/>
    <w:rsid w:val="006C1736"/>
    <w:rsid w:val="006C3B82"/>
    <w:rsid w:val="006D550F"/>
    <w:rsid w:val="006F016F"/>
    <w:rsid w:val="006F1BB0"/>
    <w:rsid w:val="0070011E"/>
    <w:rsid w:val="00701CAB"/>
    <w:rsid w:val="00707563"/>
    <w:rsid w:val="0072348C"/>
    <w:rsid w:val="00724A37"/>
    <w:rsid w:val="007303C3"/>
    <w:rsid w:val="007429BE"/>
    <w:rsid w:val="00743223"/>
    <w:rsid w:val="00746E01"/>
    <w:rsid w:val="00757364"/>
    <w:rsid w:val="00757BDF"/>
    <w:rsid w:val="007609D0"/>
    <w:rsid w:val="007635E6"/>
    <w:rsid w:val="00763E5D"/>
    <w:rsid w:val="00767740"/>
    <w:rsid w:val="00777EE6"/>
    <w:rsid w:val="00782EEA"/>
    <w:rsid w:val="007B186E"/>
    <w:rsid w:val="007B2C72"/>
    <w:rsid w:val="007C1C53"/>
    <w:rsid w:val="007C74BB"/>
    <w:rsid w:val="007D456E"/>
    <w:rsid w:val="007E4904"/>
    <w:rsid w:val="007E4CB5"/>
    <w:rsid w:val="007F066B"/>
    <w:rsid w:val="008033C4"/>
    <w:rsid w:val="00806C88"/>
    <w:rsid w:val="0080765A"/>
    <w:rsid w:val="0081034E"/>
    <w:rsid w:val="00826183"/>
    <w:rsid w:val="0082763C"/>
    <w:rsid w:val="00832B64"/>
    <w:rsid w:val="008344F6"/>
    <w:rsid w:val="0083510F"/>
    <w:rsid w:val="00851209"/>
    <w:rsid w:val="008837AC"/>
    <w:rsid w:val="008A587D"/>
    <w:rsid w:val="008B35CD"/>
    <w:rsid w:val="008B5FCC"/>
    <w:rsid w:val="008C5486"/>
    <w:rsid w:val="008D1661"/>
    <w:rsid w:val="008D6800"/>
    <w:rsid w:val="008D74B2"/>
    <w:rsid w:val="008E7031"/>
    <w:rsid w:val="008E77DE"/>
    <w:rsid w:val="008F07A3"/>
    <w:rsid w:val="009001B6"/>
    <w:rsid w:val="00900E1B"/>
    <w:rsid w:val="00905389"/>
    <w:rsid w:val="009233EE"/>
    <w:rsid w:val="00941610"/>
    <w:rsid w:val="00941C0E"/>
    <w:rsid w:val="009460AA"/>
    <w:rsid w:val="00951978"/>
    <w:rsid w:val="00961A4A"/>
    <w:rsid w:val="00965BC1"/>
    <w:rsid w:val="009661DE"/>
    <w:rsid w:val="00981B3C"/>
    <w:rsid w:val="00983C25"/>
    <w:rsid w:val="009856B7"/>
    <w:rsid w:val="00985C86"/>
    <w:rsid w:val="009A5FC3"/>
    <w:rsid w:val="009B6F84"/>
    <w:rsid w:val="009B74B0"/>
    <w:rsid w:val="009D3906"/>
    <w:rsid w:val="009D6B46"/>
    <w:rsid w:val="009F4940"/>
    <w:rsid w:val="009F5BA1"/>
    <w:rsid w:val="00A02A88"/>
    <w:rsid w:val="00A03E23"/>
    <w:rsid w:val="00A0562E"/>
    <w:rsid w:val="00A0726D"/>
    <w:rsid w:val="00A32FBB"/>
    <w:rsid w:val="00A428EE"/>
    <w:rsid w:val="00A43713"/>
    <w:rsid w:val="00A4478A"/>
    <w:rsid w:val="00A44852"/>
    <w:rsid w:val="00A50502"/>
    <w:rsid w:val="00A54DBB"/>
    <w:rsid w:val="00A57D04"/>
    <w:rsid w:val="00A6052A"/>
    <w:rsid w:val="00A60A26"/>
    <w:rsid w:val="00A61598"/>
    <w:rsid w:val="00A84A99"/>
    <w:rsid w:val="00A84F46"/>
    <w:rsid w:val="00A871F4"/>
    <w:rsid w:val="00AC1B2C"/>
    <w:rsid w:val="00AC3264"/>
    <w:rsid w:val="00AC4A65"/>
    <w:rsid w:val="00AE1BF1"/>
    <w:rsid w:val="00AE28A9"/>
    <w:rsid w:val="00AF0DD2"/>
    <w:rsid w:val="00B11F20"/>
    <w:rsid w:val="00B13048"/>
    <w:rsid w:val="00B1716D"/>
    <w:rsid w:val="00B17A1D"/>
    <w:rsid w:val="00B207A0"/>
    <w:rsid w:val="00B43A1D"/>
    <w:rsid w:val="00B514DD"/>
    <w:rsid w:val="00B52AF0"/>
    <w:rsid w:val="00B561BD"/>
    <w:rsid w:val="00B56E03"/>
    <w:rsid w:val="00B61B38"/>
    <w:rsid w:val="00B8080B"/>
    <w:rsid w:val="00B816FB"/>
    <w:rsid w:val="00B82223"/>
    <w:rsid w:val="00B87BA5"/>
    <w:rsid w:val="00B87C39"/>
    <w:rsid w:val="00B9562D"/>
    <w:rsid w:val="00BA4665"/>
    <w:rsid w:val="00BA78FF"/>
    <w:rsid w:val="00BB2FB2"/>
    <w:rsid w:val="00BB3304"/>
    <w:rsid w:val="00BD3446"/>
    <w:rsid w:val="00BE1F1B"/>
    <w:rsid w:val="00BE47B5"/>
    <w:rsid w:val="00BF62BC"/>
    <w:rsid w:val="00C03D2D"/>
    <w:rsid w:val="00C25FA6"/>
    <w:rsid w:val="00C32196"/>
    <w:rsid w:val="00C4466F"/>
    <w:rsid w:val="00C538A9"/>
    <w:rsid w:val="00C53B5A"/>
    <w:rsid w:val="00C54F5A"/>
    <w:rsid w:val="00C569B4"/>
    <w:rsid w:val="00C67A92"/>
    <w:rsid w:val="00C84560"/>
    <w:rsid w:val="00C86679"/>
    <w:rsid w:val="00CA489E"/>
    <w:rsid w:val="00CB0279"/>
    <w:rsid w:val="00CB666B"/>
    <w:rsid w:val="00CC46EA"/>
    <w:rsid w:val="00CC5AF6"/>
    <w:rsid w:val="00CC7F1D"/>
    <w:rsid w:val="00CE484B"/>
    <w:rsid w:val="00CF0DEE"/>
    <w:rsid w:val="00D006AE"/>
    <w:rsid w:val="00D01CF0"/>
    <w:rsid w:val="00D0442A"/>
    <w:rsid w:val="00D2183F"/>
    <w:rsid w:val="00D34AC3"/>
    <w:rsid w:val="00D40F04"/>
    <w:rsid w:val="00D61388"/>
    <w:rsid w:val="00D61A54"/>
    <w:rsid w:val="00D64DEA"/>
    <w:rsid w:val="00D65F95"/>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65C85"/>
    <w:rsid w:val="00E66199"/>
    <w:rsid w:val="00E70454"/>
    <w:rsid w:val="00E755EC"/>
    <w:rsid w:val="00E7624D"/>
    <w:rsid w:val="00E836FD"/>
    <w:rsid w:val="00EA3D42"/>
    <w:rsid w:val="00EA6B1B"/>
    <w:rsid w:val="00EC04F1"/>
    <w:rsid w:val="00EC67D7"/>
    <w:rsid w:val="00ED6BAD"/>
    <w:rsid w:val="00ED7323"/>
    <w:rsid w:val="00EE28F3"/>
    <w:rsid w:val="00EE50D1"/>
    <w:rsid w:val="00EF5110"/>
    <w:rsid w:val="00F062E9"/>
    <w:rsid w:val="00F10411"/>
    <w:rsid w:val="00F15882"/>
    <w:rsid w:val="00F171E0"/>
    <w:rsid w:val="00F20BD3"/>
    <w:rsid w:val="00F373A5"/>
    <w:rsid w:val="00F47559"/>
    <w:rsid w:val="00F64C7B"/>
    <w:rsid w:val="00F676DD"/>
    <w:rsid w:val="00F72D08"/>
    <w:rsid w:val="00F75A26"/>
    <w:rsid w:val="00F76706"/>
    <w:rsid w:val="00F83FAD"/>
    <w:rsid w:val="00F952A0"/>
    <w:rsid w:val="00FA3C7F"/>
    <w:rsid w:val="00FA6C26"/>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Major-Pages/Power-of-choice"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B682227F.dotm</Template>
  <TotalTime>0</TotalTime>
  <Pages>11</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2015-04-27T06:37:00Z</dcterms:created>
  <dcterms:modified xsi:type="dcterms:W3CDTF">2015-04-27T06:37:00Z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