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722E8C">
            <w:t>E</w:t>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F0DEE">
            <w:t>1</w:t>
          </w:r>
          <w:r w:rsidR="00DA4752">
            <w:t xml:space="preserve"> </w:t>
          </w:r>
          <w:r w:rsidR="00415F31">
            <w:rPr>
              <w:rFonts w:cs="Arial"/>
            </w:rPr>
            <w:t>–</w:t>
          </w:r>
          <w:bookmarkStart w:id="0" w:name="_GoBack"/>
          <w:bookmarkEnd w:id="0"/>
          <w:r w:rsidR="00DA4752">
            <w:t xml:space="preserve"> </w:t>
          </w:r>
          <w:r w:rsidR="00CF0DEE">
            <w:t>Annual revenue requirement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172651"/>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 xml:space="preserve">s </w:t>
      </w:r>
      <w:r w:rsidR="00722E8C">
        <w:t>regulatory</w:t>
      </w:r>
      <w:r w:rsidR="00415F31">
        <w:t xml:space="preserv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 xml:space="preserve">Attachment 19 - </w:t>
      </w:r>
      <w:r w:rsidR="00D33B87">
        <w:t>Analysis of Financial Viability</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17265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A49E0"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172651" w:history="1">
            <w:r w:rsidR="00EA49E0" w:rsidRPr="006075C0">
              <w:rPr>
                <w:rStyle w:val="Hyperlink"/>
              </w:rPr>
              <w:t>Note</w:t>
            </w:r>
            <w:r w:rsidR="00EA49E0">
              <w:rPr>
                <w:webHidden/>
              </w:rPr>
              <w:tab/>
            </w:r>
            <w:r w:rsidR="00EA49E0">
              <w:rPr>
                <w:webHidden/>
              </w:rPr>
              <w:fldChar w:fldCharType="begin"/>
            </w:r>
            <w:r w:rsidR="00EA49E0">
              <w:rPr>
                <w:webHidden/>
              </w:rPr>
              <w:instrText xml:space="preserve"> PAGEREF _Toc416172651 \h </w:instrText>
            </w:r>
            <w:r w:rsidR="00EA49E0">
              <w:rPr>
                <w:webHidden/>
              </w:rPr>
            </w:r>
            <w:r w:rsidR="00EA49E0">
              <w:rPr>
                <w:webHidden/>
              </w:rPr>
              <w:fldChar w:fldCharType="separate"/>
            </w:r>
            <w:r w:rsidR="00C469E4">
              <w:rPr>
                <w:webHidden/>
              </w:rPr>
              <w:t>1-2</w:t>
            </w:r>
            <w:r w:rsidR="00EA49E0">
              <w:rPr>
                <w:webHidden/>
              </w:rPr>
              <w:fldChar w:fldCharType="end"/>
            </w:r>
          </w:hyperlink>
        </w:p>
        <w:p w:rsidR="00EA49E0" w:rsidRDefault="009B2DA1">
          <w:pPr>
            <w:pStyle w:val="TOC1"/>
            <w:rPr>
              <w:rFonts w:asciiTheme="minorHAnsi" w:eastAsiaTheme="minorEastAsia" w:hAnsiTheme="minorHAnsi"/>
              <w:b w:val="0"/>
              <w:color w:val="auto"/>
              <w:sz w:val="22"/>
              <w:lang w:val="en-AU" w:eastAsia="en-AU"/>
            </w:rPr>
          </w:pPr>
          <w:hyperlink w:anchor="_Toc416172652" w:history="1">
            <w:r w:rsidR="00EA49E0" w:rsidRPr="006075C0">
              <w:rPr>
                <w:rStyle w:val="Hyperlink"/>
              </w:rPr>
              <w:t>Contents</w:t>
            </w:r>
            <w:r w:rsidR="00EA49E0">
              <w:rPr>
                <w:webHidden/>
              </w:rPr>
              <w:tab/>
            </w:r>
            <w:r w:rsidR="00EA49E0">
              <w:rPr>
                <w:webHidden/>
              </w:rPr>
              <w:fldChar w:fldCharType="begin"/>
            </w:r>
            <w:r w:rsidR="00EA49E0">
              <w:rPr>
                <w:webHidden/>
              </w:rPr>
              <w:instrText xml:space="preserve"> PAGEREF _Toc416172652 \h </w:instrText>
            </w:r>
            <w:r w:rsidR="00EA49E0">
              <w:rPr>
                <w:webHidden/>
              </w:rPr>
            </w:r>
            <w:r w:rsidR="00EA49E0">
              <w:rPr>
                <w:webHidden/>
              </w:rPr>
              <w:fldChar w:fldCharType="separate"/>
            </w:r>
            <w:r w:rsidR="00C469E4">
              <w:rPr>
                <w:webHidden/>
              </w:rPr>
              <w:t>1-3</w:t>
            </w:r>
            <w:r w:rsidR="00EA49E0">
              <w:rPr>
                <w:webHidden/>
              </w:rPr>
              <w:fldChar w:fldCharType="end"/>
            </w:r>
          </w:hyperlink>
        </w:p>
        <w:p w:rsidR="00EA49E0" w:rsidRDefault="009B2DA1">
          <w:pPr>
            <w:pStyle w:val="TOC1"/>
            <w:rPr>
              <w:rFonts w:asciiTheme="minorHAnsi" w:eastAsiaTheme="minorEastAsia" w:hAnsiTheme="minorHAnsi"/>
              <w:b w:val="0"/>
              <w:color w:val="auto"/>
              <w:sz w:val="22"/>
              <w:lang w:val="en-AU" w:eastAsia="en-AU"/>
            </w:rPr>
          </w:pPr>
          <w:hyperlink w:anchor="_Toc416172653" w:history="1">
            <w:r w:rsidR="00EA49E0" w:rsidRPr="006075C0">
              <w:rPr>
                <w:rStyle w:val="Hyperlink"/>
              </w:rPr>
              <w:t>Shortened forms</w:t>
            </w:r>
            <w:r w:rsidR="00EA49E0">
              <w:rPr>
                <w:webHidden/>
              </w:rPr>
              <w:tab/>
            </w:r>
            <w:r w:rsidR="00EA49E0">
              <w:rPr>
                <w:webHidden/>
              </w:rPr>
              <w:fldChar w:fldCharType="begin"/>
            </w:r>
            <w:r w:rsidR="00EA49E0">
              <w:rPr>
                <w:webHidden/>
              </w:rPr>
              <w:instrText xml:space="preserve"> PAGEREF _Toc416172653 \h </w:instrText>
            </w:r>
            <w:r w:rsidR="00EA49E0">
              <w:rPr>
                <w:webHidden/>
              </w:rPr>
            </w:r>
            <w:r w:rsidR="00EA49E0">
              <w:rPr>
                <w:webHidden/>
              </w:rPr>
              <w:fldChar w:fldCharType="separate"/>
            </w:r>
            <w:r w:rsidR="00C469E4">
              <w:rPr>
                <w:webHidden/>
              </w:rPr>
              <w:t>1-4</w:t>
            </w:r>
            <w:r w:rsidR="00EA49E0">
              <w:rPr>
                <w:webHidden/>
              </w:rPr>
              <w:fldChar w:fldCharType="end"/>
            </w:r>
          </w:hyperlink>
        </w:p>
        <w:p w:rsidR="00EA49E0" w:rsidRDefault="009B2DA1">
          <w:pPr>
            <w:pStyle w:val="TOC1"/>
            <w:rPr>
              <w:rFonts w:asciiTheme="minorHAnsi" w:eastAsiaTheme="minorEastAsia" w:hAnsiTheme="minorHAnsi"/>
              <w:b w:val="0"/>
              <w:color w:val="auto"/>
              <w:sz w:val="22"/>
              <w:lang w:val="en-AU" w:eastAsia="en-AU"/>
            </w:rPr>
          </w:pPr>
          <w:hyperlink w:anchor="_Toc416172654" w:history="1">
            <w:r w:rsidR="00EA49E0" w:rsidRPr="006075C0">
              <w:rPr>
                <w:rStyle w:val="Hyperlink"/>
              </w:rPr>
              <w:t>1</w:t>
            </w:r>
            <w:r w:rsidR="00EA49E0">
              <w:rPr>
                <w:rFonts w:asciiTheme="minorHAnsi" w:eastAsiaTheme="minorEastAsia" w:hAnsiTheme="minorHAnsi"/>
                <w:b w:val="0"/>
                <w:color w:val="auto"/>
                <w:sz w:val="22"/>
                <w:lang w:val="en-AU" w:eastAsia="en-AU"/>
              </w:rPr>
              <w:tab/>
            </w:r>
            <w:r w:rsidR="00EA49E0" w:rsidRPr="006075C0">
              <w:rPr>
                <w:rStyle w:val="Hyperlink"/>
              </w:rPr>
              <w:t>Annual revenue requirement</w:t>
            </w:r>
            <w:r w:rsidR="00EA49E0">
              <w:rPr>
                <w:webHidden/>
              </w:rPr>
              <w:tab/>
            </w:r>
            <w:r w:rsidR="00EA49E0">
              <w:rPr>
                <w:webHidden/>
              </w:rPr>
              <w:fldChar w:fldCharType="begin"/>
            </w:r>
            <w:r w:rsidR="00EA49E0">
              <w:rPr>
                <w:webHidden/>
              </w:rPr>
              <w:instrText xml:space="preserve"> PAGEREF _Toc416172654 \h </w:instrText>
            </w:r>
            <w:r w:rsidR="00EA49E0">
              <w:rPr>
                <w:webHidden/>
              </w:rPr>
            </w:r>
            <w:r w:rsidR="00EA49E0">
              <w:rPr>
                <w:webHidden/>
              </w:rPr>
              <w:fldChar w:fldCharType="separate"/>
            </w:r>
            <w:r w:rsidR="00C469E4">
              <w:rPr>
                <w:webHidden/>
              </w:rPr>
              <w:t>1-6</w:t>
            </w:r>
            <w:r w:rsidR="00EA49E0">
              <w:rPr>
                <w:webHidden/>
              </w:rPr>
              <w:fldChar w:fldCharType="end"/>
            </w:r>
          </w:hyperlink>
        </w:p>
        <w:p w:rsidR="00EA49E0" w:rsidRDefault="009B2DA1">
          <w:pPr>
            <w:pStyle w:val="TOC2"/>
            <w:rPr>
              <w:rFonts w:asciiTheme="minorHAnsi" w:eastAsiaTheme="minorEastAsia" w:hAnsiTheme="minorHAnsi"/>
              <w:b w:val="0"/>
              <w:color w:val="auto"/>
              <w:sz w:val="22"/>
              <w:lang w:eastAsia="en-AU"/>
            </w:rPr>
          </w:pPr>
          <w:hyperlink w:anchor="_Toc416172655" w:history="1">
            <w:r w:rsidR="00EA49E0" w:rsidRPr="006075C0">
              <w:rPr>
                <w:rStyle w:val="Hyperlink"/>
              </w:rPr>
              <w:t>1.1</w:t>
            </w:r>
            <w:r w:rsidR="00EA49E0">
              <w:rPr>
                <w:rFonts w:asciiTheme="minorHAnsi" w:eastAsiaTheme="minorEastAsia" w:hAnsiTheme="minorHAnsi"/>
                <w:b w:val="0"/>
                <w:color w:val="auto"/>
                <w:sz w:val="22"/>
                <w:lang w:eastAsia="en-AU"/>
              </w:rPr>
              <w:tab/>
            </w:r>
            <w:r w:rsidR="00EA49E0" w:rsidRPr="006075C0">
              <w:rPr>
                <w:rStyle w:val="Hyperlink"/>
              </w:rPr>
              <w:t>Final decision</w:t>
            </w:r>
            <w:r w:rsidR="00EA49E0">
              <w:rPr>
                <w:webHidden/>
              </w:rPr>
              <w:tab/>
            </w:r>
            <w:r w:rsidR="00EA49E0">
              <w:rPr>
                <w:webHidden/>
              </w:rPr>
              <w:fldChar w:fldCharType="begin"/>
            </w:r>
            <w:r w:rsidR="00EA49E0">
              <w:rPr>
                <w:webHidden/>
              </w:rPr>
              <w:instrText xml:space="preserve"> PAGEREF _Toc416172655 \h </w:instrText>
            </w:r>
            <w:r w:rsidR="00EA49E0">
              <w:rPr>
                <w:webHidden/>
              </w:rPr>
            </w:r>
            <w:r w:rsidR="00EA49E0">
              <w:rPr>
                <w:webHidden/>
              </w:rPr>
              <w:fldChar w:fldCharType="separate"/>
            </w:r>
            <w:r w:rsidR="00C469E4">
              <w:rPr>
                <w:webHidden/>
              </w:rPr>
              <w:t>1-6</w:t>
            </w:r>
            <w:r w:rsidR="00EA49E0">
              <w:rPr>
                <w:webHidden/>
              </w:rPr>
              <w:fldChar w:fldCharType="end"/>
            </w:r>
          </w:hyperlink>
        </w:p>
        <w:p w:rsidR="00EA49E0" w:rsidRDefault="009B2DA1">
          <w:pPr>
            <w:pStyle w:val="TOC2"/>
            <w:rPr>
              <w:rFonts w:asciiTheme="minorHAnsi" w:eastAsiaTheme="minorEastAsia" w:hAnsiTheme="minorHAnsi"/>
              <w:b w:val="0"/>
              <w:color w:val="auto"/>
              <w:sz w:val="22"/>
              <w:lang w:eastAsia="en-AU"/>
            </w:rPr>
          </w:pPr>
          <w:hyperlink w:anchor="_Toc416172656" w:history="1">
            <w:r w:rsidR="00EA49E0" w:rsidRPr="006075C0">
              <w:rPr>
                <w:rStyle w:val="Hyperlink"/>
              </w:rPr>
              <w:t>1.2</w:t>
            </w:r>
            <w:r w:rsidR="00EA49E0">
              <w:rPr>
                <w:rFonts w:asciiTheme="minorHAnsi" w:eastAsiaTheme="minorEastAsia" w:hAnsiTheme="minorHAnsi"/>
                <w:b w:val="0"/>
                <w:color w:val="auto"/>
                <w:sz w:val="22"/>
                <w:lang w:eastAsia="en-AU"/>
              </w:rPr>
              <w:tab/>
            </w:r>
            <w:r w:rsidR="00EA49E0" w:rsidRPr="006075C0">
              <w:rPr>
                <w:rStyle w:val="Hyperlink"/>
              </w:rPr>
              <w:t>Essential Energy’s revised proposal</w:t>
            </w:r>
            <w:r w:rsidR="00EA49E0">
              <w:rPr>
                <w:webHidden/>
              </w:rPr>
              <w:tab/>
            </w:r>
            <w:r w:rsidR="00EA49E0">
              <w:rPr>
                <w:webHidden/>
              </w:rPr>
              <w:fldChar w:fldCharType="begin"/>
            </w:r>
            <w:r w:rsidR="00EA49E0">
              <w:rPr>
                <w:webHidden/>
              </w:rPr>
              <w:instrText xml:space="preserve"> PAGEREF _Toc416172656 \h </w:instrText>
            </w:r>
            <w:r w:rsidR="00EA49E0">
              <w:rPr>
                <w:webHidden/>
              </w:rPr>
            </w:r>
            <w:r w:rsidR="00EA49E0">
              <w:rPr>
                <w:webHidden/>
              </w:rPr>
              <w:fldChar w:fldCharType="separate"/>
            </w:r>
            <w:r w:rsidR="00C469E4">
              <w:rPr>
                <w:webHidden/>
              </w:rPr>
              <w:t>1-8</w:t>
            </w:r>
            <w:r w:rsidR="00EA49E0">
              <w:rPr>
                <w:webHidden/>
              </w:rPr>
              <w:fldChar w:fldCharType="end"/>
            </w:r>
          </w:hyperlink>
        </w:p>
        <w:p w:rsidR="00EA49E0" w:rsidRDefault="009B2DA1">
          <w:pPr>
            <w:pStyle w:val="TOC2"/>
            <w:rPr>
              <w:rFonts w:asciiTheme="minorHAnsi" w:eastAsiaTheme="minorEastAsia" w:hAnsiTheme="minorHAnsi"/>
              <w:b w:val="0"/>
              <w:color w:val="auto"/>
              <w:sz w:val="22"/>
              <w:lang w:eastAsia="en-AU"/>
            </w:rPr>
          </w:pPr>
          <w:hyperlink w:anchor="_Toc416172657" w:history="1">
            <w:r w:rsidR="00EA49E0" w:rsidRPr="006075C0">
              <w:rPr>
                <w:rStyle w:val="Hyperlink"/>
              </w:rPr>
              <w:t>1.3</w:t>
            </w:r>
            <w:r w:rsidR="00EA49E0">
              <w:rPr>
                <w:rFonts w:asciiTheme="minorHAnsi" w:eastAsiaTheme="minorEastAsia" w:hAnsiTheme="minorHAnsi"/>
                <w:b w:val="0"/>
                <w:color w:val="auto"/>
                <w:sz w:val="22"/>
                <w:lang w:eastAsia="en-AU"/>
              </w:rPr>
              <w:tab/>
            </w:r>
            <w:r w:rsidR="00EA49E0" w:rsidRPr="006075C0">
              <w:rPr>
                <w:rStyle w:val="Hyperlink"/>
              </w:rPr>
              <w:t>AER’s assessment approach</w:t>
            </w:r>
            <w:r w:rsidR="00EA49E0">
              <w:rPr>
                <w:webHidden/>
              </w:rPr>
              <w:tab/>
            </w:r>
            <w:r w:rsidR="00EA49E0">
              <w:rPr>
                <w:webHidden/>
              </w:rPr>
              <w:fldChar w:fldCharType="begin"/>
            </w:r>
            <w:r w:rsidR="00EA49E0">
              <w:rPr>
                <w:webHidden/>
              </w:rPr>
              <w:instrText xml:space="preserve"> PAGEREF _Toc416172657 \h </w:instrText>
            </w:r>
            <w:r w:rsidR="00EA49E0">
              <w:rPr>
                <w:webHidden/>
              </w:rPr>
            </w:r>
            <w:r w:rsidR="00EA49E0">
              <w:rPr>
                <w:webHidden/>
              </w:rPr>
              <w:fldChar w:fldCharType="separate"/>
            </w:r>
            <w:r w:rsidR="00C469E4">
              <w:rPr>
                <w:webHidden/>
              </w:rPr>
              <w:t>1-9</w:t>
            </w:r>
            <w:r w:rsidR="00EA49E0">
              <w:rPr>
                <w:webHidden/>
              </w:rPr>
              <w:fldChar w:fldCharType="end"/>
            </w:r>
          </w:hyperlink>
        </w:p>
        <w:p w:rsidR="00EA49E0" w:rsidRDefault="009B2DA1">
          <w:pPr>
            <w:pStyle w:val="TOC2"/>
            <w:rPr>
              <w:rFonts w:asciiTheme="minorHAnsi" w:eastAsiaTheme="minorEastAsia" w:hAnsiTheme="minorHAnsi"/>
              <w:b w:val="0"/>
              <w:color w:val="auto"/>
              <w:sz w:val="22"/>
              <w:lang w:eastAsia="en-AU"/>
            </w:rPr>
          </w:pPr>
          <w:hyperlink w:anchor="_Toc416172658" w:history="1">
            <w:r w:rsidR="00EA49E0" w:rsidRPr="006075C0">
              <w:rPr>
                <w:rStyle w:val="Hyperlink"/>
              </w:rPr>
              <w:t>1.4</w:t>
            </w:r>
            <w:r w:rsidR="00EA49E0">
              <w:rPr>
                <w:rFonts w:asciiTheme="minorHAnsi" w:eastAsiaTheme="minorEastAsia" w:hAnsiTheme="minorHAnsi"/>
                <w:b w:val="0"/>
                <w:color w:val="auto"/>
                <w:sz w:val="22"/>
                <w:lang w:eastAsia="en-AU"/>
              </w:rPr>
              <w:tab/>
            </w:r>
            <w:r w:rsidR="00EA49E0" w:rsidRPr="006075C0">
              <w:rPr>
                <w:rStyle w:val="Hyperlink"/>
              </w:rPr>
              <w:t>Reasons for final decision</w:t>
            </w:r>
            <w:r w:rsidR="00EA49E0">
              <w:rPr>
                <w:webHidden/>
              </w:rPr>
              <w:tab/>
            </w:r>
            <w:r w:rsidR="00EA49E0">
              <w:rPr>
                <w:webHidden/>
              </w:rPr>
              <w:fldChar w:fldCharType="begin"/>
            </w:r>
            <w:r w:rsidR="00EA49E0">
              <w:rPr>
                <w:webHidden/>
              </w:rPr>
              <w:instrText xml:space="preserve"> PAGEREF _Toc416172658 \h </w:instrText>
            </w:r>
            <w:r w:rsidR="00EA49E0">
              <w:rPr>
                <w:webHidden/>
              </w:rPr>
            </w:r>
            <w:r w:rsidR="00EA49E0">
              <w:rPr>
                <w:webHidden/>
              </w:rPr>
              <w:fldChar w:fldCharType="separate"/>
            </w:r>
            <w:r w:rsidR="00C469E4">
              <w:rPr>
                <w:webHidden/>
              </w:rPr>
              <w:t>1-9</w:t>
            </w:r>
            <w:r w:rsidR="00EA49E0">
              <w:rPr>
                <w:webHidden/>
              </w:rPr>
              <w:fldChar w:fldCharType="end"/>
            </w:r>
          </w:hyperlink>
        </w:p>
        <w:p w:rsidR="00EA49E0" w:rsidRDefault="009B2DA1">
          <w:pPr>
            <w:pStyle w:val="TOC3"/>
            <w:rPr>
              <w:rFonts w:asciiTheme="minorHAnsi" w:eastAsiaTheme="minorEastAsia" w:hAnsiTheme="minorHAnsi"/>
              <w:lang w:eastAsia="en-AU"/>
            </w:rPr>
          </w:pPr>
          <w:hyperlink w:anchor="_Toc416172659" w:history="1">
            <w:r w:rsidR="00EA49E0" w:rsidRPr="006075C0">
              <w:rPr>
                <w:rStyle w:val="Hyperlink"/>
              </w:rPr>
              <w:t>1.4.1</w:t>
            </w:r>
            <w:r w:rsidR="00EA49E0">
              <w:rPr>
                <w:rFonts w:asciiTheme="minorHAnsi" w:eastAsiaTheme="minorEastAsia" w:hAnsiTheme="minorHAnsi"/>
                <w:lang w:eastAsia="en-AU"/>
              </w:rPr>
              <w:tab/>
            </w:r>
            <w:r w:rsidR="00EA49E0" w:rsidRPr="006075C0">
              <w:rPr>
                <w:rStyle w:val="Hyperlink"/>
              </w:rPr>
              <w:t>Revenue true-up for transitional year</w:t>
            </w:r>
            <w:r w:rsidR="00EA49E0">
              <w:rPr>
                <w:webHidden/>
              </w:rPr>
              <w:tab/>
            </w:r>
            <w:r w:rsidR="00EA49E0">
              <w:rPr>
                <w:webHidden/>
              </w:rPr>
              <w:fldChar w:fldCharType="begin"/>
            </w:r>
            <w:r w:rsidR="00EA49E0">
              <w:rPr>
                <w:webHidden/>
              </w:rPr>
              <w:instrText xml:space="preserve"> PAGEREF _Toc416172659 \h </w:instrText>
            </w:r>
            <w:r w:rsidR="00EA49E0">
              <w:rPr>
                <w:webHidden/>
              </w:rPr>
            </w:r>
            <w:r w:rsidR="00EA49E0">
              <w:rPr>
                <w:webHidden/>
              </w:rPr>
              <w:fldChar w:fldCharType="separate"/>
            </w:r>
            <w:r w:rsidR="00C469E4">
              <w:rPr>
                <w:webHidden/>
              </w:rPr>
              <w:t>1-10</w:t>
            </w:r>
            <w:r w:rsidR="00EA49E0">
              <w:rPr>
                <w:webHidden/>
              </w:rPr>
              <w:fldChar w:fldCharType="end"/>
            </w:r>
          </w:hyperlink>
        </w:p>
        <w:p w:rsidR="00EA49E0" w:rsidRDefault="009B2DA1">
          <w:pPr>
            <w:pStyle w:val="TOC3"/>
            <w:rPr>
              <w:rFonts w:asciiTheme="minorHAnsi" w:eastAsiaTheme="minorEastAsia" w:hAnsiTheme="minorHAnsi"/>
              <w:lang w:eastAsia="en-AU"/>
            </w:rPr>
          </w:pPr>
          <w:hyperlink w:anchor="_Toc416172660" w:history="1">
            <w:r w:rsidR="00EA49E0" w:rsidRPr="006075C0">
              <w:rPr>
                <w:rStyle w:val="Hyperlink"/>
              </w:rPr>
              <w:t>1.4.2</w:t>
            </w:r>
            <w:r w:rsidR="00EA49E0">
              <w:rPr>
                <w:rFonts w:asciiTheme="minorHAnsi" w:eastAsiaTheme="minorEastAsia" w:hAnsiTheme="minorHAnsi"/>
                <w:lang w:eastAsia="en-AU"/>
              </w:rPr>
              <w:tab/>
            </w:r>
            <w:r w:rsidR="00EA49E0" w:rsidRPr="006075C0">
              <w:rPr>
                <w:rStyle w:val="Hyperlink"/>
              </w:rPr>
              <w:t>Smoothing of revenues</w:t>
            </w:r>
            <w:r w:rsidR="00EA49E0">
              <w:rPr>
                <w:webHidden/>
              </w:rPr>
              <w:tab/>
            </w:r>
            <w:r w:rsidR="00EA49E0">
              <w:rPr>
                <w:webHidden/>
              </w:rPr>
              <w:fldChar w:fldCharType="begin"/>
            </w:r>
            <w:r w:rsidR="00EA49E0">
              <w:rPr>
                <w:webHidden/>
              </w:rPr>
              <w:instrText xml:space="preserve"> PAGEREF _Toc416172660 \h </w:instrText>
            </w:r>
            <w:r w:rsidR="00EA49E0">
              <w:rPr>
                <w:webHidden/>
              </w:rPr>
            </w:r>
            <w:r w:rsidR="00EA49E0">
              <w:rPr>
                <w:webHidden/>
              </w:rPr>
              <w:fldChar w:fldCharType="separate"/>
            </w:r>
            <w:r w:rsidR="00C469E4">
              <w:rPr>
                <w:webHidden/>
              </w:rPr>
              <w:t>1-11</w:t>
            </w:r>
            <w:r w:rsidR="00EA49E0">
              <w:rPr>
                <w:webHidden/>
              </w:rPr>
              <w:fldChar w:fldCharType="end"/>
            </w:r>
          </w:hyperlink>
        </w:p>
        <w:p w:rsidR="00EA49E0" w:rsidRDefault="009B2DA1">
          <w:pPr>
            <w:pStyle w:val="TOC3"/>
            <w:rPr>
              <w:rFonts w:asciiTheme="minorHAnsi" w:eastAsiaTheme="minorEastAsia" w:hAnsiTheme="minorHAnsi"/>
              <w:lang w:eastAsia="en-AU"/>
            </w:rPr>
          </w:pPr>
          <w:hyperlink w:anchor="_Toc416172661" w:history="1">
            <w:r w:rsidR="00EA49E0" w:rsidRPr="006075C0">
              <w:rPr>
                <w:rStyle w:val="Hyperlink"/>
              </w:rPr>
              <w:t>1.4.3</w:t>
            </w:r>
            <w:r w:rsidR="00EA49E0">
              <w:rPr>
                <w:rFonts w:asciiTheme="minorHAnsi" w:eastAsiaTheme="minorEastAsia" w:hAnsiTheme="minorHAnsi"/>
                <w:lang w:eastAsia="en-AU"/>
              </w:rPr>
              <w:tab/>
            </w:r>
            <w:r w:rsidR="00EA49E0" w:rsidRPr="006075C0">
              <w:rPr>
                <w:rStyle w:val="Hyperlink"/>
              </w:rPr>
              <w:t>Shared assets</w:t>
            </w:r>
            <w:r w:rsidR="00EA49E0">
              <w:rPr>
                <w:webHidden/>
              </w:rPr>
              <w:tab/>
            </w:r>
            <w:r w:rsidR="00EA49E0">
              <w:rPr>
                <w:webHidden/>
              </w:rPr>
              <w:fldChar w:fldCharType="begin"/>
            </w:r>
            <w:r w:rsidR="00EA49E0">
              <w:rPr>
                <w:webHidden/>
              </w:rPr>
              <w:instrText xml:space="preserve"> PAGEREF _Toc416172661 \h </w:instrText>
            </w:r>
            <w:r w:rsidR="00EA49E0">
              <w:rPr>
                <w:webHidden/>
              </w:rPr>
            </w:r>
            <w:r w:rsidR="00EA49E0">
              <w:rPr>
                <w:webHidden/>
              </w:rPr>
              <w:fldChar w:fldCharType="separate"/>
            </w:r>
            <w:r w:rsidR="00C469E4">
              <w:rPr>
                <w:webHidden/>
              </w:rPr>
              <w:t>1-12</w:t>
            </w:r>
            <w:r w:rsidR="00EA49E0">
              <w:rPr>
                <w:webHidden/>
              </w:rPr>
              <w:fldChar w:fldCharType="end"/>
            </w:r>
          </w:hyperlink>
        </w:p>
        <w:p w:rsidR="00EA49E0" w:rsidRDefault="009B2DA1">
          <w:pPr>
            <w:pStyle w:val="TOC3"/>
            <w:rPr>
              <w:rFonts w:asciiTheme="minorHAnsi" w:eastAsiaTheme="minorEastAsia" w:hAnsiTheme="minorHAnsi"/>
              <w:lang w:eastAsia="en-AU"/>
            </w:rPr>
          </w:pPr>
          <w:hyperlink w:anchor="_Toc416172664" w:history="1">
            <w:r w:rsidR="00EA49E0" w:rsidRPr="006075C0">
              <w:rPr>
                <w:rStyle w:val="Hyperlink"/>
              </w:rPr>
              <w:t>1.4.4</w:t>
            </w:r>
            <w:r w:rsidR="00EA49E0">
              <w:rPr>
                <w:rFonts w:asciiTheme="minorHAnsi" w:eastAsiaTheme="minorEastAsia" w:hAnsiTheme="minorHAnsi"/>
                <w:lang w:eastAsia="en-AU"/>
              </w:rPr>
              <w:tab/>
            </w:r>
            <w:r w:rsidR="00EA49E0" w:rsidRPr="006075C0">
              <w:rPr>
                <w:rStyle w:val="Hyperlink"/>
              </w:rPr>
              <w:t>Indicative average distribution price impact</w:t>
            </w:r>
            <w:r w:rsidR="00EA49E0">
              <w:rPr>
                <w:webHidden/>
              </w:rPr>
              <w:tab/>
            </w:r>
            <w:r w:rsidR="00EA49E0">
              <w:rPr>
                <w:webHidden/>
              </w:rPr>
              <w:fldChar w:fldCharType="begin"/>
            </w:r>
            <w:r w:rsidR="00EA49E0">
              <w:rPr>
                <w:webHidden/>
              </w:rPr>
              <w:instrText xml:space="preserve"> PAGEREF _Toc416172664 \h </w:instrText>
            </w:r>
            <w:r w:rsidR="00EA49E0">
              <w:rPr>
                <w:webHidden/>
              </w:rPr>
            </w:r>
            <w:r w:rsidR="00EA49E0">
              <w:rPr>
                <w:webHidden/>
              </w:rPr>
              <w:fldChar w:fldCharType="separate"/>
            </w:r>
            <w:r w:rsidR="00C469E4">
              <w:rPr>
                <w:webHidden/>
              </w:rPr>
              <w:t>1-13</w:t>
            </w:r>
            <w:r w:rsidR="00EA49E0">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172653"/>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D57CA9">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D57CA9" w:rsidTr="00D57CA9">
        <w:tc>
          <w:tcPr>
            <w:tcW w:w="4349" w:type="dxa"/>
          </w:tcPr>
          <w:p w:rsidR="00D57CA9" w:rsidRPr="00D57CA9" w:rsidRDefault="00D57CA9" w:rsidP="00D57CA9">
            <w:pPr>
              <w:numPr>
                <w:ilvl w:val="0"/>
                <w:numId w:val="25"/>
              </w:numPr>
            </w:pPr>
            <w:r w:rsidRPr="00D57CA9">
              <w:t>AEMC</w:t>
            </w:r>
          </w:p>
        </w:tc>
        <w:tc>
          <w:tcPr>
            <w:tcW w:w="4344" w:type="dxa"/>
          </w:tcPr>
          <w:p w:rsidR="00D57CA9" w:rsidRPr="00D57CA9" w:rsidRDefault="00D57CA9" w:rsidP="00D57CA9">
            <w:pPr>
              <w:numPr>
                <w:ilvl w:val="0"/>
                <w:numId w:val="25"/>
              </w:numPr>
            </w:pPr>
            <w:r w:rsidRPr="00D57CA9">
              <w:t>Australian Energy Market Commission</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AEMO</w:t>
            </w:r>
          </w:p>
        </w:tc>
        <w:tc>
          <w:tcPr>
            <w:tcW w:w="4344" w:type="dxa"/>
          </w:tcPr>
          <w:p w:rsidR="00D57CA9" w:rsidRPr="00D57CA9" w:rsidRDefault="00D57CA9" w:rsidP="00D57CA9">
            <w:pPr>
              <w:numPr>
                <w:ilvl w:val="0"/>
                <w:numId w:val="25"/>
              </w:numPr>
            </w:pPr>
            <w:r w:rsidRPr="00D57CA9">
              <w:t>Australian Energy Market Operator</w:t>
            </w:r>
          </w:p>
        </w:tc>
      </w:tr>
      <w:tr w:rsidR="00D57CA9" w:rsidTr="00D57CA9">
        <w:tc>
          <w:tcPr>
            <w:tcW w:w="4349" w:type="dxa"/>
          </w:tcPr>
          <w:p w:rsidR="00D57CA9" w:rsidRPr="00D57CA9" w:rsidRDefault="00D57CA9" w:rsidP="00D57CA9">
            <w:pPr>
              <w:numPr>
                <w:ilvl w:val="0"/>
                <w:numId w:val="25"/>
              </w:numPr>
            </w:pPr>
            <w:r w:rsidRPr="00D57CA9">
              <w:t>AER</w:t>
            </w:r>
          </w:p>
        </w:tc>
        <w:tc>
          <w:tcPr>
            <w:tcW w:w="4344" w:type="dxa"/>
          </w:tcPr>
          <w:p w:rsidR="00D57CA9" w:rsidRPr="00D57CA9" w:rsidRDefault="00D57CA9" w:rsidP="00D57CA9">
            <w:pPr>
              <w:numPr>
                <w:ilvl w:val="0"/>
                <w:numId w:val="25"/>
              </w:numPr>
            </w:pPr>
            <w:r w:rsidRPr="00D57CA9">
              <w:t>Australian Energy Regulator</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proofErr w:type="spellStart"/>
            <w:r w:rsidRPr="00D57CA9">
              <w:t>augex</w:t>
            </w:r>
            <w:proofErr w:type="spellEnd"/>
          </w:p>
        </w:tc>
        <w:tc>
          <w:tcPr>
            <w:tcW w:w="4344" w:type="dxa"/>
          </w:tcPr>
          <w:p w:rsidR="00D57CA9" w:rsidRPr="00D57CA9" w:rsidRDefault="00D57CA9" w:rsidP="00D57CA9">
            <w:pPr>
              <w:numPr>
                <w:ilvl w:val="0"/>
                <w:numId w:val="25"/>
              </w:numPr>
            </w:pPr>
            <w:r w:rsidRPr="00D57CA9">
              <w:t>augmentation expenditure</w:t>
            </w:r>
          </w:p>
        </w:tc>
      </w:tr>
      <w:tr w:rsidR="00D57CA9" w:rsidTr="00D57CA9">
        <w:tc>
          <w:tcPr>
            <w:tcW w:w="4349" w:type="dxa"/>
          </w:tcPr>
          <w:p w:rsidR="00D57CA9" w:rsidRPr="00D57CA9" w:rsidRDefault="00D57CA9" w:rsidP="00D57CA9">
            <w:pPr>
              <w:numPr>
                <w:ilvl w:val="0"/>
                <w:numId w:val="25"/>
              </w:numPr>
            </w:pPr>
            <w:r w:rsidRPr="00D57CA9">
              <w:t>capex</w:t>
            </w:r>
          </w:p>
        </w:tc>
        <w:tc>
          <w:tcPr>
            <w:tcW w:w="4344" w:type="dxa"/>
          </w:tcPr>
          <w:p w:rsidR="00D57CA9" w:rsidRPr="00D57CA9" w:rsidRDefault="00D57CA9" w:rsidP="00D57CA9">
            <w:pPr>
              <w:numPr>
                <w:ilvl w:val="0"/>
                <w:numId w:val="25"/>
              </w:numPr>
            </w:pPr>
            <w:r w:rsidRPr="00D57CA9">
              <w:t>capital expenditure</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CCP</w:t>
            </w:r>
          </w:p>
        </w:tc>
        <w:tc>
          <w:tcPr>
            <w:tcW w:w="4344" w:type="dxa"/>
          </w:tcPr>
          <w:p w:rsidR="00D57CA9" w:rsidRPr="00D57CA9" w:rsidRDefault="00D57CA9" w:rsidP="00D57CA9">
            <w:pPr>
              <w:numPr>
                <w:ilvl w:val="0"/>
                <w:numId w:val="25"/>
              </w:numPr>
            </w:pPr>
            <w:r w:rsidRPr="00D57CA9">
              <w:t>Consumer Challenge Panel</w:t>
            </w:r>
          </w:p>
        </w:tc>
      </w:tr>
      <w:tr w:rsidR="00D57CA9" w:rsidTr="00D57CA9">
        <w:tc>
          <w:tcPr>
            <w:tcW w:w="4349" w:type="dxa"/>
          </w:tcPr>
          <w:p w:rsidR="00D57CA9" w:rsidRPr="00D57CA9" w:rsidRDefault="00D57CA9" w:rsidP="00D57CA9">
            <w:pPr>
              <w:numPr>
                <w:ilvl w:val="0"/>
                <w:numId w:val="25"/>
              </w:numPr>
            </w:pPr>
            <w:r w:rsidRPr="00D57CA9">
              <w:t>CESS</w:t>
            </w:r>
          </w:p>
        </w:tc>
        <w:tc>
          <w:tcPr>
            <w:tcW w:w="4344" w:type="dxa"/>
          </w:tcPr>
          <w:p w:rsidR="00D57CA9" w:rsidRPr="00D57CA9" w:rsidRDefault="00D57CA9" w:rsidP="00D57CA9">
            <w:pPr>
              <w:numPr>
                <w:ilvl w:val="0"/>
                <w:numId w:val="25"/>
              </w:numPr>
            </w:pPr>
            <w:r w:rsidRPr="00D57CA9">
              <w:t>capital expenditure sharing scheme</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CPI</w:t>
            </w:r>
          </w:p>
        </w:tc>
        <w:tc>
          <w:tcPr>
            <w:tcW w:w="4344" w:type="dxa"/>
          </w:tcPr>
          <w:p w:rsidR="00D57CA9" w:rsidRPr="00D57CA9" w:rsidRDefault="00D57CA9" w:rsidP="00D57CA9">
            <w:pPr>
              <w:numPr>
                <w:ilvl w:val="0"/>
                <w:numId w:val="25"/>
              </w:numPr>
            </w:pPr>
            <w:r w:rsidRPr="00D57CA9">
              <w:t>consumer price index</w:t>
            </w:r>
          </w:p>
        </w:tc>
      </w:tr>
      <w:tr w:rsidR="00D57CA9" w:rsidTr="00D57CA9">
        <w:tc>
          <w:tcPr>
            <w:tcW w:w="4349" w:type="dxa"/>
          </w:tcPr>
          <w:p w:rsidR="00D57CA9" w:rsidRPr="00D57CA9" w:rsidRDefault="00D57CA9" w:rsidP="00D57CA9">
            <w:pPr>
              <w:numPr>
                <w:ilvl w:val="0"/>
                <w:numId w:val="25"/>
              </w:numPr>
            </w:pPr>
            <w:r w:rsidRPr="00D57CA9">
              <w:t>DRP</w:t>
            </w:r>
          </w:p>
        </w:tc>
        <w:tc>
          <w:tcPr>
            <w:tcW w:w="4344" w:type="dxa"/>
          </w:tcPr>
          <w:p w:rsidR="00D57CA9" w:rsidRPr="00D57CA9" w:rsidRDefault="00D57CA9" w:rsidP="00D57CA9">
            <w:pPr>
              <w:numPr>
                <w:ilvl w:val="0"/>
                <w:numId w:val="25"/>
              </w:numPr>
            </w:pPr>
            <w:r w:rsidRPr="00D57CA9">
              <w:t>debt risk premium</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DMIA</w:t>
            </w:r>
          </w:p>
        </w:tc>
        <w:tc>
          <w:tcPr>
            <w:tcW w:w="4344" w:type="dxa"/>
          </w:tcPr>
          <w:p w:rsidR="00D57CA9" w:rsidRPr="00D57CA9" w:rsidRDefault="00D57CA9" w:rsidP="00D57CA9">
            <w:pPr>
              <w:numPr>
                <w:ilvl w:val="0"/>
                <w:numId w:val="25"/>
              </w:numPr>
            </w:pPr>
            <w:r w:rsidRPr="00D57CA9">
              <w:t>demand management innovation allowance</w:t>
            </w:r>
          </w:p>
        </w:tc>
      </w:tr>
      <w:tr w:rsidR="00D57CA9" w:rsidTr="00D57CA9">
        <w:tc>
          <w:tcPr>
            <w:tcW w:w="4349" w:type="dxa"/>
          </w:tcPr>
          <w:p w:rsidR="00D57CA9" w:rsidRPr="00D57CA9" w:rsidRDefault="00D57CA9" w:rsidP="00D57CA9">
            <w:pPr>
              <w:numPr>
                <w:ilvl w:val="0"/>
                <w:numId w:val="25"/>
              </w:numPr>
            </w:pPr>
            <w:r w:rsidRPr="00D57CA9">
              <w:t>DMIS</w:t>
            </w:r>
          </w:p>
        </w:tc>
        <w:tc>
          <w:tcPr>
            <w:tcW w:w="4344" w:type="dxa"/>
          </w:tcPr>
          <w:p w:rsidR="00D57CA9" w:rsidRPr="00D57CA9" w:rsidRDefault="00D57CA9" w:rsidP="00D57CA9">
            <w:pPr>
              <w:numPr>
                <w:ilvl w:val="0"/>
                <w:numId w:val="25"/>
              </w:numPr>
            </w:pPr>
            <w:r w:rsidRPr="00D57CA9">
              <w:t>demand management incentive scheme</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distributor</w:t>
            </w:r>
          </w:p>
        </w:tc>
        <w:tc>
          <w:tcPr>
            <w:tcW w:w="4344" w:type="dxa"/>
          </w:tcPr>
          <w:p w:rsidR="00D57CA9" w:rsidRPr="00D57CA9" w:rsidRDefault="00D57CA9" w:rsidP="00D57CA9">
            <w:pPr>
              <w:numPr>
                <w:ilvl w:val="0"/>
                <w:numId w:val="25"/>
              </w:numPr>
            </w:pPr>
            <w:r w:rsidRPr="00D57CA9">
              <w:t>distribution network service provider</w:t>
            </w:r>
          </w:p>
        </w:tc>
      </w:tr>
      <w:tr w:rsidR="00D57CA9" w:rsidTr="00D57CA9">
        <w:tc>
          <w:tcPr>
            <w:tcW w:w="4349" w:type="dxa"/>
          </w:tcPr>
          <w:p w:rsidR="00D57CA9" w:rsidRPr="00D57CA9" w:rsidRDefault="00D57CA9" w:rsidP="00D57CA9">
            <w:pPr>
              <w:numPr>
                <w:ilvl w:val="0"/>
                <w:numId w:val="25"/>
              </w:numPr>
            </w:pPr>
            <w:proofErr w:type="spellStart"/>
            <w:r w:rsidRPr="00D57CA9">
              <w:t>DUoS</w:t>
            </w:r>
            <w:proofErr w:type="spellEnd"/>
          </w:p>
        </w:tc>
        <w:tc>
          <w:tcPr>
            <w:tcW w:w="4344" w:type="dxa"/>
          </w:tcPr>
          <w:p w:rsidR="00D57CA9" w:rsidRPr="00D57CA9" w:rsidRDefault="00D57CA9" w:rsidP="00D57CA9">
            <w:pPr>
              <w:numPr>
                <w:ilvl w:val="0"/>
                <w:numId w:val="25"/>
              </w:numPr>
            </w:pPr>
            <w:r w:rsidRPr="00D57CA9">
              <w:t>distribution use of system</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EBSS</w:t>
            </w:r>
          </w:p>
        </w:tc>
        <w:tc>
          <w:tcPr>
            <w:tcW w:w="4344" w:type="dxa"/>
          </w:tcPr>
          <w:p w:rsidR="00D57CA9" w:rsidRPr="00D57CA9" w:rsidRDefault="00D57CA9" w:rsidP="00D57CA9">
            <w:pPr>
              <w:numPr>
                <w:ilvl w:val="0"/>
                <w:numId w:val="25"/>
              </w:numPr>
            </w:pPr>
            <w:r w:rsidRPr="00D57CA9">
              <w:t>efficiency benefit sharing scheme</w:t>
            </w:r>
          </w:p>
        </w:tc>
      </w:tr>
      <w:tr w:rsidR="00D57CA9" w:rsidTr="00D57CA9">
        <w:tc>
          <w:tcPr>
            <w:tcW w:w="4349" w:type="dxa"/>
          </w:tcPr>
          <w:p w:rsidR="00D57CA9" w:rsidRPr="00D57CA9" w:rsidRDefault="00D57CA9" w:rsidP="00D57CA9">
            <w:pPr>
              <w:numPr>
                <w:ilvl w:val="0"/>
                <w:numId w:val="25"/>
              </w:numPr>
            </w:pPr>
            <w:r w:rsidRPr="00D57CA9">
              <w:t>ERP</w:t>
            </w:r>
          </w:p>
        </w:tc>
        <w:tc>
          <w:tcPr>
            <w:tcW w:w="4344" w:type="dxa"/>
          </w:tcPr>
          <w:p w:rsidR="00D57CA9" w:rsidRPr="00D57CA9" w:rsidRDefault="00D57CA9" w:rsidP="00D57CA9">
            <w:pPr>
              <w:numPr>
                <w:ilvl w:val="0"/>
                <w:numId w:val="25"/>
              </w:numPr>
            </w:pPr>
            <w:r w:rsidRPr="00D57CA9">
              <w:t>equity risk premium</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Expenditure Assessment Guideline</w:t>
            </w:r>
          </w:p>
        </w:tc>
        <w:tc>
          <w:tcPr>
            <w:tcW w:w="4344" w:type="dxa"/>
          </w:tcPr>
          <w:p w:rsidR="00D57CA9" w:rsidRPr="00D57CA9" w:rsidRDefault="00D57CA9" w:rsidP="00D57CA9">
            <w:pPr>
              <w:numPr>
                <w:ilvl w:val="0"/>
                <w:numId w:val="25"/>
              </w:numPr>
            </w:pPr>
            <w:r w:rsidRPr="00D57CA9">
              <w:t>expenditure forecast assessment Guideline for electricity distribution</w:t>
            </w:r>
          </w:p>
        </w:tc>
      </w:tr>
      <w:tr w:rsidR="00D57CA9" w:rsidTr="00D57CA9">
        <w:tc>
          <w:tcPr>
            <w:tcW w:w="4349" w:type="dxa"/>
          </w:tcPr>
          <w:p w:rsidR="00D57CA9" w:rsidRPr="00D57CA9" w:rsidRDefault="00D57CA9" w:rsidP="00D57CA9">
            <w:pPr>
              <w:numPr>
                <w:ilvl w:val="0"/>
                <w:numId w:val="25"/>
              </w:numPr>
            </w:pPr>
            <w:r w:rsidRPr="00D57CA9">
              <w:t>F&amp;A</w:t>
            </w:r>
          </w:p>
        </w:tc>
        <w:tc>
          <w:tcPr>
            <w:tcW w:w="4344" w:type="dxa"/>
          </w:tcPr>
          <w:p w:rsidR="00D57CA9" w:rsidRPr="00D57CA9" w:rsidRDefault="00D57CA9" w:rsidP="00D57CA9">
            <w:pPr>
              <w:numPr>
                <w:ilvl w:val="0"/>
                <w:numId w:val="25"/>
              </w:numPr>
            </w:pPr>
            <w:r w:rsidRPr="00D57CA9">
              <w:t>framework and approach</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MRP</w:t>
            </w:r>
          </w:p>
        </w:tc>
        <w:tc>
          <w:tcPr>
            <w:tcW w:w="4344" w:type="dxa"/>
          </w:tcPr>
          <w:p w:rsidR="00D57CA9" w:rsidRPr="00D57CA9" w:rsidRDefault="00D57CA9" w:rsidP="00D57CA9">
            <w:pPr>
              <w:numPr>
                <w:ilvl w:val="0"/>
                <w:numId w:val="25"/>
              </w:numPr>
            </w:pPr>
            <w:r w:rsidRPr="00D57CA9">
              <w:t>market risk premium</w:t>
            </w:r>
          </w:p>
        </w:tc>
      </w:tr>
      <w:tr w:rsidR="00D57CA9" w:rsidTr="00D57CA9">
        <w:tc>
          <w:tcPr>
            <w:tcW w:w="4349" w:type="dxa"/>
          </w:tcPr>
          <w:p w:rsidR="00D57CA9" w:rsidRPr="00D57CA9" w:rsidRDefault="00D57CA9" w:rsidP="00D57CA9">
            <w:pPr>
              <w:numPr>
                <w:ilvl w:val="0"/>
                <w:numId w:val="25"/>
              </w:numPr>
            </w:pPr>
            <w:r w:rsidRPr="00D57CA9">
              <w:t>NEL</w:t>
            </w:r>
          </w:p>
        </w:tc>
        <w:tc>
          <w:tcPr>
            <w:tcW w:w="4344" w:type="dxa"/>
          </w:tcPr>
          <w:p w:rsidR="00D57CA9" w:rsidRPr="00D57CA9" w:rsidRDefault="00D57CA9" w:rsidP="00D57CA9">
            <w:pPr>
              <w:numPr>
                <w:ilvl w:val="0"/>
                <w:numId w:val="25"/>
              </w:numPr>
            </w:pPr>
            <w:r w:rsidRPr="00D57CA9">
              <w:t>national electricity law</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NEM</w:t>
            </w:r>
          </w:p>
        </w:tc>
        <w:tc>
          <w:tcPr>
            <w:tcW w:w="4344" w:type="dxa"/>
          </w:tcPr>
          <w:p w:rsidR="00D57CA9" w:rsidRPr="00D57CA9" w:rsidRDefault="00D57CA9" w:rsidP="00D57CA9">
            <w:pPr>
              <w:numPr>
                <w:ilvl w:val="0"/>
                <w:numId w:val="25"/>
              </w:numPr>
            </w:pPr>
            <w:r w:rsidRPr="00D57CA9">
              <w:t>national electricity market</w:t>
            </w:r>
          </w:p>
        </w:tc>
      </w:tr>
      <w:tr w:rsidR="00D57CA9" w:rsidTr="00D57CA9">
        <w:tc>
          <w:tcPr>
            <w:tcW w:w="4349" w:type="dxa"/>
          </w:tcPr>
          <w:p w:rsidR="00D57CA9" w:rsidRPr="00D57CA9" w:rsidRDefault="00D57CA9" w:rsidP="00D57CA9">
            <w:pPr>
              <w:numPr>
                <w:ilvl w:val="0"/>
                <w:numId w:val="25"/>
              </w:numPr>
            </w:pPr>
            <w:r w:rsidRPr="00D57CA9">
              <w:t>NEO</w:t>
            </w:r>
          </w:p>
        </w:tc>
        <w:tc>
          <w:tcPr>
            <w:tcW w:w="4344" w:type="dxa"/>
          </w:tcPr>
          <w:p w:rsidR="00D57CA9" w:rsidRPr="00D57CA9" w:rsidRDefault="00D57CA9" w:rsidP="00D57CA9">
            <w:pPr>
              <w:numPr>
                <w:ilvl w:val="0"/>
                <w:numId w:val="25"/>
              </w:numPr>
            </w:pPr>
            <w:r w:rsidRPr="00D57CA9">
              <w:t>national electricity objective</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NER</w:t>
            </w:r>
          </w:p>
        </w:tc>
        <w:tc>
          <w:tcPr>
            <w:tcW w:w="4344" w:type="dxa"/>
          </w:tcPr>
          <w:p w:rsidR="00D57CA9" w:rsidRPr="00D57CA9" w:rsidRDefault="00D57CA9" w:rsidP="00D57CA9">
            <w:pPr>
              <w:numPr>
                <w:ilvl w:val="0"/>
                <w:numId w:val="25"/>
              </w:numPr>
            </w:pPr>
            <w:r w:rsidRPr="00D57CA9">
              <w:t>national electricity rules</w:t>
            </w:r>
          </w:p>
        </w:tc>
      </w:tr>
      <w:tr w:rsidR="00D57CA9" w:rsidTr="00D57CA9">
        <w:tc>
          <w:tcPr>
            <w:tcW w:w="4349" w:type="dxa"/>
          </w:tcPr>
          <w:p w:rsidR="00D57CA9" w:rsidRPr="00D57CA9" w:rsidRDefault="00D57CA9" w:rsidP="00D57CA9">
            <w:pPr>
              <w:numPr>
                <w:ilvl w:val="0"/>
                <w:numId w:val="25"/>
              </w:numPr>
            </w:pPr>
            <w:r w:rsidRPr="00D57CA9">
              <w:t>NSP</w:t>
            </w:r>
          </w:p>
        </w:tc>
        <w:tc>
          <w:tcPr>
            <w:tcW w:w="4344" w:type="dxa"/>
          </w:tcPr>
          <w:p w:rsidR="00D57CA9" w:rsidRPr="00D57CA9" w:rsidRDefault="00D57CA9" w:rsidP="00D57CA9">
            <w:pPr>
              <w:numPr>
                <w:ilvl w:val="0"/>
                <w:numId w:val="25"/>
              </w:numPr>
            </w:pPr>
            <w:r w:rsidRPr="00D57CA9">
              <w:t>network service provider</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proofErr w:type="spellStart"/>
            <w:r w:rsidRPr="00D57CA9">
              <w:t>opex</w:t>
            </w:r>
            <w:proofErr w:type="spellEnd"/>
          </w:p>
        </w:tc>
        <w:tc>
          <w:tcPr>
            <w:tcW w:w="4344" w:type="dxa"/>
          </w:tcPr>
          <w:p w:rsidR="00D57CA9" w:rsidRPr="00D57CA9" w:rsidRDefault="00D57CA9" w:rsidP="00D57CA9">
            <w:pPr>
              <w:numPr>
                <w:ilvl w:val="0"/>
                <w:numId w:val="25"/>
              </w:numPr>
            </w:pPr>
            <w:r w:rsidRPr="00D57CA9">
              <w:t>operating expenditure</w:t>
            </w:r>
          </w:p>
        </w:tc>
      </w:tr>
      <w:tr w:rsidR="00D57CA9" w:rsidTr="00D57CA9">
        <w:tc>
          <w:tcPr>
            <w:tcW w:w="4349" w:type="dxa"/>
          </w:tcPr>
          <w:p w:rsidR="00D57CA9" w:rsidRPr="00D57CA9" w:rsidRDefault="00D57CA9" w:rsidP="00D57CA9">
            <w:pPr>
              <w:numPr>
                <w:ilvl w:val="0"/>
                <w:numId w:val="25"/>
              </w:numPr>
            </w:pPr>
            <w:r w:rsidRPr="00D57CA9">
              <w:t>PPI</w:t>
            </w:r>
          </w:p>
        </w:tc>
        <w:tc>
          <w:tcPr>
            <w:tcW w:w="4344" w:type="dxa"/>
          </w:tcPr>
          <w:p w:rsidR="00D57CA9" w:rsidRPr="00D57CA9" w:rsidRDefault="00D57CA9" w:rsidP="00D57CA9">
            <w:pPr>
              <w:numPr>
                <w:ilvl w:val="0"/>
                <w:numId w:val="25"/>
              </w:numPr>
            </w:pPr>
            <w:r w:rsidRPr="00D57CA9">
              <w:t>partial performance indicators</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PTRM</w:t>
            </w:r>
          </w:p>
        </w:tc>
        <w:tc>
          <w:tcPr>
            <w:tcW w:w="4344" w:type="dxa"/>
          </w:tcPr>
          <w:p w:rsidR="00D57CA9" w:rsidRPr="00D57CA9" w:rsidRDefault="00D57CA9" w:rsidP="00D57CA9">
            <w:pPr>
              <w:numPr>
                <w:ilvl w:val="0"/>
                <w:numId w:val="25"/>
              </w:numPr>
            </w:pPr>
            <w:r w:rsidRPr="00D57CA9">
              <w:t>post-tax revenue model</w:t>
            </w:r>
          </w:p>
        </w:tc>
      </w:tr>
      <w:tr w:rsidR="00D57CA9" w:rsidTr="00D57CA9">
        <w:tc>
          <w:tcPr>
            <w:tcW w:w="4349" w:type="dxa"/>
          </w:tcPr>
          <w:p w:rsidR="00D57CA9" w:rsidRPr="00D57CA9" w:rsidRDefault="00D57CA9" w:rsidP="00D57CA9">
            <w:pPr>
              <w:numPr>
                <w:ilvl w:val="0"/>
                <w:numId w:val="25"/>
              </w:numPr>
            </w:pPr>
            <w:r w:rsidRPr="00D57CA9">
              <w:t>RAB</w:t>
            </w:r>
          </w:p>
        </w:tc>
        <w:tc>
          <w:tcPr>
            <w:tcW w:w="4344" w:type="dxa"/>
          </w:tcPr>
          <w:p w:rsidR="00D57CA9" w:rsidRPr="00D57CA9" w:rsidRDefault="00D57CA9" w:rsidP="00D57CA9">
            <w:pPr>
              <w:numPr>
                <w:ilvl w:val="0"/>
                <w:numId w:val="25"/>
              </w:numPr>
            </w:pPr>
            <w:r w:rsidRPr="00D57CA9">
              <w:t>regulatory asset base</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RBA</w:t>
            </w:r>
          </w:p>
        </w:tc>
        <w:tc>
          <w:tcPr>
            <w:tcW w:w="4344" w:type="dxa"/>
          </w:tcPr>
          <w:p w:rsidR="00D57CA9" w:rsidRPr="00D57CA9" w:rsidRDefault="00D57CA9" w:rsidP="00D57CA9">
            <w:pPr>
              <w:numPr>
                <w:ilvl w:val="0"/>
                <w:numId w:val="25"/>
              </w:numPr>
            </w:pPr>
            <w:r w:rsidRPr="00D57CA9">
              <w:t>Reserve Bank of Australia</w:t>
            </w:r>
          </w:p>
        </w:tc>
      </w:tr>
      <w:tr w:rsidR="00D57CA9" w:rsidTr="00D57CA9">
        <w:tc>
          <w:tcPr>
            <w:tcW w:w="4349" w:type="dxa"/>
          </w:tcPr>
          <w:p w:rsidR="00D57CA9" w:rsidRPr="00D57CA9" w:rsidRDefault="00D57CA9" w:rsidP="00D57CA9">
            <w:pPr>
              <w:numPr>
                <w:ilvl w:val="0"/>
                <w:numId w:val="25"/>
              </w:numPr>
            </w:pPr>
            <w:proofErr w:type="spellStart"/>
            <w:r w:rsidRPr="00D57CA9">
              <w:t>repex</w:t>
            </w:r>
            <w:proofErr w:type="spellEnd"/>
          </w:p>
        </w:tc>
        <w:tc>
          <w:tcPr>
            <w:tcW w:w="4344" w:type="dxa"/>
          </w:tcPr>
          <w:p w:rsidR="00D57CA9" w:rsidRPr="00D57CA9" w:rsidRDefault="00D57CA9" w:rsidP="00D57CA9">
            <w:pPr>
              <w:numPr>
                <w:ilvl w:val="0"/>
                <w:numId w:val="25"/>
              </w:numPr>
            </w:pPr>
            <w:r w:rsidRPr="00D57CA9">
              <w:t>replacement expenditure</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RFM</w:t>
            </w:r>
          </w:p>
        </w:tc>
        <w:tc>
          <w:tcPr>
            <w:tcW w:w="4344" w:type="dxa"/>
          </w:tcPr>
          <w:p w:rsidR="00D57CA9" w:rsidRPr="00D57CA9" w:rsidRDefault="00D57CA9" w:rsidP="00D57CA9">
            <w:pPr>
              <w:numPr>
                <w:ilvl w:val="0"/>
                <w:numId w:val="25"/>
              </w:numPr>
            </w:pPr>
            <w:r w:rsidRPr="00D57CA9">
              <w:t>roll forward model</w:t>
            </w:r>
          </w:p>
        </w:tc>
      </w:tr>
      <w:tr w:rsidR="00D57CA9" w:rsidTr="00D57CA9">
        <w:tc>
          <w:tcPr>
            <w:tcW w:w="4349" w:type="dxa"/>
          </w:tcPr>
          <w:p w:rsidR="00D57CA9" w:rsidRPr="00D57CA9" w:rsidRDefault="00D57CA9" w:rsidP="00D57CA9">
            <w:pPr>
              <w:numPr>
                <w:ilvl w:val="0"/>
                <w:numId w:val="25"/>
              </w:numPr>
            </w:pPr>
            <w:r w:rsidRPr="00D57CA9">
              <w:lastRenderedPageBreak/>
              <w:t>RIN</w:t>
            </w:r>
          </w:p>
        </w:tc>
        <w:tc>
          <w:tcPr>
            <w:tcW w:w="4344" w:type="dxa"/>
          </w:tcPr>
          <w:p w:rsidR="00D57CA9" w:rsidRPr="00D57CA9" w:rsidRDefault="00D57CA9" w:rsidP="00D57CA9">
            <w:pPr>
              <w:numPr>
                <w:ilvl w:val="0"/>
                <w:numId w:val="25"/>
              </w:numPr>
            </w:pPr>
            <w:r w:rsidRPr="00D57CA9">
              <w:t>regulatory information notice</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RPP</w:t>
            </w:r>
          </w:p>
        </w:tc>
        <w:tc>
          <w:tcPr>
            <w:tcW w:w="4344" w:type="dxa"/>
          </w:tcPr>
          <w:p w:rsidR="00D57CA9" w:rsidRPr="00D57CA9" w:rsidRDefault="00D57CA9" w:rsidP="00D57CA9">
            <w:pPr>
              <w:numPr>
                <w:ilvl w:val="0"/>
                <w:numId w:val="25"/>
              </w:numPr>
            </w:pPr>
            <w:r w:rsidRPr="00D57CA9">
              <w:t>revenue and pricing principles</w:t>
            </w:r>
          </w:p>
        </w:tc>
      </w:tr>
      <w:tr w:rsidR="00D57CA9" w:rsidTr="00D57CA9">
        <w:tc>
          <w:tcPr>
            <w:tcW w:w="4349" w:type="dxa"/>
          </w:tcPr>
          <w:p w:rsidR="00D57CA9" w:rsidRPr="00D57CA9" w:rsidRDefault="00D57CA9" w:rsidP="00D57CA9">
            <w:pPr>
              <w:numPr>
                <w:ilvl w:val="0"/>
                <w:numId w:val="25"/>
              </w:numPr>
            </w:pPr>
            <w:r w:rsidRPr="00D57CA9">
              <w:t>SAIDI</w:t>
            </w:r>
          </w:p>
        </w:tc>
        <w:tc>
          <w:tcPr>
            <w:tcW w:w="4344" w:type="dxa"/>
          </w:tcPr>
          <w:p w:rsidR="00D57CA9" w:rsidRPr="00D57CA9" w:rsidRDefault="00D57CA9" w:rsidP="00D57CA9">
            <w:pPr>
              <w:numPr>
                <w:ilvl w:val="0"/>
                <w:numId w:val="25"/>
              </w:numPr>
            </w:pPr>
            <w:r w:rsidRPr="00D57CA9">
              <w:t>system average interruption duration index</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SAIFI</w:t>
            </w:r>
          </w:p>
        </w:tc>
        <w:tc>
          <w:tcPr>
            <w:tcW w:w="4344" w:type="dxa"/>
          </w:tcPr>
          <w:p w:rsidR="00D57CA9" w:rsidRPr="00D57CA9" w:rsidRDefault="00D57CA9" w:rsidP="00D57CA9">
            <w:pPr>
              <w:numPr>
                <w:ilvl w:val="0"/>
                <w:numId w:val="25"/>
              </w:numPr>
            </w:pPr>
            <w:r w:rsidRPr="00D57CA9">
              <w:t>system average interruption frequency index</w:t>
            </w:r>
          </w:p>
        </w:tc>
      </w:tr>
      <w:tr w:rsidR="00D57CA9" w:rsidTr="00D57CA9">
        <w:tc>
          <w:tcPr>
            <w:tcW w:w="4349" w:type="dxa"/>
          </w:tcPr>
          <w:p w:rsidR="00D57CA9" w:rsidRPr="00D57CA9" w:rsidRDefault="00D57CA9" w:rsidP="00D57CA9">
            <w:pPr>
              <w:numPr>
                <w:ilvl w:val="0"/>
                <w:numId w:val="25"/>
              </w:numPr>
            </w:pPr>
            <w:r w:rsidRPr="00D57CA9">
              <w:t>SLCAPM</w:t>
            </w:r>
          </w:p>
        </w:tc>
        <w:tc>
          <w:tcPr>
            <w:tcW w:w="4344" w:type="dxa"/>
          </w:tcPr>
          <w:p w:rsidR="00D57CA9" w:rsidRPr="00D57CA9" w:rsidRDefault="00D57CA9" w:rsidP="00D57CA9">
            <w:pPr>
              <w:numPr>
                <w:ilvl w:val="0"/>
                <w:numId w:val="25"/>
              </w:numPr>
            </w:pPr>
            <w:r w:rsidRPr="00D57CA9">
              <w:t>Sharpe-</w:t>
            </w:r>
            <w:proofErr w:type="spellStart"/>
            <w:r w:rsidRPr="00D57CA9">
              <w:t>Lintner</w:t>
            </w:r>
            <w:proofErr w:type="spellEnd"/>
            <w:r w:rsidRPr="00D57CA9">
              <w:t xml:space="preserve"> capital asset pricing model</w:t>
            </w:r>
          </w:p>
        </w:tc>
      </w:tr>
      <w:tr w:rsidR="00D57CA9" w:rsidTr="00D57CA9">
        <w:trPr>
          <w:cnfStyle w:val="000000010000" w:firstRow="0" w:lastRow="0" w:firstColumn="0" w:lastColumn="0" w:oddVBand="0" w:evenVBand="0" w:oddHBand="0" w:evenHBand="1" w:firstRowFirstColumn="0" w:firstRowLastColumn="0" w:lastRowFirstColumn="0" w:lastRowLastColumn="0"/>
        </w:trPr>
        <w:tc>
          <w:tcPr>
            <w:tcW w:w="4349" w:type="dxa"/>
          </w:tcPr>
          <w:p w:rsidR="00D57CA9" w:rsidRPr="00D57CA9" w:rsidRDefault="00D57CA9" w:rsidP="00D57CA9">
            <w:pPr>
              <w:numPr>
                <w:ilvl w:val="0"/>
                <w:numId w:val="25"/>
              </w:numPr>
            </w:pPr>
            <w:r w:rsidRPr="00D57CA9">
              <w:t>STPIS</w:t>
            </w:r>
          </w:p>
        </w:tc>
        <w:tc>
          <w:tcPr>
            <w:tcW w:w="4344" w:type="dxa"/>
          </w:tcPr>
          <w:p w:rsidR="00D57CA9" w:rsidRPr="00D57CA9" w:rsidRDefault="00D57CA9" w:rsidP="00D57CA9">
            <w:pPr>
              <w:numPr>
                <w:ilvl w:val="0"/>
                <w:numId w:val="25"/>
              </w:numPr>
            </w:pPr>
            <w:r w:rsidRPr="00D57CA9">
              <w:t>service target performance incentive scheme</w:t>
            </w:r>
          </w:p>
        </w:tc>
      </w:tr>
      <w:tr w:rsidR="00D57CA9" w:rsidTr="00D57CA9">
        <w:tc>
          <w:tcPr>
            <w:tcW w:w="4349" w:type="dxa"/>
          </w:tcPr>
          <w:p w:rsidR="00D57CA9" w:rsidRPr="00D57CA9" w:rsidRDefault="00D57CA9" w:rsidP="00D57CA9">
            <w:pPr>
              <w:numPr>
                <w:ilvl w:val="0"/>
                <w:numId w:val="25"/>
              </w:numPr>
            </w:pPr>
            <w:r w:rsidRPr="00D57CA9">
              <w:t>WACC</w:t>
            </w:r>
          </w:p>
        </w:tc>
        <w:tc>
          <w:tcPr>
            <w:tcW w:w="4344" w:type="dxa"/>
          </w:tcPr>
          <w:p w:rsidR="00D57CA9" w:rsidRPr="00D57CA9" w:rsidRDefault="00D57CA9" w:rsidP="00D57CA9">
            <w:pPr>
              <w:numPr>
                <w:ilvl w:val="0"/>
                <w:numId w:val="25"/>
              </w:numPr>
            </w:pPr>
            <w:r w:rsidRPr="00D57CA9">
              <w:t>weighted average cost of capital</w:t>
            </w:r>
          </w:p>
        </w:tc>
      </w:tr>
    </w:tbl>
    <w:p w:rsidR="00DE563D" w:rsidRPr="00436A39" w:rsidRDefault="00DE563D" w:rsidP="00DE563D">
      <w:pPr>
        <w:numPr>
          <w:ilvl w:val="0"/>
          <w:numId w:val="25"/>
        </w:numPr>
      </w:pPr>
    </w:p>
    <w:p w:rsidR="00DE563D" w:rsidRDefault="00DE563D" w:rsidP="00DE563D"/>
    <w:p w:rsidR="00DE563D" w:rsidRDefault="00CF0DEE" w:rsidP="00CF0DEE">
      <w:pPr>
        <w:pStyle w:val="Heading1"/>
      </w:pPr>
      <w:bookmarkStart w:id="10" w:name="_Toc416172654"/>
      <w:r>
        <w:lastRenderedPageBreak/>
        <w:t>Annual revenue requirement</w:t>
      </w:r>
      <w:bookmarkEnd w:id="10"/>
    </w:p>
    <w:p w:rsidR="002F03BD" w:rsidRPr="00FE6EA4" w:rsidRDefault="002F03BD" w:rsidP="002F03BD">
      <w:pPr>
        <w:numPr>
          <w:ilvl w:val="0"/>
          <w:numId w:val="25"/>
        </w:numPr>
      </w:pPr>
      <w:r w:rsidRPr="00FE6EA4">
        <w:t>The annual revenue requirement (ARR) is the sum of the various building block costs for each year of th</w:t>
      </w:r>
      <w:r w:rsidR="009B1095">
        <w:t>e regulatory control</w:t>
      </w:r>
      <w:r w:rsidRPr="00FE6EA4">
        <w:t xml:space="preserve"> period before smoothing. The ARRs are smoothed across the period to reduce fluctuations between years and to determine expected revenues for each year. The expected revenues are the amounts that Essential Energy will target for annual pricing purposes</w:t>
      </w:r>
      <w:r w:rsidR="009B1095">
        <w:t xml:space="preserve"> and </w:t>
      </w:r>
      <w:r w:rsidR="009B1095" w:rsidRPr="00F95B9F">
        <w:t xml:space="preserve">recover from </w:t>
      </w:r>
      <w:r w:rsidR="009B1095">
        <w:t xml:space="preserve">customers for </w:t>
      </w:r>
      <w:r w:rsidR="009B1095" w:rsidRPr="00F95B9F">
        <w:t>the provision of standard control services for each year of the regulatory control period</w:t>
      </w:r>
      <w:r w:rsidRPr="00FE6EA4">
        <w:t xml:space="preserve">. This attachment sets out our </w:t>
      </w:r>
      <w:r>
        <w:t>final</w:t>
      </w:r>
      <w:r w:rsidRPr="00FE6EA4">
        <w:t xml:space="preserve"> decision on Essential Energy's ARRs </w:t>
      </w:r>
      <w:r>
        <w:t xml:space="preserve">for the 2014–19 period </w:t>
      </w:r>
      <w:r w:rsidRPr="00FE6EA4">
        <w:t>and expected revenues for the 201</w:t>
      </w:r>
      <w:r>
        <w:t>5</w:t>
      </w:r>
      <w:r w:rsidRPr="00FE6EA4">
        <w:t xml:space="preserve">–19 </w:t>
      </w:r>
      <w:r>
        <w:t xml:space="preserve">regulatory control </w:t>
      </w:r>
      <w:r w:rsidRPr="00FE6EA4">
        <w:t>period.</w:t>
      </w:r>
      <w:r w:rsidR="00DC66FA">
        <w:t xml:space="preserve"> We consider these two periods to account for the 2014–15 transitional year that was set out in the transitional rules.</w:t>
      </w:r>
    </w:p>
    <w:p w:rsidR="00DE563D" w:rsidRPr="001754EE" w:rsidRDefault="00415F31" w:rsidP="001754EE">
      <w:pPr>
        <w:pStyle w:val="Heading2"/>
      </w:pPr>
      <w:bookmarkStart w:id="11" w:name="_Toc403144136"/>
      <w:bookmarkStart w:id="12" w:name="_Toc416172655"/>
      <w:r w:rsidRPr="001754EE">
        <w:t>Final</w:t>
      </w:r>
      <w:r w:rsidR="00DE563D" w:rsidRPr="001754EE">
        <w:t xml:space="preserve"> decision</w:t>
      </w:r>
      <w:bookmarkEnd w:id="11"/>
      <w:bookmarkEnd w:id="12"/>
    </w:p>
    <w:p w:rsidR="002F03BD" w:rsidRDefault="002F03BD" w:rsidP="002F03BD">
      <w:pPr>
        <w:numPr>
          <w:ilvl w:val="0"/>
          <w:numId w:val="25"/>
        </w:numPr>
      </w:pPr>
      <w:bookmarkStart w:id="13" w:name="_Toc403144137"/>
      <w:r w:rsidRPr="001615F2">
        <w:t xml:space="preserve">We do not accept </w:t>
      </w:r>
      <w:r>
        <w:t>Essential</w:t>
      </w:r>
      <w:r w:rsidRPr="001615F2">
        <w:t xml:space="preserve"> Energy's </w:t>
      </w:r>
      <w:r>
        <w:t xml:space="preserve">revised </w:t>
      </w:r>
      <w:r w:rsidRPr="001615F2">
        <w:t xml:space="preserve">proposed total </w:t>
      </w:r>
      <w:r>
        <w:t>revenue requirement</w:t>
      </w:r>
      <w:r>
        <w:rPr>
          <w:rStyle w:val="FootnoteReference"/>
        </w:rPr>
        <w:footnoteReference w:id="1"/>
      </w:r>
      <w:r w:rsidRPr="001615F2">
        <w:t xml:space="preserve"> of $</w:t>
      </w:r>
      <w:r>
        <w:t>68</w:t>
      </w:r>
      <w:r w:rsidR="007D620A">
        <w:t>46.1</w:t>
      </w:r>
      <w:r w:rsidRPr="001615F2">
        <w:t xml:space="preserve"> million ($ nominal) over the 2014–19 period. </w:t>
      </w:r>
      <w:r w:rsidR="009B1095">
        <w:t>This is because we have not accepted the building block costs that Essential Energy proposed in its revised proposal</w:t>
      </w:r>
      <w:r>
        <w:t xml:space="preserve">. </w:t>
      </w:r>
      <w:r w:rsidRPr="001615F2">
        <w:t xml:space="preserve">We determine </w:t>
      </w:r>
      <w:r>
        <w:t xml:space="preserve">a </w:t>
      </w:r>
      <w:r w:rsidRPr="001615F2">
        <w:t xml:space="preserve">total </w:t>
      </w:r>
      <w:r>
        <w:t>revenue requirement for Essential Energy</w:t>
      </w:r>
      <w:r w:rsidRPr="001615F2">
        <w:t xml:space="preserve"> of $</w:t>
      </w:r>
      <w:r>
        <w:t>5</w:t>
      </w:r>
      <w:r w:rsidR="00F666FF">
        <w:t>1</w:t>
      </w:r>
      <w:r w:rsidR="008C4FFA">
        <w:t>7</w:t>
      </w:r>
      <w:r w:rsidR="005457A0">
        <w:t>6.</w:t>
      </w:r>
      <w:r w:rsidR="006A2B0A">
        <w:t>0</w:t>
      </w:r>
      <w:r w:rsidRPr="001615F2">
        <w:t xml:space="preserve"> million ($ nominal) for the 2014–19 period. This </w:t>
      </w:r>
      <w:r>
        <w:t xml:space="preserve">is a reduction </w:t>
      </w:r>
      <w:r w:rsidRPr="001615F2">
        <w:t>of $</w:t>
      </w:r>
      <w:r>
        <w:t>1</w:t>
      </w:r>
      <w:r w:rsidR="00F666FF">
        <w:t>6</w:t>
      </w:r>
      <w:r w:rsidR="006A2B0A">
        <w:t>70.1</w:t>
      </w:r>
      <w:r>
        <w:t xml:space="preserve"> </w:t>
      </w:r>
      <w:r w:rsidRPr="001615F2">
        <w:t xml:space="preserve">million ($ nominal) </w:t>
      </w:r>
      <w:r>
        <w:t>or</w:t>
      </w:r>
      <w:r w:rsidRPr="001615F2">
        <w:t xml:space="preserve"> </w:t>
      </w:r>
      <w:r w:rsidR="00F666FF">
        <w:t>24.</w:t>
      </w:r>
      <w:r w:rsidR="008C4FFA">
        <w:t>4</w:t>
      </w:r>
      <w:r w:rsidRPr="001615F2">
        <w:t xml:space="preserve"> per cent </w:t>
      </w:r>
      <w:r>
        <w:t>to</w:t>
      </w:r>
      <w:r w:rsidRPr="001615F2">
        <w:t xml:space="preserve"> </w:t>
      </w:r>
      <w:r>
        <w:t>Essential</w:t>
      </w:r>
      <w:r w:rsidRPr="001615F2">
        <w:t xml:space="preserve"> Energy's </w:t>
      </w:r>
      <w:r w:rsidR="007D620A">
        <w:t xml:space="preserve">revised </w:t>
      </w:r>
      <w:r w:rsidRPr="001615F2">
        <w:t xml:space="preserve">proposal </w:t>
      </w:r>
      <w:r>
        <w:t xml:space="preserve">and </w:t>
      </w:r>
      <w:r w:rsidRPr="001615F2">
        <w:t xml:space="preserve">reflects the impact of our </w:t>
      </w:r>
      <w:r w:rsidR="007D620A">
        <w:t>final</w:t>
      </w:r>
      <w:r w:rsidRPr="001615F2">
        <w:t xml:space="preserve"> decisions on the various building block co</w:t>
      </w:r>
      <w:r>
        <w:t>st</w:t>
      </w:r>
      <w:r w:rsidRPr="001615F2">
        <w:t>s.</w:t>
      </w:r>
      <w:r w:rsidRPr="00381CEC">
        <w:t xml:space="preserve"> </w:t>
      </w:r>
    </w:p>
    <w:p w:rsidR="002F03BD" w:rsidRDefault="009B1095" w:rsidP="002F03BD">
      <w:pPr>
        <w:numPr>
          <w:ilvl w:val="0"/>
          <w:numId w:val="25"/>
        </w:numPr>
      </w:pPr>
      <w:r>
        <w:t>W</w:t>
      </w:r>
      <w:r w:rsidR="002F03BD">
        <w:t>e approved in our transitional determination</w:t>
      </w:r>
      <w:r>
        <w:t xml:space="preserve"> the placeholder revenue for 2014–15 of $1291.7 million for Essential Energy.</w:t>
      </w:r>
      <w:r>
        <w:rPr>
          <w:rStyle w:val="FootnoteReference"/>
        </w:rPr>
        <w:footnoteReference w:id="2"/>
      </w:r>
      <w:r>
        <w:t xml:space="preserve"> Under the transitional rules, we are required to determine the ARR for 2014–15 as part of this full determination process and do a true-up for the difference between the placeholder revenue and the ARR. We have now determined the ARR for 2014–15 of</w:t>
      </w:r>
      <w:r w:rsidR="002F03BD">
        <w:t xml:space="preserve"> $</w:t>
      </w:r>
      <w:r w:rsidR="00F666FF">
        <w:t>97</w:t>
      </w:r>
      <w:r w:rsidR="005457A0">
        <w:t>6.1</w:t>
      </w:r>
      <w:r w:rsidR="002F03BD">
        <w:t xml:space="preserve"> million for </w:t>
      </w:r>
      <w:r>
        <w:t>Essential Energy</w:t>
      </w:r>
      <w:r w:rsidR="002F03BD">
        <w:t xml:space="preserve">. </w:t>
      </w:r>
      <w:r>
        <w:t>The difference is therefore</w:t>
      </w:r>
      <w:r w:rsidR="002F03BD">
        <w:t xml:space="preserve"> $</w:t>
      </w:r>
      <w:r w:rsidR="00F666FF">
        <w:t>31</w:t>
      </w:r>
      <w:r w:rsidR="005457A0">
        <w:t>5.6</w:t>
      </w:r>
      <w:r w:rsidR="002F03BD">
        <w:t xml:space="preserve"> million. We have applied this </w:t>
      </w:r>
      <w:r>
        <w:t>difference</w:t>
      </w:r>
      <w:r w:rsidR="002F03BD">
        <w:t xml:space="preserve"> as part of the smoothing process to establish the annual expected revenue for the 2015–19 regulatory control </w:t>
      </w:r>
      <w:proofErr w:type="gramStart"/>
      <w:r w:rsidR="002F03BD">
        <w:t>period</w:t>
      </w:r>
      <w:proofErr w:type="gramEnd"/>
      <w:r w:rsidR="002F03BD">
        <w:t>.</w:t>
      </w:r>
    </w:p>
    <w:p w:rsidR="002F03BD" w:rsidRDefault="002F03BD" w:rsidP="002F03BD">
      <w:pPr>
        <w:numPr>
          <w:ilvl w:val="0"/>
          <w:numId w:val="25"/>
        </w:numPr>
      </w:pPr>
      <w:r>
        <w:t xml:space="preserve">As a result of our smoothing of the ARRs, our </w:t>
      </w:r>
      <w:r w:rsidR="007D620A">
        <w:t>final</w:t>
      </w:r>
      <w:r>
        <w:t xml:space="preserve"> decision on the annual expected revenue and X factor for each regulatory year of the 2015–19 regulatory control </w:t>
      </w:r>
      <w:proofErr w:type="gramStart"/>
      <w:r>
        <w:t>period</w:t>
      </w:r>
      <w:proofErr w:type="gramEnd"/>
      <w:r>
        <w:t xml:space="preserve"> is set out in </w:t>
      </w:r>
      <w:r>
        <w:fldChar w:fldCharType="begin"/>
      </w:r>
      <w:r>
        <w:instrText xml:space="preserve"> REF _Ref397598046 \h </w:instrText>
      </w:r>
      <w:r>
        <w:fldChar w:fldCharType="separate"/>
      </w:r>
      <w:r w:rsidR="00C836EF" w:rsidRPr="001615F2">
        <w:t xml:space="preserve">Table </w:t>
      </w:r>
      <w:r w:rsidR="00C836EF">
        <w:rPr>
          <w:noProof/>
        </w:rPr>
        <w:t>1</w:t>
      </w:r>
      <w:r w:rsidR="00C836EF">
        <w:t>.</w:t>
      </w:r>
      <w:r w:rsidR="00C836EF">
        <w:rPr>
          <w:noProof/>
        </w:rPr>
        <w:t>1</w:t>
      </w:r>
      <w:r>
        <w:fldChar w:fldCharType="end"/>
      </w:r>
      <w:r>
        <w:t xml:space="preserve">. Our </w:t>
      </w:r>
      <w:r w:rsidR="007D620A">
        <w:t>final</w:t>
      </w:r>
      <w:r>
        <w:t xml:space="preserve"> decision is to approve total expected revenues (smoothed) of $</w:t>
      </w:r>
      <w:r w:rsidR="00F666FF">
        <w:t>38</w:t>
      </w:r>
      <w:r w:rsidR="008C4FFA">
        <w:t>2</w:t>
      </w:r>
      <w:r w:rsidR="005457A0">
        <w:t>6.</w:t>
      </w:r>
      <w:r w:rsidR="006A2B0A">
        <w:t>1</w:t>
      </w:r>
      <w:r>
        <w:t xml:space="preserve"> million ($ nominal) for the 2015–19 period.</w:t>
      </w:r>
      <w:r>
        <w:rPr>
          <w:rStyle w:val="FootnoteReference"/>
        </w:rPr>
        <w:footnoteReference w:id="3"/>
      </w:r>
      <w:r>
        <w:t xml:space="preserve"> </w:t>
      </w:r>
    </w:p>
    <w:p w:rsidR="002F03BD" w:rsidRPr="001615F2" w:rsidRDefault="002F03BD" w:rsidP="002F03BD">
      <w:pPr>
        <w:numPr>
          <w:ilvl w:val="0"/>
          <w:numId w:val="25"/>
        </w:numPr>
      </w:pPr>
      <w:r w:rsidRPr="001615F2">
        <w:fldChar w:fldCharType="begin"/>
      </w:r>
      <w:r w:rsidRPr="001615F2">
        <w:instrText xml:space="preserve"> REF _Ref397598037 \h </w:instrText>
      </w:r>
      <w:r w:rsidRPr="001615F2">
        <w:fldChar w:fldCharType="separate"/>
      </w:r>
      <w:r w:rsidR="00C836EF" w:rsidRPr="001615F2">
        <w:t xml:space="preserve">Figure </w:t>
      </w:r>
      <w:r w:rsidR="00C836EF">
        <w:rPr>
          <w:noProof/>
        </w:rPr>
        <w:t>1</w:t>
      </w:r>
      <w:r w:rsidR="00C836EF">
        <w:t>.</w:t>
      </w:r>
      <w:r w:rsidR="00C836EF">
        <w:rPr>
          <w:noProof/>
        </w:rPr>
        <w:t>1</w:t>
      </w:r>
      <w:r w:rsidRPr="001615F2">
        <w:fldChar w:fldCharType="end"/>
      </w:r>
      <w:r w:rsidRPr="001615F2">
        <w:t xml:space="preserve"> shows the difference between </w:t>
      </w:r>
      <w:r>
        <w:t>Essential</w:t>
      </w:r>
      <w:r w:rsidRPr="001615F2">
        <w:t xml:space="preserve"> Energy's </w:t>
      </w:r>
      <w:r w:rsidR="00F666FF">
        <w:t xml:space="preserve">revised </w:t>
      </w:r>
      <w:r w:rsidRPr="001615F2">
        <w:t>proposal and our decision</w:t>
      </w:r>
      <w:r w:rsidR="007D620A">
        <w:t xml:space="preserve"> (draft and final)</w:t>
      </w:r>
      <w:r w:rsidRPr="001615F2">
        <w:t xml:space="preserve">. </w:t>
      </w:r>
    </w:p>
    <w:p w:rsidR="002F03BD" w:rsidRPr="001615F2" w:rsidRDefault="002F03BD" w:rsidP="002F03BD">
      <w:pPr>
        <w:pStyle w:val="Caption"/>
      </w:pPr>
      <w:bookmarkStart w:id="14" w:name="_Ref397598037"/>
      <w:proofErr w:type="gramStart"/>
      <w:r w:rsidRPr="001615F2">
        <w:lastRenderedPageBreak/>
        <w:t xml:space="preserve">Figure </w:t>
      </w:r>
      <w:proofErr w:type="gramEnd"/>
      <w:r w:rsidRPr="00020DFC">
        <w:fldChar w:fldCharType="begin"/>
      </w:r>
      <w:r>
        <w:instrText xml:space="preserve"> STYLEREF 1 \s </w:instrText>
      </w:r>
      <w:r w:rsidRPr="00020DFC">
        <w:fldChar w:fldCharType="separate"/>
      </w:r>
      <w:r w:rsidR="00C836EF">
        <w:rPr>
          <w:noProof/>
        </w:rPr>
        <w:t>1</w:t>
      </w:r>
      <w:r w:rsidRPr="00020DFC">
        <w:fldChar w:fldCharType="end"/>
      </w:r>
      <w:proofErr w:type="gramStart"/>
      <w:r w:rsidR="00DA055C">
        <w:t>.</w:t>
      </w:r>
      <w:proofErr w:type="gramEnd"/>
      <w:r w:rsidRPr="00020DFC">
        <w:fldChar w:fldCharType="begin"/>
      </w:r>
      <w:r>
        <w:instrText xml:space="preserve"> SEQ Figure \* ARABIC \s 1 </w:instrText>
      </w:r>
      <w:r w:rsidRPr="00020DFC">
        <w:fldChar w:fldCharType="separate"/>
      </w:r>
      <w:r w:rsidR="00C836EF">
        <w:rPr>
          <w:noProof/>
        </w:rPr>
        <w:t>1</w:t>
      </w:r>
      <w:r w:rsidRPr="00020DFC">
        <w:fldChar w:fldCharType="end"/>
      </w:r>
      <w:bookmarkEnd w:id="14"/>
      <w:r w:rsidRPr="001615F2">
        <w:tab/>
        <w:t>AER</w:t>
      </w:r>
      <w:r>
        <w:t>'s</w:t>
      </w:r>
      <w:r w:rsidRPr="001615F2">
        <w:t xml:space="preserve"> </w:t>
      </w:r>
      <w:r w:rsidR="007D620A">
        <w:t xml:space="preserve">final </w:t>
      </w:r>
      <w:r w:rsidRPr="001615F2">
        <w:t xml:space="preserve">decision on </w:t>
      </w:r>
      <w:r>
        <w:t>Essential</w:t>
      </w:r>
      <w:r w:rsidRPr="001615F2">
        <w:t xml:space="preserve"> Energy's revenues</w:t>
      </w:r>
      <w:r>
        <w:t xml:space="preserve"> for the</w:t>
      </w:r>
      <w:r w:rsidRPr="001615F2">
        <w:t xml:space="preserve"> 2014–19 </w:t>
      </w:r>
      <w:r>
        <w:t xml:space="preserve">period </w:t>
      </w:r>
      <w:r w:rsidRPr="001615F2">
        <w:t>($million, nominal)</w:t>
      </w:r>
    </w:p>
    <w:p w:rsidR="002F03BD" w:rsidRPr="00020DFC" w:rsidRDefault="006A2B0A" w:rsidP="006A2B0A">
      <w:pPr>
        <w:numPr>
          <w:ilvl w:val="0"/>
          <w:numId w:val="25"/>
        </w:numPr>
        <w:rPr>
          <w:rStyle w:val="CommentReference"/>
        </w:rPr>
      </w:pPr>
      <w:r w:rsidRPr="006A2B0A">
        <w:rPr>
          <w:noProof/>
          <w:lang w:eastAsia="en-AU"/>
        </w:rPr>
        <w:drawing>
          <wp:inline distT="0" distB="0" distL="0" distR="0" wp14:anchorId="590F90A9" wp14:editId="452D9669">
            <wp:extent cx="5382895" cy="356091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560915"/>
                    </a:xfrm>
                    <a:prstGeom prst="rect">
                      <a:avLst/>
                    </a:prstGeom>
                    <a:noFill/>
                    <a:ln>
                      <a:noFill/>
                    </a:ln>
                  </pic:spPr>
                </pic:pic>
              </a:graphicData>
            </a:graphic>
          </wp:inline>
        </w:drawing>
      </w:r>
    </w:p>
    <w:p w:rsidR="002F03BD" w:rsidRPr="00E44BE0" w:rsidRDefault="002F03BD" w:rsidP="002F03BD">
      <w:pPr>
        <w:pStyle w:val="AERtablesource"/>
      </w:pPr>
      <w:r>
        <w:t>Source:</w:t>
      </w:r>
      <w:r>
        <w:tab/>
      </w:r>
      <w:r w:rsidR="009761BF" w:rsidRPr="00E44BE0">
        <w:t>AER analysis</w:t>
      </w:r>
      <w:r w:rsidR="009761BF">
        <w:t xml:space="preserve">; </w:t>
      </w:r>
      <w:r>
        <w:t>Essential E</w:t>
      </w:r>
      <w:r w:rsidRPr="00E44BE0">
        <w:t xml:space="preserve">nergy, </w:t>
      </w:r>
      <w:r w:rsidRPr="00E44BE0">
        <w:rPr>
          <w:rStyle w:val="AERtextitalic"/>
        </w:rPr>
        <w:t>Regulatory proposal</w:t>
      </w:r>
      <w:r>
        <w:t>, May</w:t>
      </w:r>
      <w:r w:rsidR="009761BF">
        <w:t xml:space="preserve"> 2014, Attachment 4.1; </w:t>
      </w:r>
      <w:r w:rsidR="009761BF">
        <w:tab/>
        <w:t>Essential E</w:t>
      </w:r>
      <w:r w:rsidR="009761BF" w:rsidRPr="00E44BE0">
        <w:t xml:space="preserve">nergy, </w:t>
      </w:r>
      <w:r w:rsidR="009761BF" w:rsidRPr="00E44BE0">
        <w:rPr>
          <w:rStyle w:val="AERtextitalic"/>
        </w:rPr>
        <w:t>R</w:t>
      </w:r>
      <w:r w:rsidR="009761BF">
        <w:rPr>
          <w:rStyle w:val="AERtextitalic"/>
        </w:rPr>
        <w:t>evised r</w:t>
      </w:r>
      <w:r w:rsidR="009761BF" w:rsidRPr="00E44BE0">
        <w:rPr>
          <w:rStyle w:val="AERtextitalic"/>
        </w:rPr>
        <w:t>egulatory proposal</w:t>
      </w:r>
      <w:r w:rsidR="009761BF">
        <w:t>, January</w:t>
      </w:r>
      <w:r w:rsidR="009761BF" w:rsidRPr="00E44BE0">
        <w:t xml:space="preserve"> 201</w:t>
      </w:r>
      <w:r w:rsidR="009761BF">
        <w:t>5</w:t>
      </w:r>
      <w:r w:rsidR="009761BF" w:rsidRPr="00E44BE0">
        <w:t xml:space="preserve">, Attachment </w:t>
      </w:r>
      <w:r w:rsidR="009761BF">
        <w:t>5</w:t>
      </w:r>
      <w:r w:rsidR="009761BF" w:rsidRPr="00E44BE0">
        <w:t>.</w:t>
      </w:r>
      <w:r w:rsidR="009761BF">
        <w:t>5.</w:t>
      </w:r>
    </w:p>
    <w:p w:rsidR="002F03BD" w:rsidRPr="001615F2" w:rsidRDefault="002F03BD" w:rsidP="002F03BD">
      <w:pPr>
        <w:numPr>
          <w:ilvl w:val="0"/>
          <w:numId w:val="25"/>
        </w:numPr>
      </w:pPr>
      <w:r w:rsidRPr="001615F2">
        <w:fldChar w:fldCharType="begin"/>
      </w:r>
      <w:r w:rsidRPr="001615F2">
        <w:instrText xml:space="preserve"> REF _Ref397598046 \h </w:instrText>
      </w:r>
      <w:r w:rsidRPr="001615F2">
        <w:fldChar w:fldCharType="separate"/>
      </w:r>
      <w:r w:rsidR="00C836EF" w:rsidRPr="001615F2">
        <w:t xml:space="preserve">Table </w:t>
      </w:r>
      <w:r w:rsidR="00C836EF">
        <w:rPr>
          <w:noProof/>
        </w:rPr>
        <w:t>1</w:t>
      </w:r>
      <w:r w:rsidR="00C836EF">
        <w:t>.</w:t>
      </w:r>
      <w:r w:rsidR="00C836EF">
        <w:rPr>
          <w:noProof/>
        </w:rPr>
        <w:t>1</w:t>
      </w:r>
      <w:r w:rsidRPr="001615F2">
        <w:fldChar w:fldCharType="end"/>
      </w:r>
      <w:r w:rsidRPr="001615F2">
        <w:t xml:space="preserve"> shows our </w:t>
      </w:r>
      <w:r w:rsidR="007D620A">
        <w:t>final</w:t>
      </w:r>
      <w:r w:rsidRPr="001615F2">
        <w:t xml:space="preserve"> decision on the building block</w:t>
      </w:r>
      <w:r>
        <w:t xml:space="preserve"> cost</w:t>
      </w:r>
      <w:r w:rsidRPr="001615F2">
        <w:t>s</w:t>
      </w:r>
      <w:r w:rsidR="009B1095">
        <w:t>,</w:t>
      </w:r>
      <w:r w:rsidRPr="001615F2">
        <w:t xml:space="preserve"> the ARR</w:t>
      </w:r>
      <w:r w:rsidR="009B1095">
        <w:t>, annual expected revenue and X factor</w:t>
      </w:r>
      <w:r>
        <w:t xml:space="preserve"> for each year of the 2014–19 period</w:t>
      </w:r>
      <w:r w:rsidRPr="001615F2">
        <w:t>.</w:t>
      </w:r>
    </w:p>
    <w:p w:rsidR="002F03BD" w:rsidRPr="001615F2" w:rsidRDefault="002F03BD" w:rsidP="002F03BD">
      <w:pPr>
        <w:pStyle w:val="Caption"/>
      </w:pPr>
      <w:bookmarkStart w:id="15" w:name="_Ref397598046"/>
      <w:proofErr w:type="gramStart"/>
      <w:r w:rsidRPr="001615F2">
        <w:t xml:space="preserve">Table </w:t>
      </w:r>
      <w:proofErr w:type="gramEnd"/>
      <w:r w:rsidRPr="002F03BD">
        <w:fldChar w:fldCharType="begin"/>
      </w:r>
      <w:r>
        <w:instrText xml:space="preserve"> STYLEREF 1 \s </w:instrText>
      </w:r>
      <w:r w:rsidRPr="002F03BD">
        <w:fldChar w:fldCharType="separate"/>
      </w:r>
      <w:r w:rsidR="00C836EF">
        <w:rPr>
          <w:noProof/>
        </w:rPr>
        <w:t>1</w:t>
      </w:r>
      <w:r w:rsidRPr="002F03BD">
        <w:fldChar w:fldCharType="end"/>
      </w:r>
      <w:proofErr w:type="gramStart"/>
      <w:r w:rsidR="00DA055C">
        <w:t>.</w:t>
      </w:r>
      <w:proofErr w:type="gramEnd"/>
      <w:r w:rsidRPr="002F03BD">
        <w:fldChar w:fldCharType="begin"/>
      </w:r>
      <w:r>
        <w:instrText xml:space="preserve"> SEQ Table \* ARABIC \s 1 </w:instrText>
      </w:r>
      <w:r w:rsidRPr="002F03BD">
        <w:fldChar w:fldCharType="separate"/>
      </w:r>
      <w:r w:rsidR="00C836EF">
        <w:rPr>
          <w:noProof/>
        </w:rPr>
        <w:t>1</w:t>
      </w:r>
      <w:r w:rsidRPr="002F03BD">
        <w:fldChar w:fldCharType="end"/>
      </w:r>
      <w:bookmarkEnd w:id="15"/>
      <w:r w:rsidRPr="001615F2">
        <w:tab/>
        <w:t>AER</w:t>
      </w:r>
      <w:r>
        <w:t>'s</w:t>
      </w:r>
      <w:r w:rsidRPr="001615F2">
        <w:t xml:space="preserve"> </w:t>
      </w:r>
      <w:r w:rsidR="007D620A">
        <w:t>final</w:t>
      </w:r>
      <w:r w:rsidRPr="001615F2">
        <w:t xml:space="preserve"> decision on </w:t>
      </w:r>
      <w:r>
        <w:t>Essential</w:t>
      </w:r>
      <w:r w:rsidRPr="001615F2">
        <w:t xml:space="preserve"> Energy's </w:t>
      </w:r>
      <w:r>
        <w:t xml:space="preserve">annual </w:t>
      </w:r>
      <w:r w:rsidRPr="001615F2">
        <w:t>revenue requirement</w:t>
      </w:r>
      <w:r>
        <w:t xml:space="preserve"> for the</w:t>
      </w:r>
      <w:r w:rsidRPr="001615F2">
        <w:t xml:space="preserve"> 2014–19 </w:t>
      </w:r>
      <w:r>
        <w:t xml:space="preserve">period </w:t>
      </w:r>
      <w:r w:rsidRPr="001615F2">
        <w:t>($million, nominal)</w:t>
      </w:r>
    </w:p>
    <w:tbl>
      <w:tblPr>
        <w:tblStyle w:val="AERtable-numbers"/>
        <w:tblW w:w="5000" w:type="pct"/>
        <w:tblLayout w:type="fixed"/>
        <w:tblLook w:val="04A0" w:firstRow="1" w:lastRow="0" w:firstColumn="1" w:lastColumn="0" w:noHBand="0" w:noVBand="1"/>
      </w:tblPr>
      <w:tblGrid>
        <w:gridCol w:w="3085"/>
        <w:gridCol w:w="934"/>
        <w:gridCol w:w="935"/>
        <w:gridCol w:w="935"/>
        <w:gridCol w:w="934"/>
        <w:gridCol w:w="935"/>
        <w:gridCol w:w="935"/>
      </w:tblGrid>
      <w:tr w:rsidR="00380CD9" w:rsidRPr="00380CD9" w:rsidTr="006A2B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2F03BD" w:rsidRPr="00380CD9" w:rsidRDefault="002F03BD" w:rsidP="00380CD9">
            <w:r w:rsidRPr="00380CD9">
              <w:t> </w:t>
            </w:r>
          </w:p>
        </w:tc>
        <w:tc>
          <w:tcPr>
            <w:tcW w:w="537" w:type="pct"/>
            <w:noWrap/>
            <w:hideMark/>
          </w:tcPr>
          <w:p w:rsidR="002F03BD" w:rsidRPr="00380CD9" w:rsidRDefault="002F03BD" w:rsidP="00380CD9">
            <w:pPr>
              <w:cnfStyle w:val="100000000000" w:firstRow="1" w:lastRow="0" w:firstColumn="0" w:lastColumn="0" w:oddVBand="0" w:evenVBand="0" w:oddHBand="0" w:evenHBand="0" w:firstRowFirstColumn="0" w:firstRowLastColumn="0" w:lastRowFirstColumn="0" w:lastRowLastColumn="0"/>
            </w:pPr>
            <w:r w:rsidRPr="00380CD9">
              <w:t>2014–15</w:t>
            </w:r>
          </w:p>
        </w:tc>
        <w:tc>
          <w:tcPr>
            <w:tcW w:w="538" w:type="pct"/>
            <w:noWrap/>
            <w:hideMark/>
          </w:tcPr>
          <w:p w:rsidR="002F03BD" w:rsidRPr="00380CD9" w:rsidRDefault="002F03BD" w:rsidP="00380CD9">
            <w:pPr>
              <w:cnfStyle w:val="100000000000" w:firstRow="1" w:lastRow="0" w:firstColumn="0" w:lastColumn="0" w:oddVBand="0" w:evenVBand="0" w:oddHBand="0" w:evenHBand="0" w:firstRowFirstColumn="0" w:firstRowLastColumn="0" w:lastRowFirstColumn="0" w:lastRowLastColumn="0"/>
            </w:pPr>
            <w:r w:rsidRPr="00380CD9">
              <w:t>2015–16</w:t>
            </w:r>
          </w:p>
        </w:tc>
        <w:tc>
          <w:tcPr>
            <w:tcW w:w="538" w:type="pct"/>
            <w:noWrap/>
            <w:hideMark/>
          </w:tcPr>
          <w:p w:rsidR="002F03BD" w:rsidRPr="00380CD9" w:rsidRDefault="002F03BD" w:rsidP="00380CD9">
            <w:pPr>
              <w:cnfStyle w:val="100000000000" w:firstRow="1" w:lastRow="0" w:firstColumn="0" w:lastColumn="0" w:oddVBand="0" w:evenVBand="0" w:oddHBand="0" w:evenHBand="0" w:firstRowFirstColumn="0" w:firstRowLastColumn="0" w:lastRowFirstColumn="0" w:lastRowLastColumn="0"/>
            </w:pPr>
            <w:r w:rsidRPr="00380CD9">
              <w:t>2016–17</w:t>
            </w:r>
          </w:p>
        </w:tc>
        <w:tc>
          <w:tcPr>
            <w:tcW w:w="537" w:type="pct"/>
            <w:noWrap/>
            <w:hideMark/>
          </w:tcPr>
          <w:p w:rsidR="002F03BD" w:rsidRPr="00380CD9" w:rsidRDefault="002F03BD" w:rsidP="00380CD9">
            <w:pPr>
              <w:cnfStyle w:val="100000000000" w:firstRow="1" w:lastRow="0" w:firstColumn="0" w:lastColumn="0" w:oddVBand="0" w:evenVBand="0" w:oddHBand="0" w:evenHBand="0" w:firstRowFirstColumn="0" w:firstRowLastColumn="0" w:lastRowFirstColumn="0" w:lastRowLastColumn="0"/>
            </w:pPr>
            <w:r w:rsidRPr="00380CD9">
              <w:t>2017–18</w:t>
            </w:r>
          </w:p>
        </w:tc>
        <w:tc>
          <w:tcPr>
            <w:tcW w:w="538" w:type="pct"/>
            <w:noWrap/>
            <w:hideMark/>
          </w:tcPr>
          <w:p w:rsidR="002F03BD" w:rsidRPr="00380CD9" w:rsidRDefault="002F03BD" w:rsidP="00380CD9">
            <w:pPr>
              <w:cnfStyle w:val="100000000000" w:firstRow="1" w:lastRow="0" w:firstColumn="0" w:lastColumn="0" w:oddVBand="0" w:evenVBand="0" w:oddHBand="0" w:evenHBand="0" w:firstRowFirstColumn="0" w:firstRowLastColumn="0" w:lastRowFirstColumn="0" w:lastRowLastColumn="0"/>
            </w:pPr>
            <w:r w:rsidRPr="00380CD9">
              <w:t>2018–19</w:t>
            </w:r>
          </w:p>
        </w:tc>
        <w:tc>
          <w:tcPr>
            <w:tcW w:w="538" w:type="pct"/>
            <w:noWrap/>
            <w:hideMark/>
          </w:tcPr>
          <w:p w:rsidR="002F03BD" w:rsidRPr="00380CD9" w:rsidRDefault="002F03BD" w:rsidP="00380CD9">
            <w:pPr>
              <w:cnfStyle w:val="100000000000" w:firstRow="1" w:lastRow="0" w:firstColumn="0" w:lastColumn="0" w:oddVBand="0" w:evenVBand="0" w:oddHBand="0" w:evenHBand="0" w:firstRowFirstColumn="0" w:firstRowLastColumn="0" w:lastRowFirstColumn="0" w:lastRowLastColumn="0"/>
            </w:pPr>
            <w:r w:rsidRPr="00380CD9">
              <w:t>Total</w:t>
            </w:r>
          </w:p>
        </w:tc>
      </w:tr>
      <w:tr w:rsidR="006A2B0A" w:rsidRPr="00380CD9" w:rsidTr="006A2B0A">
        <w:trPr>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6A2B0A" w:rsidRPr="006A2B0A" w:rsidRDefault="006A2B0A" w:rsidP="006A2B0A">
            <w:r w:rsidRPr="006A2B0A">
              <w:t>Return on capital</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456.9</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480.1</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507.2</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533.2</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558.6</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2535.9</w:t>
            </w:r>
          </w:p>
        </w:tc>
      </w:tr>
      <w:tr w:rsidR="006A2B0A" w:rsidRPr="00380CD9" w:rsidTr="006A2B0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6A2B0A" w:rsidRPr="006A2B0A" w:rsidRDefault="006A2B0A" w:rsidP="006A2B0A">
            <w:r w:rsidRPr="006A2B0A">
              <w:t>Regulatory depreciation</w:t>
            </w:r>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103.4</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122.0</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138.0</w:t>
            </w:r>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130.2</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138.9</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632.4</w:t>
            </w:r>
          </w:p>
        </w:tc>
      </w:tr>
      <w:tr w:rsidR="006A2B0A" w:rsidRPr="00380CD9" w:rsidTr="006A2B0A">
        <w:trPr>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6A2B0A" w:rsidRPr="006A2B0A" w:rsidRDefault="006A2B0A" w:rsidP="006A2B0A">
            <w:r w:rsidRPr="006A2B0A">
              <w:t>Operating expenditure</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327.4</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338.8</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350.5</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362.8</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375.6</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1755.2</w:t>
            </w:r>
          </w:p>
        </w:tc>
      </w:tr>
      <w:tr w:rsidR="006A2B0A" w:rsidRPr="00380CD9" w:rsidTr="006A2B0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6A2B0A" w:rsidRPr="006A2B0A" w:rsidRDefault="006A2B0A" w:rsidP="006A2B0A">
            <w:r w:rsidRPr="006A2B0A">
              <w:t xml:space="preserve">Revenue </w:t>
            </w:r>
            <w:proofErr w:type="spellStart"/>
            <w:r w:rsidRPr="006A2B0A">
              <w:t>adjustments</w:t>
            </w:r>
            <w:r w:rsidRPr="006A2B0A">
              <w:rPr>
                <w:rStyle w:val="AERsuperscript"/>
              </w:rPr>
              <w:t>a</w:t>
            </w:r>
            <w:proofErr w:type="spellEnd"/>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0.6</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0.6</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0.6</w:t>
            </w:r>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0.7</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0.7</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3.2</w:t>
            </w:r>
          </w:p>
        </w:tc>
      </w:tr>
      <w:tr w:rsidR="006A2B0A" w:rsidRPr="00380CD9" w:rsidTr="006A2B0A">
        <w:trPr>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6A2B0A" w:rsidRPr="006A2B0A" w:rsidRDefault="006A2B0A" w:rsidP="006A2B0A">
            <w:r w:rsidRPr="006A2B0A">
              <w:t>Net tax allowance</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35.5</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37.7</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42.7</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38.6</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42.5</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196.9</w:t>
            </w:r>
          </w:p>
        </w:tc>
      </w:tr>
      <w:tr w:rsidR="006A2B0A" w:rsidRPr="00380CD9" w:rsidTr="006A2B0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4" w:type="pct"/>
            <w:noWrap/>
          </w:tcPr>
          <w:p w:rsidR="006A2B0A" w:rsidRPr="006A2B0A" w:rsidRDefault="006A2B0A" w:rsidP="006A2B0A">
            <w:r w:rsidRPr="006A2B0A">
              <w:t xml:space="preserve">Metering, ANS &amp; ERW </w:t>
            </w:r>
            <w:proofErr w:type="spellStart"/>
            <w:r w:rsidRPr="006A2B0A">
              <w:t>costs</w:t>
            </w:r>
            <w:r w:rsidRPr="006A2B0A">
              <w:rPr>
                <w:rStyle w:val="AERsuperscript"/>
              </w:rPr>
              <w:t>b</w:t>
            </w:r>
            <w:proofErr w:type="spellEnd"/>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52.3</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n/a</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n/a</w:t>
            </w:r>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n/a</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n/a</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pPr>
            <w:r w:rsidRPr="006A2B0A">
              <w:t>52.3</w:t>
            </w:r>
          </w:p>
        </w:tc>
      </w:tr>
      <w:tr w:rsidR="006A2B0A" w:rsidRPr="00380CD9" w:rsidTr="006A2B0A">
        <w:trPr>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6A2B0A" w:rsidRPr="006A2B0A" w:rsidRDefault="006A2B0A" w:rsidP="006A2B0A">
            <w:r w:rsidRPr="006A2B0A">
              <w:t>Annual revenue requirement (unsmoothed)</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976.1</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979.2</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1039.1</w:t>
            </w:r>
          </w:p>
        </w:tc>
        <w:tc>
          <w:tcPr>
            <w:tcW w:w="537"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1065.4</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1116.2</w:t>
            </w:r>
          </w:p>
        </w:tc>
        <w:tc>
          <w:tcPr>
            <w:tcW w:w="538" w:type="pct"/>
            <w:noWrap/>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5176.0</w:t>
            </w:r>
          </w:p>
        </w:tc>
      </w:tr>
      <w:tr w:rsidR="006A2B0A" w:rsidRPr="006A2B0A" w:rsidTr="006A2B0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6A2B0A" w:rsidRPr="006A2B0A" w:rsidRDefault="006A2B0A" w:rsidP="006A2B0A">
            <w:pPr>
              <w:rPr>
                <w:rStyle w:val="Strong"/>
              </w:rPr>
            </w:pPr>
            <w:r w:rsidRPr="006A2B0A">
              <w:rPr>
                <w:rStyle w:val="Strong"/>
              </w:rPr>
              <w:t>Annual expected revenue (smoothed)</w:t>
            </w:r>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rPr>
                <w:rStyle w:val="Strong"/>
              </w:rPr>
            </w:pPr>
            <w:r w:rsidRPr="006A2B0A">
              <w:rPr>
                <w:rStyle w:val="Strong"/>
              </w:rPr>
              <w:t>1291.7</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rPr>
                <w:rStyle w:val="Strong"/>
              </w:rPr>
            </w:pPr>
            <w:r w:rsidRPr="006A2B0A">
              <w:rPr>
                <w:rStyle w:val="Strong"/>
              </w:rPr>
              <w:t>911.3</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rPr>
                <w:rStyle w:val="Strong"/>
              </w:rPr>
            </w:pPr>
            <w:r w:rsidRPr="006A2B0A">
              <w:rPr>
                <w:rStyle w:val="Strong"/>
              </w:rPr>
              <w:t>937.7</w:t>
            </w:r>
          </w:p>
        </w:tc>
        <w:tc>
          <w:tcPr>
            <w:tcW w:w="537"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rPr>
                <w:rStyle w:val="Strong"/>
              </w:rPr>
            </w:pPr>
            <w:r w:rsidRPr="006A2B0A">
              <w:rPr>
                <w:rStyle w:val="Strong"/>
              </w:rPr>
              <w:t>969.6</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rPr>
                <w:rStyle w:val="Strong"/>
              </w:rPr>
            </w:pPr>
            <w:r w:rsidRPr="006A2B0A">
              <w:rPr>
                <w:rStyle w:val="Strong"/>
              </w:rPr>
              <w:t>1007.5</w:t>
            </w:r>
          </w:p>
        </w:tc>
        <w:tc>
          <w:tcPr>
            <w:tcW w:w="538" w:type="pct"/>
            <w:noWrap/>
          </w:tcPr>
          <w:p w:rsidR="006A2B0A" w:rsidRPr="006A2B0A" w:rsidRDefault="006A2B0A" w:rsidP="006A2B0A">
            <w:pPr>
              <w:cnfStyle w:val="000000010000" w:firstRow="0" w:lastRow="0" w:firstColumn="0" w:lastColumn="0" w:oddVBand="0" w:evenVBand="0" w:oddHBand="0" w:evenHBand="1" w:firstRowFirstColumn="0" w:firstRowLastColumn="0" w:lastRowFirstColumn="0" w:lastRowLastColumn="0"/>
              <w:rPr>
                <w:rStyle w:val="Strong"/>
              </w:rPr>
            </w:pPr>
            <w:r w:rsidRPr="006A2B0A">
              <w:rPr>
                <w:rStyle w:val="Strong"/>
              </w:rPr>
              <w:t>5117.8</w:t>
            </w:r>
          </w:p>
        </w:tc>
      </w:tr>
      <w:tr w:rsidR="005457A0" w:rsidRPr="00380CD9" w:rsidTr="006A2B0A">
        <w:trPr>
          <w:trHeight w:val="300"/>
        </w:trPr>
        <w:tc>
          <w:tcPr>
            <w:cnfStyle w:val="001000000000" w:firstRow="0" w:lastRow="0" w:firstColumn="1" w:lastColumn="0" w:oddVBand="0" w:evenVBand="0" w:oddHBand="0" w:evenHBand="0" w:firstRowFirstColumn="0" w:firstRowLastColumn="0" w:lastRowFirstColumn="0" w:lastRowLastColumn="0"/>
            <w:tcW w:w="1774" w:type="pct"/>
            <w:noWrap/>
            <w:hideMark/>
          </w:tcPr>
          <w:p w:rsidR="005457A0" w:rsidRPr="005457A0" w:rsidRDefault="005457A0" w:rsidP="005457A0">
            <w:r w:rsidRPr="005457A0">
              <w:t xml:space="preserve">X </w:t>
            </w:r>
            <w:proofErr w:type="spellStart"/>
            <w:r w:rsidRPr="005457A0">
              <w:t>factor</w:t>
            </w:r>
            <w:r w:rsidRPr="005457A0">
              <w:rPr>
                <w:rStyle w:val="AERsuperscript"/>
              </w:rPr>
              <w:t>c</w:t>
            </w:r>
            <w:proofErr w:type="spellEnd"/>
          </w:p>
        </w:tc>
        <w:tc>
          <w:tcPr>
            <w:tcW w:w="537" w:type="pct"/>
            <w:noWrap/>
          </w:tcPr>
          <w:p w:rsidR="005457A0" w:rsidRPr="005457A0" w:rsidRDefault="005457A0" w:rsidP="005457A0">
            <w:pPr>
              <w:cnfStyle w:val="000000000000" w:firstRow="0" w:lastRow="0" w:firstColumn="0" w:lastColumn="0" w:oddVBand="0" w:evenVBand="0" w:oddHBand="0" w:evenHBand="0" w:firstRowFirstColumn="0" w:firstRowLastColumn="0" w:lastRowFirstColumn="0" w:lastRowLastColumn="0"/>
            </w:pPr>
            <w:r w:rsidRPr="005457A0">
              <w:t>n/a</w:t>
            </w:r>
            <w:r w:rsidR="00685E01" w:rsidRPr="00685E01">
              <w:rPr>
                <w:rStyle w:val="AERsuperscript"/>
              </w:rPr>
              <w:t>d</w:t>
            </w:r>
          </w:p>
        </w:tc>
        <w:tc>
          <w:tcPr>
            <w:tcW w:w="538" w:type="pct"/>
            <w:noWrap/>
          </w:tcPr>
          <w:p w:rsidR="005457A0" w:rsidRPr="005457A0" w:rsidRDefault="005457A0" w:rsidP="006A2B0A">
            <w:pPr>
              <w:cnfStyle w:val="000000000000" w:firstRow="0" w:lastRow="0" w:firstColumn="0" w:lastColumn="0" w:oddVBand="0" w:evenVBand="0" w:oddHBand="0" w:evenHBand="0" w:firstRowFirstColumn="0" w:firstRowLastColumn="0" w:lastRowFirstColumn="0" w:lastRowLastColumn="0"/>
            </w:pPr>
            <w:r w:rsidRPr="005457A0">
              <w:t>31.0</w:t>
            </w:r>
            <w:r w:rsidR="006A2B0A">
              <w:t>9</w:t>
            </w:r>
            <w:r w:rsidRPr="005457A0">
              <w:t>%</w:t>
            </w:r>
          </w:p>
        </w:tc>
        <w:tc>
          <w:tcPr>
            <w:tcW w:w="538" w:type="pct"/>
            <w:noWrap/>
          </w:tcPr>
          <w:p w:rsidR="005457A0" w:rsidRPr="005457A0" w:rsidRDefault="005457A0" w:rsidP="005457A0">
            <w:pPr>
              <w:cnfStyle w:val="000000000000" w:firstRow="0" w:lastRow="0" w:firstColumn="0" w:lastColumn="0" w:oddVBand="0" w:evenVBand="0" w:oddHBand="0" w:evenHBand="0" w:firstRowFirstColumn="0" w:firstRowLastColumn="0" w:lastRowFirstColumn="0" w:lastRowLastColumn="0"/>
            </w:pPr>
            <w:r w:rsidRPr="005457A0">
              <w:t>-0.50%</w:t>
            </w:r>
          </w:p>
        </w:tc>
        <w:tc>
          <w:tcPr>
            <w:tcW w:w="537" w:type="pct"/>
            <w:noWrap/>
          </w:tcPr>
          <w:p w:rsidR="005457A0" w:rsidRPr="005457A0" w:rsidRDefault="005457A0" w:rsidP="005457A0">
            <w:pPr>
              <w:cnfStyle w:val="000000000000" w:firstRow="0" w:lastRow="0" w:firstColumn="0" w:lastColumn="0" w:oddVBand="0" w:evenVBand="0" w:oddHBand="0" w:evenHBand="0" w:firstRowFirstColumn="0" w:firstRowLastColumn="0" w:lastRowFirstColumn="0" w:lastRowLastColumn="0"/>
            </w:pPr>
            <w:r w:rsidRPr="005457A0">
              <w:t>-1.00%</w:t>
            </w:r>
          </w:p>
        </w:tc>
        <w:tc>
          <w:tcPr>
            <w:tcW w:w="538" w:type="pct"/>
            <w:noWrap/>
          </w:tcPr>
          <w:p w:rsidR="005457A0" w:rsidRPr="005457A0" w:rsidRDefault="005457A0" w:rsidP="005457A0">
            <w:pPr>
              <w:cnfStyle w:val="000000000000" w:firstRow="0" w:lastRow="0" w:firstColumn="0" w:lastColumn="0" w:oddVBand="0" w:evenVBand="0" w:oddHBand="0" w:evenHBand="0" w:firstRowFirstColumn="0" w:firstRowLastColumn="0" w:lastRowFirstColumn="0" w:lastRowLastColumn="0"/>
            </w:pPr>
            <w:r w:rsidRPr="005457A0">
              <w:t>-1.50%</w:t>
            </w:r>
          </w:p>
        </w:tc>
        <w:tc>
          <w:tcPr>
            <w:tcW w:w="538" w:type="pct"/>
            <w:noWrap/>
          </w:tcPr>
          <w:p w:rsidR="005457A0" w:rsidRPr="005457A0" w:rsidRDefault="005457A0">
            <w:pPr>
              <w:cnfStyle w:val="000000000000" w:firstRow="0" w:lastRow="0" w:firstColumn="0" w:lastColumn="0" w:oddVBand="0" w:evenVBand="0" w:oddHBand="0" w:evenHBand="0" w:firstRowFirstColumn="0" w:firstRowLastColumn="0" w:lastRowFirstColumn="0" w:lastRowLastColumn="0"/>
            </w:pPr>
            <w:r w:rsidRPr="005457A0">
              <w:t>n/a</w:t>
            </w:r>
          </w:p>
        </w:tc>
      </w:tr>
    </w:tbl>
    <w:p w:rsidR="002F03BD" w:rsidRDefault="002F03BD" w:rsidP="002F03BD">
      <w:pPr>
        <w:pStyle w:val="AERtablesource"/>
      </w:pPr>
      <w:r w:rsidRPr="004E488E">
        <w:t>Source:</w:t>
      </w:r>
      <w:r w:rsidRPr="004E488E">
        <w:tab/>
      </w:r>
      <w:r>
        <w:t>AER analysis.</w:t>
      </w:r>
    </w:p>
    <w:p w:rsidR="00F666FF" w:rsidRDefault="002F03BD" w:rsidP="002F03BD">
      <w:pPr>
        <w:pStyle w:val="AERtablesource"/>
      </w:pPr>
      <w:r>
        <w:lastRenderedPageBreak/>
        <w:t>(a)</w:t>
      </w:r>
      <w:r>
        <w:tab/>
      </w:r>
      <w:r w:rsidR="00F666FF" w:rsidRPr="00F666FF">
        <w:t xml:space="preserve">Revenue adjustments </w:t>
      </w:r>
      <w:r w:rsidR="00DC66FA">
        <w:t>relate to</w:t>
      </w:r>
      <w:r w:rsidR="00F666FF" w:rsidRPr="00F666FF">
        <w:t xml:space="preserve"> </w:t>
      </w:r>
      <w:r w:rsidR="00DC66FA">
        <w:t xml:space="preserve">forecast </w:t>
      </w:r>
      <w:r w:rsidR="00F666FF" w:rsidRPr="00F666FF">
        <w:t>DMIA.</w:t>
      </w:r>
    </w:p>
    <w:p w:rsidR="009B1095" w:rsidRDefault="00F666FF" w:rsidP="002F03BD">
      <w:pPr>
        <w:pStyle w:val="AERtablesource"/>
      </w:pPr>
      <w:r>
        <w:t>(b)</w:t>
      </w:r>
      <w:r>
        <w:tab/>
      </w:r>
      <w:r w:rsidR="002F03BD" w:rsidRPr="005B601A">
        <w:t>These are the efficient costs of metering and ancillary network services</w:t>
      </w:r>
      <w:r w:rsidR="002F03BD">
        <w:t xml:space="preserve"> and emergency recoverable works</w:t>
      </w:r>
      <w:r w:rsidR="002F03BD" w:rsidRPr="005B601A">
        <w:t xml:space="preserve"> as determined by the AER. </w:t>
      </w:r>
    </w:p>
    <w:p w:rsidR="002F03BD" w:rsidRDefault="009B1095" w:rsidP="002F03BD">
      <w:pPr>
        <w:pStyle w:val="AERtablesource"/>
      </w:pPr>
      <w:r>
        <w:t>(c)</w:t>
      </w:r>
      <w:r>
        <w:tab/>
      </w:r>
      <w:r w:rsidRPr="001C2DB8">
        <w:t xml:space="preserve">The X factor </w:t>
      </w:r>
      <w:r>
        <w:t xml:space="preserve">from 2016–17 to 2018–19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2F03BD" w:rsidRPr="009A32CA" w:rsidRDefault="002F03BD" w:rsidP="002F03BD">
      <w:pPr>
        <w:pStyle w:val="AERtablesource"/>
      </w:pPr>
      <w:r>
        <w:t>(</w:t>
      </w:r>
      <w:r w:rsidR="009B1095">
        <w:t>d</w:t>
      </w:r>
      <w:r>
        <w:t>)</w:t>
      </w:r>
      <w:r>
        <w:tab/>
        <w:t>I</w:t>
      </w:r>
      <w:r w:rsidRPr="009A32CA">
        <w:t xml:space="preserve">n our transitional decision, we determined the placeholder revenue for 2014–15. In this </w:t>
      </w:r>
      <w:r w:rsidR="00F666FF">
        <w:t>final</w:t>
      </w:r>
      <w:r w:rsidR="00F666FF" w:rsidRPr="009A32CA">
        <w:t xml:space="preserve"> </w:t>
      </w:r>
      <w:r w:rsidRPr="009A32CA">
        <w:t>decision to update the 2014–15 revenue for our assessment of efficient costs we determined X f</w:t>
      </w:r>
      <w:r w:rsidR="00380CD9">
        <w:t xml:space="preserve">actors for the final four years of the </w:t>
      </w:r>
      <w:r w:rsidRPr="009A32CA">
        <w:t xml:space="preserve">2014–19 period. This is to adjust </w:t>
      </w:r>
      <w:r>
        <w:t>Essential Energy'</w:t>
      </w:r>
      <w:r w:rsidRPr="009A32CA">
        <w:t xml:space="preserve">s total revenue requirement for the 2015–19 regulatory control period for the difference between the placeholder revenue and our decision on </w:t>
      </w:r>
      <w:r>
        <w:t>Essential Energy</w:t>
      </w:r>
      <w:r w:rsidRPr="009A32CA">
        <w:t>'s efficient costs for 2014–15.</w:t>
      </w:r>
    </w:p>
    <w:p w:rsidR="00DE563D" w:rsidRPr="001754EE" w:rsidRDefault="005C21A4" w:rsidP="001754EE">
      <w:pPr>
        <w:pStyle w:val="Heading2"/>
      </w:pPr>
      <w:bookmarkStart w:id="16" w:name="_Toc416172656"/>
      <w:r>
        <w:t>Essential Energy</w:t>
      </w:r>
      <w:r w:rsidR="00415F31" w:rsidRPr="001754EE">
        <w:t>’s revised</w:t>
      </w:r>
      <w:r w:rsidR="00DE563D" w:rsidRPr="001754EE">
        <w:t xml:space="preserve"> proposal</w:t>
      </w:r>
      <w:bookmarkEnd w:id="13"/>
      <w:bookmarkEnd w:id="16"/>
    </w:p>
    <w:p w:rsidR="00380CD9" w:rsidRPr="001615F2" w:rsidRDefault="00380CD9" w:rsidP="00380CD9">
      <w:pPr>
        <w:numPr>
          <w:ilvl w:val="0"/>
          <w:numId w:val="25"/>
        </w:numPr>
      </w:pPr>
      <w:r>
        <w:t>Essential</w:t>
      </w:r>
      <w:r w:rsidRPr="001615F2">
        <w:t xml:space="preserve"> Energy</w:t>
      </w:r>
      <w:r>
        <w:t>'s revised</w:t>
      </w:r>
      <w:r w:rsidRPr="001615F2">
        <w:t xml:space="preserve"> propos</w:t>
      </w:r>
      <w:r>
        <w:t>al included</w:t>
      </w:r>
      <w:r w:rsidRPr="001615F2">
        <w:t xml:space="preserve"> </w:t>
      </w:r>
      <w:r>
        <w:t xml:space="preserve">a </w:t>
      </w:r>
      <w:r w:rsidRPr="001615F2">
        <w:t xml:space="preserve">total </w:t>
      </w:r>
      <w:r>
        <w:t>revenue requirement</w:t>
      </w:r>
      <w:r w:rsidRPr="001615F2">
        <w:t xml:space="preserve"> of $</w:t>
      </w:r>
      <w:r>
        <w:t>68</w:t>
      </w:r>
      <w:r w:rsidR="000A0975">
        <w:t>46</w:t>
      </w:r>
      <w:r>
        <w:t>.</w:t>
      </w:r>
      <w:r w:rsidR="000A0975">
        <w:t>1</w:t>
      </w:r>
      <w:r>
        <w:t> </w:t>
      </w:r>
      <w:r w:rsidRPr="001615F2">
        <w:t>million ($ nominal)</w:t>
      </w:r>
      <w:r>
        <w:t xml:space="preserve"> for the 2014–19 period</w:t>
      </w:r>
      <w:r w:rsidRPr="001615F2">
        <w:t xml:space="preserve">. </w:t>
      </w:r>
    </w:p>
    <w:p w:rsidR="00380CD9" w:rsidRPr="001615F2" w:rsidRDefault="00380CD9" w:rsidP="00380CD9">
      <w:pPr>
        <w:numPr>
          <w:ilvl w:val="0"/>
          <w:numId w:val="25"/>
        </w:numPr>
      </w:pPr>
      <w:r w:rsidRPr="001615F2">
        <w:fldChar w:fldCharType="begin"/>
      </w:r>
      <w:r w:rsidRPr="001615F2">
        <w:instrText xml:space="preserve"> REF _Ref397603550 \h </w:instrText>
      </w:r>
      <w:r w:rsidRPr="001615F2">
        <w:fldChar w:fldCharType="separate"/>
      </w:r>
      <w:r w:rsidR="00C836EF" w:rsidRPr="001615F2">
        <w:t xml:space="preserve">Table </w:t>
      </w:r>
      <w:r w:rsidR="00C836EF">
        <w:rPr>
          <w:noProof/>
        </w:rPr>
        <w:t>1</w:t>
      </w:r>
      <w:r w:rsidR="00C836EF">
        <w:t>.</w:t>
      </w:r>
      <w:r w:rsidR="00C836EF">
        <w:rPr>
          <w:noProof/>
        </w:rPr>
        <w:t>2</w:t>
      </w:r>
      <w:r w:rsidRPr="001615F2">
        <w:fldChar w:fldCharType="end"/>
      </w:r>
      <w:r w:rsidRPr="001615F2">
        <w:t xml:space="preserve"> </w:t>
      </w:r>
      <w:r>
        <w:t>shows</w:t>
      </w:r>
      <w:r w:rsidRPr="001615F2">
        <w:t xml:space="preserve"> </w:t>
      </w:r>
      <w:r>
        <w:t>Essential</w:t>
      </w:r>
      <w:r w:rsidRPr="001615F2">
        <w:t xml:space="preserve"> Energy's proposed building block</w:t>
      </w:r>
      <w:r>
        <w:t xml:space="preserve"> cost</w:t>
      </w:r>
      <w:r w:rsidRPr="001615F2">
        <w:t>s</w:t>
      </w:r>
      <w:r w:rsidR="00FF7DEF">
        <w:t>,</w:t>
      </w:r>
      <w:r w:rsidRPr="001615F2">
        <w:t xml:space="preserve"> the ARR</w:t>
      </w:r>
      <w:r w:rsidR="00FF7DEF">
        <w:t>,</w:t>
      </w:r>
      <w:r w:rsidRPr="001615F2">
        <w:t xml:space="preserve"> expected revenue</w:t>
      </w:r>
      <w:r w:rsidR="00FF7DEF">
        <w:t xml:space="preserve"> and X factor</w:t>
      </w:r>
      <w:r w:rsidRPr="001615F2">
        <w:t xml:space="preserve"> for each year of the 2014–19 period.</w:t>
      </w:r>
    </w:p>
    <w:p w:rsidR="00380CD9" w:rsidRPr="001615F2" w:rsidRDefault="00380CD9" w:rsidP="00380CD9">
      <w:pPr>
        <w:pStyle w:val="Caption"/>
      </w:pPr>
      <w:bookmarkStart w:id="17" w:name="_Ref397603550"/>
      <w:proofErr w:type="gramStart"/>
      <w:r w:rsidRPr="001615F2">
        <w:t xml:space="preserve">Table </w:t>
      </w:r>
      <w:proofErr w:type="gramEnd"/>
      <w:r w:rsidRPr="00380CD9">
        <w:fldChar w:fldCharType="begin"/>
      </w:r>
      <w:r>
        <w:instrText xml:space="preserve"> STYLEREF 1 \s </w:instrText>
      </w:r>
      <w:r w:rsidRPr="00380CD9">
        <w:fldChar w:fldCharType="separate"/>
      </w:r>
      <w:r w:rsidR="00C836EF">
        <w:rPr>
          <w:noProof/>
        </w:rPr>
        <w:t>1</w:t>
      </w:r>
      <w:r w:rsidRPr="00380CD9">
        <w:fldChar w:fldCharType="end"/>
      </w:r>
      <w:proofErr w:type="gramStart"/>
      <w:r w:rsidR="00DA055C">
        <w:t>.</w:t>
      </w:r>
      <w:proofErr w:type="gramEnd"/>
      <w:r w:rsidRPr="00380CD9">
        <w:fldChar w:fldCharType="begin"/>
      </w:r>
      <w:r>
        <w:instrText xml:space="preserve"> SEQ Table \* ARABIC \s 1 </w:instrText>
      </w:r>
      <w:r w:rsidRPr="00380CD9">
        <w:fldChar w:fldCharType="separate"/>
      </w:r>
      <w:r w:rsidR="00C836EF">
        <w:rPr>
          <w:noProof/>
        </w:rPr>
        <w:t>2</w:t>
      </w:r>
      <w:r w:rsidRPr="00380CD9">
        <w:fldChar w:fldCharType="end"/>
      </w:r>
      <w:bookmarkEnd w:id="17"/>
      <w:r w:rsidRPr="001615F2">
        <w:tab/>
      </w:r>
      <w:r>
        <w:t>Essential</w:t>
      </w:r>
      <w:r w:rsidRPr="001615F2">
        <w:t xml:space="preserve"> Energy's proposed revenues</w:t>
      </w:r>
      <w:r>
        <w:t xml:space="preserve"> for the</w:t>
      </w:r>
      <w:r w:rsidRPr="001615F2">
        <w:t xml:space="preserve"> 2014–19 </w:t>
      </w:r>
      <w:r>
        <w:t xml:space="preserve">period </w:t>
      </w:r>
      <w:r w:rsidRPr="001615F2">
        <w:t>($million, nominal)</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380CD9" w:rsidRPr="00380CD9" w:rsidTr="000A0975">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380CD9" w:rsidRPr="00380CD9" w:rsidRDefault="00380CD9" w:rsidP="00380CD9">
            <w:r w:rsidRPr="00380CD9">
              <w:t> </w:t>
            </w:r>
          </w:p>
        </w:tc>
        <w:tc>
          <w:tcPr>
            <w:tcW w:w="945" w:type="dxa"/>
            <w:noWrap/>
            <w:hideMark/>
          </w:tcPr>
          <w:p w:rsidR="00380CD9" w:rsidRPr="00380CD9" w:rsidRDefault="00380CD9" w:rsidP="00380CD9">
            <w:pPr>
              <w:cnfStyle w:val="100000000000" w:firstRow="1" w:lastRow="0" w:firstColumn="0" w:lastColumn="0" w:oddVBand="0" w:evenVBand="0" w:oddHBand="0" w:evenHBand="0" w:firstRowFirstColumn="0" w:firstRowLastColumn="0" w:lastRowFirstColumn="0" w:lastRowLastColumn="0"/>
            </w:pPr>
            <w:r w:rsidRPr="00380CD9">
              <w:t>2014–15</w:t>
            </w:r>
          </w:p>
        </w:tc>
        <w:tc>
          <w:tcPr>
            <w:tcW w:w="945" w:type="dxa"/>
            <w:noWrap/>
            <w:hideMark/>
          </w:tcPr>
          <w:p w:rsidR="00380CD9" w:rsidRPr="00380CD9" w:rsidRDefault="00380CD9" w:rsidP="00380CD9">
            <w:pPr>
              <w:cnfStyle w:val="100000000000" w:firstRow="1" w:lastRow="0" w:firstColumn="0" w:lastColumn="0" w:oddVBand="0" w:evenVBand="0" w:oddHBand="0" w:evenHBand="0" w:firstRowFirstColumn="0" w:firstRowLastColumn="0" w:lastRowFirstColumn="0" w:lastRowLastColumn="0"/>
            </w:pPr>
            <w:r w:rsidRPr="00380CD9">
              <w:t>2015–16</w:t>
            </w:r>
          </w:p>
        </w:tc>
        <w:tc>
          <w:tcPr>
            <w:tcW w:w="945" w:type="dxa"/>
            <w:noWrap/>
            <w:hideMark/>
          </w:tcPr>
          <w:p w:rsidR="00380CD9" w:rsidRPr="00380CD9" w:rsidRDefault="00380CD9" w:rsidP="00380CD9">
            <w:pPr>
              <w:cnfStyle w:val="100000000000" w:firstRow="1" w:lastRow="0" w:firstColumn="0" w:lastColumn="0" w:oddVBand="0" w:evenVBand="0" w:oddHBand="0" w:evenHBand="0" w:firstRowFirstColumn="0" w:firstRowLastColumn="0" w:lastRowFirstColumn="0" w:lastRowLastColumn="0"/>
            </w:pPr>
            <w:r w:rsidRPr="00380CD9">
              <w:t>2016–17</w:t>
            </w:r>
          </w:p>
        </w:tc>
        <w:tc>
          <w:tcPr>
            <w:tcW w:w="945" w:type="dxa"/>
            <w:noWrap/>
            <w:hideMark/>
          </w:tcPr>
          <w:p w:rsidR="00380CD9" w:rsidRPr="00380CD9" w:rsidRDefault="00380CD9" w:rsidP="00380CD9">
            <w:pPr>
              <w:cnfStyle w:val="100000000000" w:firstRow="1" w:lastRow="0" w:firstColumn="0" w:lastColumn="0" w:oddVBand="0" w:evenVBand="0" w:oddHBand="0" w:evenHBand="0" w:firstRowFirstColumn="0" w:firstRowLastColumn="0" w:lastRowFirstColumn="0" w:lastRowLastColumn="0"/>
            </w:pPr>
            <w:r w:rsidRPr="00380CD9">
              <w:t>2017–18</w:t>
            </w:r>
          </w:p>
        </w:tc>
        <w:tc>
          <w:tcPr>
            <w:tcW w:w="945" w:type="dxa"/>
            <w:noWrap/>
            <w:hideMark/>
          </w:tcPr>
          <w:p w:rsidR="00380CD9" w:rsidRPr="00380CD9" w:rsidRDefault="00380CD9" w:rsidP="00380CD9">
            <w:pPr>
              <w:cnfStyle w:val="100000000000" w:firstRow="1" w:lastRow="0" w:firstColumn="0" w:lastColumn="0" w:oddVBand="0" w:evenVBand="0" w:oddHBand="0" w:evenHBand="0" w:firstRowFirstColumn="0" w:firstRowLastColumn="0" w:lastRowFirstColumn="0" w:lastRowLastColumn="0"/>
            </w:pPr>
            <w:r w:rsidRPr="00380CD9">
              <w:t>2018–19</w:t>
            </w:r>
          </w:p>
        </w:tc>
        <w:tc>
          <w:tcPr>
            <w:tcW w:w="945" w:type="dxa"/>
            <w:noWrap/>
            <w:hideMark/>
          </w:tcPr>
          <w:p w:rsidR="00380CD9" w:rsidRPr="00380CD9" w:rsidRDefault="00380CD9" w:rsidP="00380CD9">
            <w:pPr>
              <w:cnfStyle w:val="100000000000" w:firstRow="1" w:lastRow="0" w:firstColumn="0" w:lastColumn="0" w:oddVBand="0" w:evenVBand="0" w:oddHBand="0" w:evenHBand="0" w:firstRowFirstColumn="0" w:firstRowLastColumn="0" w:lastRowFirstColumn="0" w:lastRowLastColumn="0"/>
            </w:pPr>
            <w:r w:rsidRPr="00380CD9">
              <w:t>Total</w:t>
            </w:r>
          </w:p>
        </w:tc>
      </w:tr>
      <w:tr w:rsidR="00380CD9" w:rsidRPr="00380CD9" w:rsidTr="000A0975">
        <w:trPr>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380CD9" w:rsidRPr="00380CD9" w:rsidRDefault="00380CD9" w:rsidP="00380CD9">
            <w:r w:rsidRPr="00380CD9">
              <w:t>Return on capital</w:t>
            </w:r>
          </w:p>
        </w:tc>
        <w:tc>
          <w:tcPr>
            <w:tcW w:w="945" w:type="dxa"/>
            <w:noWrap/>
            <w:vAlign w:val="bottom"/>
            <w:hideMark/>
          </w:tcPr>
          <w:p w:rsidR="00380CD9" w:rsidRPr="00380CD9" w:rsidRDefault="000A0975" w:rsidP="00380CD9">
            <w:pPr>
              <w:cnfStyle w:val="000000000000" w:firstRow="0" w:lastRow="0" w:firstColumn="0" w:lastColumn="0" w:oddVBand="0" w:evenVBand="0" w:oddHBand="0" w:evenHBand="0" w:firstRowFirstColumn="0" w:firstRowLastColumn="0" w:lastRowFirstColumn="0" w:lastRowLastColumn="0"/>
            </w:pPr>
            <w:r>
              <w:t>600.5</w:t>
            </w:r>
          </w:p>
        </w:tc>
        <w:tc>
          <w:tcPr>
            <w:tcW w:w="945" w:type="dxa"/>
            <w:noWrap/>
            <w:vAlign w:val="bottom"/>
            <w:hideMark/>
          </w:tcPr>
          <w:p w:rsidR="00380CD9" w:rsidRPr="00380CD9" w:rsidRDefault="000A0975" w:rsidP="00380CD9">
            <w:pPr>
              <w:cnfStyle w:val="000000000000" w:firstRow="0" w:lastRow="0" w:firstColumn="0" w:lastColumn="0" w:oddVBand="0" w:evenVBand="0" w:oddHBand="0" w:evenHBand="0" w:firstRowFirstColumn="0" w:firstRowLastColumn="0" w:lastRowFirstColumn="0" w:lastRowLastColumn="0"/>
            </w:pPr>
            <w:r>
              <w:t>640.6</w:t>
            </w:r>
          </w:p>
        </w:tc>
        <w:tc>
          <w:tcPr>
            <w:tcW w:w="945" w:type="dxa"/>
            <w:noWrap/>
            <w:vAlign w:val="bottom"/>
            <w:hideMark/>
          </w:tcPr>
          <w:p w:rsidR="00380CD9" w:rsidRPr="00380CD9" w:rsidRDefault="000A0975" w:rsidP="00380CD9">
            <w:pPr>
              <w:cnfStyle w:val="000000000000" w:firstRow="0" w:lastRow="0" w:firstColumn="0" w:lastColumn="0" w:oddVBand="0" w:evenVBand="0" w:oddHBand="0" w:evenHBand="0" w:firstRowFirstColumn="0" w:firstRowLastColumn="0" w:lastRowFirstColumn="0" w:lastRowLastColumn="0"/>
            </w:pPr>
            <w:r>
              <w:t>680.9</w:t>
            </w:r>
          </w:p>
        </w:tc>
        <w:tc>
          <w:tcPr>
            <w:tcW w:w="945" w:type="dxa"/>
            <w:noWrap/>
            <w:vAlign w:val="bottom"/>
            <w:hideMark/>
          </w:tcPr>
          <w:p w:rsidR="00380CD9" w:rsidRPr="00380CD9" w:rsidRDefault="000A0975" w:rsidP="00380CD9">
            <w:pPr>
              <w:cnfStyle w:val="000000000000" w:firstRow="0" w:lastRow="0" w:firstColumn="0" w:lastColumn="0" w:oddVBand="0" w:evenVBand="0" w:oddHBand="0" w:evenHBand="0" w:firstRowFirstColumn="0" w:firstRowLastColumn="0" w:lastRowFirstColumn="0" w:lastRowLastColumn="0"/>
            </w:pPr>
            <w:r>
              <w:t>720.3</w:t>
            </w:r>
          </w:p>
        </w:tc>
        <w:tc>
          <w:tcPr>
            <w:tcW w:w="945" w:type="dxa"/>
            <w:noWrap/>
            <w:vAlign w:val="bottom"/>
            <w:hideMark/>
          </w:tcPr>
          <w:p w:rsidR="00380CD9" w:rsidRPr="00380CD9" w:rsidRDefault="000A0975" w:rsidP="00380CD9">
            <w:pPr>
              <w:cnfStyle w:val="000000000000" w:firstRow="0" w:lastRow="0" w:firstColumn="0" w:lastColumn="0" w:oddVBand="0" w:evenVBand="0" w:oddHBand="0" w:evenHBand="0" w:firstRowFirstColumn="0" w:firstRowLastColumn="0" w:lastRowFirstColumn="0" w:lastRowLastColumn="0"/>
            </w:pPr>
            <w:r>
              <w:t>759.1</w:t>
            </w:r>
          </w:p>
        </w:tc>
        <w:tc>
          <w:tcPr>
            <w:tcW w:w="945" w:type="dxa"/>
            <w:noWrap/>
            <w:vAlign w:val="bottom"/>
            <w:hideMark/>
          </w:tcPr>
          <w:p w:rsidR="00380CD9" w:rsidRPr="00380CD9" w:rsidRDefault="000A0975" w:rsidP="000A0975">
            <w:pPr>
              <w:cnfStyle w:val="000000000000" w:firstRow="0" w:lastRow="0" w:firstColumn="0" w:lastColumn="0" w:oddVBand="0" w:evenVBand="0" w:oddHBand="0" w:evenHBand="0" w:firstRowFirstColumn="0" w:firstRowLastColumn="0" w:lastRowFirstColumn="0" w:lastRowLastColumn="0"/>
            </w:pPr>
            <w:r>
              <w:t>3401</w:t>
            </w:r>
            <w:r w:rsidR="00380CD9" w:rsidRPr="00380CD9">
              <w:t>.</w:t>
            </w:r>
            <w:r>
              <w:t>5</w:t>
            </w:r>
          </w:p>
        </w:tc>
      </w:tr>
      <w:tr w:rsidR="00380CD9" w:rsidRPr="00380CD9" w:rsidTr="000A097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380CD9" w:rsidRPr="00380CD9" w:rsidRDefault="00380CD9" w:rsidP="00380CD9">
            <w:r w:rsidRPr="00380CD9">
              <w:t xml:space="preserve">Regulatory </w:t>
            </w:r>
            <w:proofErr w:type="spellStart"/>
            <w:r w:rsidRPr="00380CD9">
              <w:t>depreciation</w:t>
            </w:r>
            <w:r w:rsidRPr="000A0975">
              <w:rPr>
                <w:rStyle w:val="AERsuperscript"/>
              </w:rPr>
              <w:t>a</w:t>
            </w:r>
            <w:proofErr w:type="spellEnd"/>
          </w:p>
        </w:tc>
        <w:tc>
          <w:tcPr>
            <w:tcW w:w="945" w:type="dxa"/>
            <w:noWrap/>
            <w:vAlign w:val="bottom"/>
            <w:hideMark/>
          </w:tcPr>
          <w:p w:rsidR="00380CD9" w:rsidRPr="00380CD9" w:rsidRDefault="00380CD9" w:rsidP="000A0975">
            <w:pPr>
              <w:cnfStyle w:val="000000010000" w:firstRow="0" w:lastRow="0" w:firstColumn="0" w:lastColumn="0" w:oddVBand="0" w:evenVBand="0" w:oddHBand="0" w:evenHBand="1" w:firstRowFirstColumn="0" w:firstRowLastColumn="0" w:lastRowFirstColumn="0" w:lastRowLastColumn="0"/>
            </w:pPr>
            <w:r w:rsidRPr="00380CD9">
              <w:t>98.</w:t>
            </w:r>
            <w:r w:rsidR="000A0975">
              <w:t>8</w:t>
            </w:r>
          </w:p>
        </w:tc>
        <w:tc>
          <w:tcPr>
            <w:tcW w:w="945" w:type="dxa"/>
            <w:noWrap/>
            <w:vAlign w:val="bottom"/>
            <w:hideMark/>
          </w:tcPr>
          <w:p w:rsidR="00380CD9" w:rsidRPr="00380CD9" w:rsidRDefault="00380CD9" w:rsidP="000A0975">
            <w:pPr>
              <w:cnfStyle w:val="000000010000" w:firstRow="0" w:lastRow="0" w:firstColumn="0" w:lastColumn="0" w:oddVBand="0" w:evenVBand="0" w:oddHBand="0" w:evenHBand="1" w:firstRowFirstColumn="0" w:firstRowLastColumn="0" w:lastRowFirstColumn="0" w:lastRowLastColumn="0"/>
            </w:pPr>
            <w:r w:rsidRPr="00380CD9">
              <w:t>113</w:t>
            </w:r>
            <w:r w:rsidR="000A0975">
              <w:t>.8</w:t>
            </w:r>
          </w:p>
        </w:tc>
        <w:tc>
          <w:tcPr>
            <w:tcW w:w="945" w:type="dxa"/>
            <w:noWrap/>
            <w:vAlign w:val="bottom"/>
            <w:hideMark/>
          </w:tcPr>
          <w:p w:rsidR="00380CD9" w:rsidRPr="00380CD9" w:rsidRDefault="00380CD9" w:rsidP="000A0975">
            <w:pPr>
              <w:cnfStyle w:val="000000010000" w:firstRow="0" w:lastRow="0" w:firstColumn="0" w:lastColumn="0" w:oddVBand="0" w:evenVBand="0" w:oddHBand="0" w:evenHBand="1" w:firstRowFirstColumn="0" w:firstRowLastColumn="0" w:lastRowFirstColumn="0" w:lastRowLastColumn="0"/>
            </w:pPr>
            <w:r w:rsidRPr="00380CD9">
              <w:t>1</w:t>
            </w:r>
            <w:r w:rsidR="000A0975">
              <w:t>29</w:t>
            </w:r>
            <w:r w:rsidRPr="00380CD9">
              <w:t>.7</w:t>
            </w:r>
          </w:p>
        </w:tc>
        <w:tc>
          <w:tcPr>
            <w:tcW w:w="945" w:type="dxa"/>
            <w:noWrap/>
            <w:vAlign w:val="bottom"/>
            <w:hideMark/>
          </w:tcPr>
          <w:p w:rsidR="00380CD9" w:rsidRPr="00380CD9" w:rsidRDefault="00380CD9" w:rsidP="000A0975">
            <w:pPr>
              <w:cnfStyle w:val="000000010000" w:firstRow="0" w:lastRow="0" w:firstColumn="0" w:lastColumn="0" w:oddVBand="0" w:evenVBand="0" w:oddHBand="0" w:evenHBand="1" w:firstRowFirstColumn="0" w:firstRowLastColumn="0" w:lastRowFirstColumn="0" w:lastRowLastColumn="0"/>
            </w:pPr>
            <w:r w:rsidRPr="00380CD9">
              <w:t>1</w:t>
            </w:r>
            <w:r w:rsidR="000A0975">
              <w:t>21</w:t>
            </w:r>
            <w:r w:rsidRPr="00380CD9">
              <w:t>.</w:t>
            </w:r>
            <w:r w:rsidR="000A0975">
              <w:t>8</w:t>
            </w:r>
          </w:p>
        </w:tc>
        <w:tc>
          <w:tcPr>
            <w:tcW w:w="945" w:type="dxa"/>
            <w:noWrap/>
            <w:vAlign w:val="bottom"/>
            <w:hideMark/>
          </w:tcPr>
          <w:p w:rsidR="00380CD9" w:rsidRPr="00380CD9" w:rsidRDefault="00380CD9" w:rsidP="000A0975">
            <w:pPr>
              <w:cnfStyle w:val="000000010000" w:firstRow="0" w:lastRow="0" w:firstColumn="0" w:lastColumn="0" w:oddVBand="0" w:evenVBand="0" w:oddHBand="0" w:evenHBand="1" w:firstRowFirstColumn="0" w:firstRowLastColumn="0" w:lastRowFirstColumn="0" w:lastRowLastColumn="0"/>
            </w:pPr>
            <w:r w:rsidRPr="00380CD9">
              <w:t>1</w:t>
            </w:r>
            <w:r w:rsidR="000A0975">
              <w:t>30</w:t>
            </w:r>
            <w:r w:rsidRPr="00380CD9">
              <w:t>.</w:t>
            </w:r>
            <w:r w:rsidR="000A0975">
              <w:t>3</w:t>
            </w:r>
          </w:p>
        </w:tc>
        <w:tc>
          <w:tcPr>
            <w:tcW w:w="945" w:type="dxa"/>
            <w:noWrap/>
            <w:vAlign w:val="bottom"/>
            <w:hideMark/>
          </w:tcPr>
          <w:p w:rsidR="00380CD9" w:rsidRPr="00380CD9" w:rsidRDefault="000A0975" w:rsidP="000A0975">
            <w:pPr>
              <w:cnfStyle w:val="000000010000" w:firstRow="0" w:lastRow="0" w:firstColumn="0" w:lastColumn="0" w:oddVBand="0" w:evenVBand="0" w:oddHBand="0" w:evenHBand="1" w:firstRowFirstColumn="0" w:firstRowLastColumn="0" w:lastRowFirstColumn="0" w:lastRowLastColumn="0"/>
            </w:pPr>
            <w:r>
              <w:t>594.4</w:t>
            </w:r>
          </w:p>
        </w:tc>
      </w:tr>
      <w:tr w:rsidR="00380CD9" w:rsidRPr="00380CD9" w:rsidTr="000A0975">
        <w:trPr>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380CD9" w:rsidRPr="00380CD9" w:rsidRDefault="00380CD9" w:rsidP="00380CD9">
            <w:r w:rsidRPr="00380CD9">
              <w:t>Operating expenditure</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5</w:t>
            </w:r>
            <w:r w:rsidR="000A0975">
              <w:t>10</w:t>
            </w:r>
            <w:r w:rsidRPr="00380CD9">
              <w:t>.</w:t>
            </w:r>
            <w:r w:rsidR="000A0975">
              <w:t>2</w:t>
            </w:r>
          </w:p>
        </w:tc>
        <w:tc>
          <w:tcPr>
            <w:tcW w:w="945" w:type="dxa"/>
            <w:noWrap/>
            <w:vAlign w:val="bottom"/>
            <w:hideMark/>
          </w:tcPr>
          <w:p w:rsidR="00380CD9" w:rsidRPr="00380CD9" w:rsidRDefault="000A0975" w:rsidP="000A0975">
            <w:pPr>
              <w:cnfStyle w:val="000000000000" w:firstRow="0" w:lastRow="0" w:firstColumn="0" w:lastColumn="0" w:oddVBand="0" w:evenVBand="0" w:oddHBand="0" w:evenHBand="0" w:firstRowFirstColumn="0" w:firstRowLastColumn="0" w:lastRowFirstColumn="0" w:lastRowLastColumn="0"/>
            </w:pPr>
            <w:r>
              <w:t>515.7</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4</w:t>
            </w:r>
            <w:r w:rsidR="000A0975">
              <w:t>8</w:t>
            </w:r>
            <w:r w:rsidRPr="00380CD9">
              <w:t>9.</w:t>
            </w:r>
            <w:r w:rsidR="000A0975">
              <w:t>5</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5</w:t>
            </w:r>
            <w:r w:rsidR="000A0975">
              <w:t>0</w:t>
            </w:r>
            <w:r w:rsidRPr="00380CD9">
              <w:t>6.</w:t>
            </w:r>
            <w:r w:rsidR="000A0975">
              <w:t>7</w:t>
            </w:r>
          </w:p>
        </w:tc>
        <w:tc>
          <w:tcPr>
            <w:tcW w:w="945" w:type="dxa"/>
            <w:noWrap/>
            <w:vAlign w:val="bottom"/>
            <w:hideMark/>
          </w:tcPr>
          <w:p w:rsidR="00380CD9" w:rsidRPr="00380CD9" w:rsidRDefault="000A0975" w:rsidP="000A0975">
            <w:pPr>
              <w:cnfStyle w:val="000000000000" w:firstRow="0" w:lastRow="0" w:firstColumn="0" w:lastColumn="0" w:oddVBand="0" w:evenVBand="0" w:oddHBand="0" w:evenHBand="0" w:firstRowFirstColumn="0" w:firstRowLastColumn="0" w:lastRowFirstColumn="0" w:lastRowLastColumn="0"/>
            </w:pPr>
            <w:r>
              <w:t>48</w:t>
            </w:r>
            <w:r w:rsidR="00380CD9" w:rsidRPr="00380CD9">
              <w:t>3</w:t>
            </w:r>
            <w:r>
              <w:t>.5</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25</w:t>
            </w:r>
            <w:r w:rsidR="000A0975">
              <w:t>05</w:t>
            </w:r>
            <w:r w:rsidRPr="00380CD9">
              <w:t>.</w:t>
            </w:r>
            <w:r w:rsidR="000A0975">
              <w:t>7</w:t>
            </w:r>
          </w:p>
        </w:tc>
      </w:tr>
      <w:tr w:rsidR="00380CD9" w:rsidRPr="00380CD9" w:rsidTr="000A097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380CD9" w:rsidRPr="00380CD9" w:rsidRDefault="00380CD9" w:rsidP="00380CD9">
            <w:r w:rsidRPr="00380CD9">
              <w:t>Efficiency benefit sharing scheme (carryover amounts)</w:t>
            </w:r>
          </w:p>
        </w:tc>
        <w:tc>
          <w:tcPr>
            <w:tcW w:w="945" w:type="dxa"/>
            <w:noWrap/>
            <w:vAlign w:val="bottom"/>
            <w:hideMark/>
          </w:tcPr>
          <w:p w:rsidR="00380CD9" w:rsidRPr="00380CD9" w:rsidRDefault="00380CD9" w:rsidP="00380CD9">
            <w:pPr>
              <w:cnfStyle w:val="000000010000" w:firstRow="0" w:lastRow="0" w:firstColumn="0" w:lastColumn="0" w:oddVBand="0" w:evenVBand="0" w:oddHBand="0" w:evenHBand="1" w:firstRowFirstColumn="0" w:firstRowLastColumn="0" w:lastRowFirstColumn="0" w:lastRowLastColumn="0"/>
            </w:pPr>
            <w:r w:rsidRPr="00380CD9">
              <w:t>–14.9</w:t>
            </w:r>
          </w:p>
        </w:tc>
        <w:tc>
          <w:tcPr>
            <w:tcW w:w="945" w:type="dxa"/>
            <w:noWrap/>
            <w:vAlign w:val="bottom"/>
            <w:hideMark/>
          </w:tcPr>
          <w:p w:rsidR="00380CD9" w:rsidRPr="00380CD9" w:rsidRDefault="00380CD9" w:rsidP="00380CD9">
            <w:pPr>
              <w:cnfStyle w:val="000000010000" w:firstRow="0" w:lastRow="0" w:firstColumn="0" w:lastColumn="0" w:oddVBand="0" w:evenVBand="0" w:oddHBand="0" w:evenHBand="1" w:firstRowFirstColumn="0" w:firstRowLastColumn="0" w:lastRowFirstColumn="0" w:lastRowLastColumn="0"/>
            </w:pPr>
            <w:r w:rsidRPr="00380CD9">
              <w:t>–52.7</w:t>
            </w:r>
          </w:p>
        </w:tc>
        <w:tc>
          <w:tcPr>
            <w:tcW w:w="945" w:type="dxa"/>
            <w:noWrap/>
            <w:vAlign w:val="bottom"/>
            <w:hideMark/>
          </w:tcPr>
          <w:p w:rsidR="00380CD9" w:rsidRPr="00380CD9" w:rsidRDefault="00380CD9" w:rsidP="00380CD9">
            <w:pPr>
              <w:cnfStyle w:val="000000010000" w:firstRow="0" w:lastRow="0" w:firstColumn="0" w:lastColumn="0" w:oddVBand="0" w:evenVBand="0" w:oddHBand="0" w:evenHBand="1" w:firstRowFirstColumn="0" w:firstRowLastColumn="0" w:lastRowFirstColumn="0" w:lastRowLastColumn="0"/>
            </w:pPr>
            <w:r w:rsidRPr="00380CD9">
              <w:t>–48.3</w:t>
            </w:r>
          </w:p>
        </w:tc>
        <w:tc>
          <w:tcPr>
            <w:tcW w:w="945" w:type="dxa"/>
            <w:noWrap/>
            <w:vAlign w:val="bottom"/>
            <w:hideMark/>
          </w:tcPr>
          <w:p w:rsidR="00380CD9" w:rsidRPr="00380CD9" w:rsidRDefault="00380CD9" w:rsidP="00380CD9">
            <w:pPr>
              <w:cnfStyle w:val="000000010000" w:firstRow="0" w:lastRow="0" w:firstColumn="0" w:lastColumn="0" w:oddVBand="0" w:evenVBand="0" w:oddHBand="0" w:evenHBand="1" w:firstRowFirstColumn="0" w:firstRowLastColumn="0" w:lastRowFirstColumn="0" w:lastRowLastColumn="0"/>
            </w:pPr>
            <w:r w:rsidRPr="00380CD9">
              <w:t>39.1</w:t>
            </w:r>
          </w:p>
        </w:tc>
        <w:tc>
          <w:tcPr>
            <w:tcW w:w="945" w:type="dxa"/>
            <w:noWrap/>
            <w:vAlign w:val="bottom"/>
            <w:hideMark/>
          </w:tcPr>
          <w:p w:rsidR="00380CD9" w:rsidRPr="00380CD9" w:rsidRDefault="00380CD9" w:rsidP="00380CD9">
            <w:pPr>
              <w:cnfStyle w:val="000000010000" w:firstRow="0" w:lastRow="0" w:firstColumn="0" w:lastColumn="0" w:oddVBand="0" w:evenVBand="0" w:oddHBand="0" w:evenHBand="1" w:firstRowFirstColumn="0" w:firstRowLastColumn="0" w:lastRowFirstColumn="0" w:lastRowLastColumn="0"/>
            </w:pPr>
            <w:r w:rsidRPr="00380CD9">
              <w:t>0.0</w:t>
            </w:r>
          </w:p>
        </w:tc>
        <w:tc>
          <w:tcPr>
            <w:tcW w:w="945" w:type="dxa"/>
            <w:noWrap/>
            <w:vAlign w:val="bottom"/>
            <w:hideMark/>
          </w:tcPr>
          <w:p w:rsidR="00380CD9" w:rsidRPr="00380CD9" w:rsidRDefault="00380CD9" w:rsidP="00380CD9">
            <w:pPr>
              <w:cnfStyle w:val="000000010000" w:firstRow="0" w:lastRow="0" w:firstColumn="0" w:lastColumn="0" w:oddVBand="0" w:evenVBand="0" w:oddHBand="0" w:evenHBand="1" w:firstRowFirstColumn="0" w:firstRowLastColumn="0" w:lastRowFirstColumn="0" w:lastRowLastColumn="0"/>
            </w:pPr>
            <w:r w:rsidRPr="00380CD9">
              <w:t>–76.8</w:t>
            </w:r>
          </w:p>
        </w:tc>
      </w:tr>
      <w:tr w:rsidR="00380CD9" w:rsidRPr="00380CD9" w:rsidTr="000A0975">
        <w:trPr>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380CD9" w:rsidRPr="00380CD9" w:rsidRDefault="00380CD9" w:rsidP="00380CD9">
            <w:r w:rsidRPr="00380CD9">
              <w:t>Net tax allowance</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6</w:t>
            </w:r>
            <w:r w:rsidR="000A0975">
              <w:t>5</w:t>
            </w:r>
            <w:r w:rsidRPr="00380CD9">
              <w:t>.</w:t>
            </w:r>
            <w:r w:rsidR="000A0975">
              <w:t>6</w:t>
            </w:r>
          </w:p>
        </w:tc>
        <w:tc>
          <w:tcPr>
            <w:tcW w:w="945" w:type="dxa"/>
            <w:noWrap/>
            <w:vAlign w:val="bottom"/>
            <w:hideMark/>
          </w:tcPr>
          <w:p w:rsidR="00380CD9" w:rsidRPr="00380CD9" w:rsidRDefault="000A0975" w:rsidP="000A0975">
            <w:pPr>
              <w:cnfStyle w:val="000000000000" w:firstRow="0" w:lastRow="0" w:firstColumn="0" w:lastColumn="0" w:oddVBand="0" w:evenVBand="0" w:oddHBand="0" w:evenHBand="0" w:firstRowFirstColumn="0" w:firstRowLastColumn="0" w:lastRowFirstColumn="0" w:lastRowLastColumn="0"/>
            </w:pPr>
            <w:r>
              <w:t>5</w:t>
            </w:r>
            <w:r w:rsidR="00380CD9" w:rsidRPr="00380CD9">
              <w:t>8.</w:t>
            </w:r>
            <w:r>
              <w:t>2</w:t>
            </w:r>
          </w:p>
        </w:tc>
        <w:tc>
          <w:tcPr>
            <w:tcW w:w="945" w:type="dxa"/>
            <w:noWrap/>
            <w:vAlign w:val="bottom"/>
            <w:hideMark/>
          </w:tcPr>
          <w:p w:rsidR="00380CD9" w:rsidRPr="00380CD9" w:rsidRDefault="000A0975" w:rsidP="000A0975">
            <w:pPr>
              <w:cnfStyle w:val="000000000000" w:firstRow="0" w:lastRow="0" w:firstColumn="0" w:lastColumn="0" w:oddVBand="0" w:evenVBand="0" w:oddHBand="0" w:evenHBand="0" w:firstRowFirstColumn="0" w:firstRowLastColumn="0" w:lastRowFirstColumn="0" w:lastRowLastColumn="0"/>
            </w:pPr>
            <w:r>
              <w:t>6</w:t>
            </w:r>
            <w:r w:rsidR="00380CD9" w:rsidRPr="00380CD9">
              <w:t>8.</w:t>
            </w:r>
            <w:r>
              <w:t>0</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8</w:t>
            </w:r>
            <w:r w:rsidR="000A0975">
              <w:t>9</w:t>
            </w:r>
            <w:r w:rsidRPr="00380CD9">
              <w:t>.</w:t>
            </w:r>
            <w:r w:rsidR="000A0975">
              <w:t>7</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8</w:t>
            </w:r>
            <w:r w:rsidR="000A0975">
              <w:t>5.</w:t>
            </w:r>
            <w:r w:rsidRPr="00380CD9">
              <w:t>2</w:t>
            </w:r>
          </w:p>
        </w:tc>
        <w:tc>
          <w:tcPr>
            <w:tcW w:w="945" w:type="dxa"/>
            <w:noWrap/>
            <w:vAlign w:val="bottom"/>
            <w:hideMark/>
          </w:tcPr>
          <w:p w:rsidR="00380CD9" w:rsidRPr="00380CD9" w:rsidRDefault="00380CD9" w:rsidP="000A0975">
            <w:pPr>
              <w:cnfStyle w:val="000000000000" w:firstRow="0" w:lastRow="0" w:firstColumn="0" w:lastColumn="0" w:oddVBand="0" w:evenVBand="0" w:oddHBand="0" w:evenHBand="0" w:firstRowFirstColumn="0" w:firstRowLastColumn="0" w:lastRowFirstColumn="0" w:lastRowLastColumn="0"/>
            </w:pPr>
            <w:r w:rsidRPr="00380CD9">
              <w:t>3</w:t>
            </w:r>
            <w:r w:rsidR="000A0975">
              <w:t>66</w:t>
            </w:r>
            <w:r w:rsidRPr="00380CD9">
              <w:t>.7</w:t>
            </w:r>
          </w:p>
        </w:tc>
      </w:tr>
      <w:tr w:rsidR="000A0975" w:rsidRPr="00380CD9" w:rsidTr="009761B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85" w:type="dxa"/>
            <w:noWrap/>
          </w:tcPr>
          <w:p w:rsidR="000A0975" w:rsidRPr="000A0975" w:rsidRDefault="000A0975" w:rsidP="000A0975">
            <w:r w:rsidRPr="00380CD9">
              <w:t xml:space="preserve">Metering, ANS &amp; ERW net </w:t>
            </w:r>
            <w:proofErr w:type="spellStart"/>
            <w:r w:rsidRPr="00380CD9">
              <w:t>costs</w:t>
            </w:r>
            <w:r w:rsidR="00762219">
              <w:rPr>
                <w:rStyle w:val="AERsuperscript"/>
              </w:rPr>
              <w:t>b</w:t>
            </w:r>
            <w:proofErr w:type="spellEnd"/>
          </w:p>
        </w:tc>
        <w:tc>
          <w:tcPr>
            <w:tcW w:w="945" w:type="dxa"/>
            <w:noWrap/>
          </w:tcPr>
          <w:p w:rsidR="000A0975" w:rsidRPr="00380CD9" w:rsidRDefault="000A0975" w:rsidP="000A0975">
            <w:pPr>
              <w:cnfStyle w:val="000000010000" w:firstRow="0" w:lastRow="0" w:firstColumn="0" w:lastColumn="0" w:oddVBand="0" w:evenVBand="0" w:oddHBand="0" w:evenHBand="1" w:firstRowFirstColumn="0" w:firstRowLastColumn="0" w:lastRowFirstColumn="0" w:lastRowLastColumn="0"/>
            </w:pPr>
            <w:r>
              <w:t>54.7</w:t>
            </w:r>
          </w:p>
        </w:tc>
        <w:tc>
          <w:tcPr>
            <w:tcW w:w="945" w:type="dxa"/>
            <w:noWrap/>
          </w:tcPr>
          <w:p w:rsidR="000A0975" w:rsidRPr="00380CD9" w:rsidRDefault="000A0975" w:rsidP="000A0975">
            <w:pPr>
              <w:cnfStyle w:val="000000010000" w:firstRow="0" w:lastRow="0" w:firstColumn="0" w:lastColumn="0" w:oddVBand="0" w:evenVBand="0" w:oddHBand="0" w:evenHBand="1" w:firstRowFirstColumn="0" w:firstRowLastColumn="0" w:lastRowFirstColumn="0" w:lastRowLastColumn="0"/>
            </w:pPr>
            <w:r w:rsidRPr="00380CD9">
              <w:t>n/a</w:t>
            </w:r>
          </w:p>
        </w:tc>
        <w:tc>
          <w:tcPr>
            <w:tcW w:w="945" w:type="dxa"/>
            <w:noWrap/>
          </w:tcPr>
          <w:p w:rsidR="000A0975" w:rsidRPr="00380CD9" w:rsidRDefault="000A0975" w:rsidP="000A0975">
            <w:pPr>
              <w:cnfStyle w:val="000000010000" w:firstRow="0" w:lastRow="0" w:firstColumn="0" w:lastColumn="0" w:oddVBand="0" w:evenVBand="0" w:oddHBand="0" w:evenHBand="1" w:firstRowFirstColumn="0" w:firstRowLastColumn="0" w:lastRowFirstColumn="0" w:lastRowLastColumn="0"/>
            </w:pPr>
            <w:r w:rsidRPr="00380CD9">
              <w:t>n/a</w:t>
            </w:r>
          </w:p>
        </w:tc>
        <w:tc>
          <w:tcPr>
            <w:tcW w:w="945" w:type="dxa"/>
            <w:noWrap/>
          </w:tcPr>
          <w:p w:rsidR="000A0975" w:rsidRPr="00380CD9" w:rsidRDefault="000A0975" w:rsidP="000A0975">
            <w:pPr>
              <w:cnfStyle w:val="000000010000" w:firstRow="0" w:lastRow="0" w:firstColumn="0" w:lastColumn="0" w:oddVBand="0" w:evenVBand="0" w:oddHBand="0" w:evenHBand="1" w:firstRowFirstColumn="0" w:firstRowLastColumn="0" w:lastRowFirstColumn="0" w:lastRowLastColumn="0"/>
            </w:pPr>
            <w:r w:rsidRPr="00380CD9">
              <w:t>n/a</w:t>
            </w:r>
          </w:p>
        </w:tc>
        <w:tc>
          <w:tcPr>
            <w:tcW w:w="945" w:type="dxa"/>
            <w:noWrap/>
          </w:tcPr>
          <w:p w:rsidR="000A0975" w:rsidRPr="00380CD9" w:rsidRDefault="000A0975" w:rsidP="000A0975">
            <w:pPr>
              <w:cnfStyle w:val="000000010000" w:firstRow="0" w:lastRow="0" w:firstColumn="0" w:lastColumn="0" w:oddVBand="0" w:evenVBand="0" w:oddHBand="0" w:evenHBand="1" w:firstRowFirstColumn="0" w:firstRowLastColumn="0" w:lastRowFirstColumn="0" w:lastRowLastColumn="0"/>
            </w:pPr>
            <w:r w:rsidRPr="00380CD9">
              <w:t>n/a</w:t>
            </w:r>
          </w:p>
        </w:tc>
        <w:tc>
          <w:tcPr>
            <w:tcW w:w="945" w:type="dxa"/>
            <w:noWrap/>
          </w:tcPr>
          <w:p w:rsidR="000A0975" w:rsidRPr="00380CD9" w:rsidRDefault="000A0975" w:rsidP="000A0975">
            <w:pPr>
              <w:cnfStyle w:val="000000010000" w:firstRow="0" w:lastRow="0" w:firstColumn="0" w:lastColumn="0" w:oddVBand="0" w:evenVBand="0" w:oddHBand="0" w:evenHBand="1" w:firstRowFirstColumn="0" w:firstRowLastColumn="0" w:lastRowFirstColumn="0" w:lastRowLastColumn="0"/>
            </w:pPr>
            <w:r>
              <w:t>54.7</w:t>
            </w:r>
          </w:p>
        </w:tc>
      </w:tr>
      <w:tr w:rsidR="000A0975" w:rsidRPr="00380CD9" w:rsidTr="000A0975">
        <w:trPr>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0A0975" w:rsidRPr="00380CD9" w:rsidRDefault="000A0975" w:rsidP="000A0975">
            <w:r w:rsidRPr="00380CD9">
              <w:t>Annual revenue requirement (unsmoothed)</w:t>
            </w:r>
          </w:p>
        </w:tc>
        <w:tc>
          <w:tcPr>
            <w:tcW w:w="945" w:type="dxa"/>
            <w:noWrap/>
            <w:vAlign w:val="bottom"/>
            <w:hideMark/>
          </w:tcPr>
          <w:p w:rsidR="000A0975" w:rsidRPr="00380CD9" w:rsidRDefault="000A0975" w:rsidP="000A0975">
            <w:pPr>
              <w:cnfStyle w:val="000000000000" w:firstRow="0" w:lastRow="0" w:firstColumn="0" w:lastColumn="0" w:oddVBand="0" w:evenVBand="0" w:oddHBand="0" w:evenHBand="0" w:firstRowFirstColumn="0" w:firstRowLastColumn="0" w:lastRowFirstColumn="0" w:lastRowLastColumn="0"/>
            </w:pPr>
            <w:r w:rsidRPr="00380CD9">
              <w:t>1</w:t>
            </w:r>
            <w:r>
              <w:t>31</w:t>
            </w:r>
            <w:r w:rsidRPr="00380CD9">
              <w:t>5.</w:t>
            </w:r>
            <w:r>
              <w:t>0</w:t>
            </w:r>
          </w:p>
        </w:tc>
        <w:tc>
          <w:tcPr>
            <w:tcW w:w="945" w:type="dxa"/>
            <w:noWrap/>
            <w:vAlign w:val="bottom"/>
            <w:hideMark/>
          </w:tcPr>
          <w:p w:rsidR="000A0975" w:rsidRPr="00380CD9" w:rsidRDefault="000A0975" w:rsidP="000A0975">
            <w:pPr>
              <w:cnfStyle w:val="000000000000" w:firstRow="0" w:lastRow="0" w:firstColumn="0" w:lastColumn="0" w:oddVBand="0" w:evenVBand="0" w:oddHBand="0" w:evenHBand="0" w:firstRowFirstColumn="0" w:firstRowLastColumn="0" w:lastRowFirstColumn="0" w:lastRowLastColumn="0"/>
            </w:pPr>
            <w:r w:rsidRPr="00380CD9">
              <w:t>12</w:t>
            </w:r>
            <w:r>
              <w:t>75.</w:t>
            </w:r>
            <w:r w:rsidRPr="00380CD9">
              <w:t>6</w:t>
            </w:r>
          </w:p>
        </w:tc>
        <w:tc>
          <w:tcPr>
            <w:tcW w:w="945" w:type="dxa"/>
            <w:noWrap/>
            <w:vAlign w:val="bottom"/>
            <w:hideMark/>
          </w:tcPr>
          <w:p w:rsidR="000A0975" w:rsidRPr="00380CD9" w:rsidRDefault="000A0975" w:rsidP="000A0975">
            <w:pPr>
              <w:cnfStyle w:val="000000000000" w:firstRow="0" w:lastRow="0" w:firstColumn="0" w:lastColumn="0" w:oddVBand="0" w:evenVBand="0" w:oddHBand="0" w:evenHBand="0" w:firstRowFirstColumn="0" w:firstRowLastColumn="0" w:lastRowFirstColumn="0" w:lastRowLastColumn="0"/>
            </w:pPr>
            <w:r w:rsidRPr="00380CD9">
              <w:t>13</w:t>
            </w:r>
            <w:r>
              <w:t>1</w:t>
            </w:r>
            <w:r w:rsidRPr="00380CD9">
              <w:t>9.</w:t>
            </w:r>
            <w:r>
              <w:t>9</w:t>
            </w:r>
          </w:p>
        </w:tc>
        <w:tc>
          <w:tcPr>
            <w:tcW w:w="945" w:type="dxa"/>
            <w:noWrap/>
            <w:vAlign w:val="bottom"/>
            <w:hideMark/>
          </w:tcPr>
          <w:p w:rsidR="000A0975" w:rsidRPr="00380CD9" w:rsidRDefault="000A0975" w:rsidP="000A0975">
            <w:pPr>
              <w:cnfStyle w:val="000000000000" w:firstRow="0" w:lastRow="0" w:firstColumn="0" w:lastColumn="0" w:oddVBand="0" w:evenVBand="0" w:oddHBand="0" w:evenHBand="0" w:firstRowFirstColumn="0" w:firstRowLastColumn="0" w:lastRowFirstColumn="0" w:lastRowLastColumn="0"/>
            </w:pPr>
            <w:r w:rsidRPr="00380CD9">
              <w:t>14</w:t>
            </w:r>
            <w:r>
              <w:t>77</w:t>
            </w:r>
            <w:r w:rsidRPr="00380CD9">
              <w:t>.</w:t>
            </w:r>
            <w:r>
              <w:t>5</w:t>
            </w:r>
          </w:p>
        </w:tc>
        <w:tc>
          <w:tcPr>
            <w:tcW w:w="945" w:type="dxa"/>
            <w:noWrap/>
            <w:vAlign w:val="bottom"/>
            <w:hideMark/>
          </w:tcPr>
          <w:p w:rsidR="000A0975" w:rsidRPr="00380CD9" w:rsidRDefault="000A0975" w:rsidP="000A0975">
            <w:pPr>
              <w:cnfStyle w:val="000000000000" w:firstRow="0" w:lastRow="0" w:firstColumn="0" w:lastColumn="0" w:oddVBand="0" w:evenVBand="0" w:oddHBand="0" w:evenHBand="0" w:firstRowFirstColumn="0" w:firstRowLastColumn="0" w:lastRowFirstColumn="0" w:lastRowLastColumn="0"/>
            </w:pPr>
            <w:r w:rsidRPr="00380CD9">
              <w:t>1</w:t>
            </w:r>
            <w:r>
              <w:t>4</w:t>
            </w:r>
            <w:r w:rsidRPr="00380CD9">
              <w:t>58.</w:t>
            </w:r>
            <w:r>
              <w:t>1</w:t>
            </w:r>
          </w:p>
        </w:tc>
        <w:tc>
          <w:tcPr>
            <w:tcW w:w="945" w:type="dxa"/>
            <w:noWrap/>
            <w:vAlign w:val="bottom"/>
            <w:hideMark/>
          </w:tcPr>
          <w:p w:rsidR="000A0975" w:rsidRPr="00380CD9" w:rsidRDefault="000A0975" w:rsidP="000A0975">
            <w:pPr>
              <w:cnfStyle w:val="000000000000" w:firstRow="0" w:lastRow="0" w:firstColumn="0" w:lastColumn="0" w:oddVBand="0" w:evenVBand="0" w:oddHBand="0" w:evenHBand="0" w:firstRowFirstColumn="0" w:firstRowLastColumn="0" w:lastRowFirstColumn="0" w:lastRowLastColumn="0"/>
            </w:pPr>
            <w:r w:rsidRPr="00380CD9">
              <w:t>68</w:t>
            </w:r>
            <w:r>
              <w:t>46</w:t>
            </w:r>
            <w:r w:rsidRPr="00380CD9">
              <w:t>.</w:t>
            </w:r>
            <w:r>
              <w:t>1</w:t>
            </w:r>
          </w:p>
        </w:tc>
      </w:tr>
      <w:tr w:rsidR="000A0975" w:rsidRPr="000A0975" w:rsidTr="000A097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0A0975" w:rsidRPr="000A0975" w:rsidRDefault="000A0975" w:rsidP="000A0975">
            <w:pPr>
              <w:rPr>
                <w:rStyle w:val="Strong"/>
              </w:rPr>
            </w:pPr>
            <w:r w:rsidRPr="000A0975">
              <w:rPr>
                <w:rStyle w:val="Strong"/>
              </w:rPr>
              <w:t>Annual expected revenue (smoothed)</w:t>
            </w:r>
          </w:p>
        </w:tc>
        <w:tc>
          <w:tcPr>
            <w:tcW w:w="945" w:type="dxa"/>
            <w:noWrap/>
            <w:vAlign w:val="bottom"/>
            <w:hideMark/>
          </w:tcPr>
          <w:p w:rsidR="000A0975" w:rsidRPr="000A0975" w:rsidRDefault="000A0975" w:rsidP="00A92116">
            <w:pPr>
              <w:cnfStyle w:val="000000010000" w:firstRow="0" w:lastRow="0" w:firstColumn="0" w:lastColumn="0" w:oddVBand="0" w:evenVBand="0" w:oddHBand="0" w:evenHBand="1" w:firstRowFirstColumn="0" w:firstRowLastColumn="0" w:lastRowFirstColumn="0" w:lastRowLastColumn="0"/>
              <w:rPr>
                <w:rStyle w:val="Strong"/>
              </w:rPr>
            </w:pPr>
            <w:r w:rsidRPr="000A0975">
              <w:rPr>
                <w:rStyle w:val="Strong"/>
              </w:rPr>
              <w:t>1</w:t>
            </w:r>
            <w:r w:rsidR="00A92116">
              <w:rPr>
                <w:rStyle w:val="Strong"/>
              </w:rPr>
              <w:t>291</w:t>
            </w:r>
            <w:r w:rsidRPr="000A0975">
              <w:rPr>
                <w:rStyle w:val="Strong"/>
              </w:rPr>
              <w:t>.</w:t>
            </w:r>
            <w:r w:rsidR="00A92116">
              <w:rPr>
                <w:rStyle w:val="Strong"/>
              </w:rPr>
              <w:t>7</w:t>
            </w:r>
          </w:p>
        </w:tc>
        <w:tc>
          <w:tcPr>
            <w:tcW w:w="945" w:type="dxa"/>
            <w:noWrap/>
            <w:vAlign w:val="bottom"/>
            <w:hideMark/>
          </w:tcPr>
          <w:p w:rsidR="000A0975" w:rsidRPr="000A0975" w:rsidRDefault="000A0975" w:rsidP="00A92116">
            <w:pPr>
              <w:cnfStyle w:val="000000010000" w:firstRow="0" w:lastRow="0" w:firstColumn="0" w:lastColumn="0" w:oddVBand="0" w:evenVBand="0" w:oddHBand="0" w:evenHBand="1" w:firstRowFirstColumn="0" w:firstRowLastColumn="0" w:lastRowFirstColumn="0" w:lastRowLastColumn="0"/>
              <w:rPr>
                <w:rStyle w:val="Strong"/>
              </w:rPr>
            </w:pPr>
            <w:r w:rsidRPr="000A0975">
              <w:rPr>
                <w:rStyle w:val="Strong"/>
              </w:rPr>
              <w:t>13</w:t>
            </w:r>
            <w:r w:rsidR="00A92116">
              <w:rPr>
                <w:rStyle w:val="Strong"/>
              </w:rPr>
              <w:t>32</w:t>
            </w:r>
            <w:r w:rsidRPr="000A0975">
              <w:rPr>
                <w:rStyle w:val="Strong"/>
              </w:rPr>
              <w:t>.</w:t>
            </w:r>
            <w:r w:rsidR="00A92116">
              <w:rPr>
                <w:rStyle w:val="Strong"/>
              </w:rPr>
              <w:t>6</w:t>
            </w:r>
          </w:p>
        </w:tc>
        <w:tc>
          <w:tcPr>
            <w:tcW w:w="945" w:type="dxa"/>
            <w:noWrap/>
            <w:vAlign w:val="bottom"/>
            <w:hideMark/>
          </w:tcPr>
          <w:p w:rsidR="000A0975" w:rsidRPr="000A0975" w:rsidRDefault="000A0975" w:rsidP="00A92116">
            <w:pPr>
              <w:cnfStyle w:val="000000010000" w:firstRow="0" w:lastRow="0" w:firstColumn="0" w:lastColumn="0" w:oddVBand="0" w:evenVBand="0" w:oddHBand="0" w:evenHBand="1" w:firstRowFirstColumn="0" w:firstRowLastColumn="0" w:lastRowFirstColumn="0" w:lastRowLastColumn="0"/>
              <w:rPr>
                <w:rStyle w:val="Strong"/>
              </w:rPr>
            </w:pPr>
            <w:r w:rsidRPr="000A0975">
              <w:rPr>
                <w:rStyle w:val="Strong"/>
              </w:rPr>
              <w:t>13</w:t>
            </w:r>
            <w:r w:rsidR="00A92116">
              <w:rPr>
                <w:rStyle w:val="Strong"/>
              </w:rPr>
              <w:t>66</w:t>
            </w:r>
            <w:r w:rsidRPr="000A0975">
              <w:rPr>
                <w:rStyle w:val="Strong"/>
              </w:rPr>
              <w:t>.</w:t>
            </w:r>
            <w:r w:rsidR="00A92116">
              <w:rPr>
                <w:rStyle w:val="Strong"/>
              </w:rPr>
              <w:t>0</w:t>
            </w:r>
          </w:p>
        </w:tc>
        <w:tc>
          <w:tcPr>
            <w:tcW w:w="945" w:type="dxa"/>
            <w:noWrap/>
            <w:vAlign w:val="bottom"/>
            <w:hideMark/>
          </w:tcPr>
          <w:p w:rsidR="000A0975" w:rsidRPr="000A0975" w:rsidRDefault="000A0975" w:rsidP="00A92116">
            <w:pPr>
              <w:cnfStyle w:val="000000010000" w:firstRow="0" w:lastRow="0" w:firstColumn="0" w:lastColumn="0" w:oddVBand="0" w:evenVBand="0" w:oddHBand="0" w:evenHBand="1" w:firstRowFirstColumn="0" w:firstRowLastColumn="0" w:lastRowFirstColumn="0" w:lastRowLastColumn="0"/>
              <w:rPr>
                <w:rStyle w:val="Strong"/>
              </w:rPr>
            </w:pPr>
            <w:r w:rsidRPr="000A0975">
              <w:rPr>
                <w:rStyle w:val="Strong"/>
              </w:rPr>
              <w:t>14</w:t>
            </w:r>
            <w:r w:rsidR="00A92116">
              <w:rPr>
                <w:rStyle w:val="Strong"/>
              </w:rPr>
              <w:t>00</w:t>
            </w:r>
            <w:r w:rsidRPr="000A0975">
              <w:rPr>
                <w:rStyle w:val="Strong"/>
              </w:rPr>
              <w:t>.</w:t>
            </w:r>
            <w:r w:rsidR="00A92116">
              <w:rPr>
                <w:rStyle w:val="Strong"/>
              </w:rPr>
              <w:t>1</w:t>
            </w:r>
          </w:p>
        </w:tc>
        <w:tc>
          <w:tcPr>
            <w:tcW w:w="945" w:type="dxa"/>
            <w:noWrap/>
            <w:vAlign w:val="bottom"/>
            <w:hideMark/>
          </w:tcPr>
          <w:p w:rsidR="000A0975" w:rsidRPr="000A0975" w:rsidRDefault="000A0975" w:rsidP="00A92116">
            <w:pPr>
              <w:cnfStyle w:val="000000010000" w:firstRow="0" w:lastRow="0" w:firstColumn="0" w:lastColumn="0" w:oddVBand="0" w:evenVBand="0" w:oddHBand="0" w:evenHBand="1" w:firstRowFirstColumn="0" w:firstRowLastColumn="0" w:lastRowFirstColumn="0" w:lastRowLastColumn="0"/>
              <w:rPr>
                <w:rStyle w:val="Strong"/>
              </w:rPr>
            </w:pPr>
            <w:r w:rsidRPr="000A0975">
              <w:rPr>
                <w:rStyle w:val="Strong"/>
              </w:rPr>
              <w:t>1</w:t>
            </w:r>
            <w:r w:rsidR="00A92116">
              <w:rPr>
                <w:rStyle w:val="Strong"/>
              </w:rPr>
              <w:t>446</w:t>
            </w:r>
            <w:r w:rsidRPr="000A0975">
              <w:rPr>
                <w:rStyle w:val="Strong"/>
              </w:rPr>
              <w:t>.9</w:t>
            </w:r>
          </w:p>
        </w:tc>
        <w:tc>
          <w:tcPr>
            <w:tcW w:w="945" w:type="dxa"/>
            <w:noWrap/>
            <w:vAlign w:val="bottom"/>
            <w:hideMark/>
          </w:tcPr>
          <w:p w:rsidR="000A0975" w:rsidRPr="000A0975" w:rsidRDefault="00A92116" w:rsidP="00A9211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6837</w:t>
            </w:r>
            <w:r w:rsidR="000A0975" w:rsidRPr="000A0975">
              <w:rPr>
                <w:rStyle w:val="Strong"/>
              </w:rPr>
              <w:t>.</w:t>
            </w:r>
            <w:r>
              <w:rPr>
                <w:rStyle w:val="Strong"/>
              </w:rPr>
              <w:t>4</w:t>
            </w:r>
          </w:p>
        </w:tc>
      </w:tr>
      <w:tr w:rsidR="000A0975" w:rsidRPr="00380CD9" w:rsidTr="000A0975">
        <w:trPr>
          <w:trHeight w:val="306"/>
        </w:trPr>
        <w:tc>
          <w:tcPr>
            <w:cnfStyle w:val="001000000000" w:firstRow="0" w:lastRow="0" w:firstColumn="1" w:lastColumn="0" w:oddVBand="0" w:evenVBand="0" w:oddHBand="0" w:evenHBand="0" w:firstRowFirstColumn="0" w:firstRowLastColumn="0" w:lastRowFirstColumn="0" w:lastRowLastColumn="0"/>
            <w:tcW w:w="3085" w:type="dxa"/>
            <w:noWrap/>
            <w:hideMark/>
          </w:tcPr>
          <w:p w:rsidR="000A0975" w:rsidRPr="00380CD9" w:rsidRDefault="000A0975" w:rsidP="000A0975">
            <w:r w:rsidRPr="00380CD9">
              <w:t>X factor</w:t>
            </w:r>
          </w:p>
        </w:tc>
        <w:tc>
          <w:tcPr>
            <w:tcW w:w="945" w:type="dxa"/>
            <w:noWrap/>
            <w:vAlign w:val="bottom"/>
            <w:hideMark/>
          </w:tcPr>
          <w:p w:rsidR="000A0975" w:rsidRPr="00380CD9" w:rsidRDefault="00A92116" w:rsidP="000A0975">
            <w:pPr>
              <w:cnfStyle w:val="000000000000" w:firstRow="0" w:lastRow="0" w:firstColumn="0" w:lastColumn="0" w:oddVBand="0" w:evenVBand="0" w:oddHBand="0" w:evenHBand="0" w:firstRowFirstColumn="0" w:firstRowLastColumn="0" w:lastRowFirstColumn="0" w:lastRowLastColumn="0"/>
            </w:pPr>
            <w:r>
              <w:t>10.28</w:t>
            </w:r>
            <w:r w:rsidR="000A0975" w:rsidRPr="00380CD9">
              <w:t>%</w:t>
            </w:r>
          </w:p>
        </w:tc>
        <w:tc>
          <w:tcPr>
            <w:tcW w:w="945" w:type="dxa"/>
            <w:noWrap/>
            <w:vAlign w:val="bottom"/>
            <w:hideMark/>
          </w:tcPr>
          <w:p w:rsidR="000A0975" w:rsidRPr="00380CD9" w:rsidRDefault="00A92116" w:rsidP="00A92116">
            <w:pPr>
              <w:cnfStyle w:val="000000000000" w:firstRow="0" w:lastRow="0" w:firstColumn="0" w:lastColumn="0" w:oddVBand="0" w:evenVBand="0" w:oddHBand="0" w:evenHBand="0" w:firstRowFirstColumn="0" w:firstRowLastColumn="0" w:lastRowFirstColumn="0" w:lastRowLastColumn="0"/>
            </w:pPr>
            <w:r>
              <w:t>–0.65</w:t>
            </w:r>
            <w:r w:rsidR="000A0975" w:rsidRPr="00380CD9">
              <w:t>%</w:t>
            </w:r>
          </w:p>
        </w:tc>
        <w:tc>
          <w:tcPr>
            <w:tcW w:w="945" w:type="dxa"/>
            <w:noWrap/>
            <w:vAlign w:val="bottom"/>
            <w:hideMark/>
          </w:tcPr>
          <w:p w:rsidR="000A0975" w:rsidRPr="00380CD9" w:rsidRDefault="00A92116" w:rsidP="00A92116">
            <w:pPr>
              <w:cnfStyle w:val="000000000000" w:firstRow="0" w:lastRow="0" w:firstColumn="0" w:lastColumn="0" w:oddVBand="0" w:evenVBand="0" w:oddHBand="0" w:evenHBand="0" w:firstRowFirstColumn="0" w:firstRowLastColumn="0" w:lastRowFirstColumn="0" w:lastRowLastColumn="0"/>
            </w:pPr>
            <w:r>
              <w:t>–0.01</w:t>
            </w:r>
            <w:r w:rsidR="000A0975" w:rsidRPr="00380CD9">
              <w:t>%</w:t>
            </w:r>
          </w:p>
        </w:tc>
        <w:tc>
          <w:tcPr>
            <w:tcW w:w="945" w:type="dxa"/>
            <w:noWrap/>
            <w:vAlign w:val="bottom"/>
            <w:hideMark/>
          </w:tcPr>
          <w:p w:rsidR="000A0975" w:rsidRPr="00380CD9" w:rsidRDefault="00A92116" w:rsidP="00A92116">
            <w:pPr>
              <w:cnfStyle w:val="000000000000" w:firstRow="0" w:lastRow="0" w:firstColumn="0" w:lastColumn="0" w:oddVBand="0" w:evenVBand="0" w:oddHBand="0" w:evenHBand="0" w:firstRowFirstColumn="0" w:firstRowLastColumn="0" w:lastRowFirstColumn="0" w:lastRowLastColumn="0"/>
            </w:pPr>
            <w:r>
              <w:t>0.01</w:t>
            </w:r>
            <w:r w:rsidR="000A0975" w:rsidRPr="00380CD9">
              <w:t>%</w:t>
            </w:r>
          </w:p>
        </w:tc>
        <w:tc>
          <w:tcPr>
            <w:tcW w:w="945" w:type="dxa"/>
            <w:noWrap/>
            <w:vAlign w:val="bottom"/>
            <w:hideMark/>
          </w:tcPr>
          <w:p w:rsidR="000A0975" w:rsidRPr="00380CD9" w:rsidRDefault="00A92116" w:rsidP="00A92116">
            <w:pPr>
              <w:cnfStyle w:val="000000000000" w:firstRow="0" w:lastRow="0" w:firstColumn="0" w:lastColumn="0" w:oddVBand="0" w:evenVBand="0" w:oddHBand="0" w:evenHBand="0" w:firstRowFirstColumn="0" w:firstRowLastColumn="0" w:lastRowFirstColumn="0" w:lastRowLastColumn="0"/>
            </w:pPr>
            <w:r>
              <w:t>–0.82</w:t>
            </w:r>
            <w:r w:rsidR="000A0975" w:rsidRPr="00380CD9">
              <w:t>%</w:t>
            </w:r>
          </w:p>
        </w:tc>
        <w:tc>
          <w:tcPr>
            <w:tcW w:w="945" w:type="dxa"/>
            <w:noWrap/>
            <w:vAlign w:val="bottom"/>
            <w:hideMark/>
          </w:tcPr>
          <w:p w:rsidR="000A0975" w:rsidRPr="00380CD9" w:rsidRDefault="000A0975" w:rsidP="000A0975">
            <w:pPr>
              <w:cnfStyle w:val="000000000000" w:firstRow="0" w:lastRow="0" w:firstColumn="0" w:lastColumn="0" w:oddVBand="0" w:evenVBand="0" w:oddHBand="0" w:evenHBand="0" w:firstRowFirstColumn="0" w:firstRowLastColumn="0" w:lastRowFirstColumn="0" w:lastRowLastColumn="0"/>
            </w:pPr>
            <w:r w:rsidRPr="00380CD9">
              <w:t>n/a</w:t>
            </w:r>
          </w:p>
        </w:tc>
      </w:tr>
    </w:tbl>
    <w:p w:rsidR="00380CD9" w:rsidRDefault="00380CD9" w:rsidP="00380CD9">
      <w:pPr>
        <w:pStyle w:val="AERtablesource"/>
      </w:pPr>
      <w:r>
        <w:t>Source:</w:t>
      </w:r>
      <w:r>
        <w:tab/>
        <w:t xml:space="preserve">Essential Energy, </w:t>
      </w:r>
      <w:r w:rsidRPr="00937BE1">
        <w:rPr>
          <w:rStyle w:val="AERtextitalic"/>
        </w:rPr>
        <w:t>R</w:t>
      </w:r>
      <w:r w:rsidR="009761BF">
        <w:rPr>
          <w:rStyle w:val="AERtextitalic"/>
        </w:rPr>
        <w:t>evised re</w:t>
      </w:r>
      <w:r w:rsidRPr="00937BE1">
        <w:rPr>
          <w:rStyle w:val="AERtextitalic"/>
        </w:rPr>
        <w:t>gulatory proposal</w:t>
      </w:r>
      <w:r w:rsidRPr="00937BE1">
        <w:t xml:space="preserve">, </w:t>
      </w:r>
      <w:r w:rsidR="009761BF">
        <w:t>January</w:t>
      </w:r>
      <w:r w:rsidRPr="00937BE1">
        <w:t xml:space="preserve"> 201</w:t>
      </w:r>
      <w:r w:rsidR="009761BF">
        <w:t>5</w:t>
      </w:r>
      <w:r w:rsidRPr="00937BE1">
        <w:t>,</w:t>
      </w:r>
      <w:r>
        <w:t xml:space="preserve"> Attachment 5.5.</w:t>
      </w:r>
    </w:p>
    <w:p w:rsidR="00380CD9" w:rsidRDefault="00380CD9" w:rsidP="00380CD9">
      <w:pPr>
        <w:pStyle w:val="AERtablesource"/>
      </w:pPr>
      <w:r w:rsidRPr="00D60068">
        <w:t>(a)</w:t>
      </w:r>
      <w:r w:rsidRPr="00D60068">
        <w:tab/>
        <w:t>Regulatory depreciation is straight-line depreciation net of the inflation indexation on the opening RAB.</w:t>
      </w:r>
    </w:p>
    <w:p w:rsidR="000A0975" w:rsidRDefault="000A0975" w:rsidP="000A0975">
      <w:pPr>
        <w:pStyle w:val="AERtablesource"/>
      </w:pPr>
      <w:r>
        <w:t>(b)</w:t>
      </w:r>
      <w:r>
        <w:tab/>
      </w:r>
      <w:r w:rsidRPr="005B601A">
        <w:t>These are the net costs of metering and ancillary network services</w:t>
      </w:r>
      <w:r>
        <w:t xml:space="preserve"> and emergency recoverable works</w:t>
      </w:r>
      <w:r w:rsidRPr="005B601A">
        <w:t>. They reflect the difference between the costs and any offsetting revenues recovered by the service provider through separate charges.</w:t>
      </w:r>
    </w:p>
    <w:p w:rsidR="001A0DE4" w:rsidRPr="001A0DE4" w:rsidRDefault="001A0DE4" w:rsidP="001A0DE4"/>
    <w:p w:rsidR="00DE563D" w:rsidRDefault="00DE563D" w:rsidP="001754EE">
      <w:pPr>
        <w:pStyle w:val="Heading2"/>
      </w:pPr>
      <w:bookmarkStart w:id="18" w:name="_Toc403144138"/>
      <w:bookmarkStart w:id="19" w:name="_Toc416172657"/>
      <w:r w:rsidRPr="001754EE">
        <w:lastRenderedPageBreak/>
        <w:t>AER’s</w:t>
      </w:r>
      <w:r>
        <w:t xml:space="preserve"> assessment approach</w:t>
      </w:r>
      <w:bookmarkEnd w:id="18"/>
      <w:bookmarkEnd w:id="19"/>
    </w:p>
    <w:p w:rsidR="008A1052" w:rsidRDefault="008A1052" w:rsidP="008A1052">
      <w:r w:rsidRPr="00BD5D87">
        <w:t xml:space="preserve">We did not change our assessment approach for the </w:t>
      </w:r>
      <w:r>
        <w:t>ARR</w:t>
      </w:r>
      <w:r w:rsidRPr="00BD5D87">
        <w:t xml:space="preserve"> from our draft decision. Section 1.3 of our draft decision details that approach.</w:t>
      </w:r>
      <w:r w:rsidR="00B10FCC">
        <w:t xml:space="preserve"> </w:t>
      </w:r>
      <w:r w:rsidR="00B10FCC" w:rsidRPr="00B10FCC">
        <w:t xml:space="preserve">As noted in the draft decision, we have reviewed our revenue smoothing for the final decision and this is discussed further in section </w:t>
      </w:r>
      <w:r w:rsidR="00B10FCC">
        <w:fldChar w:fldCharType="begin"/>
      </w:r>
      <w:r w:rsidR="00B10FCC">
        <w:instrText xml:space="preserve"> REF _Ref416176586 \r \h </w:instrText>
      </w:r>
      <w:r w:rsidR="00B10FCC">
        <w:fldChar w:fldCharType="separate"/>
      </w:r>
      <w:r w:rsidR="00C836EF">
        <w:t>1.4.2</w:t>
      </w:r>
      <w:r w:rsidR="00B10FCC">
        <w:fldChar w:fldCharType="end"/>
      </w:r>
      <w:r w:rsidR="00B10FCC" w:rsidRPr="00B10FCC">
        <w:t>.</w:t>
      </w:r>
    </w:p>
    <w:p w:rsidR="00DE563D" w:rsidRDefault="00DE563D" w:rsidP="001060DE">
      <w:pPr>
        <w:pStyle w:val="Heading2"/>
      </w:pPr>
      <w:bookmarkStart w:id="20" w:name="_Toc403144140"/>
      <w:bookmarkStart w:id="21" w:name="_Toc416172658"/>
      <w:r w:rsidRPr="001754EE">
        <w:t>Reasons</w:t>
      </w:r>
      <w:r>
        <w:t xml:space="preserve"> for </w:t>
      </w:r>
      <w:r w:rsidR="002016E7">
        <w:t>final</w:t>
      </w:r>
      <w:r>
        <w:t xml:space="preserve"> decision</w:t>
      </w:r>
      <w:bookmarkEnd w:id="20"/>
      <w:bookmarkEnd w:id="21"/>
      <w:r>
        <w:t xml:space="preserve"> </w:t>
      </w:r>
    </w:p>
    <w:p w:rsidR="008A1052" w:rsidRPr="001615F2" w:rsidRDefault="009E2AD9" w:rsidP="008A1052">
      <w:pPr>
        <w:numPr>
          <w:ilvl w:val="0"/>
          <w:numId w:val="25"/>
        </w:numPr>
      </w:pPr>
      <w:r>
        <w:t>For this final decision, w</w:t>
      </w:r>
      <w:r w:rsidR="008A1052" w:rsidRPr="001615F2">
        <w:t xml:space="preserve">e determine </w:t>
      </w:r>
      <w:r w:rsidR="008A1052">
        <w:t xml:space="preserve">a </w:t>
      </w:r>
      <w:r w:rsidR="008A1052" w:rsidRPr="001615F2">
        <w:t xml:space="preserve">total </w:t>
      </w:r>
      <w:r w:rsidR="008A1052">
        <w:t>revenue requirement</w:t>
      </w:r>
      <w:r w:rsidR="008A1052" w:rsidRPr="001615F2">
        <w:t xml:space="preserve"> of $</w:t>
      </w:r>
      <w:r w:rsidR="007C214C">
        <w:t>51</w:t>
      </w:r>
      <w:r w:rsidR="00DA08E9">
        <w:t>7</w:t>
      </w:r>
      <w:r w:rsidR="005457A0">
        <w:t>6.</w:t>
      </w:r>
      <w:r w:rsidR="006A2B0A">
        <w:t>0</w:t>
      </w:r>
      <w:r w:rsidR="008A1052" w:rsidRPr="001615F2">
        <w:t> million ($</w:t>
      </w:r>
      <w:r w:rsidR="005457A0">
        <w:t> </w:t>
      </w:r>
      <w:r w:rsidR="008A1052" w:rsidRPr="001615F2">
        <w:t xml:space="preserve">nominal) for </w:t>
      </w:r>
      <w:r w:rsidR="008A1052">
        <w:t xml:space="preserve">Essential Energy over </w:t>
      </w:r>
      <w:r w:rsidR="008A1052" w:rsidRPr="001615F2">
        <w:t>the 2014–19 period. This is $</w:t>
      </w:r>
      <w:r w:rsidR="007C214C">
        <w:t>16</w:t>
      </w:r>
      <w:r w:rsidR="006A2B0A">
        <w:t>70.1</w:t>
      </w:r>
      <w:r w:rsidR="008A1052">
        <w:t xml:space="preserve"> </w:t>
      </w:r>
      <w:r w:rsidR="008A1052" w:rsidRPr="001615F2">
        <w:t xml:space="preserve">million ($ nominal) or </w:t>
      </w:r>
      <w:r w:rsidR="007C214C">
        <w:t>24.</w:t>
      </w:r>
      <w:r w:rsidR="00DA08E9">
        <w:t>4</w:t>
      </w:r>
      <w:r w:rsidR="008A1052" w:rsidRPr="001615F2">
        <w:t xml:space="preserve"> per cent below </w:t>
      </w:r>
      <w:r w:rsidR="008A1052">
        <w:t>Essential</w:t>
      </w:r>
      <w:r w:rsidR="008A1052" w:rsidRPr="001615F2">
        <w:t xml:space="preserve"> Energy's </w:t>
      </w:r>
      <w:r w:rsidR="009761BF">
        <w:t xml:space="preserve">revised </w:t>
      </w:r>
      <w:r w:rsidR="008A1052" w:rsidRPr="001615F2">
        <w:t xml:space="preserve">proposal and reflects the impact of our </w:t>
      </w:r>
      <w:r w:rsidR="009761BF">
        <w:t xml:space="preserve">final </w:t>
      </w:r>
      <w:r w:rsidR="008A1052" w:rsidRPr="001615F2">
        <w:t xml:space="preserve">decision on the various building block costs. </w:t>
      </w:r>
      <w:r w:rsidR="008A1052" w:rsidRPr="001615F2">
        <w:fldChar w:fldCharType="begin"/>
      </w:r>
      <w:r w:rsidR="008A1052" w:rsidRPr="001615F2">
        <w:instrText xml:space="preserve"> REF _Ref398709260 \h </w:instrText>
      </w:r>
      <w:r w:rsidR="008A1052" w:rsidRPr="001615F2">
        <w:fldChar w:fldCharType="separate"/>
      </w:r>
      <w:r w:rsidR="00C836EF" w:rsidRPr="001615F2">
        <w:t xml:space="preserve">Figure </w:t>
      </w:r>
      <w:r w:rsidR="00C836EF">
        <w:rPr>
          <w:noProof/>
        </w:rPr>
        <w:t>1</w:t>
      </w:r>
      <w:r w:rsidR="00C836EF">
        <w:t>.</w:t>
      </w:r>
      <w:r w:rsidR="00C836EF">
        <w:rPr>
          <w:noProof/>
        </w:rPr>
        <w:t>2</w:t>
      </w:r>
      <w:r w:rsidR="008A1052" w:rsidRPr="001615F2">
        <w:fldChar w:fldCharType="end"/>
      </w:r>
      <w:r w:rsidR="008A1052" w:rsidRPr="001615F2">
        <w:t xml:space="preserve"> shows the difference between </w:t>
      </w:r>
      <w:r w:rsidR="008A1052">
        <w:t>Essential</w:t>
      </w:r>
      <w:r w:rsidR="008A1052" w:rsidRPr="001615F2">
        <w:t xml:space="preserve"> Energy's </w:t>
      </w:r>
      <w:r w:rsidR="009761BF">
        <w:t xml:space="preserve">revised </w:t>
      </w:r>
      <w:r w:rsidR="008A1052" w:rsidRPr="001615F2">
        <w:t xml:space="preserve">proposed ARRs and our </w:t>
      </w:r>
      <w:r w:rsidR="009761BF">
        <w:t>final</w:t>
      </w:r>
      <w:r w:rsidR="008A1052" w:rsidRPr="001615F2">
        <w:t xml:space="preserve"> decision.</w:t>
      </w:r>
    </w:p>
    <w:p w:rsidR="008A1052" w:rsidRPr="001615F2" w:rsidRDefault="008A1052" w:rsidP="008A1052">
      <w:pPr>
        <w:pStyle w:val="Caption"/>
      </w:pPr>
      <w:bookmarkStart w:id="22" w:name="_Ref398709260"/>
      <w:proofErr w:type="gramStart"/>
      <w:r w:rsidRPr="001615F2">
        <w:t xml:space="preserve">Figure </w:t>
      </w:r>
      <w:proofErr w:type="gramEnd"/>
      <w:r w:rsidRPr="00020DFC">
        <w:fldChar w:fldCharType="begin"/>
      </w:r>
      <w:r>
        <w:instrText xml:space="preserve"> STYLEREF 1 \s </w:instrText>
      </w:r>
      <w:r w:rsidRPr="00020DFC">
        <w:fldChar w:fldCharType="separate"/>
      </w:r>
      <w:r w:rsidR="00C836EF">
        <w:rPr>
          <w:noProof/>
        </w:rPr>
        <w:t>1</w:t>
      </w:r>
      <w:r w:rsidRPr="00020DFC">
        <w:fldChar w:fldCharType="end"/>
      </w:r>
      <w:proofErr w:type="gramStart"/>
      <w:r w:rsidR="00DA055C">
        <w:t>.</w:t>
      </w:r>
      <w:proofErr w:type="gramEnd"/>
      <w:r w:rsidRPr="00020DFC">
        <w:fldChar w:fldCharType="begin"/>
      </w:r>
      <w:r>
        <w:instrText xml:space="preserve"> SEQ Figure \* ARABIC \s 1 </w:instrText>
      </w:r>
      <w:r w:rsidRPr="00020DFC">
        <w:fldChar w:fldCharType="separate"/>
      </w:r>
      <w:r w:rsidR="00C836EF">
        <w:rPr>
          <w:noProof/>
        </w:rPr>
        <w:t>2</w:t>
      </w:r>
      <w:r w:rsidRPr="00020DFC">
        <w:fldChar w:fldCharType="end"/>
      </w:r>
      <w:bookmarkEnd w:id="22"/>
      <w:r w:rsidRPr="001615F2">
        <w:tab/>
        <w:t xml:space="preserve">AER's </w:t>
      </w:r>
      <w:r w:rsidR="007C214C">
        <w:t xml:space="preserve">draft and </w:t>
      </w:r>
      <w:r w:rsidR="009761BF">
        <w:t>final</w:t>
      </w:r>
      <w:r w:rsidRPr="001615F2">
        <w:t xml:space="preserve"> decision </w:t>
      </w:r>
      <w:r>
        <w:t>and Essential Energy's</w:t>
      </w:r>
      <w:r w:rsidR="009761BF">
        <w:t xml:space="preserve"> revised</w:t>
      </w:r>
      <w:r>
        <w:t xml:space="preserve"> proposed annual revenue requirement </w:t>
      </w:r>
      <w:r w:rsidRPr="001615F2">
        <w:t>($million, nominal)</w:t>
      </w:r>
    </w:p>
    <w:p w:rsidR="008A1052" w:rsidRPr="001615F2" w:rsidRDefault="006A2B0A" w:rsidP="006A2B0A">
      <w:pPr>
        <w:numPr>
          <w:ilvl w:val="0"/>
          <w:numId w:val="25"/>
        </w:numPr>
      </w:pPr>
      <w:r w:rsidRPr="006A2B0A">
        <w:rPr>
          <w:noProof/>
          <w:lang w:eastAsia="en-AU"/>
        </w:rPr>
        <w:drawing>
          <wp:inline distT="0" distB="0" distL="0" distR="0" wp14:anchorId="52803A95" wp14:editId="1C5449B6">
            <wp:extent cx="5382895" cy="3934067"/>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934067"/>
                    </a:xfrm>
                    <a:prstGeom prst="rect">
                      <a:avLst/>
                    </a:prstGeom>
                    <a:noFill/>
                    <a:ln>
                      <a:noFill/>
                    </a:ln>
                  </pic:spPr>
                </pic:pic>
              </a:graphicData>
            </a:graphic>
          </wp:inline>
        </w:drawing>
      </w:r>
    </w:p>
    <w:p w:rsidR="008A1052" w:rsidRPr="00E44BE0" w:rsidRDefault="008A1052" w:rsidP="008A1052">
      <w:pPr>
        <w:pStyle w:val="AERtablesource"/>
      </w:pPr>
      <w:r w:rsidRPr="00E44BE0">
        <w:t>Source:</w:t>
      </w:r>
      <w:r w:rsidRPr="00E44BE0">
        <w:tab/>
        <w:t>AER analysis</w:t>
      </w:r>
      <w:r>
        <w:t xml:space="preserve">; </w:t>
      </w:r>
      <w:r w:rsidRPr="00E44BE0">
        <w:t xml:space="preserve">Essential </w:t>
      </w:r>
      <w:r>
        <w:t>E</w:t>
      </w:r>
      <w:r w:rsidRPr="00E44BE0">
        <w:t xml:space="preserve">nergy, </w:t>
      </w:r>
      <w:r w:rsidRPr="00E44BE0">
        <w:rPr>
          <w:rStyle w:val="AERtextitalic"/>
        </w:rPr>
        <w:t>R</w:t>
      </w:r>
      <w:r w:rsidR="009761BF">
        <w:rPr>
          <w:rStyle w:val="AERtextitalic"/>
        </w:rPr>
        <w:t>evised r</w:t>
      </w:r>
      <w:r w:rsidRPr="00E44BE0">
        <w:rPr>
          <w:rStyle w:val="AERtextitalic"/>
        </w:rPr>
        <w:t>egulatory proposal</w:t>
      </w:r>
      <w:r w:rsidRPr="00E44BE0">
        <w:t xml:space="preserve">, </w:t>
      </w:r>
      <w:r w:rsidR="009761BF">
        <w:t>January</w:t>
      </w:r>
      <w:r w:rsidRPr="00E44BE0">
        <w:t xml:space="preserve"> 201</w:t>
      </w:r>
      <w:r w:rsidR="009761BF">
        <w:t>5</w:t>
      </w:r>
      <w:r w:rsidRPr="00E44BE0">
        <w:t xml:space="preserve">, Attachment </w:t>
      </w:r>
      <w:r w:rsidR="009761BF">
        <w:t>5</w:t>
      </w:r>
      <w:r w:rsidRPr="00E44BE0">
        <w:t>.</w:t>
      </w:r>
      <w:r w:rsidR="009761BF">
        <w:t>5</w:t>
      </w:r>
      <w:r w:rsidRPr="00E44BE0">
        <w:t>.</w:t>
      </w:r>
    </w:p>
    <w:p w:rsidR="008A1052" w:rsidRDefault="008A1052" w:rsidP="008A1052">
      <w:pPr>
        <w:numPr>
          <w:ilvl w:val="0"/>
          <w:numId w:val="25"/>
        </w:numPr>
      </w:pPr>
      <w:r w:rsidRPr="001615F2">
        <w:t xml:space="preserve">The most significant changes to </w:t>
      </w:r>
      <w:r>
        <w:t>Essential</w:t>
      </w:r>
      <w:r w:rsidRPr="001615F2">
        <w:t xml:space="preserve"> Energy's </w:t>
      </w:r>
      <w:r w:rsidR="009761BF">
        <w:t xml:space="preserve">revised </w:t>
      </w:r>
      <w:r w:rsidRPr="001615F2">
        <w:t xml:space="preserve">proposal include; a </w:t>
      </w:r>
      <w:r>
        <w:t xml:space="preserve">reduction in the </w:t>
      </w:r>
      <w:r w:rsidRPr="001615F2">
        <w:t xml:space="preserve">rate of return of </w:t>
      </w:r>
      <w:r w:rsidR="007C214C">
        <w:t>2.1</w:t>
      </w:r>
      <w:r w:rsidRPr="001615F2">
        <w:t xml:space="preserve"> per cent </w:t>
      </w:r>
      <w:r w:rsidR="007C214C">
        <w:t xml:space="preserve">for 2014–15 and 2.2 per cent for 2015–19 </w:t>
      </w:r>
      <w:r w:rsidRPr="001615F2">
        <w:t xml:space="preserve">(attachment </w:t>
      </w:r>
      <w:r>
        <w:t>3</w:t>
      </w:r>
      <w:r w:rsidRPr="001615F2">
        <w:t xml:space="preserve">), a reduction in the capex allowance of </w:t>
      </w:r>
      <w:r w:rsidR="009868FE">
        <w:t>8.1</w:t>
      </w:r>
      <w:r w:rsidRPr="001615F2">
        <w:t xml:space="preserve"> per cent (attachment </w:t>
      </w:r>
      <w:r>
        <w:t>6</w:t>
      </w:r>
      <w:r w:rsidRPr="001615F2">
        <w:t xml:space="preserve">), and a reduction in the </w:t>
      </w:r>
      <w:proofErr w:type="spellStart"/>
      <w:r w:rsidRPr="001615F2">
        <w:t>opex</w:t>
      </w:r>
      <w:proofErr w:type="spellEnd"/>
      <w:r w:rsidRPr="001615F2">
        <w:t xml:space="preserve"> allowance of </w:t>
      </w:r>
      <w:r w:rsidR="00182D36">
        <w:t>30.</w:t>
      </w:r>
      <w:r w:rsidR="005457A0">
        <w:t>0</w:t>
      </w:r>
      <w:r w:rsidRPr="001615F2">
        <w:t xml:space="preserve"> per cent (attachment </w:t>
      </w:r>
      <w:r>
        <w:t>7</w:t>
      </w:r>
      <w:r w:rsidRPr="001615F2">
        <w:t xml:space="preserve">). </w:t>
      </w:r>
    </w:p>
    <w:p w:rsidR="001A0DE4" w:rsidRPr="001615F2" w:rsidRDefault="001A0DE4" w:rsidP="008A1052">
      <w:pPr>
        <w:numPr>
          <w:ilvl w:val="0"/>
          <w:numId w:val="25"/>
        </w:numPr>
      </w:pPr>
    </w:p>
    <w:p w:rsidR="008A1052" w:rsidRPr="008A1052" w:rsidRDefault="008A1052" w:rsidP="008A1052">
      <w:pPr>
        <w:pStyle w:val="Heading3"/>
      </w:pPr>
      <w:bookmarkStart w:id="23" w:name="_Ref398728006"/>
      <w:bookmarkStart w:id="24" w:name="_Toc404323674"/>
      <w:bookmarkStart w:id="25" w:name="_Toc416172659"/>
      <w:r w:rsidRPr="00020DFC">
        <w:lastRenderedPageBreak/>
        <w:t xml:space="preserve">Revenue </w:t>
      </w:r>
      <w:r w:rsidR="00E47A40">
        <w:t>true-up</w:t>
      </w:r>
      <w:r w:rsidR="00E47A40" w:rsidRPr="00020DFC">
        <w:t xml:space="preserve"> </w:t>
      </w:r>
      <w:r w:rsidRPr="00020DFC">
        <w:t>for transitional year</w:t>
      </w:r>
      <w:bookmarkEnd w:id="23"/>
      <w:bookmarkEnd w:id="24"/>
      <w:bookmarkEnd w:id="25"/>
    </w:p>
    <w:p w:rsidR="009761BF" w:rsidRDefault="009761BF" w:rsidP="009761BF">
      <w:pPr>
        <w:numPr>
          <w:ilvl w:val="0"/>
          <w:numId w:val="25"/>
        </w:numPr>
      </w:pPr>
      <w:r>
        <w:t>T</w:t>
      </w:r>
      <w:r w:rsidRPr="001615F2">
        <w:t>he five regulatory years f</w:t>
      </w:r>
      <w:r w:rsidR="009E2AD9">
        <w:t>o</w:t>
      </w:r>
      <w:r w:rsidRPr="001615F2">
        <w:t>r 2014–19 are split over two regulatory control periods due to the transitional rules. There is a 'transitional regulatory control period' for 2014–15, and a 'subsequent regulatory control period' from 2015–19.</w:t>
      </w:r>
      <w:r w:rsidR="006D527E">
        <w:rPr>
          <w:rStyle w:val="FootnoteReference"/>
        </w:rPr>
        <w:footnoteReference w:id="4"/>
      </w:r>
      <w:r w:rsidRPr="001615F2">
        <w:t xml:space="preserve"> </w:t>
      </w:r>
      <w:r>
        <w:t>We are</w:t>
      </w:r>
      <w:r w:rsidRPr="001615F2">
        <w:t xml:space="preserve"> required to make both a decision on transitional </w:t>
      </w:r>
      <w:r>
        <w:t xml:space="preserve">placeholder </w:t>
      </w:r>
      <w:r w:rsidRPr="001615F2">
        <w:t xml:space="preserve">revenue for 2014–15 and then a decision </w:t>
      </w:r>
      <w:r>
        <w:t xml:space="preserve">on the revenues </w:t>
      </w:r>
      <w:r w:rsidRPr="001615F2">
        <w:t>for the full 2014</w:t>
      </w:r>
      <w:r>
        <w:t>–</w:t>
      </w:r>
      <w:r w:rsidRPr="001615F2">
        <w:t>19 period.</w:t>
      </w:r>
      <w:r w:rsidR="006D527E">
        <w:rPr>
          <w:rStyle w:val="FootnoteReference"/>
        </w:rPr>
        <w:footnoteReference w:id="5"/>
      </w:r>
      <w:r w:rsidRPr="001615F2">
        <w:t xml:space="preserve"> </w:t>
      </w:r>
    </w:p>
    <w:p w:rsidR="00211DC9" w:rsidRPr="001615F2" w:rsidRDefault="00211DC9" w:rsidP="00211DC9">
      <w:pPr>
        <w:numPr>
          <w:ilvl w:val="0"/>
          <w:numId w:val="25"/>
        </w:numPr>
      </w:pPr>
      <w:r w:rsidRPr="001615F2">
        <w:t xml:space="preserve">In April 2014, </w:t>
      </w:r>
      <w:r>
        <w:t xml:space="preserve">as required under the transitional rules, we </w:t>
      </w:r>
      <w:r w:rsidRPr="009A2864">
        <w:t>conduct</w:t>
      </w:r>
      <w:r>
        <w:t>ed</w:t>
      </w:r>
      <w:r w:rsidRPr="009A2864">
        <w:t xml:space="preserve"> a high level review of </w:t>
      </w:r>
      <w:r>
        <w:t>Essential Energy's</w:t>
      </w:r>
      <w:r w:rsidRPr="009A2864">
        <w:t xml:space="preserve"> proposed revenue requirement for </w:t>
      </w:r>
      <w:r>
        <w:t xml:space="preserve">its </w:t>
      </w:r>
      <w:r w:rsidRPr="009A2864">
        <w:t xml:space="preserve">transitional </w:t>
      </w:r>
      <w:r>
        <w:t>regulatory control period</w:t>
      </w:r>
      <w:r w:rsidRPr="009A2864">
        <w:t xml:space="preserve"> (</w:t>
      </w:r>
      <w:r>
        <w:t>2014–15</w:t>
      </w:r>
      <w:r w:rsidRPr="009A2864">
        <w:t>)</w:t>
      </w:r>
      <w:r>
        <w:t>.</w:t>
      </w:r>
      <w:r w:rsidRPr="009A2864">
        <w:t xml:space="preserve"> </w:t>
      </w:r>
      <w:r>
        <w:t>We determined a placeholder revenue allowance of $1291.7 million ($ nominal) for Essential Energy in the transitional determination</w:t>
      </w:r>
      <w:r w:rsidRPr="001615F2">
        <w:t>.</w:t>
      </w:r>
      <w:r w:rsidR="006D527E" w:rsidRPr="006D527E">
        <w:rPr>
          <w:rStyle w:val="FootnoteReference"/>
        </w:rPr>
        <w:footnoteReference w:id="6"/>
      </w:r>
      <w:r w:rsidR="000822DD">
        <w:t xml:space="preserve"> </w:t>
      </w:r>
      <w:r w:rsidR="000822DD" w:rsidRPr="00AA3FB9">
        <w:t>Th</w:t>
      </w:r>
      <w:r w:rsidR="000822DD">
        <w:t>is</w:t>
      </w:r>
      <w:r w:rsidR="000822DD" w:rsidRPr="00AA3FB9">
        <w:t xml:space="preserve"> revenue includes all costs associated with standard control</w:t>
      </w:r>
      <w:r w:rsidR="000822DD">
        <w:t xml:space="preserve"> </w:t>
      </w:r>
      <w:r w:rsidR="000822DD" w:rsidRPr="00AA3FB9">
        <w:t>services, including type 5 and 6 metering services</w:t>
      </w:r>
      <w:r w:rsidR="000822DD">
        <w:t xml:space="preserve">, </w:t>
      </w:r>
      <w:r w:rsidR="000822DD" w:rsidRPr="00AA3FB9">
        <w:t xml:space="preserve">ancillary network services (ANS) </w:t>
      </w:r>
      <w:r w:rsidR="000822DD">
        <w:t xml:space="preserve">and emergency recoverable works (ERW), </w:t>
      </w:r>
      <w:r w:rsidR="000822DD" w:rsidRPr="00AA3FB9">
        <w:t>which were</w:t>
      </w:r>
      <w:r w:rsidR="000822DD">
        <w:t xml:space="preserve"> </w:t>
      </w:r>
      <w:r w:rsidR="000822DD" w:rsidRPr="00AA3FB9">
        <w:t xml:space="preserve">re-classified from standard control services to alternative control services </w:t>
      </w:r>
      <w:r w:rsidR="000822DD">
        <w:t xml:space="preserve">(ACS) </w:t>
      </w:r>
      <w:r w:rsidR="000822DD" w:rsidRPr="00AA3FB9">
        <w:t>as at 1 July 2014. The</w:t>
      </w:r>
      <w:r w:rsidR="000822DD">
        <w:t xml:space="preserve"> </w:t>
      </w:r>
      <w:r w:rsidR="000822DD" w:rsidRPr="00AA3FB9">
        <w:t>transitional rules</w:t>
      </w:r>
      <w:r w:rsidR="000822DD">
        <w:rPr>
          <w:rStyle w:val="FootnoteReference"/>
        </w:rPr>
        <w:footnoteReference w:id="7"/>
      </w:r>
      <w:r w:rsidR="000822DD" w:rsidRPr="00AA3FB9">
        <w:t xml:space="preserve"> prevented the r</w:t>
      </w:r>
      <w:r w:rsidR="000822DD">
        <w:t xml:space="preserve">eallocation of type 5 and 6, </w:t>
      </w:r>
      <w:r w:rsidR="000822DD" w:rsidRPr="00AA3FB9">
        <w:t>ANS</w:t>
      </w:r>
      <w:r w:rsidR="000822DD">
        <w:t xml:space="preserve"> and ERW</w:t>
      </w:r>
      <w:r w:rsidR="000822DD" w:rsidRPr="00AA3FB9">
        <w:t xml:space="preserve"> costs in 2014–15 despite the</w:t>
      </w:r>
      <w:r w:rsidR="000822DD">
        <w:t xml:space="preserve"> </w:t>
      </w:r>
      <w:r w:rsidR="000822DD" w:rsidRPr="00AA3FB9">
        <w:t>change in classification from standard control services to alternative control services as at</w:t>
      </w:r>
      <w:r w:rsidR="000822DD">
        <w:t xml:space="preserve"> </w:t>
      </w:r>
      <w:r w:rsidR="000822DD" w:rsidRPr="00AA3FB9">
        <w:t>1 July 2014.</w:t>
      </w:r>
      <w:r w:rsidR="000822DD">
        <w:rPr>
          <w:rStyle w:val="FootnoteReference"/>
        </w:rPr>
        <w:footnoteReference w:id="8"/>
      </w:r>
    </w:p>
    <w:p w:rsidR="00211DC9" w:rsidRDefault="00211DC9" w:rsidP="00211DC9">
      <w:pPr>
        <w:numPr>
          <w:ilvl w:val="0"/>
          <w:numId w:val="25"/>
        </w:numPr>
      </w:pPr>
      <w:r w:rsidRPr="001615F2">
        <w:t xml:space="preserve">In </w:t>
      </w:r>
      <w:r w:rsidR="005A2D9D">
        <w:t>our draft</w:t>
      </w:r>
      <w:r>
        <w:t xml:space="preserve"> decision, we ma</w:t>
      </w:r>
      <w:r w:rsidR="005A2D9D">
        <w:t>d</w:t>
      </w:r>
      <w:r>
        <w:t xml:space="preserve">e a full regulatory determination </w:t>
      </w:r>
      <w:r w:rsidRPr="001615F2">
        <w:t xml:space="preserve">for the </w:t>
      </w:r>
      <w:r>
        <w:t xml:space="preserve">years </w:t>
      </w:r>
      <w:r w:rsidRPr="001615F2">
        <w:t>2015–1</w:t>
      </w:r>
      <w:r>
        <w:t>6 to 2018–1</w:t>
      </w:r>
      <w:r w:rsidRPr="001615F2">
        <w:t xml:space="preserve">9 </w:t>
      </w:r>
      <w:r>
        <w:t>for Essential Energy</w:t>
      </w:r>
      <w:r w:rsidRPr="001615F2">
        <w:t xml:space="preserve">, </w:t>
      </w:r>
      <w:r>
        <w:t>and we account</w:t>
      </w:r>
      <w:r w:rsidR="005A2D9D">
        <w:t>ed</w:t>
      </w:r>
      <w:r>
        <w:t xml:space="preserve"> for any true-up related to the transitional regulatory control period (2014–15). As part of this, </w:t>
      </w:r>
      <w:r w:rsidRPr="001615F2">
        <w:t xml:space="preserve">we </w:t>
      </w:r>
      <w:r w:rsidR="005A2D9D">
        <w:t xml:space="preserve">were </w:t>
      </w:r>
      <w:r w:rsidRPr="001615F2">
        <w:t>required to determine ARR</w:t>
      </w:r>
      <w:r>
        <w:t>s</w:t>
      </w:r>
      <w:r w:rsidRPr="001615F2">
        <w:t xml:space="preserve"> for </w:t>
      </w:r>
      <w:r>
        <w:t>each year of the five</w:t>
      </w:r>
      <w:r w:rsidRPr="001615F2">
        <w:t xml:space="preserve"> year (2014–19) period and </w:t>
      </w:r>
      <w:r>
        <w:t>use a net present value (NPV) neutral</w:t>
      </w:r>
      <w:r w:rsidRPr="001615F2">
        <w:t xml:space="preserve"> true-up mechanism to account for any </w:t>
      </w:r>
      <w:r>
        <w:t>difference between:</w:t>
      </w:r>
      <w:r w:rsidRPr="001615F2">
        <w:rPr>
          <w:rStyle w:val="FootnoteReference"/>
        </w:rPr>
        <w:footnoteReference w:id="9"/>
      </w:r>
      <w:r w:rsidRPr="001615F2">
        <w:t xml:space="preserve"> </w:t>
      </w:r>
    </w:p>
    <w:p w:rsidR="00211DC9" w:rsidRPr="00211DC9" w:rsidRDefault="00211DC9" w:rsidP="00211DC9">
      <w:pPr>
        <w:pStyle w:val="AERbulletlistfirststyle"/>
      </w:pPr>
      <w:r w:rsidRPr="00F12939">
        <w:t>the placeholder revenue for the transitional regulatory control period, and</w:t>
      </w:r>
    </w:p>
    <w:p w:rsidR="00211DC9" w:rsidRPr="00211DC9" w:rsidRDefault="00211DC9" w:rsidP="00211DC9">
      <w:pPr>
        <w:pStyle w:val="AERbulletlistfirststyle"/>
      </w:pPr>
      <w:proofErr w:type="gramStart"/>
      <w:r w:rsidRPr="00F12939">
        <w:t>the</w:t>
      </w:r>
      <w:proofErr w:type="gramEnd"/>
      <w:r w:rsidRPr="00F12939">
        <w:t xml:space="preserve"> </w:t>
      </w:r>
      <w:r w:rsidRPr="00211DC9">
        <w:t>ARR for 2014–15 that is established through the full determination process.</w:t>
      </w:r>
    </w:p>
    <w:p w:rsidR="006D527E" w:rsidRDefault="005A2D9D" w:rsidP="00211DC9">
      <w:pPr>
        <w:numPr>
          <w:ilvl w:val="0"/>
          <w:numId w:val="25"/>
        </w:numPr>
      </w:pPr>
      <w:r>
        <w:t>Essential Energy's revised proposal adopted our approach for the true-up.</w:t>
      </w:r>
      <w:r w:rsidR="0016472D" w:rsidRPr="0016472D">
        <w:t xml:space="preserve"> </w:t>
      </w:r>
    </w:p>
    <w:p w:rsidR="005A2D9D" w:rsidRDefault="0016472D" w:rsidP="00211DC9">
      <w:pPr>
        <w:numPr>
          <w:ilvl w:val="0"/>
          <w:numId w:val="25"/>
        </w:numPr>
      </w:pPr>
      <w:r>
        <w:t xml:space="preserve">In its submission to the draft decision, AGL opposed including </w:t>
      </w:r>
      <w:proofErr w:type="spellStart"/>
      <w:r>
        <w:t>o</w:t>
      </w:r>
      <w:r w:rsidRPr="00F050A8">
        <w:t>pe</w:t>
      </w:r>
      <w:r>
        <w:t>x</w:t>
      </w:r>
      <w:proofErr w:type="spellEnd"/>
      <w:r w:rsidRPr="00F050A8">
        <w:t xml:space="preserve"> </w:t>
      </w:r>
      <w:r>
        <w:t xml:space="preserve">in </w:t>
      </w:r>
      <w:r w:rsidRPr="00F050A8">
        <w:t>the 2014</w:t>
      </w:r>
      <w:r w:rsidR="006D527E">
        <w:t>–</w:t>
      </w:r>
      <w:r w:rsidRPr="00F050A8">
        <w:t>15 true-up</w:t>
      </w:r>
      <w:r>
        <w:t xml:space="preserve">. AGL considered it punitive to include </w:t>
      </w:r>
      <w:proofErr w:type="spellStart"/>
      <w:r>
        <w:t>opex</w:t>
      </w:r>
      <w:proofErr w:type="spellEnd"/>
      <w:r>
        <w:t xml:space="preserve"> in the true-up because </w:t>
      </w:r>
      <w:r w:rsidRPr="00F050A8">
        <w:t>these businesses have little control over the 2014</w:t>
      </w:r>
      <w:r>
        <w:t>–</w:t>
      </w:r>
      <w:r w:rsidRPr="00F050A8">
        <w:t xml:space="preserve">15 </w:t>
      </w:r>
      <w:proofErr w:type="spellStart"/>
      <w:r>
        <w:t>opex</w:t>
      </w:r>
      <w:proofErr w:type="spellEnd"/>
      <w:r w:rsidRPr="00F050A8">
        <w:t xml:space="preserve"> at this point in time</w:t>
      </w:r>
      <w:r>
        <w:t>.</w:t>
      </w:r>
      <w:r>
        <w:rPr>
          <w:rStyle w:val="FootnoteReference"/>
        </w:rPr>
        <w:footnoteReference w:id="10"/>
      </w:r>
      <w:r>
        <w:t xml:space="preserve"> We consider that the transitional rules require a true-up to be performed for the </w:t>
      </w:r>
      <w:r w:rsidR="006D527E">
        <w:t xml:space="preserve">difference between the revenue determined in this </w:t>
      </w:r>
      <w:r>
        <w:t xml:space="preserve">full </w:t>
      </w:r>
      <w:r w:rsidR="006D527E">
        <w:t xml:space="preserve">determination and the </w:t>
      </w:r>
      <w:r>
        <w:t>placeholder revenue for the transitional year.</w:t>
      </w:r>
      <w:r>
        <w:rPr>
          <w:rStyle w:val="FootnoteReference"/>
        </w:rPr>
        <w:footnoteReference w:id="11"/>
      </w:r>
      <w:r>
        <w:t xml:space="preserve"> This requires us to include our final decision on </w:t>
      </w:r>
      <w:r w:rsidR="006D527E">
        <w:t>the</w:t>
      </w:r>
      <w:r>
        <w:t xml:space="preserve"> </w:t>
      </w:r>
      <w:proofErr w:type="spellStart"/>
      <w:r>
        <w:t>opex</w:t>
      </w:r>
      <w:proofErr w:type="spellEnd"/>
      <w:r>
        <w:t xml:space="preserve"> </w:t>
      </w:r>
      <w:r w:rsidR="006D527E">
        <w:t>allowance for 2014–15 as part of</w:t>
      </w:r>
      <w:r>
        <w:t xml:space="preserve"> our true-up.</w:t>
      </w:r>
    </w:p>
    <w:p w:rsidR="007E4091" w:rsidRDefault="00211DC9" w:rsidP="00211DC9">
      <w:pPr>
        <w:numPr>
          <w:ilvl w:val="0"/>
          <w:numId w:val="25"/>
        </w:numPr>
      </w:pPr>
      <w:r>
        <w:lastRenderedPageBreak/>
        <w:t xml:space="preserve">Our </w:t>
      </w:r>
      <w:r w:rsidR="005A2D9D">
        <w:t xml:space="preserve">final </w:t>
      </w:r>
      <w:r>
        <w:t xml:space="preserve">decision </w:t>
      </w:r>
      <w:r w:rsidR="006D527E">
        <w:t>approves</w:t>
      </w:r>
      <w:r>
        <w:t xml:space="preserve"> the 2014–15 ARR </w:t>
      </w:r>
      <w:r w:rsidR="006D527E">
        <w:t xml:space="preserve">of </w:t>
      </w:r>
      <w:r w:rsidR="006D527E" w:rsidRPr="006D527E">
        <w:t>$9</w:t>
      </w:r>
      <w:r w:rsidR="005C362C">
        <w:t>7</w:t>
      </w:r>
      <w:r w:rsidR="005457A0">
        <w:t>6.1</w:t>
      </w:r>
      <w:r w:rsidR="006D527E" w:rsidRPr="006D527E">
        <w:t> million</w:t>
      </w:r>
      <w:r w:rsidR="006D527E">
        <w:t xml:space="preserve"> </w:t>
      </w:r>
      <w:r>
        <w:t xml:space="preserve">for Essential Energy. </w:t>
      </w:r>
      <w:r w:rsidR="000822DD">
        <w:t xml:space="preserve">The ARR for 2014–15 </w:t>
      </w:r>
      <w:r w:rsidR="000822DD" w:rsidRPr="00AA3FB9">
        <w:t xml:space="preserve">includes </w:t>
      </w:r>
      <w:r w:rsidR="000822DD">
        <w:t xml:space="preserve">our forecasts of efficient </w:t>
      </w:r>
      <w:r w:rsidR="000822DD" w:rsidRPr="00AA3FB9">
        <w:t>costs associated with standard control</w:t>
      </w:r>
      <w:r w:rsidR="000822DD">
        <w:t xml:space="preserve"> services. It also includes the costs associated with </w:t>
      </w:r>
      <w:r w:rsidR="000822DD" w:rsidRPr="00AA3FB9">
        <w:t xml:space="preserve">type 5 and 6 metering services and </w:t>
      </w:r>
      <w:r w:rsidR="000822DD">
        <w:t>other ACS consistent with the transitional rules</w:t>
      </w:r>
      <w:r w:rsidR="000822DD" w:rsidRPr="00AA3FB9">
        <w:t>.</w:t>
      </w:r>
      <w:r w:rsidR="000822DD">
        <w:rPr>
          <w:rStyle w:val="FootnoteReference"/>
        </w:rPr>
        <w:footnoteReference w:id="12"/>
      </w:r>
      <w:r w:rsidR="000822DD">
        <w:t xml:space="preserve"> We do not accept Essential Energy's revised proposed costs of $</w:t>
      </w:r>
      <w:r w:rsidR="005C362C">
        <w:t>54.7</w:t>
      </w:r>
      <w:r w:rsidR="000822DD">
        <w:t> million associated with these services. Our final decision is to include a value of $</w:t>
      </w:r>
      <w:r w:rsidR="005C362C">
        <w:t>5</w:t>
      </w:r>
      <w:r w:rsidR="009868FE">
        <w:t>2.3</w:t>
      </w:r>
      <w:r w:rsidR="000822DD">
        <w:t> million for the costs associated with these services.</w:t>
      </w:r>
      <w:r w:rsidR="000822DD">
        <w:rPr>
          <w:rStyle w:val="FootnoteReference"/>
        </w:rPr>
        <w:footnoteReference w:id="13"/>
      </w:r>
      <w:r w:rsidR="000822DD">
        <w:t xml:space="preserve"> The difference reflects our determination of efficient costs associated with providing these</w:t>
      </w:r>
      <w:r w:rsidR="000822DD" w:rsidRPr="00AA3FB9">
        <w:t xml:space="preserve"> services</w:t>
      </w:r>
      <w:r w:rsidR="000822DD">
        <w:t xml:space="preserve">. </w:t>
      </w:r>
      <w:r>
        <w:t>Th</w:t>
      </w:r>
      <w:r w:rsidR="006D527E">
        <w:t>erefore, the difference between the ARR ($</w:t>
      </w:r>
      <w:r w:rsidR="005C362C">
        <w:t>97</w:t>
      </w:r>
      <w:r w:rsidR="005457A0">
        <w:t>6.1</w:t>
      </w:r>
      <w:r w:rsidR="006D527E">
        <w:t xml:space="preserve"> million) and the placeholder revenue ($</w:t>
      </w:r>
      <w:r w:rsidR="007E4091">
        <w:t>1291.7 million)</w:t>
      </w:r>
      <w:r>
        <w:t xml:space="preserve"> </w:t>
      </w:r>
      <w:r w:rsidR="009E2AD9">
        <w:t>should</w:t>
      </w:r>
      <w:r>
        <w:t xml:space="preserve"> be returned to customers. </w:t>
      </w:r>
    </w:p>
    <w:p w:rsidR="00211DC9" w:rsidRPr="001615F2" w:rsidRDefault="00211DC9" w:rsidP="00211DC9">
      <w:pPr>
        <w:numPr>
          <w:ilvl w:val="0"/>
          <w:numId w:val="25"/>
        </w:numPr>
      </w:pPr>
      <w:r>
        <w:t>To give effect to</w:t>
      </w:r>
      <w:r w:rsidRPr="001615F2">
        <w:t xml:space="preserve"> th</w:t>
      </w:r>
      <w:r>
        <w:t>e</w:t>
      </w:r>
      <w:r w:rsidRPr="001615F2">
        <w:t xml:space="preserve"> true-up, we have </w:t>
      </w:r>
      <w:r>
        <w:t xml:space="preserve">set Essential Energy's first year expected revenue in the PTRM equal to </w:t>
      </w:r>
      <w:r w:rsidRPr="001615F2">
        <w:t xml:space="preserve">the AER approved </w:t>
      </w:r>
      <w:r>
        <w:t xml:space="preserve">placeholder </w:t>
      </w:r>
      <w:r w:rsidRPr="001615F2">
        <w:t>revenue for 2014–15</w:t>
      </w:r>
      <w:r>
        <w:t xml:space="preserve"> of $1291.7 million</w:t>
      </w:r>
      <w:r w:rsidRPr="001615F2">
        <w:t xml:space="preserve">. This is the only practical option as prices were set for 2014–15 based on this approved </w:t>
      </w:r>
      <w:r>
        <w:t xml:space="preserve">placeholder </w:t>
      </w:r>
      <w:r w:rsidRPr="001615F2">
        <w:t xml:space="preserve">amount. However, this practicality also means that any difference in the </w:t>
      </w:r>
      <w:r>
        <w:t>revenues</w:t>
      </w:r>
      <w:r w:rsidRPr="001615F2">
        <w:t xml:space="preserve"> for 2014–15 between the transitional and </w:t>
      </w:r>
      <w:r>
        <w:t>full</w:t>
      </w:r>
      <w:r w:rsidRPr="001615F2">
        <w:t xml:space="preserve"> de</w:t>
      </w:r>
      <w:r>
        <w:t>termination</w:t>
      </w:r>
      <w:r w:rsidRPr="001615F2">
        <w:t xml:space="preserve"> will need to be </w:t>
      </w:r>
      <w:r>
        <w:t>accounted for in the 2015–19 regulatory control period</w:t>
      </w:r>
      <w:r w:rsidRPr="001615F2">
        <w:t xml:space="preserve">. That is, the </w:t>
      </w:r>
      <w:r>
        <w:t xml:space="preserve">placeholder </w:t>
      </w:r>
      <w:r w:rsidRPr="001615F2">
        <w:t xml:space="preserve">revenue for 2014–15 </w:t>
      </w:r>
      <w:r>
        <w:t xml:space="preserve">established </w:t>
      </w:r>
      <w:r w:rsidRPr="001615F2">
        <w:t>from the transitional de</w:t>
      </w:r>
      <w:r>
        <w:t>termination</w:t>
      </w:r>
      <w:r w:rsidRPr="001615F2">
        <w:t xml:space="preserve"> provide</w:t>
      </w:r>
      <w:r>
        <w:t>s</w:t>
      </w:r>
      <w:r w:rsidRPr="001615F2">
        <w:t xml:space="preserve"> a base from which the expected revenues </w:t>
      </w:r>
      <w:r>
        <w:t xml:space="preserve">(smoothed) </w:t>
      </w:r>
      <w:r w:rsidRPr="001615F2">
        <w:t xml:space="preserve">for the remaining four years </w:t>
      </w:r>
      <w:r>
        <w:t xml:space="preserve">of the 2014–19 </w:t>
      </w:r>
      <w:proofErr w:type="gramStart"/>
      <w:r>
        <w:t>period</w:t>
      </w:r>
      <w:proofErr w:type="gramEnd"/>
      <w:r>
        <w:t xml:space="preserve"> </w:t>
      </w:r>
      <w:r w:rsidRPr="001615F2">
        <w:t>are calculated</w:t>
      </w:r>
      <w:r w:rsidR="0016472D">
        <w:t>. This is done</w:t>
      </w:r>
      <w:r w:rsidRPr="001615F2">
        <w:t xml:space="preserve"> through the determination of the X factors for</w:t>
      </w:r>
      <w:r w:rsidR="0016472D">
        <w:t xml:space="preserve"> each of</w:t>
      </w:r>
      <w:r w:rsidRPr="001615F2">
        <w:t xml:space="preserve"> the</w:t>
      </w:r>
      <w:r w:rsidR="007E4091">
        <w:t xml:space="preserve"> remaining</w:t>
      </w:r>
      <w:r w:rsidRPr="001615F2">
        <w:t xml:space="preserve"> years</w:t>
      </w:r>
      <w:r w:rsidR="007E4091">
        <w:t xml:space="preserve"> in that period</w:t>
      </w:r>
      <w:r w:rsidRPr="001615F2">
        <w:t>.</w:t>
      </w:r>
      <w:r w:rsidR="009E2AD9">
        <w:rPr>
          <w:rStyle w:val="FootnoteReference"/>
        </w:rPr>
        <w:footnoteReference w:id="14"/>
      </w:r>
      <w:r w:rsidRPr="001615F2">
        <w:t xml:space="preserve"> </w:t>
      </w:r>
      <w:r>
        <w:t xml:space="preserve">This gives effect to the true-up requirements under the NER and ensures that the difference of </w:t>
      </w:r>
      <w:r w:rsidRPr="00207E44">
        <w:rPr>
          <w:rStyle w:val="AERbody"/>
        </w:rPr>
        <w:t>$</w:t>
      </w:r>
      <w:r w:rsidR="005C362C">
        <w:rPr>
          <w:rStyle w:val="AERbody"/>
        </w:rPr>
        <w:t>31</w:t>
      </w:r>
      <w:r w:rsidR="005457A0">
        <w:rPr>
          <w:rStyle w:val="AERbody"/>
        </w:rPr>
        <w:t>5.6</w:t>
      </w:r>
      <w:r w:rsidRPr="00207E44">
        <w:rPr>
          <w:rStyle w:val="AERbody"/>
        </w:rPr>
        <w:t xml:space="preserve"> million</w:t>
      </w:r>
      <w:r>
        <w:t xml:space="preserve"> is returned to customers over the 2015–19 regulatory control </w:t>
      </w:r>
      <w:proofErr w:type="gramStart"/>
      <w:r>
        <w:t>period</w:t>
      </w:r>
      <w:proofErr w:type="gramEnd"/>
      <w:r>
        <w:t xml:space="preserve"> (adjusted for the time value of money). </w:t>
      </w:r>
    </w:p>
    <w:p w:rsidR="0016472D" w:rsidRDefault="0016472D" w:rsidP="0016472D">
      <w:pPr>
        <w:pStyle w:val="Heading3"/>
      </w:pPr>
      <w:bookmarkStart w:id="26" w:name="_Toc416172660"/>
      <w:bookmarkStart w:id="27" w:name="_Ref416176586"/>
      <w:r w:rsidRPr="00AB1BC6">
        <w:t>Smoothing of revenues</w:t>
      </w:r>
      <w:bookmarkEnd w:id="26"/>
      <w:bookmarkEnd w:id="27"/>
    </w:p>
    <w:p w:rsidR="0016472D" w:rsidRDefault="0016472D" w:rsidP="0016472D">
      <w:pPr>
        <w:numPr>
          <w:ilvl w:val="0"/>
          <w:numId w:val="25"/>
        </w:numPr>
      </w:pPr>
      <w:r>
        <w:t>The smoothing profile of revenues has been impacted significantly by the shortened subsequent regulatory control period</w:t>
      </w:r>
      <w:r w:rsidR="000822DD">
        <w:t>,</w:t>
      </w:r>
      <w:r>
        <w:t xml:space="preserve"> the requirement for a true-up of the 2014–15 placeholder revenue</w:t>
      </w:r>
      <w:r w:rsidR="000822DD">
        <w:t>, and the removal of metering and other ACS (such as ANS and ERW) costs from standard control services from 1 July 2015</w:t>
      </w:r>
      <w:r>
        <w:t>. The true-up for 2014–15</w:t>
      </w:r>
      <w:r w:rsidR="00716D8E">
        <w:t>,</w:t>
      </w:r>
      <w:r w:rsidR="000822DD">
        <w:t xml:space="preserve"> and the removal of metering and other ACS costs from standard control services</w:t>
      </w:r>
      <w:r>
        <w:t xml:space="preserve"> ha</w:t>
      </w:r>
      <w:r w:rsidR="000822DD">
        <w:t>ve</w:t>
      </w:r>
      <w:r>
        <w:t xml:space="preserve"> significant impact</w:t>
      </w:r>
      <w:r w:rsidR="000822DD">
        <w:t>s</w:t>
      </w:r>
      <w:r>
        <w:t xml:space="preserve"> on the decrease in revenues from 2014–15 to 2015–16.</w:t>
      </w:r>
    </w:p>
    <w:p w:rsidR="007E4091" w:rsidRDefault="0016472D" w:rsidP="0016472D">
      <w:pPr>
        <w:numPr>
          <w:ilvl w:val="0"/>
          <w:numId w:val="25"/>
        </w:numPr>
      </w:pPr>
      <w:r>
        <w:t>The NSW service providers submitted that the draft decision smoothing profile did not provide the</w:t>
      </w:r>
      <w:r w:rsidR="007E4091">
        <w:t>m with the</w:t>
      </w:r>
      <w:r>
        <w:t xml:space="preserve"> appropriate opportunity to improve tariff efficiency and equity without imposing price shocks. The submission suggested a smoothing profile that applied a staged reduction in revenues </w:t>
      </w:r>
      <w:r w:rsidR="007E4091">
        <w:t>to achieve the</w:t>
      </w:r>
      <w:r>
        <w:t xml:space="preserve"> significant reductions in revenues.</w:t>
      </w:r>
      <w:r>
        <w:rPr>
          <w:rStyle w:val="FootnoteReference"/>
        </w:rPr>
        <w:footnoteReference w:id="15"/>
      </w:r>
      <w:r>
        <w:t xml:space="preserve"> </w:t>
      </w:r>
    </w:p>
    <w:p w:rsidR="003255BA" w:rsidRDefault="00974254" w:rsidP="00B61529">
      <w:pPr>
        <w:numPr>
          <w:ilvl w:val="0"/>
          <w:numId w:val="25"/>
        </w:numPr>
      </w:pPr>
      <w:r>
        <w:lastRenderedPageBreak/>
        <w:t xml:space="preserve">For this final decision, </w:t>
      </w:r>
      <w:r w:rsidRPr="00A30460">
        <w:t xml:space="preserve">the expected </w:t>
      </w:r>
      <w:r>
        <w:t>revenue</w:t>
      </w:r>
      <w:r w:rsidRPr="00A30460">
        <w:t xml:space="preserve"> in the last year of the regulatory control period </w:t>
      </w:r>
      <w:r>
        <w:t xml:space="preserve">is not required </w:t>
      </w:r>
      <w:r w:rsidRPr="00A30460">
        <w:t xml:space="preserve">to be as close as reasonably possible to the </w:t>
      </w:r>
      <w:r>
        <w:t>ARR</w:t>
      </w:r>
      <w:r w:rsidRPr="00A30460">
        <w:t xml:space="preserve"> for that year</w:t>
      </w:r>
      <w:r>
        <w:t>, due to the transitional provisions</w:t>
      </w:r>
      <w:r w:rsidRPr="00A30460">
        <w:t>.</w:t>
      </w:r>
      <w:r>
        <w:rPr>
          <w:rStyle w:val="FootnoteReference"/>
        </w:rPr>
        <w:footnoteReference w:id="16"/>
      </w:r>
      <w:r w:rsidRPr="00A30460">
        <w:t xml:space="preserve"> </w:t>
      </w:r>
      <w:r w:rsidRPr="007118FB">
        <w:t xml:space="preserve">Typically, we would target a divergence of less than 3 per cent between the expected revenue and ARR for the last year of the regulatory control period, if this can promote smoother price changes over the regulatory control period. </w:t>
      </w:r>
      <w:r w:rsidR="00B61529">
        <w:t>As a result of</w:t>
      </w:r>
      <w:r w:rsidR="00B61529" w:rsidRPr="007118FB">
        <w:t xml:space="preserve"> the shor</w:t>
      </w:r>
      <w:r w:rsidR="00B61529">
        <w:t xml:space="preserve">tened regulatory control period, </w:t>
      </w:r>
      <w:r w:rsidR="00B61529" w:rsidRPr="007118FB">
        <w:t>the required true-up for 2014–15</w:t>
      </w:r>
      <w:r w:rsidR="00B61529">
        <w:t xml:space="preserve">, and that metering and other ACS costs are removed from standard control services from 1 July 2015 </w:t>
      </w:r>
      <w:r w:rsidR="003255BA">
        <w:t>w</w:t>
      </w:r>
      <w:r w:rsidR="003255BA" w:rsidRPr="007E4091">
        <w:t>e have allowed the difference between smoothed and unsmoothed revenues in the last year of the period to diverge more than would be usual</w:t>
      </w:r>
      <w:r w:rsidR="00B61529">
        <w:t>.</w:t>
      </w:r>
      <w:r w:rsidR="00B61529" w:rsidRPr="007D0737">
        <w:rPr>
          <w:rStyle w:val="FootnoteReference"/>
        </w:rPr>
        <w:footnoteReference w:id="17"/>
      </w:r>
    </w:p>
    <w:p w:rsidR="007E4091" w:rsidRDefault="00B61529" w:rsidP="001A0DE4">
      <w:pPr>
        <w:numPr>
          <w:ilvl w:val="0"/>
          <w:numId w:val="25"/>
        </w:numPr>
      </w:pPr>
      <w:r>
        <w:t xml:space="preserve">Our final decision </w:t>
      </w:r>
      <w:r w:rsidR="007D0737" w:rsidRPr="007D0737">
        <w:t xml:space="preserve">smoothing results in a difference between the expected revenue and ARR for 2018–19 of around 10 per cent. While this divergence is significant, </w:t>
      </w:r>
      <w:r>
        <w:t xml:space="preserve">we consider </w:t>
      </w:r>
      <w:r w:rsidR="007D0737" w:rsidRPr="007D0737">
        <w:t>th</w:t>
      </w:r>
      <w:r>
        <w:t>is</w:t>
      </w:r>
      <w:r w:rsidR="007D0737" w:rsidRPr="007D0737">
        <w:t xml:space="preserve"> smoothing </w:t>
      </w:r>
      <w:r>
        <w:t xml:space="preserve">profile </w:t>
      </w:r>
      <w:r w:rsidR="007D0737" w:rsidRPr="007D0737">
        <w:t>avoids the situation of a larger price decrease in 2015–16 followed by significant price increases for the remaining three years of the regulatory control period.</w:t>
      </w:r>
      <w:r w:rsidR="003255BA" w:rsidRPr="003255BA">
        <w:t xml:space="preserve"> </w:t>
      </w:r>
      <w:r w:rsidR="003255BA" w:rsidRPr="007E4091">
        <w:t xml:space="preserve">This approach </w:t>
      </w:r>
      <w:r w:rsidR="003255BA">
        <w:t>results in a revenue profile that we consider is reasonable</w:t>
      </w:r>
      <w:r w:rsidR="003255BA" w:rsidRPr="007E4091">
        <w:t>.</w:t>
      </w:r>
    </w:p>
    <w:p w:rsidR="0016472D" w:rsidRPr="0016472D" w:rsidRDefault="0016472D" w:rsidP="0016472D">
      <w:pPr>
        <w:pStyle w:val="ListParagraph"/>
        <w:numPr>
          <w:ilvl w:val="0"/>
          <w:numId w:val="25"/>
        </w:numPr>
      </w:pPr>
      <w:r w:rsidRPr="0016472D">
        <w:fldChar w:fldCharType="begin"/>
      </w:r>
      <w:r w:rsidRPr="0016472D">
        <w:instrText xml:space="preserve"> REF _Ref393976988 \h </w:instrText>
      </w:r>
      <w:r w:rsidRPr="0016472D">
        <w:fldChar w:fldCharType="separate"/>
      </w:r>
      <w:r w:rsidR="00C836EF">
        <w:t xml:space="preserve">Table </w:t>
      </w:r>
      <w:r w:rsidR="00C836EF">
        <w:rPr>
          <w:noProof/>
        </w:rPr>
        <w:t>1</w:t>
      </w:r>
      <w:r w:rsidR="00C836EF">
        <w:t>.</w:t>
      </w:r>
      <w:r w:rsidR="00C836EF">
        <w:rPr>
          <w:noProof/>
        </w:rPr>
        <w:t>3</w:t>
      </w:r>
      <w:r w:rsidRPr="0016472D">
        <w:fldChar w:fldCharType="end"/>
      </w:r>
      <w:r w:rsidRPr="0016472D">
        <w:t xml:space="preserve"> shows the expected revenues (smoothed) of E</w:t>
      </w:r>
      <w:r w:rsidR="00974254">
        <w:t>ssential</w:t>
      </w:r>
      <w:r w:rsidRPr="0016472D">
        <w:t xml:space="preserve"> Energy's revised proposal and our final decision expected revenues (smoothed). Both use the 2014–15 placeholder revenue as a base to account for the true-up.</w:t>
      </w:r>
    </w:p>
    <w:p w:rsidR="0016472D" w:rsidRDefault="0016472D" w:rsidP="0016472D">
      <w:pPr>
        <w:pStyle w:val="Caption"/>
        <w:numPr>
          <w:ilvl w:val="0"/>
          <w:numId w:val="25"/>
        </w:numPr>
      </w:pPr>
      <w:bookmarkStart w:id="28" w:name="_Ref393976988"/>
      <w:r>
        <w:t xml:space="preserve">Table </w:t>
      </w:r>
      <w:r w:rsidRPr="0016472D">
        <w:fldChar w:fldCharType="begin"/>
      </w:r>
      <w:r>
        <w:instrText xml:space="preserve"> STYLEREF 1 \s </w:instrText>
      </w:r>
      <w:r w:rsidRPr="0016472D">
        <w:fldChar w:fldCharType="separate"/>
      </w:r>
      <w:r w:rsidR="00C836EF">
        <w:rPr>
          <w:noProof/>
        </w:rPr>
        <w:t>1</w:t>
      </w:r>
      <w:r w:rsidRPr="0016472D">
        <w:fldChar w:fldCharType="end"/>
      </w:r>
      <w:r>
        <w:t>.</w:t>
      </w:r>
      <w:r w:rsidRPr="0016472D">
        <w:fldChar w:fldCharType="begin"/>
      </w:r>
      <w:r>
        <w:instrText xml:space="preserve"> SEQ Table \* ARABIC \s 1 </w:instrText>
      </w:r>
      <w:r w:rsidRPr="0016472D">
        <w:fldChar w:fldCharType="separate"/>
      </w:r>
      <w:r w:rsidR="00C836EF">
        <w:rPr>
          <w:noProof/>
        </w:rPr>
        <w:t>3</w:t>
      </w:r>
      <w:r w:rsidRPr="0016472D">
        <w:fldChar w:fldCharType="end"/>
      </w:r>
      <w:bookmarkEnd w:id="28"/>
      <w:r>
        <w:tab/>
        <w:t>Essential Energy's revised propos</w:t>
      </w:r>
      <w:r w:rsidR="00A77604">
        <w:t>al</w:t>
      </w:r>
      <w:r w:rsidRPr="008F23CA">
        <w:t xml:space="preserve"> </w:t>
      </w:r>
      <w:r>
        <w:t>and</w:t>
      </w:r>
      <w:r w:rsidRPr="008F23CA">
        <w:t xml:space="preserve"> </w:t>
      </w:r>
      <w:r>
        <w:t>AER's final</w:t>
      </w:r>
      <w:r w:rsidRPr="008F23CA">
        <w:t xml:space="preserve"> decision </w:t>
      </w:r>
      <w:r w:rsidR="00A77604" w:rsidRPr="00A77604">
        <w:t xml:space="preserve">smoothed </w:t>
      </w:r>
      <w:r>
        <w:t xml:space="preserve">expected </w:t>
      </w:r>
      <w:r w:rsidRPr="008F23CA">
        <w:t>revenues</w:t>
      </w:r>
      <w:r>
        <w:t xml:space="preserve"> </w:t>
      </w:r>
      <w:r w:rsidRPr="003773E6">
        <w:t>for the 2014–19 period ($ million, nominal)</w:t>
      </w:r>
    </w:p>
    <w:tbl>
      <w:tblPr>
        <w:tblStyle w:val="AERtable-numbers"/>
        <w:tblW w:w="8755" w:type="dxa"/>
        <w:tblLayout w:type="fixed"/>
        <w:tblLook w:val="04A0" w:firstRow="1" w:lastRow="0" w:firstColumn="1" w:lastColumn="0" w:noHBand="0" w:noVBand="1"/>
      </w:tblPr>
      <w:tblGrid>
        <w:gridCol w:w="3180"/>
        <w:gridCol w:w="1115"/>
        <w:gridCol w:w="1115"/>
        <w:gridCol w:w="1115"/>
        <w:gridCol w:w="1115"/>
        <w:gridCol w:w="1115"/>
      </w:tblGrid>
      <w:tr w:rsidR="0016472D" w:rsidRPr="0056785E" w:rsidTr="0016472D">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16472D" w:rsidRPr="0016472D" w:rsidRDefault="0016472D" w:rsidP="0016472D">
            <w:r w:rsidRPr="0056785E">
              <w:t> </w:t>
            </w:r>
          </w:p>
        </w:tc>
        <w:tc>
          <w:tcPr>
            <w:tcW w:w="1115" w:type="dxa"/>
            <w:noWrap/>
            <w:hideMark/>
          </w:tcPr>
          <w:p w:rsidR="0016472D" w:rsidRPr="0016472D" w:rsidRDefault="0016472D" w:rsidP="0016472D">
            <w:pPr>
              <w:cnfStyle w:val="100000000000" w:firstRow="1" w:lastRow="0" w:firstColumn="0" w:lastColumn="0" w:oddVBand="0" w:evenVBand="0" w:oddHBand="0" w:evenHBand="0" w:firstRowFirstColumn="0" w:firstRowLastColumn="0" w:lastRowFirstColumn="0" w:lastRowLastColumn="0"/>
            </w:pPr>
            <w:r w:rsidRPr="0056785E">
              <w:t>2014–15</w:t>
            </w:r>
          </w:p>
        </w:tc>
        <w:tc>
          <w:tcPr>
            <w:tcW w:w="1115" w:type="dxa"/>
            <w:noWrap/>
            <w:hideMark/>
          </w:tcPr>
          <w:p w:rsidR="0016472D" w:rsidRPr="0016472D" w:rsidRDefault="0016472D" w:rsidP="0016472D">
            <w:pPr>
              <w:cnfStyle w:val="100000000000" w:firstRow="1" w:lastRow="0" w:firstColumn="0" w:lastColumn="0" w:oddVBand="0" w:evenVBand="0" w:oddHBand="0" w:evenHBand="0" w:firstRowFirstColumn="0" w:firstRowLastColumn="0" w:lastRowFirstColumn="0" w:lastRowLastColumn="0"/>
            </w:pPr>
            <w:r w:rsidRPr="0056785E">
              <w:t>2015–16</w:t>
            </w:r>
          </w:p>
        </w:tc>
        <w:tc>
          <w:tcPr>
            <w:tcW w:w="1115" w:type="dxa"/>
            <w:noWrap/>
            <w:hideMark/>
          </w:tcPr>
          <w:p w:rsidR="0016472D" w:rsidRPr="0016472D" w:rsidRDefault="0016472D" w:rsidP="0016472D">
            <w:pPr>
              <w:cnfStyle w:val="100000000000" w:firstRow="1" w:lastRow="0" w:firstColumn="0" w:lastColumn="0" w:oddVBand="0" w:evenVBand="0" w:oddHBand="0" w:evenHBand="0" w:firstRowFirstColumn="0" w:firstRowLastColumn="0" w:lastRowFirstColumn="0" w:lastRowLastColumn="0"/>
            </w:pPr>
            <w:r w:rsidRPr="0056785E">
              <w:t>2016–17</w:t>
            </w:r>
          </w:p>
        </w:tc>
        <w:tc>
          <w:tcPr>
            <w:tcW w:w="1115" w:type="dxa"/>
            <w:noWrap/>
            <w:hideMark/>
          </w:tcPr>
          <w:p w:rsidR="0016472D" w:rsidRPr="0016472D" w:rsidRDefault="0016472D" w:rsidP="0016472D">
            <w:pPr>
              <w:cnfStyle w:val="100000000000" w:firstRow="1" w:lastRow="0" w:firstColumn="0" w:lastColumn="0" w:oddVBand="0" w:evenVBand="0" w:oddHBand="0" w:evenHBand="0" w:firstRowFirstColumn="0" w:firstRowLastColumn="0" w:lastRowFirstColumn="0" w:lastRowLastColumn="0"/>
            </w:pPr>
            <w:r w:rsidRPr="0056785E">
              <w:t>2017–18</w:t>
            </w:r>
          </w:p>
        </w:tc>
        <w:tc>
          <w:tcPr>
            <w:tcW w:w="1115" w:type="dxa"/>
            <w:noWrap/>
            <w:hideMark/>
          </w:tcPr>
          <w:p w:rsidR="0016472D" w:rsidRPr="0016472D" w:rsidRDefault="0016472D" w:rsidP="0016472D">
            <w:pPr>
              <w:cnfStyle w:val="100000000000" w:firstRow="1" w:lastRow="0" w:firstColumn="0" w:lastColumn="0" w:oddVBand="0" w:evenVBand="0" w:oddHBand="0" w:evenHBand="0" w:firstRowFirstColumn="0" w:firstRowLastColumn="0" w:lastRowFirstColumn="0" w:lastRowLastColumn="0"/>
            </w:pPr>
            <w:r w:rsidRPr="0056785E">
              <w:t>2018–19</w:t>
            </w:r>
          </w:p>
        </w:tc>
      </w:tr>
      <w:tr w:rsidR="003438A1" w:rsidRPr="0056785E" w:rsidTr="0016472D">
        <w:trPr>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3438A1" w:rsidRPr="003438A1" w:rsidRDefault="00722E8C" w:rsidP="003438A1">
            <w:r>
              <w:t xml:space="preserve">Essential </w:t>
            </w:r>
            <w:r w:rsidR="003438A1" w:rsidRPr="003438A1">
              <w:t xml:space="preserve">Energy's revised proposal </w:t>
            </w:r>
          </w:p>
        </w:tc>
        <w:tc>
          <w:tcPr>
            <w:tcW w:w="1115" w:type="dxa"/>
            <w:noWrap/>
            <w:vAlign w:val="bottom"/>
          </w:tcPr>
          <w:p w:rsidR="003438A1" w:rsidRPr="003438A1" w:rsidRDefault="003438A1" w:rsidP="003438A1">
            <w:pPr>
              <w:cnfStyle w:val="000000000000" w:firstRow="0" w:lastRow="0" w:firstColumn="0" w:lastColumn="0" w:oddVBand="0" w:evenVBand="0" w:oddHBand="0" w:evenHBand="0" w:firstRowFirstColumn="0" w:firstRowLastColumn="0" w:lastRowFirstColumn="0" w:lastRowLastColumn="0"/>
            </w:pPr>
            <w:r w:rsidRPr="003438A1">
              <w:t>1291.7</w:t>
            </w:r>
          </w:p>
        </w:tc>
        <w:tc>
          <w:tcPr>
            <w:tcW w:w="1115" w:type="dxa"/>
            <w:noWrap/>
            <w:vAlign w:val="bottom"/>
          </w:tcPr>
          <w:p w:rsidR="003438A1" w:rsidRPr="003438A1" w:rsidRDefault="003438A1" w:rsidP="003438A1">
            <w:pPr>
              <w:cnfStyle w:val="000000000000" w:firstRow="0" w:lastRow="0" w:firstColumn="0" w:lastColumn="0" w:oddVBand="0" w:evenVBand="0" w:oddHBand="0" w:evenHBand="0" w:firstRowFirstColumn="0" w:firstRowLastColumn="0" w:lastRowFirstColumn="0" w:lastRowLastColumn="0"/>
            </w:pPr>
            <w:r w:rsidRPr="003438A1">
              <w:t>1332.6</w:t>
            </w:r>
          </w:p>
        </w:tc>
        <w:tc>
          <w:tcPr>
            <w:tcW w:w="1115" w:type="dxa"/>
            <w:noWrap/>
            <w:vAlign w:val="bottom"/>
          </w:tcPr>
          <w:p w:rsidR="003438A1" w:rsidRPr="003438A1" w:rsidRDefault="003438A1" w:rsidP="003438A1">
            <w:pPr>
              <w:cnfStyle w:val="000000000000" w:firstRow="0" w:lastRow="0" w:firstColumn="0" w:lastColumn="0" w:oddVBand="0" w:evenVBand="0" w:oddHBand="0" w:evenHBand="0" w:firstRowFirstColumn="0" w:firstRowLastColumn="0" w:lastRowFirstColumn="0" w:lastRowLastColumn="0"/>
            </w:pPr>
            <w:r w:rsidRPr="003438A1">
              <w:t>1366.0</w:t>
            </w:r>
          </w:p>
        </w:tc>
        <w:tc>
          <w:tcPr>
            <w:tcW w:w="1115" w:type="dxa"/>
            <w:noWrap/>
            <w:vAlign w:val="bottom"/>
          </w:tcPr>
          <w:p w:rsidR="003438A1" w:rsidRPr="003438A1" w:rsidRDefault="003438A1" w:rsidP="003438A1">
            <w:pPr>
              <w:cnfStyle w:val="000000000000" w:firstRow="0" w:lastRow="0" w:firstColumn="0" w:lastColumn="0" w:oddVBand="0" w:evenVBand="0" w:oddHBand="0" w:evenHBand="0" w:firstRowFirstColumn="0" w:firstRowLastColumn="0" w:lastRowFirstColumn="0" w:lastRowLastColumn="0"/>
            </w:pPr>
            <w:r w:rsidRPr="003438A1">
              <w:t>1400.1</w:t>
            </w:r>
          </w:p>
        </w:tc>
        <w:tc>
          <w:tcPr>
            <w:tcW w:w="1115" w:type="dxa"/>
            <w:noWrap/>
            <w:vAlign w:val="bottom"/>
          </w:tcPr>
          <w:p w:rsidR="003438A1" w:rsidRPr="003438A1" w:rsidRDefault="003438A1" w:rsidP="003438A1">
            <w:pPr>
              <w:cnfStyle w:val="000000000000" w:firstRow="0" w:lastRow="0" w:firstColumn="0" w:lastColumn="0" w:oddVBand="0" w:evenVBand="0" w:oddHBand="0" w:evenHBand="0" w:firstRowFirstColumn="0" w:firstRowLastColumn="0" w:lastRowFirstColumn="0" w:lastRowLastColumn="0"/>
            </w:pPr>
            <w:r w:rsidRPr="003438A1">
              <w:t>1446.9</w:t>
            </w:r>
          </w:p>
        </w:tc>
      </w:tr>
      <w:tr w:rsidR="003438A1" w:rsidRPr="0056785E" w:rsidTr="0016472D">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3438A1" w:rsidRPr="003438A1" w:rsidRDefault="003438A1" w:rsidP="003438A1">
            <w:r w:rsidRPr="003438A1">
              <w:t>X factor</w:t>
            </w:r>
          </w:p>
        </w:tc>
        <w:tc>
          <w:tcPr>
            <w:tcW w:w="1115" w:type="dxa"/>
            <w:noWrap/>
            <w:vAlign w:val="bottom"/>
          </w:tcPr>
          <w:p w:rsidR="003438A1" w:rsidRPr="003438A1" w:rsidRDefault="003438A1" w:rsidP="003438A1">
            <w:pPr>
              <w:cnfStyle w:val="000000010000" w:firstRow="0" w:lastRow="0" w:firstColumn="0" w:lastColumn="0" w:oddVBand="0" w:evenVBand="0" w:oddHBand="0" w:evenHBand="1" w:firstRowFirstColumn="0" w:firstRowLastColumn="0" w:lastRowFirstColumn="0" w:lastRowLastColumn="0"/>
            </w:pPr>
            <w:r w:rsidRPr="003438A1">
              <w:t>n/a</w:t>
            </w:r>
          </w:p>
        </w:tc>
        <w:tc>
          <w:tcPr>
            <w:tcW w:w="1115" w:type="dxa"/>
            <w:noWrap/>
            <w:vAlign w:val="bottom"/>
          </w:tcPr>
          <w:p w:rsidR="003438A1" w:rsidRPr="003438A1" w:rsidRDefault="003438A1" w:rsidP="003438A1">
            <w:pPr>
              <w:cnfStyle w:val="000000010000" w:firstRow="0" w:lastRow="0" w:firstColumn="0" w:lastColumn="0" w:oddVBand="0" w:evenVBand="0" w:oddHBand="0" w:evenHBand="1" w:firstRowFirstColumn="0" w:firstRowLastColumn="0" w:lastRowFirstColumn="0" w:lastRowLastColumn="0"/>
            </w:pPr>
            <w:r>
              <w:t>–</w:t>
            </w:r>
            <w:r w:rsidRPr="003438A1">
              <w:t>0.6%</w:t>
            </w:r>
          </w:p>
        </w:tc>
        <w:tc>
          <w:tcPr>
            <w:tcW w:w="1115" w:type="dxa"/>
            <w:noWrap/>
            <w:vAlign w:val="bottom"/>
          </w:tcPr>
          <w:p w:rsidR="003438A1" w:rsidRPr="003438A1" w:rsidRDefault="003438A1" w:rsidP="003438A1">
            <w:pPr>
              <w:cnfStyle w:val="000000010000" w:firstRow="0" w:lastRow="0" w:firstColumn="0" w:lastColumn="0" w:oddVBand="0" w:evenVBand="0" w:oddHBand="0" w:evenHBand="1" w:firstRowFirstColumn="0" w:firstRowLastColumn="0" w:lastRowFirstColumn="0" w:lastRowLastColumn="0"/>
            </w:pPr>
            <w:r w:rsidRPr="003438A1">
              <w:t>0.0%</w:t>
            </w:r>
          </w:p>
        </w:tc>
        <w:tc>
          <w:tcPr>
            <w:tcW w:w="1115" w:type="dxa"/>
            <w:noWrap/>
            <w:vAlign w:val="bottom"/>
          </w:tcPr>
          <w:p w:rsidR="003438A1" w:rsidRPr="003438A1" w:rsidRDefault="003438A1" w:rsidP="003438A1">
            <w:pPr>
              <w:cnfStyle w:val="000000010000" w:firstRow="0" w:lastRow="0" w:firstColumn="0" w:lastColumn="0" w:oddVBand="0" w:evenVBand="0" w:oddHBand="0" w:evenHBand="1" w:firstRowFirstColumn="0" w:firstRowLastColumn="0" w:lastRowFirstColumn="0" w:lastRowLastColumn="0"/>
            </w:pPr>
            <w:r w:rsidRPr="003438A1">
              <w:t>0.0%</w:t>
            </w:r>
          </w:p>
        </w:tc>
        <w:tc>
          <w:tcPr>
            <w:tcW w:w="1115" w:type="dxa"/>
            <w:noWrap/>
            <w:vAlign w:val="bottom"/>
          </w:tcPr>
          <w:p w:rsidR="003438A1" w:rsidRPr="003438A1" w:rsidRDefault="003438A1" w:rsidP="003438A1">
            <w:pPr>
              <w:cnfStyle w:val="000000010000" w:firstRow="0" w:lastRow="0" w:firstColumn="0" w:lastColumn="0" w:oddVBand="0" w:evenVBand="0" w:oddHBand="0" w:evenHBand="1" w:firstRowFirstColumn="0" w:firstRowLastColumn="0" w:lastRowFirstColumn="0" w:lastRowLastColumn="0"/>
            </w:pPr>
            <w:r w:rsidRPr="003438A1">
              <w:t>-0.8%</w:t>
            </w:r>
          </w:p>
        </w:tc>
      </w:tr>
      <w:tr w:rsidR="006A2B0A" w:rsidRPr="0056785E" w:rsidTr="0016472D">
        <w:trPr>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6A2B0A" w:rsidRPr="006A2B0A" w:rsidRDefault="006A2B0A" w:rsidP="006A2B0A">
            <w:r w:rsidRPr="006A2B0A">
              <w:t xml:space="preserve">AER final decision </w:t>
            </w:r>
          </w:p>
        </w:tc>
        <w:tc>
          <w:tcPr>
            <w:tcW w:w="1115" w:type="dxa"/>
            <w:vAlign w:val="bottom"/>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1291.7</w:t>
            </w:r>
          </w:p>
        </w:tc>
        <w:tc>
          <w:tcPr>
            <w:tcW w:w="1115" w:type="dxa"/>
            <w:noWrap/>
            <w:vAlign w:val="bottom"/>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911.3</w:t>
            </w:r>
          </w:p>
        </w:tc>
        <w:tc>
          <w:tcPr>
            <w:tcW w:w="1115" w:type="dxa"/>
            <w:noWrap/>
            <w:vAlign w:val="bottom"/>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937.7</w:t>
            </w:r>
          </w:p>
        </w:tc>
        <w:tc>
          <w:tcPr>
            <w:tcW w:w="1115" w:type="dxa"/>
            <w:noWrap/>
            <w:vAlign w:val="bottom"/>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969.6</w:t>
            </w:r>
          </w:p>
        </w:tc>
        <w:tc>
          <w:tcPr>
            <w:tcW w:w="1115" w:type="dxa"/>
            <w:noWrap/>
            <w:vAlign w:val="bottom"/>
          </w:tcPr>
          <w:p w:rsidR="006A2B0A" w:rsidRPr="006A2B0A" w:rsidRDefault="006A2B0A" w:rsidP="006A2B0A">
            <w:pPr>
              <w:cnfStyle w:val="000000000000" w:firstRow="0" w:lastRow="0" w:firstColumn="0" w:lastColumn="0" w:oddVBand="0" w:evenVBand="0" w:oddHBand="0" w:evenHBand="0" w:firstRowFirstColumn="0" w:firstRowLastColumn="0" w:lastRowFirstColumn="0" w:lastRowLastColumn="0"/>
            </w:pPr>
            <w:r w:rsidRPr="006A2B0A">
              <w:t>1007.5</w:t>
            </w:r>
          </w:p>
        </w:tc>
      </w:tr>
      <w:tr w:rsidR="005457A0" w:rsidRPr="0056785E" w:rsidTr="0016472D">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5457A0" w:rsidRPr="005457A0" w:rsidRDefault="005457A0" w:rsidP="005457A0">
            <w:r w:rsidRPr="005457A0">
              <w:t>X factor</w:t>
            </w:r>
          </w:p>
        </w:tc>
        <w:tc>
          <w:tcPr>
            <w:tcW w:w="1115" w:type="dxa"/>
            <w:noWrap/>
            <w:vAlign w:val="bottom"/>
          </w:tcPr>
          <w:p w:rsidR="005457A0" w:rsidRPr="005457A0" w:rsidRDefault="005457A0" w:rsidP="005457A0">
            <w:pPr>
              <w:cnfStyle w:val="000000010000" w:firstRow="0" w:lastRow="0" w:firstColumn="0" w:lastColumn="0" w:oddVBand="0" w:evenVBand="0" w:oddHBand="0" w:evenHBand="1" w:firstRowFirstColumn="0" w:firstRowLastColumn="0" w:lastRowFirstColumn="0" w:lastRowLastColumn="0"/>
            </w:pPr>
            <w:r w:rsidRPr="005457A0">
              <w:t>n/a</w:t>
            </w:r>
          </w:p>
        </w:tc>
        <w:tc>
          <w:tcPr>
            <w:tcW w:w="1115" w:type="dxa"/>
            <w:noWrap/>
            <w:vAlign w:val="bottom"/>
          </w:tcPr>
          <w:p w:rsidR="005457A0" w:rsidRPr="005457A0" w:rsidRDefault="006A2B0A" w:rsidP="005457A0">
            <w:pPr>
              <w:cnfStyle w:val="000000010000" w:firstRow="0" w:lastRow="0" w:firstColumn="0" w:lastColumn="0" w:oddVBand="0" w:evenVBand="0" w:oddHBand="0" w:evenHBand="1" w:firstRowFirstColumn="0" w:firstRowLastColumn="0" w:lastRowFirstColumn="0" w:lastRowLastColumn="0"/>
            </w:pPr>
            <w:r>
              <w:t>31.09</w:t>
            </w:r>
            <w:r w:rsidR="005457A0" w:rsidRPr="005457A0">
              <w:t>%</w:t>
            </w:r>
          </w:p>
        </w:tc>
        <w:tc>
          <w:tcPr>
            <w:tcW w:w="1115" w:type="dxa"/>
            <w:noWrap/>
            <w:vAlign w:val="bottom"/>
          </w:tcPr>
          <w:p w:rsidR="005457A0" w:rsidRPr="005457A0" w:rsidRDefault="005457A0" w:rsidP="005457A0">
            <w:pPr>
              <w:cnfStyle w:val="000000010000" w:firstRow="0" w:lastRow="0" w:firstColumn="0" w:lastColumn="0" w:oddVBand="0" w:evenVBand="0" w:oddHBand="0" w:evenHBand="1" w:firstRowFirstColumn="0" w:firstRowLastColumn="0" w:lastRowFirstColumn="0" w:lastRowLastColumn="0"/>
            </w:pPr>
            <w:r>
              <w:t>–</w:t>
            </w:r>
            <w:r w:rsidRPr="005457A0">
              <w:t>0.50%</w:t>
            </w:r>
          </w:p>
        </w:tc>
        <w:tc>
          <w:tcPr>
            <w:tcW w:w="1115" w:type="dxa"/>
            <w:noWrap/>
            <w:vAlign w:val="bottom"/>
          </w:tcPr>
          <w:p w:rsidR="005457A0" w:rsidRPr="005457A0" w:rsidRDefault="005457A0" w:rsidP="005457A0">
            <w:pPr>
              <w:cnfStyle w:val="000000010000" w:firstRow="0" w:lastRow="0" w:firstColumn="0" w:lastColumn="0" w:oddVBand="0" w:evenVBand="0" w:oddHBand="0" w:evenHBand="1" w:firstRowFirstColumn="0" w:firstRowLastColumn="0" w:lastRowFirstColumn="0" w:lastRowLastColumn="0"/>
            </w:pPr>
            <w:r>
              <w:t>–</w:t>
            </w:r>
            <w:r w:rsidRPr="005457A0">
              <w:t>1.00%</w:t>
            </w:r>
          </w:p>
        </w:tc>
        <w:tc>
          <w:tcPr>
            <w:tcW w:w="1115" w:type="dxa"/>
            <w:noWrap/>
            <w:vAlign w:val="bottom"/>
          </w:tcPr>
          <w:p w:rsidR="005457A0" w:rsidRPr="005457A0" w:rsidRDefault="005457A0" w:rsidP="005457A0">
            <w:pPr>
              <w:cnfStyle w:val="000000010000" w:firstRow="0" w:lastRow="0" w:firstColumn="0" w:lastColumn="0" w:oddVBand="0" w:evenVBand="0" w:oddHBand="0" w:evenHBand="1" w:firstRowFirstColumn="0" w:firstRowLastColumn="0" w:lastRowFirstColumn="0" w:lastRowLastColumn="0"/>
            </w:pPr>
            <w:r>
              <w:t>–</w:t>
            </w:r>
            <w:r w:rsidRPr="005457A0">
              <w:t>1.50%</w:t>
            </w:r>
          </w:p>
        </w:tc>
      </w:tr>
    </w:tbl>
    <w:p w:rsidR="0016472D" w:rsidRDefault="0016472D" w:rsidP="0016472D">
      <w:pPr>
        <w:pStyle w:val="AERtablesource"/>
        <w:numPr>
          <w:ilvl w:val="0"/>
          <w:numId w:val="25"/>
        </w:numPr>
      </w:pPr>
      <w:r>
        <w:t>Source:</w:t>
      </w:r>
      <w:r>
        <w:tab/>
        <w:t xml:space="preserve">Essential Energy, </w:t>
      </w:r>
      <w:r>
        <w:rPr>
          <w:rStyle w:val="AERtextitalic"/>
        </w:rPr>
        <w:t>Revised r</w:t>
      </w:r>
      <w:r w:rsidRPr="00F506B0">
        <w:rPr>
          <w:rStyle w:val="AERtextitalic"/>
        </w:rPr>
        <w:t>egulatory proposal</w:t>
      </w:r>
      <w:r>
        <w:t>, January 2015, Attachment 5.5.</w:t>
      </w:r>
    </w:p>
    <w:p w:rsidR="0016472D" w:rsidRDefault="0016472D" w:rsidP="0016472D">
      <w:pPr>
        <w:pStyle w:val="AERtablesource"/>
        <w:numPr>
          <w:ilvl w:val="0"/>
          <w:numId w:val="25"/>
        </w:numPr>
      </w:pPr>
      <w:r>
        <w:tab/>
        <w:t>AER analysis.</w:t>
      </w:r>
    </w:p>
    <w:p w:rsidR="00EA49E0" w:rsidRPr="001A0DE4" w:rsidRDefault="00EA49E0" w:rsidP="00EA49E0">
      <w:pPr>
        <w:pStyle w:val="Heading3"/>
        <w:rPr>
          <w:rStyle w:val="AERbody"/>
          <w:color w:val="70635A" w:themeColor="text2"/>
          <w:sz w:val="28"/>
        </w:rPr>
      </w:pPr>
      <w:bookmarkStart w:id="29" w:name="_Toc416172661"/>
      <w:r w:rsidRPr="00B10FCC">
        <w:rPr>
          <w:rStyle w:val="AERbody"/>
          <w:color w:val="70635A" w:themeColor="text2"/>
          <w:sz w:val="28"/>
        </w:rPr>
        <w:t>Shared assets</w:t>
      </w:r>
      <w:bookmarkEnd w:id="29"/>
    </w:p>
    <w:p w:rsidR="00EA49E0" w:rsidRDefault="00EA49E0" w:rsidP="00EA49E0">
      <w:r>
        <w:t>In the draft decision, we considered that Essential Energy</w:t>
      </w:r>
      <w:r w:rsidRPr="00930329">
        <w:t xml:space="preserve">'s forecast shared asset unregulated revenues do not meet the minimum threshold for adjustments to be made </w:t>
      </w:r>
      <w:r w:rsidRPr="00930329">
        <w:lastRenderedPageBreak/>
        <w:t xml:space="preserve">to its </w:t>
      </w:r>
      <w:r w:rsidR="00A77604">
        <w:t>ARR</w:t>
      </w:r>
      <w:r w:rsidRPr="00930329">
        <w:t>.</w:t>
      </w:r>
      <w:r>
        <w:rPr>
          <w:rStyle w:val="FootnoteReference"/>
        </w:rPr>
        <w:footnoteReference w:id="18"/>
      </w:r>
      <w:r w:rsidRPr="00930329">
        <w:t xml:space="preserve">  </w:t>
      </w:r>
      <w:r w:rsidR="00A77604" w:rsidRPr="00A77604">
        <w:t xml:space="preserve">We continue to maintain this view. </w:t>
      </w:r>
      <w:r>
        <w:t>Our final decision is therefore consistent with our draft decision</w:t>
      </w:r>
      <w:r w:rsidRPr="00930329">
        <w:t>.</w:t>
      </w:r>
    </w:p>
    <w:p w:rsidR="008A1052" w:rsidRPr="008A1052" w:rsidRDefault="008A1052" w:rsidP="008A1052">
      <w:pPr>
        <w:pStyle w:val="Heading3"/>
      </w:pPr>
      <w:bookmarkStart w:id="30" w:name="_Toc416172662"/>
      <w:bookmarkStart w:id="31" w:name="_Toc416172663"/>
      <w:bookmarkStart w:id="32" w:name="_Ref398727992"/>
      <w:bookmarkStart w:id="33" w:name="_Toc404323675"/>
      <w:bookmarkStart w:id="34" w:name="_Toc416172664"/>
      <w:bookmarkEnd w:id="30"/>
      <w:bookmarkEnd w:id="31"/>
      <w:r w:rsidRPr="00020DFC">
        <w:t xml:space="preserve">Indicative </w:t>
      </w:r>
      <w:r w:rsidRPr="008A1052">
        <w:t>average distribution price impact</w:t>
      </w:r>
      <w:bookmarkEnd w:id="32"/>
      <w:bookmarkEnd w:id="33"/>
      <w:bookmarkEnd w:id="34"/>
    </w:p>
    <w:p w:rsidR="008A1052" w:rsidRDefault="008A1052" w:rsidP="008A1052">
      <w:pPr>
        <w:numPr>
          <w:ilvl w:val="0"/>
          <w:numId w:val="25"/>
        </w:numPr>
        <w:rPr>
          <w:rStyle w:val="AERbody"/>
        </w:rPr>
      </w:pPr>
      <w:r>
        <w:rPr>
          <w:rStyle w:val="AERbody"/>
        </w:rPr>
        <w:t xml:space="preserve">Our </w:t>
      </w:r>
      <w:r w:rsidR="00EB7541">
        <w:rPr>
          <w:rStyle w:val="AERbody"/>
        </w:rPr>
        <w:t>final</w:t>
      </w:r>
      <w:r>
        <w:rPr>
          <w:rStyle w:val="AERbody"/>
        </w:rPr>
        <w:t xml:space="preserve"> decision on Essential</w:t>
      </w:r>
      <w:r w:rsidRPr="001615F2">
        <w:rPr>
          <w:rStyle w:val="AERbody"/>
        </w:rPr>
        <w:t xml:space="preserve"> Energy's </w:t>
      </w:r>
      <w:r>
        <w:rPr>
          <w:rStyle w:val="AERbody"/>
        </w:rPr>
        <w:t xml:space="preserve">expected </w:t>
      </w:r>
      <w:r w:rsidRPr="001615F2">
        <w:rPr>
          <w:rStyle w:val="AERbody"/>
        </w:rPr>
        <w:t>revenue</w:t>
      </w:r>
      <w:r>
        <w:rPr>
          <w:rStyle w:val="AERbody"/>
        </w:rPr>
        <w:t>s</w:t>
      </w:r>
      <w:r w:rsidRPr="001615F2">
        <w:rPr>
          <w:rStyle w:val="AERbody"/>
        </w:rPr>
        <w:t xml:space="preserve"> ultimately affects the prices consumers pay for electricity. Because we are regulating </w:t>
      </w:r>
      <w:r>
        <w:rPr>
          <w:rStyle w:val="AERbody"/>
        </w:rPr>
        <w:t>Essential</w:t>
      </w:r>
      <w:r w:rsidRPr="001615F2">
        <w:rPr>
          <w:rStyle w:val="AERbody"/>
        </w:rPr>
        <w:t xml:space="preserve"> Energy's standard control services under a revenue cap, the adjustments that we have made to </w:t>
      </w:r>
      <w:r>
        <w:rPr>
          <w:rStyle w:val="AERbody"/>
        </w:rPr>
        <w:t>Essential Energy</w:t>
      </w:r>
      <w:r w:rsidRPr="001615F2">
        <w:rPr>
          <w:rStyle w:val="AERbody"/>
        </w:rPr>
        <w:t xml:space="preserve">'s </w:t>
      </w:r>
      <w:r>
        <w:rPr>
          <w:rStyle w:val="AERbody"/>
        </w:rPr>
        <w:t xml:space="preserve">expected revenues </w:t>
      </w:r>
      <w:r w:rsidRPr="001615F2">
        <w:rPr>
          <w:rStyle w:val="AERbody"/>
        </w:rPr>
        <w:t xml:space="preserve">do not directly translate to price impacts. This is because </w:t>
      </w:r>
      <w:r>
        <w:rPr>
          <w:rStyle w:val="AERbody"/>
        </w:rPr>
        <w:t>Essential</w:t>
      </w:r>
      <w:r w:rsidRPr="001615F2">
        <w:rPr>
          <w:rStyle w:val="AERbody"/>
        </w:rPr>
        <w:t xml:space="preserve"> Energy's revenue is fixed</w:t>
      </w:r>
      <w:r>
        <w:rPr>
          <w:rStyle w:val="AERbody"/>
        </w:rPr>
        <w:t xml:space="preserve"> under the revenue cap form of control</w:t>
      </w:r>
      <w:r w:rsidRPr="001615F2">
        <w:rPr>
          <w:rStyle w:val="AERbody"/>
        </w:rPr>
        <w:t xml:space="preserve">, so changes in the consumption of electricity will affect the price consumers are charged. </w:t>
      </w:r>
      <w:r w:rsidRPr="00845D44">
        <w:t xml:space="preserve">We are not required to establish the distribution prices for </w:t>
      </w:r>
      <w:r>
        <w:t>Essential</w:t>
      </w:r>
      <w:r w:rsidRPr="00845D44">
        <w:t xml:space="preserve"> Energy as part of this determination. </w:t>
      </w:r>
      <w:r w:rsidRPr="001615F2">
        <w:rPr>
          <w:rStyle w:val="AERbody"/>
        </w:rPr>
        <w:t xml:space="preserve">However, </w:t>
      </w:r>
      <w:r>
        <w:rPr>
          <w:rStyle w:val="AERbody"/>
        </w:rPr>
        <w:t xml:space="preserve">we will assess Essential Energy's annual pricing proposals before the commencement of </w:t>
      </w:r>
      <w:r w:rsidR="00974254">
        <w:rPr>
          <w:rStyle w:val="AERbody"/>
        </w:rPr>
        <w:t>each</w:t>
      </w:r>
      <w:r>
        <w:rPr>
          <w:rStyle w:val="AERbody"/>
        </w:rPr>
        <w:t xml:space="preserve"> regulatory year for the 201</w:t>
      </w:r>
      <w:r w:rsidR="00974254">
        <w:rPr>
          <w:rStyle w:val="AERbody"/>
        </w:rPr>
        <w:t>5</w:t>
      </w:r>
      <w:r>
        <w:rPr>
          <w:rStyle w:val="AERbody"/>
        </w:rPr>
        <w:t>–19</w:t>
      </w:r>
      <w:r w:rsidR="00974254">
        <w:rPr>
          <w:rStyle w:val="AERbody"/>
        </w:rPr>
        <w:t xml:space="preserve"> regulatory control</w:t>
      </w:r>
      <w:r>
        <w:rPr>
          <w:rStyle w:val="AERbody"/>
        </w:rPr>
        <w:t xml:space="preserve"> </w:t>
      </w:r>
      <w:proofErr w:type="gramStart"/>
      <w:r>
        <w:rPr>
          <w:rStyle w:val="AERbody"/>
        </w:rPr>
        <w:t>period</w:t>
      </w:r>
      <w:proofErr w:type="gramEnd"/>
      <w:r>
        <w:rPr>
          <w:rStyle w:val="AERbody"/>
        </w:rPr>
        <w:t xml:space="preserve"> </w:t>
      </w:r>
      <w:r w:rsidR="00974254">
        <w:rPr>
          <w:rStyle w:val="AERbody"/>
        </w:rPr>
        <w:t>to administer the pricing requirements in</w:t>
      </w:r>
      <w:r>
        <w:rPr>
          <w:rStyle w:val="AERbody"/>
        </w:rPr>
        <w:t xml:space="preserve"> this distribution determination.</w:t>
      </w:r>
    </w:p>
    <w:p w:rsidR="008A1052" w:rsidRPr="001615F2" w:rsidRDefault="008A1052" w:rsidP="008A1052">
      <w:pPr>
        <w:numPr>
          <w:ilvl w:val="0"/>
          <w:numId w:val="25"/>
        </w:numPr>
        <w:rPr>
          <w:rStyle w:val="AERbody"/>
        </w:rPr>
      </w:pPr>
      <w:r>
        <w:rPr>
          <w:rStyle w:val="AERbody"/>
        </w:rPr>
        <w:t xml:space="preserve">For this </w:t>
      </w:r>
      <w:r w:rsidR="00EB7541">
        <w:rPr>
          <w:rStyle w:val="AERbody"/>
        </w:rPr>
        <w:t>final</w:t>
      </w:r>
      <w:r>
        <w:rPr>
          <w:rStyle w:val="AERbody"/>
        </w:rPr>
        <w:t xml:space="preserve"> decision, we have estimated some of the indicative average distribution price impacts flowing from our determination on the expected revenues for Essential Energy over the 2014–19 </w:t>
      </w:r>
      <w:proofErr w:type="gramStart"/>
      <w:r>
        <w:rPr>
          <w:rStyle w:val="AERbody"/>
        </w:rPr>
        <w:t>period</w:t>
      </w:r>
      <w:proofErr w:type="gramEnd"/>
      <w:r>
        <w:rPr>
          <w:rStyle w:val="AERbody"/>
        </w:rPr>
        <w:t xml:space="preserve">. </w:t>
      </w:r>
      <w:r>
        <w:rPr>
          <w:rStyle w:val="AERbody"/>
        </w:rPr>
        <w:fldChar w:fldCharType="begin"/>
      </w:r>
      <w:r>
        <w:rPr>
          <w:rStyle w:val="AERbody"/>
        </w:rPr>
        <w:instrText xml:space="preserve"> REF _Ref397941631 \h </w:instrText>
      </w:r>
      <w:r>
        <w:rPr>
          <w:rStyle w:val="AERbody"/>
        </w:rPr>
      </w:r>
      <w:r>
        <w:rPr>
          <w:rStyle w:val="AERbody"/>
        </w:rPr>
        <w:fldChar w:fldCharType="separate"/>
      </w:r>
      <w:r w:rsidR="00C836EF" w:rsidRPr="001615F2">
        <w:t xml:space="preserve">Figure </w:t>
      </w:r>
      <w:r w:rsidR="00C836EF">
        <w:rPr>
          <w:noProof/>
        </w:rPr>
        <w:t>1</w:t>
      </w:r>
      <w:r w:rsidR="00C836EF">
        <w:t>.</w:t>
      </w:r>
      <w:r w:rsidR="00C836EF">
        <w:rPr>
          <w:noProof/>
        </w:rPr>
        <w:t>3</w:t>
      </w:r>
      <w:r>
        <w:rPr>
          <w:rStyle w:val="AERbody"/>
        </w:rPr>
        <w:fldChar w:fldCharType="end"/>
      </w:r>
      <w:r>
        <w:rPr>
          <w:rStyle w:val="AERbody"/>
        </w:rPr>
        <w:t xml:space="preserve"> shows Essential Energy's indicative price path based on the expected revenues established in our </w:t>
      </w:r>
      <w:r w:rsidR="00EB7541">
        <w:rPr>
          <w:rStyle w:val="AERbody"/>
        </w:rPr>
        <w:t>final</w:t>
      </w:r>
      <w:r>
        <w:rPr>
          <w:rStyle w:val="AERbody"/>
        </w:rPr>
        <w:t xml:space="preserve"> decision compared to its </w:t>
      </w:r>
      <w:r w:rsidR="00EB7541">
        <w:rPr>
          <w:rStyle w:val="AERbody"/>
        </w:rPr>
        <w:t xml:space="preserve">revised </w:t>
      </w:r>
      <w:r>
        <w:rPr>
          <w:rStyle w:val="AERbody"/>
        </w:rPr>
        <w:t xml:space="preserve">proposed revenue requirement. We used the </w:t>
      </w:r>
      <w:r w:rsidR="00F41ED8">
        <w:rPr>
          <w:rStyle w:val="AERbody"/>
        </w:rPr>
        <w:t>data on price changes</w:t>
      </w:r>
      <w:r>
        <w:rPr>
          <w:rStyle w:val="AERbody"/>
        </w:rPr>
        <w:t xml:space="preserve"> Essential Energy provided </w:t>
      </w:r>
      <w:r w:rsidR="00F41ED8">
        <w:rPr>
          <w:rStyle w:val="AERbody"/>
        </w:rPr>
        <w:t>in its revised proposal, which appeared to be consistent with price cap calculations. We have adopted the data</w:t>
      </w:r>
      <w:r>
        <w:rPr>
          <w:rStyle w:val="AERbody"/>
        </w:rPr>
        <w:t xml:space="preserve"> to determine the movement in overall prices. For presentational purposes, the prices are scaled so that the price index begins at 1.0 in 2013–14. This index provides a simple overall measure of the relative movement in expected distribution prices over the 2014–19 </w:t>
      </w:r>
      <w:proofErr w:type="gramStart"/>
      <w:r>
        <w:rPr>
          <w:rStyle w:val="AERbody"/>
        </w:rPr>
        <w:t>period</w:t>
      </w:r>
      <w:proofErr w:type="gramEnd"/>
      <w:r w:rsidRPr="001615F2">
        <w:rPr>
          <w:rStyle w:val="AERbody"/>
        </w:rPr>
        <w:t xml:space="preserve">. </w:t>
      </w:r>
    </w:p>
    <w:p w:rsidR="008A1052" w:rsidRPr="001615F2" w:rsidRDefault="008A1052" w:rsidP="008A1052">
      <w:pPr>
        <w:pStyle w:val="Caption"/>
      </w:pPr>
      <w:bookmarkStart w:id="35" w:name="_Ref397941631"/>
      <w:proofErr w:type="gramStart"/>
      <w:r w:rsidRPr="001615F2">
        <w:lastRenderedPageBreak/>
        <w:t xml:space="preserve">Figure </w:t>
      </w:r>
      <w:proofErr w:type="gramEnd"/>
      <w:r w:rsidRPr="00020DFC">
        <w:fldChar w:fldCharType="begin"/>
      </w:r>
      <w:r>
        <w:instrText xml:space="preserve"> STYLEREF 1 \s </w:instrText>
      </w:r>
      <w:r w:rsidRPr="00020DFC">
        <w:fldChar w:fldCharType="separate"/>
      </w:r>
      <w:r w:rsidR="00C836EF">
        <w:rPr>
          <w:noProof/>
        </w:rPr>
        <w:t>1</w:t>
      </w:r>
      <w:r w:rsidRPr="00020DFC">
        <w:fldChar w:fldCharType="end"/>
      </w:r>
      <w:proofErr w:type="gramStart"/>
      <w:r w:rsidR="00DA055C">
        <w:t>.</w:t>
      </w:r>
      <w:proofErr w:type="gramEnd"/>
      <w:r w:rsidRPr="00020DFC">
        <w:fldChar w:fldCharType="begin"/>
      </w:r>
      <w:r>
        <w:instrText xml:space="preserve"> SEQ Figure \* ARABIC \s 1 </w:instrText>
      </w:r>
      <w:r w:rsidRPr="00020DFC">
        <w:fldChar w:fldCharType="separate"/>
      </w:r>
      <w:r w:rsidR="00C836EF">
        <w:rPr>
          <w:noProof/>
        </w:rPr>
        <w:t>3</w:t>
      </w:r>
      <w:r w:rsidRPr="00020DFC">
        <w:fldChar w:fldCharType="end"/>
      </w:r>
      <w:bookmarkEnd w:id="35"/>
      <w:r w:rsidRPr="001615F2">
        <w:tab/>
        <w:t>AER</w:t>
      </w:r>
      <w:r>
        <w:t>'s</w:t>
      </w:r>
      <w:r w:rsidRPr="001615F2">
        <w:t xml:space="preserve"> </w:t>
      </w:r>
      <w:r w:rsidR="00EB7541">
        <w:t>final</w:t>
      </w:r>
      <w:r w:rsidRPr="001615F2">
        <w:t xml:space="preserve"> decision and </w:t>
      </w:r>
      <w:r>
        <w:t>Essential</w:t>
      </w:r>
      <w:r w:rsidRPr="001615F2">
        <w:t xml:space="preserve"> Energy</w:t>
      </w:r>
      <w:r>
        <w:t>'s</w:t>
      </w:r>
      <w:r w:rsidR="00EB7541">
        <w:t xml:space="preserve"> revised</w:t>
      </w:r>
      <w:r w:rsidRPr="001615F2">
        <w:t xml:space="preserve"> proposed indicative price path (nominal price index)</w:t>
      </w:r>
    </w:p>
    <w:p w:rsidR="008A1052" w:rsidRPr="008A1052" w:rsidRDefault="006A2B0A" w:rsidP="008A1052">
      <w:pPr>
        <w:pStyle w:val="Caption"/>
        <w:rPr>
          <w:rStyle w:val="CommentReference"/>
        </w:rPr>
      </w:pPr>
      <w:r w:rsidRPr="006A2B0A">
        <w:rPr>
          <w:noProof/>
          <w:lang w:eastAsia="en-AU"/>
        </w:rPr>
        <w:drawing>
          <wp:inline distT="0" distB="0" distL="0" distR="0" wp14:anchorId="5BC3570B" wp14:editId="6FEF3907">
            <wp:extent cx="5382895" cy="320230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02307"/>
                    </a:xfrm>
                    <a:prstGeom prst="rect">
                      <a:avLst/>
                    </a:prstGeom>
                    <a:noFill/>
                    <a:ln>
                      <a:noFill/>
                    </a:ln>
                  </pic:spPr>
                </pic:pic>
              </a:graphicData>
            </a:graphic>
          </wp:inline>
        </w:drawing>
      </w:r>
    </w:p>
    <w:p w:rsidR="008A1052" w:rsidRDefault="008A1052" w:rsidP="008A1052">
      <w:pPr>
        <w:pStyle w:val="AERtablesource"/>
      </w:pPr>
      <w:r>
        <w:t>Source:</w:t>
      </w:r>
      <w:r>
        <w:tab/>
        <w:t>AER analysis.</w:t>
      </w:r>
    </w:p>
    <w:p w:rsidR="008A1052" w:rsidRDefault="008A1052" w:rsidP="008A1052">
      <w:pPr>
        <w:pStyle w:val="AERtablesource"/>
      </w:pPr>
      <w:r>
        <w:tab/>
      </w:r>
      <w:r w:rsidRPr="00845D44">
        <w:t xml:space="preserve">The nominal price index is calculated by the AER based on the indicative weighted average price changes submitted by </w:t>
      </w:r>
      <w:r>
        <w:t>Essential</w:t>
      </w:r>
      <w:r w:rsidRPr="00845D44">
        <w:t xml:space="preserve"> Energy in its </w:t>
      </w:r>
      <w:r w:rsidR="00484A00">
        <w:t xml:space="preserve">revised </w:t>
      </w:r>
      <w:r w:rsidRPr="00845D44">
        <w:t>propos</w:t>
      </w:r>
      <w:r w:rsidR="00484A00">
        <w:t>al</w:t>
      </w:r>
      <w:r w:rsidRPr="00845D44">
        <w:t xml:space="preserve">, and adjusting for the change in overall revenue substituted by the AER.  </w:t>
      </w:r>
    </w:p>
    <w:p w:rsidR="008A1052" w:rsidRDefault="008A1052" w:rsidP="008A1052">
      <w:pPr>
        <w:numPr>
          <w:ilvl w:val="0"/>
          <w:numId w:val="25"/>
        </w:numPr>
        <w:rPr>
          <w:rStyle w:val="AERbody"/>
        </w:rPr>
      </w:pPr>
      <w:r w:rsidRPr="00845D44">
        <w:rPr>
          <w:rStyle w:val="AERbody"/>
        </w:rPr>
        <w:t xml:space="preserve">We estimate that our </w:t>
      </w:r>
      <w:r w:rsidR="00EB7541">
        <w:rPr>
          <w:rStyle w:val="AERbody"/>
        </w:rPr>
        <w:t xml:space="preserve">final </w:t>
      </w:r>
      <w:r w:rsidRPr="00845D44">
        <w:rPr>
          <w:rStyle w:val="AERbody"/>
        </w:rPr>
        <w:t xml:space="preserve">decision on </w:t>
      </w:r>
      <w:r>
        <w:rPr>
          <w:rStyle w:val="AERbody"/>
        </w:rPr>
        <w:t>Essential</w:t>
      </w:r>
      <w:r w:rsidRPr="00845D44">
        <w:rPr>
          <w:rStyle w:val="AERbody"/>
        </w:rPr>
        <w:t xml:space="preserve"> Energy's annual expected revenue will result in a decrease to average distribution charges by about </w:t>
      </w:r>
      <w:r>
        <w:rPr>
          <w:rStyle w:val="AERbody"/>
        </w:rPr>
        <w:t>5.</w:t>
      </w:r>
      <w:r w:rsidR="006A2B0A">
        <w:rPr>
          <w:rStyle w:val="AERbody"/>
        </w:rPr>
        <w:t>6</w:t>
      </w:r>
      <w:r w:rsidRPr="00845D44">
        <w:rPr>
          <w:rStyle w:val="AERbody"/>
        </w:rPr>
        <w:t xml:space="preserve"> per cent per annum over the 2014–19 </w:t>
      </w:r>
      <w:proofErr w:type="gramStart"/>
      <w:r w:rsidRPr="00845D44">
        <w:rPr>
          <w:rStyle w:val="AERbody"/>
        </w:rPr>
        <w:t>period</w:t>
      </w:r>
      <w:proofErr w:type="gramEnd"/>
      <w:r w:rsidRPr="00845D44">
        <w:rPr>
          <w:rStyle w:val="AERbody"/>
        </w:rPr>
        <w:t xml:space="preserve"> in nominal terms.</w:t>
      </w:r>
      <w:r w:rsidR="00974254" w:rsidRPr="00974254">
        <w:t xml:space="preserve"> </w:t>
      </w:r>
      <w:r w:rsidR="00974254">
        <w:t xml:space="preserve">This amount includes a forecast inflation rate of 2.38 per cent per annum. In real terms we estimate average </w:t>
      </w:r>
      <w:r w:rsidR="00974254" w:rsidRPr="00372A7D">
        <w:t>distribution charges</w:t>
      </w:r>
      <w:r w:rsidR="00974254">
        <w:t xml:space="preserve"> to decline by </w:t>
      </w:r>
      <w:r w:rsidR="000057A7">
        <w:t>7.8</w:t>
      </w:r>
      <w:r w:rsidR="00974254">
        <w:t xml:space="preserve"> per cent per annum</w:t>
      </w:r>
      <w:r w:rsidR="003438A1">
        <w:t>. This</w:t>
      </w:r>
      <w:r w:rsidR="00974254">
        <w:t xml:space="preserve"> compare</w:t>
      </w:r>
      <w:r w:rsidR="003438A1">
        <w:t>s</w:t>
      </w:r>
      <w:r w:rsidR="00974254">
        <w:t xml:space="preserve"> to a decline of 1.0 per cent per annum proposed by Essential Energy (based on Essential Energy's proposed forecast inflation rate of 2.50 per cent per annum). </w:t>
      </w:r>
      <w:r>
        <w:rPr>
          <w:rStyle w:val="AERbody"/>
        </w:rPr>
        <w:t xml:space="preserve">Our transitional determination resulted in an expected reduction in distribution charges of about </w:t>
      </w:r>
      <w:r w:rsidR="00624B16">
        <w:rPr>
          <w:rStyle w:val="AERbody"/>
        </w:rPr>
        <w:t>7.3</w:t>
      </w:r>
      <w:r>
        <w:rPr>
          <w:rStyle w:val="AERbody"/>
        </w:rPr>
        <w:t xml:space="preserve"> per cent in 2014–15. We estimate that our </w:t>
      </w:r>
      <w:r w:rsidR="00EB7541">
        <w:rPr>
          <w:rStyle w:val="AERbody"/>
        </w:rPr>
        <w:t>final</w:t>
      </w:r>
      <w:r>
        <w:rPr>
          <w:rStyle w:val="AERbody"/>
        </w:rPr>
        <w:t xml:space="preserve"> decision will further reduce distribution charges by another </w:t>
      </w:r>
      <w:r w:rsidR="00624B16">
        <w:rPr>
          <w:rStyle w:val="AERbody"/>
        </w:rPr>
        <w:t>29.</w:t>
      </w:r>
      <w:r w:rsidR="00F328D9">
        <w:rPr>
          <w:rStyle w:val="AERbody"/>
        </w:rPr>
        <w:t>0</w:t>
      </w:r>
      <w:r>
        <w:rPr>
          <w:rStyle w:val="AERbody"/>
        </w:rPr>
        <w:t xml:space="preserve"> per cent in 2015–16, followed</w:t>
      </w:r>
      <w:r w:rsidRPr="004B6091">
        <w:rPr>
          <w:rStyle w:val="AERbody"/>
        </w:rPr>
        <w:t xml:space="preserve"> </w:t>
      </w:r>
      <w:r>
        <w:rPr>
          <w:rStyle w:val="AERbody"/>
        </w:rPr>
        <w:t xml:space="preserve">by increases of about </w:t>
      </w:r>
      <w:r w:rsidR="00624B16">
        <w:rPr>
          <w:rStyle w:val="AERbody"/>
        </w:rPr>
        <w:t>4.</w:t>
      </w:r>
      <w:r w:rsidR="00E32A56">
        <w:rPr>
          <w:rStyle w:val="AERbody"/>
        </w:rPr>
        <w:t>4</w:t>
      </w:r>
      <w:r>
        <w:rPr>
          <w:rStyle w:val="AERbody"/>
        </w:rPr>
        <w:t xml:space="preserve"> per cent per annum from 2016–17 to 2018–19. </w:t>
      </w:r>
      <w:r w:rsidRPr="00845D44">
        <w:rPr>
          <w:rStyle w:val="AERbody"/>
        </w:rPr>
        <w:t xml:space="preserve">This compares to the nominal increase of approximately </w:t>
      </w:r>
      <w:r w:rsidR="00624B16">
        <w:rPr>
          <w:rStyle w:val="AERbody"/>
        </w:rPr>
        <w:t>3.8</w:t>
      </w:r>
      <w:r w:rsidRPr="00845D44">
        <w:rPr>
          <w:rStyle w:val="AERbody"/>
        </w:rPr>
        <w:t xml:space="preserve"> per cent per annum </w:t>
      </w:r>
      <w:r>
        <w:rPr>
          <w:rStyle w:val="AERbody"/>
        </w:rPr>
        <w:t>over the 2015–19 regulatory control period</w:t>
      </w:r>
      <w:r w:rsidR="00EB7541" w:rsidRPr="00EB7541">
        <w:rPr>
          <w:rStyle w:val="AERbody"/>
        </w:rPr>
        <w:t xml:space="preserve"> </w:t>
      </w:r>
      <w:r w:rsidR="00EB7541">
        <w:rPr>
          <w:rStyle w:val="AERbody"/>
        </w:rPr>
        <w:t>in</w:t>
      </w:r>
      <w:r w:rsidR="00EB7541" w:rsidRPr="00845D44">
        <w:rPr>
          <w:rStyle w:val="AERbody"/>
        </w:rPr>
        <w:t xml:space="preserve"> </w:t>
      </w:r>
      <w:r w:rsidR="00EB7541">
        <w:rPr>
          <w:rStyle w:val="AERbody"/>
        </w:rPr>
        <w:t>Essential</w:t>
      </w:r>
      <w:r w:rsidR="00EB7541" w:rsidRPr="00845D44">
        <w:rPr>
          <w:rStyle w:val="AERbody"/>
        </w:rPr>
        <w:t xml:space="preserve"> Energy</w:t>
      </w:r>
      <w:r w:rsidR="00EB7541">
        <w:rPr>
          <w:rStyle w:val="AERbody"/>
        </w:rPr>
        <w:t>'s revised proposal</w:t>
      </w:r>
      <w:r w:rsidRPr="00845D44">
        <w:rPr>
          <w:rStyle w:val="AERbody"/>
        </w:rPr>
        <w:t>.</w:t>
      </w:r>
    </w:p>
    <w:p w:rsidR="008A1052" w:rsidRDefault="008A1052" w:rsidP="008A1052">
      <w:pPr>
        <w:numPr>
          <w:ilvl w:val="0"/>
          <w:numId w:val="25"/>
        </w:numPr>
        <w:rPr>
          <w:rStyle w:val="AERbody"/>
        </w:rPr>
      </w:pPr>
      <w:r w:rsidRPr="001615F2">
        <w:rPr>
          <w:rStyle w:val="AERbody"/>
        </w:rPr>
        <w:fldChar w:fldCharType="begin"/>
      </w:r>
      <w:r w:rsidRPr="001615F2">
        <w:rPr>
          <w:rStyle w:val="AERbody"/>
        </w:rPr>
        <w:instrText xml:space="preserve"> REF _Ref397951148 \h </w:instrText>
      </w:r>
      <w:r w:rsidRPr="001615F2">
        <w:rPr>
          <w:rStyle w:val="AERbody"/>
        </w:rPr>
      </w:r>
      <w:r w:rsidRPr="001615F2">
        <w:rPr>
          <w:rStyle w:val="AERbody"/>
        </w:rPr>
        <w:fldChar w:fldCharType="separate"/>
      </w:r>
      <w:r w:rsidR="00C836EF" w:rsidRPr="001615F2">
        <w:t xml:space="preserve">Table </w:t>
      </w:r>
      <w:r w:rsidR="00C836EF">
        <w:rPr>
          <w:noProof/>
        </w:rPr>
        <w:t>1</w:t>
      </w:r>
      <w:r w:rsidR="00C836EF">
        <w:t>.</w:t>
      </w:r>
      <w:r w:rsidR="00C836EF">
        <w:rPr>
          <w:noProof/>
        </w:rPr>
        <w:t>4</w:t>
      </w:r>
      <w:r w:rsidRPr="001615F2">
        <w:rPr>
          <w:rStyle w:val="AERbody"/>
        </w:rPr>
        <w:fldChar w:fldCharType="end"/>
      </w:r>
      <w:r w:rsidRPr="001615F2">
        <w:rPr>
          <w:rStyle w:val="AERbody"/>
        </w:rPr>
        <w:t xml:space="preserve"> displays the comparison of the price impacts of </w:t>
      </w:r>
      <w:r>
        <w:rPr>
          <w:rStyle w:val="AERbody"/>
        </w:rPr>
        <w:t>Essential</w:t>
      </w:r>
      <w:r w:rsidRPr="001615F2">
        <w:rPr>
          <w:rStyle w:val="AERbody"/>
        </w:rPr>
        <w:t xml:space="preserve"> Energy’s </w:t>
      </w:r>
      <w:r w:rsidR="00EB7541">
        <w:rPr>
          <w:rStyle w:val="AERbody"/>
        </w:rPr>
        <w:t>revised</w:t>
      </w:r>
      <w:r>
        <w:rPr>
          <w:rStyle w:val="AERbody"/>
        </w:rPr>
        <w:t xml:space="preserve"> </w:t>
      </w:r>
      <w:r w:rsidRPr="001615F2">
        <w:rPr>
          <w:rStyle w:val="AERbody"/>
        </w:rPr>
        <w:t xml:space="preserve">proposal and our </w:t>
      </w:r>
      <w:r w:rsidR="00EB7541">
        <w:rPr>
          <w:rStyle w:val="AERbody"/>
        </w:rPr>
        <w:t xml:space="preserve">final </w:t>
      </w:r>
      <w:r w:rsidRPr="001615F2">
        <w:rPr>
          <w:rStyle w:val="AERbody"/>
        </w:rPr>
        <w:t>decision revenue allowance.</w:t>
      </w:r>
    </w:p>
    <w:p w:rsidR="001A0DE4" w:rsidRPr="001615F2" w:rsidRDefault="001A0DE4" w:rsidP="008A1052">
      <w:pPr>
        <w:numPr>
          <w:ilvl w:val="0"/>
          <w:numId w:val="25"/>
        </w:numPr>
        <w:rPr>
          <w:rStyle w:val="AERbody"/>
        </w:rPr>
      </w:pPr>
    </w:p>
    <w:p w:rsidR="008A1052" w:rsidRPr="001615F2" w:rsidRDefault="008A1052" w:rsidP="008A1052">
      <w:pPr>
        <w:pStyle w:val="Caption"/>
        <w:rPr>
          <w:rStyle w:val="AERbody"/>
        </w:rPr>
      </w:pPr>
      <w:bookmarkStart w:id="36" w:name="_Ref397951148"/>
      <w:proofErr w:type="gramStart"/>
      <w:r w:rsidRPr="001615F2">
        <w:lastRenderedPageBreak/>
        <w:t xml:space="preserve">Table </w:t>
      </w:r>
      <w:proofErr w:type="gramEnd"/>
      <w:r w:rsidRPr="008A1052">
        <w:fldChar w:fldCharType="begin"/>
      </w:r>
      <w:r>
        <w:instrText xml:space="preserve"> STYLEREF 1 \s </w:instrText>
      </w:r>
      <w:r w:rsidRPr="008A1052">
        <w:fldChar w:fldCharType="separate"/>
      </w:r>
      <w:r w:rsidR="00C836EF">
        <w:rPr>
          <w:noProof/>
        </w:rPr>
        <w:t>1</w:t>
      </w:r>
      <w:r w:rsidRPr="008A1052">
        <w:fldChar w:fldCharType="end"/>
      </w:r>
      <w:proofErr w:type="gramStart"/>
      <w:r w:rsidR="00DA055C">
        <w:t>.</w:t>
      </w:r>
      <w:proofErr w:type="gramEnd"/>
      <w:r w:rsidRPr="008A1052">
        <w:fldChar w:fldCharType="begin"/>
      </w:r>
      <w:r>
        <w:instrText xml:space="preserve"> SEQ Table \* ARABIC \s 1 </w:instrText>
      </w:r>
      <w:r w:rsidRPr="008A1052">
        <w:fldChar w:fldCharType="separate"/>
      </w:r>
      <w:r w:rsidR="00C836EF">
        <w:rPr>
          <w:noProof/>
        </w:rPr>
        <w:t>4</w:t>
      </w:r>
      <w:r w:rsidRPr="008A1052">
        <w:fldChar w:fldCharType="end"/>
      </w:r>
      <w:bookmarkEnd w:id="36"/>
      <w:r w:rsidRPr="001615F2">
        <w:tab/>
        <w:t xml:space="preserve">Comparison of price impacts of </w:t>
      </w:r>
      <w:r>
        <w:t>Essential</w:t>
      </w:r>
      <w:r w:rsidRPr="001615F2">
        <w:t xml:space="preserve"> Energy’s </w:t>
      </w:r>
      <w:r w:rsidR="00EB7541">
        <w:t xml:space="preserve">revised </w:t>
      </w:r>
      <w:r w:rsidRPr="001615F2">
        <w:t>proposal and AER</w:t>
      </w:r>
      <w:r>
        <w:t>'s</w:t>
      </w:r>
      <w:r w:rsidRPr="001615F2">
        <w:t xml:space="preserve"> </w:t>
      </w:r>
      <w:r w:rsidR="00EB7541">
        <w:t>final</w:t>
      </w:r>
      <w:r w:rsidRPr="001615F2">
        <w:t xml:space="preserve"> decision</w:t>
      </w:r>
    </w:p>
    <w:tbl>
      <w:tblPr>
        <w:tblStyle w:val="AERtable-numbers"/>
        <w:tblW w:w="5000" w:type="pct"/>
        <w:tblLook w:val="04A0" w:firstRow="1" w:lastRow="0" w:firstColumn="1" w:lastColumn="0" w:noHBand="0" w:noVBand="1"/>
      </w:tblPr>
      <w:tblGrid>
        <w:gridCol w:w="2076"/>
        <w:gridCol w:w="1034"/>
        <w:gridCol w:w="1297"/>
        <w:gridCol w:w="1101"/>
        <w:gridCol w:w="1062"/>
        <w:gridCol w:w="1062"/>
        <w:gridCol w:w="1061"/>
      </w:tblGrid>
      <w:tr w:rsidR="00EB7541" w:rsidRPr="00EB7541" w:rsidTr="00F328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8A1052" w:rsidRPr="00EB7541" w:rsidRDefault="008A1052" w:rsidP="00EB7541">
            <w:r w:rsidRPr="00EB7541">
              <w:t> </w:t>
            </w:r>
          </w:p>
        </w:tc>
        <w:tc>
          <w:tcPr>
            <w:tcW w:w="595" w:type="pct"/>
            <w:noWrap/>
            <w:hideMark/>
          </w:tcPr>
          <w:p w:rsidR="008A1052" w:rsidRPr="00EB7541" w:rsidRDefault="008A1052" w:rsidP="00EB7541">
            <w:pPr>
              <w:cnfStyle w:val="100000000000" w:firstRow="1" w:lastRow="0" w:firstColumn="0" w:lastColumn="0" w:oddVBand="0" w:evenVBand="0" w:oddHBand="0" w:evenHBand="0" w:firstRowFirstColumn="0" w:firstRowLastColumn="0" w:lastRowFirstColumn="0" w:lastRowLastColumn="0"/>
            </w:pPr>
            <w:r w:rsidRPr="00EB7541">
              <w:t>2013–14</w:t>
            </w:r>
          </w:p>
        </w:tc>
        <w:tc>
          <w:tcPr>
            <w:tcW w:w="746" w:type="pct"/>
            <w:noWrap/>
            <w:hideMark/>
          </w:tcPr>
          <w:p w:rsidR="008A1052" w:rsidRPr="00EB7541" w:rsidRDefault="008A1052" w:rsidP="00EB7541">
            <w:pPr>
              <w:cnfStyle w:val="100000000000" w:firstRow="1" w:lastRow="0" w:firstColumn="0" w:lastColumn="0" w:oddVBand="0" w:evenVBand="0" w:oddHBand="0" w:evenHBand="0" w:firstRowFirstColumn="0" w:firstRowLastColumn="0" w:lastRowFirstColumn="0" w:lastRowLastColumn="0"/>
            </w:pPr>
            <w:r w:rsidRPr="00EB7541">
              <w:t>2014–15</w:t>
            </w:r>
          </w:p>
        </w:tc>
        <w:tc>
          <w:tcPr>
            <w:tcW w:w="633" w:type="pct"/>
            <w:noWrap/>
            <w:hideMark/>
          </w:tcPr>
          <w:p w:rsidR="008A1052" w:rsidRPr="00EB7541" w:rsidRDefault="008A1052" w:rsidP="00EB7541">
            <w:pPr>
              <w:cnfStyle w:val="100000000000" w:firstRow="1" w:lastRow="0" w:firstColumn="0" w:lastColumn="0" w:oddVBand="0" w:evenVBand="0" w:oddHBand="0" w:evenHBand="0" w:firstRowFirstColumn="0" w:firstRowLastColumn="0" w:lastRowFirstColumn="0" w:lastRowLastColumn="0"/>
            </w:pPr>
            <w:r w:rsidRPr="00EB7541">
              <w:t>2015–16</w:t>
            </w:r>
          </w:p>
        </w:tc>
        <w:tc>
          <w:tcPr>
            <w:tcW w:w="611" w:type="pct"/>
            <w:noWrap/>
            <w:hideMark/>
          </w:tcPr>
          <w:p w:rsidR="008A1052" w:rsidRPr="00EB7541" w:rsidRDefault="008A1052" w:rsidP="00EB7541">
            <w:pPr>
              <w:cnfStyle w:val="100000000000" w:firstRow="1" w:lastRow="0" w:firstColumn="0" w:lastColumn="0" w:oddVBand="0" w:evenVBand="0" w:oddHBand="0" w:evenHBand="0" w:firstRowFirstColumn="0" w:firstRowLastColumn="0" w:lastRowFirstColumn="0" w:lastRowLastColumn="0"/>
            </w:pPr>
            <w:r w:rsidRPr="00EB7541">
              <w:t>2016–17</w:t>
            </w:r>
          </w:p>
        </w:tc>
        <w:tc>
          <w:tcPr>
            <w:tcW w:w="611" w:type="pct"/>
            <w:noWrap/>
            <w:hideMark/>
          </w:tcPr>
          <w:p w:rsidR="008A1052" w:rsidRPr="00EB7541" w:rsidRDefault="008A1052" w:rsidP="00EB7541">
            <w:pPr>
              <w:cnfStyle w:val="100000000000" w:firstRow="1" w:lastRow="0" w:firstColumn="0" w:lastColumn="0" w:oddVBand="0" w:evenVBand="0" w:oddHBand="0" w:evenHBand="0" w:firstRowFirstColumn="0" w:firstRowLastColumn="0" w:lastRowFirstColumn="0" w:lastRowLastColumn="0"/>
            </w:pPr>
            <w:r w:rsidRPr="00EB7541">
              <w:t>2017–18</w:t>
            </w:r>
          </w:p>
        </w:tc>
        <w:tc>
          <w:tcPr>
            <w:tcW w:w="610" w:type="pct"/>
            <w:noWrap/>
            <w:hideMark/>
          </w:tcPr>
          <w:p w:rsidR="008A1052" w:rsidRPr="00EB7541" w:rsidRDefault="008A1052" w:rsidP="00EB7541">
            <w:pPr>
              <w:cnfStyle w:val="100000000000" w:firstRow="1" w:lastRow="0" w:firstColumn="0" w:lastColumn="0" w:oddVBand="0" w:evenVBand="0" w:oddHBand="0" w:evenHBand="0" w:firstRowFirstColumn="0" w:firstRowLastColumn="0" w:lastRowFirstColumn="0" w:lastRowLastColumn="0"/>
            </w:pPr>
            <w:r w:rsidRPr="00EB7541">
              <w:t>2018–19</w:t>
            </w:r>
          </w:p>
        </w:tc>
      </w:tr>
      <w:tr w:rsidR="008A1052" w:rsidRPr="00EB7541" w:rsidTr="00F328D9">
        <w:trPr>
          <w:trHeight w:val="300"/>
        </w:trPr>
        <w:tc>
          <w:tcPr>
            <w:cnfStyle w:val="001000000000" w:firstRow="0" w:lastRow="0" w:firstColumn="1" w:lastColumn="0" w:oddVBand="0" w:evenVBand="0" w:oddHBand="0" w:evenHBand="0" w:firstRowFirstColumn="0" w:firstRowLastColumn="0" w:lastRowFirstColumn="0" w:lastRowLastColumn="0"/>
            <w:tcW w:w="1789" w:type="pct"/>
            <w:gridSpan w:val="2"/>
            <w:noWrap/>
            <w:hideMark/>
          </w:tcPr>
          <w:p w:rsidR="008A1052" w:rsidRPr="00EB7541" w:rsidRDefault="008A1052" w:rsidP="00EB7541">
            <w:pPr>
              <w:rPr>
                <w:rStyle w:val="Strong"/>
              </w:rPr>
            </w:pPr>
            <w:r w:rsidRPr="00EB7541">
              <w:rPr>
                <w:rStyle w:val="Strong"/>
              </w:rPr>
              <w:t xml:space="preserve">Essential Energy </w:t>
            </w:r>
            <w:r w:rsidR="00EB7541" w:rsidRPr="00EB7541">
              <w:rPr>
                <w:rStyle w:val="Strong"/>
              </w:rPr>
              <w:t xml:space="preserve">revised </w:t>
            </w:r>
            <w:r w:rsidRPr="00EB7541">
              <w:rPr>
                <w:rStyle w:val="Strong"/>
              </w:rPr>
              <w:t>proposal</w:t>
            </w:r>
          </w:p>
        </w:tc>
        <w:tc>
          <w:tcPr>
            <w:tcW w:w="746" w:type="pct"/>
            <w:noWrap/>
            <w:hideMark/>
          </w:tcPr>
          <w:p w:rsidR="008A1052" w:rsidRPr="00EB7541" w:rsidRDefault="008A1052" w:rsidP="00EB7541">
            <w:pPr>
              <w:cnfStyle w:val="000000000000" w:firstRow="0" w:lastRow="0" w:firstColumn="0" w:lastColumn="0" w:oddVBand="0" w:evenVBand="0" w:oddHBand="0" w:evenHBand="0" w:firstRowFirstColumn="0" w:firstRowLastColumn="0" w:lastRowFirstColumn="0" w:lastRowLastColumn="0"/>
              <w:rPr>
                <w:rStyle w:val="Strong"/>
              </w:rPr>
            </w:pPr>
            <w:r w:rsidRPr="00EB7541">
              <w:rPr>
                <w:rStyle w:val="Strong"/>
              </w:rPr>
              <w:t> </w:t>
            </w:r>
          </w:p>
        </w:tc>
        <w:tc>
          <w:tcPr>
            <w:tcW w:w="633" w:type="pct"/>
            <w:noWrap/>
            <w:hideMark/>
          </w:tcPr>
          <w:p w:rsidR="008A1052" w:rsidRPr="00EB7541" w:rsidRDefault="008A1052" w:rsidP="00EB7541">
            <w:pPr>
              <w:cnfStyle w:val="000000000000" w:firstRow="0" w:lastRow="0" w:firstColumn="0" w:lastColumn="0" w:oddVBand="0" w:evenVBand="0" w:oddHBand="0" w:evenHBand="0" w:firstRowFirstColumn="0" w:firstRowLastColumn="0" w:lastRowFirstColumn="0" w:lastRowLastColumn="0"/>
              <w:rPr>
                <w:rStyle w:val="Strong"/>
              </w:rPr>
            </w:pPr>
            <w:r w:rsidRPr="00EB7541">
              <w:rPr>
                <w:rStyle w:val="Strong"/>
              </w:rPr>
              <w:t> </w:t>
            </w:r>
          </w:p>
        </w:tc>
        <w:tc>
          <w:tcPr>
            <w:tcW w:w="611" w:type="pct"/>
            <w:noWrap/>
            <w:hideMark/>
          </w:tcPr>
          <w:p w:rsidR="008A1052" w:rsidRPr="00EB7541" w:rsidRDefault="008A1052" w:rsidP="00EB7541">
            <w:pPr>
              <w:cnfStyle w:val="000000000000" w:firstRow="0" w:lastRow="0" w:firstColumn="0" w:lastColumn="0" w:oddVBand="0" w:evenVBand="0" w:oddHBand="0" w:evenHBand="0" w:firstRowFirstColumn="0" w:firstRowLastColumn="0" w:lastRowFirstColumn="0" w:lastRowLastColumn="0"/>
              <w:rPr>
                <w:rStyle w:val="Strong"/>
              </w:rPr>
            </w:pPr>
            <w:r w:rsidRPr="00EB7541">
              <w:rPr>
                <w:rStyle w:val="Strong"/>
              </w:rPr>
              <w:t> </w:t>
            </w:r>
          </w:p>
        </w:tc>
        <w:tc>
          <w:tcPr>
            <w:tcW w:w="611" w:type="pct"/>
            <w:noWrap/>
            <w:hideMark/>
          </w:tcPr>
          <w:p w:rsidR="008A1052" w:rsidRPr="00EB7541" w:rsidRDefault="008A1052" w:rsidP="00EB7541">
            <w:pPr>
              <w:cnfStyle w:val="000000000000" w:firstRow="0" w:lastRow="0" w:firstColumn="0" w:lastColumn="0" w:oddVBand="0" w:evenVBand="0" w:oddHBand="0" w:evenHBand="0" w:firstRowFirstColumn="0" w:firstRowLastColumn="0" w:lastRowFirstColumn="0" w:lastRowLastColumn="0"/>
              <w:rPr>
                <w:rStyle w:val="Strong"/>
              </w:rPr>
            </w:pPr>
            <w:r w:rsidRPr="00EB7541">
              <w:rPr>
                <w:rStyle w:val="Strong"/>
              </w:rPr>
              <w:t> </w:t>
            </w:r>
          </w:p>
        </w:tc>
        <w:tc>
          <w:tcPr>
            <w:tcW w:w="610" w:type="pct"/>
            <w:noWrap/>
            <w:hideMark/>
          </w:tcPr>
          <w:p w:rsidR="008A1052" w:rsidRPr="00EB7541" w:rsidRDefault="008A1052" w:rsidP="00EB7541">
            <w:pPr>
              <w:cnfStyle w:val="000000000000" w:firstRow="0" w:lastRow="0" w:firstColumn="0" w:lastColumn="0" w:oddVBand="0" w:evenVBand="0" w:oddHBand="0" w:evenHBand="0" w:firstRowFirstColumn="0" w:firstRowLastColumn="0" w:lastRowFirstColumn="0" w:lastRowLastColumn="0"/>
              <w:rPr>
                <w:rStyle w:val="Strong"/>
              </w:rPr>
            </w:pPr>
            <w:r w:rsidRPr="00EB7541">
              <w:rPr>
                <w:rStyle w:val="Strong"/>
              </w:rPr>
              <w:t> </w:t>
            </w:r>
          </w:p>
        </w:tc>
      </w:tr>
      <w:tr w:rsidR="00624B16" w:rsidRPr="00845D44"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624B16" w:rsidRPr="00624B16" w:rsidRDefault="00624B16" w:rsidP="00624B16">
            <w:r w:rsidRPr="00624B16">
              <w:t>Revenue ($m, nominal)</w:t>
            </w:r>
          </w:p>
        </w:tc>
        <w:tc>
          <w:tcPr>
            <w:tcW w:w="595"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1405.3</w:t>
            </w:r>
          </w:p>
        </w:tc>
        <w:tc>
          <w:tcPr>
            <w:tcW w:w="746"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1291.7</w:t>
            </w:r>
          </w:p>
        </w:tc>
        <w:tc>
          <w:tcPr>
            <w:tcW w:w="63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1332.6</w:t>
            </w:r>
          </w:p>
        </w:tc>
        <w:tc>
          <w:tcPr>
            <w:tcW w:w="611"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1366.0</w:t>
            </w:r>
          </w:p>
        </w:tc>
        <w:tc>
          <w:tcPr>
            <w:tcW w:w="611"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1400.1</w:t>
            </w:r>
          </w:p>
        </w:tc>
        <w:tc>
          <w:tcPr>
            <w:tcW w:w="61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1446.9</w:t>
            </w:r>
          </w:p>
        </w:tc>
      </w:tr>
      <w:tr w:rsidR="00624B16" w:rsidRPr="00845D44" w:rsidTr="00F328D9">
        <w:trPr>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624B16" w:rsidRPr="00624B16" w:rsidRDefault="00624B16" w:rsidP="00624B16">
            <w:r w:rsidRPr="00624B16">
              <w:t>Price path (nominal index)</w:t>
            </w:r>
          </w:p>
        </w:tc>
        <w:tc>
          <w:tcPr>
            <w:tcW w:w="595"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1.00</w:t>
            </w:r>
          </w:p>
        </w:tc>
        <w:tc>
          <w:tcPr>
            <w:tcW w:w="746"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0.93</w:t>
            </w:r>
          </w:p>
        </w:tc>
        <w:tc>
          <w:tcPr>
            <w:tcW w:w="633"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0.96</w:t>
            </w:r>
          </w:p>
        </w:tc>
        <w:tc>
          <w:tcPr>
            <w:tcW w:w="611"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1.00</w:t>
            </w:r>
          </w:p>
        </w:tc>
        <w:tc>
          <w:tcPr>
            <w:tcW w:w="611"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1.04</w:t>
            </w:r>
          </w:p>
        </w:tc>
        <w:tc>
          <w:tcPr>
            <w:tcW w:w="610"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1.08</w:t>
            </w:r>
          </w:p>
        </w:tc>
      </w:tr>
      <w:tr w:rsidR="00624B16" w:rsidRPr="00845D44"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624B16" w:rsidRPr="00624B16" w:rsidRDefault="00624B16" w:rsidP="00624B16">
            <w:r w:rsidRPr="00624B16">
              <w:t>Revenue (change %)</w:t>
            </w:r>
          </w:p>
        </w:tc>
        <w:tc>
          <w:tcPr>
            <w:tcW w:w="595"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746"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t>–</w:t>
            </w:r>
            <w:r w:rsidRPr="00624B16">
              <w:t>8.1%</w:t>
            </w:r>
          </w:p>
        </w:tc>
        <w:tc>
          <w:tcPr>
            <w:tcW w:w="63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3.2%</w:t>
            </w:r>
          </w:p>
        </w:tc>
        <w:tc>
          <w:tcPr>
            <w:tcW w:w="611"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2.5%</w:t>
            </w:r>
          </w:p>
        </w:tc>
        <w:tc>
          <w:tcPr>
            <w:tcW w:w="611"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2.5%</w:t>
            </w:r>
          </w:p>
        </w:tc>
        <w:tc>
          <w:tcPr>
            <w:tcW w:w="61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3.3%</w:t>
            </w:r>
          </w:p>
        </w:tc>
      </w:tr>
      <w:tr w:rsidR="00624B16" w:rsidRPr="00845D44" w:rsidTr="00F328D9">
        <w:trPr>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624B16" w:rsidRPr="00624B16" w:rsidRDefault="00624B16" w:rsidP="00624B16">
            <w:r w:rsidRPr="00624B16">
              <w:t>Price path (change %)</w:t>
            </w:r>
          </w:p>
        </w:tc>
        <w:tc>
          <w:tcPr>
            <w:tcW w:w="595"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 </w:t>
            </w:r>
          </w:p>
        </w:tc>
        <w:tc>
          <w:tcPr>
            <w:tcW w:w="746"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t>–</w:t>
            </w:r>
            <w:r w:rsidRPr="00624B16">
              <w:t>7.3%</w:t>
            </w:r>
          </w:p>
        </w:tc>
        <w:tc>
          <w:tcPr>
            <w:tcW w:w="633"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3.8%</w:t>
            </w:r>
          </w:p>
        </w:tc>
        <w:tc>
          <w:tcPr>
            <w:tcW w:w="611"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3.8%</w:t>
            </w:r>
          </w:p>
        </w:tc>
        <w:tc>
          <w:tcPr>
            <w:tcW w:w="611"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3.8%</w:t>
            </w:r>
          </w:p>
        </w:tc>
        <w:tc>
          <w:tcPr>
            <w:tcW w:w="610"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3.8%</w:t>
            </w:r>
          </w:p>
        </w:tc>
      </w:tr>
      <w:tr w:rsidR="00624B16" w:rsidRPr="00845D44"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624B16" w:rsidRPr="00624B16" w:rsidRDefault="00624B16" w:rsidP="00624B16">
            <w:pPr>
              <w:rPr>
                <w:rStyle w:val="Strong"/>
              </w:rPr>
            </w:pPr>
            <w:r w:rsidRPr="00624B16">
              <w:rPr>
                <w:rStyle w:val="Strong"/>
              </w:rPr>
              <w:t>AER final decision</w:t>
            </w:r>
          </w:p>
        </w:tc>
        <w:tc>
          <w:tcPr>
            <w:tcW w:w="595"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746"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63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611"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611"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61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r>
      <w:tr w:rsidR="00F328D9" w:rsidRPr="00845D44" w:rsidTr="00F328D9">
        <w:trPr>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F328D9" w:rsidRPr="00F328D9" w:rsidRDefault="00F328D9" w:rsidP="00F328D9">
            <w:r w:rsidRPr="00F328D9">
              <w:t>Revenue ($m, nominal)</w:t>
            </w:r>
          </w:p>
        </w:tc>
        <w:tc>
          <w:tcPr>
            <w:tcW w:w="595"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1405.3</w:t>
            </w:r>
          </w:p>
        </w:tc>
        <w:tc>
          <w:tcPr>
            <w:tcW w:w="746"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1291.7</w:t>
            </w:r>
          </w:p>
        </w:tc>
        <w:tc>
          <w:tcPr>
            <w:tcW w:w="633"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911.</w:t>
            </w:r>
            <w:r w:rsidR="00E32A56">
              <w:t>3</w:t>
            </w:r>
          </w:p>
        </w:tc>
        <w:tc>
          <w:tcPr>
            <w:tcW w:w="611"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937.</w:t>
            </w:r>
            <w:r w:rsidR="00E32A56">
              <w:t>7</w:t>
            </w:r>
          </w:p>
        </w:tc>
        <w:tc>
          <w:tcPr>
            <w:tcW w:w="611"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969.</w:t>
            </w:r>
            <w:r w:rsidR="00E32A56">
              <w:t>6</w:t>
            </w:r>
          </w:p>
        </w:tc>
        <w:tc>
          <w:tcPr>
            <w:tcW w:w="610"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1007.</w:t>
            </w:r>
            <w:r w:rsidR="00E32A56">
              <w:t>5</w:t>
            </w:r>
          </w:p>
        </w:tc>
      </w:tr>
      <w:tr w:rsidR="00F328D9" w:rsidRPr="00845D44"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F328D9" w:rsidRPr="00F328D9" w:rsidRDefault="00F328D9" w:rsidP="00F328D9">
            <w:r w:rsidRPr="00F328D9">
              <w:t>Price path (nominal index)</w:t>
            </w:r>
          </w:p>
        </w:tc>
        <w:tc>
          <w:tcPr>
            <w:tcW w:w="595"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1.00</w:t>
            </w:r>
          </w:p>
        </w:tc>
        <w:tc>
          <w:tcPr>
            <w:tcW w:w="746"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0.93</w:t>
            </w:r>
          </w:p>
        </w:tc>
        <w:tc>
          <w:tcPr>
            <w:tcW w:w="633"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0.66</w:t>
            </w:r>
          </w:p>
        </w:tc>
        <w:tc>
          <w:tcPr>
            <w:tcW w:w="611"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0.69</w:t>
            </w:r>
          </w:p>
        </w:tc>
        <w:tc>
          <w:tcPr>
            <w:tcW w:w="611"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0.72</w:t>
            </w:r>
          </w:p>
        </w:tc>
        <w:tc>
          <w:tcPr>
            <w:tcW w:w="610"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0.75</w:t>
            </w:r>
          </w:p>
        </w:tc>
      </w:tr>
      <w:tr w:rsidR="00F328D9" w:rsidRPr="00845D44" w:rsidTr="00F328D9">
        <w:trPr>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F328D9" w:rsidRPr="00F328D9" w:rsidRDefault="00F328D9" w:rsidP="00F328D9">
            <w:r w:rsidRPr="00F328D9">
              <w:t>Revenue (change %)</w:t>
            </w:r>
          </w:p>
        </w:tc>
        <w:tc>
          <w:tcPr>
            <w:tcW w:w="595"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 </w:t>
            </w:r>
          </w:p>
        </w:tc>
        <w:tc>
          <w:tcPr>
            <w:tcW w:w="746"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t>–</w:t>
            </w:r>
            <w:r w:rsidRPr="00F328D9">
              <w:t>8.1%</w:t>
            </w:r>
          </w:p>
        </w:tc>
        <w:tc>
          <w:tcPr>
            <w:tcW w:w="633"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t>–</w:t>
            </w:r>
            <w:r w:rsidRPr="00F328D9">
              <w:t>29.4%</w:t>
            </w:r>
          </w:p>
        </w:tc>
        <w:tc>
          <w:tcPr>
            <w:tcW w:w="611"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2.9%</w:t>
            </w:r>
          </w:p>
        </w:tc>
        <w:tc>
          <w:tcPr>
            <w:tcW w:w="611"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3.4%</w:t>
            </w:r>
          </w:p>
        </w:tc>
        <w:tc>
          <w:tcPr>
            <w:tcW w:w="610"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3.9%</w:t>
            </w:r>
          </w:p>
        </w:tc>
      </w:tr>
      <w:tr w:rsidR="00F328D9" w:rsidRPr="00845D44"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4" w:type="pct"/>
            <w:noWrap/>
            <w:hideMark/>
          </w:tcPr>
          <w:p w:rsidR="00F328D9" w:rsidRPr="00F328D9" w:rsidRDefault="00F328D9" w:rsidP="00F328D9">
            <w:r w:rsidRPr="00F328D9">
              <w:t>Price path (change %)</w:t>
            </w:r>
          </w:p>
        </w:tc>
        <w:tc>
          <w:tcPr>
            <w:tcW w:w="595"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 </w:t>
            </w:r>
          </w:p>
        </w:tc>
        <w:tc>
          <w:tcPr>
            <w:tcW w:w="746"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t>–</w:t>
            </w:r>
            <w:r w:rsidRPr="00F328D9">
              <w:t>7.3%</w:t>
            </w:r>
          </w:p>
        </w:tc>
        <w:tc>
          <w:tcPr>
            <w:tcW w:w="633"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t>–</w:t>
            </w:r>
            <w:r w:rsidRPr="00F328D9">
              <w:t>29.0%</w:t>
            </w:r>
          </w:p>
        </w:tc>
        <w:tc>
          <w:tcPr>
            <w:tcW w:w="611"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4.2%</w:t>
            </w:r>
          </w:p>
        </w:tc>
        <w:tc>
          <w:tcPr>
            <w:tcW w:w="611"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4.7%</w:t>
            </w:r>
          </w:p>
        </w:tc>
        <w:tc>
          <w:tcPr>
            <w:tcW w:w="610"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4.4%</w:t>
            </w:r>
          </w:p>
        </w:tc>
      </w:tr>
    </w:tbl>
    <w:p w:rsidR="008A1052" w:rsidRDefault="008A1052" w:rsidP="008A1052">
      <w:pPr>
        <w:pStyle w:val="AERtablesource"/>
      </w:pPr>
      <w:r w:rsidRPr="00E44BE0">
        <w:t>Source:</w:t>
      </w:r>
      <w:r w:rsidRPr="00E44BE0">
        <w:tab/>
        <w:t>AER analysis.</w:t>
      </w:r>
    </w:p>
    <w:p w:rsidR="00C469E4" w:rsidRDefault="008A1052" w:rsidP="008A1052">
      <w:pPr>
        <w:numPr>
          <w:ilvl w:val="0"/>
          <w:numId w:val="25"/>
        </w:numPr>
      </w:pPr>
      <w:r w:rsidRPr="009E4884">
        <w:rPr>
          <w:rStyle w:val="AERbody"/>
        </w:rPr>
        <w:t>D</w:t>
      </w:r>
      <w:r w:rsidRPr="009E4884">
        <w:t xml:space="preserve">istribution charges represent approximately </w:t>
      </w:r>
      <w:r>
        <w:t xml:space="preserve">43 </w:t>
      </w:r>
      <w:r w:rsidRPr="009E4884">
        <w:t xml:space="preserve">per cent on average of </w:t>
      </w:r>
      <w:r>
        <w:t>Essential</w:t>
      </w:r>
      <w:r w:rsidRPr="009E4884">
        <w:t xml:space="preserve"> Energy's typical customer's annual electricity </w:t>
      </w:r>
      <w:r>
        <w:t>bill</w:t>
      </w:r>
      <w:r w:rsidRPr="009E4884">
        <w:t>.</w:t>
      </w:r>
      <w:r w:rsidRPr="009E4884">
        <w:rPr>
          <w:rStyle w:val="FootnoteReference"/>
        </w:rPr>
        <w:footnoteReference w:id="19"/>
      </w:r>
      <w:r w:rsidRPr="009E4884">
        <w:t xml:space="preserve"> We expect that our </w:t>
      </w:r>
      <w:r w:rsidR="00310901">
        <w:t xml:space="preserve">final </w:t>
      </w:r>
      <w:r w:rsidRPr="009E4884">
        <w:t xml:space="preserve">decision, </w:t>
      </w:r>
      <w:r w:rsidR="00974254">
        <w:t xml:space="preserve">holding all </w:t>
      </w:r>
      <w:r w:rsidRPr="009E4884">
        <w:t xml:space="preserve">other </w:t>
      </w:r>
      <w:r w:rsidR="00974254">
        <w:t>components of the bill constant</w:t>
      </w:r>
      <w:r w:rsidRPr="009E4884">
        <w:t xml:space="preserve">, will reduce the average residential customer electricity </w:t>
      </w:r>
      <w:r>
        <w:t>bills</w:t>
      </w:r>
      <w:r w:rsidRPr="009E4884">
        <w:t xml:space="preserve"> in </w:t>
      </w:r>
      <w:r>
        <w:t>Essential</w:t>
      </w:r>
      <w:r w:rsidRPr="009E4884">
        <w:t xml:space="preserve"> Energy's network. This is because we estimate that our </w:t>
      </w:r>
      <w:r w:rsidR="00310901">
        <w:t>final</w:t>
      </w:r>
      <w:r w:rsidRPr="009E4884">
        <w:t xml:space="preserve"> decision will result in lower distribution charges on average over the 2014–19 period compared to </w:t>
      </w:r>
      <w:r>
        <w:t>Essential</w:t>
      </w:r>
      <w:r w:rsidRPr="009E4884">
        <w:t xml:space="preserve"> Energy's </w:t>
      </w:r>
      <w:r w:rsidR="00310901">
        <w:t xml:space="preserve">revised </w:t>
      </w:r>
      <w:r w:rsidRPr="009E4884">
        <w:t xml:space="preserve">proposal as discussed above. </w:t>
      </w:r>
    </w:p>
    <w:p w:rsidR="008A1052" w:rsidRPr="009E4884" w:rsidRDefault="00974254" w:rsidP="008A1052">
      <w:pPr>
        <w:numPr>
          <w:ilvl w:val="0"/>
          <w:numId w:val="25"/>
        </w:numPr>
      </w:pPr>
      <w:r>
        <w:t>Based on</w:t>
      </w:r>
      <w:r w:rsidR="008A1052" w:rsidRPr="009E4884">
        <w:t xml:space="preserve"> the lower distribution charges </w:t>
      </w:r>
      <w:r w:rsidR="008A1052">
        <w:t xml:space="preserve">from our transitional determination </w:t>
      </w:r>
      <w:r>
        <w:t>passing</w:t>
      </w:r>
      <w:r w:rsidR="008A1052" w:rsidRPr="009E4884">
        <w:t xml:space="preserve"> through to customers, </w:t>
      </w:r>
      <w:r w:rsidR="008A1052">
        <w:t xml:space="preserve">we estimate the </w:t>
      </w:r>
      <w:r w:rsidR="008A1052" w:rsidRPr="009E4884">
        <w:t xml:space="preserve">average </w:t>
      </w:r>
      <w:r w:rsidR="008A1052">
        <w:t>annual</w:t>
      </w:r>
      <w:r w:rsidR="008A1052" w:rsidRPr="009E4884">
        <w:t xml:space="preserve"> electricity </w:t>
      </w:r>
      <w:r w:rsidR="008A1052">
        <w:t>bill</w:t>
      </w:r>
      <w:r w:rsidR="008A1052" w:rsidRPr="009E4884">
        <w:t xml:space="preserve"> for </w:t>
      </w:r>
      <w:r w:rsidR="008A1052">
        <w:t>Essential</w:t>
      </w:r>
      <w:r w:rsidR="008A1052" w:rsidRPr="009E4884">
        <w:t xml:space="preserve"> Energy's </w:t>
      </w:r>
      <w:r w:rsidR="008A1052">
        <w:t xml:space="preserve">residential </w:t>
      </w:r>
      <w:r w:rsidR="008A1052" w:rsidRPr="009E4884">
        <w:t>customers could be expected to reduce by about $</w:t>
      </w:r>
      <w:r w:rsidR="00624B16">
        <w:t>85</w:t>
      </w:r>
      <w:r w:rsidR="00624B16" w:rsidRPr="009E4884">
        <w:t xml:space="preserve"> </w:t>
      </w:r>
      <w:r w:rsidR="008A1052" w:rsidRPr="009E4884">
        <w:t xml:space="preserve">or </w:t>
      </w:r>
      <w:r w:rsidR="00624B16">
        <w:t>3.2</w:t>
      </w:r>
      <w:r w:rsidR="008A1052" w:rsidRPr="009E4884">
        <w:t xml:space="preserve"> per cent ($ nominal) </w:t>
      </w:r>
      <w:r w:rsidR="008A1052">
        <w:t xml:space="preserve">in </w:t>
      </w:r>
      <w:r w:rsidR="008A1052" w:rsidRPr="009E4884">
        <w:t>2014–1</w:t>
      </w:r>
      <w:r w:rsidR="008A1052">
        <w:t>5</w:t>
      </w:r>
      <w:r w:rsidR="008A1052" w:rsidRPr="009E4884">
        <w:t>.</w:t>
      </w:r>
      <w:r w:rsidR="008A1052" w:rsidRPr="00BD57A4">
        <w:t xml:space="preserve"> </w:t>
      </w:r>
      <w:r>
        <w:t>Based on</w:t>
      </w:r>
      <w:r w:rsidR="008A1052" w:rsidRPr="00BD57A4">
        <w:t xml:space="preserve"> the distribution charges from our </w:t>
      </w:r>
      <w:r w:rsidR="00310901">
        <w:t>final</w:t>
      </w:r>
      <w:r w:rsidR="008A1052" w:rsidRPr="00BD57A4">
        <w:t xml:space="preserve"> decision </w:t>
      </w:r>
      <w:r>
        <w:t>passing</w:t>
      </w:r>
      <w:r w:rsidR="008A1052" w:rsidRPr="00BD57A4">
        <w:t xml:space="preserve"> through to c</w:t>
      </w:r>
      <w:r w:rsidR="008A1052">
        <w:t>ustomers</w:t>
      </w:r>
      <w:r w:rsidR="008A1052" w:rsidRPr="00BD57A4">
        <w:t xml:space="preserve">, we would expect </w:t>
      </w:r>
      <w:r w:rsidR="008A1052">
        <w:t xml:space="preserve">the </w:t>
      </w:r>
      <w:r w:rsidR="008A1052" w:rsidRPr="00BD57A4">
        <w:t xml:space="preserve">average </w:t>
      </w:r>
      <w:r w:rsidR="008A1052">
        <w:t xml:space="preserve">annual </w:t>
      </w:r>
      <w:r w:rsidR="008A1052" w:rsidRPr="00BD57A4">
        <w:t xml:space="preserve">electricity </w:t>
      </w:r>
      <w:r w:rsidR="008A1052">
        <w:t xml:space="preserve">bill for </w:t>
      </w:r>
      <w:r w:rsidR="008A1052" w:rsidRPr="00BD57A4">
        <w:t>residential</w:t>
      </w:r>
      <w:r w:rsidR="008A1052">
        <w:t xml:space="preserve"> customers</w:t>
      </w:r>
      <w:r w:rsidR="008A1052" w:rsidRPr="00BD57A4">
        <w:t xml:space="preserve"> to reduce by a further $</w:t>
      </w:r>
      <w:r w:rsidR="00624B16">
        <w:t>31</w:t>
      </w:r>
      <w:r w:rsidR="003438A1">
        <w:t>3</w:t>
      </w:r>
      <w:r w:rsidR="00624B16" w:rsidRPr="00BD57A4">
        <w:t xml:space="preserve"> </w:t>
      </w:r>
      <w:r w:rsidR="008A1052" w:rsidRPr="00BD57A4">
        <w:t xml:space="preserve">or </w:t>
      </w:r>
      <w:r w:rsidR="00624B16">
        <w:t>1</w:t>
      </w:r>
      <w:r w:rsidR="00E32A56">
        <w:t>1.9</w:t>
      </w:r>
      <w:r w:rsidR="008A1052" w:rsidRPr="00BD57A4">
        <w:t xml:space="preserve"> per cent in 2015–16. This would be followed by increases of about $</w:t>
      </w:r>
      <w:r w:rsidR="00624B16">
        <w:t>35</w:t>
      </w:r>
      <w:r w:rsidR="00624B16" w:rsidRPr="00BD57A4">
        <w:t xml:space="preserve"> </w:t>
      </w:r>
      <w:r w:rsidR="008A1052" w:rsidRPr="00BD57A4">
        <w:t xml:space="preserve">or </w:t>
      </w:r>
      <w:r w:rsidR="00624B16">
        <w:t>1.5</w:t>
      </w:r>
      <w:r w:rsidR="008A1052" w:rsidRPr="00BD57A4">
        <w:t xml:space="preserve"> per cent ($ nominal) per annum from 2016–17 to 2018–19.</w:t>
      </w:r>
      <w:r w:rsidR="008A1052" w:rsidRPr="009E4884">
        <w:t xml:space="preserve"> </w:t>
      </w:r>
      <w:r w:rsidR="00F41ED8">
        <w:t>By</w:t>
      </w:r>
      <w:r w:rsidR="008A1052" w:rsidRPr="009E4884">
        <w:t xml:space="preserve"> comparison, </w:t>
      </w:r>
      <w:r w:rsidR="00F41ED8">
        <w:t>had</w:t>
      </w:r>
      <w:r w:rsidR="008A1052" w:rsidRPr="009E4884">
        <w:t xml:space="preserve"> we accepted </w:t>
      </w:r>
      <w:r w:rsidR="008A1052">
        <w:t xml:space="preserve">Essential </w:t>
      </w:r>
      <w:r w:rsidR="008A1052" w:rsidRPr="009E4884">
        <w:t xml:space="preserve">Energy's </w:t>
      </w:r>
      <w:r w:rsidR="00310901">
        <w:t xml:space="preserve">revised </w:t>
      </w:r>
      <w:r w:rsidR="008A1052" w:rsidRPr="009E4884">
        <w:t xml:space="preserve">proposal, the average </w:t>
      </w:r>
      <w:r w:rsidR="008A1052">
        <w:t>annual electricity bill for residential</w:t>
      </w:r>
      <w:r w:rsidR="008A1052" w:rsidRPr="009E4884">
        <w:t xml:space="preserve"> customer</w:t>
      </w:r>
      <w:r w:rsidR="008A1052">
        <w:t>s</w:t>
      </w:r>
      <w:r w:rsidR="008A1052" w:rsidRPr="009E4884">
        <w:t xml:space="preserve"> would increase by approximately $</w:t>
      </w:r>
      <w:r w:rsidR="00624B16">
        <w:t>4</w:t>
      </w:r>
      <w:r w:rsidR="006655AE">
        <w:t>4</w:t>
      </w:r>
      <w:r w:rsidR="00624B16" w:rsidRPr="009E4884">
        <w:t xml:space="preserve"> </w:t>
      </w:r>
      <w:r w:rsidR="008A1052" w:rsidRPr="009E4884">
        <w:t xml:space="preserve">or </w:t>
      </w:r>
      <w:r w:rsidR="00624B16">
        <w:t>1.6</w:t>
      </w:r>
      <w:r w:rsidR="008A1052">
        <w:t xml:space="preserve"> </w:t>
      </w:r>
      <w:r w:rsidR="008A1052" w:rsidRPr="009E4884">
        <w:t>per cent ($ nominal) per annum</w:t>
      </w:r>
      <w:r w:rsidR="008A1052">
        <w:t xml:space="preserve"> </w:t>
      </w:r>
      <w:r w:rsidR="006E6D41">
        <w:t>from</w:t>
      </w:r>
      <w:r w:rsidR="008A1052">
        <w:t xml:space="preserve"> 2015</w:t>
      </w:r>
      <w:r w:rsidR="006E6D41">
        <w:t>–17 to 2018</w:t>
      </w:r>
      <w:r w:rsidR="008A1052">
        <w:t>–19</w:t>
      </w:r>
      <w:r w:rsidR="008A1052" w:rsidRPr="009E4884">
        <w:t xml:space="preserve">. </w:t>
      </w:r>
    </w:p>
    <w:p w:rsidR="008A1052" w:rsidRPr="009E4884" w:rsidRDefault="008A1052" w:rsidP="008A1052">
      <w:pPr>
        <w:numPr>
          <w:ilvl w:val="0"/>
          <w:numId w:val="25"/>
        </w:numPr>
        <w:rPr>
          <w:rStyle w:val="AERbody"/>
        </w:rPr>
      </w:pPr>
      <w:r w:rsidRPr="009E4884">
        <w:t>Our estimate</w:t>
      </w:r>
      <w:r w:rsidR="00F41ED8">
        <w:t xml:space="preserve"> of the</w:t>
      </w:r>
      <w:r w:rsidRPr="009E4884">
        <w:t xml:space="preserve"> potential impact </w:t>
      </w:r>
      <w:r w:rsidR="00F41ED8">
        <w:t xml:space="preserve">our final decision will have for Essential Energy's residential customers </w:t>
      </w:r>
      <w:r w:rsidRPr="009E4884">
        <w:t>is based on the typical annual electricity usage of 6500</w:t>
      </w:r>
      <w:r w:rsidR="00310901">
        <w:t> </w:t>
      </w:r>
      <w:r w:rsidRPr="009E4884">
        <w:t xml:space="preserve">kWh per </w:t>
      </w:r>
      <w:r w:rsidRPr="009E4884">
        <w:lastRenderedPageBreak/>
        <w:t>annum for a residential customer in NSW.</w:t>
      </w:r>
      <w:r w:rsidRPr="009E4884">
        <w:rPr>
          <w:rStyle w:val="FootnoteReference"/>
        </w:rPr>
        <w:footnoteReference w:id="20"/>
      </w:r>
      <w:r w:rsidRPr="009E4884">
        <w:t xml:space="preserve"> Therefore customers with different usage will experience different changes in their </w:t>
      </w:r>
      <w:r>
        <w:t>bills</w:t>
      </w:r>
      <w:r w:rsidRPr="009E4884">
        <w:t xml:space="preserve">. We also note that there are other factors, such as transmission network costs, wholesale and retail costs, which affect electricity </w:t>
      </w:r>
      <w:r>
        <w:t>bills</w:t>
      </w:r>
      <w:r w:rsidRPr="009E4884">
        <w:t xml:space="preserve">. </w:t>
      </w:r>
    </w:p>
    <w:p w:rsidR="008A1052" w:rsidRPr="009E4884" w:rsidRDefault="008A1052" w:rsidP="008A1052">
      <w:pPr>
        <w:numPr>
          <w:ilvl w:val="0"/>
          <w:numId w:val="25"/>
        </w:numPr>
      </w:pPr>
      <w:r w:rsidRPr="009E4884">
        <w:rPr>
          <w:rStyle w:val="AERbody"/>
        </w:rPr>
        <w:t>Similarly, for an average small business customer in NSW that uses approximately 10</w:t>
      </w:r>
      <w:r w:rsidR="00310901">
        <w:rPr>
          <w:rStyle w:val="AERbody"/>
        </w:rPr>
        <w:t> </w:t>
      </w:r>
      <w:proofErr w:type="spellStart"/>
      <w:r w:rsidRPr="009E4884">
        <w:rPr>
          <w:rStyle w:val="AERbody"/>
        </w:rPr>
        <w:t>MWh</w:t>
      </w:r>
      <w:proofErr w:type="spellEnd"/>
      <w:r w:rsidRPr="009E4884">
        <w:rPr>
          <w:rStyle w:val="AERbody"/>
        </w:rPr>
        <w:t xml:space="preserve"> of electricity per annum, our </w:t>
      </w:r>
      <w:r w:rsidR="00310901">
        <w:rPr>
          <w:rStyle w:val="AERbody"/>
        </w:rPr>
        <w:t>final</w:t>
      </w:r>
      <w:r w:rsidRPr="009E4884">
        <w:rPr>
          <w:rStyle w:val="AERbody"/>
        </w:rPr>
        <w:t xml:space="preserve"> decision for </w:t>
      </w:r>
      <w:r>
        <w:rPr>
          <w:rStyle w:val="AERbody"/>
        </w:rPr>
        <w:t>Essential</w:t>
      </w:r>
      <w:r w:rsidRPr="009E4884">
        <w:rPr>
          <w:rStyle w:val="AERbody"/>
        </w:rPr>
        <w:t xml:space="preserve"> Energy is expected to lead to lower average annual electricity </w:t>
      </w:r>
      <w:r>
        <w:rPr>
          <w:rStyle w:val="AERbody"/>
        </w:rPr>
        <w:t>bills</w:t>
      </w:r>
      <w:r w:rsidRPr="009E4884">
        <w:rPr>
          <w:rStyle w:val="AERbody"/>
        </w:rPr>
        <w:t xml:space="preserve">. We estimate that </w:t>
      </w:r>
      <w:r w:rsidR="00974254">
        <w:rPr>
          <w:rStyle w:val="AERbody"/>
        </w:rPr>
        <w:t>based on</w:t>
      </w:r>
      <w:r w:rsidRPr="009E4884">
        <w:rPr>
          <w:rStyle w:val="AERbody"/>
        </w:rPr>
        <w:t xml:space="preserve"> the lower distribution charges arising from our </w:t>
      </w:r>
      <w:r>
        <w:rPr>
          <w:rStyle w:val="AERbody"/>
        </w:rPr>
        <w:t>transitional determination</w:t>
      </w:r>
      <w:r w:rsidRPr="009E4884">
        <w:rPr>
          <w:rStyle w:val="AERbody"/>
        </w:rPr>
        <w:t xml:space="preserve"> </w:t>
      </w:r>
      <w:r w:rsidR="00974254">
        <w:rPr>
          <w:rStyle w:val="AERbody"/>
        </w:rPr>
        <w:t>passing</w:t>
      </w:r>
      <w:r w:rsidRPr="009E4884">
        <w:rPr>
          <w:rStyle w:val="AERbody"/>
        </w:rPr>
        <w:t xml:space="preserve"> through to customers, the average annual </w:t>
      </w:r>
      <w:r>
        <w:rPr>
          <w:rStyle w:val="AERbody"/>
        </w:rPr>
        <w:t xml:space="preserve">electricity bill for </w:t>
      </w:r>
      <w:r w:rsidRPr="009E4884">
        <w:rPr>
          <w:rStyle w:val="AERbody"/>
        </w:rPr>
        <w:t>small business customer</w:t>
      </w:r>
      <w:r>
        <w:rPr>
          <w:rStyle w:val="AERbody"/>
        </w:rPr>
        <w:t xml:space="preserve">s </w:t>
      </w:r>
      <w:r w:rsidRPr="009E4884">
        <w:rPr>
          <w:rStyle w:val="AERbody"/>
        </w:rPr>
        <w:t xml:space="preserve">in </w:t>
      </w:r>
      <w:r>
        <w:rPr>
          <w:rStyle w:val="AERbody"/>
        </w:rPr>
        <w:t xml:space="preserve">Essential </w:t>
      </w:r>
      <w:r w:rsidRPr="009E4884">
        <w:rPr>
          <w:rStyle w:val="AERbody"/>
        </w:rPr>
        <w:t xml:space="preserve">Energy's network </w:t>
      </w:r>
      <w:r w:rsidRPr="009E4884">
        <w:t>could be expected to reduce by about $</w:t>
      </w:r>
      <w:r w:rsidR="00624B16">
        <w:t>144</w:t>
      </w:r>
      <w:r w:rsidR="00624B16" w:rsidRPr="009E4884">
        <w:t xml:space="preserve"> </w:t>
      </w:r>
      <w:r w:rsidRPr="009E4884">
        <w:t xml:space="preserve">or </w:t>
      </w:r>
      <w:r w:rsidR="00624B16">
        <w:t>3.2</w:t>
      </w:r>
      <w:r w:rsidRPr="009E4884">
        <w:t xml:space="preserve"> per cent ($ nominal) </w:t>
      </w:r>
      <w:r>
        <w:t xml:space="preserve">in </w:t>
      </w:r>
      <w:r w:rsidRPr="009E4884">
        <w:t>2014–1</w:t>
      </w:r>
      <w:r>
        <w:t>5</w:t>
      </w:r>
      <w:r w:rsidRPr="009E4884">
        <w:t>.</w:t>
      </w:r>
      <w:r>
        <w:t xml:space="preserve"> </w:t>
      </w:r>
      <w:r w:rsidR="00974254">
        <w:t>Based on</w:t>
      </w:r>
      <w:r w:rsidRPr="00BD57A4">
        <w:t xml:space="preserve"> the distribution charges from our </w:t>
      </w:r>
      <w:r w:rsidR="00310901">
        <w:t>final</w:t>
      </w:r>
      <w:r w:rsidRPr="00BD57A4">
        <w:t xml:space="preserve"> decision </w:t>
      </w:r>
      <w:r w:rsidR="00974254">
        <w:t>passing</w:t>
      </w:r>
      <w:r w:rsidRPr="00BD57A4">
        <w:t xml:space="preserve"> through to c</w:t>
      </w:r>
      <w:r>
        <w:t>ustomers</w:t>
      </w:r>
      <w:r w:rsidRPr="00BD57A4">
        <w:t>, we would expect</w:t>
      </w:r>
      <w:r>
        <w:t xml:space="preserve"> the</w:t>
      </w:r>
      <w:r w:rsidRPr="00BD57A4">
        <w:t xml:space="preserve"> average </w:t>
      </w:r>
      <w:r>
        <w:t xml:space="preserve">annual </w:t>
      </w:r>
      <w:r w:rsidRPr="00BD57A4">
        <w:t xml:space="preserve">electricity </w:t>
      </w:r>
      <w:r>
        <w:t xml:space="preserve">bill for small business customers </w:t>
      </w:r>
      <w:r w:rsidRPr="00BD57A4">
        <w:t>to reduce by a further $</w:t>
      </w:r>
      <w:r w:rsidR="00624B16">
        <w:t>5</w:t>
      </w:r>
      <w:r w:rsidR="00AD0DD1">
        <w:t>2</w:t>
      </w:r>
      <w:r w:rsidR="00F328D9">
        <w:t>8</w:t>
      </w:r>
      <w:r w:rsidR="00624B16" w:rsidRPr="00BD57A4">
        <w:t xml:space="preserve"> </w:t>
      </w:r>
      <w:r w:rsidRPr="00BD57A4">
        <w:t xml:space="preserve">or </w:t>
      </w:r>
      <w:r>
        <w:t>1</w:t>
      </w:r>
      <w:r w:rsidR="00624B16">
        <w:t>2</w:t>
      </w:r>
      <w:r>
        <w:t>.0</w:t>
      </w:r>
      <w:r w:rsidRPr="00BD57A4">
        <w:t xml:space="preserve"> per cent in 2015–16. This would be followed by increases of about $</w:t>
      </w:r>
      <w:r w:rsidR="00624B16">
        <w:t>59</w:t>
      </w:r>
      <w:r w:rsidR="00624B16" w:rsidRPr="00BD57A4">
        <w:t xml:space="preserve"> </w:t>
      </w:r>
      <w:r w:rsidRPr="00BD57A4">
        <w:t xml:space="preserve">or </w:t>
      </w:r>
      <w:r w:rsidR="00624B16">
        <w:t>1.5</w:t>
      </w:r>
      <w:r w:rsidRPr="00BD57A4">
        <w:t xml:space="preserve"> per cent ($ nominal) per annum from 2016–17 to 2018–19.</w:t>
      </w:r>
      <w:r w:rsidRPr="009E4884">
        <w:t xml:space="preserve"> </w:t>
      </w:r>
      <w:r w:rsidR="00F41ED8">
        <w:t>By</w:t>
      </w:r>
      <w:r w:rsidRPr="009E4884">
        <w:t xml:space="preserve"> comparison, </w:t>
      </w:r>
      <w:r w:rsidR="00F41ED8">
        <w:t>had</w:t>
      </w:r>
      <w:r w:rsidRPr="009E4884">
        <w:t xml:space="preserve"> we accepted </w:t>
      </w:r>
      <w:r>
        <w:t>Essential</w:t>
      </w:r>
      <w:r w:rsidRPr="009E4884">
        <w:t xml:space="preserve"> Energy's </w:t>
      </w:r>
      <w:r w:rsidR="00310901">
        <w:t xml:space="preserve">revised </w:t>
      </w:r>
      <w:r w:rsidRPr="009E4884">
        <w:t xml:space="preserve">proposal, the average </w:t>
      </w:r>
      <w:r>
        <w:t xml:space="preserve">annual electricity bill for </w:t>
      </w:r>
      <w:r w:rsidRPr="009E4884">
        <w:t>small business customer</w:t>
      </w:r>
      <w:r>
        <w:t>s</w:t>
      </w:r>
      <w:r w:rsidRPr="009E4884">
        <w:t xml:space="preserve"> would increase by approximately $</w:t>
      </w:r>
      <w:r w:rsidR="00624B16">
        <w:t>7</w:t>
      </w:r>
      <w:r w:rsidR="006655AE">
        <w:t>4</w:t>
      </w:r>
      <w:r w:rsidR="00624B16" w:rsidRPr="009E4884">
        <w:t xml:space="preserve"> </w:t>
      </w:r>
      <w:r w:rsidRPr="009E4884">
        <w:t xml:space="preserve">or </w:t>
      </w:r>
      <w:r w:rsidR="00624B16">
        <w:t>1.6</w:t>
      </w:r>
      <w:r>
        <w:t xml:space="preserve"> </w:t>
      </w:r>
      <w:r w:rsidRPr="009E4884">
        <w:t>per cent ($ nominal) per annum</w:t>
      </w:r>
      <w:r>
        <w:t xml:space="preserve"> over the 2015–19 regulatory control period</w:t>
      </w:r>
      <w:r w:rsidRPr="009E4884">
        <w:t xml:space="preserve">. </w:t>
      </w:r>
    </w:p>
    <w:p w:rsidR="008A1052" w:rsidRDefault="008A1052" w:rsidP="008A1052">
      <w:pPr>
        <w:numPr>
          <w:ilvl w:val="0"/>
          <w:numId w:val="25"/>
        </w:numPr>
      </w:pPr>
      <w:r>
        <w:fldChar w:fldCharType="begin"/>
      </w:r>
      <w:r>
        <w:instrText xml:space="preserve"> REF _Ref401218505 \h </w:instrText>
      </w:r>
      <w:r>
        <w:fldChar w:fldCharType="separate"/>
      </w:r>
      <w:r w:rsidR="00C836EF">
        <w:t xml:space="preserve">Table </w:t>
      </w:r>
      <w:r w:rsidR="00C836EF">
        <w:rPr>
          <w:noProof/>
        </w:rPr>
        <w:t>1</w:t>
      </w:r>
      <w:r w:rsidR="00C836EF">
        <w:t>.</w:t>
      </w:r>
      <w:r w:rsidR="00C836EF">
        <w:rPr>
          <w:noProof/>
        </w:rPr>
        <w:t>5</w:t>
      </w:r>
      <w:r>
        <w:fldChar w:fldCharType="end"/>
      </w:r>
      <w:r>
        <w:t xml:space="preserve"> </w:t>
      </w:r>
      <w:r w:rsidRPr="009E4884">
        <w:t xml:space="preserve">shows the estimated impact of our </w:t>
      </w:r>
      <w:r w:rsidR="00310901">
        <w:t xml:space="preserve">final </w:t>
      </w:r>
      <w:r w:rsidRPr="009E4884">
        <w:t xml:space="preserve">decision for the 2014–19 period and </w:t>
      </w:r>
      <w:r>
        <w:t>Essential</w:t>
      </w:r>
      <w:r w:rsidRPr="009E4884">
        <w:t xml:space="preserve"> Energy's</w:t>
      </w:r>
      <w:r w:rsidR="00310901">
        <w:t xml:space="preserve"> revised</w:t>
      </w:r>
      <w:r w:rsidRPr="009E4884">
        <w:t xml:space="preserve"> proposal on the average residential and small business customer</w:t>
      </w:r>
      <w:r>
        <w:t>s</w:t>
      </w:r>
      <w:r w:rsidRPr="009E4884">
        <w:t xml:space="preserve">’ </w:t>
      </w:r>
      <w:r>
        <w:t xml:space="preserve">annual </w:t>
      </w:r>
      <w:r w:rsidRPr="009E4884">
        <w:t xml:space="preserve">electricity </w:t>
      </w:r>
      <w:r>
        <w:t>bills</w:t>
      </w:r>
      <w:r w:rsidRPr="009E4884">
        <w:t>.</w:t>
      </w:r>
    </w:p>
    <w:p w:rsidR="00C469E4" w:rsidRDefault="00C469E4" w:rsidP="00C469E4"/>
    <w:p w:rsidR="00C469E4" w:rsidRDefault="00C469E4" w:rsidP="00C469E4"/>
    <w:p w:rsidR="00C469E4" w:rsidRDefault="00C469E4" w:rsidP="00C469E4"/>
    <w:p w:rsidR="00C469E4" w:rsidRDefault="00C469E4" w:rsidP="00C469E4"/>
    <w:p w:rsidR="00C469E4" w:rsidRDefault="00C469E4" w:rsidP="00C469E4"/>
    <w:p w:rsidR="00C469E4" w:rsidRDefault="00C469E4" w:rsidP="00C469E4"/>
    <w:p w:rsidR="00C469E4" w:rsidRDefault="00C469E4" w:rsidP="00C469E4"/>
    <w:p w:rsidR="00C469E4" w:rsidRDefault="00C469E4" w:rsidP="00C469E4"/>
    <w:p w:rsidR="00C469E4" w:rsidRDefault="00C469E4" w:rsidP="00C469E4"/>
    <w:p w:rsidR="008A1052" w:rsidRDefault="008A1052" w:rsidP="008A1052">
      <w:pPr>
        <w:pStyle w:val="Caption"/>
      </w:pPr>
      <w:bookmarkStart w:id="37" w:name="_Ref401218505"/>
      <w:proofErr w:type="gramStart"/>
      <w:r>
        <w:lastRenderedPageBreak/>
        <w:t xml:space="preserve">Table </w:t>
      </w:r>
      <w:proofErr w:type="gramEnd"/>
      <w:r w:rsidRPr="008A1052">
        <w:fldChar w:fldCharType="begin"/>
      </w:r>
      <w:r>
        <w:instrText xml:space="preserve"> STYLEREF 1 \s </w:instrText>
      </w:r>
      <w:r w:rsidRPr="008A1052">
        <w:fldChar w:fldCharType="separate"/>
      </w:r>
      <w:r w:rsidR="00C836EF">
        <w:rPr>
          <w:noProof/>
        </w:rPr>
        <w:t>1</w:t>
      </w:r>
      <w:r w:rsidRPr="008A1052">
        <w:fldChar w:fldCharType="end"/>
      </w:r>
      <w:proofErr w:type="gramStart"/>
      <w:r w:rsidR="00DA055C">
        <w:t>.</w:t>
      </w:r>
      <w:proofErr w:type="gramEnd"/>
      <w:r w:rsidRPr="008A1052">
        <w:fldChar w:fldCharType="begin"/>
      </w:r>
      <w:r>
        <w:instrText xml:space="preserve"> SEQ Table \* ARABIC \s 1 </w:instrText>
      </w:r>
      <w:r w:rsidRPr="008A1052">
        <w:fldChar w:fldCharType="separate"/>
      </w:r>
      <w:r w:rsidR="00C836EF">
        <w:rPr>
          <w:noProof/>
        </w:rPr>
        <w:t>5</w:t>
      </w:r>
      <w:r w:rsidRPr="008A1052">
        <w:fldChar w:fldCharType="end"/>
      </w:r>
      <w:bookmarkEnd w:id="37"/>
      <w:r>
        <w:tab/>
        <w:t>E</w:t>
      </w:r>
      <w:r w:rsidRPr="009E4884">
        <w:t xml:space="preserve">stimated impact of </w:t>
      </w:r>
      <w:r>
        <w:t xml:space="preserve">Essential Energy's </w:t>
      </w:r>
      <w:r w:rsidR="00310901">
        <w:t>revised</w:t>
      </w:r>
      <w:r>
        <w:t xml:space="preserve"> proposal and AER </w:t>
      </w:r>
      <w:r w:rsidR="00310901">
        <w:t>final</w:t>
      </w:r>
      <w:r w:rsidRPr="009E4884">
        <w:t xml:space="preserve"> decision </w:t>
      </w:r>
      <w:r>
        <w:t xml:space="preserve">on annual </w:t>
      </w:r>
      <w:r w:rsidRPr="009E4884">
        <w:t xml:space="preserve">electricity </w:t>
      </w:r>
      <w:r>
        <w:t>bills</w:t>
      </w:r>
      <w:r w:rsidR="00310901">
        <w:t xml:space="preserve"> for the 2014–19 period ($ </w:t>
      </w:r>
      <w:r w:rsidRPr="009E4884">
        <w:t>nominal)</w:t>
      </w:r>
    </w:p>
    <w:tbl>
      <w:tblPr>
        <w:tblStyle w:val="AERtable-numbers"/>
        <w:tblW w:w="5000" w:type="pct"/>
        <w:tblLayout w:type="fixed"/>
        <w:tblLook w:val="04A0" w:firstRow="1" w:lastRow="0" w:firstColumn="1" w:lastColumn="0" w:noHBand="0" w:noVBand="1"/>
      </w:tblPr>
      <w:tblGrid>
        <w:gridCol w:w="2239"/>
        <w:gridCol w:w="852"/>
        <w:gridCol w:w="1274"/>
        <w:gridCol w:w="1273"/>
        <w:gridCol w:w="991"/>
        <w:gridCol w:w="996"/>
        <w:gridCol w:w="1068"/>
      </w:tblGrid>
      <w:tr w:rsidR="003438A1" w:rsidRPr="00310901" w:rsidTr="00F328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8A1052" w:rsidRPr="00310901" w:rsidRDefault="008A1052" w:rsidP="00310901">
            <w:r w:rsidRPr="00310901">
              <w:t> </w:t>
            </w:r>
          </w:p>
        </w:tc>
        <w:tc>
          <w:tcPr>
            <w:tcW w:w="490" w:type="pct"/>
            <w:noWrap/>
            <w:hideMark/>
          </w:tcPr>
          <w:p w:rsidR="008A1052" w:rsidRPr="00310901" w:rsidRDefault="008A1052" w:rsidP="00310901">
            <w:pPr>
              <w:cnfStyle w:val="100000000000" w:firstRow="1" w:lastRow="0" w:firstColumn="0" w:lastColumn="0" w:oddVBand="0" w:evenVBand="0" w:oddHBand="0" w:evenHBand="0" w:firstRowFirstColumn="0" w:firstRowLastColumn="0" w:lastRowFirstColumn="0" w:lastRowLastColumn="0"/>
            </w:pPr>
            <w:r w:rsidRPr="00310901">
              <w:t>2013–14</w:t>
            </w:r>
          </w:p>
        </w:tc>
        <w:tc>
          <w:tcPr>
            <w:tcW w:w="733" w:type="pct"/>
            <w:noWrap/>
            <w:hideMark/>
          </w:tcPr>
          <w:p w:rsidR="008A1052" w:rsidRPr="00310901" w:rsidRDefault="008A1052" w:rsidP="00310901">
            <w:pPr>
              <w:cnfStyle w:val="100000000000" w:firstRow="1" w:lastRow="0" w:firstColumn="0" w:lastColumn="0" w:oddVBand="0" w:evenVBand="0" w:oddHBand="0" w:evenHBand="0" w:firstRowFirstColumn="0" w:firstRowLastColumn="0" w:lastRowFirstColumn="0" w:lastRowLastColumn="0"/>
            </w:pPr>
            <w:r w:rsidRPr="00310901">
              <w:t>2014–15</w:t>
            </w:r>
          </w:p>
        </w:tc>
        <w:tc>
          <w:tcPr>
            <w:tcW w:w="732" w:type="pct"/>
            <w:noWrap/>
            <w:hideMark/>
          </w:tcPr>
          <w:p w:rsidR="008A1052" w:rsidRPr="00310901" w:rsidRDefault="008A1052" w:rsidP="00310901">
            <w:pPr>
              <w:cnfStyle w:val="100000000000" w:firstRow="1" w:lastRow="0" w:firstColumn="0" w:lastColumn="0" w:oddVBand="0" w:evenVBand="0" w:oddHBand="0" w:evenHBand="0" w:firstRowFirstColumn="0" w:firstRowLastColumn="0" w:lastRowFirstColumn="0" w:lastRowLastColumn="0"/>
            </w:pPr>
            <w:r w:rsidRPr="00310901">
              <w:t>2015–16</w:t>
            </w:r>
          </w:p>
        </w:tc>
        <w:tc>
          <w:tcPr>
            <w:tcW w:w="570" w:type="pct"/>
            <w:noWrap/>
            <w:hideMark/>
          </w:tcPr>
          <w:p w:rsidR="008A1052" w:rsidRPr="00310901" w:rsidRDefault="008A1052" w:rsidP="00310901">
            <w:pPr>
              <w:cnfStyle w:val="100000000000" w:firstRow="1" w:lastRow="0" w:firstColumn="0" w:lastColumn="0" w:oddVBand="0" w:evenVBand="0" w:oddHBand="0" w:evenHBand="0" w:firstRowFirstColumn="0" w:firstRowLastColumn="0" w:lastRowFirstColumn="0" w:lastRowLastColumn="0"/>
            </w:pPr>
            <w:r w:rsidRPr="00310901">
              <w:t>2016–17</w:t>
            </w:r>
          </w:p>
        </w:tc>
        <w:tc>
          <w:tcPr>
            <w:tcW w:w="573" w:type="pct"/>
            <w:noWrap/>
            <w:hideMark/>
          </w:tcPr>
          <w:p w:rsidR="008A1052" w:rsidRPr="00310901" w:rsidRDefault="008A1052" w:rsidP="00310901">
            <w:pPr>
              <w:cnfStyle w:val="100000000000" w:firstRow="1" w:lastRow="0" w:firstColumn="0" w:lastColumn="0" w:oddVBand="0" w:evenVBand="0" w:oddHBand="0" w:evenHBand="0" w:firstRowFirstColumn="0" w:firstRowLastColumn="0" w:lastRowFirstColumn="0" w:lastRowLastColumn="0"/>
            </w:pPr>
            <w:r w:rsidRPr="00310901">
              <w:t>2017–18</w:t>
            </w:r>
          </w:p>
        </w:tc>
        <w:tc>
          <w:tcPr>
            <w:tcW w:w="614" w:type="pct"/>
            <w:noWrap/>
            <w:hideMark/>
          </w:tcPr>
          <w:p w:rsidR="008A1052" w:rsidRPr="00310901" w:rsidRDefault="008A1052" w:rsidP="00310901">
            <w:pPr>
              <w:cnfStyle w:val="100000000000" w:firstRow="1" w:lastRow="0" w:firstColumn="0" w:lastColumn="0" w:oddVBand="0" w:evenVBand="0" w:oddHBand="0" w:evenHBand="0" w:firstRowFirstColumn="0" w:firstRowLastColumn="0" w:lastRowFirstColumn="0" w:lastRowLastColumn="0"/>
            </w:pPr>
            <w:r w:rsidRPr="00310901">
              <w:t>2018–19</w:t>
            </w:r>
          </w:p>
        </w:tc>
      </w:tr>
      <w:tr w:rsidR="003438A1" w:rsidRPr="00310901" w:rsidTr="00F328D9">
        <w:trPr>
          <w:trHeight w:val="300"/>
        </w:trPr>
        <w:tc>
          <w:tcPr>
            <w:cnfStyle w:val="001000000000" w:firstRow="0" w:lastRow="0" w:firstColumn="1" w:lastColumn="0" w:oddVBand="0" w:evenVBand="0" w:oddHBand="0" w:evenHBand="0" w:firstRowFirstColumn="0" w:firstRowLastColumn="0" w:lastRowFirstColumn="0" w:lastRowLastColumn="0"/>
            <w:tcW w:w="1778" w:type="pct"/>
            <w:gridSpan w:val="2"/>
            <w:noWrap/>
            <w:hideMark/>
          </w:tcPr>
          <w:p w:rsidR="003438A1" w:rsidRPr="00310901" w:rsidRDefault="003438A1" w:rsidP="00310901">
            <w:r w:rsidRPr="00310901">
              <w:rPr>
                <w:rStyle w:val="Strong"/>
              </w:rPr>
              <w:t>Essential Energy revised proposal</w:t>
            </w:r>
          </w:p>
        </w:tc>
        <w:tc>
          <w:tcPr>
            <w:tcW w:w="733" w:type="pct"/>
            <w:noWrap/>
          </w:tcPr>
          <w:p w:rsidR="003438A1" w:rsidRPr="00310901" w:rsidRDefault="003438A1" w:rsidP="00310901">
            <w:pPr>
              <w:cnfStyle w:val="000000000000" w:firstRow="0" w:lastRow="0" w:firstColumn="0" w:lastColumn="0" w:oddVBand="0" w:evenVBand="0" w:oddHBand="0" w:evenHBand="0" w:firstRowFirstColumn="0" w:firstRowLastColumn="0" w:lastRowFirstColumn="0" w:lastRowLastColumn="0"/>
            </w:pPr>
          </w:p>
        </w:tc>
        <w:tc>
          <w:tcPr>
            <w:tcW w:w="732" w:type="pct"/>
            <w:noWrap/>
          </w:tcPr>
          <w:p w:rsidR="003438A1" w:rsidRPr="00310901" w:rsidRDefault="003438A1" w:rsidP="00310901">
            <w:pPr>
              <w:cnfStyle w:val="000000000000" w:firstRow="0" w:lastRow="0" w:firstColumn="0" w:lastColumn="0" w:oddVBand="0" w:evenVBand="0" w:oddHBand="0" w:evenHBand="0" w:firstRowFirstColumn="0" w:firstRowLastColumn="0" w:lastRowFirstColumn="0" w:lastRowLastColumn="0"/>
            </w:pPr>
          </w:p>
        </w:tc>
        <w:tc>
          <w:tcPr>
            <w:tcW w:w="570" w:type="pct"/>
            <w:noWrap/>
          </w:tcPr>
          <w:p w:rsidR="003438A1" w:rsidRPr="00310901" w:rsidRDefault="003438A1" w:rsidP="00310901">
            <w:pPr>
              <w:cnfStyle w:val="000000000000" w:firstRow="0" w:lastRow="0" w:firstColumn="0" w:lastColumn="0" w:oddVBand="0" w:evenVBand="0" w:oddHBand="0" w:evenHBand="0" w:firstRowFirstColumn="0" w:firstRowLastColumn="0" w:lastRowFirstColumn="0" w:lastRowLastColumn="0"/>
            </w:pPr>
          </w:p>
        </w:tc>
        <w:tc>
          <w:tcPr>
            <w:tcW w:w="573" w:type="pct"/>
            <w:noWrap/>
          </w:tcPr>
          <w:p w:rsidR="003438A1" w:rsidRPr="00310901" w:rsidRDefault="003438A1" w:rsidP="00310901">
            <w:pPr>
              <w:cnfStyle w:val="000000000000" w:firstRow="0" w:lastRow="0" w:firstColumn="0" w:lastColumn="0" w:oddVBand="0" w:evenVBand="0" w:oddHBand="0" w:evenHBand="0" w:firstRowFirstColumn="0" w:firstRowLastColumn="0" w:lastRowFirstColumn="0" w:lastRowLastColumn="0"/>
            </w:pPr>
          </w:p>
        </w:tc>
        <w:tc>
          <w:tcPr>
            <w:tcW w:w="614" w:type="pct"/>
            <w:noWrap/>
          </w:tcPr>
          <w:p w:rsidR="003438A1" w:rsidRPr="00310901" w:rsidRDefault="003438A1" w:rsidP="00310901">
            <w:pPr>
              <w:cnfStyle w:val="000000000000" w:firstRow="0" w:lastRow="0" w:firstColumn="0" w:lastColumn="0" w:oddVBand="0" w:evenVBand="0" w:oddHBand="0" w:evenHBand="0" w:firstRowFirstColumn="0" w:firstRowLastColumn="0" w:lastRowFirstColumn="0" w:lastRowLastColumn="0"/>
            </w:pPr>
          </w:p>
        </w:tc>
      </w:tr>
      <w:tr w:rsidR="003438A1" w:rsidRPr="00310901"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624B16" w:rsidRPr="00624B16" w:rsidRDefault="00624B16" w:rsidP="00624B16">
            <w:r w:rsidRPr="00624B16">
              <w:t>Residential annual bill</w:t>
            </w:r>
          </w:p>
        </w:tc>
        <w:tc>
          <w:tcPr>
            <w:tcW w:w="49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2703</w:t>
            </w:r>
          </w:p>
        </w:tc>
        <w:tc>
          <w:tcPr>
            <w:tcW w:w="73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2618</w:t>
            </w:r>
          </w:p>
        </w:tc>
        <w:tc>
          <w:tcPr>
            <w:tcW w:w="732"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2659</w:t>
            </w:r>
          </w:p>
        </w:tc>
        <w:tc>
          <w:tcPr>
            <w:tcW w:w="57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2701</w:t>
            </w:r>
          </w:p>
        </w:tc>
        <w:tc>
          <w:tcPr>
            <w:tcW w:w="57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2745</w:t>
            </w:r>
          </w:p>
        </w:tc>
        <w:tc>
          <w:tcPr>
            <w:tcW w:w="614"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2790</w:t>
            </w:r>
          </w:p>
        </w:tc>
      </w:tr>
      <w:tr w:rsidR="003438A1" w:rsidRPr="00310901" w:rsidTr="00F328D9">
        <w:trPr>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624B16" w:rsidRPr="00624B16" w:rsidRDefault="00624B16" w:rsidP="00624B16">
            <w:r w:rsidRPr="00624B16">
              <w:t>Annual change</w:t>
            </w:r>
          </w:p>
        </w:tc>
        <w:tc>
          <w:tcPr>
            <w:tcW w:w="490"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 </w:t>
            </w:r>
          </w:p>
        </w:tc>
        <w:tc>
          <w:tcPr>
            <w:tcW w:w="733"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t>–</w:t>
            </w:r>
            <w:r w:rsidRPr="00624B16">
              <w:t>85 (</w:t>
            </w:r>
            <w:r>
              <w:t>–</w:t>
            </w:r>
            <w:r w:rsidRPr="00624B16">
              <w:t>3.2%)</w:t>
            </w:r>
          </w:p>
        </w:tc>
        <w:tc>
          <w:tcPr>
            <w:tcW w:w="732"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41 (1.6%)</w:t>
            </w:r>
          </w:p>
        </w:tc>
        <w:tc>
          <w:tcPr>
            <w:tcW w:w="570"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42 (1.6%)</w:t>
            </w:r>
          </w:p>
        </w:tc>
        <w:tc>
          <w:tcPr>
            <w:tcW w:w="573"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44 (1.6%)</w:t>
            </w:r>
          </w:p>
        </w:tc>
        <w:tc>
          <w:tcPr>
            <w:tcW w:w="614"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46 (1.7%)</w:t>
            </w:r>
          </w:p>
        </w:tc>
      </w:tr>
      <w:tr w:rsidR="003438A1" w:rsidRPr="00310901"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624B16" w:rsidRPr="00624B16" w:rsidRDefault="00624B16" w:rsidP="00624B16">
            <w:r w:rsidRPr="00624B16">
              <w:t>Small business annual bill</w:t>
            </w:r>
          </w:p>
        </w:tc>
        <w:tc>
          <w:tcPr>
            <w:tcW w:w="49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4567</w:t>
            </w:r>
          </w:p>
        </w:tc>
        <w:tc>
          <w:tcPr>
            <w:tcW w:w="73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4423</w:t>
            </w:r>
          </w:p>
        </w:tc>
        <w:tc>
          <w:tcPr>
            <w:tcW w:w="732"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4492</w:t>
            </w:r>
          </w:p>
        </w:tc>
        <w:tc>
          <w:tcPr>
            <w:tcW w:w="57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4563</w:t>
            </w:r>
          </w:p>
        </w:tc>
        <w:tc>
          <w:tcPr>
            <w:tcW w:w="57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4637</w:t>
            </w:r>
          </w:p>
        </w:tc>
        <w:tc>
          <w:tcPr>
            <w:tcW w:w="614"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4714</w:t>
            </w:r>
          </w:p>
        </w:tc>
      </w:tr>
      <w:tr w:rsidR="003438A1" w:rsidRPr="00310901" w:rsidTr="00F328D9">
        <w:trPr>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624B16" w:rsidRPr="00624B16" w:rsidRDefault="00624B16" w:rsidP="00624B16">
            <w:r w:rsidRPr="00624B16">
              <w:t>Annual change</w:t>
            </w:r>
          </w:p>
        </w:tc>
        <w:tc>
          <w:tcPr>
            <w:tcW w:w="490"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 </w:t>
            </w:r>
          </w:p>
        </w:tc>
        <w:tc>
          <w:tcPr>
            <w:tcW w:w="733"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t>–</w:t>
            </w:r>
            <w:r w:rsidRPr="00624B16">
              <w:t>144 (</w:t>
            </w:r>
            <w:r>
              <w:t>–</w:t>
            </w:r>
            <w:r w:rsidRPr="00624B16">
              <w:t>3.2%)</w:t>
            </w:r>
          </w:p>
        </w:tc>
        <w:tc>
          <w:tcPr>
            <w:tcW w:w="732"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69 (1.6%)</w:t>
            </w:r>
          </w:p>
        </w:tc>
        <w:tc>
          <w:tcPr>
            <w:tcW w:w="570"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71 (1.6%)</w:t>
            </w:r>
          </w:p>
        </w:tc>
        <w:tc>
          <w:tcPr>
            <w:tcW w:w="573"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74 (1.6%)</w:t>
            </w:r>
          </w:p>
        </w:tc>
        <w:tc>
          <w:tcPr>
            <w:tcW w:w="614" w:type="pct"/>
            <w:noWrap/>
            <w:vAlign w:val="bottom"/>
          </w:tcPr>
          <w:p w:rsidR="00624B16" w:rsidRPr="00624B16" w:rsidRDefault="00624B16" w:rsidP="00624B16">
            <w:pPr>
              <w:cnfStyle w:val="000000000000" w:firstRow="0" w:lastRow="0" w:firstColumn="0" w:lastColumn="0" w:oddVBand="0" w:evenVBand="0" w:oddHBand="0" w:evenHBand="0" w:firstRowFirstColumn="0" w:firstRowLastColumn="0" w:lastRowFirstColumn="0" w:lastRowLastColumn="0"/>
            </w:pPr>
            <w:r w:rsidRPr="00624B16">
              <w:t>77 (1.7%)</w:t>
            </w:r>
          </w:p>
        </w:tc>
      </w:tr>
      <w:tr w:rsidR="003438A1" w:rsidRPr="00310901"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624B16" w:rsidRPr="00624B16" w:rsidRDefault="00624B16" w:rsidP="00624B16">
            <w:pPr>
              <w:rPr>
                <w:rStyle w:val="Strong"/>
              </w:rPr>
            </w:pPr>
            <w:r w:rsidRPr="00624B16">
              <w:rPr>
                <w:rStyle w:val="Strong"/>
              </w:rPr>
              <w:t>AER draft decision</w:t>
            </w:r>
          </w:p>
        </w:tc>
        <w:tc>
          <w:tcPr>
            <w:tcW w:w="49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73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732"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570"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573"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c>
          <w:tcPr>
            <w:tcW w:w="614" w:type="pct"/>
            <w:noWrap/>
            <w:vAlign w:val="bottom"/>
          </w:tcPr>
          <w:p w:rsidR="00624B16" w:rsidRPr="00624B16" w:rsidRDefault="00624B16" w:rsidP="00624B16">
            <w:pPr>
              <w:cnfStyle w:val="000000010000" w:firstRow="0" w:lastRow="0" w:firstColumn="0" w:lastColumn="0" w:oddVBand="0" w:evenVBand="0" w:oddHBand="0" w:evenHBand="1" w:firstRowFirstColumn="0" w:firstRowLastColumn="0" w:lastRowFirstColumn="0" w:lastRowLastColumn="0"/>
            </w:pPr>
            <w:r w:rsidRPr="00624B16">
              <w:t> </w:t>
            </w:r>
          </w:p>
        </w:tc>
      </w:tr>
      <w:tr w:rsidR="00F328D9" w:rsidRPr="00310901" w:rsidTr="00F328D9">
        <w:trPr>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F328D9" w:rsidRPr="00F328D9" w:rsidRDefault="00F328D9" w:rsidP="00F328D9">
            <w:r w:rsidRPr="00F328D9">
              <w:t>Residential annual bill</w:t>
            </w:r>
          </w:p>
        </w:tc>
        <w:tc>
          <w:tcPr>
            <w:tcW w:w="490"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2703</w:t>
            </w:r>
          </w:p>
        </w:tc>
        <w:tc>
          <w:tcPr>
            <w:tcW w:w="733"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2618</w:t>
            </w:r>
          </w:p>
        </w:tc>
        <w:tc>
          <w:tcPr>
            <w:tcW w:w="732"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2305</w:t>
            </w:r>
          </w:p>
        </w:tc>
        <w:tc>
          <w:tcPr>
            <w:tcW w:w="570"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2337</w:t>
            </w:r>
          </w:p>
        </w:tc>
        <w:tc>
          <w:tcPr>
            <w:tcW w:w="573"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237</w:t>
            </w:r>
            <w:r w:rsidR="00E32A56">
              <w:t>4</w:t>
            </w:r>
          </w:p>
        </w:tc>
        <w:tc>
          <w:tcPr>
            <w:tcW w:w="614"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2411</w:t>
            </w:r>
          </w:p>
        </w:tc>
      </w:tr>
      <w:tr w:rsidR="00F328D9" w:rsidRPr="00310901"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F328D9" w:rsidRPr="00F328D9" w:rsidRDefault="00F328D9" w:rsidP="00F328D9">
            <w:r w:rsidRPr="00F328D9">
              <w:t>Annual change</w:t>
            </w:r>
          </w:p>
        </w:tc>
        <w:tc>
          <w:tcPr>
            <w:tcW w:w="490"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 </w:t>
            </w:r>
          </w:p>
        </w:tc>
        <w:tc>
          <w:tcPr>
            <w:tcW w:w="733"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–85 (–3.2%)</w:t>
            </w:r>
          </w:p>
        </w:tc>
        <w:tc>
          <w:tcPr>
            <w:tcW w:w="732"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t>–</w:t>
            </w:r>
            <w:r w:rsidRPr="00F328D9">
              <w:t>313 (</w:t>
            </w:r>
            <w:r>
              <w:t>–</w:t>
            </w:r>
            <w:r w:rsidRPr="00F328D9">
              <w:t>11.9%)</w:t>
            </w:r>
          </w:p>
        </w:tc>
        <w:tc>
          <w:tcPr>
            <w:tcW w:w="570"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32 (1.4%)</w:t>
            </w:r>
          </w:p>
        </w:tc>
        <w:tc>
          <w:tcPr>
            <w:tcW w:w="573"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37 (1.6%)</w:t>
            </w:r>
          </w:p>
        </w:tc>
        <w:tc>
          <w:tcPr>
            <w:tcW w:w="614"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36 (1.5%)</w:t>
            </w:r>
          </w:p>
        </w:tc>
      </w:tr>
      <w:tr w:rsidR="00F328D9" w:rsidRPr="00310901" w:rsidTr="00F328D9">
        <w:trPr>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F328D9" w:rsidRPr="00F328D9" w:rsidRDefault="00F328D9" w:rsidP="00F328D9">
            <w:r w:rsidRPr="00F328D9">
              <w:t>Small business annual bill</w:t>
            </w:r>
          </w:p>
        </w:tc>
        <w:tc>
          <w:tcPr>
            <w:tcW w:w="490"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4567</w:t>
            </w:r>
          </w:p>
        </w:tc>
        <w:tc>
          <w:tcPr>
            <w:tcW w:w="733"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4423</w:t>
            </w:r>
          </w:p>
        </w:tc>
        <w:tc>
          <w:tcPr>
            <w:tcW w:w="732"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3895</w:t>
            </w:r>
          </w:p>
        </w:tc>
        <w:tc>
          <w:tcPr>
            <w:tcW w:w="570"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3949</w:t>
            </w:r>
          </w:p>
        </w:tc>
        <w:tc>
          <w:tcPr>
            <w:tcW w:w="573"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4012</w:t>
            </w:r>
          </w:p>
        </w:tc>
        <w:tc>
          <w:tcPr>
            <w:tcW w:w="614" w:type="pct"/>
            <w:noWrap/>
            <w:vAlign w:val="bottom"/>
          </w:tcPr>
          <w:p w:rsidR="00F328D9" w:rsidRPr="00F328D9" w:rsidRDefault="00F328D9" w:rsidP="00F328D9">
            <w:pPr>
              <w:cnfStyle w:val="000000000000" w:firstRow="0" w:lastRow="0" w:firstColumn="0" w:lastColumn="0" w:oddVBand="0" w:evenVBand="0" w:oddHBand="0" w:evenHBand="0" w:firstRowFirstColumn="0" w:firstRowLastColumn="0" w:lastRowFirstColumn="0" w:lastRowLastColumn="0"/>
            </w:pPr>
            <w:r w:rsidRPr="00F328D9">
              <w:t>407</w:t>
            </w:r>
            <w:r w:rsidR="00E32A56">
              <w:t>3</w:t>
            </w:r>
          </w:p>
        </w:tc>
      </w:tr>
      <w:tr w:rsidR="00F328D9" w:rsidRPr="00310901" w:rsidTr="00F32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8" w:type="pct"/>
            <w:noWrap/>
            <w:hideMark/>
          </w:tcPr>
          <w:p w:rsidR="00F328D9" w:rsidRPr="00F328D9" w:rsidRDefault="00F328D9" w:rsidP="00F328D9">
            <w:r w:rsidRPr="00F328D9">
              <w:t>Annual change</w:t>
            </w:r>
          </w:p>
        </w:tc>
        <w:tc>
          <w:tcPr>
            <w:tcW w:w="490"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 </w:t>
            </w:r>
          </w:p>
        </w:tc>
        <w:tc>
          <w:tcPr>
            <w:tcW w:w="733"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–144 (–3.2%)</w:t>
            </w:r>
          </w:p>
        </w:tc>
        <w:tc>
          <w:tcPr>
            <w:tcW w:w="732"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t>–</w:t>
            </w:r>
            <w:r w:rsidRPr="00F328D9">
              <w:t>528 (</w:t>
            </w:r>
            <w:r>
              <w:t>–</w:t>
            </w:r>
            <w:r w:rsidRPr="00F328D9">
              <w:t>11.9%)</w:t>
            </w:r>
          </w:p>
        </w:tc>
        <w:tc>
          <w:tcPr>
            <w:tcW w:w="570"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54 (1.4%)</w:t>
            </w:r>
          </w:p>
        </w:tc>
        <w:tc>
          <w:tcPr>
            <w:tcW w:w="573"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63 (1.6%)</w:t>
            </w:r>
          </w:p>
        </w:tc>
        <w:tc>
          <w:tcPr>
            <w:tcW w:w="614" w:type="pct"/>
            <w:noWrap/>
            <w:vAlign w:val="bottom"/>
          </w:tcPr>
          <w:p w:rsidR="00F328D9" w:rsidRPr="00F328D9" w:rsidRDefault="00F328D9" w:rsidP="00F328D9">
            <w:pPr>
              <w:cnfStyle w:val="000000010000" w:firstRow="0" w:lastRow="0" w:firstColumn="0" w:lastColumn="0" w:oddVBand="0" w:evenVBand="0" w:oddHBand="0" w:evenHBand="1" w:firstRowFirstColumn="0" w:firstRowLastColumn="0" w:lastRowFirstColumn="0" w:lastRowLastColumn="0"/>
            </w:pPr>
            <w:r w:rsidRPr="00F328D9">
              <w:t>61 (1.5%)</w:t>
            </w:r>
          </w:p>
        </w:tc>
      </w:tr>
    </w:tbl>
    <w:p w:rsidR="008A1052" w:rsidRPr="009E4884" w:rsidRDefault="008A1052" w:rsidP="008A1052">
      <w:pPr>
        <w:pStyle w:val="AERtablesource"/>
      </w:pPr>
      <w:r w:rsidRPr="009E4884">
        <w:t>Source:</w:t>
      </w:r>
      <w:r w:rsidRPr="009E4884">
        <w:tab/>
        <w:t>AER analysis; AER,</w:t>
      </w:r>
      <w:r w:rsidR="00310901">
        <w:t xml:space="preserve"> </w:t>
      </w:r>
      <w:hyperlink r:id="rId17" w:history="1">
        <w:r w:rsidR="00310901" w:rsidRPr="00310901">
          <w:rPr>
            <w:rStyle w:val="Hyperlink"/>
            <w:sz w:val="16"/>
          </w:rPr>
          <w:t>Energy Made Easy</w:t>
        </w:r>
      </w:hyperlink>
      <w:r w:rsidR="00310901">
        <w:t xml:space="preserve">; </w:t>
      </w:r>
      <w:r w:rsidRPr="009E4884">
        <w:t xml:space="preserve">IPART, </w:t>
      </w:r>
      <w:r w:rsidRPr="009E4884">
        <w:rPr>
          <w:rStyle w:val="AERtextitalic"/>
        </w:rPr>
        <w:t>Final report: Review of regulated retail prices for electricity - from 1 July 2013 to 30 June 2016</w:t>
      </w:r>
      <w:r w:rsidRPr="009E4884">
        <w:t>, June 2013, p. 5.</w:t>
      </w:r>
    </w:p>
    <w:p w:rsidR="006655AE" w:rsidRDefault="008A1052" w:rsidP="001A0DE4">
      <w:pPr>
        <w:pStyle w:val="AERtablesource"/>
      </w:pPr>
      <w:r w:rsidRPr="009E4884">
        <w:t>(a)</w:t>
      </w:r>
      <w:r w:rsidRPr="009E4884">
        <w:tab/>
        <w:t>Based on the annual charge for a typical consumption of 6500 kWh per year during the period 1 July 2013 to 30 June 2014. The charges reflect regulated price only. Sample postcode:</w:t>
      </w:r>
      <w:r>
        <w:t xml:space="preserve"> 2650</w:t>
      </w:r>
      <w:r w:rsidRPr="009E4884">
        <w:t>.</w:t>
      </w:r>
    </w:p>
    <w:p w:rsidR="004F6A0E" w:rsidRDefault="008A1052" w:rsidP="001A0DE4">
      <w:pPr>
        <w:pStyle w:val="AERtablesource"/>
      </w:pPr>
      <w:r w:rsidRPr="009E4884">
        <w:t>(b)</w:t>
      </w:r>
      <w:r w:rsidRPr="009E4884">
        <w:tab/>
        <w:t xml:space="preserve">Based on the annual charge sourced from </w:t>
      </w:r>
      <w:hyperlink r:id="rId18" w:history="1">
        <w:r w:rsidRPr="00974254">
          <w:rPr>
            <w:rStyle w:val="Hyperlink"/>
            <w:sz w:val="16"/>
          </w:rPr>
          <w:t>Energy Made Easy</w:t>
        </w:r>
      </w:hyperlink>
      <w:r w:rsidRPr="009E4884">
        <w:t xml:space="preserve"> for a typical consumption of 10000 kWh per year during the period 1 July 2013 to 30 June 2014. The charges reflect regulated price only. Sample postcode:</w:t>
      </w:r>
      <w:r>
        <w:t xml:space="preserve"> 2650</w:t>
      </w:r>
      <w:r w:rsidRPr="009E4884">
        <w:t>.</w:t>
      </w:r>
    </w:p>
    <w:sectPr w:rsidR="004F6A0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0A" w:rsidRPr="00290C63" w:rsidRDefault="006A2B0A" w:rsidP="00290C63">
      <w:r>
        <w:separator/>
      </w:r>
    </w:p>
    <w:p w:rsidR="006A2B0A" w:rsidRDefault="006A2B0A"/>
  </w:endnote>
  <w:endnote w:type="continuationSeparator" w:id="0">
    <w:p w:rsidR="006A2B0A" w:rsidRPr="00290C63" w:rsidRDefault="006A2B0A" w:rsidP="00290C63">
      <w:r>
        <w:continuationSeparator/>
      </w:r>
    </w:p>
    <w:p w:rsidR="006A2B0A" w:rsidRDefault="006A2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0A" w:rsidRPr="00290C63" w:rsidRDefault="006A2B0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A2B0A" w:rsidRDefault="006A2B0A"/>
  <w:p w:rsidR="006A2B0A" w:rsidRDefault="006A2B0A"/>
  <w:p w:rsidR="006A2B0A" w:rsidRDefault="006A2B0A"/>
  <w:p w:rsidR="006A2B0A" w:rsidRDefault="006A2B0A"/>
  <w:p w:rsidR="006A2B0A" w:rsidRDefault="006A2B0A"/>
  <w:p w:rsidR="006A2B0A" w:rsidRDefault="006A2B0A"/>
  <w:p w:rsidR="006A2B0A" w:rsidRDefault="006A2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6A2B0A" w:rsidRPr="009B6F84" w:rsidRDefault="006A2B0A">
        <w:pPr>
          <w:pStyle w:val="Footer"/>
          <w:rPr>
            <w:sz w:val="20"/>
          </w:rPr>
        </w:pPr>
        <w:r>
          <w:fldChar w:fldCharType="begin"/>
        </w:r>
        <w:r>
          <w:instrText xml:space="preserve"> PAGE   \* MERGEFORMAT </w:instrText>
        </w:r>
        <w:r>
          <w:fldChar w:fldCharType="separate"/>
        </w:r>
        <w:r w:rsidR="009B2DA1">
          <w:rPr>
            <w:noProof/>
          </w:rPr>
          <w:t>1-3</w:t>
        </w:r>
        <w:r>
          <w:rPr>
            <w:noProof/>
          </w:rPr>
          <w:fldChar w:fldCharType="end"/>
        </w:r>
        <w:r>
          <w:rPr>
            <w:noProof/>
          </w:rPr>
          <w:t xml:space="preserve">          </w:t>
        </w:r>
        <w:r>
          <w:tab/>
          <w:t xml:space="preserve">             </w:t>
        </w:r>
        <w:r w:rsidRPr="009B6F84">
          <w:rPr>
            <w:noProof/>
            <w:szCs w:val="16"/>
          </w:rPr>
          <w:t xml:space="preserve">Attachment 1 </w:t>
        </w:r>
        <w:r w:rsidRPr="009B6F84">
          <w:rPr>
            <w:rFonts w:cs="Gautami"/>
            <w:noProof/>
            <w:szCs w:val="16"/>
          </w:rPr>
          <w:t xml:space="preserve">– Annual revenue requirement |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6A2B0A" w:rsidRDefault="006A2B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0A" w:rsidRPr="00290C63" w:rsidRDefault="006A2B0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A2B0A" w:rsidRDefault="006A2B0A">
    <w:pPr>
      <w:pStyle w:val="Footer"/>
    </w:pPr>
  </w:p>
  <w:p w:rsidR="006A2B0A" w:rsidRDefault="006A2B0A"/>
  <w:p w:rsidR="006A2B0A" w:rsidRDefault="006A2B0A"/>
  <w:p w:rsidR="006A2B0A" w:rsidRDefault="006A2B0A"/>
  <w:p w:rsidR="006A2B0A" w:rsidRDefault="006A2B0A"/>
  <w:p w:rsidR="006A2B0A" w:rsidRDefault="006A2B0A"/>
  <w:p w:rsidR="006A2B0A" w:rsidRDefault="006A2B0A"/>
  <w:p w:rsidR="006A2B0A" w:rsidRDefault="006A2B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0A" w:rsidRPr="00290C63" w:rsidRDefault="006A2B0A" w:rsidP="00290C63">
      <w:r>
        <w:separator/>
      </w:r>
    </w:p>
    <w:p w:rsidR="006A2B0A" w:rsidRDefault="006A2B0A"/>
  </w:footnote>
  <w:footnote w:type="continuationSeparator" w:id="0">
    <w:p w:rsidR="006A2B0A" w:rsidRPr="00290C63" w:rsidRDefault="006A2B0A" w:rsidP="00290C63">
      <w:r>
        <w:continuationSeparator/>
      </w:r>
    </w:p>
    <w:p w:rsidR="006A2B0A" w:rsidRDefault="006A2B0A"/>
  </w:footnote>
  <w:footnote w:id="1">
    <w:p w:rsidR="006A2B0A" w:rsidRDefault="006A2B0A" w:rsidP="002F03BD">
      <w:pPr>
        <w:pStyle w:val="FootnoteText"/>
      </w:pPr>
      <w:r>
        <w:rPr>
          <w:rStyle w:val="FootnoteReference"/>
        </w:rPr>
        <w:footnoteRef/>
      </w:r>
      <w:r>
        <w:t xml:space="preserve"> </w:t>
      </w:r>
      <w:r>
        <w:tab/>
        <w:t>This is referred to in the transitional rules as a 'notional' revenue requirement. We have adopted the standard terminology in chapter 6 of the NER to avoid confusion, but it still gives effect to the transitional rules.</w:t>
      </w:r>
    </w:p>
  </w:footnote>
  <w:footnote w:id="2">
    <w:p w:rsidR="006A2B0A" w:rsidRDefault="006A2B0A" w:rsidP="009B1095">
      <w:pPr>
        <w:pStyle w:val="FootnoteText"/>
      </w:pPr>
      <w:r>
        <w:rPr>
          <w:rStyle w:val="FootnoteReference"/>
        </w:rPr>
        <w:footnoteRef/>
      </w:r>
      <w:r>
        <w:t xml:space="preserve"> </w:t>
      </w:r>
      <w:r>
        <w:tab/>
      </w:r>
      <w:r w:rsidRPr="00B10FCC">
        <w:t xml:space="preserve">This is the amount determined in our transitional decision for 2014–15, see AER, </w:t>
      </w:r>
      <w:proofErr w:type="spellStart"/>
      <w:r w:rsidRPr="00B10FCC">
        <w:rPr>
          <w:rStyle w:val="AERtextitalic"/>
        </w:rPr>
        <w:t>Ausgrid</w:t>
      </w:r>
      <w:proofErr w:type="spellEnd"/>
      <w:r w:rsidRPr="00B10FCC">
        <w:rPr>
          <w:rStyle w:val="AERtextitalic"/>
        </w:rPr>
        <w:t xml:space="preserve"> Endeavour Energy Essential Energy </w:t>
      </w:r>
      <w:proofErr w:type="spellStart"/>
      <w:r w:rsidRPr="00B10FCC">
        <w:rPr>
          <w:rStyle w:val="AERtextitalic"/>
        </w:rPr>
        <w:t>ActewAGL</w:t>
      </w:r>
      <w:proofErr w:type="spellEnd"/>
      <w:r w:rsidRPr="00B10FCC">
        <w:rPr>
          <w:rStyle w:val="AERtextitalic"/>
        </w:rPr>
        <w:t>, Transitional distribution decision 2014–15</w:t>
      </w:r>
      <w:r w:rsidRPr="00B10FCC">
        <w:t>, April 2014, pp. 2</w:t>
      </w:r>
      <w:r>
        <w:t>5</w:t>
      </w:r>
      <w:r w:rsidRPr="00B10FCC">
        <w:t>-2</w:t>
      </w:r>
      <w:r>
        <w:t>6</w:t>
      </w:r>
      <w:r w:rsidRPr="00B10FCC">
        <w:t>.</w:t>
      </w:r>
    </w:p>
  </w:footnote>
  <w:footnote w:id="3">
    <w:p w:rsidR="006A2B0A" w:rsidRDefault="006A2B0A" w:rsidP="002F03BD">
      <w:pPr>
        <w:pStyle w:val="FootnoteText"/>
      </w:pPr>
      <w:r>
        <w:rPr>
          <w:rStyle w:val="FootnoteReference"/>
        </w:rPr>
        <w:footnoteRef/>
      </w:r>
      <w:r>
        <w:t xml:space="preserve"> </w:t>
      </w:r>
      <w:r>
        <w:tab/>
        <w:t xml:space="preserve">Our smoothing involves a 'true-up' for the 2014–15 (transitional regulatory control period) placeholder revenue as required under </w:t>
      </w:r>
      <w:proofErr w:type="spellStart"/>
      <w:r>
        <w:t>cll</w:t>
      </w:r>
      <w:proofErr w:type="spellEnd"/>
      <w:r>
        <w:t>. 11.56.4(</w:t>
      </w:r>
      <w:proofErr w:type="gramStart"/>
      <w:r>
        <w:t>h</w:t>
      </w:r>
      <w:proofErr w:type="gramEnd"/>
      <w:r>
        <w:t>) and (</w:t>
      </w:r>
      <w:proofErr w:type="spellStart"/>
      <w:r>
        <w:t>i</w:t>
      </w:r>
      <w:proofErr w:type="spellEnd"/>
      <w:r>
        <w:t>) of the NER.</w:t>
      </w:r>
    </w:p>
  </w:footnote>
  <w:footnote w:id="4">
    <w:p w:rsidR="006A2B0A" w:rsidRDefault="006A2B0A">
      <w:pPr>
        <w:pStyle w:val="FootnoteText"/>
      </w:pPr>
      <w:r>
        <w:rPr>
          <w:rStyle w:val="FootnoteReference"/>
        </w:rPr>
        <w:footnoteRef/>
      </w:r>
      <w:r>
        <w:t xml:space="preserve"> </w:t>
      </w:r>
      <w:r>
        <w:tab/>
      </w:r>
      <w:proofErr w:type="gramStart"/>
      <w:r w:rsidRPr="006D527E">
        <w:t>NER cl. 11.55.1.</w:t>
      </w:r>
      <w:proofErr w:type="gramEnd"/>
    </w:p>
  </w:footnote>
  <w:footnote w:id="5">
    <w:p w:rsidR="006A2B0A" w:rsidRDefault="006A2B0A">
      <w:pPr>
        <w:pStyle w:val="FootnoteText"/>
      </w:pPr>
      <w:r>
        <w:rPr>
          <w:rStyle w:val="FootnoteReference"/>
        </w:rPr>
        <w:footnoteRef/>
      </w:r>
      <w:r>
        <w:t xml:space="preserve"> </w:t>
      </w:r>
      <w:r>
        <w:tab/>
      </w:r>
      <w:proofErr w:type="gramStart"/>
      <w:r w:rsidRPr="006D527E">
        <w:t xml:space="preserve">NER </w:t>
      </w:r>
      <w:proofErr w:type="spellStart"/>
      <w:r w:rsidRPr="006D527E">
        <w:t>cll</w:t>
      </w:r>
      <w:proofErr w:type="spellEnd"/>
      <w:r w:rsidRPr="006D527E">
        <w:t xml:space="preserve"> 11.56.1 and 11.56.4.</w:t>
      </w:r>
      <w:proofErr w:type="gramEnd"/>
    </w:p>
  </w:footnote>
  <w:footnote w:id="6">
    <w:p w:rsidR="006A2B0A" w:rsidRDefault="006A2B0A" w:rsidP="006D527E">
      <w:pPr>
        <w:pStyle w:val="FootnoteText"/>
      </w:pPr>
      <w:r>
        <w:rPr>
          <w:rStyle w:val="FootnoteReference"/>
        </w:rPr>
        <w:footnoteRef/>
      </w:r>
      <w:r>
        <w:t xml:space="preserve"> </w:t>
      </w:r>
      <w:r>
        <w:tab/>
      </w:r>
      <w:r w:rsidRPr="005A2D9D">
        <w:rPr>
          <w:rStyle w:val="AERtextitalic"/>
          <w:i w:val="0"/>
        </w:rPr>
        <w:t xml:space="preserve">AER, </w:t>
      </w:r>
      <w:proofErr w:type="spellStart"/>
      <w:r>
        <w:rPr>
          <w:rStyle w:val="AERtextitalic"/>
        </w:rPr>
        <w:t>Ausgrid</w:t>
      </w:r>
      <w:proofErr w:type="spellEnd"/>
      <w:r>
        <w:rPr>
          <w:rStyle w:val="AERtextitalic"/>
        </w:rPr>
        <w:t xml:space="preserve">, Endeavour Energy, Essential Energy, </w:t>
      </w:r>
      <w:proofErr w:type="spellStart"/>
      <w:r>
        <w:rPr>
          <w:rStyle w:val="AERtextitalic"/>
        </w:rPr>
        <w:t>ActewAGL</w:t>
      </w:r>
      <w:proofErr w:type="spellEnd"/>
      <w:r>
        <w:rPr>
          <w:rStyle w:val="AERtextitalic"/>
        </w:rPr>
        <w:t xml:space="preserve">, </w:t>
      </w:r>
      <w:r w:rsidRPr="00A55EC1">
        <w:rPr>
          <w:rStyle w:val="AERtextitalic"/>
        </w:rPr>
        <w:t xml:space="preserve">Transitional </w:t>
      </w:r>
      <w:r>
        <w:rPr>
          <w:rStyle w:val="AERtextitalic"/>
        </w:rPr>
        <w:t xml:space="preserve">distribution </w:t>
      </w:r>
      <w:r w:rsidRPr="00A55EC1">
        <w:rPr>
          <w:rStyle w:val="AERtextitalic"/>
        </w:rPr>
        <w:t xml:space="preserve">decision for </w:t>
      </w:r>
      <w:r>
        <w:rPr>
          <w:rStyle w:val="AERtextitalic"/>
        </w:rPr>
        <w:t>2014–15</w:t>
      </w:r>
      <w:r w:rsidRPr="005A2D9D">
        <w:t xml:space="preserve">, </w:t>
      </w:r>
      <w:r w:rsidRPr="005A2D9D">
        <w:rPr>
          <w:rStyle w:val="Hyperlink"/>
          <w:color w:val="auto"/>
          <w:sz w:val="16"/>
          <w:u w:val="none"/>
        </w:rPr>
        <w:t>April 2014, p. 17</w:t>
      </w:r>
      <w:r w:rsidRPr="005A2D9D">
        <w:t>. </w:t>
      </w:r>
    </w:p>
  </w:footnote>
  <w:footnote w:id="7">
    <w:p w:rsidR="006A2B0A" w:rsidRDefault="006A2B0A" w:rsidP="000822DD">
      <w:pPr>
        <w:pStyle w:val="FootnoteText"/>
      </w:pPr>
      <w:r>
        <w:rPr>
          <w:rStyle w:val="FootnoteReference"/>
        </w:rPr>
        <w:footnoteRef/>
      </w:r>
      <w:r>
        <w:t xml:space="preserve"> </w:t>
      </w:r>
      <w:r>
        <w:tab/>
        <w:t xml:space="preserve">NER, </w:t>
      </w:r>
      <w:proofErr w:type="spellStart"/>
      <w:r>
        <w:t>cll</w:t>
      </w:r>
      <w:proofErr w:type="spellEnd"/>
      <w:r>
        <w:t xml:space="preserve"> 11.56.3(a</w:t>
      </w:r>
      <w:proofErr w:type="gramStart"/>
      <w:r>
        <w:t>)(</w:t>
      </w:r>
      <w:proofErr w:type="gramEnd"/>
      <w:r>
        <w:t>1) and 11.56</w:t>
      </w:r>
      <w:r w:rsidRPr="00AA3FB9">
        <w:t>.3(</w:t>
      </w:r>
      <w:proofErr w:type="spellStart"/>
      <w:r w:rsidRPr="00AA3FB9">
        <w:t>i</w:t>
      </w:r>
      <w:proofErr w:type="spellEnd"/>
      <w:r w:rsidRPr="00AA3FB9">
        <w:t>).</w:t>
      </w:r>
    </w:p>
  </w:footnote>
  <w:footnote w:id="8">
    <w:p w:rsidR="006A2B0A" w:rsidRDefault="006A2B0A" w:rsidP="000822DD">
      <w:pPr>
        <w:pStyle w:val="FootnoteText"/>
      </w:pPr>
      <w:r>
        <w:rPr>
          <w:rStyle w:val="FootnoteReference"/>
        </w:rPr>
        <w:footnoteRef/>
      </w:r>
      <w:r>
        <w:t xml:space="preserve"> </w:t>
      </w:r>
      <w:r>
        <w:tab/>
      </w:r>
      <w:r w:rsidRPr="00AA3FB9">
        <w:t xml:space="preserve">AER, </w:t>
      </w:r>
      <w:r w:rsidRPr="00AA3FB9">
        <w:rPr>
          <w:rStyle w:val="AERtextitalic"/>
        </w:rPr>
        <w:t>Stage 2 Framework and Approach – NSW Distributors</w:t>
      </w:r>
      <w:r w:rsidRPr="00AA3FB9">
        <w:t>, January 2014, p. 40.</w:t>
      </w:r>
    </w:p>
  </w:footnote>
  <w:footnote w:id="9">
    <w:p w:rsidR="006A2B0A" w:rsidRDefault="006A2B0A" w:rsidP="00211DC9">
      <w:pPr>
        <w:pStyle w:val="FootnoteText"/>
      </w:pPr>
      <w:r>
        <w:rPr>
          <w:rStyle w:val="FootnoteReference"/>
        </w:rPr>
        <w:footnoteRef/>
      </w:r>
      <w:r>
        <w:t xml:space="preserve"> </w:t>
      </w:r>
      <w:r>
        <w:tab/>
      </w:r>
      <w:proofErr w:type="gramStart"/>
      <w:r w:rsidRPr="0041357C">
        <w:t>NER, cl</w:t>
      </w:r>
      <w:r>
        <w:t>.</w:t>
      </w:r>
      <w:r w:rsidRPr="0041357C">
        <w:t xml:space="preserve"> 11.56.4</w:t>
      </w:r>
      <w:r>
        <w:t>(h)-(</w:t>
      </w:r>
      <w:proofErr w:type="spellStart"/>
      <w:r>
        <w:t>i</w:t>
      </w:r>
      <w:proofErr w:type="spellEnd"/>
      <w:r>
        <w:t>).</w:t>
      </w:r>
      <w:proofErr w:type="gramEnd"/>
    </w:p>
  </w:footnote>
  <w:footnote w:id="10">
    <w:p w:rsidR="006A2B0A" w:rsidRDefault="006A2B0A" w:rsidP="0016472D">
      <w:pPr>
        <w:pStyle w:val="FootnoteText"/>
      </w:pPr>
      <w:r>
        <w:rPr>
          <w:rStyle w:val="FootnoteReference"/>
        </w:rPr>
        <w:footnoteRef/>
      </w:r>
      <w:r>
        <w:t xml:space="preserve"> </w:t>
      </w:r>
      <w:r>
        <w:tab/>
      </w:r>
      <w:proofErr w:type="gramStart"/>
      <w:r>
        <w:t>AGL,</w:t>
      </w:r>
      <w:r w:rsidRPr="00376D68">
        <w:t xml:space="preserve"> </w:t>
      </w:r>
      <w:r w:rsidRPr="000F65EE">
        <w:rPr>
          <w:rStyle w:val="AERtextitalic"/>
        </w:rPr>
        <w:t xml:space="preserve">Submission on </w:t>
      </w:r>
      <w:r>
        <w:rPr>
          <w:rStyle w:val="AERtextitalic"/>
        </w:rPr>
        <w:t>NSW DNSPs d</w:t>
      </w:r>
      <w:r w:rsidRPr="00392868">
        <w:rPr>
          <w:rStyle w:val="AERtextitalic"/>
        </w:rPr>
        <w:t xml:space="preserve">raft </w:t>
      </w:r>
      <w:r>
        <w:rPr>
          <w:rStyle w:val="AERtextitalic"/>
        </w:rPr>
        <w:t>d</w:t>
      </w:r>
      <w:r w:rsidRPr="00392868">
        <w:rPr>
          <w:rStyle w:val="AERtextitalic"/>
        </w:rPr>
        <w:t>ecision</w:t>
      </w:r>
      <w:r>
        <w:t>,</w:t>
      </w:r>
      <w:r w:rsidRPr="00376D68">
        <w:t xml:space="preserve"> 1</w:t>
      </w:r>
      <w:r>
        <w:t>5</w:t>
      </w:r>
      <w:r w:rsidRPr="00376D68">
        <w:t xml:space="preserve"> February 2015</w:t>
      </w:r>
      <w:r>
        <w:t>, p. 3</w:t>
      </w:r>
      <w:r w:rsidRPr="00392868">
        <w:rPr>
          <w:rStyle w:val="AERtextitalic"/>
        </w:rPr>
        <w:t>.</w:t>
      </w:r>
      <w:proofErr w:type="gramEnd"/>
    </w:p>
  </w:footnote>
  <w:footnote w:id="11">
    <w:p w:rsidR="006A2B0A" w:rsidRDefault="006A2B0A" w:rsidP="0016472D">
      <w:pPr>
        <w:pStyle w:val="FootnoteText"/>
      </w:pPr>
      <w:r>
        <w:rPr>
          <w:rStyle w:val="FootnoteReference"/>
        </w:rPr>
        <w:footnoteRef/>
      </w:r>
      <w:r>
        <w:t xml:space="preserve"> </w:t>
      </w:r>
      <w:r>
        <w:tab/>
      </w:r>
      <w:proofErr w:type="gramStart"/>
      <w:r w:rsidRPr="0041357C">
        <w:t>NER, cl 11.56.4</w:t>
      </w:r>
      <w:r>
        <w:t>(h)-(</w:t>
      </w:r>
      <w:proofErr w:type="spellStart"/>
      <w:r>
        <w:t>i</w:t>
      </w:r>
      <w:proofErr w:type="spellEnd"/>
      <w:r>
        <w:t>).</w:t>
      </w:r>
      <w:proofErr w:type="gramEnd"/>
    </w:p>
  </w:footnote>
  <w:footnote w:id="12">
    <w:p w:rsidR="006A2B0A" w:rsidRDefault="006A2B0A" w:rsidP="000822DD">
      <w:pPr>
        <w:pStyle w:val="FootnoteText"/>
      </w:pPr>
      <w:r>
        <w:rPr>
          <w:rStyle w:val="FootnoteReference"/>
        </w:rPr>
        <w:footnoteRef/>
      </w:r>
      <w:r>
        <w:t xml:space="preserve"> </w:t>
      </w:r>
      <w:r>
        <w:tab/>
      </w:r>
      <w:proofErr w:type="gramStart"/>
      <w:r w:rsidRPr="00AA3FB9">
        <w:t>NER, cl 11.55.3(</w:t>
      </w:r>
      <w:proofErr w:type="spellStart"/>
      <w:r w:rsidRPr="00AA3FB9">
        <w:t>i</w:t>
      </w:r>
      <w:proofErr w:type="spellEnd"/>
      <w:r w:rsidRPr="00AA3FB9">
        <w:t>).</w:t>
      </w:r>
      <w:proofErr w:type="gramEnd"/>
    </w:p>
  </w:footnote>
  <w:footnote w:id="13">
    <w:p w:rsidR="006A2B0A" w:rsidRDefault="006A2B0A" w:rsidP="000822DD">
      <w:pPr>
        <w:pStyle w:val="FootnoteText"/>
      </w:pPr>
      <w:r>
        <w:rPr>
          <w:rStyle w:val="FootnoteReference"/>
        </w:rPr>
        <w:footnoteRef/>
      </w:r>
      <w:r>
        <w:t xml:space="preserve"> </w:t>
      </w:r>
      <w:r>
        <w:tab/>
        <w:t>Refer to attachment 16 – Alternative control services for further details.</w:t>
      </w:r>
    </w:p>
  </w:footnote>
  <w:footnote w:id="14">
    <w:p w:rsidR="006A2B0A" w:rsidRDefault="006A2B0A">
      <w:pPr>
        <w:pStyle w:val="FootnoteText"/>
      </w:pPr>
      <w:r>
        <w:rPr>
          <w:rStyle w:val="FootnoteReference"/>
        </w:rPr>
        <w:footnoteRef/>
      </w:r>
      <w:r>
        <w:t xml:space="preserve"> </w:t>
      </w:r>
      <w:r>
        <w:tab/>
        <w:t xml:space="preserve">The X factors represent the </w:t>
      </w:r>
      <w:r w:rsidRPr="00614ED9">
        <w:t>rate of change in the</w:t>
      </w:r>
      <w:r>
        <w:t xml:space="preserve"> real revenue path over the 2014–19 </w:t>
      </w:r>
      <w:proofErr w:type="gramStart"/>
      <w:r>
        <w:t>period</w:t>
      </w:r>
      <w:proofErr w:type="gramEnd"/>
      <w:r>
        <w:t xml:space="preserve">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15">
    <w:p w:rsidR="006A2B0A" w:rsidRDefault="006A2B0A" w:rsidP="0016472D">
      <w:pPr>
        <w:pStyle w:val="FootnoteText"/>
      </w:pPr>
      <w:r>
        <w:rPr>
          <w:rStyle w:val="FootnoteReference"/>
        </w:rPr>
        <w:footnoteRef/>
      </w:r>
      <w:r>
        <w:t xml:space="preserve"> </w:t>
      </w:r>
      <w:r>
        <w:tab/>
      </w:r>
      <w:proofErr w:type="gramStart"/>
      <w:r w:rsidRPr="00E35236">
        <w:t>Networks NSW</w:t>
      </w:r>
      <w:r>
        <w:t>,</w:t>
      </w:r>
      <w:r w:rsidRPr="00E35236">
        <w:t xml:space="preserve"> </w:t>
      </w:r>
      <w:r w:rsidRPr="00C02364">
        <w:rPr>
          <w:rStyle w:val="AERtextitalic"/>
        </w:rPr>
        <w:t>NSW DNSP's</w:t>
      </w:r>
      <w:r>
        <w:t xml:space="preserve"> </w:t>
      </w:r>
      <w:r>
        <w:rPr>
          <w:rStyle w:val="AERtextitalic"/>
        </w:rPr>
        <w:t>s</w:t>
      </w:r>
      <w:r w:rsidRPr="00FD5E98">
        <w:rPr>
          <w:rStyle w:val="AERtextitalic"/>
        </w:rPr>
        <w:t xml:space="preserve">ubmission on </w:t>
      </w:r>
      <w:r>
        <w:rPr>
          <w:rStyle w:val="AERtextitalic"/>
        </w:rPr>
        <w:t>the AER's draft determinations</w:t>
      </w:r>
      <w:r>
        <w:t>,</w:t>
      </w:r>
      <w:r w:rsidRPr="00E35236">
        <w:t xml:space="preserve"> 1</w:t>
      </w:r>
      <w:r>
        <w:t>3 February 2015, pp. 7–8.</w:t>
      </w:r>
      <w:proofErr w:type="gramEnd"/>
    </w:p>
  </w:footnote>
  <w:footnote w:id="16">
    <w:p w:rsidR="006A2B0A" w:rsidRDefault="006A2B0A" w:rsidP="00974254">
      <w:pPr>
        <w:pStyle w:val="FootnoteText"/>
      </w:pPr>
      <w:r>
        <w:rPr>
          <w:rStyle w:val="FootnoteReference"/>
        </w:rPr>
        <w:footnoteRef/>
      </w:r>
      <w:r>
        <w:t xml:space="preserve"> </w:t>
      </w:r>
      <w:r>
        <w:tab/>
      </w:r>
      <w:proofErr w:type="gramStart"/>
      <w:r>
        <w:t>NER, cl 11.56.4(c).</w:t>
      </w:r>
      <w:proofErr w:type="gramEnd"/>
    </w:p>
  </w:footnote>
  <w:footnote w:id="17">
    <w:p w:rsidR="006A2B0A" w:rsidRDefault="006A2B0A" w:rsidP="00B61529">
      <w:pPr>
        <w:pStyle w:val="FootnoteText"/>
      </w:pPr>
      <w:r>
        <w:rPr>
          <w:rStyle w:val="FootnoteReference"/>
        </w:rPr>
        <w:footnoteRef/>
      </w:r>
      <w:r>
        <w:t xml:space="preserve"> </w:t>
      </w:r>
      <w:r>
        <w:tab/>
      </w:r>
      <w:r w:rsidRPr="007E4091">
        <w:t>Clause 11.56.4(c) of the NER removes the requirement under cl. 6.5.9(b)(2) of the NER, that the X factors be set to minimise the variance, as far as reasonably possible, between expected revenue and ARR of the last regulatory year of the regulatory control period .</w:t>
      </w:r>
    </w:p>
  </w:footnote>
  <w:footnote w:id="18">
    <w:p w:rsidR="006A2B0A" w:rsidRDefault="006A2B0A" w:rsidP="00EA49E0">
      <w:pPr>
        <w:pStyle w:val="FootnoteText"/>
      </w:pPr>
      <w:r>
        <w:rPr>
          <w:rStyle w:val="FootnoteReference"/>
        </w:rPr>
        <w:footnoteRef/>
      </w:r>
      <w:r>
        <w:t xml:space="preserve"> </w:t>
      </w:r>
      <w:r>
        <w:tab/>
      </w:r>
      <w:proofErr w:type="gramStart"/>
      <w:r>
        <w:t xml:space="preserve">AER, </w:t>
      </w:r>
      <w:r w:rsidRPr="00967BFA">
        <w:rPr>
          <w:rStyle w:val="Emphasis"/>
        </w:rPr>
        <w:t xml:space="preserve">Draft decision </w:t>
      </w:r>
      <w:r>
        <w:rPr>
          <w:rStyle w:val="Emphasis"/>
        </w:rPr>
        <w:t>Essential</w:t>
      </w:r>
      <w:r w:rsidRPr="00967BFA">
        <w:rPr>
          <w:rStyle w:val="Emphasis"/>
        </w:rPr>
        <w:t xml:space="preserve"> Energy distribution determination – Attachment 1 – Annual revenue requirement</w:t>
      </w:r>
      <w:r>
        <w:t>, November 2014, pp. 17–18.</w:t>
      </w:r>
      <w:proofErr w:type="gramEnd"/>
    </w:p>
  </w:footnote>
  <w:footnote w:id="19">
    <w:p w:rsidR="006A2B0A" w:rsidRDefault="006A2B0A" w:rsidP="008A1052">
      <w:pPr>
        <w:pStyle w:val="FootnoteText"/>
      </w:pPr>
      <w:r>
        <w:rPr>
          <w:rStyle w:val="FootnoteReference"/>
        </w:rPr>
        <w:footnoteRef/>
      </w:r>
      <w:r>
        <w:t xml:space="preserve"> </w:t>
      </w:r>
      <w:r>
        <w:tab/>
      </w:r>
      <w:proofErr w:type="gramStart"/>
      <w:r>
        <w:t xml:space="preserve">Essential Energy, </w:t>
      </w:r>
      <w:r w:rsidRPr="007F2F69">
        <w:rPr>
          <w:rStyle w:val="AERtextitalic"/>
        </w:rPr>
        <w:t>Regulatory prop</w:t>
      </w:r>
      <w:r>
        <w:rPr>
          <w:rStyle w:val="AERtextitalic"/>
        </w:rPr>
        <w:t>o</w:t>
      </w:r>
      <w:r w:rsidRPr="007F2F69">
        <w:rPr>
          <w:rStyle w:val="AERtextitalic"/>
        </w:rPr>
        <w:t>sal</w:t>
      </w:r>
      <w:r>
        <w:t>, May 2014, p. 4.</w:t>
      </w:r>
      <w:proofErr w:type="gramEnd"/>
    </w:p>
  </w:footnote>
  <w:footnote w:id="20">
    <w:p w:rsidR="006A2B0A" w:rsidRDefault="006A2B0A" w:rsidP="008A1052">
      <w:pPr>
        <w:pStyle w:val="FootnoteText"/>
      </w:pPr>
      <w:r>
        <w:rPr>
          <w:rStyle w:val="FootnoteReference"/>
        </w:rPr>
        <w:footnoteRef/>
      </w:r>
      <w:r>
        <w:t xml:space="preserve"> </w:t>
      </w:r>
      <w:r>
        <w:tab/>
        <w:t xml:space="preserve">IPART, </w:t>
      </w:r>
      <w:r w:rsidRPr="005B4386">
        <w:rPr>
          <w:i/>
        </w:rPr>
        <w:t>Final report: Review of regulated retail prices for Electricity from 1 July 2013 to 30 June 2016</w:t>
      </w:r>
      <w:r>
        <w:t>, June 2013,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8"/>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7"/>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6"/>
  </w:num>
  <w:num w:numId="44">
    <w:abstractNumId w:val="28"/>
  </w:num>
  <w:num w:numId="45">
    <w:abstractNumId w:val="19"/>
  </w:num>
  <w:num w:numId="46">
    <w:abstractNumId w:val="40"/>
  </w:num>
  <w:num w:numId="47">
    <w:abstractNumId w:val="24"/>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9pYkPc/B7ZxmK3PgUnp1GXwBxamh8NC5QPYMFk+ADw=" w:saltValue="nZB80UwhYRA1KDvYvL8ULw==" w:algorithmName="SHA-256"/>
  <w:defaultTabStop w:val="34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996\AER15 363  AER - Final Decision Essential Energy distribution determination - Attachment 1 - Annual revenue requirement - April 2015.DOCX"/>
  </w:docVars>
  <w:rsids>
    <w:rsidRoot w:val="00961A4A"/>
    <w:rsid w:val="000057A7"/>
    <w:rsid w:val="00021202"/>
    <w:rsid w:val="00021C2B"/>
    <w:rsid w:val="0002517F"/>
    <w:rsid w:val="0003578C"/>
    <w:rsid w:val="00063247"/>
    <w:rsid w:val="00070F9F"/>
    <w:rsid w:val="0007137B"/>
    <w:rsid w:val="000822DD"/>
    <w:rsid w:val="00085663"/>
    <w:rsid w:val="00085EBF"/>
    <w:rsid w:val="00091B15"/>
    <w:rsid w:val="000A0975"/>
    <w:rsid w:val="000A3020"/>
    <w:rsid w:val="000A6C7B"/>
    <w:rsid w:val="000C2B40"/>
    <w:rsid w:val="000D122C"/>
    <w:rsid w:val="000E1819"/>
    <w:rsid w:val="000E4821"/>
    <w:rsid w:val="000E6C72"/>
    <w:rsid w:val="001060DE"/>
    <w:rsid w:val="00116EB2"/>
    <w:rsid w:val="00117BB3"/>
    <w:rsid w:val="00124609"/>
    <w:rsid w:val="00126A4C"/>
    <w:rsid w:val="0014573B"/>
    <w:rsid w:val="001573E4"/>
    <w:rsid w:val="00160756"/>
    <w:rsid w:val="0016472D"/>
    <w:rsid w:val="0017232E"/>
    <w:rsid w:val="00174102"/>
    <w:rsid w:val="001754EE"/>
    <w:rsid w:val="00180157"/>
    <w:rsid w:val="00182D36"/>
    <w:rsid w:val="00185CB9"/>
    <w:rsid w:val="00186F77"/>
    <w:rsid w:val="001926A4"/>
    <w:rsid w:val="00192AD5"/>
    <w:rsid w:val="001A0DE4"/>
    <w:rsid w:val="001B45A0"/>
    <w:rsid w:val="001D055E"/>
    <w:rsid w:val="001F05A4"/>
    <w:rsid w:val="001F492E"/>
    <w:rsid w:val="001F6DA3"/>
    <w:rsid w:val="002010BC"/>
    <w:rsid w:val="002016E7"/>
    <w:rsid w:val="00202E03"/>
    <w:rsid w:val="0020492C"/>
    <w:rsid w:val="00211DC9"/>
    <w:rsid w:val="00224DB9"/>
    <w:rsid w:val="00233775"/>
    <w:rsid w:val="00251745"/>
    <w:rsid w:val="00263AC0"/>
    <w:rsid w:val="00264264"/>
    <w:rsid w:val="0026772D"/>
    <w:rsid w:val="0027207C"/>
    <w:rsid w:val="00280FCC"/>
    <w:rsid w:val="00286874"/>
    <w:rsid w:val="00290C63"/>
    <w:rsid w:val="00296B65"/>
    <w:rsid w:val="002A7DEF"/>
    <w:rsid w:val="002C233C"/>
    <w:rsid w:val="002C236E"/>
    <w:rsid w:val="002D72E8"/>
    <w:rsid w:val="002E109D"/>
    <w:rsid w:val="002E7B22"/>
    <w:rsid w:val="002F03BD"/>
    <w:rsid w:val="002F7986"/>
    <w:rsid w:val="00301B40"/>
    <w:rsid w:val="003029EE"/>
    <w:rsid w:val="00305CC8"/>
    <w:rsid w:val="00307F6D"/>
    <w:rsid w:val="00310901"/>
    <w:rsid w:val="003177A2"/>
    <w:rsid w:val="003255BA"/>
    <w:rsid w:val="0032658F"/>
    <w:rsid w:val="003271B5"/>
    <w:rsid w:val="00327A1E"/>
    <w:rsid w:val="00331264"/>
    <w:rsid w:val="00334C8D"/>
    <w:rsid w:val="003438A1"/>
    <w:rsid w:val="00343A18"/>
    <w:rsid w:val="003518B3"/>
    <w:rsid w:val="00351C53"/>
    <w:rsid w:val="0036720A"/>
    <w:rsid w:val="00380CD9"/>
    <w:rsid w:val="003846F1"/>
    <w:rsid w:val="003B3170"/>
    <w:rsid w:val="003B484F"/>
    <w:rsid w:val="003B7FBA"/>
    <w:rsid w:val="003F174D"/>
    <w:rsid w:val="00415F31"/>
    <w:rsid w:val="00423A77"/>
    <w:rsid w:val="0045777E"/>
    <w:rsid w:val="00480B4B"/>
    <w:rsid w:val="00484A00"/>
    <w:rsid w:val="00485DC4"/>
    <w:rsid w:val="004A43D1"/>
    <w:rsid w:val="004B4412"/>
    <w:rsid w:val="004C348C"/>
    <w:rsid w:val="004D55BA"/>
    <w:rsid w:val="004E22EC"/>
    <w:rsid w:val="004F6A0E"/>
    <w:rsid w:val="00530128"/>
    <w:rsid w:val="00532467"/>
    <w:rsid w:val="005457A0"/>
    <w:rsid w:val="00564A4D"/>
    <w:rsid w:val="005675F1"/>
    <w:rsid w:val="00567BA5"/>
    <w:rsid w:val="00571B35"/>
    <w:rsid w:val="00571D57"/>
    <w:rsid w:val="00577A09"/>
    <w:rsid w:val="005829C2"/>
    <w:rsid w:val="00584D8F"/>
    <w:rsid w:val="005A2D9D"/>
    <w:rsid w:val="005A404D"/>
    <w:rsid w:val="005B1E3C"/>
    <w:rsid w:val="005B704A"/>
    <w:rsid w:val="005C21A4"/>
    <w:rsid w:val="005C26CC"/>
    <w:rsid w:val="005C362C"/>
    <w:rsid w:val="005D7BA2"/>
    <w:rsid w:val="005E36C2"/>
    <w:rsid w:val="00610EF9"/>
    <w:rsid w:val="00612F4F"/>
    <w:rsid w:val="00614ED9"/>
    <w:rsid w:val="00615C6B"/>
    <w:rsid w:val="00621DCE"/>
    <w:rsid w:val="00624B16"/>
    <w:rsid w:val="00632D6D"/>
    <w:rsid w:val="00642C3E"/>
    <w:rsid w:val="0066104A"/>
    <w:rsid w:val="00663DAD"/>
    <w:rsid w:val="006655AE"/>
    <w:rsid w:val="00675E20"/>
    <w:rsid w:val="00676679"/>
    <w:rsid w:val="00683C89"/>
    <w:rsid w:val="00685E01"/>
    <w:rsid w:val="006A2B0A"/>
    <w:rsid w:val="006B2395"/>
    <w:rsid w:val="006B4CF9"/>
    <w:rsid w:val="006B7AC8"/>
    <w:rsid w:val="006C1736"/>
    <w:rsid w:val="006D527E"/>
    <w:rsid w:val="006D550F"/>
    <w:rsid w:val="006E6D41"/>
    <w:rsid w:val="0070011E"/>
    <w:rsid w:val="00701CAB"/>
    <w:rsid w:val="00707563"/>
    <w:rsid w:val="00716D8E"/>
    <w:rsid w:val="00722E8C"/>
    <w:rsid w:val="00723219"/>
    <w:rsid w:val="0072348C"/>
    <w:rsid w:val="00724A37"/>
    <w:rsid w:val="007303C3"/>
    <w:rsid w:val="007429BE"/>
    <w:rsid w:val="00743223"/>
    <w:rsid w:val="00746E01"/>
    <w:rsid w:val="00757364"/>
    <w:rsid w:val="00757BDF"/>
    <w:rsid w:val="007609D0"/>
    <w:rsid w:val="00762219"/>
    <w:rsid w:val="00763E5D"/>
    <w:rsid w:val="00767740"/>
    <w:rsid w:val="00777EE6"/>
    <w:rsid w:val="00782EEA"/>
    <w:rsid w:val="007B186E"/>
    <w:rsid w:val="007B2C72"/>
    <w:rsid w:val="007C1C53"/>
    <w:rsid w:val="007C214C"/>
    <w:rsid w:val="007C74BB"/>
    <w:rsid w:val="007D0737"/>
    <w:rsid w:val="007D456E"/>
    <w:rsid w:val="007D620A"/>
    <w:rsid w:val="007E4091"/>
    <w:rsid w:val="007E4904"/>
    <w:rsid w:val="007E4CB5"/>
    <w:rsid w:val="007E7B3E"/>
    <w:rsid w:val="007F066B"/>
    <w:rsid w:val="008033C4"/>
    <w:rsid w:val="00806C88"/>
    <w:rsid w:val="0081034E"/>
    <w:rsid w:val="008344F6"/>
    <w:rsid w:val="0083510F"/>
    <w:rsid w:val="00851209"/>
    <w:rsid w:val="008837AC"/>
    <w:rsid w:val="008864FE"/>
    <w:rsid w:val="008A1052"/>
    <w:rsid w:val="008A587D"/>
    <w:rsid w:val="008B35CD"/>
    <w:rsid w:val="008B5FCC"/>
    <w:rsid w:val="008C4FFA"/>
    <w:rsid w:val="008C5486"/>
    <w:rsid w:val="008D1661"/>
    <w:rsid w:val="008D6800"/>
    <w:rsid w:val="008E7031"/>
    <w:rsid w:val="008E77DE"/>
    <w:rsid w:val="008F07A3"/>
    <w:rsid w:val="009001B6"/>
    <w:rsid w:val="00900E1B"/>
    <w:rsid w:val="009233EE"/>
    <w:rsid w:val="00930329"/>
    <w:rsid w:val="009460AA"/>
    <w:rsid w:val="00951978"/>
    <w:rsid w:val="00961A4A"/>
    <w:rsid w:val="009661DE"/>
    <w:rsid w:val="009668F4"/>
    <w:rsid w:val="00974254"/>
    <w:rsid w:val="009761BF"/>
    <w:rsid w:val="00983C25"/>
    <w:rsid w:val="009856B7"/>
    <w:rsid w:val="00985C86"/>
    <w:rsid w:val="009868FE"/>
    <w:rsid w:val="009A5FC3"/>
    <w:rsid w:val="009B1095"/>
    <w:rsid w:val="009B2DA1"/>
    <w:rsid w:val="009B6F84"/>
    <w:rsid w:val="009B74B0"/>
    <w:rsid w:val="009D3906"/>
    <w:rsid w:val="009D6B46"/>
    <w:rsid w:val="009E2AD9"/>
    <w:rsid w:val="009F4940"/>
    <w:rsid w:val="009F5BA1"/>
    <w:rsid w:val="00A02A88"/>
    <w:rsid w:val="00A0562E"/>
    <w:rsid w:val="00A05E05"/>
    <w:rsid w:val="00A0726D"/>
    <w:rsid w:val="00A32FBB"/>
    <w:rsid w:val="00A34EAE"/>
    <w:rsid w:val="00A428EE"/>
    <w:rsid w:val="00A4478A"/>
    <w:rsid w:val="00A44852"/>
    <w:rsid w:val="00A50502"/>
    <w:rsid w:val="00A57D04"/>
    <w:rsid w:val="00A60A26"/>
    <w:rsid w:val="00A61598"/>
    <w:rsid w:val="00A77604"/>
    <w:rsid w:val="00A84A99"/>
    <w:rsid w:val="00A84F46"/>
    <w:rsid w:val="00A871F4"/>
    <w:rsid w:val="00A92116"/>
    <w:rsid w:val="00AC1B2C"/>
    <w:rsid w:val="00AC3264"/>
    <w:rsid w:val="00AD0DD1"/>
    <w:rsid w:val="00AE1BF1"/>
    <w:rsid w:val="00AF0DD2"/>
    <w:rsid w:val="00B05A74"/>
    <w:rsid w:val="00B10FCC"/>
    <w:rsid w:val="00B13048"/>
    <w:rsid w:val="00B1716D"/>
    <w:rsid w:val="00B17A1D"/>
    <w:rsid w:val="00B207A0"/>
    <w:rsid w:val="00B514DD"/>
    <w:rsid w:val="00B52AF0"/>
    <w:rsid w:val="00B561BD"/>
    <w:rsid w:val="00B56E03"/>
    <w:rsid w:val="00B61529"/>
    <w:rsid w:val="00B8080B"/>
    <w:rsid w:val="00B82223"/>
    <w:rsid w:val="00B87BA5"/>
    <w:rsid w:val="00B87C39"/>
    <w:rsid w:val="00B9562D"/>
    <w:rsid w:val="00BA4665"/>
    <w:rsid w:val="00BB2FB2"/>
    <w:rsid w:val="00BB3304"/>
    <w:rsid w:val="00BD3446"/>
    <w:rsid w:val="00BE1F1B"/>
    <w:rsid w:val="00BE47B5"/>
    <w:rsid w:val="00C25FA6"/>
    <w:rsid w:val="00C469E4"/>
    <w:rsid w:val="00C538A9"/>
    <w:rsid w:val="00C53B5A"/>
    <w:rsid w:val="00C54F5A"/>
    <w:rsid w:val="00C569B4"/>
    <w:rsid w:val="00C67A92"/>
    <w:rsid w:val="00C836EF"/>
    <w:rsid w:val="00C84560"/>
    <w:rsid w:val="00C86679"/>
    <w:rsid w:val="00CA489E"/>
    <w:rsid w:val="00CB0279"/>
    <w:rsid w:val="00CB666B"/>
    <w:rsid w:val="00CC7F1D"/>
    <w:rsid w:val="00CE484B"/>
    <w:rsid w:val="00CF0DEE"/>
    <w:rsid w:val="00D006AE"/>
    <w:rsid w:val="00D01CF0"/>
    <w:rsid w:val="00D0442A"/>
    <w:rsid w:val="00D33B87"/>
    <w:rsid w:val="00D57CA9"/>
    <w:rsid w:val="00D61388"/>
    <w:rsid w:val="00D61A54"/>
    <w:rsid w:val="00D64DEA"/>
    <w:rsid w:val="00D7168E"/>
    <w:rsid w:val="00D71E57"/>
    <w:rsid w:val="00D80893"/>
    <w:rsid w:val="00D84854"/>
    <w:rsid w:val="00D92CF1"/>
    <w:rsid w:val="00D92D38"/>
    <w:rsid w:val="00D950F5"/>
    <w:rsid w:val="00DA055C"/>
    <w:rsid w:val="00DA08E9"/>
    <w:rsid w:val="00DA2B99"/>
    <w:rsid w:val="00DA4752"/>
    <w:rsid w:val="00DA61F3"/>
    <w:rsid w:val="00DB0F93"/>
    <w:rsid w:val="00DB1A67"/>
    <w:rsid w:val="00DB1B0A"/>
    <w:rsid w:val="00DB5074"/>
    <w:rsid w:val="00DC66FA"/>
    <w:rsid w:val="00DC7981"/>
    <w:rsid w:val="00DE1093"/>
    <w:rsid w:val="00DE4EFA"/>
    <w:rsid w:val="00DE5520"/>
    <w:rsid w:val="00DE563D"/>
    <w:rsid w:val="00E04818"/>
    <w:rsid w:val="00E06442"/>
    <w:rsid w:val="00E20CD4"/>
    <w:rsid w:val="00E23993"/>
    <w:rsid w:val="00E25B8C"/>
    <w:rsid w:val="00E32A56"/>
    <w:rsid w:val="00E47A40"/>
    <w:rsid w:val="00E65C85"/>
    <w:rsid w:val="00E66199"/>
    <w:rsid w:val="00E755EC"/>
    <w:rsid w:val="00E7624D"/>
    <w:rsid w:val="00EA3D42"/>
    <w:rsid w:val="00EA49E0"/>
    <w:rsid w:val="00EA6B1B"/>
    <w:rsid w:val="00EB7541"/>
    <w:rsid w:val="00EC04F1"/>
    <w:rsid w:val="00ED7323"/>
    <w:rsid w:val="00EE28F3"/>
    <w:rsid w:val="00EE50D1"/>
    <w:rsid w:val="00EF5110"/>
    <w:rsid w:val="00F10411"/>
    <w:rsid w:val="00F15882"/>
    <w:rsid w:val="00F171E0"/>
    <w:rsid w:val="00F20BD3"/>
    <w:rsid w:val="00F328D9"/>
    <w:rsid w:val="00F373A5"/>
    <w:rsid w:val="00F41ED8"/>
    <w:rsid w:val="00F437C2"/>
    <w:rsid w:val="00F47559"/>
    <w:rsid w:val="00F64C7B"/>
    <w:rsid w:val="00F666FF"/>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 w:val="00FF7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215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energymadeeasy.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energymadeeasy.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4C5BB4F0.dotm</Template>
  <TotalTime>0</TotalTime>
  <Pages>18</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2015-04-27T07:29:00Z</dcterms:created>
  <dcterms:modified xsi:type="dcterms:W3CDTF">2015-04-27T07:30:00Z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