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1953F2D" wp14:editId="45A56C2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5C21A4" w:rsidP="008F07A3">
          <w:pPr>
            <w:pStyle w:val="ReportSubtitle"/>
          </w:pPr>
          <w:r>
            <w:t>Essential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F70078" w:rsidP="008F07A3">
          <w:pPr>
            <w:pStyle w:val="ReportSubtitle"/>
          </w:pPr>
          <w:r>
            <w:t>Attachment 10</w:t>
          </w:r>
          <w:r w:rsidR="0036056C">
            <w:t xml:space="preserve"> –</w:t>
          </w:r>
          <w:r w:rsidR="0036056C" w:rsidRPr="0036056C">
            <w:t xml:space="preserve"> </w:t>
          </w:r>
          <w:r w:rsidRPr="00F70078">
            <w:t>Capital expenditure sharing scheme</w:t>
          </w:r>
        </w:p>
        <w:p w:rsidR="000A6C7B" w:rsidRPr="00327A1E" w:rsidRDefault="00FB1463" w:rsidP="00FB1463">
          <w:pPr>
            <w:pStyle w:val="ReportDate"/>
            <w:tabs>
              <w:tab w:val="center" w:pos="4238"/>
              <w:tab w:val="left" w:pos="5670"/>
            </w:tabs>
            <w:jc w:val="left"/>
          </w:pPr>
          <w:r>
            <w:tab/>
          </w:r>
          <w:r w:rsidR="00DA4752">
            <w:t>April 2015</w:t>
          </w:r>
          <w:r>
            <w:tab/>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5C21A4" w:rsidP="00B9562D">
      <w:pPr>
        <w:pStyle w:val="Copyright"/>
      </w:pPr>
      <w:r>
        <w:t>AER reference:</w:t>
      </w:r>
      <w:r>
        <w:tab/>
        <w:t>54419</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456089"/>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5C21A4">
        <w:t>Essential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45609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3B3121"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456089" w:history="1">
            <w:r w:rsidR="003B3121" w:rsidRPr="00C1772F">
              <w:rPr>
                <w:rStyle w:val="Hyperlink"/>
              </w:rPr>
              <w:t>Note</w:t>
            </w:r>
            <w:r w:rsidR="003B3121">
              <w:rPr>
                <w:webHidden/>
              </w:rPr>
              <w:tab/>
            </w:r>
            <w:r w:rsidR="003B3121">
              <w:rPr>
                <w:webHidden/>
              </w:rPr>
              <w:fldChar w:fldCharType="begin"/>
            </w:r>
            <w:r w:rsidR="003B3121">
              <w:rPr>
                <w:webHidden/>
              </w:rPr>
              <w:instrText xml:space="preserve"> PAGEREF _Toc417456089 \h </w:instrText>
            </w:r>
            <w:r w:rsidR="003B3121">
              <w:rPr>
                <w:webHidden/>
              </w:rPr>
            </w:r>
            <w:r w:rsidR="003B3121">
              <w:rPr>
                <w:webHidden/>
              </w:rPr>
              <w:fldChar w:fldCharType="separate"/>
            </w:r>
            <w:r w:rsidR="003B3121">
              <w:rPr>
                <w:webHidden/>
              </w:rPr>
              <w:t>10-2</w:t>
            </w:r>
            <w:r w:rsidR="003B3121">
              <w:rPr>
                <w:webHidden/>
              </w:rPr>
              <w:fldChar w:fldCharType="end"/>
            </w:r>
          </w:hyperlink>
        </w:p>
        <w:p w:rsidR="003B3121" w:rsidRDefault="0032182F">
          <w:pPr>
            <w:pStyle w:val="TOC1"/>
            <w:rPr>
              <w:rFonts w:asciiTheme="minorHAnsi" w:eastAsiaTheme="minorEastAsia" w:hAnsiTheme="minorHAnsi"/>
              <w:b w:val="0"/>
              <w:color w:val="auto"/>
              <w:sz w:val="22"/>
              <w:lang w:val="en-AU" w:eastAsia="en-AU"/>
            </w:rPr>
          </w:pPr>
          <w:hyperlink w:anchor="_Toc417456090" w:history="1">
            <w:r w:rsidR="003B3121" w:rsidRPr="00C1772F">
              <w:rPr>
                <w:rStyle w:val="Hyperlink"/>
              </w:rPr>
              <w:t>Contents</w:t>
            </w:r>
            <w:r w:rsidR="003B3121">
              <w:rPr>
                <w:webHidden/>
              </w:rPr>
              <w:tab/>
            </w:r>
            <w:r w:rsidR="003B3121">
              <w:rPr>
                <w:webHidden/>
              </w:rPr>
              <w:fldChar w:fldCharType="begin"/>
            </w:r>
            <w:r w:rsidR="003B3121">
              <w:rPr>
                <w:webHidden/>
              </w:rPr>
              <w:instrText xml:space="preserve"> PAGEREF _Toc417456090 \h </w:instrText>
            </w:r>
            <w:r w:rsidR="003B3121">
              <w:rPr>
                <w:webHidden/>
              </w:rPr>
            </w:r>
            <w:r w:rsidR="003B3121">
              <w:rPr>
                <w:webHidden/>
              </w:rPr>
              <w:fldChar w:fldCharType="separate"/>
            </w:r>
            <w:r w:rsidR="003B3121">
              <w:rPr>
                <w:webHidden/>
              </w:rPr>
              <w:t>10-3</w:t>
            </w:r>
            <w:r w:rsidR="003B3121">
              <w:rPr>
                <w:webHidden/>
              </w:rPr>
              <w:fldChar w:fldCharType="end"/>
            </w:r>
          </w:hyperlink>
        </w:p>
        <w:p w:rsidR="003B3121" w:rsidRDefault="0032182F">
          <w:pPr>
            <w:pStyle w:val="TOC1"/>
            <w:rPr>
              <w:rFonts w:asciiTheme="minorHAnsi" w:eastAsiaTheme="minorEastAsia" w:hAnsiTheme="minorHAnsi"/>
              <w:b w:val="0"/>
              <w:color w:val="auto"/>
              <w:sz w:val="22"/>
              <w:lang w:val="en-AU" w:eastAsia="en-AU"/>
            </w:rPr>
          </w:pPr>
          <w:hyperlink w:anchor="_Toc417456091" w:history="1">
            <w:r w:rsidR="003B3121" w:rsidRPr="00C1772F">
              <w:rPr>
                <w:rStyle w:val="Hyperlink"/>
              </w:rPr>
              <w:t>Shortened forms</w:t>
            </w:r>
            <w:r w:rsidR="003B3121">
              <w:rPr>
                <w:webHidden/>
              </w:rPr>
              <w:tab/>
            </w:r>
            <w:r w:rsidR="003B3121">
              <w:rPr>
                <w:webHidden/>
              </w:rPr>
              <w:fldChar w:fldCharType="begin"/>
            </w:r>
            <w:r w:rsidR="003B3121">
              <w:rPr>
                <w:webHidden/>
              </w:rPr>
              <w:instrText xml:space="preserve"> PAGEREF _Toc417456091 \h </w:instrText>
            </w:r>
            <w:r w:rsidR="003B3121">
              <w:rPr>
                <w:webHidden/>
              </w:rPr>
            </w:r>
            <w:r w:rsidR="003B3121">
              <w:rPr>
                <w:webHidden/>
              </w:rPr>
              <w:fldChar w:fldCharType="separate"/>
            </w:r>
            <w:r w:rsidR="003B3121">
              <w:rPr>
                <w:webHidden/>
              </w:rPr>
              <w:t>10-4</w:t>
            </w:r>
            <w:r w:rsidR="003B3121">
              <w:rPr>
                <w:webHidden/>
              </w:rPr>
              <w:fldChar w:fldCharType="end"/>
            </w:r>
          </w:hyperlink>
        </w:p>
        <w:p w:rsidR="003B3121" w:rsidRDefault="0032182F">
          <w:pPr>
            <w:pStyle w:val="TOC1"/>
            <w:rPr>
              <w:rFonts w:asciiTheme="minorHAnsi" w:eastAsiaTheme="minorEastAsia" w:hAnsiTheme="minorHAnsi"/>
              <w:b w:val="0"/>
              <w:color w:val="auto"/>
              <w:sz w:val="22"/>
              <w:lang w:val="en-AU" w:eastAsia="en-AU"/>
            </w:rPr>
          </w:pPr>
          <w:hyperlink w:anchor="_Toc417456092" w:history="1">
            <w:r w:rsidR="003B3121" w:rsidRPr="00C1772F">
              <w:rPr>
                <w:rStyle w:val="Hyperlink"/>
              </w:rPr>
              <w:t>10</w:t>
            </w:r>
            <w:r w:rsidR="003B3121">
              <w:rPr>
                <w:rFonts w:asciiTheme="minorHAnsi" w:eastAsiaTheme="minorEastAsia" w:hAnsiTheme="minorHAnsi"/>
                <w:b w:val="0"/>
                <w:color w:val="auto"/>
                <w:sz w:val="22"/>
                <w:lang w:val="en-AU" w:eastAsia="en-AU"/>
              </w:rPr>
              <w:tab/>
            </w:r>
            <w:r w:rsidR="003B3121" w:rsidRPr="00C1772F">
              <w:rPr>
                <w:rStyle w:val="Hyperlink"/>
              </w:rPr>
              <w:t>Capital expenditure sharing scheme</w:t>
            </w:r>
            <w:r w:rsidR="003B3121">
              <w:rPr>
                <w:webHidden/>
              </w:rPr>
              <w:tab/>
            </w:r>
            <w:r w:rsidR="003B3121">
              <w:rPr>
                <w:webHidden/>
              </w:rPr>
              <w:fldChar w:fldCharType="begin"/>
            </w:r>
            <w:r w:rsidR="003B3121">
              <w:rPr>
                <w:webHidden/>
              </w:rPr>
              <w:instrText xml:space="preserve"> PAGEREF _Toc417456092 \h </w:instrText>
            </w:r>
            <w:r w:rsidR="003B3121">
              <w:rPr>
                <w:webHidden/>
              </w:rPr>
            </w:r>
            <w:r w:rsidR="003B3121">
              <w:rPr>
                <w:webHidden/>
              </w:rPr>
              <w:fldChar w:fldCharType="separate"/>
            </w:r>
            <w:r w:rsidR="003B3121">
              <w:rPr>
                <w:webHidden/>
              </w:rPr>
              <w:t>10-6</w:t>
            </w:r>
            <w:r w:rsidR="003B3121">
              <w:rPr>
                <w:webHidden/>
              </w:rPr>
              <w:fldChar w:fldCharType="end"/>
            </w:r>
          </w:hyperlink>
        </w:p>
        <w:p w:rsidR="003B3121" w:rsidRDefault="0032182F">
          <w:pPr>
            <w:pStyle w:val="TOC2"/>
            <w:tabs>
              <w:tab w:val="left" w:pos="1276"/>
            </w:tabs>
            <w:rPr>
              <w:rFonts w:asciiTheme="minorHAnsi" w:eastAsiaTheme="minorEastAsia" w:hAnsiTheme="minorHAnsi"/>
              <w:b w:val="0"/>
              <w:color w:val="auto"/>
              <w:sz w:val="22"/>
              <w:lang w:eastAsia="en-AU"/>
            </w:rPr>
          </w:pPr>
          <w:hyperlink w:anchor="_Toc417456093" w:history="1">
            <w:r w:rsidR="003B3121" w:rsidRPr="00C1772F">
              <w:rPr>
                <w:rStyle w:val="Hyperlink"/>
              </w:rPr>
              <w:t>10.1</w:t>
            </w:r>
            <w:r w:rsidR="003B3121">
              <w:rPr>
                <w:rFonts w:asciiTheme="minorHAnsi" w:eastAsiaTheme="minorEastAsia" w:hAnsiTheme="minorHAnsi"/>
                <w:b w:val="0"/>
                <w:color w:val="auto"/>
                <w:sz w:val="22"/>
                <w:lang w:eastAsia="en-AU"/>
              </w:rPr>
              <w:tab/>
            </w:r>
            <w:r w:rsidR="003B3121" w:rsidRPr="00C1772F">
              <w:rPr>
                <w:rStyle w:val="Hyperlink"/>
              </w:rPr>
              <w:t>Final decision</w:t>
            </w:r>
            <w:r w:rsidR="003B3121">
              <w:rPr>
                <w:webHidden/>
              </w:rPr>
              <w:tab/>
            </w:r>
            <w:r w:rsidR="003B3121">
              <w:rPr>
                <w:webHidden/>
              </w:rPr>
              <w:fldChar w:fldCharType="begin"/>
            </w:r>
            <w:r w:rsidR="003B3121">
              <w:rPr>
                <w:webHidden/>
              </w:rPr>
              <w:instrText xml:space="preserve"> PAGEREF _Toc417456093 \h </w:instrText>
            </w:r>
            <w:r w:rsidR="003B3121">
              <w:rPr>
                <w:webHidden/>
              </w:rPr>
            </w:r>
            <w:r w:rsidR="003B3121">
              <w:rPr>
                <w:webHidden/>
              </w:rPr>
              <w:fldChar w:fldCharType="separate"/>
            </w:r>
            <w:r w:rsidR="003B3121">
              <w:rPr>
                <w:webHidden/>
              </w:rPr>
              <w:t>10-7</w:t>
            </w:r>
            <w:r w:rsidR="003B3121">
              <w:rPr>
                <w:webHidden/>
              </w:rPr>
              <w:fldChar w:fldCharType="end"/>
            </w:r>
          </w:hyperlink>
        </w:p>
        <w:p w:rsidR="003B3121" w:rsidRDefault="0032182F">
          <w:pPr>
            <w:pStyle w:val="TOC2"/>
            <w:tabs>
              <w:tab w:val="left" w:pos="1276"/>
            </w:tabs>
            <w:rPr>
              <w:rFonts w:asciiTheme="minorHAnsi" w:eastAsiaTheme="minorEastAsia" w:hAnsiTheme="minorHAnsi"/>
              <w:b w:val="0"/>
              <w:color w:val="auto"/>
              <w:sz w:val="22"/>
              <w:lang w:eastAsia="en-AU"/>
            </w:rPr>
          </w:pPr>
          <w:hyperlink w:anchor="_Toc417456094" w:history="1">
            <w:r w:rsidR="003B3121" w:rsidRPr="00C1772F">
              <w:rPr>
                <w:rStyle w:val="Hyperlink"/>
              </w:rPr>
              <w:t>10.2</w:t>
            </w:r>
            <w:r w:rsidR="003B3121">
              <w:rPr>
                <w:rFonts w:asciiTheme="minorHAnsi" w:eastAsiaTheme="minorEastAsia" w:hAnsiTheme="minorHAnsi"/>
                <w:b w:val="0"/>
                <w:color w:val="auto"/>
                <w:sz w:val="22"/>
                <w:lang w:eastAsia="en-AU"/>
              </w:rPr>
              <w:tab/>
            </w:r>
            <w:r w:rsidR="003B3121" w:rsidRPr="00C1772F">
              <w:rPr>
                <w:rStyle w:val="Hyperlink"/>
              </w:rPr>
              <w:t>Essential Energy's revised proposal</w:t>
            </w:r>
            <w:r w:rsidR="003B3121">
              <w:rPr>
                <w:webHidden/>
              </w:rPr>
              <w:tab/>
            </w:r>
            <w:r w:rsidR="003B3121">
              <w:rPr>
                <w:webHidden/>
              </w:rPr>
              <w:fldChar w:fldCharType="begin"/>
            </w:r>
            <w:r w:rsidR="003B3121">
              <w:rPr>
                <w:webHidden/>
              </w:rPr>
              <w:instrText xml:space="preserve"> PAGEREF _Toc417456094 \h </w:instrText>
            </w:r>
            <w:r w:rsidR="003B3121">
              <w:rPr>
                <w:webHidden/>
              </w:rPr>
            </w:r>
            <w:r w:rsidR="003B3121">
              <w:rPr>
                <w:webHidden/>
              </w:rPr>
              <w:fldChar w:fldCharType="separate"/>
            </w:r>
            <w:r w:rsidR="003B3121">
              <w:rPr>
                <w:webHidden/>
              </w:rPr>
              <w:t>10-7</w:t>
            </w:r>
            <w:r w:rsidR="003B3121">
              <w:rPr>
                <w:webHidden/>
              </w:rPr>
              <w:fldChar w:fldCharType="end"/>
            </w:r>
          </w:hyperlink>
        </w:p>
        <w:p w:rsidR="003B3121" w:rsidRDefault="0032182F">
          <w:pPr>
            <w:pStyle w:val="TOC2"/>
            <w:tabs>
              <w:tab w:val="left" w:pos="1276"/>
            </w:tabs>
            <w:rPr>
              <w:rFonts w:asciiTheme="minorHAnsi" w:eastAsiaTheme="minorEastAsia" w:hAnsiTheme="minorHAnsi"/>
              <w:b w:val="0"/>
              <w:color w:val="auto"/>
              <w:sz w:val="22"/>
              <w:lang w:eastAsia="en-AU"/>
            </w:rPr>
          </w:pPr>
          <w:hyperlink w:anchor="_Toc417456095" w:history="1">
            <w:r w:rsidR="003B3121" w:rsidRPr="00C1772F">
              <w:rPr>
                <w:rStyle w:val="Hyperlink"/>
              </w:rPr>
              <w:t>10.3</w:t>
            </w:r>
            <w:r w:rsidR="003B3121">
              <w:rPr>
                <w:rFonts w:asciiTheme="minorHAnsi" w:eastAsiaTheme="minorEastAsia" w:hAnsiTheme="minorHAnsi"/>
                <w:b w:val="0"/>
                <w:color w:val="auto"/>
                <w:sz w:val="22"/>
                <w:lang w:eastAsia="en-AU"/>
              </w:rPr>
              <w:tab/>
            </w:r>
            <w:r w:rsidR="003B3121" w:rsidRPr="00C1772F">
              <w:rPr>
                <w:rStyle w:val="Hyperlink"/>
              </w:rPr>
              <w:t>AER's assessment approach</w:t>
            </w:r>
            <w:r w:rsidR="003B3121">
              <w:rPr>
                <w:webHidden/>
              </w:rPr>
              <w:tab/>
            </w:r>
            <w:r w:rsidR="003B3121">
              <w:rPr>
                <w:webHidden/>
              </w:rPr>
              <w:fldChar w:fldCharType="begin"/>
            </w:r>
            <w:r w:rsidR="003B3121">
              <w:rPr>
                <w:webHidden/>
              </w:rPr>
              <w:instrText xml:space="preserve"> PAGEREF _Toc417456095 \h </w:instrText>
            </w:r>
            <w:r w:rsidR="003B3121">
              <w:rPr>
                <w:webHidden/>
              </w:rPr>
            </w:r>
            <w:r w:rsidR="003B3121">
              <w:rPr>
                <w:webHidden/>
              </w:rPr>
              <w:fldChar w:fldCharType="separate"/>
            </w:r>
            <w:r w:rsidR="003B3121">
              <w:rPr>
                <w:webHidden/>
              </w:rPr>
              <w:t>10-7</w:t>
            </w:r>
            <w:r w:rsidR="003B3121">
              <w:rPr>
                <w:webHidden/>
              </w:rPr>
              <w:fldChar w:fldCharType="end"/>
            </w:r>
          </w:hyperlink>
        </w:p>
        <w:p w:rsidR="003B3121" w:rsidRDefault="0032182F">
          <w:pPr>
            <w:pStyle w:val="TOC3"/>
            <w:rPr>
              <w:rFonts w:asciiTheme="minorHAnsi" w:eastAsiaTheme="minorEastAsia" w:hAnsiTheme="minorHAnsi"/>
              <w:lang w:eastAsia="en-AU"/>
            </w:rPr>
          </w:pPr>
          <w:hyperlink w:anchor="_Toc417456096" w:history="1">
            <w:r w:rsidR="003B3121" w:rsidRPr="00C1772F">
              <w:rPr>
                <w:rStyle w:val="Hyperlink"/>
              </w:rPr>
              <w:t>10.3.1</w:t>
            </w:r>
            <w:r w:rsidR="003B3121">
              <w:rPr>
                <w:rFonts w:asciiTheme="minorHAnsi" w:eastAsiaTheme="minorEastAsia" w:hAnsiTheme="minorHAnsi"/>
                <w:lang w:eastAsia="en-AU"/>
              </w:rPr>
              <w:tab/>
            </w:r>
            <w:r w:rsidR="003B3121" w:rsidRPr="00C1772F">
              <w:rPr>
                <w:rStyle w:val="Hyperlink"/>
              </w:rPr>
              <w:t>Interrelationships</w:t>
            </w:r>
            <w:r w:rsidR="003B3121">
              <w:rPr>
                <w:webHidden/>
              </w:rPr>
              <w:tab/>
            </w:r>
            <w:r w:rsidR="003B3121">
              <w:rPr>
                <w:webHidden/>
              </w:rPr>
              <w:fldChar w:fldCharType="begin"/>
            </w:r>
            <w:r w:rsidR="003B3121">
              <w:rPr>
                <w:webHidden/>
              </w:rPr>
              <w:instrText xml:space="preserve"> PAGEREF _Toc417456096 \h </w:instrText>
            </w:r>
            <w:r w:rsidR="003B3121">
              <w:rPr>
                <w:webHidden/>
              </w:rPr>
            </w:r>
            <w:r w:rsidR="003B3121">
              <w:rPr>
                <w:webHidden/>
              </w:rPr>
              <w:fldChar w:fldCharType="separate"/>
            </w:r>
            <w:r w:rsidR="003B3121">
              <w:rPr>
                <w:webHidden/>
              </w:rPr>
              <w:t>10-7</w:t>
            </w:r>
            <w:r w:rsidR="003B3121">
              <w:rPr>
                <w:webHidden/>
              </w:rPr>
              <w:fldChar w:fldCharType="end"/>
            </w:r>
          </w:hyperlink>
        </w:p>
        <w:p w:rsidR="003B3121" w:rsidRDefault="0032182F">
          <w:pPr>
            <w:pStyle w:val="TOC2"/>
            <w:tabs>
              <w:tab w:val="left" w:pos="1276"/>
            </w:tabs>
            <w:rPr>
              <w:rFonts w:asciiTheme="minorHAnsi" w:eastAsiaTheme="minorEastAsia" w:hAnsiTheme="minorHAnsi"/>
              <w:b w:val="0"/>
              <w:color w:val="auto"/>
              <w:sz w:val="22"/>
              <w:lang w:eastAsia="en-AU"/>
            </w:rPr>
          </w:pPr>
          <w:hyperlink w:anchor="_Toc417456097" w:history="1">
            <w:r w:rsidR="003B3121" w:rsidRPr="00C1772F">
              <w:rPr>
                <w:rStyle w:val="Hyperlink"/>
              </w:rPr>
              <w:t>10.4</w:t>
            </w:r>
            <w:r w:rsidR="003B3121">
              <w:rPr>
                <w:rFonts w:asciiTheme="minorHAnsi" w:eastAsiaTheme="minorEastAsia" w:hAnsiTheme="minorHAnsi"/>
                <w:b w:val="0"/>
                <w:color w:val="auto"/>
                <w:sz w:val="22"/>
                <w:lang w:eastAsia="en-AU"/>
              </w:rPr>
              <w:tab/>
            </w:r>
            <w:r w:rsidR="003B3121" w:rsidRPr="00C1772F">
              <w:rPr>
                <w:rStyle w:val="Hyperlink"/>
              </w:rPr>
              <w:t>Reasons for final decision</w:t>
            </w:r>
            <w:r w:rsidR="003B3121">
              <w:rPr>
                <w:webHidden/>
              </w:rPr>
              <w:tab/>
            </w:r>
            <w:r w:rsidR="003B3121">
              <w:rPr>
                <w:webHidden/>
              </w:rPr>
              <w:fldChar w:fldCharType="begin"/>
            </w:r>
            <w:r w:rsidR="003B3121">
              <w:rPr>
                <w:webHidden/>
              </w:rPr>
              <w:instrText xml:space="preserve"> PAGEREF _Toc417456097 \h </w:instrText>
            </w:r>
            <w:r w:rsidR="003B3121">
              <w:rPr>
                <w:webHidden/>
              </w:rPr>
            </w:r>
            <w:r w:rsidR="003B3121">
              <w:rPr>
                <w:webHidden/>
              </w:rPr>
              <w:fldChar w:fldCharType="separate"/>
            </w:r>
            <w:r w:rsidR="003B3121">
              <w:rPr>
                <w:webHidden/>
              </w:rPr>
              <w:t>10-8</w:t>
            </w:r>
            <w:r w:rsidR="003B3121">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456091"/>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431DD0">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A43848" w:rsidTr="00A43848">
        <w:tc>
          <w:tcPr>
            <w:tcW w:w="4349" w:type="dxa"/>
          </w:tcPr>
          <w:p w:rsidR="00A43848" w:rsidRPr="00A43848" w:rsidRDefault="00A43848" w:rsidP="00A43848">
            <w:pPr>
              <w:numPr>
                <w:ilvl w:val="0"/>
                <w:numId w:val="25"/>
              </w:numPr>
            </w:pPr>
            <w:r w:rsidRPr="00A43848">
              <w:t>AEMC</w:t>
            </w:r>
          </w:p>
        </w:tc>
        <w:tc>
          <w:tcPr>
            <w:tcW w:w="4344" w:type="dxa"/>
          </w:tcPr>
          <w:p w:rsidR="00A43848" w:rsidRPr="00A43848" w:rsidRDefault="00A43848" w:rsidP="00A43848">
            <w:pPr>
              <w:numPr>
                <w:ilvl w:val="0"/>
                <w:numId w:val="25"/>
              </w:numPr>
            </w:pPr>
            <w:r w:rsidRPr="00A43848">
              <w:t>Australian Energy Market Commission</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AEMO</w:t>
            </w:r>
          </w:p>
        </w:tc>
        <w:tc>
          <w:tcPr>
            <w:tcW w:w="4344" w:type="dxa"/>
          </w:tcPr>
          <w:p w:rsidR="00A43848" w:rsidRPr="00A43848" w:rsidRDefault="00A43848" w:rsidP="00A43848">
            <w:pPr>
              <w:numPr>
                <w:ilvl w:val="0"/>
                <w:numId w:val="25"/>
              </w:numPr>
            </w:pPr>
            <w:r w:rsidRPr="00A43848">
              <w:t>Australian Energy Market Operator</w:t>
            </w:r>
          </w:p>
        </w:tc>
      </w:tr>
      <w:tr w:rsidR="00A43848" w:rsidTr="00A43848">
        <w:tc>
          <w:tcPr>
            <w:tcW w:w="4349" w:type="dxa"/>
          </w:tcPr>
          <w:p w:rsidR="00A43848" w:rsidRPr="00A43848" w:rsidRDefault="00A43848" w:rsidP="00A43848">
            <w:pPr>
              <w:numPr>
                <w:ilvl w:val="0"/>
                <w:numId w:val="25"/>
              </w:numPr>
            </w:pPr>
            <w:r w:rsidRPr="00A43848">
              <w:t>AER</w:t>
            </w:r>
          </w:p>
        </w:tc>
        <w:tc>
          <w:tcPr>
            <w:tcW w:w="4344" w:type="dxa"/>
          </w:tcPr>
          <w:p w:rsidR="00A43848" w:rsidRPr="00A43848" w:rsidRDefault="00A43848" w:rsidP="00A43848">
            <w:pPr>
              <w:numPr>
                <w:ilvl w:val="0"/>
                <w:numId w:val="25"/>
              </w:numPr>
            </w:pPr>
            <w:r w:rsidRPr="00A43848">
              <w:t>Australian Energy Regulator</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augex</w:t>
            </w:r>
          </w:p>
        </w:tc>
        <w:tc>
          <w:tcPr>
            <w:tcW w:w="4344" w:type="dxa"/>
          </w:tcPr>
          <w:p w:rsidR="00A43848" w:rsidRPr="00A43848" w:rsidRDefault="00A43848" w:rsidP="00A43848">
            <w:pPr>
              <w:numPr>
                <w:ilvl w:val="0"/>
                <w:numId w:val="25"/>
              </w:numPr>
            </w:pPr>
            <w:r w:rsidRPr="00A43848">
              <w:t>augmentation expenditure</w:t>
            </w:r>
          </w:p>
        </w:tc>
      </w:tr>
      <w:tr w:rsidR="00A43848" w:rsidTr="00A43848">
        <w:tc>
          <w:tcPr>
            <w:tcW w:w="4349" w:type="dxa"/>
          </w:tcPr>
          <w:p w:rsidR="00A43848" w:rsidRPr="00A43848" w:rsidRDefault="00A43848" w:rsidP="00A43848">
            <w:pPr>
              <w:numPr>
                <w:ilvl w:val="0"/>
                <w:numId w:val="25"/>
              </w:numPr>
            </w:pPr>
            <w:r w:rsidRPr="00A43848">
              <w:t>capex</w:t>
            </w:r>
          </w:p>
        </w:tc>
        <w:tc>
          <w:tcPr>
            <w:tcW w:w="4344" w:type="dxa"/>
          </w:tcPr>
          <w:p w:rsidR="00A43848" w:rsidRPr="00A43848" w:rsidRDefault="00A43848" w:rsidP="00A43848">
            <w:pPr>
              <w:numPr>
                <w:ilvl w:val="0"/>
                <w:numId w:val="25"/>
              </w:numPr>
            </w:pPr>
            <w:r w:rsidRPr="00A43848">
              <w:t>capital expenditure</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CCP</w:t>
            </w:r>
          </w:p>
        </w:tc>
        <w:tc>
          <w:tcPr>
            <w:tcW w:w="4344" w:type="dxa"/>
          </w:tcPr>
          <w:p w:rsidR="00A43848" w:rsidRPr="00A43848" w:rsidRDefault="00A43848" w:rsidP="00A43848">
            <w:pPr>
              <w:numPr>
                <w:ilvl w:val="0"/>
                <w:numId w:val="25"/>
              </w:numPr>
            </w:pPr>
            <w:r w:rsidRPr="00A43848">
              <w:t>Consumer Challenge Panel</w:t>
            </w:r>
          </w:p>
        </w:tc>
      </w:tr>
      <w:tr w:rsidR="00A43848" w:rsidTr="00A43848">
        <w:tc>
          <w:tcPr>
            <w:tcW w:w="4349" w:type="dxa"/>
          </w:tcPr>
          <w:p w:rsidR="00A43848" w:rsidRPr="00A43848" w:rsidRDefault="00A43848" w:rsidP="00A43848">
            <w:pPr>
              <w:numPr>
                <w:ilvl w:val="0"/>
                <w:numId w:val="25"/>
              </w:numPr>
            </w:pPr>
            <w:r w:rsidRPr="00A43848">
              <w:t>CESS</w:t>
            </w:r>
          </w:p>
        </w:tc>
        <w:tc>
          <w:tcPr>
            <w:tcW w:w="4344" w:type="dxa"/>
          </w:tcPr>
          <w:p w:rsidR="00A43848" w:rsidRPr="00A43848" w:rsidRDefault="00A43848" w:rsidP="00A43848">
            <w:pPr>
              <w:numPr>
                <w:ilvl w:val="0"/>
                <w:numId w:val="25"/>
              </w:numPr>
            </w:pPr>
            <w:r w:rsidRPr="00A43848">
              <w:t>capital expenditure sharing scheme</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CPI</w:t>
            </w:r>
          </w:p>
        </w:tc>
        <w:tc>
          <w:tcPr>
            <w:tcW w:w="4344" w:type="dxa"/>
          </w:tcPr>
          <w:p w:rsidR="00A43848" w:rsidRPr="00A43848" w:rsidRDefault="00A43848" w:rsidP="00A43848">
            <w:pPr>
              <w:numPr>
                <w:ilvl w:val="0"/>
                <w:numId w:val="25"/>
              </w:numPr>
            </w:pPr>
            <w:r w:rsidRPr="00A43848">
              <w:t>consumer price index</w:t>
            </w:r>
          </w:p>
        </w:tc>
      </w:tr>
      <w:tr w:rsidR="00A43848" w:rsidTr="00A43848">
        <w:tc>
          <w:tcPr>
            <w:tcW w:w="4349" w:type="dxa"/>
          </w:tcPr>
          <w:p w:rsidR="00A43848" w:rsidRPr="00A43848" w:rsidRDefault="00A43848" w:rsidP="00A43848">
            <w:pPr>
              <w:numPr>
                <w:ilvl w:val="0"/>
                <w:numId w:val="25"/>
              </w:numPr>
            </w:pPr>
            <w:r w:rsidRPr="00A43848">
              <w:t>DRP</w:t>
            </w:r>
          </w:p>
        </w:tc>
        <w:tc>
          <w:tcPr>
            <w:tcW w:w="4344" w:type="dxa"/>
          </w:tcPr>
          <w:p w:rsidR="00A43848" w:rsidRPr="00A43848" w:rsidRDefault="00A43848" w:rsidP="00A43848">
            <w:pPr>
              <w:numPr>
                <w:ilvl w:val="0"/>
                <w:numId w:val="25"/>
              </w:numPr>
            </w:pPr>
            <w:r w:rsidRPr="00A43848">
              <w:t>debt risk premium</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DMIA</w:t>
            </w:r>
          </w:p>
        </w:tc>
        <w:tc>
          <w:tcPr>
            <w:tcW w:w="4344" w:type="dxa"/>
          </w:tcPr>
          <w:p w:rsidR="00A43848" w:rsidRPr="00A43848" w:rsidRDefault="00A43848" w:rsidP="00A43848">
            <w:pPr>
              <w:numPr>
                <w:ilvl w:val="0"/>
                <w:numId w:val="25"/>
              </w:numPr>
            </w:pPr>
            <w:r w:rsidRPr="00A43848">
              <w:t>demand management innovation allowance</w:t>
            </w:r>
          </w:p>
        </w:tc>
      </w:tr>
      <w:tr w:rsidR="00A43848" w:rsidTr="00A43848">
        <w:tc>
          <w:tcPr>
            <w:tcW w:w="4349" w:type="dxa"/>
          </w:tcPr>
          <w:p w:rsidR="00A43848" w:rsidRPr="00A43848" w:rsidRDefault="00A43848" w:rsidP="00A43848">
            <w:pPr>
              <w:numPr>
                <w:ilvl w:val="0"/>
                <w:numId w:val="25"/>
              </w:numPr>
            </w:pPr>
            <w:r w:rsidRPr="00A43848">
              <w:t>DMIS</w:t>
            </w:r>
          </w:p>
        </w:tc>
        <w:tc>
          <w:tcPr>
            <w:tcW w:w="4344" w:type="dxa"/>
          </w:tcPr>
          <w:p w:rsidR="00A43848" w:rsidRPr="00A43848" w:rsidRDefault="00A43848" w:rsidP="00A43848">
            <w:pPr>
              <w:numPr>
                <w:ilvl w:val="0"/>
                <w:numId w:val="25"/>
              </w:numPr>
            </w:pPr>
            <w:r w:rsidRPr="00A43848">
              <w:t>demand management incentive scheme</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distributor</w:t>
            </w:r>
          </w:p>
        </w:tc>
        <w:tc>
          <w:tcPr>
            <w:tcW w:w="4344" w:type="dxa"/>
          </w:tcPr>
          <w:p w:rsidR="00A43848" w:rsidRPr="00A43848" w:rsidRDefault="00A43848" w:rsidP="00A43848">
            <w:pPr>
              <w:numPr>
                <w:ilvl w:val="0"/>
                <w:numId w:val="25"/>
              </w:numPr>
            </w:pPr>
            <w:r w:rsidRPr="00A43848">
              <w:t>distribution network service provider</w:t>
            </w:r>
          </w:p>
        </w:tc>
      </w:tr>
      <w:tr w:rsidR="00A43848" w:rsidTr="00A43848">
        <w:tc>
          <w:tcPr>
            <w:tcW w:w="4349" w:type="dxa"/>
          </w:tcPr>
          <w:p w:rsidR="00A43848" w:rsidRPr="00A43848" w:rsidRDefault="00A43848" w:rsidP="00A43848">
            <w:pPr>
              <w:numPr>
                <w:ilvl w:val="0"/>
                <w:numId w:val="25"/>
              </w:numPr>
            </w:pPr>
            <w:r w:rsidRPr="00A43848">
              <w:t>DUoS</w:t>
            </w:r>
          </w:p>
        </w:tc>
        <w:tc>
          <w:tcPr>
            <w:tcW w:w="4344" w:type="dxa"/>
          </w:tcPr>
          <w:p w:rsidR="00A43848" w:rsidRPr="00A43848" w:rsidRDefault="00A43848" w:rsidP="00A43848">
            <w:pPr>
              <w:numPr>
                <w:ilvl w:val="0"/>
                <w:numId w:val="25"/>
              </w:numPr>
            </w:pPr>
            <w:r w:rsidRPr="00A43848">
              <w:t>distribution use of system</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EBSS</w:t>
            </w:r>
          </w:p>
        </w:tc>
        <w:tc>
          <w:tcPr>
            <w:tcW w:w="4344" w:type="dxa"/>
          </w:tcPr>
          <w:p w:rsidR="00A43848" w:rsidRPr="00A43848" w:rsidRDefault="00A43848" w:rsidP="00A43848">
            <w:pPr>
              <w:numPr>
                <w:ilvl w:val="0"/>
                <w:numId w:val="25"/>
              </w:numPr>
            </w:pPr>
            <w:r w:rsidRPr="00A43848">
              <w:t>efficiency benefit sharing scheme</w:t>
            </w:r>
          </w:p>
        </w:tc>
      </w:tr>
      <w:tr w:rsidR="00A43848" w:rsidTr="00A43848">
        <w:tc>
          <w:tcPr>
            <w:tcW w:w="4349" w:type="dxa"/>
          </w:tcPr>
          <w:p w:rsidR="00A43848" w:rsidRPr="00A43848" w:rsidRDefault="00A43848" w:rsidP="00A43848">
            <w:pPr>
              <w:numPr>
                <w:ilvl w:val="0"/>
                <w:numId w:val="25"/>
              </w:numPr>
            </w:pPr>
            <w:r w:rsidRPr="00A43848">
              <w:t>ERP</w:t>
            </w:r>
          </w:p>
        </w:tc>
        <w:tc>
          <w:tcPr>
            <w:tcW w:w="4344" w:type="dxa"/>
          </w:tcPr>
          <w:p w:rsidR="00A43848" w:rsidRPr="00A43848" w:rsidRDefault="00A43848" w:rsidP="00A43848">
            <w:pPr>
              <w:numPr>
                <w:ilvl w:val="0"/>
                <w:numId w:val="25"/>
              </w:numPr>
            </w:pPr>
            <w:r w:rsidRPr="00A43848">
              <w:t>equity risk premium</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Expenditure Assessment Guideline</w:t>
            </w:r>
          </w:p>
        </w:tc>
        <w:tc>
          <w:tcPr>
            <w:tcW w:w="4344" w:type="dxa"/>
          </w:tcPr>
          <w:p w:rsidR="00A43848" w:rsidRPr="00A43848" w:rsidRDefault="00A43848" w:rsidP="00A43848">
            <w:pPr>
              <w:numPr>
                <w:ilvl w:val="0"/>
                <w:numId w:val="25"/>
              </w:numPr>
            </w:pPr>
            <w:r w:rsidRPr="00A43848">
              <w:t>expenditure forecast assessment Guideline for electricity distribution</w:t>
            </w:r>
          </w:p>
        </w:tc>
      </w:tr>
      <w:tr w:rsidR="00A43848" w:rsidTr="00A43848">
        <w:tc>
          <w:tcPr>
            <w:tcW w:w="4349" w:type="dxa"/>
          </w:tcPr>
          <w:p w:rsidR="00A43848" w:rsidRPr="00A43848" w:rsidRDefault="00A43848" w:rsidP="00A43848">
            <w:pPr>
              <w:numPr>
                <w:ilvl w:val="0"/>
                <w:numId w:val="25"/>
              </w:numPr>
            </w:pPr>
            <w:r w:rsidRPr="00A43848">
              <w:t>F&amp;A</w:t>
            </w:r>
          </w:p>
        </w:tc>
        <w:tc>
          <w:tcPr>
            <w:tcW w:w="4344" w:type="dxa"/>
          </w:tcPr>
          <w:p w:rsidR="00A43848" w:rsidRPr="00A43848" w:rsidRDefault="00A43848" w:rsidP="00A43848">
            <w:pPr>
              <w:numPr>
                <w:ilvl w:val="0"/>
                <w:numId w:val="25"/>
              </w:numPr>
            </w:pPr>
            <w:r w:rsidRPr="00A43848">
              <w:t>framework and approach</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MRP</w:t>
            </w:r>
          </w:p>
        </w:tc>
        <w:tc>
          <w:tcPr>
            <w:tcW w:w="4344" w:type="dxa"/>
          </w:tcPr>
          <w:p w:rsidR="00A43848" w:rsidRPr="00A43848" w:rsidRDefault="00A43848" w:rsidP="00A43848">
            <w:pPr>
              <w:numPr>
                <w:ilvl w:val="0"/>
                <w:numId w:val="25"/>
              </w:numPr>
            </w:pPr>
            <w:r w:rsidRPr="00A43848">
              <w:t>market risk premium</w:t>
            </w:r>
          </w:p>
        </w:tc>
      </w:tr>
      <w:tr w:rsidR="00A43848" w:rsidTr="00A43848">
        <w:tc>
          <w:tcPr>
            <w:tcW w:w="4349" w:type="dxa"/>
          </w:tcPr>
          <w:p w:rsidR="00A43848" w:rsidRPr="00A43848" w:rsidRDefault="00A43848" w:rsidP="00A43848">
            <w:pPr>
              <w:numPr>
                <w:ilvl w:val="0"/>
                <w:numId w:val="25"/>
              </w:numPr>
            </w:pPr>
            <w:r w:rsidRPr="00A43848">
              <w:t>NEL</w:t>
            </w:r>
          </w:p>
        </w:tc>
        <w:tc>
          <w:tcPr>
            <w:tcW w:w="4344" w:type="dxa"/>
          </w:tcPr>
          <w:p w:rsidR="00A43848" w:rsidRPr="00A43848" w:rsidRDefault="00A43848" w:rsidP="00A43848">
            <w:pPr>
              <w:numPr>
                <w:ilvl w:val="0"/>
                <w:numId w:val="25"/>
              </w:numPr>
            </w:pPr>
            <w:r w:rsidRPr="00A43848">
              <w:t>national electricity law</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NEM</w:t>
            </w:r>
          </w:p>
        </w:tc>
        <w:tc>
          <w:tcPr>
            <w:tcW w:w="4344" w:type="dxa"/>
          </w:tcPr>
          <w:p w:rsidR="00A43848" w:rsidRPr="00A43848" w:rsidRDefault="00A43848" w:rsidP="00A43848">
            <w:pPr>
              <w:numPr>
                <w:ilvl w:val="0"/>
                <w:numId w:val="25"/>
              </w:numPr>
            </w:pPr>
            <w:r w:rsidRPr="00A43848">
              <w:t>national electricity market</w:t>
            </w:r>
          </w:p>
        </w:tc>
      </w:tr>
      <w:tr w:rsidR="00A43848" w:rsidTr="00A43848">
        <w:tc>
          <w:tcPr>
            <w:tcW w:w="4349" w:type="dxa"/>
          </w:tcPr>
          <w:p w:rsidR="00A43848" w:rsidRPr="00A43848" w:rsidRDefault="00A43848" w:rsidP="00A43848">
            <w:pPr>
              <w:numPr>
                <w:ilvl w:val="0"/>
                <w:numId w:val="25"/>
              </w:numPr>
            </w:pPr>
            <w:r w:rsidRPr="00A43848">
              <w:t>NEO</w:t>
            </w:r>
          </w:p>
        </w:tc>
        <w:tc>
          <w:tcPr>
            <w:tcW w:w="4344" w:type="dxa"/>
          </w:tcPr>
          <w:p w:rsidR="00A43848" w:rsidRPr="00A43848" w:rsidRDefault="00A43848" w:rsidP="00A43848">
            <w:pPr>
              <w:numPr>
                <w:ilvl w:val="0"/>
                <w:numId w:val="25"/>
              </w:numPr>
            </w:pPr>
            <w:r w:rsidRPr="00A43848">
              <w:t>national electricity objective</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NER</w:t>
            </w:r>
          </w:p>
        </w:tc>
        <w:tc>
          <w:tcPr>
            <w:tcW w:w="4344" w:type="dxa"/>
          </w:tcPr>
          <w:p w:rsidR="00A43848" w:rsidRPr="00A43848" w:rsidRDefault="00A43848" w:rsidP="00A43848">
            <w:pPr>
              <w:numPr>
                <w:ilvl w:val="0"/>
                <w:numId w:val="25"/>
              </w:numPr>
            </w:pPr>
            <w:r w:rsidRPr="00A43848">
              <w:t>national electricity rules</w:t>
            </w:r>
          </w:p>
        </w:tc>
      </w:tr>
      <w:tr w:rsidR="00A43848" w:rsidTr="00A43848">
        <w:tc>
          <w:tcPr>
            <w:tcW w:w="4349" w:type="dxa"/>
          </w:tcPr>
          <w:p w:rsidR="00A43848" w:rsidRPr="00A43848" w:rsidRDefault="00A43848" w:rsidP="00A43848">
            <w:pPr>
              <w:numPr>
                <w:ilvl w:val="0"/>
                <w:numId w:val="25"/>
              </w:numPr>
            </w:pPr>
            <w:r w:rsidRPr="00A43848">
              <w:t>NSP</w:t>
            </w:r>
          </w:p>
        </w:tc>
        <w:tc>
          <w:tcPr>
            <w:tcW w:w="4344" w:type="dxa"/>
          </w:tcPr>
          <w:p w:rsidR="00A43848" w:rsidRPr="00A43848" w:rsidRDefault="00A43848" w:rsidP="00A43848">
            <w:pPr>
              <w:numPr>
                <w:ilvl w:val="0"/>
                <w:numId w:val="25"/>
              </w:numPr>
            </w:pPr>
            <w:r w:rsidRPr="00A43848">
              <w:t>network service provider</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proofErr w:type="spellStart"/>
            <w:r w:rsidRPr="00A43848">
              <w:t>opex</w:t>
            </w:r>
            <w:proofErr w:type="spellEnd"/>
          </w:p>
        </w:tc>
        <w:tc>
          <w:tcPr>
            <w:tcW w:w="4344" w:type="dxa"/>
          </w:tcPr>
          <w:p w:rsidR="00A43848" w:rsidRPr="00A43848" w:rsidRDefault="00A43848" w:rsidP="00A43848">
            <w:pPr>
              <w:numPr>
                <w:ilvl w:val="0"/>
                <w:numId w:val="25"/>
              </w:numPr>
            </w:pPr>
            <w:r w:rsidRPr="00A43848">
              <w:t>operating expenditure</w:t>
            </w:r>
          </w:p>
        </w:tc>
      </w:tr>
      <w:tr w:rsidR="00A43848" w:rsidTr="00A43848">
        <w:tc>
          <w:tcPr>
            <w:tcW w:w="4349" w:type="dxa"/>
          </w:tcPr>
          <w:p w:rsidR="00A43848" w:rsidRPr="00A43848" w:rsidRDefault="00A43848" w:rsidP="00A43848">
            <w:pPr>
              <w:numPr>
                <w:ilvl w:val="0"/>
                <w:numId w:val="25"/>
              </w:numPr>
            </w:pPr>
            <w:r w:rsidRPr="00A43848">
              <w:t>PPI</w:t>
            </w:r>
          </w:p>
        </w:tc>
        <w:tc>
          <w:tcPr>
            <w:tcW w:w="4344" w:type="dxa"/>
          </w:tcPr>
          <w:p w:rsidR="00A43848" w:rsidRPr="00A43848" w:rsidRDefault="00A43848" w:rsidP="00A43848">
            <w:pPr>
              <w:numPr>
                <w:ilvl w:val="0"/>
                <w:numId w:val="25"/>
              </w:numPr>
            </w:pPr>
            <w:r w:rsidRPr="00A43848">
              <w:t>partial performance indicators</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PTRM</w:t>
            </w:r>
          </w:p>
        </w:tc>
        <w:tc>
          <w:tcPr>
            <w:tcW w:w="4344" w:type="dxa"/>
          </w:tcPr>
          <w:p w:rsidR="00A43848" w:rsidRPr="00A43848" w:rsidRDefault="00A43848" w:rsidP="00A43848">
            <w:pPr>
              <w:numPr>
                <w:ilvl w:val="0"/>
                <w:numId w:val="25"/>
              </w:numPr>
            </w:pPr>
            <w:r w:rsidRPr="00A43848">
              <w:t>post-tax revenue model</w:t>
            </w:r>
          </w:p>
        </w:tc>
      </w:tr>
      <w:tr w:rsidR="00A43848" w:rsidTr="00A43848">
        <w:tc>
          <w:tcPr>
            <w:tcW w:w="4349" w:type="dxa"/>
          </w:tcPr>
          <w:p w:rsidR="00A43848" w:rsidRPr="00A43848" w:rsidRDefault="00A43848" w:rsidP="00A43848">
            <w:pPr>
              <w:numPr>
                <w:ilvl w:val="0"/>
                <w:numId w:val="25"/>
              </w:numPr>
            </w:pPr>
            <w:r w:rsidRPr="00A43848">
              <w:t>RAB</w:t>
            </w:r>
          </w:p>
        </w:tc>
        <w:tc>
          <w:tcPr>
            <w:tcW w:w="4344" w:type="dxa"/>
          </w:tcPr>
          <w:p w:rsidR="00A43848" w:rsidRPr="00A43848" w:rsidRDefault="00A43848" w:rsidP="00A43848">
            <w:pPr>
              <w:numPr>
                <w:ilvl w:val="0"/>
                <w:numId w:val="25"/>
              </w:numPr>
            </w:pPr>
            <w:r w:rsidRPr="00A43848">
              <w:t>regulatory asset base</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RBA</w:t>
            </w:r>
          </w:p>
        </w:tc>
        <w:tc>
          <w:tcPr>
            <w:tcW w:w="4344" w:type="dxa"/>
          </w:tcPr>
          <w:p w:rsidR="00A43848" w:rsidRPr="00A43848" w:rsidRDefault="00A43848" w:rsidP="00A43848">
            <w:pPr>
              <w:numPr>
                <w:ilvl w:val="0"/>
                <w:numId w:val="25"/>
              </w:numPr>
            </w:pPr>
            <w:r w:rsidRPr="00A43848">
              <w:t>Reserve Bank of Australia</w:t>
            </w:r>
          </w:p>
        </w:tc>
      </w:tr>
      <w:tr w:rsidR="00A43848" w:rsidTr="00A43848">
        <w:tc>
          <w:tcPr>
            <w:tcW w:w="4349" w:type="dxa"/>
          </w:tcPr>
          <w:p w:rsidR="00A43848" w:rsidRPr="00A43848" w:rsidRDefault="00A43848" w:rsidP="00A43848">
            <w:pPr>
              <w:numPr>
                <w:ilvl w:val="0"/>
                <w:numId w:val="25"/>
              </w:numPr>
            </w:pPr>
            <w:r w:rsidRPr="00A43848">
              <w:t>repex</w:t>
            </w:r>
          </w:p>
        </w:tc>
        <w:tc>
          <w:tcPr>
            <w:tcW w:w="4344" w:type="dxa"/>
          </w:tcPr>
          <w:p w:rsidR="00A43848" w:rsidRPr="00A43848" w:rsidRDefault="00A43848" w:rsidP="00A43848">
            <w:pPr>
              <w:numPr>
                <w:ilvl w:val="0"/>
                <w:numId w:val="25"/>
              </w:numPr>
            </w:pPr>
            <w:r w:rsidRPr="00A43848">
              <w:t>replacement expenditure</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RFM</w:t>
            </w:r>
          </w:p>
        </w:tc>
        <w:tc>
          <w:tcPr>
            <w:tcW w:w="4344" w:type="dxa"/>
          </w:tcPr>
          <w:p w:rsidR="00A43848" w:rsidRPr="00A43848" w:rsidRDefault="00A43848" w:rsidP="00A43848">
            <w:pPr>
              <w:numPr>
                <w:ilvl w:val="0"/>
                <w:numId w:val="25"/>
              </w:numPr>
            </w:pPr>
            <w:r w:rsidRPr="00A43848">
              <w:t>roll forward model</w:t>
            </w:r>
          </w:p>
        </w:tc>
      </w:tr>
      <w:tr w:rsidR="00A43848" w:rsidTr="00A43848">
        <w:tc>
          <w:tcPr>
            <w:tcW w:w="4349" w:type="dxa"/>
          </w:tcPr>
          <w:p w:rsidR="00A43848" w:rsidRPr="00A43848" w:rsidRDefault="00A43848" w:rsidP="00A43848">
            <w:pPr>
              <w:numPr>
                <w:ilvl w:val="0"/>
                <w:numId w:val="25"/>
              </w:numPr>
            </w:pPr>
            <w:r w:rsidRPr="00A43848">
              <w:lastRenderedPageBreak/>
              <w:t>RIN</w:t>
            </w:r>
          </w:p>
        </w:tc>
        <w:tc>
          <w:tcPr>
            <w:tcW w:w="4344" w:type="dxa"/>
          </w:tcPr>
          <w:p w:rsidR="00A43848" w:rsidRPr="00A43848" w:rsidRDefault="00A43848" w:rsidP="00A43848">
            <w:pPr>
              <w:numPr>
                <w:ilvl w:val="0"/>
                <w:numId w:val="25"/>
              </w:numPr>
            </w:pPr>
            <w:r w:rsidRPr="00A43848">
              <w:t>regulatory information notice</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RPP</w:t>
            </w:r>
          </w:p>
        </w:tc>
        <w:tc>
          <w:tcPr>
            <w:tcW w:w="4344" w:type="dxa"/>
          </w:tcPr>
          <w:p w:rsidR="00A43848" w:rsidRPr="00A43848" w:rsidRDefault="00A43848" w:rsidP="00A43848">
            <w:pPr>
              <w:numPr>
                <w:ilvl w:val="0"/>
                <w:numId w:val="25"/>
              </w:numPr>
            </w:pPr>
            <w:r w:rsidRPr="00A43848">
              <w:t>revenue and pricing principles</w:t>
            </w:r>
          </w:p>
        </w:tc>
      </w:tr>
      <w:tr w:rsidR="00A43848" w:rsidTr="00A43848">
        <w:tc>
          <w:tcPr>
            <w:tcW w:w="4349" w:type="dxa"/>
          </w:tcPr>
          <w:p w:rsidR="00A43848" w:rsidRPr="00A43848" w:rsidRDefault="00A43848" w:rsidP="00A43848">
            <w:pPr>
              <w:numPr>
                <w:ilvl w:val="0"/>
                <w:numId w:val="25"/>
              </w:numPr>
            </w:pPr>
            <w:r w:rsidRPr="00A43848">
              <w:t>SAIDI</w:t>
            </w:r>
          </w:p>
        </w:tc>
        <w:tc>
          <w:tcPr>
            <w:tcW w:w="4344" w:type="dxa"/>
          </w:tcPr>
          <w:p w:rsidR="00A43848" w:rsidRPr="00A43848" w:rsidRDefault="00A43848" w:rsidP="00A43848">
            <w:pPr>
              <w:numPr>
                <w:ilvl w:val="0"/>
                <w:numId w:val="25"/>
              </w:numPr>
            </w:pPr>
            <w:r w:rsidRPr="00A43848">
              <w:t>system average interruption duration index</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SAIFI</w:t>
            </w:r>
          </w:p>
        </w:tc>
        <w:tc>
          <w:tcPr>
            <w:tcW w:w="4344" w:type="dxa"/>
          </w:tcPr>
          <w:p w:rsidR="00A43848" w:rsidRPr="00A43848" w:rsidRDefault="00A43848" w:rsidP="00A43848">
            <w:pPr>
              <w:numPr>
                <w:ilvl w:val="0"/>
                <w:numId w:val="25"/>
              </w:numPr>
            </w:pPr>
            <w:r w:rsidRPr="00A43848">
              <w:t>system average interruption frequency index</w:t>
            </w:r>
          </w:p>
        </w:tc>
      </w:tr>
      <w:tr w:rsidR="00A43848" w:rsidTr="00A43848">
        <w:tc>
          <w:tcPr>
            <w:tcW w:w="4349" w:type="dxa"/>
          </w:tcPr>
          <w:p w:rsidR="00A43848" w:rsidRPr="00A43848" w:rsidRDefault="00A43848" w:rsidP="00A43848">
            <w:pPr>
              <w:numPr>
                <w:ilvl w:val="0"/>
                <w:numId w:val="25"/>
              </w:numPr>
            </w:pPr>
            <w:r w:rsidRPr="00A43848">
              <w:t>SLCAPM</w:t>
            </w:r>
          </w:p>
        </w:tc>
        <w:tc>
          <w:tcPr>
            <w:tcW w:w="4344" w:type="dxa"/>
          </w:tcPr>
          <w:p w:rsidR="00A43848" w:rsidRPr="00A43848" w:rsidRDefault="00A43848" w:rsidP="00A43848">
            <w:pPr>
              <w:numPr>
                <w:ilvl w:val="0"/>
                <w:numId w:val="25"/>
              </w:numPr>
            </w:pPr>
            <w:r w:rsidRPr="00A43848">
              <w:t>Sharpe-</w:t>
            </w:r>
            <w:proofErr w:type="spellStart"/>
            <w:r w:rsidRPr="00A43848">
              <w:t>Lintner</w:t>
            </w:r>
            <w:proofErr w:type="spellEnd"/>
            <w:r w:rsidRPr="00A43848">
              <w:t xml:space="preserve"> capital asset pricing model</w:t>
            </w:r>
          </w:p>
        </w:tc>
      </w:tr>
      <w:tr w:rsidR="00A43848" w:rsidTr="00A43848">
        <w:trPr>
          <w:cnfStyle w:val="000000010000" w:firstRow="0" w:lastRow="0" w:firstColumn="0" w:lastColumn="0" w:oddVBand="0" w:evenVBand="0" w:oddHBand="0" w:evenHBand="1" w:firstRowFirstColumn="0" w:firstRowLastColumn="0" w:lastRowFirstColumn="0" w:lastRowLastColumn="0"/>
        </w:trPr>
        <w:tc>
          <w:tcPr>
            <w:tcW w:w="4349" w:type="dxa"/>
          </w:tcPr>
          <w:p w:rsidR="00A43848" w:rsidRPr="00A43848" w:rsidRDefault="00A43848" w:rsidP="00A43848">
            <w:pPr>
              <w:numPr>
                <w:ilvl w:val="0"/>
                <w:numId w:val="25"/>
              </w:numPr>
            </w:pPr>
            <w:r w:rsidRPr="00A43848">
              <w:t>STPIS</w:t>
            </w:r>
          </w:p>
        </w:tc>
        <w:tc>
          <w:tcPr>
            <w:tcW w:w="4344" w:type="dxa"/>
          </w:tcPr>
          <w:p w:rsidR="00A43848" w:rsidRPr="00A43848" w:rsidRDefault="00A43848" w:rsidP="00A43848">
            <w:pPr>
              <w:numPr>
                <w:ilvl w:val="0"/>
                <w:numId w:val="25"/>
              </w:numPr>
            </w:pPr>
            <w:r w:rsidRPr="00A43848">
              <w:t>service target performance incentive scheme</w:t>
            </w:r>
          </w:p>
        </w:tc>
      </w:tr>
      <w:tr w:rsidR="00A43848" w:rsidTr="00A43848">
        <w:tc>
          <w:tcPr>
            <w:tcW w:w="4349" w:type="dxa"/>
          </w:tcPr>
          <w:p w:rsidR="00A43848" w:rsidRPr="00A43848" w:rsidRDefault="00A43848" w:rsidP="00A43848">
            <w:pPr>
              <w:numPr>
                <w:ilvl w:val="0"/>
                <w:numId w:val="25"/>
              </w:numPr>
            </w:pPr>
            <w:r w:rsidRPr="00A43848">
              <w:t>WACC</w:t>
            </w:r>
          </w:p>
        </w:tc>
        <w:tc>
          <w:tcPr>
            <w:tcW w:w="4344" w:type="dxa"/>
          </w:tcPr>
          <w:p w:rsidR="00A43848" w:rsidRPr="00A43848" w:rsidRDefault="00A43848" w:rsidP="00A43848">
            <w:pPr>
              <w:numPr>
                <w:ilvl w:val="0"/>
                <w:numId w:val="25"/>
              </w:numPr>
            </w:pPr>
            <w:r w:rsidRPr="00A43848">
              <w:t>weighted average cost of capital</w:t>
            </w:r>
          </w:p>
        </w:tc>
      </w:tr>
    </w:tbl>
    <w:p w:rsidR="00DE563D" w:rsidRPr="00436A39" w:rsidRDefault="00DE563D" w:rsidP="00DE563D">
      <w:pPr>
        <w:numPr>
          <w:ilvl w:val="0"/>
          <w:numId w:val="25"/>
        </w:numPr>
      </w:pPr>
    </w:p>
    <w:p w:rsidR="00915617" w:rsidRDefault="00915617" w:rsidP="00915617">
      <w:pPr>
        <w:pStyle w:val="Heading1"/>
      </w:pPr>
      <w:bookmarkStart w:id="10" w:name="_Toc417455815"/>
      <w:r>
        <w:lastRenderedPageBreak/>
        <w:t xml:space="preserve"> </w:t>
      </w:r>
      <w:bookmarkStart w:id="11" w:name="_Toc417456092"/>
      <w:r w:rsidRPr="00EB606C">
        <w:t>Capital expenditure sharing scheme</w:t>
      </w:r>
      <w:bookmarkEnd w:id="10"/>
      <w:bookmarkEnd w:id="11"/>
    </w:p>
    <w:p w:rsidR="00915617" w:rsidRPr="00120BAA" w:rsidRDefault="00915617" w:rsidP="00915617">
      <w:r w:rsidRPr="00120BAA">
        <w:t xml:space="preserve">The capital expenditure sharing scheme (CESS) provides financial rewards for </w:t>
      </w:r>
      <w:r>
        <w:t>distributor</w:t>
      </w:r>
      <w:r w:rsidRPr="00120BAA">
        <w:t xml:space="preserve">s whose capex becomes more efficient and financial penalties for those that become less efficient. Consumers benefit from improved efficiency through lower regulated prices. This attachment sets out how we will apply the CESS to </w:t>
      </w:r>
      <w:r>
        <w:t>Essential Energy</w:t>
      </w:r>
      <w:r w:rsidRPr="00120BAA">
        <w:t xml:space="preserve"> in the 2015</w:t>
      </w:r>
      <w:r w:rsidRPr="00120BAA">
        <w:softHyphen/>
        <w:t xml:space="preserve">–19 regulatory control period. </w:t>
      </w:r>
    </w:p>
    <w:p w:rsidR="00915617" w:rsidRDefault="00915617" w:rsidP="00915617">
      <w:pPr>
        <w:numPr>
          <w:ilvl w:val="0"/>
          <w:numId w:val="25"/>
        </w:numPr>
      </w:pPr>
      <w:r>
        <w:t xml:space="preserve">As part of the </w:t>
      </w:r>
      <w:r w:rsidRPr="0037766C">
        <w:t xml:space="preserve">Better Regulation program we consulted on and published version 1 of the </w:t>
      </w:r>
      <w:r>
        <w:t xml:space="preserve">capital expenditure </w:t>
      </w:r>
      <w:r w:rsidRPr="0037766C">
        <w:t xml:space="preserve">incentive guideline </w:t>
      </w:r>
      <w:r>
        <w:t xml:space="preserve">(capex incentive guideline), </w:t>
      </w:r>
      <w:r w:rsidRPr="0037766C">
        <w:t>which sets out the CESS.</w:t>
      </w:r>
      <w:r w:rsidRPr="0037766C">
        <w:rPr>
          <w:rStyle w:val="FootnoteReference"/>
        </w:rPr>
        <w:footnoteReference w:id="1"/>
      </w:r>
      <w:r>
        <w:t xml:space="preserve"> T</w:t>
      </w:r>
      <w:r w:rsidRPr="00D62AE7">
        <w:t xml:space="preserve">he </w:t>
      </w:r>
      <w:r>
        <w:t>CE</w:t>
      </w:r>
      <w:r w:rsidRPr="00D62AE7">
        <w:t xml:space="preserve">SS </w:t>
      </w:r>
      <w:r>
        <w:t>approximates</w:t>
      </w:r>
      <w:r w:rsidRPr="00D62AE7">
        <w:t xml:space="preserve"> efficiency gains </w:t>
      </w:r>
      <w:r>
        <w:t xml:space="preserve">and </w:t>
      </w:r>
      <w:r w:rsidRPr="00D62AE7">
        <w:t>efficiency losses</w:t>
      </w:r>
      <w:r>
        <w:t xml:space="preserve"> by calculating the difference between forecast and actual capex. It shares these </w:t>
      </w:r>
      <w:r w:rsidRPr="00D62AE7">
        <w:t>gains or losses between</w:t>
      </w:r>
      <w:r>
        <w:t xml:space="preserve"> distributors and consumers. </w:t>
      </w:r>
    </w:p>
    <w:p w:rsidR="00915617" w:rsidRDefault="00915617" w:rsidP="00915617">
      <w:pPr>
        <w:numPr>
          <w:ilvl w:val="0"/>
          <w:numId w:val="25"/>
        </w:numPr>
      </w:pPr>
      <w:r>
        <w:t xml:space="preserve">The CESS works as follows: </w:t>
      </w:r>
    </w:p>
    <w:p w:rsidR="00915617" w:rsidRPr="00120BAA" w:rsidRDefault="00915617" w:rsidP="00915617">
      <w:pPr>
        <w:pStyle w:val="AERbulletlistfirststyle"/>
      </w:pPr>
      <w:r>
        <w:t xml:space="preserve">We calculate the cumulative underspend or overspend for the current regulatory control period in net present value terms. </w:t>
      </w:r>
    </w:p>
    <w:p w:rsidR="00915617" w:rsidRPr="00120BAA" w:rsidRDefault="00915617" w:rsidP="00915617">
      <w:pPr>
        <w:pStyle w:val="AERbulletlistfirststyle"/>
      </w:pPr>
      <w:r>
        <w:t>We apply the sharing ratio of 30 per cent to the cumulative underspend or overspend to work out what the distributor</w:t>
      </w:r>
      <w:r w:rsidRPr="00120BAA">
        <w:t xml:space="preserve">'s share of </w:t>
      </w:r>
      <w:proofErr w:type="gramStart"/>
      <w:r w:rsidRPr="00120BAA">
        <w:t>the underspend</w:t>
      </w:r>
      <w:proofErr w:type="gramEnd"/>
      <w:r w:rsidRPr="00120BAA">
        <w:t xml:space="preserve"> or overspend should be.</w:t>
      </w:r>
    </w:p>
    <w:p w:rsidR="00915617" w:rsidRPr="00120BAA" w:rsidRDefault="00915617" w:rsidP="00915617">
      <w:pPr>
        <w:pStyle w:val="AERbulletlistfirststyle"/>
      </w:pPr>
      <w:r>
        <w:t>We calculate the CESS payments taking into account the financing benefit or cost to the distributor</w:t>
      </w:r>
      <w:r w:rsidRPr="00120BAA">
        <w:t xml:space="preserve"> of </w:t>
      </w:r>
      <w:proofErr w:type="gramStart"/>
      <w:r w:rsidRPr="00120BAA">
        <w:t>the underspends</w:t>
      </w:r>
      <w:proofErr w:type="gramEnd"/>
      <w:r w:rsidRPr="00120BAA">
        <w:t xml:space="preserve"> or overspends.</w:t>
      </w:r>
      <w:r w:rsidRPr="00120BAA">
        <w:rPr>
          <w:rStyle w:val="FootnoteReference"/>
        </w:rPr>
        <w:footnoteReference w:id="2"/>
      </w:r>
      <w:r w:rsidRPr="00120BAA">
        <w:t xml:space="preserve"> We can also make further adjustments to account for deferral of capex and ex post exclusions of capex from the RAB.</w:t>
      </w:r>
      <w:r w:rsidRPr="00120BAA">
        <w:rPr>
          <w:rStyle w:val="FootnoteReference"/>
        </w:rPr>
        <w:footnoteReference w:id="3"/>
      </w:r>
      <w:r w:rsidRPr="00120BAA">
        <w:t xml:space="preserve"> </w:t>
      </w:r>
    </w:p>
    <w:p w:rsidR="00915617" w:rsidRPr="00120BAA" w:rsidRDefault="00915617" w:rsidP="00915617">
      <w:pPr>
        <w:pStyle w:val="AERbulletlistfirststyle"/>
      </w:pPr>
      <w:r>
        <w:t>The CESS payments will be added or subtracted to the distributor</w:t>
      </w:r>
      <w:r w:rsidRPr="00120BAA">
        <w:t>'s regulated revenue as a separate building block in the next regulatory control period.</w:t>
      </w:r>
    </w:p>
    <w:p w:rsidR="00915617" w:rsidRDefault="00915617" w:rsidP="00915617">
      <w:pPr>
        <w:numPr>
          <w:ilvl w:val="0"/>
          <w:numId w:val="25"/>
        </w:numPr>
      </w:pPr>
      <w:r>
        <w:t xml:space="preserve">Under the CESS a distributor retains 30 per cent of </w:t>
      </w:r>
      <w:proofErr w:type="gramStart"/>
      <w:r>
        <w:t>an underspend</w:t>
      </w:r>
      <w:proofErr w:type="gramEnd"/>
      <w:r>
        <w:t xml:space="preserve"> or overspend, while consumers retain 70 per cent of the underspend on overspend. This means that for a one dollar saving in capex the distributor</w:t>
      </w:r>
      <w:r w:rsidRPr="004903FE" w:rsidDel="001F2206">
        <w:t xml:space="preserve"> </w:t>
      </w:r>
      <w:r>
        <w:t xml:space="preserve">keeps 30 cents of the benefit while consumers keep 70 cents of the benefit. </w:t>
      </w:r>
    </w:p>
    <w:p w:rsidR="00915617" w:rsidRPr="00527DFC" w:rsidRDefault="00915617" w:rsidP="00915617">
      <w:bookmarkStart w:id="12" w:name="_Toc390936443"/>
      <w:bookmarkStart w:id="13" w:name="_Toc404363422"/>
      <w:r>
        <w:br w:type="page"/>
      </w:r>
    </w:p>
    <w:p w:rsidR="00915617" w:rsidRPr="00120BAA" w:rsidRDefault="00915617" w:rsidP="00915617">
      <w:pPr>
        <w:pStyle w:val="Heading2"/>
      </w:pPr>
      <w:r>
        <w:lastRenderedPageBreak/>
        <w:t xml:space="preserve"> </w:t>
      </w:r>
      <w:bookmarkStart w:id="14" w:name="_Toc417318180"/>
      <w:bookmarkStart w:id="15" w:name="_Toc417455816"/>
      <w:bookmarkStart w:id="16" w:name="_Toc417456093"/>
      <w:r>
        <w:t>Final</w:t>
      </w:r>
      <w:r w:rsidRPr="00120BAA">
        <w:t xml:space="preserve"> decision</w:t>
      </w:r>
      <w:bookmarkEnd w:id="12"/>
      <w:bookmarkEnd w:id="13"/>
      <w:bookmarkEnd w:id="14"/>
      <w:bookmarkEnd w:id="15"/>
      <w:bookmarkEnd w:id="16"/>
    </w:p>
    <w:p w:rsidR="00915617" w:rsidRPr="00B449B8" w:rsidRDefault="00915617" w:rsidP="00915617">
      <w:r>
        <w:t xml:space="preserve">We will </w:t>
      </w:r>
      <w:r w:rsidRPr="00120BAA">
        <w:t xml:space="preserve">apply the CESS as set out in version 1 of the capital expenditure incentives guideline to </w:t>
      </w:r>
      <w:r>
        <w:t>Essential Energy</w:t>
      </w:r>
      <w:r w:rsidRPr="00120BAA">
        <w:t xml:space="preserve"> in</w:t>
      </w:r>
      <w:r w:rsidRPr="008526D5">
        <w:t xml:space="preserve"> the 2015</w:t>
      </w:r>
      <w:r w:rsidRPr="00DF6CC5">
        <w:t xml:space="preserve">–19 regulatory control </w:t>
      </w:r>
      <w:proofErr w:type="gramStart"/>
      <w:r w:rsidRPr="00DF6CC5">
        <w:t>period</w:t>
      </w:r>
      <w:proofErr w:type="gramEnd"/>
      <w:r>
        <w:t>.</w:t>
      </w:r>
      <w:r w:rsidRPr="0037766C">
        <w:rPr>
          <w:rStyle w:val="FootnoteReference"/>
        </w:rPr>
        <w:footnoteReference w:id="4"/>
      </w:r>
      <w:r>
        <w:t xml:space="preserve"> This is consistent with the proposed approach we set out in our framework and approach paper.</w:t>
      </w:r>
      <w:r>
        <w:rPr>
          <w:rStyle w:val="FootnoteReference"/>
        </w:rPr>
        <w:footnoteReference w:id="5"/>
      </w:r>
      <w:r>
        <w:t xml:space="preserve"> </w:t>
      </w:r>
    </w:p>
    <w:p w:rsidR="00915617" w:rsidRPr="00120BAA" w:rsidRDefault="00915617" w:rsidP="00915617">
      <w:pPr>
        <w:pStyle w:val="Heading2"/>
      </w:pPr>
      <w:bookmarkStart w:id="17" w:name="_Toc390936444"/>
      <w:bookmarkStart w:id="18" w:name="_Toc404363423"/>
      <w:r>
        <w:t xml:space="preserve"> </w:t>
      </w:r>
      <w:bookmarkStart w:id="19" w:name="_Toc417318181"/>
      <w:bookmarkStart w:id="20" w:name="_Toc417455817"/>
      <w:bookmarkStart w:id="21" w:name="_Toc417456094"/>
      <w:r>
        <w:t>Essential Energy</w:t>
      </w:r>
      <w:r w:rsidRPr="00120BAA">
        <w:t>'s revised proposal</w:t>
      </w:r>
      <w:bookmarkEnd w:id="17"/>
      <w:bookmarkEnd w:id="18"/>
      <w:bookmarkEnd w:id="19"/>
      <w:bookmarkEnd w:id="20"/>
      <w:bookmarkEnd w:id="21"/>
    </w:p>
    <w:p w:rsidR="00915617" w:rsidRPr="00120BAA" w:rsidRDefault="00915617" w:rsidP="00915617">
      <w:r>
        <w:t xml:space="preserve">Essential Energy's revised proposal was based </w:t>
      </w:r>
      <w:r w:rsidRPr="00120BAA">
        <w:t>on</w:t>
      </w:r>
      <w:r>
        <w:t xml:space="preserve"> the outcomes of other elements of our final decision. Essential Energy assumed based on our draft decision that </w:t>
      </w:r>
      <w:r w:rsidRPr="002C3FA3">
        <w:t xml:space="preserve">no expenditure will be subject to the </w:t>
      </w:r>
      <w:r>
        <w:t xml:space="preserve">Efficiency Benefit Sharing Scheme (EBSS) </w:t>
      </w:r>
      <w:r w:rsidRPr="002C3FA3">
        <w:t>during the 201</w:t>
      </w:r>
      <w:r>
        <w:t>5–</w:t>
      </w:r>
      <w:r w:rsidRPr="002C3FA3">
        <w:t xml:space="preserve">19 </w:t>
      </w:r>
      <w:r>
        <w:t xml:space="preserve">regulatory control </w:t>
      </w:r>
      <w:r w:rsidRPr="002C3FA3">
        <w:t>period.</w:t>
      </w:r>
      <w:r>
        <w:t xml:space="preserve"> Based on this, i</w:t>
      </w:r>
      <w:r w:rsidRPr="00120BAA">
        <w:t xml:space="preserve">f </w:t>
      </w:r>
      <w:r>
        <w:t xml:space="preserve">we did </w:t>
      </w:r>
      <w:r w:rsidRPr="00120BAA">
        <w:t xml:space="preserve">not accept </w:t>
      </w:r>
      <w:r>
        <w:t xml:space="preserve">Essential Energy's revised capex and instead substituted a lower amount, Essential Energy was of the view that the </w:t>
      </w:r>
      <w:r w:rsidRPr="00120BAA">
        <w:t xml:space="preserve">CESS </w:t>
      </w:r>
      <w:r>
        <w:t xml:space="preserve">would not </w:t>
      </w:r>
      <w:r w:rsidRPr="00120BAA">
        <w:t>provide a symmetric incentive and therefore should not apply.</w:t>
      </w:r>
      <w:r>
        <w:rPr>
          <w:rStyle w:val="FootnoteReference"/>
        </w:rPr>
        <w:footnoteReference w:id="6"/>
      </w:r>
    </w:p>
    <w:p w:rsidR="00915617" w:rsidRPr="00120BAA" w:rsidRDefault="00915617" w:rsidP="00915617">
      <w:pPr>
        <w:pStyle w:val="Heading2"/>
      </w:pPr>
      <w:bookmarkStart w:id="22" w:name="_Toc390936445"/>
      <w:bookmarkStart w:id="23" w:name="_Toc404363424"/>
      <w:r>
        <w:t xml:space="preserve"> </w:t>
      </w:r>
      <w:bookmarkStart w:id="24" w:name="_Toc417318182"/>
      <w:bookmarkStart w:id="25" w:name="_Toc417455818"/>
      <w:bookmarkStart w:id="26" w:name="_Toc417456095"/>
      <w:r>
        <w:t>AER's assessment approach</w:t>
      </w:r>
      <w:bookmarkEnd w:id="22"/>
      <w:bookmarkEnd w:id="23"/>
      <w:bookmarkEnd w:id="24"/>
      <w:bookmarkEnd w:id="25"/>
      <w:bookmarkEnd w:id="26"/>
    </w:p>
    <w:p w:rsidR="00915617" w:rsidRDefault="00915617" w:rsidP="00915617">
      <w:pPr>
        <w:numPr>
          <w:ilvl w:val="0"/>
          <w:numId w:val="25"/>
        </w:numPr>
        <w:rPr>
          <w:rStyle w:val="AERbody"/>
        </w:rPr>
      </w:pPr>
      <w:r>
        <w:rPr>
          <w:rStyle w:val="AERbody"/>
        </w:rPr>
        <w:t>In deciding whether to apply a CESS to a distributor, and the nature and details of any CESS to apply to a distributor,</w:t>
      </w:r>
      <w:r>
        <w:t xml:space="preserve"> we </w:t>
      </w:r>
      <w:r>
        <w:rPr>
          <w:rStyle w:val="AERbody"/>
        </w:rPr>
        <w:t>must:</w:t>
      </w:r>
      <w:r w:rsidRPr="00411022">
        <w:rPr>
          <w:rStyle w:val="FootnoteReference"/>
        </w:rPr>
        <w:footnoteReference w:id="7"/>
      </w:r>
    </w:p>
    <w:p w:rsidR="00915617" w:rsidRPr="00120BAA" w:rsidRDefault="00915617" w:rsidP="00915617">
      <w:pPr>
        <w:pStyle w:val="AERbulletlistfirststyle"/>
      </w:pPr>
      <w:r>
        <w:rPr>
          <w:rStyle w:val="AERbody"/>
        </w:rPr>
        <w:t xml:space="preserve">make that decision in a manner </w:t>
      </w:r>
      <w:r w:rsidRPr="00120BAA">
        <w:t>that contributes to the capex incentive objective</w:t>
      </w:r>
      <w:r w:rsidRPr="00120BAA">
        <w:rPr>
          <w:rStyle w:val="FootnoteReference"/>
        </w:rPr>
        <w:footnoteReference w:id="8"/>
      </w:r>
    </w:p>
    <w:p w:rsidR="00915617" w:rsidRPr="00120BAA" w:rsidRDefault="00915617" w:rsidP="00915617">
      <w:pPr>
        <w:pStyle w:val="AERbulletlistfirststyle"/>
      </w:pPr>
      <w:proofErr w:type="gramStart"/>
      <w:r>
        <w:t>take</w:t>
      </w:r>
      <w:proofErr w:type="gramEnd"/>
      <w:r>
        <w:t xml:space="preserve"> into account</w:t>
      </w:r>
      <w:r w:rsidRPr="00120BAA">
        <w:t xml:space="preserve"> the CESS principles,</w:t>
      </w:r>
      <w:r w:rsidRPr="00120BAA">
        <w:rPr>
          <w:rStyle w:val="FootnoteReference"/>
        </w:rPr>
        <w:footnoteReference w:id="9"/>
      </w:r>
      <w:r w:rsidRPr="00120BAA">
        <w:t xml:space="preserve"> the </w:t>
      </w:r>
      <w:r w:rsidRPr="00120BAA">
        <w:rPr>
          <w:rStyle w:val="AERbody"/>
        </w:rPr>
        <w:t>capex objectives,</w:t>
      </w:r>
      <w:r w:rsidRPr="00120BAA">
        <w:rPr>
          <w:rStyle w:val="FootnoteReference"/>
        </w:rPr>
        <w:footnoteReference w:id="10"/>
      </w:r>
      <w:r w:rsidRPr="00120BAA">
        <w:rPr>
          <w:rStyle w:val="AERtextitalic"/>
        </w:rPr>
        <w:t xml:space="preserve"> </w:t>
      </w:r>
      <w:r w:rsidRPr="00120BAA">
        <w:t>other incentive schemes, and, where relevant the</w:t>
      </w:r>
      <w:r w:rsidRPr="00120BAA">
        <w:rPr>
          <w:rStyle w:val="AERtextitalic"/>
        </w:rPr>
        <w:t xml:space="preserve"> </w:t>
      </w:r>
      <w:proofErr w:type="spellStart"/>
      <w:r w:rsidRPr="00120BAA">
        <w:rPr>
          <w:rStyle w:val="AERbody"/>
        </w:rPr>
        <w:t>opex</w:t>
      </w:r>
      <w:proofErr w:type="spellEnd"/>
      <w:r w:rsidRPr="00120BAA">
        <w:rPr>
          <w:rStyle w:val="AERbody"/>
        </w:rPr>
        <w:t xml:space="preserve"> objectives,</w:t>
      </w:r>
      <w:r w:rsidRPr="00120BAA">
        <w:rPr>
          <w:rStyle w:val="AERtextitalic"/>
        </w:rPr>
        <w:t xml:space="preserve"> </w:t>
      </w:r>
      <w:r w:rsidRPr="00120BAA">
        <w:t xml:space="preserve">as they apply to the particular </w:t>
      </w:r>
      <w:r>
        <w:t>distributor</w:t>
      </w:r>
      <w:r w:rsidRPr="00120BAA">
        <w:t xml:space="preserve">, and the circumstances of the </w:t>
      </w:r>
      <w:r>
        <w:t>distributor</w:t>
      </w:r>
      <w:r w:rsidRPr="00120BAA">
        <w:t>.</w:t>
      </w:r>
    </w:p>
    <w:p w:rsidR="00915617" w:rsidRDefault="00915617" w:rsidP="00915617">
      <w:pPr>
        <w:numPr>
          <w:ilvl w:val="0"/>
          <w:numId w:val="25"/>
        </w:numPr>
      </w:pPr>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915617" w:rsidRPr="00120BAA" w:rsidRDefault="00915617" w:rsidP="00915617">
      <w:pPr>
        <w:pStyle w:val="Heading3"/>
      </w:pPr>
      <w:bookmarkStart w:id="27" w:name="_Toc390936446"/>
      <w:bookmarkStart w:id="28" w:name="_Toc404363425"/>
      <w:r>
        <w:t xml:space="preserve"> </w:t>
      </w:r>
      <w:bookmarkStart w:id="29" w:name="_Toc417318183"/>
      <w:bookmarkStart w:id="30" w:name="_Toc417455819"/>
      <w:bookmarkStart w:id="31" w:name="_Toc417456096"/>
      <w:r w:rsidRPr="00E94C06">
        <w:t>Interrelationships</w:t>
      </w:r>
      <w:bookmarkEnd w:id="27"/>
      <w:bookmarkEnd w:id="28"/>
      <w:bookmarkEnd w:id="29"/>
      <w:bookmarkEnd w:id="30"/>
      <w:bookmarkEnd w:id="31"/>
      <w:r w:rsidRPr="00E94C06">
        <w:t xml:space="preserve"> </w:t>
      </w:r>
    </w:p>
    <w:p w:rsidR="00915617" w:rsidRDefault="00915617" w:rsidP="00915617">
      <w:pPr>
        <w:numPr>
          <w:ilvl w:val="0"/>
          <w:numId w:val="25"/>
        </w:numPr>
      </w:pPr>
      <w:r>
        <w:t xml:space="preserve">The CESS relates to other incentives Essential Energy faces to incur efficient </w:t>
      </w:r>
      <w:proofErr w:type="spellStart"/>
      <w:r>
        <w:t>opex</w:t>
      </w:r>
      <w:proofErr w:type="spellEnd"/>
      <w:r>
        <w:t>, conduct demand management, and maintain or improve service levels.</w:t>
      </w:r>
      <w:r>
        <w:rPr>
          <w:rStyle w:val="FootnoteReference"/>
        </w:rPr>
        <w:footnoteReference w:id="11"/>
      </w:r>
      <w:r>
        <w:t xml:space="preserve"> We aim to incentivise distributors </w:t>
      </w:r>
      <w:r w:rsidRPr="00F9085C">
        <w:t>to make efficient decisions on when and what type of expenditure to incur, and to balance expenditure efficiencies with service quality.</w:t>
      </w:r>
      <w:r>
        <w:t xml:space="preserve"> We </w:t>
      </w:r>
      <w:r>
        <w:lastRenderedPageBreak/>
        <w:t xml:space="preserve">discuss these interrelationships where relevant as part of our reasons below and in our capex attachment. </w:t>
      </w:r>
    </w:p>
    <w:p w:rsidR="00915617" w:rsidRPr="00120BAA" w:rsidRDefault="00915617" w:rsidP="00915617">
      <w:pPr>
        <w:pStyle w:val="Heading2"/>
      </w:pPr>
      <w:bookmarkStart w:id="32" w:name="_Toc390936447"/>
      <w:bookmarkStart w:id="33" w:name="_Toc404363426"/>
      <w:r>
        <w:t xml:space="preserve"> </w:t>
      </w:r>
      <w:bookmarkStart w:id="34" w:name="_Toc417318184"/>
      <w:bookmarkStart w:id="35" w:name="_Toc417455820"/>
      <w:bookmarkStart w:id="36" w:name="_Toc417456097"/>
      <w:r>
        <w:t>Reasons for final decision</w:t>
      </w:r>
      <w:bookmarkEnd w:id="32"/>
      <w:bookmarkEnd w:id="33"/>
      <w:bookmarkEnd w:id="34"/>
      <w:bookmarkEnd w:id="35"/>
      <w:bookmarkEnd w:id="36"/>
    </w:p>
    <w:p w:rsidR="00915617" w:rsidRPr="00120BAA" w:rsidRDefault="00915617" w:rsidP="00915617">
      <w:r w:rsidRPr="00120BAA">
        <w:t xml:space="preserve">We </w:t>
      </w:r>
      <w:r>
        <w:t>do not accept</w:t>
      </w:r>
      <w:r w:rsidRPr="00120BAA">
        <w:t xml:space="preserve"> </w:t>
      </w:r>
      <w:r>
        <w:t>Essential Energy</w:t>
      </w:r>
      <w:r w:rsidRPr="00120BAA">
        <w:t xml:space="preserve">'s </w:t>
      </w:r>
      <w:r>
        <w:t xml:space="preserve">revised </w:t>
      </w:r>
      <w:r w:rsidRPr="00120BAA">
        <w:t xml:space="preserve">proposal </w:t>
      </w:r>
      <w:r>
        <w:t xml:space="preserve">that we should not apply the </w:t>
      </w:r>
      <w:r w:rsidRPr="00120BAA">
        <w:t>CESS</w:t>
      </w:r>
      <w:r>
        <w:t xml:space="preserve"> based on our decision that </w:t>
      </w:r>
      <w:r w:rsidRPr="002C3FA3">
        <w:t xml:space="preserve">no expenditure will be subject to the </w:t>
      </w:r>
      <w:r>
        <w:t xml:space="preserve">EBSS </w:t>
      </w:r>
      <w:r w:rsidRPr="002C3FA3">
        <w:t>during the 201</w:t>
      </w:r>
      <w:r>
        <w:t>5–</w:t>
      </w:r>
      <w:r w:rsidRPr="002C3FA3">
        <w:t>19 period</w:t>
      </w:r>
      <w:r>
        <w:t>, and where we do not accept Essential Energy's revised capex forecast and have substituted a lower amount of total forecast capex.</w:t>
      </w:r>
    </w:p>
    <w:p w:rsidR="00915617" w:rsidRDefault="00915617" w:rsidP="00915617">
      <w:r w:rsidRPr="00120BAA">
        <w:t xml:space="preserve">In deciding how to apply the CESS to </w:t>
      </w:r>
      <w:r>
        <w:t>Essential Energy</w:t>
      </w:r>
      <w:r w:rsidRPr="00120BAA">
        <w:t xml:space="preserve"> we have taken into account our </w:t>
      </w:r>
      <w:r>
        <w:t xml:space="preserve">final </w:t>
      </w:r>
      <w:r w:rsidRPr="00120BAA">
        <w:t xml:space="preserve">decision that no expenditure will be subject to the EBSS during the 2015–19 </w:t>
      </w:r>
      <w:r>
        <w:t xml:space="preserve">regulatory control </w:t>
      </w:r>
      <w:r w:rsidRPr="00120BAA">
        <w:t>period.</w:t>
      </w:r>
      <w:r>
        <w:t xml:space="preserve"> This is based on the relationship between a revealed cost forecasting approach and the EBSS. </w:t>
      </w:r>
      <w:r w:rsidRPr="002F5D76">
        <w:t xml:space="preserve">The EBSS is intrinsically linked to the revealed cost forecasting approach for </w:t>
      </w:r>
      <w:proofErr w:type="spellStart"/>
      <w:r w:rsidRPr="002F5D76">
        <w:t>opex</w:t>
      </w:r>
      <w:proofErr w:type="spellEnd"/>
      <w:r w:rsidRPr="002F5D76">
        <w:t>.</w:t>
      </w:r>
      <w:r>
        <w:t xml:space="preserve"> We outlined in our draft decision that </w:t>
      </w:r>
      <w:r w:rsidRPr="002F5D76">
        <w:t xml:space="preserve">we are </w:t>
      </w:r>
      <w:r>
        <w:t>un</w:t>
      </w:r>
      <w:r w:rsidRPr="002F5D76">
        <w:t xml:space="preserve">likely to rely on </w:t>
      </w:r>
      <w:r>
        <w:t>Essential Energy</w:t>
      </w:r>
      <w:r w:rsidRPr="002F5D76">
        <w:t>'s revealed costs in</w:t>
      </w:r>
      <w:r>
        <w:t xml:space="preserve"> </w:t>
      </w:r>
      <w:r w:rsidRPr="002F5D76">
        <w:t xml:space="preserve">the 2014–19 period in forecasting </w:t>
      </w:r>
      <w:proofErr w:type="spellStart"/>
      <w:r w:rsidRPr="002F5D76">
        <w:t>opex</w:t>
      </w:r>
      <w:proofErr w:type="spellEnd"/>
      <w:r w:rsidRPr="002F5D76">
        <w:t xml:space="preserve"> in the following regulatory control </w:t>
      </w:r>
      <w:r w:rsidRPr="00E3755A">
        <w:t>period</w:t>
      </w:r>
      <w:r w:rsidRPr="002F5D76">
        <w:t>.</w:t>
      </w:r>
      <w:r>
        <w:t xml:space="preserve"> </w:t>
      </w:r>
      <w:r w:rsidRPr="002F5D76">
        <w:t xml:space="preserve">If we do not use a revealed costs approach </w:t>
      </w:r>
      <w:r>
        <w:t>and instead use an exogenous approach such as benchmarking to</w:t>
      </w:r>
      <w:r w:rsidRPr="002F5D76">
        <w:t xml:space="preserve"> forecast </w:t>
      </w:r>
      <w:proofErr w:type="spellStart"/>
      <w:r w:rsidRPr="002F5D76">
        <w:t>opex</w:t>
      </w:r>
      <w:proofErr w:type="spellEnd"/>
      <w:r w:rsidRPr="002F5D76">
        <w:t xml:space="preserve"> in the future, there is not a strong</w:t>
      </w:r>
      <w:r>
        <w:t xml:space="preserve"> </w:t>
      </w:r>
      <w:r w:rsidRPr="002F5D76">
        <w:t>reason to apply the current version of the EBSS.</w:t>
      </w:r>
      <w:r>
        <w:rPr>
          <w:rStyle w:val="FootnoteReference"/>
        </w:rPr>
        <w:footnoteReference w:id="12"/>
      </w:r>
      <w:r>
        <w:t xml:space="preserve"> We maintained this view in our final decision on the app</w:t>
      </w:r>
      <w:r w:rsidR="003B3121">
        <w:t>lication of the EBSS in the 2015</w:t>
      </w:r>
      <w:r>
        <w:t xml:space="preserve">–19 </w:t>
      </w:r>
      <w:proofErr w:type="gramStart"/>
      <w:r>
        <w:t>period</w:t>
      </w:r>
      <w:proofErr w:type="gramEnd"/>
      <w:r>
        <w:t>.</w:t>
      </w:r>
    </w:p>
    <w:p w:rsidR="00915617" w:rsidRDefault="00915617" w:rsidP="00915617">
      <w:r>
        <w:t>T</w:t>
      </w:r>
      <w:r w:rsidRPr="002C4193">
        <w:t>he CESS is not predicated on addressing incentives resulting from a revealed cost forecasting approach</w:t>
      </w:r>
      <w:r>
        <w:t xml:space="preserve"> for </w:t>
      </w:r>
      <w:proofErr w:type="spellStart"/>
      <w:r>
        <w:t>opex</w:t>
      </w:r>
      <w:proofErr w:type="spellEnd"/>
      <w:r w:rsidRPr="002C4193">
        <w:t xml:space="preserve">. </w:t>
      </w:r>
      <w:r>
        <w:t xml:space="preserve">The purpose of the CESS is to provide a continuous incentive to deliver efficient overall capex and to share the benefits of capex efficiency gains (or costs of capex efficiency losses) between the distributor and consumers. The way in which capex underspends and overspends are shared occurs independently of </w:t>
      </w:r>
      <w:r w:rsidRPr="00A840C0">
        <w:t xml:space="preserve">how the EBSS </w:t>
      </w:r>
      <w:r>
        <w:t>applies, and independently of the precise amount of total forecast capex.</w:t>
      </w:r>
      <w:r>
        <w:rPr>
          <w:rStyle w:val="FootnoteReference"/>
        </w:rPr>
        <w:footnoteReference w:id="13"/>
      </w:r>
    </w:p>
    <w:p w:rsidR="00915617" w:rsidRDefault="00915617" w:rsidP="00915617">
      <w:pPr>
        <w:numPr>
          <w:ilvl w:val="0"/>
          <w:numId w:val="25"/>
        </w:numPr>
      </w:pPr>
      <w:r>
        <w:t>W</w:t>
      </w:r>
      <w:r w:rsidRPr="008A7B7A">
        <w:t xml:space="preserve">ithout a CESS the incentive for a </w:t>
      </w:r>
      <w:r>
        <w:t>distributor</w:t>
      </w:r>
      <w:r w:rsidRPr="008A7B7A">
        <w:t xml:space="preserve"> to spend less than its forecast capex declines throughout the period. This is because as the end of the regulatory control period approaches, the time available for the </w:t>
      </w:r>
      <w:r>
        <w:t>distributor</w:t>
      </w:r>
      <w:r w:rsidRPr="008A7B7A">
        <w:t xml:space="preserve"> to retain any savings gets shorter. So the earlier a </w:t>
      </w:r>
      <w:r>
        <w:t>distributor</w:t>
      </w:r>
      <w:r w:rsidRPr="008A7B7A">
        <w:t xml:space="preserve"> incurs a capex underspend in the regulatory </w:t>
      </w:r>
      <w:r>
        <w:t xml:space="preserve">control </w:t>
      </w:r>
      <w:r w:rsidRPr="008A7B7A">
        <w:t xml:space="preserve">period, the greater its reward will be. As a result, the incentive for a </w:t>
      </w:r>
      <w:r>
        <w:t>distributor</w:t>
      </w:r>
      <w:r w:rsidRPr="008A7B7A">
        <w:t xml:space="preserve"> to spend less than its capex forecast declines throughout the period</w:t>
      </w:r>
      <w:r>
        <w:t>. This declining incentive is present regardless of the actual amount of total forecast capex</w:t>
      </w:r>
      <w:r w:rsidRPr="008A7B7A">
        <w:t xml:space="preserve">. Because of this, a </w:t>
      </w:r>
      <w:r>
        <w:t>distributor</w:t>
      </w:r>
      <w:r w:rsidRPr="008A7B7A">
        <w:t xml:space="preserve"> may choose to spend capex earlier than necessary, spend on capex when it may otherwise have spent on </w:t>
      </w:r>
      <w:proofErr w:type="spellStart"/>
      <w:r w:rsidRPr="008A7B7A">
        <w:t>opex</w:t>
      </w:r>
      <w:proofErr w:type="spellEnd"/>
      <w:r w:rsidRPr="008A7B7A">
        <w:t xml:space="preserve">, or spend less on capex at the expense of service </w:t>
      </w:r>
      <w:r w:rsidRPr="008A7B7A">
        <w:lastRenderedPageBreak/>
        <w:t>quality—even if it may not be efficient to do so.</w:t>
      </w:r>
      <w:r>
        <w:t xml:space="preserve"> </w:t>
      </w:r>
      <w:r w:rsidRPr="00120BAA">
        <w:t>The CESS works to provide a continuous incentive</w:t>
      </w:r>
      <w:r>
        <w:t xml:space="preserve"> for a distributor to seek capex efficiencies throughout the regulatory period</w:t>
      </w:r>
      <w:r w:rsidRPr="00A840C0">
        <w:t>.</w:t>
      </w:r>
    </w:p>
    <w:p w:rsidR="00915617" w:rsidRDefault="00915617" w:rsidP="00915617">
      <w:r w:rsidRPr="00120BAA">
        <w:t xml:space="preserve">The CESS will provide </w:t>
      </w:r>
      <w:r>
        <w:t>Essential Energy</w:t>
      </w:r>
      <w:r w:rsidRPr="00120BAA">
        <w:t xml:space="preserve"> with an ex ante incentive to spend only efficient capex. </w:t>
      </w:r>
      <w:r>
        <w:t>The CESS will reward Essential Energy</w:t>
      </w:r>
      <w:r w:rsidRPr="00120BAA">
        <w:t xml:space="preserve"> </w:t>
      </w:r>
      <w:r>
        <w:t xml:space="preserve">for </w:t>
      </w:r>
      <w:r w:rsidRPr="00120BAA">
        <w:t xml:space="preserve">making capex </w:t>
      </w:r>
      <w:r>
        <w:t>efficiency gains, and</w:t>
      </w:r>
      <w:r w:rsidRPr="00120BAA">
        <w:t xml:space="preserve"> </w:t>
      </w:r>
      <w:r>
        <w:t>penalise Essential Energy</w:t>
      </w:r>
      <w:r w:rsidRPr="00120BAA">
        <w:t xml:space="preserve"> for making capex efficiency losses. In this way, </w:t>
      </w:r>
      <w:r>
        <w:t>Essential Energy</w:t>
      </w:r>
      <w:r w:rsidRPr="00120BAA">
        <w:t xml:space="preserve"> will be more likely to incur only efficient capex when subject to a CESS, so any capex included in the RAB is more likely to reflect the capex criteria. In particular, if </w:t>
      </w:r>
      <w:r>
        <w:t>Essential Energy</w:t>
      </w:r>
      <w:r w:rsidRPr="00120BAA">
        <w:t xml:space="preserve"> is subject to the CESS, its capex is more likely to be efficient and to reflect the costs of a prudent </w:t>
      </w:r>
      <w:r>
        <w:t>distributor</w:t>
      </w:r>
      <w:r w:rsidRPr="00120BAA">
        <w:t>.</w:t>
      </w:r>
      <w:r>
        <w:t xml:space="preserve"> </w:t>
      </w:r>
    </w:p>
    <w:p w:rsidR="00915617" w:rsidRPr="00120BAA" w:rsidRDefault="00915617" w:rsidP="00915617">
      <w:r>
        <w:t xml:space="preserve">The CESS will provide these incentives independently of how the EBSS applies, and independently of the precise amount of total forecast capex. Additionally, our substitute estimate of total forecast capex provides Essential Energy with a reasonable opportunity to recover at least its efficient costs. Under the CESS overspends and underspends are treated equally, so we consider the incentive will be symmetric. </w:t>
      </w:r>
    </w:p>
    <w:p w:rsidR="00915617" w:rsidRDefault="00915617" w:rsidP="00915617">
      <w:r>
        <w:t>Finally, in the absence of a CESS, t</w:t>
      </w:r>
      <w:r w:rsidRPr="001A1108">
        <w:t xml:space="preserve">he relative sharing ratio between the </w:t>
      </w:r>
      <w:r>
        <w:t xml:space="preserve">distributor </w:t>
      </w:r>
      <w:r w:rsidRPr="001A1108">
        <w:t xml:space="preserve">and consumers will </w:t>
      </w:r>
      <w:r>
        <w:t xml:space="preserve">instead depend on </w:t>
      </w:r>
      <w:r w:rsidRPr="001A1108">
        <w:t xml:space="preserve">the year in which </w:t>
      </w:r>
      <w:proofErr w:type="gramStart"/>
      <w:r w:rsidRPr="001A1108">
        <w:t xml:space="preserve">the </w:t>
      </w:r>
      <w:r>
        <w:t>overspend</w:t>
      </w:r>
      <w:proofErr w:type="gramEnd"/>
      <w:r>
        <w:t xml:space="preserve"> or underspend occurs, and will vary</w:t>
      </w:r>
      <w:r w:rsidRPr="001A1108">
        <w:t xml:space="preserve"> across </w:t>
      </w:r>
      <w:r>
        <w:t xml:space="preserve">the </w:t>
      </w:r>
      <w:r w:rsidRPr="001A1108">
        <w:t>regulatory control period.</w:t>
      </w:r>
      <w:r>
        <w:t xml:space="preserve"> In developing the CESS we determined a relative sharing ratio of 30:70 for capex underspends and overspends was appropriate. That is, under the CESS a distributor retains 30 per cent of a capex underspend or overspend, while consumers retain the remaining 70 per cent. We do not see a reason to depart from the 30:70 </w:t>
      </w:r>
      <w:proofErr w:type="gramStart"/>
      <w:r>
        <w:t>ratio</w:t>
      </w:r>
      <w:proofErr w:type="gramEnd"/>
      <w:r>
        <w:t xml:space="preserve"> by not applying the CESS.</w:t>
      </w:r>
    </w:p>
    <w:p w:rsidR="00915617" w:rsidRDefault="00915617" w:rsidP="00915617"/>
    <w:p w:rsidR="00DE563D" w:rsidRDefault="00DE563D" w:rsidP="00DE563D"/>
    <w:sectPr w:rsidR="00DE563D"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E563D" w:rsidRPr="009B6F84" w:rsidRDefault="00423A77">
        <w:pPr>
          <w:pStyle w:val="Footer"/>
          <w:rPr>
            <w:sz w:val="20"/>
          </w:rPr>
        </w:pPr>
        <w:r>
          <w:fldChar w:fldCharType="begin"/>
        </w:r>
        <w:r>
          <w:instrText xml:space="preserve"> PAGE   \* MERGEFORMAT </w:instrText>
        </w:r>
        <w:r>
          <w:fldChar w:fldCharType="separate"/>
        </w:r>
        <w:r w:rsidR="0032182F">
          <w:rPr>
            <w:noProof/>
          </w:rPr>
          <w:t>10-7</w:t>
        </w:r>
        <w:r>
          <w:rPr>
            <w:noProof/>
          </w:rPr>
          <w:fldChar w:fldCharType="end"/>
        </w:r>
        <w:r w:rsidR="00FD5E78">
          <w:rPr>
            <w:noProof/>
          </w:rPr>
          <w:t xml:space="preserve">         </w:t>
        </w:r>
        <w:r w:rsidR="00F70078" w:rsidRPr="00F70078">
          <w:rPr>
            <w:noProof/>
            <w:szCs w:val="16"/>
          </w:rPr>
          <w:t xml:space="preserve">Attachment 10 – Capital expenditure sharing scheme </w:t>
        </w:r>
        <w:r w:rsidR="00DE563D" w:rsidRPr="009B6F84">
          <w:rPr>
            <w:rFonts w:cs="Gautami"/>
            <w:noProof/>
            <w:szCs w:val="16"/>
          </w:rPr>
          <w:t>|</w:t>
        </w:r>
        <w:r w:rsidR="009B6F84" w:rsidRPr="009B6F84">
          <w:rPr>
            <w:rFonts w:cs="Gautami"/>
            <w:noProof/>
            <w:szCs w:val="16"/>
          </w:rPr>
          <w:t xml:space="preserve"> </w:t>
        </w:r>
        <w:r w:rsidR="005C21A4">
          <w:t>Essential Energy</w:t>
        </w:r>
        <w:r w:rsidR="009B6F84" w:rsidRPr="009B6F84">
          <w:rPr>
            <w:rFonts w:cs="Gautami"/>
            <w:noProof/>
            <w:szCs w:val="16"/>
          </w:rPr>
          <w:t xml:space="preserve"> Final decision</w:t>
        </w:r>
        <w:r w:rsidR="0070011E" w:rsidRPr="009B6F84">
          <w:rPr>
            <w:sz w:val="20"/>
          </w:rPr>
          <w:t xml:space="preserve"> </w:t>
        </w:r>
        <w:r w:rsidR="00DE563D" w:rsidRPr="009B6F84">
          <w:rPr>
            <w:rFonts w:cs="Gautami"/>
            <w:noProof/>
            <w:szCs w:val="16"/>
          </w:rPr>
          <w:t>2015–</w:t>
        </w:r>
        <w:r w:rsidR="0070011E" w:rsidRPr="009B6F84">
          <w:rPr>
            <w:rFonts w:cs="Gautami"/>
            <w:noProof/>
            <w:szCs w:val="16"/>
          </w:rPr>
          <w:t>19</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915617" w:rsidRDefault="00915617" w:rsidP="00915617">
      <w:pPr>
        <w:pStyle w:val="FootnoteText"/>
      </w:pPr>
      <w:r>
        <w:rPr>
          <w:rStyle w:val="FootnoteReference"/>
        </w:rPr>
        <w:footnoteRef/>
      </w:r>
      <w:r>
        <w:t xml:space="preserve"> </w:t>
      </w:r>
      <w:r>
        <w:tab/>
        <w:t xml:space="preserve">AER, </w:t>
      </w:r>
      <w:r w:rsidRPr="00F02FCE">
        <w:rPr>
          <w:rStyle w:val="AERtextitalic"/>
        </w:rPr>
        <w:t>Capital Expenditure Incentive Guideline for Electricity Network Service Providers</w:t>
      </w:r>
      <w:r>
        <w:t>, November 2013, pp. 5</w:t>
      </w:r>
      <w:r>
        <w:rPr>
          <w:rFonts w:cs="Gautami"/>
        </w:rPr>
        <w:t>–</w:t>
      </w:r>
      <w:r>
        <w:t xml:space="preserve">9. </w:t>
      </w:r>
      <w:proofErr w:type="gramStart"/>
      <w:r>
        <w:t>(AER, Capex incentive g</w:t>
      </w:r>
      <w:r w:rsidRPr="00F02FCE">
        <w:rPr>
          <w:rStyle w:val="AERtextitalic"/>
        </w:rPr>
        <w:t>uideline</w:t>
      </w:r>
      <w:r>
        <w:t>, November 2013).</w:t>
      </w:r>
      <w:proofErr w:type="gramEnd"/>
    </w:p>
  </w:footnote>
  <w:footnote w:id="2">
    <w:p w:rsidR="00915617" w:rsidRDefault="00915617" w:rsidP="00915617">
      <w:pPr>
        <w:pStyle w:val="FootnoteText"/>
      </w:pPr>
      <w:r>
        <w:rPr>
          <w:rStyle w:val="FootnoteReference"/>
        </w:rPr>
        <w:footnoteRef/>
      </w:r>
      <w:r>
        <w:t xml:space="preserve"> </w:t>
      </w:r>
      <w:r>
        <w:tab/>
      </w:r>
      <w:r w:rsidRPr="00F34E0F">
        <w:t xml:space="preserve">We calculate benefits as the benefits </w:t>
      </w:r>
      <w:r>
        <w:t xml:space="preserve">to the service provider </w:t>
      </w:r>
      <w:r w:rsidRPr="00F34E0F">
        <w:t xml:space="preserve">of financing </w:t>
      </w:r>
      <w:proofErr w:type="gramStart"/>
      <w:r w:rsidRPr="00F34E0F">
        <w:t>the underspend</w:t>
      </w:r>
      <w:proofErr w:type="gramEnd"/>
      <w:r w:rsidRPr="00F34E0F">
        <w:t xml:space="preserve"> since the amount of the underspend can be put to s</w:t>
      </w:r>
      <w:r>
        <w:t>ome other income generating use during the period.</w:t>
      </w:r>
      <w:r w:rsidRPr="00F34E0F">
        <w:t xml:space="preserve"> Losses are similarly calculated as the financing cost </w:t>
      </w:r>
      <w:r>
        <w:t xml:space="preserve">to the service provider </w:t>
      </w:r>
      <w:r w:rsidRPr="00F34E0F">
        <w:t xml:space="preserve">of </w:t>
      </w:r>
      <w:proofErr w:type="gramStart"/>
      <w:r w:rsidRPr="00F34E0F">
        <w:t>the overspend</w:t>
      </w:r>
      <w:proofErr w:type="gramEnd"/>
      <w:r w:rsidRPr="00F34E0F">
        <w:t>.</w:t>
      </w:r>
    </w:p>
  </w:footnote>
  <w:footnote w:id="3">
    <w:p w:rsidR="00915617" w:rsidRDefault="00915617" w:rsidP="00915617">
      <w:pPr>
        <w:pStyle w:val="FootnoteText"/>
      </w:pPr>
      <w:r>
        <w:rPr>
          <w:rStyle w:val="FootnoteReference"/>
        </w:rPr>
        <w:footnoteRef/>
      </w:r>
      <w:r>
        <w:t xml:space="preserve"> </w:t>
      </w:r>
      <w:r>
        <w:tab/>
        <w:t xml:space="preserve">The capex incentive guideline outlines how we may exclude capex from the RAB. </w:t>
      </w:r>
      <w:proofErr w:type="gramStart"/>
      <w:r>
        <w:t xml:space="preserve">AER, </w:t>
      </w:r>
      <w:r>
        <w:rPr>
          <w:rStyle w:val="AERtextitalic"/>
        </w:rPr>
        <w:t>Capex incentive guideline</w:t>
      </w:r>
      <w:r>
        <w:t>, November 2013, pp. 13</w:t>
      </w:r>
      <w:r w:rsidRPr="0095438A">
        <w:t>–</w:t>
      </w:r>
      <w:r>
        <w:t>20.</w:t>
      </w:r>
      <w:proofErr w:type="gramEnd"/>
    </w:p>
  </w:footnote>
  <w:footnote w:id="4">
    <w:p w:rsidR="00915617" w:rsidRDefault="00915617" w:rsidP="00915617">
      <w:pPr>
        <w:pStyle w:val="FootnoteText"/>
      </w:pPr>
      <w:r>
        <w:rPr>
          <w:rStyle w:val="FootnoteReference"/>
        </w:rPr>
        <w:footnoteRef/>
      </w:r>
      <w:r>
        <w:t xml:space="preserve"> </w:t>
      </w:r>
      <w:r>
        <w:tab/>
      </w:r>
      <w:proofErr w:type="gramStart"/>
      <w:r>
        <w:t xml:space="preserve">AER, </w:t>
      </w:r>
      <w:r>
        <w:rPr>
          <w:rStyle w:val="AERtextitalic"/>
        </w:rPr>
        <w:t>Capex incentive guideline</w:t>
      </w:r>
      <w:r>
        <w:t>, November 2013, pp. 5</w:t>
      </w:r>
      <w:r>
        <w:rPr>
          <w:rFonts w:cs="Gautami"/>
        </w:rPr>
        <w:t>–</w:t>
      </w:r>
      <w:r>
        <w:t>9.</w:t>
      </w:r>
      <w:proofErr w:type="gramEnd"/>
    </w:p>
  </w:footnote>
  <w:footnote w:id="5">
    <w:p w:rsidR="00915617" w:rsidRDefault="00915617" w:rsidP="00915617">
      <w:pPr>
        <w:pStyle w:val="FootnoteText"/>
      </w:pPr>
      <w:r>
        <w:rPr>
          <w:rStyle w:val="FootnoteReference"/>
        </w:rPr>
        <w:footnoteRef/>
      </w:r>
      <w:r>
        <w:t xml:space="preserve"> </w:t>
      </w:r>
      <w:r>
        <w:tab/>
        <w:t xml:space="preserve">AER, </w:t>
      </w:r>
      <w:r w:rsidRPr="00B06A0A">
        <w:rPr>
          <w:rStyle w:val="AERtextitalic"/>
        </w:rPr>
        <w:t>Stage 2 Framework and approach, Ausgrid, Endeavour Energy and Essential Energy</w:t>
      </w:r>
      <w:r>
        <w:t>, January 2014, p. 28.</w:t>
      </w:r>
    </w:p>
  </w:footnote>
  <w:footnote w:id="6">
    <w:p w:rsidR="00915617" w:rsidRDefault="00915617" w:rsidP="00915617">
      <w:pPr>
        <w:pStyle w:val="FootnoteText"/>
      </w:pPr>
      <w:r>
        <w:rPr>
          <w:rStyle w:val="FootnoteReference"/>
        </w:rPr>
        <w:footnoteRef/>
      </w:r>
      <w:r>
        <w:t xml:space="preserve">  </w:t>
      </w:r>
      <w:r>
        <w:tab/>
        <w:t xml:space="preserve">Essential Energy, </w:t>
      </w:r>
      <w:r w:rsidRPr="00C84C56">
        <w:rPr>
          <w:rStyle w:val="AERtextitalic"/>
        </w:rPr>
        <w:t>Revised Regulatory Proposal</w:t>
      </w:r>
      <w:r>
        <w:rPr>
          <w:rStyle w:val="AERtextitalic"/>
        </w:rPr>
        <w:t xml:space="preserve">, </w:t>
      </w:r>
      <w:r w:rsidRPr="00527DFC">
        <w:rPr>
          <w:rStyle w:val="AERtextitalic"/>
        </w:rPr>
        <w:t>1 July 2014 – 30 June 2019</w:t>
      </w:r>
      <w:r>
        <w:t xml:space="preserve">, </w:t>
      </w:r>
      <w:r w:rsidRPr="00C84C56">
        <w:t>January 2015</w:t>
      </w:r>
      <w:r>
        <w:t>, p. 78.</w:t>
      </w:r>
    </w:p>
  </w:footnote>
  <w:footnote w:id="7">
    <w:p w:rsidR="00915617" w:rsidRDefault="00915617" w:rsidP="00915617">
      <w:pPr>
        <w:pStyle w:val="FootnoteText"/>
      </w:pPr>
      <w:r>
        <w:rPr>
          <w:rStyle w:val="FootnoteReference"/>
        </w:rPr>
        <w:footnoteRef/>
      </w:r>
      <w:r>
        <w:t xml:space="preserve"> </w:t>
      </w:r>
      <w:r>
        <w:tab/>
        <w:t xml:space="preserve">NER, cl. </w:t>
      </w:r>
      <w:proofErr w:type="gramStart"/>
      <w:r>
        <w:t>6.5.8A(</w:t>
      </w:r>
      <w:proofErr w:type="gramEnd"/>
      <w:r>
        <w:t>e).</w:t>
      </w:r>
    </w:p>
  </w:footnote>
  <w:footnote w:id="8">
    <w:p w:rsidR="00915617" w:rsidRDefault="00915617" w:rsidP="00915617">
      <w:pPr>
        <w:pStyle w:val="FootnoteText"/>
      </w:pPr>
      <w:r>
        <w:rPr>
          <w:rStyle w:val="FootnoteReference"/>
        </w:rPr>
        <w:footnoteRef/>
      </w:r>
      <w:r>
        <w:t xml:space="preserve"> </w:t>
      </w:r>
      <w:r>
        <w:tab/>
        <w:t xml:space="preserve">NER, cl. </w:t>
      </w:r>
      <w:proofErr w:type="gramStart"/>
      <w:r w:rsidRPr="00BD64DE">
        <w:t>6.4A(</w:t>
      </w:r>
      <w:proofErr w:type="gramEnd"/>
      <w:r w:rsidRPr="00BD64DE">
        <w:t>a)</w:t>
      </w:r>
      <w:r>
        <w:t xml:space="preserve">; the capex criteria are set out in cl. </w:t>
      </w:r>
      <w:r w:rsidRPr="00BD64DE">
        <w:t>6.5.7(c)</w:t>
      </w:r>
      <w:r>
        <w:t xml:space="preserve"> of the NER.</w:t>
      </w:r>
    </w:p>
  </w:footnote>
  <w:footnote w:id="9">
    <w:p w:rsidR="00915617" w:rsidRDefault="00915617" w:rsidP="00915617">
      <w:pPr>
        <w:pStyle w:val="FootnoteText"/>
      </w:pPr>
      <w:r>
        <w:rPr>
          <w:rStyle w:val="FootnoteReference"/>
        </w:rPr>
        <w:footnoteRef/>
      </w:r>
      <w:r>
        <w:t xml:space="preserve"> </w:t>
      </w:r>
      <w:r>
        <w:tab/>
      </w:r>
      <w:proofErr w:type="gramStart"/>
      <w:r>
        <w:t>NER, cl. 6.5.8A(c).</w:t>
      </w:r>
      <w:proofErr w:type="gramEnd"/>
    </w:p>
  </w:footnote>
  <w:footnote w:id="10">
    <w:p w:rsidR="00915617" w:rsidRDefault="00915617" w:rsidP="00915617">
      <w:pPr>
        <w:pStyle w:val="FootnoteText"/>
      </w:pPr>
      <w:r>
        <w:rPr>
          <w:rStyle w:val="FootnoteReference"/>
        </w:rPr>
        <w:footnoteRef/>
      </w:r>
      <w:r>
        <w:t xml:space="preserve"> </w:t>
      </w:r>
      <w:r>
        <w:tab/>
      </w:r>
      <w:proofErr w:type="gramStart"/>
      <w:r>
        <w:t>NER, cl. 6.5.7(a).</w:t>
      </w:r>
      <w:proofErr w:type="gramEnd"/>
    </w:p>
  </w:footnote>
  <w:footnote w:id="11">
    <w:p w:rsidR="00915617" w:rsidRDefault="00915617" w:rsidP="00915617">
      <w:pPr>
        <w:pStyle w:val="FootnoteText"/>
      </w:pPr>
      <w:r>
        <w:rPr>
          <w:rStyle w:val="FootnoteReference"/>
        </w:rPr>
        <w:footnoteRef/>
      </w:r>
      <w:r>
        <w:t xml:space="preserve"> </w:t>
      </w:r>
      <w:r>
        <w:tab/>
        <w:t xml:space="preserve">Related schemes are the efficiency benefit sharing scheme (EBSS) for </w:t>
      </w:r>
      <w:proofErr w:type="spellStart"/>
      <w:r>
        <w:t>opex</w:t>
      </w:r>
      <w:proofErr w:type="spellEnd"/>
      <w:r>
        <w:t xml:space="preserve">, the demand management innovation allowance (DMIA), and the service target performance incentive scheme (STPIS) for service levels. </w:t>
      </w:r>
    </w:p>
  </w:footnote>
  <w:footnote w:id="12">
    <w:p w:rsidR="00915617" w:rsidRDefault="00915617" w:rsidP="00915617">
      <w:pPr>
        <w:pStyle w:val="FootnoteText"/>
      </w:pPr>
      <w:r>
        <w:rPr>
          <w:rStyle w:val="FootnoteReference"/>
        </w:rPr>
        <w:footnoteRef/>
      </w:r>
      <w:r>
        <w:t xml:space="preserve"> </w:t>
      </w:r>
      <w:r>
        <w:tab/>
        <w:t xml:space="preserve">AER, </w:t>
      </w:r>
      <w:r w:rsidRPr="00E3755A">
        <w:rPr>
          <w:rStyle w:val="AERtextitalic"/>
        </w:rPr>
        <w:t xml:space="preserve">Draft Decision </w:t>
      </w:r>
      <w:r>
        <w:rPr>
          <w:rStyle w:val="AERtextitalic"/>
        </w:rPr>
        <w:t xml:space="preserve">Essential Energy </w:t>
      </w:r>
      <w:r w:rsidRPr="00E3755A">
        <w:rPr>
          <w:rStyle w:val="AERtextitalic"/>
        </w:rPr>
        <w:t>distribution determination 2015–16 to 2018–19, Attachment 9: Efficiency benefit sharing scheme</w:t>
      </w:r>
      <w:r>
        <w:t>, November 2014, pp. 11–12.</w:t>
      </w:r>
    </w:p>
  </w:footnote>
  <w:footnote w:id="13">
    <w:p w:rsidR="00915617" w:rsidRDefault="00915617" w:rsidP="00915617">
      <w:pPr>
        <w:pStyle w:val="FootnoteText"/>
      </w:pPr>
      <w:r>
        <w:rPr>
          <w:rStyle w:val="FootnoteReference"/>
        </w:rPr>
        <w:footnoteRef/>
      </w:r>
      <w:r>
        <w:t xml:space="preserve"> </w:t>
      </w:r>
      <w:r>
        <w:tab/>
      </w:r>
      <w:r w:rsidRPr="008A7B7A">
        <w:t>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B914C350"/>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0yDhr5o+aN6cPGDsxOAA+IiMxzzK1Ybw1XSlV1LA9FU=" w:saltValue="WfUkoLaYRw8RqgaviYWqZg==" w:algorithmName="SHA-256"/>
  <w:defaultTabStop w:val="34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616\AER15 374  AER - Final Decision Essential Energy distribution determination - Attachment 10 - Capital expenditure sharing scheme - April 2015.DOCX"/>
  </w:docVars>
  <w:rsids>
    <w:rsidRoot w:val="00961A4A"/>
    <w:rsid w:val="00011F13"/>
    <w:rsid w:val="00021202"/>
    <w:rsid w:val="00021C2B"/>
    <w:rsid w:val="0002517F"/>
    <w:rsid w:val="0003578C"/>
    <w:rsid w:val="00063247"/>
    <w:rsid w:val="00070F9F"/>
    <w:rsid w:val="0007137B"/>
    <w:rsid w:val="00085663"/>
    <w:rsid w:val="00085EBF"/>
    <w:rsid w:val="00091B15"/>
    <w:rsid w:val="000A3020"/>
    <w:rsid w:val="000A6C7B"/>
    <w:rsid w:val="000C2B40"/>
    <w:rsid w:val="000D122C"/>
    <w:rsid w:val="000E1819"/>
    <w:rsid w:val="000E4821"/>
    <w:rsid w:val="000E6C72"/>
    <w:rsid w:val="00116EB2"/>
    <w:rsid w:val="00124609"/>
    <w:rsid w:val="00126A4C"/>
    <w:rsid w:val="0014573B"/>
    <w:rsid w:val="001573E4"/>
    <w:rsid w:val="00160756"/>
    <w:rsid w:val="0017232E"/>
    <w:rsid w:val="00174102"/>
    <w:rsid w:val="001754EE"/>
    <w:rsid w:val="00180157"/>
    <w:rsid w:val="00185CB9"/>
    <w:rsid w:val="00186F77"/>
    <w:rsid w:val="001926A4"/>
    <w:rsid w:val="00192AD5"/>
    <w:rsid w:val="001B45A0"/>
    <w:rsid w:val="001D055E"/>
    <w:rsid w:val="001F05A4"/>
    <w:rsid w:val="001F492E"/>
    <w:rsid w:val="001F6DA3"/>
    <w:rsid w:val="002010BC"/>
    <w:rsid w:val="002016E7"/>
    <w:rsid w:val="00202E03"/>
    <w:rsid w:val="0020492C"/>
    <w:rsid w:val="00224DB9"/>
    <w:rsid w:val="00233775"/>
    <w:rsid w:val="002344AF"/>
    <w:rsid w:val="00251745"/>
    <w:rsid w:val="00263AC0"/>
    <w:rsid w:val="00264264"/>
    <w:rsid w:val="0026772D"/>
    <w:rsid w:val="00286874"/>
    <w:rsid w:val="00290C63"/>
    <w:rsid w:val="00296B65"/>
    <w:rsid w:val="002A7DEF"/>
    <w:rsid w:val="002C233C"/>
    <w:rsid w:val="002D72E8"/>
    <w:rsid w:val="002E7B22"/>
    <w:rsid w:val="002F7986"/>
    <w:rsid w:val="00301B40"/>
    <w:rsid w:val="003029EE"/>
    <w:rsid w:val="00305CC8"/>
    <w:rsid w:val="00307F6D"/>
    <w:rsid w:val="003177A2"/>
    <w:rsid w:val="0032182F"/>
    <w:rsid w:val="003257C4"/>
    <w:rsid w:val="003271B5"/>
    <w:rsid w:val="00327A1E"/>
    <w:rsid w:val="00331264"/>
    <w:rsid w:val="00334C8D"/>
    <w:rsid w:val="00343A18"/>
    <w:rsid w:val="003518B3"/>
    <w:rsid w:val="0036056C"/>
    <w:rsid w:val="003846F1"/>
    <w:rsid w:val="003B3121"/>
    <w:rsid w:val="003B484F"/>
    <w:rsid w:val="003B7FBA"/>
    <w:rsid w:val="003F174D"/>
    <w:rsid w:val="00415F31"/>
    <w:rsid w:val="00423A77"/>
    <w:rsid w:val="00431DD0"/>
    <w:rsid w:val="0045777E"/>
    <w:rsid w:val="00480B4B"/>
    <w:rsid w:val="00485DC4"/>
    <w:rsid w:val="004A43D1"/>
    <w:rsid w:val="004B4412"/>
    <w:rsid w:val="004C348C"/>
    <w:rsid w:val="004D55BA"/>
    <w:rsid w:val="004E22EC"/>
    <w:rsid w:val="004F6A0E"/>
    <w:rsid w:val="00530128"/>
    <w:rsid w:val="00532467"/>
    <w:rsid w:val="00564A4D"/>
    <w:rsid w:val="00567BA5"/>
    <w:rsid w:val="00571B35"/>
    <w:rsid w:val="00571D57"/>
    <w:rsid w:val="00577A09"/>
    <w:rsid w:val="005829C2"/>
    <w:rsid w:val="00584D8F"/>
    <w:rsid w:val="005A404D"/>
    <w:rsid w:val="005B1E3C"/>
    <w:rsid w:val="005B704A"/>
    <w:rsid w:val="005C21A4"/>
    <w:rsid w:val="005C26CC"/>
    <w:rsid w:val="005D7BA2"/>
    <w:rsid w:val="005E36C2"/>
    <w:rsid w:val="00610EF9"/>
    <w:rsid w:val="00612F4F"/>
    <w:rsid w:val="00615C6B"/>
    <w:rsid w:val="00621DCE"/>
    <w:rsid w:val="00632D6D"/>
    <w:rsid w:val="00642C3E"/>
    <w:rsid w:val="0066104A"/>
    <w:rsid w:val="00663DAD"/>
    <w:rsid w:val="00675E20"/>
    <w:rsid w:val="00676679"/>
    <w:rsid w:val="00683C89"/>
    <w:rsid w:val="0069085A"/>
    <w:rsid w:val="006B2395"/>
    <w:rsid w:val="006B4CF9"/>
    <w:rsid w:val="006B7AC8"/>
    <w:rsid w:val="006C1736"/>
    <w:rsid w:val="006D550F"/>
    <w:rsid w:val="0070011E"/>
    <w:rsid w:val="00701CAB"/>
    <w:rsid w:val="00707563"/>
    <w:rsid w:val="0072348C"/>
    <w:rsid w:val="00724A37"/>
    <w:rsid w:val="007303C3"/>
    <w:rsid w:val="007429BE"/>
    <w:rsid w:val="00743223"/>
    <w:rsid w:val="00746E01"/>
    <w:rsid w:val="00757364"/>
    <w:rsid w:val="00757BDF"/>
    <w:rsid w:val="007609D0"/>
    <w:rsid w:val="00763E5D"/>
    <w:rsid w:val="00767740"/>
    <w:rsid w:val="00777EE6"/>
    <w:rsid w:val="00782EEA"/>
    <w:rsid w:val="007A2968"/>
    <w:rsid w:val="007B186E"/>
    <w:rsid w:val="007B2C72"/>
    <w:rsid w:val="007C1C53"/>
    <w:rsid w:val="007C74BB"/>
    <w:rsid w:val="007D456E"/>
    <w:rsid w:val="007E4904"/>
    <w:rsid w:val="007E4CB5"/>
    <w:rsid w:val="007F066B"/>
    <w:rsid w:val="008033C4"/>
    <w:rsid w:val="00806C88"/>
    <w:rsid w:val="0081034E"/>
    <w:rsid w:val="008344F6"/>
    <w:rsid w:val="0083510F"/>
    <w:rsid w:val="00851209"/>
    <w:rsid w:val="008837AC"/>
    <w:rsid w:val="008A587D"/>
    <w:rsid w:val="008B35CD"/>
    <w:rsid w:val="008B5FCC"/>
    <w:rsid w:val="008C5486"/>
    <w:rsid w:val="008D1661"/>
    <w:rsid w:val="008D6800"/>
    <w:rsid w:val="008D6E16"/>
    <w:rsid w:val="008E7031"/>
    <w:rsid w:val="008E77DE"/>
    <w:rsid w:val="008F07A3"/>
    <w:rsid w:val="009001B6"/>
    <w:rsid w:val="00900E1B"/>
    <w:rsid w:val="00915617"/>
    <w:rsid w:val="009233EE"/>
    <w:rsid w:val="009460AA"/>
    <w:rsid w:val="00951978"/>
    <w:rsid w:val="00961A4A"/>
    <w:rsid w:val="009661DE"/>
    <w:rsid w:val="00983C25"/>
    <w:rsid w:val="009856B7"/>
    <w:rsid w:val="00985C86"/>
    <w:rsid w:val="009A5FC3"/>
    <w:rsid w:val="009B49B4"/>
    <w:rsid w:val="009B6F84"/>
    <w:rsid w:val="009B74B0"/>
    <w:rsid w:val="009D3906"/>
    <w:rsid w:val="009D6B46"/>
    <w:rsid w:val="009F4940"/>
    <w:rsid w:val="009F5BA1"/>
    <w:rsid w:val="00A02A88"/>
    <w:rsid w:val="00A0562E"/>
    <w:rsid w:val="00A0726D"/>
    <w:rsid w:val="00A32FBB"/>
    <w:rsid w:val="00A428EE"/>
    <w:rsid w:val="00A43848"/>
    <w:rsid w:val="00A4478A"/>
    <w:rsid w:val="00A44852"/>
    <w:rsid w:val="00A50502"/>
    <w:rsid w:val="00A57D04"/>
    <w:rsid w:val="00A60A26"/>
    <w:rsid w:val="00A61598"/>
    <w:rsid w:val="00A84A99"/>
    <w:rsid w:val="00A84F46"/>
    <w:rsid w:val="00A871F4"/>
    <w:rsid w:val="00AC1B2C"/>
    <w:rsid w:val="00AC3264"/>
    <w:rsid w:val="00AE1BF1"/>
    <w:rsid w:val="00AF0DD2"/>
    <w:rsid w:val="00B13048"/>
    <w:rsid w:val="00B1716D"/>
    <w:rsid w:val="00B17A1D"/>
    <w:rsid w:val="00B207A0"/>
    <w:rsid w:val="00B514DD"/>
    <w:rsid w:val="00B52AF0"/>
    <w:rsid w:val="00B561BD"/>
    <w:rsid w:val="00B56E03"/>
    <w:rsid w:val="00B8080B"/>
    <w:rsid w:val="00B82223"/>
    <w:rsid w:val="00B87BA5"/>
    <w:rsid w:val="00B87C39"/>
    <w:rsid w:val="00B9562D"/>
    <w:rsid w:val="00BA4665"/>
    <w:rsid w:val="00BB2FB2"/>
    <w:rsid w:val="00BB3304"/>
    <w:rsid w:val="00BD3446"/>
    <w:rsid w:val="00BE1F1B"/>
    <w:rsid w:val="00BE47B5"/>
    <w:rsid w:val="00C25FA6"/>
    <w:rsid w:val="00C4466F"/>
    <w:rsid w:val="00C479EA"/>
    <w:rsid w:val="00C538A9"/>
    <w:rsid w:val="00C53B5A"/>
    <w:rsid w:val="00C54F5A"/>
    <w:rsid w:val="00C569B4"/>
    <w:rsid w:val="00C67A92"/>
    <w:rsid w:val="00C84560"/>
    <w:rsid w:val="00C86679"/>
    <w:rsid w:val="00CA489E"/>
    <w:rsid w:val="00CB0279"/>
    <w:rsid w:val="00CB666B"/>
    <w:rsid w:val="00CC7F1D"/>
    <w:rsid w:val="00CE484B"/>
    <w:rsid w:val="00CF0DEE"/>
    <w:rsid w:val="00D006AE"/>
    <w:rsid w:val="00D01CF0"/>
    <w:rsid w:val="00D0442A"/>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65C85"/>
    <w:rsid w:val="00E66199"/>
    <w:rsid w:val="00E755EC"/>
    <w:rsid w:val="00E7624D"/>
    <w:rsid w:val="00EA3D42"/>
    <w:rsid w:val="00EA6B1B"/>
    <w:rsid w:val="00EC04F1"/>
    <w:rsid w:val="00ED7323"/>
    <w:rsid w:val="00EE28F3"/>
    <w:rsid w:val="00EE50D1"/>
    <w:rsid w:val="00EF5110"/>
    <w:rsid w:val="00F10411"/>
    <w:rsid w:val="00F15882"/>
    <w:rsid w:val="00F171E0"/>
    <w:rsid w:val="00F20BD3"/>
    <w:rsid w:val="00F373A5"/>
    <w:rsid w:val="00F47559"/>
    <w:rsid w:val="00F64C7B"/>
    <w:rsid w:val="00F676DD"/>
    <w:rsid w:val="00F70078"/>
    <w:rsid w:val="00F75A26"/>
    <w:rsid w:val="00F76706"/>
    <w:rsid w:val="00F83FAD"/>
    <w:rsid w:val="00F952A0"/>
    <w:rsid w:val="00FA3C7F"/>
    <w:rsid w:val="00FB1463"/>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C70F7157.dotm</Template>
  <TotalTime>0</TotalTime>
  <Pages>10</Pages>
  <Words>1887</Words>
  <Characters>10760</Characters>
  <Application>Microsoft Office Word</Application>
  <DocSecurity>0</DocSecurity>
  <Lines>89</Lines>
  <Paragraphs>25</Paragraphs>
  <ScaleCrop>false</ScaleCrop>
  <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2015-04-27T07:35:00Z</dcterms:created>
  <dcterms:modified xsi:type="dcterms:W3CDTF">2015-04-27T07:35:00Z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