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w:t>
          </w:r>
          <w:bookmarkStart w:id="0" w:name="_GoBack"/>
          <w:bookmarkEnd w:id="0"/>
          <w:r w:rsidR="00DA4752">
            <w:t>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4466F">
            <w:t>2</w:t>
          </w:r>
          <w:r w:rsidR="00DA4752">
            <w:t xml:space="preserve"> </w:t>
          </w:r>
          <w:r w:rsidR="00415F31">
            <w:rPr>
              <w:rFonts w:cs="Arial"/>
            </w:rPr>
            <w:t>–</w:t>
          </w:r>
          <w:r w:rsidR="00DA4752">
            <w:t xml:space="preserve"> </w:t>
          </w:r>
          <w:r w:rsidR="00C4466F">
            <w:t>Regulatory asset base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306246"/>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 xml:space="preserve">s </w:t>
      </w:r>
      <w:r w:rsidR="00116350">
        <w:t>regulatory</w:t>
      </w:r>
      <w:r w:rsidR="00415F31">
        <w:t xml:space="preserv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 xml:space="preserve">Attachment 19 - </w:t>
      </w:r>
      <w:r w:rsidR="0052188A">
        <w:t>Analysis of Financial Viability</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30624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C6D3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306246" w:history="1">
            <w:r w:rsidR="002C6D31" w:rsidRPr="000D4E7C">
              <w:rPr>
                <w:rStyle w:val="Hyperlink"/>
              </w:rPr>
              <w:t>Note</w:t>
            </w:r>
            <w:r w:rsidR="002C6D31">
              <w:rPr>
                <w:webHidden/>
              </w:rPr>
              <w:tab/>
            </w:r>
            <w:r w:rsidR="002C6D31">
              <w:rPr>
                <w:webHidden/>
              </w:rPr>
              <w:fldChar w:fldCharType="begin"/>
            </w:r>
            <w:r w:rsidR="002C6D31">
              <w:rPr>
                <w:webHidden/>
              </w:rPr>
              <w:instrText xml:space="preserve"> PAGEREF _Toc417306246 \h </w:instrText>
            </w:r>
            <w:r w:rsidR="002C6D31">
              <w:rPr>
                <w:webHidden/>
              </w:rPr>
            </w:r>
            <w:r w:rsidR="002C6D31">
              <w:rPr>
                <w:webHidden/>
              </w:rPr>
              <w:fldChar w:fldCharType="separate"/>
            </w:r>
            <w:r w:rsidR="00EB4B6F">
              <w:rPr>
                <w:webHidden/>
              </w:rPr>
              <w:t>2-2</w:t>
            </w:r>
            <w:r w:rsidR="002C6D31">
              <w:rPr>
                <w:webHidden/>
              </w:rPr>
              <w:fldChar w:fldCharType="end"/>
            </w:r>
          </w:hyperlink>
        </w:p>
        <w:p w:rsidR="002C6D31" w:rsidRDefault="00281EBD">
          <w:pPr>
            <w:pStyle w:val="TOC1"/>
            <w:rPr>
              <w:rFonts w:asciiTheme="minorHAnsi" w:eastAsiaTheme="minorEastAsia" w:hAnsiTheme="minorHAnsi"/>
              <w:b w:val="0"/>
              <w:color w:val="auto"/>
              <w:sz w:val="22"/>
              <w:lang w:val="en-AU" w:eastAsia="en-AU"/>
            </w:rPr>
          </w:pPr>
          <w:hyperlink w:anchor="_Toc417306247" w:history="1">
            <w:r w:rsidR="002C6D31" w:rsidRPr="000D4E7C">
              <w:rPr>
                <w:rStyle w:val="Hyperlink"/>
              </w:rPr>
              <w:t>Contents</w:t>
            </w:r>
            <w:r w:rsidR="002C6D31">
              <w:rPr>
                <w:webHidden/>
              </w:rPr>
              <w:tab/>
            </w:r>
            <w:r w:rsidR="002C6D31">
              <w:rPr>
                <w:webHidden/>
              </w:rPr>
              <w:fldChar w:fldCharType="begin"/>
            </w:r>
            <w:r w:rsidR="002C6D31">
              <w:rPr>
                <w:webHidden/>
              </w:rPr>
              <w:instrText xml:space="preserve"> PAGEREF _Toc417306247 \h </w:instrText>
            </w:r>
            <w:r w:rsidR="002C6D31">
              <w:rPr>
                <w:webHidden/>
              </w:rPr>
            </w:r>
            <w:r w:rsidR="002C6D31">
              <w:rPr>
                <w:webHidden/>
              </w:rPr>
              <w:fldChar w:fldCharType="separate"/>
            </w:r>
            <w:r w:rsidR="00EB4B6F">
              <w:rPr>
                <w:webHidden/>
              </w:rPr>
              <w:t>2-3</w:t>
            </w:r>
            <w:r w:rsidR="002C6D31">
              <w:rPr>
                <w:webHidden/>
              </w:rPr>
              <w:fldChar w:fldCharType="end"/>
            </w:r>
          </w:hyperlink>
        </w:p>
        <w:p w:rsidR="002C6D31" w:rsidRDefault="00281EBD">
          <w:pPr>
            <w:pStyle w:val="TOC1"/>
            <w:rPr>
              <w:rFonts w:asciiTheme="minorHAnsi" w:eastAsiaTheme="minorEastAsia" w:hAnsiTheme="minorHAnsi"/>
              <w:b w:val="0"/>
              <w:color w:val="auto"/>
              <w:sz w:val="22"/>
              <w:lang w:val="en-AU" w:eastAsia="en-AU"/>
            </w:rPr>
          </w:pPr>
          <w:hyperlink w:anchor="_Toc417306248" w:history="1">
            <w:r w:rsidR="002C6D31" w:rsidRPr="000D4E7C">
              <w:rPr>
                <w:rStyle w:val="Hyperlink"/>
              </w:rPr>
              <w:t>Shortened forms</w:t>
            </w:r>
            <w:r w:rsidR="002C6D31">
              <w:rPr>
                <w:webHidden/>
              </w:rPr>
              <w:tab/>
            </w:r>
            <w:r w:rsidR="002C6D31">
              <w:rPr>
                <w:webHidden/>
              </w:rPr>
              <w:fldChar w:fldCharType="begin"/>
            </w:r>
            <w:r w:rsidR="002C6D31">
              <w:rPr>
                <w:webHidden/>
              </w:rPr>
              <w:instrText xml:space="preserve"> PAGEREF _Toc417306248 \h </w:instrText>
            </w:r>
            <w:r w:rsidR="002C6D31">
              <w:rPr>
                <w:webHidden/>
              </w:rPr>
            </w:r>
            <w:r w:rsidR="002C6D31">
              <w:rPr>
                <w:webHidden/>
              </w:rPr>
              <w:fldChar w:fldCharType="separate"/>
            </w:r>
            <w:r w:rsidR="00EB4B6F">
              <w:rPr>
                <w:webHidden/>
              </w:rPr>
              <w:t>2-4</w:t>
            </w:r>
            <w:r w:rsidR="002C6D31">
              <w:rPr>
                <w:webHidden/>
              </w:rPr>
              <w:fldChar w:fldCharType="end"/>
            </w:r>
          </w:hyperlink>
        </w:p>
        <w:p w:rsidR="002C6D31" w:rsidRDefault="00281EBD">
          <w:pPr>
            <w:pStyle w:val="TOC1"/>
            <w:rPr>
              <w:rFonts w:asciiTheme="minorHAnsi" w:eastAsiaTheme="minorEastAsia" w:hAnsiTheme="minorHAnsi"/>
              <w:b w:val="0"/>
              <w:color w:val="auto"/>
              <w:sz w:val="22"/>
              <w:lang w:val="en-AU" w:eastAsia="en-AU"/>
            </w:rPr>
          </w:pPr>
          <w:hyperlink w:anchor="_Toc417306249" w:history="1">
            <w:r w:rsidR="002C6D31" w:rsidRPr="000D4E7C">
              <w:rPr>
                <w:rStyle w:val="Hyperlink"/>
              </w:rPr>
              <w:t>2</w:t>
            </w:r>
            <w:r w:rsidR="002C6D31">
              <w:rPr>
                <w:rFonts w:asciiTheme="minorHAnsi" w:eastAsiaTheme="minorEastAsia" w:hAnsiTheme="minorHAnsi"/>
                <w:b w:val="0"/>
                <w:color w:val="auto"/>
                <w:sz w:val="22"/>
                <w:lang w:val="en-AU" w:eastAsia="en-AU"/>
              </w:rPr>
              <w:tab/>
            </w:r>
            <w:r w:rsidR="002C6D31" w:rsidRPr="000D4E7C">
              <w:rPr>
                <w:rStyle w:val="Hyperlink"/>
              </w:rPr>
              <w:t>Regulatory asset base</w:t>
            </w:r>
            <w:r w:rsidR="002C6D31">
              <w:rPr>
                <w:webHidden/>
              </w:rPr>
              <w:tab/>
            </w:r>
            <w:r w:rsidR="002C6D31">
              <w:rPr>
                <w:webHidden/>
              </w:rPr>
              <w:fldChar w:fldCharType="begin"/>
            </w:r>
            <w:r w:rsidR="002C6D31">
              <w:rPr>
                <w:webHidden/>
              </w:rPr>
              <w:instrText xml:space="preserve"> PAGEREF _Toc417306249 \h </w:instrText>
            </w:r>
            <w:r w:rsidR="002C6D31">
              <w:rPr>
                <w:webHidden/>
              </w:rPr>
            </w:r>
            <w:r w:rsidR="002C6D31">
              <w:rPr>
                <w:webHidden/>
              </w:rPr>
              <w:fldChar w:fldCharType="separate"/>
            </w:r>
            <w:r w:rsidR="00EB4B6F">
              <w:rPr>
                <w:webHidden/>
              </w:rPr>
              <w:t>2-6</w:t>
            </w:r>
            <w:r w:rsidR="002C6D31">
              <w:rPr>
                <w:webHidden/>
              </w:rPr>
              <w:fldChar w:fldCharType="end"/>
            </w:r>
          </w:hyperlink>
        </w:p>
        <w:p w:rsidR="002C6D31" w:rsidRDefault="00281EBD">
          <w:pPr>
            <w:pStyle w:val="TOC2"/>
            <w:rPr>
              <w:rFonts w:asciiTheme="minorHAnsi" w:eastAsiaTheme="minorEastAsia" w:hAnsiTheme="minorHAnsi"/>
              <w:b w:val="0"/>
              <w:color w:val="auto"/>
              <w:sz w:val="22"/>
              <w:lang w:eastAsia="en-AU"/>
            </w:rPr>
          </w:pPr>
          <w:hyperlink w:anchor="_Toc417306250" w:history="1">
            <w:r w:rsidR="002C6D31" w:rsidRPr="000D4E7C">
              <w:rPr>
                <w:rStyle w:val="Hyperlink"/>
              </w:rPr>
              <w:t>2.1</w:t>
            </w:r>
            <w:r w:rsidR="002C6D31">
              <w:rPr>
                <w:rFonts w:asciiTheme="minorHAnsi" w:eastAsiaTheme="minorEastAsia" w:hAnsiTheme="minorHAnsi"/>
                <w:b w:val="0"/>
                <w:color w:val="auto"/>
                <w:sz w:val="22"/>
                <w:lang w:eastAsia="en-AU"/>
              </w:rPr>
              <w:tab/>
            </w:r>
            <w:r w:rsidR="002C6D31" w:rsidRPr="000D4E7C">
              <w:rPr>
                <w:rStyle w:val="Hyperlink"/>
              </w:rPr>
              <w:t>Final decision</w:t>
            </w:r>
            <w:r w:rsidR="002C6D31">
              <w:rPr>
                <w:webHidden/>
              </w:rPr>
              <w:tab/>
            </w:r>
            <w:r w:rsidR="002C6D31">
              <w:rPr>
                <w:webHidden/>
              </w:rPr>
              <w:fldChar w:fldCharType="begin"/>
            </w:r>
            <w:r w:rsidR="002C6D31">
              <w:rPr>
                <w:webHidden/>
              </w:rPr>
              <w:instrText xml:space="preserve"> PAGEREF _Toc417306250 \h </w:instrText>
            </w:r>
            <w:r w:rsidR="002C6D31">
              <w:rPr>
                <w:webHidden/>
              </w:rPr>
            </w:r>
            <w:r w:rsidR="002C6D31">
              <w:rPr>
                <w:webHidden/>
              </w:rPr>
              <w:fldChar w:fldCharType="separate"/>
            </w:r>
            <w:r w:rsidR="00EB4B6F">
              <w:rPr>
                <w:webHidden/>
              </w:rPr>
              <w:t>2-6</w:t>
            </w:r>
            <w:r w:rsidR="002C6D31">
              <w:rPr>
                <w:webHidden/>
              </w:rPr>
              <w:fldChar w:fldCharType="end"/>
            </w:r>
          </w:hyperlink>
        </w:p>
        <w:p w:rsidR="002C6D31" w:rsidRDefault="00281EBD">
          <w:pPr>
            <w:pStyle w:val="TOC2"/>
            <w:rPr>
              <w:rFonts w:asciiTheme="minorHAnsi" w:eastAsiaTheme="minorEastAsia" w:hAnsiTheme="minorHAnsi"/>
              <w:b w:val="0"/>
              <w:color w:val="auto"/>
              <w:sz w:val="22"/>
              <w:lang w:eastAsia="en-AU"/>
            </w:rPr>
          </w:pPr>
          <w:hyperlink w:anchor="_Toc417306251" w:history="1">
            <w:r w:rsidR="002C6D31" w:rsidRPr="000D4E7C">
              <w:rPr>
                <w:rStyle w:val="Hyperlink"/>
              </w:rPr>
              <w:t>2.2</w:t>
            </w:r>
            <w:r w:rsidR="002C6D31">
              <w:rPr>
                <w:rFonts w:asciiTheme="minorHAnsi" w:eastAsiaTheme="minorEastAsia" w:hAnsiTheme="minorHAnsi"/>
                <w:b w:val="0"/>
                <w:color w:val="auto"/>
                <w:sz w:val="22"/>
                <w:lang w:eastAsia="en-AU"/>
              </w:rPr>
              <w:tab/>
            </w:r>
            <w:r w:rsidR="002C6D31" w:rsidRPr="000D4E7C">
              <w:rPr>
                <w:rStyle w:val="Hyperlink"/>
              </w:rPr>
              <w:t>Essential Energy’s revised proposal</w:t>
            </w:r>
            <w:r w:rsidR="002C6D31">
              <w:rPr>
                <w:webHidden/>
              </w:rPr>
              <w:tab/>
            </w:r>
            <w:r w:rsidR="002C6D31">
              <w:rPr>
                <w:webHidden/>
              </w:rPr>
              <w:fldChar w:fldCharType="begin"/>
            </w:r>
            <w:r w:rsidR="002C6D31">
              <w:rPr>
                <w:webHidden/>
              </w:rPr>
              <w:instrText xml:space="preserve"> PAGEREF _Toc417306251 \h </w:instrText>
            </w:r>
            <w:r w:rsidR="002C6D31">
              <w:rPr>
                <w:webHidden/>
              </w:rPr>
            </w:r>
            <w:r w:rsidR="002C6D31">
              <w:rPr>
                <w:webHidden/>
              </w:rPr>
              <w:fldChar w:fldCharType="separate"/>
            </w:r>
            <w:r w:rsidR="00EB4B6F">
              <w:rPr>
                <w:webHidden/>
              </w:rPr>
              <w:t>2-7</w:t>
            </w:r>
            <w:r w:rsidR="002C6D31">
              <w:rPr>
                <w:webHidden/>
              </w:rPr>
              <w:fldChar w:fldCharType="end"/>
            </w:r>
          </w:hyperlink>
        </w:p>
        <w:p w:rsidR="002C6D31" w:rsidRDefault="00281EBD">
          <w:pPr>
            <w:pStyle w:val="TOC2"/>
            <w:rPr>
              <w:rFonts w:asciiTheme="minorHAnsi" w:eastAsiaTheme="minorEastAsia" w:hAnsiTheme="minorHAnsi"/>
              <w:b w:val="0"/>
              <w:color w:val="auto"/>
              <w:sz w:val="22"/>
              <w:lang w:eastAsia="en-AU"/>
            </w:rPr>
          </w:pPr>
          <w:hyperlink w:anchor="_Toc417306252" w:history="1">
            <w:r w:rsidR="002C6D31" w:rsidRPr="000D4E7C">
              <w:rPr>
                <w:rStyle w:val="Hyperlink"/>
              </w:rPr>
              <w:t>2.3</w:t>
            </w:r>
            <w:r w:rsidR="002C6D31">
              <w:rPr>
                <w:rFonts w:asciiTheme="minorHAnsi" w:eastAsiaTheme="minorEastAsia" w:hAnsiTheme="minorHAnsi"/>
                <w:b w:val="0"/>
                <w:color w:val="auto"/>
                <w:sz w:val="22"/>
                <w:lang w:eastAsia="en-AU"/>
              </w:rPr>
              <w:tab/>
            </w:r>
            <w:r w:rsidR="002C6D31" w:rsidRPr="000D4E7C">
              <w:rPr>
                <w:rStyle w:val="Hyperlink"/>
              </w:rPr>
              <w:t>AER’s assessment approach</w:t>
            </w:r>
            <w:r w:rsidR="002C6D31">
              <w:rPr>
                <w:webHidden/>
              </w:rPr>
              <w:tab/>
            </w:r>
            <w:r w:rsidR="002C6D31">
              <w:rPr>
                <w:webHidden/>
              </w:rPr>
              <w:fldChar w:fldCharType="begin"/>
            </w:r>
            <w:r w:rsidR="002C6D31">
              <w:rPr>
                <w:webHidden/>
              </w:rPr>
              <w:instrText xml:space="preserve"> PAGEREF _Toc417306252 \h </w:instrText>
            </w:r>
            <w:r w:rsidR="002C6D31">
              <w:rPr>
                <w:webHidden/>
              </w:rPr>
            </w:r>
            <w:r w:rsidR="002C6D31">
              <w:rPr>
                <w:webHidden/>
              </w:rPr>
              <w:fldChar w:fldCharType="separate"/>
            </w:r>
            <w:r w:rsidR="00EB4B6F">
              <w:rPr>
                <w:webHidden/>
              </w:rPr>
              <w:t>2-9</w:t>
            </w:r>
            <w:r w:rsidR="002C6D31">
              <w:rPr>
                <w:webHidden/>
              </w:rPr>
              <w:fldChar w:fldCharType="end"/>
            </w:r>
          </w:hyperlink>
        </w:p>
        <w:p w:rsidR="002C6D31" w:rsidRDefault="00281EBD">
          <w:pPr>
            <w:pStyle w:val="TOC2"/>
            <w:rPr>
              <w:rFonts w:asciiTheme="minorHAnsi" w:eastAsiaTheme="minorEastAsia" w:hAnsiTheme="minorHAnsi"/>
              <w:b w:val="0"/>
              <w:color w:val="auto"/>
              <w:sz w:val="22"/>
              <w:lang w:eastAsia="en-AU"/>
            </w:rPr>
          </w:pPr>
          <w:hyperlink w:anchor="_Toc417306253" w:history="1">
            <w:r w:rsidR="002C6D31" w:rsidRPr="000D4E7C">
              <w:rPr>
                <w:rStyle w:val="Hyperlink"/>
              </w:rPr>
              <w:t>2.4</w:t>
            </w:r>
            <w:r w:rsidR="002C6D31">
              <w:rPr>
                <w:rFonts w:asciiTheme="minorHAnsi" w:eastAsiaTheme="minorEastAsia" w:hAnsiTheme="minorHAnsi"/>
                <w:b w:val="0"/>
                <w:color w:val="auto"/>
                <w:sz w:val="22"/>
                <w:lang w:eastAsia="en-AU"/>
              </w:rPr>
              <w:tab/>
            </w:r>
            <w:r w:rsidR="002C6D31" w:rsidRPr="000D4E7C">
              <w:rPr>
                <w:rStyle w:val="Hyperlink"/>
              </w:rPr>
              <w:t>Reasons for final decision</w:t>
            </w:r>
            <w:r w:rsidR="002C6D31">
              <w:rPr>
                <w:webHidden/>
              </w:rPr>
              <w:tab/>
            </w:r>
            <w:r w:rsidR="002C6D31">
              <w:rPr>
                <w:webHidden/>
              </w:rPr>
              <w:fldChar w:fldCharType="begin"/>
            </w:r>
            <w:r w:rsidR="002C6D31">
              <w:rPr>
                <w:webHidden/>
              </w:rPr>
              <w:instrText xml:space="preserve"> PAGEREF _Toc417306253 \h </w:instrText>
            </w:r>
            <w:r w:rsidR="002C6D31">
              <w:rPr>
                <w:webHidden/>
              </w:rPr>
            </w:r>
            <w:r w:rsidR="002C6D31">
              <w:rPr>
                <w:webHidden/>
              </w:rPr>
              <w:fldChar w:fldCharType="separate"/>
            </w:r>
            <w:r w:rsidR="00EB4B6F">
              <w:rPr>
                <w:webHidden/>
              </w:rPr>
              <w:t>2-9</w:t>
            </w:r>
            <w:r w:rsidR="002C6D31">
              <w:rPr>
                <w:webHidden/>
              </w:rPr>
              <w:fldChar w:fldCharType="end"/>
            </w:r>
          </w:hyperlink>
        </w:p>
        <w:p w:rsidR="002C6D31" w:rsidRDefault="00281EBD">
          <w:pPr>
            <w:pStyle w:val="TOC3"/>
            <w:rPr>
              <w:rFonts w:asciiTheme="minorHAnsi" w:eastAsiaTheme="minorEastAsia" w:hAnsiTheme="minorHAnsi"/>
              <w:lang w:eastAsia="en-AU"/>
            </w:rPr>
          </w:pPr>
          <w:hyperlink w:anchor="_Toc417306254" w:history="1">
            <w:r w:rsidR="002C6D31" w:rsidRPr="000D4E7C">
              <w:rPr>
                <w:rStyle w:val="Hyperlink"/>
              </w:rPr>
              <w:t>2.4.1</w:t>
            </w:r>
            <w:r w:rsidR="002C6D31">
              <w:rPr>
                <w:rFonts w:asciiTheme="minorHAnsi" w:eastAsiaTheme="minorEastAsia" w:hAnsiTheme="minorHAnsi"/>
                <w:lang w:eastAsia="en-AU"/>
              </w:rPr>
              <w:tab/>
            </w:r>
            <w:r w:rsidR="002C6D31" w:rsidRPr="000D4E7C">
              <w:rPr>
                <w:rStyle w:val="Hyperlink"/>
              </w:rPr>
              <w:t>Opening RAB as at 1 July 2014</w:t>
            </w:r>
            <w:r w:rsidR="002C6D31">
              <w:rPr>
                <w:webHidden/>
              </w:rPr>
              <w:tab/>
            </w:r>
            <w:r w:rsidR="002C6D31">
              <w:rPr>
                <w:webHidden/>
              </w:rPr>
              <w:fldChar w:fldCharType="begin"/>
            </w:r>
            <w:r w:rsidR="002C6D31">
              <w:rPr>
                <w:webHidden/>
              </w:rPr>
              <w:instrText xml:space="preserve"> PAGEREF _Toc417306254 \h </w:instrText>
            </w:r>
            <w:r w:rsidR="002C6D31">
              <w:rPr>
                <w:webHidden/>
              </w:rPr>
            </w:r>
            <w:r w:rsidR="002C6D31">
              <w:rPr>
                <w:webHidden/>
              </w:rPr>
              <w:fldChar w:fldCharType="separate"/>
            </w:r>
            <w:r w:rsidR="00EB4B6F">
              <w:rPr>
                <w:webHidden/>
              </w:rPr>
              <w:t>2-9</w:t>
            </w:r>
            <w:r w:rsidR="002C6D31">
              <w:rPr>
                <w:webHidden/>
              </w:rPr>
              <w:fldChar w:fldCharType="end"/>
            </w:r>
          </w:hyperlink>
        </w:p>
        <w:p w:rsidR="002C6D31" w:rsidRDefault="00281EBD">
          <w:pPr>
            <w:pStyle w:val="TOC3"/>
            <w:rPr>
              <w:rFonts w:asciiTheme="minorHAnsi" w:eastAsiaTheme="minorEastAsia" w:hAnsiTheme="minorHAnsi"/>
              <w:lang w:eastAsia="en-AU"/>
            </w:rPr>
          </w:pPr>
          <w:hyperlink w:anchor="_Toc417306255" w:history="1">
            <w:r w:rsidR="002C6D31" w:rsidRPr="000D4E7C">
              <w:rPr>
                <w:rStyle w:val="Hyperlink"/>
              </w:rPr>
              <w:t>2.4.2</w:t>
            </w:r>
            <w:r w:rsidR="002C6D31">
              <w:rPr>
                <w:rFonts w:asciiTheme="minorHAnsi" w:eastAsiaTheme="minorEastAsia" w:hAnsiTheme="minorHAnsi"/>
                <w:lang w:eastAsia="en-AU"/>
              </w:rPr>
              <w:tab/>
            </w:r>
            <w:r w:rsidR="002C6D31" w:rsidRPr="000D4E7C">
              <w:rPr>
                <w:rStyle w:val="Hyperlink"/>
              </w:rPr>
              <w:t>Forecast closing RAB as at 30 June 2019</w:t>
            </w:r>
            <w:r w:rsidR="002C6D31">
              <w:rPr>
                <w:webHidden/>
              </w:rPr>
              <w:tab/>
            </w:r>
            <w:r w:rsidR="002C6D31">
              <w:rPr>
                <w:webHidden/>
              </w:rPr>
              <w:fldChar w:fldCharType="begin"/>
            </w:r>
            <w:r w:rsidR="002C6D31">
              <w:rPr>
                <w:webHidden/>
              </w:rPr>
              <w:instrText xml:space="preserve"> PAGEREF _Toc417306255 \h </w:instrText>
            </w:r>
            <w:r w:rsidR="002C6D31">
              <w:rPr>
                <w:webHidden/>
              </w:rPr>
            </w:r>
            <w:r w:rsidR="002C6D31">
              <w:rPr>
                <w:webHidden/>
              </w:rPr>
              <w:fldChar w:fldCharType="separate"/>
            </w:r>
            <w:r w:rsidR="00EB4B6F">
              <w:rPr>
                <w:webHidden/>
              </w:rPr>
              <w:t>2-12</w:t>
            </w:r>
            <w:r w:rsidR="002C6D3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306248"/>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78781A">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78781A" w:rsidTr="0078781A">
        <w:tc>
          <w:tcPr>
            <w:tcW w:w="4349" w:type="dxa"/>
          </w:tcPr>
          <w:p w:rsidR="0078781A" w:rsidRPr="0078781A" w:rsidRDefault="0078781A" w:rsidP="0078781A">
            <w:pPr>
              <w:numPr>
                <w:ilvl w:val="0"/>
                <w:numId w:val="25"/>
              </w:numPr>
            </w:pPr>
            <w:r w:rsidRPr="0078781A">
              <w:t>AEMC</w:t>
            </w:r>
          </w:p>
        </w:tc>
        <w:tc>
          <w:tcPr>
            <w:tcW w:w="4344" w:type="dxa"/>
          </w:tcPr>
          <w:p w:rsidR="0078781A" w:rsidRPr="0078781A" w:rsidRDefault="0078781A" w:rsidP="0078781A">
            <w:pPr>
              <w:numPr>
                <w:ilvl w:val="0"/>
                <w:numId w:val="25"/>
              </w:numPr>
            </w:pPr>
            <w:r w:rsidRPr="0078781A">
              <w:t>Australian Energy Market Commission</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AEMO</w:t>
            </w:r>
          </w:p>
        </w:tc>
        <w:tc>
          <w:tcPr>
            <w:tcW w:w="4344" w:type="dxa"/>
          </w:tcPr>
          <w:p w:rsidR="0078781A" w:rsidRPr="0078781A" w:rsidRDefault="0078781A" w:rsidP="0078781A">
            <w:pPr>
              <w:numPr>
                <w:ilvl w:val="0"/>
                <w:numId w:val="25"/>
              </w:numPr>
            </w:pPr>
            <w:r w:rsidRPr="0078781A">
              <w:t>Australian Energy Market Operator</w:t>
            </w:r>
          </w:p>
        </w:tc>
      </w:tr>
      <w:tr w:rsidR="0078781A" w:rsidTr="0078781A">
        <w:tc>
          <w:tcPr>
            <w:tcW w:w="4349" w:type="dxa"/>
          </w:tcPr>
          <w:p w:rsidR="0078781A" w:rsidRPr="0078781A" w:rsidRDefault="0078781A" w:rsidP="0078781A">
            <w:pPr>
              <w:numPr>
                <w:ilvl w:val="0"/>
                <w:numId w:val="25"/>
              </w:numPr>
            </w:pPr>
            <w:r w:rsidRPr="0078781A">
              <w:t>AER</w:t>
            </w:r>
          </w:p>
        </w:tc>
        <w:tc>
          <w:tcPr>
            <w:tcW w:w="4344" w:type="dxa"/>
          </w:tcPr>
          <w:p w:rsidR="0078781A" w:rsidRPr="0078781A" w:rsidRDefault="0078781A" w:rsidP="0078781A">
            <w:pPr>
              <w:numPr>
                <w:ilvl w:val="0"/>
                <w:numId w:val="25"/>
              </w:numPr>
            </w:pPr>
            <w:r w:rsidRPr="0078781A">
              <w:t>Australian Energy Regulator</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proofErr w:type="spellStart"/>
            <w:r w:rsidRPr="0078781A">
              <w:t>augex</w:t>
            </w:r>
            <w:proofErr w:type="spellEnd"/>
          </w:p>
        </w:tc>
        <w:tc>
          <w:tcPr>
            <w:tcW w:w="4344" w:type="dxa"/>
          </w:tcPr>
          <w:p w:rsidR="0078781A" w:rsidRPr="0078781A" w:rsidRDefault="0078781A" w:rsidP="0078781A">
            <w:pPr>
              <w:numPr>
                <w:ilvl w:val="0"/>
                <w:numId w:val="25"/>
              </w:numPr>
            </w:pPr>
            <w:r w:rsidRPr="0078781A">
              <w:t>augmentation expenditure</w:t>
            </w:r>
          </w:p>
        </w:tc>
      </w:tr>
      <w:tr w:rsidR="0078781A" w:rsidTr="0078781A">
        <w:tc>
          <w:tcPr>
            <w:tcW w:w="4349" w:type="dxa"/>
          </w:tcPr>
          <w:p w:rsidR="0078781A" w:rsidRPr="0078781A" w:rsidRDefault="0078781A" w:rsidP="0078781A">
            <w:pPr>
              <w:numPr>
                <w:ilvl w:val="0"/>
                <w:numId w:val="25"/>
              </w:numPr>
            </w:pPr>
            <w:r w:rsidRPr="0078781A">
              <w:t>capex</w:t>
            </w:r>
          </w:p>
        </w:tc>
        <w:tc>
          <w:tcPr>
            <w:tcW w:w="4344" w:type="dxa"/>
          </w:tcPr>
          <w:p w:rsidR="0078781A" w:rsidRPr="0078781A" w:rsidRDefault="0078781A" w:rsidP="0078781A">
            <w:pPr>
              <w:numPr>
                <w:ilvl w:val="0"/>
                <w:numId w:val="25"/>
              </w:numPr>
            </w:pPr>
            <w:r w:rsidRPr="0078781A">
              <w:t>capital expenditure</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CCP</w:t>
            </w:r>
          </w:p>
        </w:tc>
        <w:tc>
          <w:tcPr>
            <w:tcW w:w="4344" w:type="dxa"/>
          </w:tcPr>
          <w:p w:rsidR="0078781A" w:rsidRPr="0078781A" w:rsidRDefault="0078781A" w:rsidP="0078781A">
            <w:pPr>
              <w:numPr>
                <w:ilvl w:val="0"/>
                <w:numId w:val="25"/>
              </w:numPr>
            </w:pPr>
            <w:r w:rsidRPr="0078781A">
              <w:t>Consumer Challenge Panel</w:t>
            </w:r>
          </w:p>
        </w:tc>
      </w:tr>
      <w:tr w:rsidR="0078781A" w:rsidTr="0078781A">
        <w:tc>
          <w:tcPr>
            <w:tcW w:w="4349" w:type="dxa"/>
          </w:tcPr>
          <w:p w:rsidR="0078781A" w:rsidRPr="0078781A" w:rsidRDefault="0078781A" w:rsidP="0078781A">
            <w:pPr>
              <w:numPr>
                <w:ilvl w:val="0"/>
                <w:numId w:val="25"/>
              </w:numPr>
            </w:pPr>
            <w:r w:rsidRPr="0078781A">
              <w:t>CESS</w:t>
            </w:r>
          </w:p>
        </w:tc>
        <w:tc>
          <w:tcPr>
            <w:tcW w:w="4344" w:type="dxa"/>
          </w:tcPr>
          <w:p w:rsidR="0078781A" w:rsidRPr="0078781A" w:rsidRDefault="0078781A" w:rsidP="0078781A">
            <w:pPr>
              <w:numPr>
                <w:ilvl w:val="0"/>
                <w:numId w:val="25"/>
              </w:numPr>
            </w:pPr>
            <w:r w:rsidRPr="0078781A">
              <w:t>capital expenditure sharing scheme</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CPI</w:t>
            </w:r>
          </w:p>
        </w:tc>
        <w:tc>
          <w:tcPr>
            <w:tcW w:w="4344" w:type="dxa"/>
          </w:tcPr>
          <w:p w:rsidR="0078781A" w:rsidRPr="0078781A" w:rsidRDefault="0078781A" w:rsidP="0078781A">
            <w:pPr>
              <w:numPr>
                <w:ilvl w:val="0"/>
                <w:numId w:val="25"/>
              </w:numPr>
            </w:pPr>
            <w:r w:rsidRPr="0078781A">
              <w:t>consumer price index</w:t>
            </w:r>
          </w:p>
        </w:tc>
      </w:tr>
      <w:tr w:rsidR="0078781A" w:rsidTr="0078781A">
        <w:tc>
          <w:tcPr>
            <w:tcW w:w="4349" w:type="dxa"/>
          </w:tcPr>
          <w:p w:rsidR="0078781A" w:rsidRPr="0078781A" w:rsidRDefault="0078781A" w:rsidP="0078781A">
            <w:pPr>
              <w:numPr>
                <w:ilvl w:val="0"/>
                <w:numId w:val="25"/>
              </w:numPr>
            </w:pPr>
            <w:r w:rsidRPr="0078781A">
              <w:t>DRP</w:t>
            </w:r>
          </w:p>
        </w:tc>
        <w:tc>
          <w:tcPr>
            <w:tcW w:w="4344" w:type="dxa"/>
          </w:tcPr>
          <w:p w:rsidR="0078781A" w:rsidRPr="0078781A" w:rsidRDefault="0078781A" w:rsidP="0078781A">
            <w:pPr>
              <w:numPr>
                <w:ilvl w:val="0"/>
                <w:numId w:val="25"/>
              </w:numPr>
            </w:pPr>
            <w:r w:rsidRPr="0078781A">
              <w:t>debt risk premium</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DMIA</w:t>
            </w:r>
          </w:p>
        </w:tc>
        <w:tc>
          <w:tcPr>
            <w:tcW w:w="4344" w:type="dxa"/>
          </w:tcPr>
          <w:p w:rsidR="0078781A" w:rsidRPr="0078781A" w:rsidRDefault="0078781A" w:rsidP="0078781A">
            <w:pPr>
              <w:numPr>
                <w:ilvl w:val="0"/>
                <w:numId w:val="25"/>
              </w:numPr>
            </w:pPr>
            <w:r w:rsidRPr="0078781A">
              <w:t>demand management innovation allowance</w:t>
            </w:r>
          </w:p>
        </w:tc>
      </w:tr>
      <w:tr w:rsidR="0078781A" w:rsidTr="0078781A">
        <w:tc>
          <w:tcPr>
            <w:tcW w:w="4349" w:type="dxa"/>
          </w:tcPr>
          <w:p w:rsidR="0078781A" w:rsidRPr="0078781A" w:rsidRDefault="0078781A" w:rsidP="0078781A">
            <w:pPr>
              <w:numPr>
                <w:ilvl w:val="0"/>
                <w:numId w:val="25"/>
              </w:numPr>
            </w:pPr>
            <w:r w:rsidRPr="0078781A">
              <w:t>DMIS</w:t>
            </w:r>
          </w:p>
        </w:tc>
        <w:tc>
          <w:tcPr>
            <w:tcW w:w="4344" w:type="dxa"/>
          </w:tcPr>
          <w:p w:rsidR="0078781A" w:rsidRPr="0078781A" w:rsidRDefault="0078781A" w:rsidP="0078781A">
            <w:pPr>
              <w:numPr>
                <w:ilvl w:val="0"/>
                <w:numId w:val="25"/>
              </w:numPr>
            </w:pPr>
            <w:r w:rsidRPr="0078781A">
              <w:t>demand management incentive scheme</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distributor</w:t>
            </w:r>
          </w:p>
        </w:tc>
        <w:tc>
          <w:tcPr>
            <w:tcW w:w="4344" w:type="dxa"/>
          </w:tcPr>
          <w:p w:rsidR="0078781A" w:rsidRPr="0078781A" w:rsidRDefault="0078781A" w:rsidP="0078781A">
            <w:pPr>
              <w:numPr>
                <w:ilvl w:val="0"/>
                <w:numId w:val="25"/>
              </w:numPr>
            </w:pPr>
            <w:r w:rsidRPr="0078781A">
              <w:t>distribution network service provider</w:t>
            </w:r>
          </w:p>
        </w:tc>
      </w:tr>
      <w:tr w:rsidR="0078781A" w:rsidTr="0078781A">
        <w:tc>
          <w:tcPr>
            <w:tcW w:w="4349" w:type="dxa"/>
          </w:tcPr>
          <w:p w:rsidR="0078781A" w:rsidRPr="0078781A" w:rsidRDefault="0078781A" w:rsidP="0078781A">
            <w:pPr>
              <w:numPr>
                <w:ilvl w:val="0"/>
                <w:numId w:val="25"/>
              </w:numPr>
            </w:pPr>
            <w:proofErr w:type="spellStart"/>
            <w:r w:rsidRPr="0078781A">
              <w:t>DUoS</w:t>
            </w:r>
            <w:proofErr w:type="spellEnd"/>
          </w:p>
        </w:tc>
        <w:tc>
          <w:tcPr>
            <w:tcW w:w="4344" w:type="dxa"/>
          </w:tcPr>
          <w:p w:rsidR="0078781A" w:rsidRPr="0078781A" w:rsidRDefault="0078781A" w:rsidP="0078781A">
            <w:pPr>
              <w:numPr>
                <w:ilvl w:val="0"/>
                <w:numId w:val="25"/>
              </w:numPr>
            </w:pPr>
            <w:r w:rsidRPr="0078781A">
              <w:t>distribution use of system</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EBSS</w:t>
            </w:r>
          </w:p>
        </w:tc>
        <w:tc>
          <w:tcPr>
            <w:tcW w:w="4344" w:type="dxa"/>
          </w:tcPr>
          <w:p w:rsidR="0078781A" w:rsidRPr="0078781A" w:rsidRDefault="0078781A" w:rsidP="0078781A">
            <w:pPr>
              <w:numPr>
                <w:ilvl w:val="0"/>
                <w:numId w:val="25"/>
              </w:numPr>
            </w:pPr>
            <w:r w:rsidRPr="0078781A">
              <w:t>efficiency benefit sharing scheme</w:t>
            </w:r>
          </w:p>
        </w:tc>
      </w:tr>
      <w:tr w:rsidR="0078781A" w:rsidTr="0078781A">
        <w:tc>
          <w:tcPr>
            <w:tcW w:w="4349" w:type="dxa"/>
          </w:tcPr>
          <w:p w:rsidR="0078781A" w:rsidRPr="0078781A" w:rsidRDefault="0078781A" w:rsidP="0078781A">
            <w:pPr>
              <w:numPr>
                <w:ilvl w:val="0"/>
                <w:numId w:val="25"/>
              </w:numPr>
            </w:pPr>
            <w:r w:rsidRPr="0078781A">
              <w:t>ERP</w:t>
            </w:r>
          </w:p>
        </w:tc>
        <w:tc>
          <w:tcPr>
            <w:tcW w:w="4344" w:type="dxa"/>
          </w:tcPr>
          <w:p w:rsidR="0078781A" w:rsidRPr="0078781A" w:rsidRDefault="0078781A" w:rsidP="0078781A">
            <w:pPr>
              <w:numPr>
                <w:ilvl w:val="0"/>
                <w:numId w:val="25"/>
              </w:numPr>
            </w:pPr>
            <w:r w:rsidRPr="0078781A">
              <w:t>equity risk premium</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Expenditure Assessment Guideline</w:t>
            </w:r>
          </w:p>
        </w:tc>
        <w:tc>
          <w:tcPr>
            <w:tcW w:w="4344" w:type="dxa"/>
          </w:tcPr>
          <w:p w:rsidR="0078781A" w:rsidRPr="0078781A" w:rsidRDefault="0078781A" w:rsidP="0078781A">
            <w:pPr>
              <w:numPr>
                <w:ilvl w:val="0"/>
                <w:numId w:val="25"/>
              </w:numPr>
            </w:pPr>
            <w:r w:rsidRPr="0078781A">
              <w:t>expenditure forecast assessment Guideline for electricity distribution</w:t>
            </w:r>
          </w:p>
        </w:tc>
      </w:tr>
      <w:tr w:rsidR="0078781A" w:rsidTr="0078781A">
        <w:tc>
          <w:tcPr>
            <w:tcW w:w="4349" w:type="dxa"/>
          </w:tcPr>
          <w:p w:rsidR="0078781A" w:rsidRPr="0078781A" w:rsidRDefault="0078781A" w:rsidP="0078781A">
            <w:pPr>
              <w:numPr>
                <w:ilvl w:val="0"/>
                <w:numId w:val="25"/>
              </w:numPr>
            </w:pPr>
            <w:r w:rsidRPr="0078781A">
              <w:t>F&amp;A</w:t>
            </w:r>
          </w:p>
        </w:tc>
        <w:tc>
          <w:tcPr>
            <w:tcW w:w="4344" w:type="dxa"/>
          </w:tcPr>
          <w:p w:rsidR="0078781A" w:rsidRPr="0078781A" w:rsidRDefault="0078781A" w:rsidP="0078781A">
            <w:pPr>
              <w:numPr>
                <w:ilvl w:val="0"/>
                <w:numId w:val="25"/>
              </w:numPr>
            </w:pPr>
            <w:r w:rsidRPr="0078781A">
              <w:t>framework and approach</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MRP</w:t>
            </w:r>
          </w:p>
        </w:tc>
        <w:tc>
          <w:tcPr>
            <w:tcW w:w="4344" w:type="dxa"/>
          </w:tcPr>
          <w:p w:rsidR="0078781A" w:rsidRPr="0078781A" w:rsidRDefault="0078781A" w:rsidP="0078781A">
            <w:pPr>
              <w:numPr>
                <w:ilvl w:val="0"/>
                <w:numId w:val="25"/>
              </w:numPr>
            </w:pPr>
            <w:r w:rsidRPr="0078781A">
              <w:t>market risk premium</w:t>
            </w:r>
          </w:p>
        </w:tc>
      </w:tr>
      <w:tr w:rsidR="0078781A" w:rsidTr="0078781A">
        <w:tc>
          <w:tcPr>
            <w:tcW w:w="4349" w:type="dxa"/>
          </w:tcPr>
          <w:p w:rsidR="0078781A" w:rsidRPr="0078781A" w:rsidRDefault="0078781A" w:rsidP="0078781A">
            <w:pPr>
              <w:numPr>
                <w:ilvl w:val="0"/>
                <w:numId w:val="25"/>
              </w:numPr>
            </w:pPr>
            <w:r w:rsidRPr="0078781A">
              <w:t>NEL</w:t>
            </w:r>
          </w:p>
        </w:tc>
        <w:tc>
          <w:tcPr>
            <w:tcW w:w="4344" w:type="dxa"/>
          </w:tcPr>
          <w:p w:rsidR="0078781A" w:rsidRPr="0078781A" w:rsidRDefault="0078781A" w:rsidP="0078781A">
            <w:pPr>
              <w:numPr>
                <w:ilvl w:val="0"/>
                <w:numId w:val="25"/>
              </w:numPr>
            </w:pPr>
            <w:r w:rsidRPr="0078781A">
              <w:t>national electricity law</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NEM</w:t>
            </w:r>
          </w:p>
        </w:tc>
        <w:tc>
          <w:tcPr>
            <w:tcW w:w="4344" w:type="dxa"/>
          </w:tcPr>
          <w:p w:rsidR="0078781A" w:rsidRPr="0078781A" w:rsidRDefault="0078781A" w:rsidP="0078781A">
            <w:pPr>
              <w:numPr>
                <w:ilvl w:val="0"/>
                <w:numId w:val="25"/>
              </w:numPr>
            </w:pPr>
            <w:r w:rsidRPr="0078781A">
              <w:t>national electricity market</w:t>
            </w:r>
          </w:p>
        </w:tc>
      </w:tr>
      <w:tr w:rsidR="0078781A" w:rsidTr="0078781A">
        <w:tc>
          <w:tcPr>
            <w:tcW w:w="4349" w:type="dxa"/>
          </w:tcPr>
          <w:p w:rsidR="0078781A" w:rsidRPr="0078781A" w:rsidRDefault="0078781A" w:rsidP="0078781A">
            <w:pPr>
              <w:numPr>
                <w:ilvl w:val="0"/>
                <w:numId w:val="25"/>
              </w:numPr>
            </w:pPr>
            <w:r w:rsidRPr="0078781A">
              <w:t>NEO</w:t>
            </w:r>
          </w:p>
        </w:tc>
        <w:tc>
          <w:tcPr>
            <w:tcW w:w="4344" w:type="dxa"/>
          </w:tcPr>
          <w:p w:rsidR="0078781A" w:rsidRPr="0078781A" w:rsidRDefault="0078781A" w:rsidP="0078781A">
            <w:pPr>
              <w:numPr>
                <w:ilvl w:val="0"/>
                <w:numId w:val="25"/>
              </w:numPr>
            </w:pPr>
            <w:r w:rsidRPr="0078781A">
              <w:t>national electricity objective</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NER</w:t>
            </w:r>
          </w:p>
        </w:tc>
        <w:tc>
          <w:tcPr>
            <w:tcW w:w="4344" w:type="dxa"/>
          </w:tcPr>
          <w:p w:rsidR="0078781A" w:rsidRPr="0078781A" w:rsidRDefault="0078781A" w:rsidP="0078781A">
            <w:pPr>
              <w:numPr>
                <w:ilvl w:val="0"/>
                <w:numId w:val="25"/>
              </w:numPr>
            </w:pPr>
            <w:r w:rsidRPr="0078781A">
              <w:t>national electricity rules</w:t>
            </w:r>
          </w:p>
        </w:tc>
      </w:tr>
      <w:tr w:rsidR="0078781A" w:rsidTr="0078781A">
        <w:tc>
          <w:tcPr>
            <w:tcW w:w="4349" w:type="dxa"/>
          </w:tcPr>
          <w:p w:rsidR="0078781A" w:rsidRPr="0078781A" w:rsidRDefault="0078781A" w:rsidP="0078781A">
            <w:pPr>
              <w:numPr>
                <w:ilvl w:val="0"/>
                <w:numId w:val="25"/>
              </w:numPr>
            </w:pPr>
            <w:r w:rsidRPr="0078781A">
              <w:t>NSP</w:t>
            </w:r>
          </w:p>
        </w:tc>
        <w:tc>
          <w:tcPr>
            <w:tcW w:w="4344" w:type="dxa"/>
          </w:tcPr>
          <w:p w:rsidR="0078781A" w:rsidRPr="0078781A" w:rsidRDefault="0078781A" w:rsidP="0078781A">
            <w:pPr>
              <w:numPr>
                <w:ilvl w:val="0"/>
                <w:numId w:val="25"/>
              </w:numPr>
            </w:pPr>
            <w:r w:rsidRPr="0078781A">
              <w:t>network service provider</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proofErr w:type="spellStart"/>
            <w:r w:rsidRPr="0078781A">
              <w:t>opex</w:t>
            </w:r>
            <w:proofErr w:type="spellEnd"/>
          </w:p>
        </w:tc>
        <w:tc>
          <w:tcPr>
            <w:tcW w:w="4344" w:type="dxa"/>
          </w:tcPr>
          <w:p w:rsidR="0078781A" w:rsidRPr="0078781A" w:rsidRDefault="0078781A" w:rsidP="0078781A">
            <w:pPr>
              <w:numPr>
                <w:ilvl w:val="0"/>
                <w:numId w:val="25"/>
              </w:numPr>
            </w:pPr>
            <w:r w:rsidRPr="0078781A">
              <w:t>operating expenditure</w:t>
            </w:r>
          </w:p>
        </w:tc>
      </w:tr>
      <w:tr w:rsidR="0078781A" w:rsidTr="0078781A">
        <w:tc>
          <w:tcPr>
            <w:tcW w:w="4349" w:type="dxa"/>
          </w:tcPr>
          <w:p w:rsidR="0078781A" w:rsidRPr="0078781A" w:rsidRDefault="0078781A" w:rsidP="0078781A">
            <w:pPr>
              <w:numPr>
                <w:ilvl w:val="0"/>
                <w:numId w:val="25"/>
              </w:numPr>
            </w:pPr>
            <w:r w:rsidRPr="0078781A">
              <w:t>PPI</w:t>
            </w:r>
          </w:p>
        </w:tc>
        <w:tc>
          <w:tcPr>
            <w:tcW w:w="4344" w:type="dxa"/>
          </w:tcPr>
          <w:p w:rsidR="0078781A" w:rsidRPr="0078781A" w:rsidRDefault="0078781A" w:rsidP="0078781A">
            <w:pPr>
              <w:numPr>
                <w:ilvl w:val="0"/>
                <w:numId w:val="25"/>
              </w:numPr>
            </w:pPr>
            <w:r w:rsidRPr="0078781A">
              <w:t>partial performance indicators</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PTRM</w:t>
            </w:r>
          </w:p>
        </w:tc>
        <w:tc>
          <w:tcPr>
            <w:tcW w:w="4344" w:type="dxa"/>
          </w:tcPr>
          <w:p w:rsidR="0078781A" w:rsidRPr="0078781A" w:rsidRDefault="0078781A" w:rsidP="0078781A">
            <w:pPr>
              <w:numPr>
                <w:ilvl w:val="0"/>
                <w:numId w:val="25"/>
              </w:numPr>
            </w:pPr>
            <w:r w:rsidRPr="0078781A">
              <w:t>post-tax revenue model</w:t>
            </w:r>
          </w:p>
        </w:tc>
      </w:tr>
      <w:tr w:rsidR="0078781A" w:rsidTr="0078781A">
        <w:tc>
          <w:tcPr>
            <w:tcW w:w="4349" w:type="dxa"/>
          </w:tcPr>
          <w:p w:rsidR="0078781A" w:rsidRPr="0078781A" w:rsidRDefault="0078781A" w:rsidP="0078781A">
            <w:pPr>
              <w:numPr>
                <w:ilvl w:val="0"/>
                <w:numId w:val="25"/>
              </w:numPr>
            </w:pPr>
            <w:r w:rsidRPr="0078781A">
              <w:t>RAB</w:t>
            </w:r>
          </w:p>
        </w:tc>
        <w:tc>
          <w:tcPr>
            <w:tcW w:w="4344" w:type="dxa"/>
          </w:tcPr>
          <w:p w:rsidR="0078781A" w:rsidRPr="0078781A" w:rsidRDefault="0078781A" w:rsidP="0078781A">
            <w:pPr>
              <w:numPr>
                <w:ilvl w:val="0"/>
                <w:numId w:val="25"/>
              </w:numPr>
            </w:pPr>
            <w:r w:rsidRPr="0078781A">
              <w:t>regulatory asset base</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RBA</w:t>
            </w:r>
          </w:p>
        </w:tc>
        <w:tc>
          <w:tcPr>
            <w:tcW w:w="4344" w:type="dxa"/>
          </w:tcPr>
          <w:p w:rsidR="0078781A" w:rsidRPr="0078781A" w:rsidRDefault="0078781A" w:rsidP="0078781A">
            <w:pPr>
              <w:numPr>
                <w:ilvl w:val="0"/>
                <w:numId w:val="25"/>
              </w:numPr>
            </w:pPr>
            <w:r w:rsidRPr="0078781A">
              <w:t>Reserve Bank of Australia</w:t>
            </w:r>
          </w:p>
        </w:tc>
      </w:tr>
      <w:tr w:rsidR="0078781A" w:rsidTr="0078781A">
        <w:tc>
          <w:tcPr>
            <w:tcW w:w="4349" w:type="dxa"/>
          </w:tcPr>
          <w:p w:rsidR="0078781A" w:rsidRPr="0078781A" w:rsidRDefault="0078781A" w:rsidP="0078781A">
            <w:pPr>
              <w:numPr>
                <w:ilvl w:val="0"/>
                <w:numId w:val="25"/>
              </w:numPr>
            </w:pPr>
            <w:proofErr w:type="spellStart"/>
            <w:r w:rsidRPr="0078781A">
              <w:t>repex</w:t>
            </w:r>
            <w:proofErr w:type="spellEnd"/>
          </w:p>
        </w:tc>
        <w:tc>
          <w:tcPr>
            <w:tcW w:w="4344" w:type="dxa"/>
          </w:tcPr>
          <w:p w:rsidR="0078781A" w:rsidRPr="0078781A" w:rsidRDefault="0078781A" w:rsidP="0078781A">
            <w:pPr>
              <w:numPr>
                <w:ilvl w:val="0"/>
                <w:numId w:val="25"/>
              </w:numPr>
            </w:pPr>
            <w:r w:rsidRPr="0078781A">
              <w:t>replacement expenditure</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RFM</w:t>
            </w:r>
          </w:p>
        </w:tc>
        <w:tc>
          <w:tcPr>
            <w:tcW w:w="4344" w:type="dxa"/>
          </w:tcPr>
          <w:p w:rsidR="0078781A" w:rsidRPr="0078781A" w:rsidRDefault="0078781A" w:rsidP="0078781A">
            <w:pPr>
              <w:numPr>
                <w:ilvl w:val="0"/>
                <w:numId w:val="25"/>
              </w:numPr>
            </w:pPr>
            <w:r w:rsidRPr="0078781A">
              <w:t>roll forward model</w:t>
            </w:r>
          </w:p>
        </w:tc>
      </w:tr>
      <w:tr w:rsidR="0078781A" w:rsidTr="0078781A">
        <w:tc>
          <w:tcPr>
            <w:tcW w:w="4349" w:type="dxa"/>
          </w:tcPr>
          <w:p w:rsidR="0078781A" w:rsidRPr="0078781A" w:rsidRDefault="0078781A" w:rsidP="0078781A">
            <w:pPr>
              <w:numPr>
                <w:ilvl w:val="0"/>
                <w:numId w:val="25"/>
              </w:numPr>
            </w:pPr>
            <w:r w:rsidRPr="0078781A">
              <w:lastRenderedPageBreak/>
              <w:t>RIN</w:t>
            </w:r>
          </w:p>
        </w:tc>
        <w:tc>
          <w:tcPr>
            <w:tcW w:w="4344" w:type="dxa"/>
          </w:tcPr>
          <w:p w:rsidR="0078781A" w:rsidRPr="0078781A" w:rsidRDefault="0078781A" w:rsidP="0078781A">
            <w:pPr>
              <w:numPr>
                <w:ilvl w:val="0"/>
                <w:numId w:val="25"/>
              </w:numPr>
            </w:pPr>
            <w:r w:rsidRPr="0078781A">
              <w:t>regulatory information notice</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RPP</w:t>
            </w:r>
          </w:p>
        </w:tc>
        <w:tc>
          <w:tcPr>
            <w:tcW w:w="4344" w:type="dxa"/>
          </w:tcPr>
          <w:p w:rsidR="0078781A" w:rsidRPr="0078781A" w:rsidRDefault="0078781A" w:rsidP="0078781A">
            <w:pPr>
              <w:numPr>
                <w:ilvl w:val="0"/>
                <w:numId w:val="25"/>
              </w:numPr>
            </w:pPr>
            <w:r w:rsidRPr="0078781A">
              <w:t>revenue and pricing principles</w:t>
            </w:r>
          </w:p>
        </w:tc>
      </w:tr>
      <w:tr w:rsidR="0078781A" w:rsidTr="0078781A">
        <w:tc>
          <w:tcPr>
            <w:tcW w:w="4349" w:type="dxa"/>
          </w:tcPr>
          <w:p w:rsidR="0078781A" w:rsidRPr="0078781A" w:rsidRDefault="0078781A" w:rsidP="0078781A">
            <w:pPr>
              <w:numPr>
                <w:ilvl w:val="0"/>
                <w:numId w:val="25"/>
              </w:numPr>
            </w:pPr>
            <w:r w:rsidRPr="0078781A">
              <w:t>SAIDI</w:t>
            </w:r>
          </w:p>
        </w:tc>
        <w:tc>
          <w:tcPr>
            <w:tcW w:w="4344" w:type="dxa"/>
          </w:tcPr>
          <w:p w:rsidR="0078781A" w:rsidRPr="0078781A" w:rsidRDefault="0078781A" w:rsidP="0078781A">
            <w:pPr>
              <w:numPr>
                <w:ilvl w:val="0"/>
                <w:numId w:val="25"/>
              </w:numPr>
            </w:pPr>
            <w:r w:rsidRPr="0078781A">
              <w:t>system average interruption duration index</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SAIFI</w:t>
            </w:r>
          </w:p>
        </w:tc>
        <w:tc>
          <w:tcPr>
            <w:tcW w:w="4344" w:type="dxa"/>
          </w:tcPr>
          <w:p w:rsidR="0078781A" w:rsidRPr="0078781A" w:rsidRDefault="0078781A" w:rsidP="0078781A">
            <w:pPr>
              <w:numPr>
                <w:ilvl w:val="0"/>
                <w:numId w:val="25"/>
              </w:numPr>
            </w:pPr>
            <w:r w:rsidRPr="0078781A">
              <w:t>system average interruption frequency index</w:t>
            </w:r>
          </w:p>
        </w:tc>
      </w:tr>
      <w:tr w:rsidR="0078781A" w:rsidTr="0078781A">
        <w:tc>
          <w:tcPr>
            <w:tcW w:w="4349" w:type="dxa"/>
          </w:tcPr>
          <w:p w:rsidR="0078781A" w:rsidRPr="0078781A" w:rsidRDefault="0078781A" w:rsidP="0078781A">
            <w:pPr>
              <w:numPr>
                <w:ilvl w:val="0"/>
                <w:numId w:val="25"/>
              </w:numPr>
            </w:pPr>
            <w:r w:rsidRPr="0078781A">
              <w:t>SLCAPM</w:t>
            </w:r>
          </w:p>
        </w:tc>
        <w:tc>
          <w:tcPr>
            <w:tcW w:w="4344" w:type="dxa"/>
          </w:tcPr>
          <w:p w:rsidR="0078781A" w:rsidRPr="0078781A" w:rsidRDefault="0078781A" w:rsidP="0078781A">
            <w:pPr>
              <w:numPr>
                <w:ilvl w:val="0"/>
                <w:numId w:val="25"/>
              </w:numPr>
            </w:pPr>
            <w:r w:rsidRPr="0078781A">
              <w:t>Sharpe-</w:t>
            </w:r>
            <w:proofErr w:type="spellStart"/>
            <w:r w:rsidRPr="0078781A">
              <w:t>Lintner</w:t>
            </w:r>
            <w:proofErr w:type="spellEnd"/>
            <w:r w:rsidRPr="0078781A">
              <w:t xml:space="preserve"> capital asset pricing model</w:t>
            </w:r>
          </w:p>
        </w:tc>
      </w:tr>
      <w:tr w:rsidR="0078781A" w:rsidTr="0078781A">
        <w:trPr>
          <w:cnfStyle w:val="000000010000" w:firstRow="0" w:lastRow="0" w:firstColumn="0" w:lastColumn="0" w:oddVBand="0" w:evenVBand="0" w:oddHBand="0" w:evenHBand="1" w:firstRowFirstColumn="0" w:firstRowLastColumn="0" w:lastRowFirstColumn="0" w:lastRowLastColumn="0"/>
        </w:trPr>
        <w:tc>
          <w:tcPr>
            <w:tcW w:w="4349" w:type="dxa"/>
          </w:tcPr>
          <w:p w:rsidR="0078781A" w:rsidRPr="0078781A" w:rsidRDefault="0078781A" w:rsidP="0078781A">
            <w:pPr>
              <w:numPr>
                <w:ilvl w:val="0"/>
                <w:numId w:val="25"/>
              </w:numPr>
            </w:pPr>
            <w:r w:rsidRPr="0078781A">
              <w:t>STPIS</w:t>
            </w:r>
          </w:p>
        </w:tc>
        <w:tc>
          <w:tcPr>
            <w:tcW w:w="4344" w:type="dxa"/>
          </w:tcPr>
          <w:p w:rsidR="0078781A" w:rsidRPr="0078781A" w:rsidRDefault="0078781A" w:rsidP="0078781A">
            <w:pPr>
              <w:numPr>
                <w:ilvl w:val="0"/>
                <w:numId w:val="25"/>
              </w:numPr>
            </w:pPr>
            <w:r w:rsidRPr="0078781A">
              <w:t>service target performance incentive scheme</w:t>
            </w:r>
          </w:p>
        </w:tc>
      </w:tr>
      <w:tr w:rsidR="0078781A" w:rsidTr="0078781A">
        <w:tc>
          <w:tcPr>
            <w:tcW w:w="4349" w:type="dxa"/>
          </w:tcPr>
          <w:p w:rsidR="0078781A" w:rsidRPr="0078781A" w:rsidRDefault="0078781A" w:rsidP="0078781A">
            <w:pPr>
              <w:numPr>
                <w:ilvl w:val="0"/>
                <w:numId w:val="25"/>
              </w:numPr>
            </w:pPr>
            <w:r w:rsidRPr="0078781A">
              <w:t>WACC</w:t>
            </w:r>
          </w:p>
        </w:tc>
        <w:tc>
          <w:tcPr>
            <w:tcW w:w="4344" w:type="dxa"/>
          </w:tcPr>
          <w:p w:rsidR="0078781A" w:rsidRPr="0078781A" w:rsidRDefault="0078781A" w:rsidP="0078781A">
            <w:pPr>
              <w:numPr>
                <w:ilvl w:val="0"/>
                <w:numId w:val="25"/>
              </w:numPr>
            </w:pPr>
            <w:r w:rsidRPr="0078781A">
              <w:t>weighted average cost of capital</w:t>
            </w:r>
          </w:p>
        </w:tc>
      </w:tr>
    </w:tbl>
    <w:p w:rsidR="00DE563D" w:rsidRPr="00436A39" w:rsidRDefault="00DE563D" w:rsidP="00DE563D">
      <w:pPr>
        <w:numPr>
          <w:ilvl w:val="0"/>
          <w:numId w:val="25"/>
        </w:numPr>
      </w:pPr>
    </w:p>
    <w:p w:rsidR="00DE563D" w:rsidRDefault="00DE563D" w:rsidP="00DE563D"/>
    <w:p w:rsidR="00DE563D" w:rsidRDefault="00C4466F" w:rsidP="00C4466F">
      <w:pPr>
        <w:pStyle w:val="Heading1"/>
      </w:pPr>
      <w:bookmarkStart w:id="10" w:name="_Toc417306249"/>
      <w:r w:rsidRPr="00C4466F">
        <w:lastRenderedPageBreak/>
        <w:t>Regulatory asset base</w:t>
      </w:r>
      <w:bookmarkEnd w:id="10"/>
    </w:p>
    <w:p w:rsidR="00DE563D" w:rsidRDefault="00C6447C" w:rsidP="00DE563D">
      <w:r w:rsidRPr="004E658F">
        <w:t xml:space="preserve">We are required to make a decision on </w:t>
      </w:r>
      <w:r>
        <w:t>Essential Energy</w:t>
      </w:r>
      <w:r w:rsidRPr="004E658F">
        <w:t>'s opening regulatory asset base (RAB) as at 1 July 201</w:t>
      </w:r>
      <w:r>
        <w:t>4</w:t>
      </w:r>
      <w:r w:rsidRPr="004E658F">
        <w:t>.</w:t>
      </w:r>
      <w:r w:rsidR="000B5900">
        <w:rPr>
          <w:rStyle w:val="FootnoteReference"/>
        </w:rPr>
        <w:footnoteReference w:id="1"/>
      </w:r>
      <w:r w:rsidRPr="004E658F">
        <w:t xml:space="preserve"> We use the RAB at the start of each regulatory year to determine the return of capital (regulatory depreciation) and return on capital building block allowances. This attachment presents our </w:t>
      </w:r>
      <w:r w:rsidR="000B5900">
        <w:t>final</w:t>
      </w:r>
      <w:r w:rsidR="000B5900" w:rsidRPr="004E658F">
        <w:t xml:space="preserve"> </w:t>
      </w:r>
      <w:r w:rsidRPr="004E658F">
        <w:t>decision on the opening RAB value as at 1 July 201</w:t>
      </w:r>
      <w:r>
        <w:t>4</w:t>
      </w:r>
      <w:r w:rsidRPr="004E658F">
        <w:t xml:space="preserve"> for </w:t>
      </w:r>
      <w:r>
        <w:t>Essential Energy</w:t>
      </w:r>
      <w:r w:rsidRPr="004E658F">
        <w:t xml:space="preserve"> and roll forward of the forecast RAB </w:t>
      </w:r>
      <w:r w:rsidR="000B5900">
        <w:t xml:space="preserve">values </w:t>
      </w:r>
      <w:r w:rsidRPr="004E658F">
        <w:t>over the 201</w:t>
      </w:r>
      <w:r>
        <w:t>4</w:t>
      </w:r>
      <w:r w:rsidRPr="004E658F">
        <w:t>–</w:t>
      </w:r>
      <w:r>
        <w:t>19</w:t>
      </w:r>
      <w:r w:rsidRPr="004E658F">
        <w:t xml:space="preserve"> period.</w:t>
      </w:r>
    </w:p>
    <w:p w:rsidR="00DE563D" w:rsidRPr="001754EE" w:rsidRDefault="00415F31" w:rsidP="001754EE">
      <w:pPr>
        <w:pStyle w:val="Heading2"/>
      </w:pPr>
      <w:bookmarkStart w:id="11" w:name="_Toc403144136"/>
      <w:bookmarkStart w:id="12" w:name="_Toc417306250"/>
      <w:r w:rsidRPr="001754EE">
        <w:t>Final</w:t>
      </w:r>
      <w:r w:rsidR="00DE563D" w:rsidRPr="001754EE">
        <w:t xml:space="preserve"> decision</w:t>
      </w:r>
      <w:bookmarkEnd w:id="11"/>
      <w:bookmarkEnd w:id="12"/>
    </w:p>
    <w:p w:rsidR="002C233C" w:rsidRDefault="00C6447C" w:rsidP="00094E2F">
      <w:bookmarkStart w:id="13" w:name="_Toc403144137"/>
      <w:r>
        <w:t>We do not accept Essential Energy's revised propos</w:t>
      </w:r>
      <w:r w:rsidR="000B5900">
        <w:t>ed opening</w:t>
      </w:r>
      <w:r>
        <w:t xml:space="preserve"> RAB </w:t>
      </w:r>
      <w:r w:rsidR="000B5900">
        <w:t xml:space="preserve">value </w:t>
      </w:r>
      <w:r>
        <w:t>of $</w:t>
      </w:r>
      <w:r w:rsidR="00094E2F">
        <w:t>6</w:t>
      </w:r>
      <w:r>
        <w:t>78</w:t>
      </w:r>
      <w:r w:rsidR="000B5900">
        <w:t>7.6</w:t>
      </w:r>
      <w:r>
        <w:t> million ($ nominal) as at 1 July 2014. We instead determine an opening RAB as at 1 July 2014 of $6</w:t>
      </w:r>
      <w:r w:rsidR="0043444D">
        <w:t>774.2</w:t>
      </w:r>
      <w:r>
        <w:t> million ($ nominal).</w:t>
      </w:r>
      <w:r w:rsidR="00094E2F">
        <w:t xml:space="preserve"> </w:t>
      </w:r>
      <w:r w:rsidR="00094E2F" w:rsidRPr="00094E2F">
        <w:t>This</w:t>
      </w:r>
      <w:r w:rsidR="00094E2F">
        <w:t xml:space="preserve"> </w:t>
      </w:r>
      <w:r w:rsidR="00094E2F" w:rsidRPr="00094E2F">
        <w:t>is because we amended Essential Energy's proposed actual capex values to reverse the movements</w:t>
      </w:r>
      <w:r w:rsidR="00094E2F">
        <w:t xml:space="preserve"> </w:t>
      </w:r>
      <w:r w:rsidR="00094E2F" w:rsidRPr="00094E2F">
        <w:t>in capitalised provisions from 2009–2014. This amendment reduced the opening RAB as at</w:t>
      </w:r>
      <w:r w:rsidR="00094E2F">
        <w:t xml:space="preserve"> </w:t>
      </w:r>
      <w:r w:rsidR="00094E2F" w:rsidRPr="00094E2F">
        <w:t>1 July 2014 by $</w:t>
      </w:r>
      <w:r w:rsidR="0043444D">
        <w:t>13.4</w:t>
      </w:r>
      <w:r w:rsidR="00094E2F" w:rsidRPr="00094E2F">
        <w:t xml:space="preserve"> million (or </w:t>
      </w:r>
      <w:r w:rsidR="0043444D">
        <w:t>0.2</w:t>
      </w:r>
      <w:r w:rsidR="00094E2F" w:rsidRPr="00094E2F">
        <w:t xml:space="preserve"> per cent) compared to that </w:t>
      </w:r>
      <w:r w:rsidR="000B5900">
        <w:t xml:space="preserve">in the </w:t>
      </w:r>
      <w:r w:rsidR="00094E2F">
        <w:t xml:space="preserve">revised </w:t>
      </w:r>
      <w:r w:rsidR="00094E2F" w:rsidRPr="00094E2F">
        <w:t>propos</w:t>
      </w:r>
      <w:r w:rsidR="00094E2F">
        <w:t>al</w:t>
      </w:r>
      <w:r w:rsidR="00094E2F" w:rsidRPr="00094E2F">
        <w:t>.</w:t>
      </w:r>
    </w:p>
    <w:p w:rsidR="000B5900" w:rsidRDefault="000B5900" w:rsidP="00094E2F">
      <w:r>
        <w:t>We note Essential Energy's revised proposal adopted our draft decision on the use of forecast depreciation for establishing the RAB at the commencement of the regulatory control period from 1 July 2019.</w:t>
      </w:r>
      <w:r>
        <w:rPr>
          <w:rStyle w:val="FootnoteReference"/>
        </w:rPr>
        <w:footnoteReference w:id="2"/>
      </w:r>
      <w:r>
        <w:t xml:space="preserve"> We therefore </w:t>
      </w:r>
      <w:r w:rsidR="005D34F3">
        <w:t>maintain</w:t>
      </w:r>
      <w:r>
        <w:t xml:space="preserve"> our </w:t>
      </w:r>
      <w:r w:rsidR="005D34F3">
        <w:t>draft decision position</w:t>
      </w:r>
      <w:r>
        <w:t xml:space="preserve"> on this </w:t>
      </w:r>
      <w:r w:rsidR="005D34F3">
        <w:t>issue</w:t>
      </w:r>
      <w:r>
        <w:t xml:space="preserve"> for this final decision.</w:t>
      </w:r>
    </w:p>
    <w:p w:rsidR="00EB4B6F" w:rsidRDefault="00094E2F" w:rsidP="00EB4B6F">
      <w:r>
        <w:fldChar w:fldCharType="begin"/>
      </w:r>
      <w:r>
        <w:instrText xml:space="preserve"> REF _Ref413328557 \h </w:instrText>
      </w:r>
      <w:r>
        <w:fldChar w:fldCharType="separate"/>
      </w:r>
      <w:r w:rsidR="00D32DCD">
        <w:t xml:space="preserve">Table </w:t>
      </w:r>
      <w:r w:rsidR="00D32DCD">
        <w:rPr>
          <w:noProof/>
        </w:rPr>
        <w:t>2</w:t>
      </w:r>
      <w:r w:rsidR="00D32DCD">
        <w:t>.</w:t>
      </w:r>
      <w:r w:rsidR="00D32DCD">
        <w:rPr>
          <w:noProof/>
        </w:rPr>
        <w:t>1</w:t>
      </w:r>
      <w:r>
        <w:fldChar w:fldCharType="end"/>
      </w:r>
      <w:r>
        <w:t xml:space="preserve"> </w:t>
      </w:r>
      <w:r w:rsidRPr="003805CA">
        <w:t xml:space="preserve">sets out our </w:t>
      </w:r>
      <w:r>
        <w:t>final</w:t>
      </w:r>
      <w:r w:rsidRPr="003805CA">
        <w:t xml:space="preserve"> decision on the roll forward of the RAB values for the </w:t>
      </w:r>
      <w:r w:rsidR="000B5900">
        <w:br/>
      </w:r>
      <w:r w:rsidRPr="003805CA">
        <w:t>20</w:t>
      </w:r>
      <w:r>
        <w:t>09</w:t>
      </w:r>
      <w:r w:rsidRPr="003805CA">
        <w:t>–1</w:t>
      </w:r>
      <w:r>
        <w:t>4</w:t>
      </w:r>
      <w:r w:rsidRPr="003805CA">
        <w:t xml:space="preserve"> regulatory control period.</w:t>
      </w:r>
      <w:r w:rsidR="00EB4B6F" w:rsidRPr="00EB4B6F">
        <w:t xml:space="preserve"> </w:t>
      </w:r>
    </w:p>
    <w:p w:rsidR="00EB4B6F" w:rsidRDefault="00EB4B6F" w:rsidP="00EB4B6F">
      <w:r w:rsidRPr="003805CA">
        <w:t>We determine a forecast closing RAB value at 30 June 2019 of $</w:t>
      </w:r>
      <w:r>
        <w:t>8720.4 </w:t>
      </w:r>
      <w:r w:rsidRPr="003805CA">
        <w:t>million ($</w:t>
      </w:r>
      <w:r>
        <w:t> </w:t>
      </w:r>
      <w:r w:rsidRPr="003805CA">
        <w:t>nominal). This is</w:t>
      </w:r>
      <w:r>
        <w:t xml:space="preserve"> </w:t>
      </w:r>
      <w:r w:rsidRPr="003805CA">
        <w:t>$</w:t>
      </w:r>
      <w:r>
        <w:t>278.4 </w:t>
      </w:r>
      <w:r w:rsidRPr="003805CA">
        <w:t xml:space="preserve">million (or </w:t>
      </w:r>
      <w:r>
        <w:t>3.1 </w:t>
      </w:r>
      <w:r w:rsidRPr="003805CA">
        <w:t>per cent) lower than the amount of $</w:t>
      </w:r>
      <w:r>
        <w:t>8998.8</w:t>
      </w:r>
      <w:r w:rsidRPr="003805CA">
        <w:t xml:space="preserve"> million ($</w:t>
      </w:r>
      <w:r>
        <w:t> </w:t>
      </w:r>
      <w:r w:rsidRPr="003805CA">
        <w:t xml:space="preserve">nominal) </w:t>
      </w:r>
      <w:r>
        <w:t>in Essential</w:t>
      </w:r>
      <w:r w:rsidRPr="003805CA">
        <w:t xml:space="preserve"> Energy</w:t>
      </w:r>
      <w:r>
        <w:t>'s revised proposal</w:t>
      </w:r>
      <w:r w:rsidRPr="003805CA">
        <w:t xml:space="preserve">. Our </w:t>
      </w:r>
      <w:r>
        <w:t xml:space="preserve">final </w:t>
      </w:r>
      <w:r w:rsidRPr="003805CA">
        <w:t xml:space="preserve">decision on the forecast closing RAB reflects our </w:t>
      </w:r>
      <w:r>
        <w:t xml:space="preserve">adjustments to Essential Energy's opening RAB at 1 July 2014 (section </w:t>
      </w:r>
      <w:r>
        <w:fldChar w:fldCharType="begin"/>
      </w:r>
      <w:r>
        <w:instrText xml:space="preserve"> REF _Ref414874685 \r \h </w:instrText>
      </w:r>
      <w:r>
        <w:fldChar w:fldCharType="separate"/>
      </w:r>
      <w:r>
        <w:t>2.4.1</w:t>
      </w:r>
      <w:r>
        <w:fldChar w:fldCharType="end"/>
      </w:r>
      <w:r>
        <w:t>)</w:t>
      </w:r>
      <w:r w:rsidRPr="003805CA">
        <w:t xml:space="preserve"> forecast capex (attachment 6)</w:t>
      </w:r>
      <w:r>
        <w:t xml:space="preserve">, </w:t>
      </w:r>
      <w:r w:rsidRPr="003805CA">
        <w:t>forecast</w:t>
      </w:r>
      <w:r>
        <w:t xml:space="preserve"> regulatory </w:t>
      </w:r>
      <w:r w:rsidRPr="003805CA">
        <w:t>depreciation (attachment 5)</w:t>
      </w:r>
      <w:r>
        <w:t xml:space="preserve"> and</w:t>
      </w:r>
      <w:r w:rsidRPr="00227935">
        <w:t xml:space="preserve"> </w:t>
      </w:r>
      <w:r>
        <w:t>the forecast inflation rate</w:t>
      </w:r>
      <w:r w:rsidRPr="003805CA">
        <w:t xml:space="preserve"> </w:t>
      </w:r>
      <w:r>
        <w:t>(attachment 3.)</w:t>
      </w:r>
    </w:p>
    <w:p w:rsidR="00EB4B6F" w:rsidRDefault="00EB4B6F" w:rsidP="00EB4B6F">
      <w:r>
        <w:fldChar w:fldCharType="begin"/>
      </w:r>
      <w:r>
        <w:instrText xml:space="preserve"> REF _Ref413328813 \h </w:instrText>
      </w:r>
      <w:r>
        <w:fldChar w:fldCharType="separate"/>
      </w:r>
      <w:r>
        <w:t xml:space="preserve">Table </w:t>
      </w:r>
      <w:r w:rsidRPr="00EB4B6F">
        <w:t>2</w:t>
      </w:r>
      <w:r>
        <w:t>.</w:t>
      </w:r>
      <w:r w:rsidRPr="00EB4B6F">
        <w:t>2</w:t>
      </w:r>
      <w:r>
        <w:fldChar w:fldCharType="end"/>
      </w:r>
      <w:r>
        <w:t xml:space="preserve"> </w:t>
      </w:r>
      <w:r w:rsidRPr="001B7707">
        <w:t xml:space="preserve">sets out our </w:t>
      </w:r>
      <w:r>
        <w:t xml:space="preserve">final </w:t>
      </w:r>
      <w:r w:rsidRPr="001B7707">
        <w:t xml:space="preserve">decision on the forecast RAB values for </w:t>
      </w:r>
      <w:r>
        <w:t>Essential Energy over the 2014</w:t>
      </w:r>
      <w:r w:rsidRPr="001B7707">
        <w:t>–</w:t>
      </w:r>
      <w:r>
        <w:t>19</w:t>
      </w:r>
      <w:r w:rsidRPr="001B7707">
        <w:t xml:space="preserve"> </w:t>
      </w:r>
      <w:proofErr w:type="gramStart"/>
      <w:r w:rsidRPr="001B7707">
        <w:t>period</w:t>
      </w:r>
      <w:proofErr w:type="gramEnd"/>
      <w:r w:rsidRPr="001B7707">
        <w:t>.</w:t>
      </w:r>
    </w:p>
    <w:p w:rsidR="00094E2F" w:rsidRDefault="00094E2F" w:rsidP="00094E2F"/>
    <w:p w:rsidR="00EB4B6F" w:rsidRDefault="00EB4B6F" w:rsidP="00094E2F"/>
    <w:p w:rsidR="00094E2F" w:rsidRDefault="00094E2F" w:rsidP="00094E2F">
      <w:pPr>
        <w:pStyle w:val="Caption"/>
      </w:pPr>
      <w:bookmarkStart w:id="14" w:name="_Ref413328557"/>
      <w:proofErr w:type="gramStart"/>
      <w:r>
        <w:lastRenderedPageBreak/>
        <w:t xml:space="preserve">Table </w:t>
      </w:r>
      <w:r w:rsidR="00281EBD">
        <w:fldChar w:fldCharType="begin"/>
      </w:r>
      <w:r w:rsidR="00281EBD">
        <w:instrText xml:space="preserve"> STYLEREF 1 \s </w:instrText>
      </w:r>
      <w:r w:rsidR="00281EBD">
        <w:fldChar w:fldCharType="separate"/>
      </w:r>
      <w:r w:rsidR="00D32DCD">
        <w:rPr>
          <w:noProof/>
        </w:rPr>
        <w:t>2</w:t>
      </w:r>
      <w:r w:rsidR="00281EBD">
        <w:rPr>
          <w:noProof/>
        </w:rPr>
        <w:fldChar w:fldCharType="end"/>
      </w:r>
      <w:r w:rsidR="00D32DCD">
        <w:t>.</w:t>
      </w:r>
      <w:proofErr w:type="gramEnd"/>
      <w:r w:rsidR="00281EBD">
        <w:fldChar w:fldCharType="begin"/>
      </w:r>
      <w:r w:rsidR="00281EBD">
        <w:instrText xml:space="preserve"> SEQ Table \* ARABIC \s 1 </w:instrText>
      </w:r>
      <w:r w:rsidR="00281EBD">
        <w:fldChar w:fldCharType="separate"/>
      </w:r>
      <w:r w:rsidR="00D32DCD">
        <w:rPr>
          <w:noProof/>
        </w:rPr>
        <w:t>1</w:t>
      </w:r>
      <w:r w:rsidR="00281EBD">
        <w:rPr>
          <w:noProof/>
        </w:rPr>
        <w:fldChar w:fldCharType="end"/>
      </w:r>
      <w:bookmarkEnd w:id="14"/>
      <w:r>
        <w:tab/>
      </w:r>
      <w:r w:rsidRPr="00094E2F">
        <w:t xml:space="preserve">AER's final decision on </w:t>
      </w:r>
      <w:r>
        <w:t>Essential</w:t>
      </w:r>
      <w:r w:rsidRPr="00094E2F">
        <w:t xml:space="preserve"> Energy's RAB for the </w:t>
      </w:r>
      <w:r w:rsidR="000B5900">
        <w:br/>
      </w:r>
      <w:r w:rsidRPr="00094E2F">
        <w:t>2009–14 regulatory control 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43444D" w:rsidRPr="0043444D" w:rsidTr="008C306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88" w:type="pct"/>
            <w:noWrap/>
            <w:hideMark/>
          </w:tcPr>
          <w:p w:rsidR="0043444D" w:rsidRPr="0043444D" w:rsidRDefault="0043444D" w:rsidP="0043444D">
            <w:r w:rsidRPr="0043444D">
              <w:t> </w:t>
            </w:r>
          </w:p>
        </w:tc>
        <w:tc>
          <w:tcPr>
            <w:tcW w:w="602" w:type="pct"/>
            <w:noWrap/>
            <w:hideMark/>
          </w:tcPr>
          <w:p w:rsidR="0043444D" w:rsidRPr="0043444D" w:rsidRDefault="0043444D" w:rsidP="0043444D">
            <w:pPr>
              <w:cnfStyle w:val="100000000000" w:firstRow="1" w:lastRow="0" w:firstColumn="0" w:lastColumn="0" w:oddVBand="0" w:evenVBand="0" w:oddHBand="0" w:evenHBand="0" w:firstRowFirstColumn="0" w:firstRowLastColumn="0" w:lastRowFirstColumn="0" w:lastRowLastColumn="0"/>
            </w:pPr>
            <w:r w:rsidRPr="0043444D">
              <w:t>2009–10</w:t>
            </w:r>
          </w:p>
        </w:tc>
        <w:tc>
          <w:tcPr>
            <w:tcW w:w="602" w:type="pct"/>
            <w:noWrap/>
            <w:hideMark/>
          </w:tcPr>
          <w:p w:rsidR="0043444D" w:rsidRPr="0043444D" w:rsidRDefault="0043444D" w:rsidP="0043444D">
            <w:pPr>
              <w:cnfStyle w:val="100000000000" w:firstRow="1" w:lastRow="0" w:firstColumn="0" w:lastColumn="0" w:oddVBand="0" w:evenVBand="0" w:oddHBand="0" w:evenHBand="0" w:firstRowFirstColumn="0" w:firstRowLastColumn="0" w:lastRowFirstColumn="0" w:lastRowLastColumn="0"/>
            </w:pPr>
            <w:r w:rsidRPr="0043444D">
              <w:t>2010–11</w:t>
            </w:r>
          </w:p>
        </w:tc>
        <w:tc>
          <w:tcPr>
            <w:tcW w:w="602" w:type="pct"/>
            <w:noWrap/>
            <w:hideMark/>
          </w:tcPr>
          <w:p w:rsidR="0043444D" w:rsidRPr="0043444D" w:rsidRDefault="0043444D" w:rsidP="0043444D">
            <w:pPr>
              <w:cnfStyle w:val="100000000000" w:firstRow="1" w:lastRow="0" w:firstColumn="0" w:lastColumn="0" w:oddVBand="0" w:evenVBand="0" w:oddHBand="0" w:evenHBand="0" w:firstRowFirstColumn="0" w:firstRowLastColumn="0" w:lastRowFirstColumn="0" w:lastRowLastColumn="0"/>
            </w:pPr>
            <w:r w:rsidRPr="0043444D">
              <w:t>2011–12</w:t>
            </w:r>
          </w:p>
        </w:tc>
        <w:tc>
          <w:tcPr>
            <w:tcW w:w="602" w:type="pct"/>
            <w:noWrap/>
            <w:hideMark/>
          </w:tcPr>
          <w:p w:rsidR="0043444D" w:rsidRPr="0043444D" w:rsidRDefault="0043444D" w:rsidP="0043444D">
            <w:pPr>
              <w:cnfStyle w:val="100000000000" w:firstRow="1" w:lastRow="0" w:firstColumn="0" w:lastColumn="0" w:oddVBand="0" w:evenVBand="0" w:oddHBand="0" w:evenHBand="0" w:firstRowFirstColumn="0" w:firstRowLastColumn="0" w:lastRowFirstColumn="0" w:lastRowLastColumn="0"/>
            </w:pPr>
            <w:r w:rsidRPr="0043444D">
              <w:t>2012–13</w:t>
            </w:r>
          </w:p>
        </w:tc>
        <w:tc>
          <w:tcPr>
            <w:tcW w:w="602" w:type="pct"/>
            <w:noWrap/>
            <w:hideMark/>
          </w:tcPr>
          <w:p w:rsidR="0043444D" w:rsidRPr="0043444D" w:rsidRDefault="0043444D" w:rsidP="0043444D">
            <w:pPr>
              <w:cnfStyle w:val="100000000000" w:firstRow="1" w:lastRow="0" w:firstColumn="0" w:lastColumn="0" w:oddVBand="0" w:evenVBand="0" w:oddHBand="0" w:evenHBand="0" w:firstRowFirstColumn="0" w:firstRowLastColumn="0" w:lastRowFirstColumn="0" w:lastRowLastColumn="0"/>
            </w:pPr>
            <w:r w:rsidRPr="0043444D">
              <w:t>2013–14</w:t>
            </w:r>
          </w:p>
        </w:tc>
      </w:tr>
      <w:tr w:rsidR="0043444D" w:rsidRPr="00921CA9" w:rsidTr="0043444D">
        <w:trPr>
          <w:trHeight w:val="300"/>
        </w:trPr>
        <w:tc>
          <w:tcPr>
            <w:cnfStyle w:val="001000000000" w:firstRow="0" w:lastRow="0" w:firstColumn="1" w:lastColumn="0" w:oddVBand="0" w:evenVBand="0" w:oddHBand="0" w:evenHBand="0" w:firstRowFirstColumn="0" w:firstRowLastColumn="0" w:lastRowFirstColumn="0" w:lastRowLastColumn="0"/>
            <w:tcW w:w="1988" w:type="pct"/>
            <w:noWrap/>
            <w:hideMark/>
          </w:tcPr>
          <w:p w:rsidR="0043444D" w:rsidRPr="00921CA9" w:rsidRDefault="0043444D" w:rsidP="00921CA9">
            <w:r w:rsidRPr="00921CA9">
              <w:t>Opening RAB</w:t>
            </w:r>
          </w:p>
        </w:tc>
        <w:tc>
          <w:tcPr>
            <w:tcW w:w="602" w:type="pct"/>
            <w:noWrap/>
            <w:hideMark/>
          </w:tcPr>
          <w:p w:rsidR="0043444D" w:rsidRPr="00921CA9" w:rsidRDefault="0043444D" w:rsidP="00921CA9">
            <w:pPr>
              <w:cnfStyle w:val="000000000000" w:firstRow="0" w:lastRow="0" w:firstColumn="0" w:lastColumn="0" w:oddVBand="0" w:evenVBand="0" w:oddHBand="0" w:evenHBand="0" w:firstRowFirstColumn="0" w:firstRowLastColumn="0" w:lastRowFirstColumn="0" w:lastRowLastColumn="0"/>
            </w:pPr>
            <w:r w:rsidRPr="00921CA9">
              <w:t>4319.4</w:t>
            </w:r>
          </w:p>
        </w:tc>
        <w:tc>
          <w:tcPr>
            <w:tcW w:w="602" w:type="pct"/>
            <w:noWrap/>
            <w:hideMark/>
          </w:tcPr>
          <w:p w:rsidR="0043444D" w:rsidRPr="00921CA9" w:rsidRDefault="0043444D" w:rsidP="00921CA9">
            <w:pPr>
              <w:cnfStyle w:val="000000000000" w:firstRow="0" w:lastRow="0" w:firstColumn="0" w:lastColumn="0" w:oddVBand="0" w:evenVBand="0" w:oddHBand="0" w:evenHBand="0" w:firstRowFirstColumn="0" w:firstRowLastColumn="0" w:lastRowFirstColumn="0" w:lastRowLastColumn="0"/>
            </w:pPr>
            <w:r w:rsidRPr="00921CA9">
              <w:t>4819.5</w:t>
            </w:r>
          </w:p>
        </w:tc>
        <w:tc>
          <w:tcPr>
            <w:tcW w:w="602" w:type="pct"/>
            <w:noWrap/>
            <w:hideMark/>
          </w:tcPr>
          <w:p w:rsidR="0043444D" w:rsidRPr="00921CA9" w:rsidRDefault="0043444D" w:rsidP="00921CA9">
            <w:pPr>
              <w:cnfStyle w:val="000000000000" w:firstRow="0" w:lastRow="0" w:firstColumn="0" w:lastColumn="0" w:oddVBand="0" w:evenVBand="0" w:oddHBand="0" w:evenHBand="0" w:firstRowFirstColumn="0" w:firstRowLastColumn="0" w:lastRowFirstColumn="0" w:lastRowLastColumn="0"/>
            </w:pPr>
            <w:r w:rsidRPr="00921CA9">
              <w:t>5379.1</w:t>
            </w:r>
          </w:p>
        </w:tc>
        <w:tc>
          <w:tcPr>
            <w:tcW w:w="602" w:type="pct"/>
            <w:noWrap/>
            <w:hideMark/>
          </w:tcPr>
          <w:p w:rsidR="0043444D" w:rsidRPr="00921CA9" w:rsidRDefault="0043444D" w:rsidP="00921CA9">
            <w:pPr>
              <w:cnfStyle w:val="000000000000" w:firstRow="0" w:lastRow="0" w:firstColumn="0" w:lastColumn="0" w:oddVBand="0" w:evenVBand="0" w:oddHBand="0" w:evenHBand="0" w:firstRowFirstColumn="0" w:firstRowLastColumn="0" w:lastRowFirstColumn="0" w:lastRowLastColumn="0"/>
            </w:pPr>
            <w:r w:rsidRPr="00921CA9">
              <w:t>6050.1</w:t>
            </w:r>
          </w:p>
        </w:tc>
        <w:tc>
          <w:tcPr>
            <w:tcW w:w="602" w:type="pct"/>
            <w:noWrap/>
            <w:hideMark/>
          </w:tcPr>
          <w:p w:rsidR="0043444D" w:rsidRPr="00921CA9" w:rsidRDefault="0043444D" w:rsidP="00921CA9">
            <w:pPr>
              <w:cnfStyle w:val="000000000000" w:firstRow="0" w:lastRow="0" w:firstColumn="0" w:lastColumn="0" w:oddVBand="0" w:evenVBand="0" w:oddHBand="0" w:evenHBand="0" w:firstRowFirstColumn="0" w:firstRowLastColumn="0" w:lastRowFirstColumn="0" w:lastRowLastColumn="0"/>
            </w:pPr>
            <w:r w:rsidRPr="00921CA9">
              <w:t>6505.3</w:t>
            </w:r>
          </w:p>
        </w:tc>
      </w:tr>
      <w:tr w:rsidR="0043444D" w:rsidRPr="0043444D" w:rsidTr="0043444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8" w:type="pct"/>
            <w:noWrap/>
            <w:hideMark/>
          </w:tcPr>
          <w:p w:rsidR="0043444D" w:rsidRPr="0043444D" w:rsidRDefault="0043444D" w:rsidP="0043444D">
            <w:r w:rsidRPr="0043444D">
              <w:t xml:space="preserve">Capital expenditure </w:t>
            </w: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r w:rsidRPr="0043444D">
              <w:t>687.3</w:t>
            </w: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r w:rsidRPr="0043444D">
              <w:t>720.1</w:t>
            </w: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r w:rsidRPr="0043444D">
              <w:t>760.4</w:t>
            </w: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r w:rsidRPr="0043444D">
              <w:t>657.4</w:t>
            </w: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r w:rsidRPr="0043444D">
              <w:t>587.7</w:t>
            </w:r>
          </w:p>
        </w:tc>
      </w:tr>
      <w:tr w:rsidR="0043444D" w:rsidRPr="0043444D" w:rsidTr="0043444D">
        <w:trPr>
          <w:trHeight w:val="300"/>
        </w:trPr>
        <w:tc>
          <w:tcPr>
            <w:cnfStyle w:val="001000000000" w:firstRow="0" w:lastRow="0" w:firstColumn="1" w:lastColumn="0" w:oddVBand="0" w:evenVBand="0" w:oddHBand="0" w:evenHBand="0" w:firstRowFirstColumn="0" w:firstRowLastColumn="0" w:lastRowFirstColumn="0" w:lastRowLastColumn="0"/>
            <w:tcW w:w="1988" w:type="pct"/>
            <w:noWrap/>
            <w:hideMark/>
          </w:tcPr>
          <w:p w:rsidR="0043444D" w:rsidRPr="0043444D" w:rsidRDefault="0043444D" w:rsidP="0043444D">
            <w:r w:rsidRPr="0043444D">
              <w:t>Inflation indexation on opening RAB</w:t>
            </w:r>
          </w:p>
        </w:tc>
        <w:tc>
          <w:tcPr>
            <w:tcW w:w="602" w:type="pct"/>
            <w:noWrap/>
            <w:hideMark/>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r w:rsidRPr="0043444D">
              <w:t>78.6</w:t>
            </w:r>
          </w:p>
        </w:tc>
        <w:tc>
          <w:tcPr>
            <w:tcW w:w="602" w:type="pct"/>
            <w:noWrap/>
            <w:hideMark/>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r w:rsidRPr="0043444D">
              <w:t>137.1</w:t>
            </w:r>
          </w:p>
        </w:tc>
        <w:tc>
          <w:tcPr>
            <w:tcW w:w="602" w:type="pct"/>
            <w:noWrap/>
            <w:hideMark/>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r w:rsidRPr="0043444D">
              <w:t>182.3</w:t>
            </w:r>
          </w:p>
        </w:tc>
        <w:tc>
          <w:tcPr>
            <w:tcW w:w="602" w:type="pct"/>
            <w:noWrap/>
            <w:hideMark/>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r w:rsidRPr="0043444D">
              <w:t>106.6</w:t>
            </w:r>
          </w:p>
        </w:tc>
        <w:tc>
          <w:tcPr>
            <w:tcW w:w="602" w:type="pct"/>
            <w:noWrap/>
            <w:hideMark/>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r w:rsidRPr="0043444D">
              <w:t>159.4</w:t>
            </w:r>
          </w:p>
        </w:tc>
      </w:tr>
      <w:tr w:rsidR="0043444D" w:rsidRPr="0043444D" w:rsidTr="0043444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8" w:type="pct"/>
            <w:noWrap/>
            <w:hideMark/>
          </w:tcPr>
          <w:p w:rsidR="0043444D" w:rsidRPr="0043444D" w:rsidRDefault="0043444D" w:rsidP="0043444D">
            <w:r w:rsidRPr="00B6341A">
              <w:rPr>
                <w:rStyle w:val="AERtextitalic"/>
              </w:rPr>
              <w:t>Less:</w:t>
            </w:r>
            <w:r w:rsidRPr="0043444D">
              <w:t xml:space="preserve"> straight-line depreciation</w:t>
            </w: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r w:rsidRPr="0043444D">
              <w:t>265.8</w:t>
            </w: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r w:rsidRPr="0043444D">
              <w:t>297.6</w:t>
            </w: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r w:rsidRPr="0043444D">
              <w:t>271.8</w:t>
            </w: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r w:rsidRPr="0043444D">
              <w:t>308.8</w:t>
            </w: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r w:rsidRPr="0043444D">
              <w:t>333.4</w:t>
            </w:r>
          </w:p>
        </w:tc>
      </w:tr>
      <w:tr w:rsidR="0043444D" w:rsidRPr="00921CA9" w:rsidTr="0043444D">
        <w:trPr>
          <w:trHeight w:val="300"/>
        </w:trPr>
        <w:tc>
          <w:tcPr>
            <w:cnfStyle w:val="001000000000" w:firstRow="0" w:lastRow="0" w:firstColumn="1" w:lastColumn="0" w:oddVBand="0" w:evenVBand="0" w:oddHBand="0" w:evenHBand="0" w:firstRowFirstColumn="0" w:firstRowLastColumn="0" w:lastRowFirstColumn="0" w:lastRowLastColumn="0"/>
            <w:tcW w:w="1988" w:type="pct"/>
            <w:noWrap/>
            <w:hideMark/>
          </w:tcPr>
          <w:p w:rsidR="0043444D" w:rsidRPr="00921CA9" w:rsidRDefault="0043444D" w:rsidP="00921CA9">
            <w:r w:rsidRPr="00921CA9">
              <w:t>Closing RAB</w:t>
            </w:r>
          </w:p>
        </w:tc>
        <w:tc>
          <w:tcPr>
            <w:tcW w:w="602" w:type="pct"/>
            <w:noWrap/>
            <w:hideMark/>
          </w:tcPr>
          <w:p w:rsidR="0043444D" w:rsidRPr="00921CA9" w:rsidRDefault="0043444D" w:rsidP="00921CA9">
            <w:pPr>
              <w:cnfStyle w:val="000000000000" w:firstRow="0" w:lastRow="0" w:firstColumn="0" w:lastColumn="0" w:oddVBand="0" w:evenVBand="0" w:oddHBand="0" w:evenHBand="0" w:firstRowFirstColumn="0" w:firstRowLastColumn="0" w:lastRowFirstColumn="0" w:lastRowLastColumn="0"/>
            </w:pPr>
            <w:r w:rsidRPr="00921CA9">
              <w:t>4819.5</w:t>
            </w:r>
          </w:p>
        </w:tc>
        <w:tc>
          <w:tcPr>
            <w:tcW w:w="602" w:type="pct"/>
            <w:noWrap/>
            <w:hideMark/>
          </w:tcPr>
          <w:p w:rsidR="0043444D" w:rsidRPr="00921CA9" w:rsidRDefault="0043444D" w:rsidP="00921CA9">
            <w:pPr>
              <w:cnfStyle w:val="000000000000" w:firstRow="0" w:lastRow="0" w:firstColumn="0" w:lastColumn="0" w:oddVBand="0" w:evenVBand="0" w:oddHBand="0" w:evenHBand="0" w:firstRowFirstColumn="0" w:firstRowLastColumn="0" w:lastRowFirstColumn="0" w:lastRowLastColumn="0"/>
            </w:pPr>
            <w:r w:rsidRPr="00921CA9">
              <w:t>5379.1</w:t>
            </w:r>
          </w:p>
        </w:tc>
        <w:tc>
          <w:tcPr>
            <w:tcW w:w="602" w:type="pct"/>
            <w:noWrap/>
            <w:hideMark/>
          </w:tcPr>
          <w:p w:rsidR="0043444D" w:rsidRPr="00921CA9" w:rsidRDefault="0043444D" w:rsidP="00921CA9">
            <w:pPr>
              <w:cnfStyle w:val="000000000000" w:firstRow="0" w:lastRow="0" w:firstColumn="0" w:lastColumn="0" w:oddVBand="0" w:evenVBand="0" w:oddHBand="0" w:evenHBand="0" w:firstRowFirstColumn="0" w:firstRowLastColumn="0" w:lastRowFirstColumn="0" w:lastRowLastColumn="0"/>
            </w:pPr>
            <w:r w:rsidRPr="00921CA9">
              <w:t>6050.1</w:t>
            </w:r>
          </w:p>
        </w:tc>
        <w:tc>
          <w:tcPr>
            <w:tcW w:w="602" w:type="pct"/>
            <w:noWrap/>
            <w:hideMark/>
          </w:tcPr>
          <w:p w:rsidR="0043444D" w:rsidRPr="00921CA9" w:rsidRDefault="0043444D" w:rsidP="00921CA9">
            <w:pPr>
              <w:cnfStyle w:val="000000000000" w:firstRow="0" w:lastRow="0" w:firstColumn="0" w:lastColumn="0" w:oddVBand="0" w:evenVBand="0" w:oddHBand="0" w:evenHBand="0" w:firstRowFirstColumn="0" w:firstRowLastColumn="0" w:lastRowFirstColumn="0" w:lastRowLastColumn="0"/>
            </w:pPr>
            <w:r w:rsidRPr="00921CA9">
              <w:t>6505.3</w:t>
            </w:r>
          </w:p>
        </w:tc>
        <w:tc>
          <w:tcPr>
            <w:tcW w:w="602" w:type="pct"/>
            <w:noWrap/>
            <w:hideMark/>
          </w:tcPr>
          <w:p w:rsidR="0043444D" w:rsidRPr="00921CA9" w:rsidRDefault="0043444D" w:rsidP="00921CA9">
            <w:pPr>
              <w:cnfStyle w:val="000000000000" w:firstRow="0" w:lastRow="0" w:firstColumn="0" w:lastColumn="0" w:oddVBand="0" w:evenVBand="0" w:oddHBand="0" w:evenHBand="0" w:firstRowFirstColumn="0" w:firstRowLastColumn="0" w:lastRowFirstColumn="0" w:lastRowLastColumn="0"/>
            </w:pPr>
            <w:r w:rsidRPr="00921CA9">
              <w:t>6918.9</w:t>
            </w:r>
          </w:p>
        </w:tc>
      </w:tr>
      <w:tr w:rsidR="0043444D" w:rsidRPr="0043444D" w:rsidTr="008C306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8" w:type="pct"/>
            <w:hideMark/>
          </w:tcPr>
          <w:p w:rsidR="0043444D" w:rsidRPr="0043444D" w:rsidRDefault="0043444D" w:rsidP="0043444D">
            <w:r w:rsidRPr="0043444D">
              <w:t>Difference between estimated and actual capex (1 July  2008 to 30 June 2009)</w:t>
            </w:r>
          </w:p>
        </w:tc>
        <w:tc>
          <w:tcPr>
            <w:tcW w:w="602" w:type="pct"/>
            <w:noWrap/>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p>
        </w:tc>
        <w:tc>
          <w:tcPr>
            <w:tcW w:w="602" w:type="pct"/>
            <w:noWrap/>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p>
        </w:tc>
        <w:tc>
          <w:tcPr>
            <w:tcW w:w="602" w:type="pct"/>
            <w:noWrap/>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p>
        </w:tc>
        <w:tc>
          <w:tcPr>
            <w:tcW w:w="602" w:type="pct"/>
            <w:noWrap/>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pPr>
            <w:r>
              <w:t>–</w:t>
            </w:r>
            <w:r w:rsidRPr="0043444D">
              <w:t>31.0</w:t>
            </w:r>
          </w:p>
        </w:tc>
      </w:tr>
      <w:tr w:rsidR="0043444D" w:rsidRPr="0043444D" w:rsidTr="008C3062">
        <w:trPr>
          <w:trHeight w:val="300"/>
        </w:trPr>
        <w:tc>
          <w:tcPr>
            <w:cnfStyle w:val="001000000000" w:firstRow="0" w:lastRow="0" w:firstColumn="1" w:lastColumn="0" w:oddVBand="0" w:evenVBand="0" w:oddHBand="0" w:evenHBand="0" w:firstRowFirstColumn="0" w:firstRowLastColumn="0" w:lastRowFirstColumn="0" w:lastRowLastColumn="0"/>
            <w:tcW w:w="1988" w:type="pct"/>
            <w:hideMark/>
          </w:tcPr>
          <w:p w:rsidR="0043444D" w:rsidRPr="0043444D" w:rsidRDefault="0043444D" w:rsidP="0043444D">
            <w:r w:rsidRPr="0043444D">
              <w:t>Return on difference for 2008–09 capex</w:t>
            </w:r>
          </w:p>
        </w:tc>
        <w:tc>
          <w:tcPr>
            <w:tcW w:w="602" w:type="pct"/>
            <w:noWrap/>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p>
        </w:tc>
        <w:tc>
          <w:tcPr>
            <w:tcW w:w="602" w:type="pct"/>
            <w:noWrap/>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p>
        </w:tc>
        <w:tc>
          <w:tcPr>
            <w:tcW w:w="602" w:type="pct"/>
            <w:noWrap/>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p>
        </w:tc>
        <w:tc>
          <w:tcPr>
            <w:tcW w:w="602" w:type="pct"/>
            <w:noWrap/>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p>
        </w:tc>
        <w:tc>
          <w:tcPr>
            <w:tcW w:w="602" w:type="pct"/>
            <w:noWrap/>
            <w:hideMark/>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r>
              <w:t>–</w:t>
            </w:r>
            <w:r w:rsidRPr="0043444D">
              <w:t>18.9</w:t>
            </w:r>
          </w:p>
        </w:tc>
      </w:tr>
      <w:tr w:rsidR="0043444D" w:rsidRPr="00921CA9" w:rsidTr="008C306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8" w:type="pct"/>
            <w:noWrap/>
            <w:hideMark/>
          </w:tcPr>
          <w:p w:rsidR="0043444D" w:rsidRPr="00921CA9" w:rsidRDefault="0043444D" w:rsidP="00921CA9">
            <w:r w:rsidRPr="00921CA9">
              <w:t>Closing RAB as at 30 June 2014</w:t>
            </w:r>
          </w:p>
        </w:tc>
        <w:tc>
          <w:tcPr>
            <w:tcW w:w="602" w:type="pct"/>
            <w:noWrap/>
          </w:tcPr>
          <w:p w:rsidR="0043444D" w:rsidRPr="00921CA9" w:rsidRDefault="0043444D" w:rsidP="00921CA9">
            <w:pPr>
              <w:cnfStyle w:val="000000010000" w:firstRow="0" w:lastRow="0" w:firstColumn="0" w:lastColumn="0" w:oddVBand="0" w:evenVBand="0" w:oddHBand="0" w:evenHBand="1" w:firstRowFirstColumn="0" w:firstRowLastColumn="0" w:lastRowFirstColumn="0" w:lastRowLastColumn="0"/>
            </w:pPr>
          </w:p>
        </w:tc>
        <w:tc>
          <w:tcPr>
            <w:tcW w:w="602" w:type="pct"/>
            <w:noWrap/>
          </w:tcPr>
          <w:p w:rsidR="0043444D" w:rsidRPr="00921CA9" w:rsidRDefault="0043444D" w:rsidP="00921CA9">
            <w:pPr>
              <w:cnfStyle w:val="000000010000" w:firstRow="0" w:lastRow="0" w:firstColumn="0" w:lastColumn="0" w:oddVBand="0" w:evenVBand="0" w:oddHBand="0" w:evenHBand="1" w:firstRowFirstColumn="0" w:firstRowLastColumn="0" w:lastRowFirstColumn="0" w:lastRowLastColumn="0"/>
            </w:pPr>
          </w:p>
        </w:tc>
        <w:tc>
          <w:tcPr>
            <w:tcW w:w="602" w:type="pct"/>
            <w:noWrap/>
          </w:tcPr>
          <w:p w:rsidR="0043444D" w:rsidRPr="00921CA9" w:rsidRDefault="0043444D" w:rsidP="00921CA9">
            <w:pPr>
              <w:cnfStyle w:val="000000010000" w:firstRow="0" w:lastRow="0" w:firstColumn="0" w:lastColumn="0" w:oddVBand="0" w:evenVBand="0" w:oddHBand="0" w:evenHBand="1" w:firstRowFirstColumn="0" w:firstRowLastColumn="0" w:lastRowFirstColumn="0" w:lastRowLastColumn="0"/>
            </w:pPr>
          </w:p>
        </w:tc>
        <w:tc>
          <w:tcPr>
            <w:tcW w:w="602" w:type="pct"/>
            <w:noWrap/>
          </w:tcPr>
          <w:p w:rsidR="0043444D" w:rsidRPr="00921CA9" w:rsidRDefault="0043444D" w:rsidP="00921CA9">
            <w:pPr>
              <w:cnfStyle w:val="000000010000" w:firstRow="0" w:lastRow="0" w:firstColumn="0" w:lastColumn="0" w:oddVBand="0" w:evenVBand="0" w:oddHBand="0" w:evenHBand="1" w:firstRowFirstColumn="0" w:firstRowLastColumn="0" w:lastRowFirstColumn="0" w:lastRowLastColumn="0"/>
            </w:pPr>
          </w:p>
        </w:tc>
        <w:tc>
          <w:tcPr>
            <w:tcW w:w="602" w:type="pct"/>
            <w:noWrap/>
            <w:hideMark/>
          </w:tcPr>
          <w:p w:rsidR="0043444D" w:rsidRPr="00921CA9" w:rsidRDefault="0043444D" w:rsidP="00921CA9">
            <w:pPr>
              <w:cnfStyle w:val="000000010000" w:firstRow="0" w:lastRow="0" w:firstColumn="0" w:lastColumn="0" w:oddVBand="0" w:evenVBand="0" w:oddHBand="0" w:evenHBand="1" w:firstRowFirstColumn="0" w:firstRowLastColumn="0" w:lastRowFirstColumn="0" w:lastRowLastColumn="0"/>
            </w:pPr>
            <w:r w:rsidRPr="00921CA9">
              <w:t>6869.1</w:t>
            </w:r>
          </w:p>
        </w:tc>
      </w:tr>
      <w:tr w:rsidR="0043444D" w:rsidRPr="0043444D" w:rsidTr="008C3062">
        <w:trPr>
          <w:trHeight w:val="300"/>
        </w:trPr>
        <w:tc>
          <w:tcPr>
            <w:cnfStyle w:val="001000000000" w:firstRow="0" w:lastRow="0" w:firstColumn="1" w:lastColumn="0" w:oddVBand="0" w:evenVBand="0" w:oddHBand="0" w:evenHBand="0" w:firstRowFirstColumn="0" w:firstRowLastColumn="0" w:lastRowFirstColumn="0" w:lastRowLastColumn="0"/>
            <w:tcW w:w="1988" w:type="pct"/>
            <w:hideMark/>
          </w:tcPr>
          <w:p w:rsidR="0043444D" w:rsidRPr="0043444D" w:rsidRDefault="00B6341A" w:rsidP="0043444D">
            <w:r w:rsidRPr="001D050B">
              <w:t xml:space="preserve">Meters moved to </w:t>
            </w:r>
            <w:r w:rsidRPr="00B6341A">
              <w:t>alternative control services</w:t>
            </w:r>
          </w:p>
        </w:tc>
        <w:tc>
          <w:tcPr>
            <w:tcW w:w="602" w:type="pct"/>
            <w:noWrap/>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p>
        </w:tc>
        <w:tc>
          <w:tcPr>
            <w:tcW w:w="602" w:type="pct"/>
            <w:noWrap/>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p>
        </w:tc>
        <w:tc>
          <w:tcPr>
            <w:tcW w:w="602" w:type="pct"/>
            <w:noWrap/>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p>
        </w:tc>
        <w:tc>
          <w:tcPr>
            <w:tcW w:w="602" w:type="pct"/>
            <w:noWrap/>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p>
        </w:tc>
        <w:tc>
          <w:tcPr>
            <w:tcW w:w="602" w:type="pct"/>
            <w:noWrap/>
            <w:hideMark/>
          </w:tcPr>
          <w:p w:rsidR="0043444D" w:rsidRPr="0043444D" w:rsidRDefault="0043444D" w:rsidP="0043444D">
            <w:pPr>
              <w:cnfStyle w:val="000000000000" w:firstRow="0" w:lastRow="0" w:firstColumn="0" w:lastColumn="0" w:oddVBand="0" w:evenVBand="0" w:oddHBand="0" w:evenHBand="0" w:firstRowFirstColumn="0" w:firstRowLastColumn="0" w:lastRowFirstColumn="0" w:lastRowLastColumn="0"/>
            </w:pPr>
            <w:r>
              <w:t>–</w:t>
            </w:r>
            <w:r w:rsidRPr="0043444D">
              <w:t>94.9</w:t>
            </w:r>
          </w:p>
        </w:tc>
      </w:tr>
      <w:tr w:rsidR="0043444D" w:rsidRPr="0043444D" w:rsidTr="008C306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8" w:type="pct"/>
            <w:noWrap/>
            <w:hideMark/>
          </w:tcPr>
          <w:p w:rsidR="0043444D" w:rsidRPr="0043444D" w:rsidRDefault="0043444D" w:rsidP="0043444D">
            <w:pPr>
              <w:rPr>
                <w:rStyle w:val="Strong"/>
              </w:rPr>
            </w:pPr>
            <w:r w:rsidRPr="0043444D">
              <w:rPr>
                <w:rStyle w:val="Strong"/>
              </w:rPr>
              <w:t>Opening RAB as at 1 July 2014</w:t>
            </w:r>
          </w:p>
        </w:tc>
        <w:tc>
          <w:tcPr>
            <w:tcW w:w="602" w:type="pct"/>
            <w:noWrap/>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rPr>
                <w:rStyle w:val="Strong"/>
              </w:rPr>
            </w:pPr>
          </w:p>
        </w:tc>
        <w:tc>
          <w:tcPr>
            <w:tcW w:w="602" w:type="pct"/>
            <w:noWrap/>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rPr>
                <w:rStyle w:val="Strong"/>
              </w:rPr>
            </w:pPr>
          </w:p>
        </w:tc>
        <w:tc>
          <w:tcPr>
            <w:tcW w:w="602" w:type="pct"/>
            <w:noWrap/>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rPr>
                <w:rStyle w:val="Strong"/>
              </w:rPr>
            </w:pPr>
          </w:p>
        </w:tc>
        <w:tc>
          <w:tcPr>
            <w:tcW w:w="602" w:type="pct"/>
            <w:noWrap/>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rPr>
                <w:rStyle w:val="Strong"/>
              </w:rPr>
            </w:pPr>
          </w:p>
        </w:tc>
        <w:tc>
          <w:tcPr>
            <w:tcW w:w="602" w:type="pct"/>
            <w:noWrap/>
            <w:hideMark/>
          </w:tcPr>
          <w:p w:rsidR="0043444D" w:rsidRPr="0043444D" w:rsidRDefault="0043444D" w:rsidP="0043444D">
            <w:pPr>
              <w:cnfStyle w:val="000000010000" w:firstRow="0" w:lastRow="0" w:firstColumn="0" w:lastColumn="0" w:oddVBand="0" w:evenVBand="0" w:oddHBand="0" w:evenHBand="1" w:firstRowFirstColumn="0" w:firstRowLastColumn="0" w:lastRowFirstColumn="0" w:lastRowLastColumn="0"/>
              <w:rPr>
                <w:rStyle w:val="Strong"/>
              </w:rPr>
            </w:pPr>
            <w:r w:rsidRPr="0043444D">
              <w:rPr>
                <w:rStyle w:val="Strong"/>
              </w:rPr>
              <w:t>6774.2</w:t>
            </w:r>
          </w:p>
        </w:tc>
      </w:tr>
    </w:tbl>
    <w:p w:rsidR="000B5900" w:rsidRDefault="00094E2F" w:rsidP="000B5900">
      <w:pPr>
        <w:pStyle w:val="AERtablesource"/>
      </w:pPr>
      <w:r>
        <w:t>Source:</w:t>
      </w:r>
      <w:r>
        <w:tab/>
      </w:r>
      <w:r w:rsidR="004F0259">
        <w:t>AER analysis.</w:t>
      </w:r>
      <w:r w:rsidR="000B5900" w:rsidRPr="000B5900">
        <w:t xml:space="preserve"> </w:t>
      </w:r>
    </w:p>
    <w:p w:rsidR="00094E2F" w:rsidRDefault="000B5900" w:rsidP="00094E2F">
      <w:pPr>
        <w:pStyle w:val="AERtablesource"/>
      </w:pPr>
      <w:r>
        <w:t>(a)</w:t>
      </w:r>
      <w:r>
        <w:tab/>
        <w:t>Net of disposals and capital contributions, and adjusted for CPI.</w:t>
      </w:r>
    </w:p>
    <w:p w:rsidR="00982EA4" w:rsidRDefault="00982EA4" w:rsidP="00982EA4">
      <w:pPr>
        <w:pStyle w:val="Caption"/>
      </w:pPr>
      <w:bookmarkStart w:id="15" w:name="_Ref413328813"/>
      <w:proofErr w:type="gramStart"/>
      <w:r>
        <w:t xml:space="preserve">Table </w:t>
      </w:r>
      <w:r w:rsidR="00281EBD">
        <w:fldChar w:fldCharType="begin"/>
      </w:r>
      <w:r w:rsidR="00281EBD">
        <w:instrText xml:space="preserve"> STYLEREF 1 \s </w:instrText>
      </w:r>
      <w:r w:rsidR="00281EBD">
        <w:fldChar w:fldCharType="separate"/>
      </w:r>
      <w:r w:rsidR="00D32DCD">
        <w:rPr>
          <w:noProof/>
        </w:rPr>
        <w:t>2</w:t>
      </w:r>
      <w:r w:rsidR="00281EBD">
        <w:rPr>
          <w:noProof/>
        </w:rPr>
        <w:fldChar w:fldCharType="end"/>
      </w:r>
      <w:r w:rsidR="00D32DCD">
        <w:t>.</w:t>
      </w:r>
      <w:proofErr w:type="gramEnd"/>
      <w:r w:rsidR="00281EBD">
        <w:fldChar w:fldCharType="begin"/>
      </w:r>
      <w:r w:rsidR="00281EBD">
        <w:instrText xml:space="preserve"> SEQ Table \* ARABIC \s 1 </w:instrText>
      </w:r>
      <w:r w:rsidR="00281EBD">
        <w:fldChar w:fldCharType="separate"/>
      </w:r>
      <w:r w:rsidR="00D32DCD">
        <w:rPr>
          <w:noProof/>
        </w:rPr>
        <w:t>2</w:t>
      </w:r>
      <w:r w:rsidR="00281EBD">
        <w:rPr>
          <w:noProof/>
        </w:rPr>
        <w:fldChar w:fldCharType="end"/>
      </w:r>
      <w:bookmarkEnd w:id="15"/>
      <w:r>
        <w:tab/>
      </w:r>
      <w:r w:rsidRPr="00982EA4">
        <w:t xml:space="preserve">AER's final decision on </w:t>
      </w:r>
      <w:r>
        <w:t>Essential</w:t>
      </w:r>
      <w:r w:rsidRPr="00982EA4">
        <w:t xml:space="preserve"> Energy's RAB for the </w:t>
      </w:r>
      <w:r w:rsidR="000B5900">
        <w:br/>
      </w:r>
      <w:r w:rsidRPr="00982EA4">
        <w:t>2014–19 period ($ million, nominal)</w:t>
      </w:r>
    </w:p>
    <w:tbl>
      <w:tblPr>
        <w:tblStyle w:val="AERtable-numbers"/>
        <w:tblW w:w="8755" w:type="dxa"/>
        <w:tblLayout w:type="fixed"/>
        <w:tblLook w:val="04A0" w:firstRow="1" w:lastRow="0" w:firstColumn="1" w:lastColumn="0" w:noHBand="0" w:noVBand="1"/>
      </w:tblPr>
      <w:tblGrid>
        <w:gridCol w:w="3221"/>
        <w:gridCol w:w="1106"/>
        <w:gridCol w:w="1107"/>
        <w:gridCol w:w="1107"/>
        <w:gridCol w:w="1107"/>
        <w:gridCol w:w="1107"/>
      </w:tblGrid>
      <w:tr w:rsidR="00094E2F" w:rsidRPr="00094E2F" w:rsidTr="000F65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094E2F" w:rsidRPr="00094E2F" w:rsidRDefault="00094E2F" w:rsidP="00094E2F">
            <w:r w:rsidRPr="00094E2F">
              <w:t> </w:t>
            </w:r>
          </w:p>
        </w:tc>
        <w:tc>
          <w:tcPr>
            <w:tcW w:w="1106" w:type="dxa"/>
            <w:noWrap/>
            <w:hideMark/>
          </w:tcPr>
          <w:p w:rsidR="00094E2F" w:rsidRPr="00094E2F" w:rsidRDefault="00094E2F" w:rsidP="00094E2F">
            <w:pPr>
              <w:cnfStyle w:val="100000000000" w:firstRow="1" w:lastRow="0" w:firstColumn="0" w:lastColumn="0" w:oddVBand="0" w:evenVBand="0" w:oddHBand="0" w:evenHBand="0" w:firstRowFirstColumn="0" w:firstRowLastColumn="0" w:lastRowFirstColumn="0" w:lastRowLastColumn="0"/>
            </w:pPr>
            <w:r w:rsidRPr="00094E2F">
              <w:t>2014–15</w:t>
            </w:r>
          </w:p>
        </w:tc>
        <w:tc>
          <w:tcPr>
            <w:tcW w:w="1107" w:type="dxa"/>
            <w:noWrap/>
            <w:hideMark/>
          </w:tcPr>
          <w:p w:rsidR="00094E2F" w:rsidRPr="00094E2F" w:rsidRDefault="00094E2F" w:rsidP="00094E2F">
            <w:pPr>
              <w:cnfStyle w:val="100000000000" w:firstRow="1" w:lastRow="0" w:firstColumn="0" w:lastColumn="0" w:oddVBand="0" w:evenVBand="0" w:oddHBand="0" w:evenHBand="0" w:firstRowFirstColumn="0" w:firstRowLastColumn="0" w:lastRowFirstColumn="0" w:lastRowLastColumn="0"/>
            </w:pPr>
            <w:r w:rsidRPr="00094E2F">
              <w:t>2015–16</w:t>
            </w:r>
          </w:p>
        </w:tc>
        <w:tc>
          <w:tcPr>
            <w:tcW w:w="1107" w:type="dxa"/>
            <w:noWrap/>
            <w:hideMark/>
          </w:tcPr>
          <w:p w:rsidR="00094E2F" w:rsidRPr="00094E2F" w:rsidRDefault="00094E2F" w:rsidP="00094E2F">
            <w:pPr>
              <w:cnfStyle w:val="100000000000" w:firstRow="1" w:lastRow="0" w:firstColumn="0" w:lastColumn="0" w:oddVBand="0" w:evenVBand="0" w:oddHBand="0" w:evenHBand="0" w:firstRowFirstColumn="0" w:firstRowLastColumn="0" w:lastRowFirstColumn="0" w:lastRowLastColumn="0"/>
            </w:pPr>
            <w:r w:rsidRPr="00094E2F">
              <w:t>2016–17</w:t>
            </w:r>
          </w:p>
        </w:tc>
        <w:tc>
          <w:tcPr>
            <w:tcW w:w="1107" w:type="dxa"/>
            <w:noWrap/>
            <w:hideMark/>
          </w:tcPr>
          <w:p w:rsidR="00094E2F" w:rsidRPr="00094E2F" w:rsidRDefault="00094E2F" w:rsidP="00094E2F">
            <w:pPr>
              <w:cnfStyle w:val="100000000000" w:firstRow="1" w:lastRow="0" w:firstColumn="0" w:lastColumn="0" w:oddVBand="0" w:evenVBand="0" w:oddHBand="0" w:evenHBand="0" w:firstRowFirstColumn="0" w:firstRowLastColumn="0" w:lastRowFirstColumn="0" w:lastRowLastColumn="0"/>
            </w:pPr>
            <w:r w:rsidRPr="00094E2F">
              <w:t>2017–18</w:t>
            </w:r>
          </w:p>
        </w:tc>
        <w:tc>
          <w:tcPr>
            <w:tcW w:w="1107" w:type="dxa"/>
            <w:noWrap/>
            <w:hideMark/>
          </w:tcPr>
          <w:p w:rsidR="00094E2F" w:rsidRPr="00094E2F" w:rsidRDefault="00094E2F" w:rsidP="00094E2F">
            <w:pPr>
              <w:cnfStyle w:val="100000000000" w:firstRow="1" w:lastRow="0" w:firstColumn="0" w:lastColumn="0" w:oddVBand="0" w:evenVBand="0" w:oddHBand="0" w:evenHBand="0" w:firstRowFirstColumn="0" w:firstRowLastColumn="0" w:lastRowFirstColumn="0" w:lastRowLastColumn="0"/>
            </w:pPr>
            <w:r w:rsidRPr="00094E2F">
              <w:t>2018–19</w:t>
            </w:r>
          </w:p>
        </w:tc>
      </w:tr>
      <w:tr w:rsidR="0086189E" w:rsidRPr="00921CA9" w:rsidTr="003F5C90">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86189E" w:rsidRPr="00921CA9" w:rsidRDefault="0086189E" w:rsidP="00921CA9">
            <w:r w:rsidRPr="00921CA9">
              <w:t>Opening RAB</w:t>
            </w:r>
          </w:p>
        </w:tc>
        <w:tc>
          <w:tcPr>
            <w:tcW w:w="1106" w:type="dxa"/>
            <w:noWrap/>
            <w:vAlign w:val="bottom"/>
          </w:tcPr>
          <w:p w:rsidR="0086189E" w:rsidRPr="00921CA9" w:rsidRDefault="0086189E" w:rsidP="00921CA9">
            <w:pPr>
              <w:cnfStyle w:val="000000000000" w:firstRow="0" w:lastRow="0" w:firstColumn="0" w:lastColumn="0" w:oddVBand="0" w:evenVBand="0" w:oddHBand="0" w:evenHBand="0" w:firstRowFirstColumn="0" w:firstRowLastColumn="0" w:lastRowFirstColumn="0" w:lastRowLastColumn="0"/>
            </w:pPr>
            <w:r w:rsidRPr="00921CA9">
              <w:t>6774.2</w:t>
            </w:r>
          </w:p>
        </w:tc>
        <w:tc>
          <w:tcPr>
            <w:tcW w:w="1107" w:type="dxa"/>
            <w:noWrap/>
            <w:vAlign w:val="bottom"/>
          </w:tcPr>
          <w:p w:rsidR="0086189E" w:rsidRPr="00921CA9" w:rsidRDefault="0086189E" w:rsidP="00921CA9">
            <w:pPr>
              <w:cnfStyle w:val="000000000000" w:firstRow="0" w:lastRow="0" w:firstColumn="0" w:lastColumn="0" w:oddVBand="0" w:evenVBand="0" w:oddHBand="0" w:evenHBand="0" w:firstRowFirstColumn="0" w:firstRowLastColumn="0" w:lastRowFirstColumn="0" w:lastRowLastColumn="0"/>
            </w:pPr>
            <w:r w:rsidRPr="00921CA9">
              <w:t>7187.4</w:t>
            </w:r>
          </w:p>
        </w:tc>
        <w:tc>
          <w:tcPr>
            <w:tcW w:w="1107" w:type="dxa"/>
            <w:noWrap/>
            <w:vAlign w:val="bottom"/>
          </w:tcPr>
          <w:p w:rsidR="0086189E" w:rsidRPr="00921CA9" w:rsidRDefault="0086189E" w:rsidP="00921CA9">
            <w:pPr>
              <w:cnfStyle w:val="000000000000" w:firstRow="0" w:lastRow="0" w:firstColumn="0" w:lastColumn="0" w:oddVBand="0" w:evenVBand="0" w:oddHBand="0" w:evenHBand="0" w:firstRowFirstColumn="0" w:firstRowLastColumn="0" w:lastRowFirstColumn="0" w:lastRowLastColumn="0"/>
            </w:pPr>
            <w:r w:rsidRPr="00921CA9">
              <w:t>7592.8</w:t>
            </w:r>
          </w:p>
        </w:tc>
        <w:tc>
          <w:tcPr>
            <w:tcW w:w="1107" w:type="dxa"/>
            <w:noWrap/>
            <w:vAlign w:val="bottom"/>
          </w:tcPr>
          <w:p w:rsidR="0086189E" w:rsidRPr="00921CA9" w:rsidRDefault="0086189E" w:rsidP="00921CA9">
            <w:pPr>
              <w:cnfStyle w:val="000000000000" w:firstRow="0" w:lastRow="0" w:firstColumn="0" w:lastColumn="0" w:oddVBand="0" w:evenVBand="0" w:oddHBand="0" w:evenHBand="0" w:firstRowFirstColumn="0" w:firstRowLastColumn="0" w:lastRowFirstColumn="0" w:lastRowLastColumn="0"/>
            </w:pPr>
            <w:r w:rsidRPr="00921CA9">
              <w:t>7981.8</w:t>
            </w:r>
          </w:p>
        </w:tc>
        <w:tc>
          <w:tcPr>
            <w:tcW w:w="1107" w:type="dxa"/>
            <w:noWrap/>
            <w:vAlign w:val="bottom"/>
          </w:tcPr>
          <w:p w:rsidR="0086189E" w:rsidRPr="00921CA9" w:rsidRDefault="0086189E" w:rsidP="00921CA9">
            <w:pPr>
              <w:cnfStyle w:val="000000000000" w:firstRow="0" w:lastRow="0" w:firstColumn="0" w:lastColumn="0" w:oddVBand="0" w:evenVBand="0" w:oddHBand="0" w:evenHBand="0" w:firstRowFirstColumn="0" w:firstRowLastColumn="0" w:lastRowFirstColumn="0" w:lastRowLastColumn="0"/>
            </w:pPr>
            <w:r w:rsidRPr="00921CA9">
              <w:t>8362.6</w:t>
            </w:r>
          </w:p>
        </w:tc>
      </w:tr>
      <w:tr w:rsidR="0086189E" w:rsidRPr="00094E2F" w:rsidTr="003F5C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86189E" w:rsidRPr="0086189E" w:rsidRDefault="0086189E" w:rsidP="0086189E">
            <w:r w:rsidRPr="0086189E">
              <w:t xml:space="preserve">Capital </w:t>
            </w:r>
            <w:proofErr w:type="spellStart"/>
            <w:r w:rsidRPr="0086189E">
              <w:t>expenditure</w:t>
            </w:r>
            <w:r w:rsidRPr="0086189E">
              <w:rPr>
                <w:rStyle w:val="AERsuperscript"/>
              </w:rPr>
              <w:t>a</w:t>
            </w:r>
            <w:proofErr w:type="spellEnd"/>
            <w:r w:rsidRPr="0086189E">
              <w:t xml:space="preserve"> </w:t>
            </w:r>
          </w:p>
        </w:tc>
        <w:tc>
          <w:tcPr>
            <w:tcW w:w="1106" w:type="dxa"/>
            <w:noWrap/>
            <w:vAlign w:val="bottom"/>
          </w:tcPr>
          <w:p w:rsidR="0086189E" w:rsidRPr="0086189E" w:rsidRDefault="0086189E" w:rsidP="0086189E">
            <w:pPr>
              <w:cnfStyle w:val="000000010000" w:firstRow="0" w:lastRow="0" w:firstColumn="0" w:lastColumn="0" w:oddVBand="0" w:evenVBand="0" w:oddHBand="0" w:evenHBand="1" w:firstRowFirstColumn="0" w:firstRowLastColumn="0" w:lastRowFirstColumn="0" w:lastRowLastColumn="0"/>
            </w:pPr>
            <w:r w:rsidRPr="0086189E">
              <w:t>516.5</w:t>
            </w:r>
          </w:p>
        </w:tc>
        <w:tc>
          <w:tcPr>
            <w:tcW w:w="1107" w:type="dxa"/>
            <w:noWrap/>
            <w:vAlign w:val="bottom"/>
          </w:tcPr>
          <w:p w:rsidR="0086189E" w:rsidRPr="0086189E" w:rsidRDefault="0086189E" w:rsidP="0086189E">
            <w:pPr>
              <w:cnfStyle w:val="000000010000" w:firstRow="0" w:lastRow="0" w:firstColumn="0" w:lastColumn="0" w:oddVBand="0" w:evenVBand="0" w:oddHBand="0" w:evenHBand="1" w:firstRowFirstColumn="0" w:firstRowLastColumn="0" w:lastRowFirstColumn="0" w:lastRowLastColumn="0"/>
            </w:pPr>
            <w:r w:rsidRPr="0086189E">
              <w:t>527.3</w:t>
            </w:r>
          </w:p>
        </w:tc>
        <w:tc>
          <w:tcPr>
            <w:tcW w:w="1107" w:type="dxa"/>
            <w:noWrap/>
            <w:vAlign w:val="bottom"/>
          </w:tcPr>
          <w:p w:rsidR="0086189E" w:rsidRPr="0086189E" w:rsidRDefault="0086189E" w:rsidP="0086189E">
            <w:pPr>
              <w:cnfStyle w:val="000000010000" w:firstRow="0" w:lastRow="0" w:firstColumn="0" w:lastColumn="0" w:oddVBand="0" w:evenVBand="0" w:oddHBand="0" w:evenHBand="1" w:firstRowFirstColumn="0" w:firstRowLastColumn="0" w:lastRowFirstColumn="0" w:lastRowLastColumn="0"/>
            </w:pPr>
            <w:r w:rsidRPr="0086189E">
              <w:t>527.1</w:t>
            </w:r>
          </w:p>
        </w:tc>
        <w:tc>
          <w:tcPr>
            <w:tcW w:w="1107" w:type="dxa"/>
            <w:noWrap/>
            <w:vAlign w:val="bottom"/>
          </w:tcPr>
          <w:p w:rsidR="0086189E" w:rsidRPr="0086189E" w:rsidRDefault="0086189E" w:rsidP="0086189E">
            <w:pPr>
              <w:cnfStyle w:val="000000010000" w:firstRow="0" w:lastRow="0" w:firstColumn="0" w:lastColumn="0" w:oddVBand="0" w:evenVBand="0" w:oddHBand="0" w:evenHBand="1" w:firstRowFirstColumn="0" w:firstRowLastColumn="0" w:lastRowFirstColumn="0" w:lastRowLastColumn="0"/>
            </w:pPr>
            <w:r w:rsidRPr="0086189E">
              <w:t>510.9</w:t>
            </w:r>
          </w:p>
        </w:tc>
        <w:tc>
          <w:tcPr>
            <w:tcW w:w="1107" w:type="dxa"/>
            <w:noWrap/>
            <w:vAlign w:val="bottom"/>
          </w:tcPr>
          <w:p w:rsidR="0086189E" w:rsidRPr="0086189E" w:rsidRDefault="0086189E" w:rsidP="0086189E">
            <w:pPr>
              <w:cnfStyle w:val="000000010000" w:firstRow="0" w:lastRow="0" w:firstColumn="0" w:lastColumn="0" w:oddVBand="0" w:evenVBand="0" w:oddHBand="0" w:evenHBand="1" w:firstRowFirstColumn="0" w:firstRowLastColumn="0" w:lastRowFirstColumn="0" w:lastRowLastColumn="0"/>
            </w:pPr>
            <w:r w:rsidRPr="0086189E">
              <w:t>496.7</w:t>
            </w:r>
          </w:p>
        </w:tc>
      </w:tr>
      <w:tr w:rsidR="0086189E" w:rsidRPr="00094E2F" w:rsidTr="003F5C90">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86189E" w:rsidRPr="0086189E" w:rsidRDefault="0086189E" w:rsidP="0086189E">
            <w:r w:rsidRPr="0086189E">
              <w:t>Inflation indexation on opening RAB</w:t>
            </w:r>
          </w:p>
        </w:tc>
        <w:tc>
          <w:tcPr>
            <w:tcW w:w="1106" w:type="dxa"/>
            <w:noWrap/>
            <w:vAlign w:val="bottom"/>
          </w:tcPr>
          <w:p w:rsidR="0086189E" w:rsidRPr="0086189E" w:rsidRDefault="0086189E" w:rsidP="0086189E">
            <w:pPr>
              <w:cnfStyle w:val="000000000000" w:firstRow="0" w:lastRow="0" w:firstColumn="0" w:lastColumn="0" w:oddVBand="0" w:evenVBand="0" w:oddHBand="0" w:evenHBand="0" w:firstRowFirstColumn="0" w:firstRowLastColumn="0" w:lastRowFirstColumn="0" w:lastRowLastColumn="0"/>
            </w:pPr>
            <w:r w:rsidRPr="0086189E">
              <w:t>161.2</w:t>
            </w:r>
          </w:p>
        </w:tc>
        <w:tc>
          <w:tcPr>
            <w:tcW w:w="1107" w:type="dxa"/>
            <w:noWrap/>
            <w:vAlign w:val="bottom"/>
          </w:tcPr>
          <w:p w:rsidR="0086189E" w:rsidRPr="0086189E" w:rsidRDefault="0086189E" w:rsidP="0086189E">
            <w:pPr>
              <w:cnfStyle w:val="000000000000" w:firstRow="0" w:lastRow="0" w:firstColumn="0" w:lastColumn="0" w:oddVBand="0" w:evenVBand="0" w:oddHBand="0" w:evenHBand="0" w:firstRowFirstColumn="0" w:firstRowLastColumn="0" w:lastRowFirstColumn="0" w:lastRowLastColumn="0"/>
            </w:pPr>
            <w:r w:rsidRPr="0086189E">
              <w:t>171.1</w:t>
            </w:r>
          </w:p>
        </w:tc>
        <w:tc>
          <w:tcPr>
            <w:tcW w:w="1107" w:type="dxa"/>
            <w:noWrap/>
            <w:vAlign w:val="bottom"/>
          </w:tcPr>
          <w:p w:rsidR="0086189E" w:rsidRPr="0086189E" w:rsidRDefault="0086189E" w:rsidP="0086189E">
            <w:pPr>
              <w:cnfStyle w:val="000000000000" w:firstRow="0" w:lastRow="0" w:firstColumn="0" w:lastColumn="0" w:oddVBand="0" w:evenVBand="0" w:oddHBand="0" w:evenHBand="0" w:firstRowFirstColumn="0" w:firstRowLastColumn="0" w:lastRowFirstColumn="0" w:lastRowLastColumn="0"/>
            </w:pPr>
            <w:r w:rsidRPr="0086189E">
              <w:t>180.7</w:t>
            </w:r>
          </w:p>
        </w:tc>
        <w:tc>
          <w:tcPr>
            <w:tcW w:w="1107" w:type="dxa"/>
            <w:noWrap/>
            <w:vAlign w:val="bottom"/>
          </w:tcPr>
          <w:p w:rsidR="0086189E" w:rsidRPr="0086189E" w:rsidRDefault="0086189E" w:rsidP="0086189E">
            <w:pPr>
              <w:cnfStyle w:val="000000000000" w:firstRow="0" w:lastRow="0" w:firstColumn="0" w:lastColumn="0" w:oddVBand="0" w:evenVBand="0" w:oddHBand="0" w:evenHBand="0" w:firstRowFirstColumn="0" w:firstRowLastColumn="0" w:lastRowFirstColumn="0" w:lastRowLastColumn="0"/>
            </w:pPr>
            <w:r w:rsidRPr="0086189E">
              <w:t>190.0</w:t>
            </w:r>
          </w:p>
        </w:tc>
        <w:tc>
          <w:tcPr>
            <w:tcW w:w="1107" w:type="dxa"/>
            <w:noWrap/>
            <w:vAlign w:val="bottom"/>
          </w:tcPr>
          <w:p w:rsidR="0086189E" w:rsidRPr="0086189E" w:rsidRDefault="0086189E" w:rsidP="0086189E">
            <w:pPr>
              <w:cnfStyle w:val="000000000000" w:firstRow="0" w:lastRow="0" w:firstColumn="0" w:lastColumn="0" w:oddVBand="0" w:evenVBand="0" w:oddHBand="0" w:evenHBand="0" w:firstRowFirstColumn="0" w:firstRowLastColumn="0" w:lastRowFirstColumn="0" w:lastRowLastColumn="0"/>
            </w:pPr>
            <w:r w:rsidRPr="0086189E">
              <w:t>199.0</w:t>
            </w:r>
          </w:p>
        </w:tc>
      </w:tr>
      <w:tr w:rsidR="0086189E" w:rsidRPr="00094E2F" w:rsidTr="003F5C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86189E" w:rsidRPr="0086189E" w:rsidRDefault="0086189E" w:rsidP="0086189E">
            <w:r w:rsidRPr="0086189E">
              <w:rPr>
                <w:rStyle w:val="AERtextitalic"/>
              </w:rPr>
              <w:t>Less:</w:t>
            </w:r>
            <w:r w:rsidRPr="0086189E">
              <w:t xml:space="preserve"> straight-line depreciation</w:t>
            </w:r>
          </w:p>
        </w:tc>
        <w:tc>
          <w:tcPr>
            <w:tcW w:w="1106" w:type="dxa"/>
            <w:noWrap/>
            <w:vAlign w:val="bottom"/>
          </w:tcPr>
          <w:p w:rsidR="0086189E" w:rsidRPr="0086189E" w:rsidRDefault="0086189E" w:rsidP="0086189E">
            <w:pPr>
              <w:cnfStyle w:val="000000010000" w:firstRow="0" w:lastRow="0" w:firstColumn="0" w:lastColumn="0" w:oddVBand="0" w:evenVBand="0" w:oddHBand="0" w:evenHBand="1" w:firstRowFirstColumn="0" w:firstRowLastColumn="0" w:lastRowFirstColumn="0" w:lastRowLastColumn="0"/>
            </w:pPr>
            <w:r w:rsidRPr="0086189E">
              <w:t>264.6</w:t>
            </w:r>
          </w:p>
        </w:tc>
        <w:tc>
          <w:tcPr>
            <w:tcW w:w="1107" w:type="dxa"/>
            <w:noWrap/>
            <w:vAlign w:val="bottom"/>
          </w:tcPr>
          <w:p w:rsidR="0086189E" w:rsidRPr="0086189E" w:rsidRDefault="0086189E" w:rsidP="0086189E">
            <w:pPr>
              <w:cnfStyle w:val="000000010000" w:firstRow="0" w:lastRow="0" w:firstColumn="0" w:lastColumn="0" w:oddVBand="0" w:evenVBand="0" w:oddHBand="0" w:evenHBand="1" w:firstRowFirstColumn="0" w:firstRowLastColumn="0" w:lastRowFirstColumn="0" w:lastRowLastColumn="0"/>
            </w:pPr>
            <w:r w:rsidRPr="0086189E">
              <w:t>293.0</w:t>
            </w:r>
          </w:p>
        </w:tc>
        <w:tc>
          <w:tcPr>
            <w:tcW w:w="1107" w:type="dxa"/>
            <w:noWrap/>
            <w:vAlign w:val="bottom"/>
          </w:tcPr>
          <w:p w:rsidR="0086189E" w:rsidRPr="0086189E" w:rsidRDefault="0086189E" w:rsidP="0086189E">
            <w:pPr>
              <w:cnfStyle w:val="000000010000" w:firstRow="0" w:lastRow="0" w:firstColumn="0" w:lastColumn="0" w:oddVBand="0" w:evenVBand="0" w:oddHBand="0" w:evenHBand="1" w:firstRowFirstColumn="0" w:firstRowLastColumn="0" w:lastRowFirstColumn="0" w:lastRowLastColumn="0"/>
            </w:pPr>
            <w:r w:rsidRPr="0086189E">
              <w:t>318.7</w:t>
            </w:r>
          </w:p>
        </w:tc>
        <w:tc>
          <w:tcPr>
            <w:tcW w:w="1107" w:type="dxa"/>
            <w:noWrap/>
            <w:vAlign w:val="bottom"/>
          </w:tcPr>
          <w:p w:rsidR="0086189E" w:rsidRPr="0086189E" w:rsidRDefault="0086189E" w:rsidP="0086189E">
            <w:pPr>
              <w:cnfStyle w:val="000000010000" w:firstRow="0" w:lastRow="0" w:firstColumn="0" w:lastColumn="0" w:oddVBand="0" w:evenVBand="0" w:oddHBand="0" w:evenHBand="1" w:firstRowFirstColumn="0" w:firstRowLastColumn="0" w:lastRowFirstColumn="0" w:lastRowLastColumn="0"/>
            </w:pPr>
            <w:r w:rsidRPr="0086189E">
              <w:t>320.2</w:t>
            </w:r>
          </w:p>
        </w:tc>
        <w:tc>
          <w:tcPr>
            <w:tcW w:w="1107" w:type="dxa"/>
            <w:noWrap/>
            <w:vAlign w:val="bottom"/>
          </w:tcPr>
          <w:p w:rsidR="0086189E" w:rsidRPr="0086189E" w:rsidRDefault="0086189E" w:rsidP="0086189E">
            <w:pPr>
              <w:cnfStyle w:val="000000010000" w:firstRow="0" w:lastRow="0" w:firstColumn="0" w:lastColumn="0" w:oddVBand="0" w:evenVBand="0" w:oddHBand="0" w:evenHBand="1" w:firstRowFirstColumn="0" w:firstRowLastColumn="0" w:lastRowFirstColumn="0" w:lastRowLastColumn="0"/>
            </w:pPr>
            <w:r w:rsidRPr="0086189E">
              <w:t>337.9</w:t>
            </w:r>
          </w:p>
        </w:tc>
      </w:tr>
      <w:tr w:rsidR="0086189E" w:rsidRPr="00F978BA" w:rsidTr="003F5C90">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86189E" w:rsidRPr="00F978BA" w:rsidRDefault="0086189E" w:rsidP="00921CA9">
            <w:pPr>
              <w:rPr>
                <w:rStyle w:val="Strong"/>
              </w:rPr>
            </w:pPr>
            <w:r w:rsidRPr="00F978BA">
              <w:rPr>
                <w:rStyle w:val="Strong"/>
              </w:rPr>
              <w:t>Closing RAB</w:t>
            </w:r>
          </w:p>
        </w:tc>
        <w:tc>
          <w:tcPr>
            <w:tcW w:w="1106" w:type="dxa"/>
            <w:noWrap/>
            <w:vAlign w:val="bottom"/>
          </w:tcPr>
          <w:p w:rsidR="0086189E" w:rsidRPr="00F978BA" w:rsidRDefault="0086189E" w:rsidP="00921CA9">
            <w:pPr>
              <w:cnfStyle w:val="000000000000" w:firstRow="0" w:lastRow="0" w:firstColumn="0" w:lastColumn="0" w:oddVBand="0" w:evenVBand="0" w:oddHBand="0" w:evenHBand="0" w:firstRowFirstColumn="0" w:firstRowLastColumn="0" w:lastRowFirstColumn="0" w:lastRowLastColumn="0"/>
              <w:rPr>
                <w:rStyle w:val="Strong"/>
              </w:rPr>
            </w:pPr>
            <w:r w:rsidRPr="00F978BA">
              <w:rPr>
                <w:rStyle w:val="Strong"/>
              </w:rPr>
              <w:t>7187.4</w:t>
            </w:r>
          </w:p>
        </w:tc>
        <w:tc>
          <w:tcPr>
            <w:tcW w:w="1107" w:type="dxa"/>
            <w:noWrap/>
            <w:vAlign w:val="bottom"/>
          </w:tcPr>
          <w:p w:rsidR="0086189E" w:rsidRPr="00F978BA" w:rsidRDefault="0086189E" w:rsidP="00921CA9">
            <w:pPr>
              <w:cnfStyle w:val="000000000000" w:firstRow="0" w:lastRow="0" w:firstColumn="0" w:lastColumn="0" w:oddVBand="0" w:evenVBand="0" w:oddHBand="0" w:evenHBand="0" w:firstRowFirstColumn="0" w:firstRowLastColumn="0" w:lastRowFirstColumn="0" w:lastRowLastColumn="0"/>
              <w:rPr>
                <w:rStyle w:val="Strong"/>
              </w:rPr>
            </w:pPr>
            <w:r w:rsidRPr="00F978BA">
              <w:rPr>
                <w:rStyle w:val="Strong"/>
              </w:rPr>
              <w:t>7592.8</w:t>
            </w:r>
          </w:p>
        </w:tc>
        <w:tc>
          <w:tcPr>
            <w:tcW w:w="1107" w:type="dxa"/>
            <w:noWrap/>
            <w:vAlign w:val="bottom"/>
          </w:tcPr>
          <w:p w:rsidR="0086189E" w:rsidRPr="00F978BA" w:rsidRDefault="0086189E" w:rsidP="00921CA9">
            <w:pPr>
              <w:cnfStyle w:val="000000000000" w:firstRow="0" w:lastRow="0" w:firstColumn="0" w:lastColumn="0" w:oddVBand="0" w:evenVBand="0" w:oddHBand="0" w:evenHBand="0" w:firstRowFirstColumn="0" w:firstRowLastColumn="0" w:lastRowFirstColumn="0" w:lastRowLastColumn="0"/>
              <w:rPr>
                <w:rStyle w:val="Strong"/>
              </w:rPr>
            </w:pPr>
            <w:r w:rsidRPr="00F978BA">
              <w:rPr>
                <w:rStyle w:val="Strong"/>
              </w:rPr>
              <w:t>7981.8</w:t>
            </w:r>
          </w:p>
        </w:tc>
        <w:tc>
          <w:tcPr>
            <w:tcW w:w="1107" w:type="dxa"/>
            <w:noWrap/>
            <w:vAlign w:val="bottom"/>
          </w:tcPr>
          <w:p w:rsidR="0086189E" w:rsidRPr="00F978BA" w:rsidRDefault="0086189E" w:rsidP="00921CA9">
            <w:pPr>
              <w:cnfStyle w:val="000000000000" w:firstRow="0" w:lastRow="0" w:firstColumn="0" w:lastColumn="0" w:oddVBand="0" w:evenVBand="0" w:oddHBand="0" w:evenHBand="0" w:firstRowFirstColumn="0" w:firstRowLastColumn="0" w:lastRowFirstColumn="0" w:lastRowLastColumn="0"/>
              <w:rPr>
                <w:rStyle w:val="Strong"/>
              </w:rPr>
            </w:pPr>
            <w:r w:rsidRPr="00F978BA">
              <w:rPr>
                <w:rStyle w:val="Strong"/>
              </w:rPr>
              <w:t>8362.6</w:t>
            </w:r>
          </w:p>
        </w:tc>
        <w:tc>
          <w:tcPr>
            <w:tcW w:w="1107" w:type="dxa"/>
            <w:noWrap/>
            <w:vAlign w:val="bottom"/>
          </w:tcPr>
          <w:p w:rsidR="0086189E" w:rsidRPr="00F978BA" w:rsidRDefault="0086189E" w:rsidP="00921CA9">
            <w:pPr>
              <w:cnfStyle w:val="000000000000" w:firstRow="0" w:lastRow="0" w:firstColumn="0" w:lastColumn="0" w:oddVBand="0" w:evenVBand="0" w:oddHBand="0" w:evenHBand="0" w:firstRowFirstColumn="0" w:firstRowLastColumn="0" w:lastRowFirstColumn="0" w:lastRowLastColumn="0"/>
              <w:rPr>
                <w:rStyle w:val="Strong"/>
              </w:rPr>
            </w:pPr>
            <w:r w:rsidRPr="00F978BA">
              <w:rPr>
                <w:rStyle w:val="Strong"/>
              </w:rPr>
              <w:t>8720.4</w:t>
            </w:r>
          </w:p>
        </w:tc>
      </w:tr>
    </w:tbl>
    <w:p w:rsidR="000B5900" w:rsidRDefault="00982EA4" w:rsidP="000B5900">
      <w:pPr>
        <w:pStyle w:val="AERtablesource"/>
      </w:pPr>
      <w:r>
        <w:t>Source:</w:t>
      </w:r>
      <w:r>
        <w:tab/>
      </w:r>
      <w:r w:rsidR="004F0259">
        <w:t>AER analysis</w:t>
      </w:r>
      <w:r w:rsidR="000B5900">
        <w:t xml:space="preserve">. </w:t>
      </w:r>
    </w:p>
    <w:p w:rsidR="00094E2F" w:rsidRDefault="000B5900" w:rsidP="00982EA4">
      <w:pPr>
        <w:pStyle w:val="AERtablesource"/>
      </w:pPr>
      <w:r>
        <w:t>(a)</w:t>
      </w:r>
      <w:r>
        <w:tab/>
        <w:t>Net of forecast disposals and capital contributions.</w:t>
      </w:r>
    </w:p>
    <w:p w:rsidR="00DE563D" w:rsidRPr="001754EE" w:rsidRDefault="005C21A4" w:rsidP="001754EE">
      <w:pPr>
        <w:pStyle w:val="Heading2"/>
      </w:pPr>
      <w:bookmarkStart w:id="16" w:name="_Toc417306251"/>
      <w:r>
        <w:t>Essential Energy</w:t>
      </w:r>
      <w:r w:rsidR="00415F31" w:rsidRPr="001754EE">
        <w:t>’s revised</w:t>
      </w:r>
      <w:r w:rsidR="00DE563D" w:rsidRPr="001754EE">
        <w:t xml:space="preserve"> proposal</w:t>
      </w:r>
      <w:bookmarkEnd w:id="13"/>
      <w:bookmarkEnd w:id="16"/>
    </w:p>
    <w:p w:rsidR="00982EA4" w:rsidRDefault="004F0259" w:rsidP="00982EA4">
      <w:r>
        <w:t>Essential</w:t>
      </w:r>
      <w:r w:rsidR="00982EA4" w:rsidRPr="00982EA4">
        <w:t xml:space="preserve"> Energy</w:t>
      </w:r>
      <w:r w:rsidR="000B5900">
        <w:t>'s</w:t>
      </w:r>
      <w:r w:rsidR="00982EA4" w:rsidRPr="00982EA4">
        <w:t xml:space="preserve"> </w:t>
      </w:r>
      <w:r w:rsidR="00FC2C52">
        <w:t xml:space="preserve">revised proposal submitted an </w:t>
      </w:r>
      <w:r w:rsidR="00982EA4" w:rsidRPr="00982EA4">
        <w:t xml:space="preserve">opening RAB </w:t>
      </w:r>
      <w:r w:rsidR="000B5900">
        <w:t xml:space="preserve">value </w:t>
      </w:r>
      <w:r w:rsidR="00982EA4" w:rsidRPr="00982EA4">
        <w:t>as at 1 July 2014 of $</w:t>
      </w:r>
      <w:r w:rsidR="00982EA4">
        <w:t>678</w:t>
      </w:r>
      <w:r w:rsidR="000B5900">
        <w:t>7.6</w:t>
      </w:r>
      <w:r w:rsidR="00982EA4">
        <w:t> </w:t>
      </w:r>
      <w:r w:rsidR="00982EA4" w:rsidRPr="00982EA4">
        <w:t>million ($</w:t>
      </w:r>
      <w:r w:rsidR="00982EA4">
        <w:t> </w:t>
      </w:r>
      <w:r w:rsidR="00982EA4" w:rsidRPr="00982EA4">
        <w:t>nominal).</w:t>
      </w:r>
      <w:r w:rsidR="00FC2C52">
        <w:t xml:space="preserve"> Essential Energy did not adopt our draft decision amendment</w:t>
      </w:r>
      <w:r w:rsidR="00651A9F">
        <w:t xml:space="preserve"> to </w:t>
      </w:r>
      <w:r w:rsidR="00DA5D37">
        <w:t xml:space="preserve">the </w:t>
      </w:r>
      <w:r w:rsidR="00651A9F">
        <w:t>roll forward</w:t>
      </w:r>
      <w:r w:rsidR="00DA5D37">
        <w:t xml:space="preserve"> of</w:t>
      </w:r>
      <w:r w:rsidR="00651A9F">
        <w:t xml:space="preserve"> the opening RAB from 1 July 20</w:t>
      </w:r>
      <w:r w:rsidR="00227935">
        <w:t>0</w:t>
      </w:r>
      <w:r w:rsidR="00651A9F">
        <w:t xml:space="preserve">9 to 30 June 2014, </w:t>
      </w:r>
      <w:r w:rsidR="00DA5D37">
        <w:t>which</w:t>
      </w:r>
      <w:r w:rsidR="00FC2C52">
        <w:t xml:space="preserve"> </w:t>
      </w:r>
      <w:r w:rsidR="00651A9F">
        <w:t>adjust</w:t>
      </w:r>
      <w:r w:rsidR="00DA5D37">
        <w:t>ed</w:t>
      </w:r>
      <w:r w:rsidR="00651A9F">
        <w:t xml:space="preserve"> gross capex for</w:t>
      </w:r>
      <w:r w:rsidR="00FC2C52" w:rsidRPr="00FC2C52">
        <w:t xml:space="preserve"> the movement</w:t>
      </w:r>
      <w:r w:rsidR="002173EC">
        <w:t>s</w:t>
      </w:r>
      <w:r w:rsidR="00FC2C52" w:rsidRPr="00FC2C52">
        <w:t xml:space="preserve"> in capitalised provisions</w:t>
      </w:r>
      <w:r w:rsidR="00FC2C52">
        <w:t xml:space="preserve">. Essential </w:t>
      </w:r>
      <w:r w:rsidR="00FC2C52">
        <w:lastRenderedPageBreak/>
        <w:t xml:space="preserve">Energy </w:t>
      </w:r>
      <w:r w:rsidR="00651A9F">
        <w:t xml:space="preserve">also </w:t>
      </w:r>
      <w:r w:rsidR="00FC2C52" w:rsidRPr="00FC2C52">
        <w:t xml:space="preserve">updated </w:t>
      </w:r>
      <w:r w:rsidR="00651A9F">
        <w:t>the revised proposed opening RAB to reflect</w:t>
      </w:r>
      <w:r w:rsidR="00FC2C52">
        <w:t xml:space="preserve"> actual capex</w:t>
      </w:r>
      <w:r w:rsidR="00651A9F">
        <w:t xml:space="preserve"> for 2013–14</w:t>
      </w:r>
      <w:r w:rsidR="00FC2C52" w:rsidRPr="00FC2C52">
        <w:t>.</w:t>
      </w:r>
      <w:r>
        <w:rPr>
          <w:rStyle w:val="FootnoteReference"/>
        </w:rPr>
        <w:footnoteReference w:id="3"/>
      </w:r>
    </w:p>
    <w:p w:rsidR="00982EA4" w:rsidRDefault="001D050B" w:rsidP="00982EA4">
      <w:r>
        <w:fldChar w:fldCharType="begin"/>
      </w:r>
      <w:r>
        <w:instrText xml:space="preserve"> REF _Ref413329365 \h </w:instrText>
      </w:r>
      <w:r>
        <w:fldChar w:fldCharType="separate"/>
      </w:r>
      <w:r w:rsidR="00D32DCD">
        <w:t xml:space="preserve">Table </w:t>
      </w:r>
      <w:r w:rsidR="00D32DCD">
        <w:rPr>
          <w:noProof/>
        </w:rPr>
        <w:t>2</w:t>
      </w:r>
      <w:r w:rsidR="00D32DCD">
        <w:t>.</w:t>
      </w:r>
      <w:r w:rsidR="00D32DCD">
        <w:rPr>
          <w:noProof/>
        </w:rPr>
        <w:t>3</w:t>
      </w:r>
      <w:r>
        <w:fldChar w:fldCharType="end"/>
      </w:r>
      <w:r>
        <w:t xml:space="preserve"> </w:t>
      </w:r>
      <w:r w:rsidR="00982EA4" w:rsidRPr="00982EA4">
        <w:t xml:space="preserve">presents </w:t>
      </w:r>
      <w:r w:rsidR="00982EA4">
        <w:t>Essential</w:t>
      </w:r>
      <w:r w:rsidR="00982EA4" w:rsidRPr="00982EA4">
        <w:t xml:space="preserve"> Energy's revised proposed roll forward of its RAB </w:t>
      </w:r>
      <w:r w:rsidR="00C40F24">
        <w:t>for</w:t>
      </w:r>
      <w:r w:rsidR="00C40F24" w:rsidRPr="00982EA4">
        <w:t xml:space="preserve"> </w:t>
      </w:r>
      <w:r w:rsidR="00982EA4" w:rsidRPr="00982EA4">
        <w:t>the 2009–14 regulatory control period.</w:t>
      </w:r>
    </w:p>
    <w:p w:rsidR="00982EA4" w:rsidRDefault="00982EA4" w:rsidP="00982EA4">
      <w:pPr>
        <w:pStyle w:val="Caption"/>
      </w:pPr>
      <w:bookmarkStart w:id="17" w:name="_Ref413329365"/>
      <w:proofErr w:type="gramStart"/>
      <w:r>
        <w:t xml:space="preserve">Table </w:t>
      </w:r>
      <w:r w:rsidR="00281EBD">
        <w:fldChar w:fldCharType="begin"/>
      </w:r>
      <w:r w:rsidR="00281EBD">
        <w:instrText xml:space="preserve"> STYLEREF 1 \s </w:instrText>
      </w:r>
      <w:r w:rsidR="00281EBD">
        <w:fldChar w:fldCharType="separate"/>
      </w:r>
      <w:r w:rsidR="00D32DCD">
        <w:rPr>
          <w:noProof/>
        </w:rPr>
        <w:t>2</w:t>
      </w:r>
      <w:r w:rsidR="00281EBD">
        <w:rPr>
          <w:noProof/>
        </w:rPr>
        <w:fldChar w:fldCharType="end"/>
      </w:r>
      <w:r w:rsidR="00D32DCD">
        <w:t>.</w:t>
      </w:r>
      <w:proofErr w:type="gramEnd"/>
      <w:r w:rsidR="00281EBD">
        <w:fldChar w:fldCharType="begin"/>
      </w:r>
      <w:r w:rsidR="00281EBD">
        <w:instrText xml:space="preserve"> SEQ Table \* ARABIC \s 1 </w:instrText>
      </w:r>
      <w:r w:rsidR="00281EBD">
        <w:fldChar w:fldCharType="separate"/>
      </w:r>
      <w:r w:rsidR="00D32DCD">
        <w:rPr>
          <w:noProof/>
        </w:rPr>
        <w:t>3</w:t>
      </w:r>
      <w:r w:rsidR="00281EBD">
        <w:rPr>
          <w:noProof/>
        </w:rPr>
        <w:fldChar w:fldCharType="end"/>
      </w:r>
      <w:bookmarkEnd w:id="17"/>
      <w:r>
        <w:tab/>
        <w:t>Essential</w:t>
      </w:r>
      <w:r w:rsidRPr="00982EA4">
        <w:t xml:space="preserve"> Energy's revised proposed RAB roll forward for the 2009–14 regulatory control period ($ million, nominal)</w:t>
      </w:r>
    </w:p>
    <w:tbl>
      <w:tblPr>
        <w:tblStyle w:val="AERtable-numbers"/>
        <w:tblW w:w="8755" w:type="dxa"/>
        <w:tblLayout w:type="fixed"/>
        <w:tblLook w:val="04A0" w:firstRow="1" w:lastRow="0" w:firstColumn="1" w:lastColumn="0" w:noHBand="0" w:noVBand="1"/>
      </w:tblPr>
      <w:tblGrid>
        <w:gridCol w:w="3221"/>
        <w:gridCol w:w="976"/>
        <w:gridCol w:w="130"/>
        <w:gridCol w:w="846"/>
        <w:gridCol w:w="261"/>
        <w:gridCol w:w="715"/>
        <w:gridCol w:w="392"/>
        <w:gridCol w:w="584"/>
        <w:gridCol w:w="523"/>
        <w:gridCol w:w="1107"/>
      </w:tblGrid>
      <w:tr w:rsidR="001D050B" w:rsidRPr="001D050B" w:rsidTr="000F65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1D050B" w:rsidRDefault="001D050B" w:rsidP="001D050B">
            <w:r w:rsidRPr="001D050B">
              <w:t> </w:t>
            </w:r>
          </w:p>
        </w:tc>
        <w:tc>
          <w:tcPr>
            <w:tcW w:w="1106" w:type="dxa"/>
            <w:gridSpan w:val="2"/>
            <w:noWrap/>
            <w:hideMark/>
          </w:tcPr>
          <w:p w:rsidR="001D050B" w:rsidRPr="001D050B" w:rsidRDefault="001D050B" w:rsidP="001D050B">
            <w:pPr>
              <w:cnfStyle w:val="100000000000" w:firstRow="1" w:lastRow="0" w:firstColumn="0" w:lastColumn="0" w:oddVBand="0" w:evenVBand="0" w:oddHBand="0" w:evenHBand="0" w:firstRowFirstColumn="0" w:firstRowLastColumn="0" w:lastRowFirstColumn="0" w:lastRowLastColumn="0"/>
            </w:pPr>
            <w:r w:rsidRPr="001D050B">
              <w:t>2009–10</w:t>
            </w:r>
          </w:p>
        </w:tc>
        <w:tc>
          <w:tcPr>
            <w:tcW w:w="1107" w:type="dxa"/>
            <w:gridSpan w:val="2"/>
            <w:noWrap/>
            <w:hideMark/>
          </w:tcPr>
          <w:p w:rsidR="001D050B" w:rsidRPr="001D050B" w:rsidRDefault="001D050B" w:rsidP="001D050B">
            <w:pPr>
              <w:cnfStyle w:val="100000000000" w:firstRow="1" w:lastRow="0" w:firstColumn="0" w:lastColumn="0" w:oddVBand="0" w:evenVBand="0" w:oddHBand="0" w:evenHBand="0" w:firstRowFirstColumn="0" w:firstRowLastColumn="0" w:lastRowFirstColumn="0" w:lastRowLastColumn="0"/>
            </w:pPr>
            <w:r w:rsidRPr="001D050B">
              <w:t>2010–11</w:t>
            </w:r>
          </w:p>
        </w:tc>
        <w:tc>
          <w:tcPr>
            <w:tcW w:w="1107" w:type="dxa"/>
            <w:gridSpan w:val="2"/>
            <w:noWrap/>
            <w:hideMark/>
          </w:tcPr>
          <w:p w:rsidR="001D050B" w:rsidRPr="001D050B" w:rsidRDefault="001D050B" w:rsidP="001D050B">
            <w:pPr>
              <w:cnfStyle w:val="100000000000" w:firstRow="1" w:lastRow="0" w:firstColumn="0" w:lastColumn="0" w:oddVBand="0" w:evenVBand="0" w:oddHBand="0" w:evenHBand="0" w:firstRowFirstColumn="0" w:firstRowLastColumn="0" w:lastRowFirstColumn="0" w:lastRowLastColumn="0"/>
            </w:pPr>
            <w:r w:rsidRPr="001D050B">
              <w:t>2011–12</w:t>
            </w:r>
          </w:p>
        </w:tc>
        <w:tc>
          <w:tcPr>
            <w:tcW w:w="1107" w:type="dxa"/>
            <w:gridSpan w:val="2"/>
            <w:noWrap/>
            <w:hideMark/>
          </w:tcPr>
          <w:p w:rsidR="001D050B" w:rsidRPr="001D050B" w:rsidRDefault="001D050B" w:rsidP="001D050B">
            <w:pPr>
              <w:cnfStyle w:val="100000000000" w:firstRow="1" w:lastRow="0" w:firstColumn="0" w:lastColumn="0" w:oddVBand="0" w:evenVBand="0" w:oddHBand="0" w:evenHBand="0" w:firstRowFirstColumn="0" w:firstRowLastColumn="0" w:lastRowFirstColumn="0" w:lastRowLastColumn="0"/>
            </w:pPr>
            <w:r w:rsidRPr="001D050B">
              <w:t>2012–13</w:t>
            </w:r>
          </w:p>
        </w:tc>
        <w:tc>
          <w:tcPr>
            <w:tcW w:w="1107" w:type="dxa"/>
            <w:noWrap/>
            <w:hideMark/>
          </w:tcPr>
          <w:p w:rsidR="001D050B" w:rsidRPr="001D050B" w:rsidRDefault="001D050B" w:rsidP="001D050B">
            <w:pPr>
              <w:cnfStyle w:val="100000000000" w:firstRow="1" w:lastRow="0" w:firstColumn="0" w:lastColumn="0" w:oddVBand="0" w:evenVBand="0" w:oddHBand="0" w:evenHBand="0" w:firstRowFirstColumn="0" w:firstRowLastColumn="0" w:lastRowFirstColumn="0" w:lastRowLastColumn="0"/>
            </w:pPr>
            <w:r w:rsidRPr="001D050B">
              <w:t>2013–14</w:t>
            </w:r>
          </w:p>
        </w:tc>
      </w:tr>
      <w:tr w:rsidR="001D050B" w:rsidRPr="00921CA9" w:rsidTr="000F65EE">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921CA9" w:rsidRDefault="001D050B" w:rsidP="00921CA9">
            <w:r w:rsidRPr="00921CA9">
              <w:t>Opening RAB</w:t>
            </w:r>
          </w:p>
        </w:tc>
        <w:tc>
          <w:tcPr>
            <w:tcW w:w="1106"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4319.4</w:t>
            </w:r>
          </w:p>
        </w:tc>
        <w:tc>
          <w:tcPr>
            <w:tcW w:w="1107"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4820.6</w:t>
            </w:r>
          </w:p>
        </w:tc>
        <w:tc>
          <w:tcPr>
            <w:tcW w:w="1107"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5383.9</w:t>
            </w:r>
          </w:p>
        </w:tc>
        <w:tc>
          <w:tcPr>
            <w:tcW w:w="1107"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6066.0</w:t>
            </w:r>
          </w:p>
        </w:tc>
        <w:tc>
          <w:tcPr>
            <w:tcW w:w="1107" w:type="dxa"/>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6518.5</w:t>
            </w:r>
          </w:p>
        </w:tc>
      </w:tr>
      <w:tr w:rsidR="001D050B" w:rsidRPr="001D050B" w:rsidTr="000F65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1D050B" w:rsidRDefault="001D050B" w:rsidP="001D050B">
            <w:r w:rsidRPr="001D050B">
              <w:t xml:space="preserve">Capital expenditure </w:t>
            </w:r>
          </w:p>
        </w:tc>
        <w:tc>
          <w:tcPr>
            <w:tcW w:w="1106"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688.3</w:t>
            </w:r>
          </w:p>
        </w:tc>
        <w:tc>
          <w:tcPr>
            <w:tcW w:w="1107"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723.8</w:t>
            </w:r>
          </w:p>
        </w:tc>
        <w:tc>
          <w:tcPr>
            <w:tcW w:w="1107"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771.5</w:t>
            </w:r>
          </w:p>
        </w:tc>
        <w:tc>
          <w:tcPr>
            <w:tcW w:w="1107"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654.7</w:t>
            </w:r>
          </w:p>
        </w:tc>
        <w:tc>
          <w:tcPr>
            <w:tcW w:w="1107"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582.9</w:t>
            </w:r>
          </w:p>
        </w:tc>
      </w:tr>
      <w:tr w:rsidR="001D050B" w:rsidRPr="001D050B" w:rsidTr="000F65EE">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1D050B" w:rsidRDefault="001D050B" w:rsidP="001D050B">
            <w:r w:rsidRPr="001D050B">
              <w:t>Inflation indexation on opening RAB</w:t>
            </w:r>
          </w:p>
        </w:tc>
        <w:tc>
          <w:tcPr>
            <w:tcW w:w="1106" w:type="dxa"/>
            <w:gridSpan w:val="2"/>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78.6</w:t>
            </w:r>
          </w:p>
        </w:tc>
        <w:tc>
          <w:tcPr>
            <w:tcW w:w="1107" w:type="dxa"/>
            <w:gridSpan w:val="2"/>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137.2</w:t>
            </w:r>
          </w:p>
        </w:tc>
        <w:tc>
          <w:tcPr>
            <w:tcW w:w="1107" w:type="dxa"/>
            <w:gridSpan w:val="2"/>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182.5</w:t>
            </w:r>
          </w:p>
        </w:tc>
        <w:tc>
          <w:tcPr>
            <w:tcW w:w="1107" w:type="dxa"/>
            <w:gridSpan w:val="2"/>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106.9</w:t>
            </w:r>
          </w:p>
        </w:tc>
        <w:tc>
          <w:tcPr>
            <w:tcW w:w="1107" w:type="dxa"/>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159.7</w:t>
            </w:r>
          </w:p>
        </w:tc>
      </w:tr>
      <w:tr w:rsidR="001D050B" w:rsidRPr="001D050B" w:rsidTr="000F65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1D050B" w:rsidRDefault="001D050B" w:rsidP="001D050B">
            <w:r w:rsidRPr="001D050B">
              <w:rPr>
                <w:rStyle w:val="AERtextitalic"/>
              </w:rPr>
              <w:t>Less:</w:t>
            </w:r>
            <w:r w:rsidRPr="001D050B">
              <w:t xml:space="preserve"> straight-line depreciation</w:t>
            </w:r>
          </w:p>
        </w:tc>
        <w:tc>
          <w:tcPr>
            <w:tcW w:w="1106"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265.8</w:t>
            </w:r>
          </w:p>
        </w:tc>
        <w:tc>
          <w:tcPr>
            <w:tcW w:w="1107"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297.6</w:t>
            </w:r>
          </w:p>
        </w:tc>
        <w:tc>
          <w:tcPr>
            <w:tcW w:w="1107"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271.9</w:t>
            </w:r>
          </w:p>
        </w:tc>
        <w:tc>
          <w:tcPr>
            <w:tcW w:w="1107"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309.2</w:t>
            </w:r>
          </w:p>
        </w:tc>
        <w:tc>
          <w:tcPr>
            <w:tcW w:w="1107"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333.7</w:t>
            </w:r>
          </w:p>
        </w:tc>
      </w:tr>
      <w:tr w:rsidR="001D050B" w:rsidRPr="00921CA9" w:rsidTr="000F65EE">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921CA9" w:rsidRDefault="001D050B" w:rsidP="00921CA9">
            <w:r w:rsidRPr="00921CA9">
              <w:t>Closing RAB</w:t>
            </w:r>
          </w:p>
        </w:tc>
        <w:tc>
          <w:tcPr>
            <w:tcW w:w="1106"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4820.6</w:t>
            </w:r>
          </w:p>
        </w:tc>
        <w:tc>
          <w:tcPr>
            <w:tcW w:w="1107"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5383.9</w:t>
            </w:r>
          </w:p>
        </w:tc>
        <w:tc>
          <w:tcPr>
            <w:tcW w:w="1107"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6066.0</w:t>
            </w:r>
          </w:p>
        </w:tc>
        <w:tc>
          <w:tcPr>
            <w:tcW w:w="1107"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6518.5</w:t>
            </w:r>
          </w:p>
        </w:tc>
        <w:tc>
          <w:tcPr>
            <w:tcW w:w="1107" w:type="dxa"/>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6927.4</w:t>
            </w:r>
          </w:p>
        </w:tc>
      </w:tr>
      <w:tr w:rsidR="001D050B" w:rsidRPr="001D050B" w:rsidTr="000F65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hideMark/>
          </w:tcPr>
          <w:p w:rsidR="001D050B" w:rsidRPr="001D050B" w:rsidRDefault="001D050B" w:rsidP="001D050B">
            <w:r w:rsidRPr="001D050B">
              <w:t>Difference between estimated and actual capex (1 July  2008 to 30 June 2009)</w:t>
            </w:r>
          </w:p>
        </w:tc>
        <w:tc>
          <w:tcPr>
            <w:tcW w:w="1106"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 </w:t>
            </w:r>
          </w:p>
        </w:tc>
        <w:tc>
          <w:tcPr>
            <w:tcW w:w="1107"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 </w:t>
            </w:r>
          </w:p>
        </w:tc>
        <w:tc>
          <w:tcPr>
            <w:tcW w:w="1107"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 </w:t>
            </w:r>
          </w:p>
        </w:tc>
        <w:tc>
          <w:tcPr>
            <w:tcW w:w="1107"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 </w:t>
            </w:r>
          </w:p>
        </w:tc>
        <w:tc>
          <w:tcPr>
            <w:tcW w:w="1107"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t>–</w:t>
            </w:r>
            <w:r w:rsidRPr="001D050B">
              <w:t>27.7</w:t>
            </w:r>
          </w:p>
        </w:tc>
      </w:tr>
      <w:tr w:rsidR="001D050B" w:rsidRPr="00921CA9" w:rsidTr="000F65EE">
        <w:trPr>
          <w:trHeight w:val="300"/>
        </w:trPr>
        <w:tc>
          <w:tcPr>
            <w:cnfStyle w:val="001000000000" w:firstRow="0" w:lastRow="0" w:firstColumn="1" w:lastColumn="0" w:oddVBand="0" w:evenVBand="0" w:oddHBand="0" w:evenHBand="0" w:firstRowFirstColumn="0" w:firstRowLastColumn="0" w:lastRowFirstColumn="0" w:lastRowLastColumn="0"/>
            <w:tcW w:w="3221" w:type="dxa"/>
            <w:hideMark/>
          </w:tcPr>
          <w:p w:rsidR="001D050B" w:rsidRPr="00921CA9" w:rsidRDefault="001D050B" w:rsidP="00921CA9">
            <w:r w:rsidRPr="00921CA9">
              <w:t>Return on difference for 2008–09 capex</w:t>
            </w:r>
          </w:p>
        </w:tc>
        <w:tc>
          <w:tcPr>
            <w:tcW w:w="1106"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 </w:t>
            </w:r>
          </w:p>
        </w:tc>
        <w:tc>
          <w:tcPr>
            <w:tcW w:w="1107"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 </w:t>
            </w:r>
          </w:p>
        </w:tc>
        <w:tc>
          <w:tcPr>
            <w:tcW w:w="1107"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 </w:t>
            </w:r>
          </w:p>
        </w:tc>
        <w:tc>
          <w:tcPr>
            <w:tcW w:w="1107" w:type="dxa"/>
            <w:gridSpan w:val="2"/>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 </w:t>
            </w:r>
          </w:p>
        </w:tc>
        <w:tc>
          <w:tcPr>
            <w:tcW w:w="1107" w:type="dxa"/>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–16.9</w:t>
            </w:r>
          </w:p>
        </w:tc>
      </w:tr>
      <w:tr w:rsidR="001D050B" w:rsidRPr="00227935" w:rsidTr="000F65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7" w:type="dxa"/>
            <w:gridSpan w:val="2"/>
            <w:noWrap/>
            <w:hideMark/>
          </w:tcPr>
          <w:p w:rsidR="001D050B" w:rsidRPr="00227935" w:rsidRDefault="001D050B" w:rsidP="00227935">
            <w:r w:rsidRPr="00227935">
              <w:t>Closing RAB as at 30 June 2014</w:t>
            </w:r>
          </w:p>
        </w:tc>
        <w:tc>
          <w:tcPr>
            <w:tcW w:w="976" w:type="dxa"/>
            <w:gridSpan w:val="2"/>
            <w:noWrap/>
            <w:hideMark/>
          </w:tcPr>
          <w:p w:rsidR="001D050B" w:rsidRPr="00227935" w:rsidRDefault="001D050B" w:rsidP="00227935">
            <w:pPr>
              <w:cnfStyle w:val="000000010000" w:firstRow="0" w:lastRow="0" w:firstColumn="0" w:lastColumn="0" w:oddVBand="0" w:evenVBand="0" w:oddHBand="0" w:evenHBand="1" w:firstRowFirstColumn="0" w:firstRowLastColumn="0" w:lastRowFirstColumn="0" w:lastRowLastColumn="0"/>
            </w:pPr>
            <w:r w:rsidRPr="00227935">
              <w:t> </w:t>
            </w:r>
          </w:p>
        </w:tc>
        <w:tc>
          <w:tcPr>
            <w:tcW w:w="976" w:type="dxa"/>
            <w:gridSpan w:val="2"/>
            <w:noWrap/>
            <w:hideMark/>
          </w:tcPr>
          <w:p w:rsidR="001D050B" w:rsidRPr="00227935" w:rsidRDefault="001D050B" w:rsidP="00227935">
            <w:pPr>
              <w:cnfStyle w:val="000000010000" w:firstRow="0" w:lastRow="0" w:firstColumn="0" w:lastColumn="0" w:oddVBand="0" w:evenVBand="0" w:oddHBand="0" w:evenHBand="1" w:firstRowFirstColumn="0" w:firstRowLastColumn="0" w:lastRowFirstColumn="0" w:lastRowLastColumn="0"/>
            </w:pPr>
            <w:r w:rsidRPr="00227935">
              <w:t> </w:t>
            </w:r>
          </w:p>
        </w:tc>
        <w:tc>
          <w:tcPr>
            <w:tcW w:w="976" w:type="dxa"/>
            <w:gridSpan w:val="2"/>
            <w:noWrap/>
            <w:hideMark/>
          </w:tcPr>
          <w:p w:rsidR="001D050B" w:rsidRPr="00227935" w:rsidRDefault="001D050B" w:rsidP="00227935">
            <w:pPr>
              <w:cnfStyle w:val="000000010000" w:firstRow="0" w:lastRow="0" w:firstColumn="0" w:lastColumn="0" w:oddVBand="0" w:evenVBand="0" w:oddHBand="0" w:evenHBand="1" w:firstRowFirstColumn="0" w:firstRowLastColumn="0" w:lastRowFirstColumn="0" w:lastRowLastColumn="0"/>
            </w:pPr>
            <w:r w:rsidRPr="00227935">
              <w:t> </w:t>
            </w:r>
          </w:p>
        </w:tc>
        <w:tc>
          <w:tcPr>
            <w:tcW w:w="1630" w:type="dxa"/>
            <w:gridSpan w:val="2"/>
            <w:noWrap/>
            <w:hideMark/>
          </w:tcPr>
          <w:p w:rsidR="001D050B" w:rsidRPr="00227935" w:rsidRDefault="001D050B" w:rsidP="00227935">
            <w:pPr>
              <w:cnfStyle w:val="000000010000" w:firstRow="0" w:lastRow="0" w:firstColumn="0" w:lastColumn="0" w:oddVBand="0" w:evenVBand="0" w:oddHBand="0" w:evenHBand="1" w:firstRowFirstColumn="0" w:firstRowLastColumn="0" w:lastRowFirstColumn="0" w:lastRowLastColumn="0"/>
            </w:pPr>
            <w:r w:rsidRPr="00227935">
              <w:t>6882.7</w:t>
            </w:r>
          </w:p>
        </w:tc>
      </w:tr>
      <w:tr w:rsidR="001D050B" w:rsidRPr="001D050B" w:rsidTr="000F65EE">
        <w:trPr>
          <w:trHeight w:val="300"/>
        </w:trPr>
        <w:tc>
          <w:tcPr>
            <w:cnfStyle w:val="001000000000" w:firstRow="0" w:lastRow="0" w:firstColumn="1" w:lastColumn="0" w:oddVBand="0" w:evenVBand="0" w:oddHBand="0" w:evenHBand="0" w:firstRowFirstColumn="0" w:firstRowLastColumn="0" w:lastRowFirstColumn="0" w:lastRowLastColumn="0"/>
            <w:tcW w:w="3221" w:type="dxa"/>
            <w:hideMark/>
          </w:tcPr>
          <w:p w:rsidR="001D050B" w:rsidRPr="001D050B" w:rsidRDefault="001D050B" w:rsidP="00651A9F">
            <w:r w:rsidRPr="001D050B">
              <w:t xml:space="preserve">Meters moved to </w:t>
            </w:r>
            <w:r w:rsidR="00651A9F">
              <w:t>alternative control services</w:t>
            </w:r>
          </w:p>
        </w:tc>
        <w:tc>
          <w:tcPr>
            <w:tcW w:w="976" w:type="dxa"/>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 </w:t>
            </w:r>
          </w:p>
        </w:tc>
        <w:tc>
          <w:tcPr>
            <w:tcW w:w="976" w:type="dxa"/>
            <w:gridSpan w:val="2"/>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 </w:t>
            </w:r>
          </w:p>
        </w:tc>
        <w:tc>
          <w:tcPr>
            <w:tcW w:w="976" w:type="dxa"/>
            <w:gridSpan w:val="2"/>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 </w:t>
            </w:r>
          </w:p>
        </w:tc>
        <w:tc>
          <w:tcPr>
            <w:tcW w:w="976" w:type="dxa"/>
            <w:gridSpan w:val="2"/>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 </w:t>
            </w:r>
          </w:p>
        </w:tc>
        <w:tc>
          <w:tcPr>
            <w:tcW w:w="1630" w:type="dxa"/>
            <w:gridSpan w:val="2"/>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t>–</w:t>
            </w:r>
            <w:r w:rsidRPr="001D050B">
              <w:t>95.1</w:t>
            </w:r>
          </w:p>
        </w:tc>
      </w:tr>
      <w:tr w:rsidR="001D050B" w:rsidRPr="001D050B" w:rsidTr="000F65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7" w:type="dxa"/>
            <w:gridSpan w:val="2"/>
            <w:noWrap/>
            <w:hideMark/>
          </w:tcPr>
          <w:p w:rsidR="001D050B" w:rsidRPr="001D050B" w:rsidRDefault="001D050B" w:rsidP="001D050B">
            <w:pPr>
              <w:rPr>
                <w:rStyle w:val="Strong"/>
              </w:rPr>
            </w:pPr>
            <w:r w:rsidRPr="001D050B">
              <w:rPr>
                <w:rStyle w:val="Strong"/>
              </w:rPr>
              <w:t>Opening RAB as at 1 July 2014</w:t>
            </w:r>
          </w:p>
        </w:tc>
        <w:tc>
          <w:tcPr>
            <w:tcW w:w="976"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rPr>
                <w:rStyle w:val="Strong"/>
              </w:rPr>
            </w:pPr>
            <w:r w:rsidRPr="001D050B">
              <w:rPr>
                <w:rStyle w:val="Strong"/>
              </w:rPr>
              <w:t> </w:t>
            </w:r>
          </w:p>
        </w:tc>
        <w:tc>
          <w:tcPr>
            <w:tcW w:w="976"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rPr>
                <w:rStyle w:val="Strong"/>
              </w:rPr>
            </w:pPr>
            <w:r w:rsidRPr="001D050B">
              <w:rPr>
                <w:rStyle w:val="Strong"/>
              </w:rPr>
              <w:t> </w:t>
            </w:r>
          </w:p>
        </w:tc>
        <w:tc>
          <w:tcPr>
            <w:tcW w:w="976"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rPr>
                <w:rStyle w:val="Strong"/>
              </w:rPr>
            </w:pPr>
            <w:r w:rsidRPr="001D050B">
              <w:rPr>
                <w:rStyle w:val="Strong"/>
              </w:rPr>
              <w:t> </w:t>
            </w:r>
          </w:p>
        </w:tc>
        <w:tc>
          <w:tcPr>
            <w:tcW w:w="1630" w:type="dxa"/>
            <w:gridSpan w:val="2"/>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rPr>
                <w:rStyle w:val="Strong"/>
              </w:rPr>
            </w:pPr>
            <w:r w:rsidRPr="001D050B">
              <w:rPr>
                <w:rStyle w:val="Strong"/>
              </w:rPr>
              <w:t>6787.6</w:t>
            </w:r>
          </w:p>
        </w:tc>
      </w:tr>
    </w:tbl>
    <w:p w:rsidR="001D050B" w:rsidRDefault="001D050B" w:rsidP="001D050B">
      <w:pPr>
        <w:pStyle w:val="AERtablesource"/>
      </w:pPr>
      <w:r>
        <w:t>Source:</w:t>
      </w:r>
      <w:r>
        <w:tab/>
      </w:r>
      <w:r w:rsidR="004F0259">
        <w:t>Essential Energy</w:t>
      </w:r>
      <w:r w:rsidR="004F0259" w:rsidRPr="004F0259">
        <w:t xml:space="preserve">, </w:t>
      </w:r>
      <w:r w:rsidR="004F0259" w:rsidRPr="004F0259">
        <w:rPr>
          <w:rStyle w:val="AERtextitalic"/>
        </w:rPr>
        <w:t>Revised regulatory proposal</w:t>
      </w:r>
      <w:r w:rsidR="004F0259" w:rsidRPr="004F0259">
        <w:t xml:space="preserve">, </w:t>
      </w:r>
      <w:r w:rsidR="004F0259">
        <w:t>January</w:t>
      </w:r>
      <w:r w:rsidR="004F0259" w:rsidRPr="004F0259">
        <w:t xml:space="preserve"> 2014, Attachment </w:t>
      </w:r>
      <w:r w:rsidR="004F0259">
        <w:t>5.1</w:t>
      </w:r>
      <w:r w:rsidR="004F0259" w:rsidRPr="004F0259">
        <w:t>.</w:t>
      </w:r>
    </w:p>
    <w:p w:rsidR="001D050B" w:rsidRDefault="001D050B" w:rsidP="001D050B">
      <w:r>
        <w:t>Essential</w:t>
      </w:r>
      <w:r w:rsidRPr="001D050B">
        <w:t xml:space="preserve"> Energy</w:t>
      </w:r>
      <w:r w:rsidR="00651A9F">
        <w:t>'s</w:t>
      </w:r>
      <w:r w:rsidRPr="001D050B">
        <w:t xml:space="preserve"> </w:t>
      </w:r>
      <w:r w:rsidR="00FC2C52">
        <w:t xml:space="preserve">revised </w:t>
      </w:r>
      <w:r w:rsidRPr="001D050B">
        <w:t>propos</w:t>
      </w:r>
      <w:r w:rsidR="00FC2C52">
        <w:t>al submitted</w:t>
      </w:r>
      <w:r w:rsidRPr="001D050B">
        <w:t xml:space="preserve"> a forecast </w:t>
      </w:r>
      <w:r w:rsidR="00FC2C52">
        <w:t xml:space="preserve">closing </w:t>
      </w:r>
      <w:r w:rsidRPr="001D050B">
        <w:t>RAB as at 30 June 2019 of $</w:t>
      </w:r>
      <w:r w:rsidR="00FC2C52">
        <w:t>899</w:t>
      </w:r>
      <w:r w:rsidR="00651A9F">
        <w:t>8.8</w:t>
      </w:r>
      <w:r>
        <w:t> </w:t>
      </w:r>
      <w:r w:rsidRPr="001D050B">
        <w:t>million ($</w:t>
      </w:r>
      <w:r>
        <w:t> </w:t>
      </w:r>
      <w:r w:rsidRPr="001D050B">
        <w:t xml:space="preserve">nominal). This value reflects its </w:t>
      </w:r>
      <w:r>
        <w:t xml:space="preserve">revised </w:t>
      </w:r>
      <w:r w:rsidRPr="001D050B">
        <w:t>opening RAB, forecast capex</w:t>
      </w:r>
      <w:r w:rsidR="00651A9F">
        <w:t xml:space="preserve"> and</w:t>
      </w:r>
      <w:r w:rsidRPr="001D050B">
        <w:t xml:space="preserve"> forecast depreciation (based on forecast capex) over the 2014–19 </w:t>
      </w:r>
      <w:proofErr w:type="gramStart"/>
      <w:r w:rsidRPr="001D050B">
        <w:t>period</w:t>
      </w:r>
      <w:proofErr w:type="gramEnd"/>
      <w:r w:rsidRPr="001D050B">
        <w:t xml:space="preserve">. </w:t>
      </w:r>
      <w:r w:rsidR="00651A9F">
        <w:t>Essential Energy's</w:t>
      </w:r>
      <w:r w:rsidRPr="001D050B">
        <w:t xml:space="preserve"> projected RAB over the 2014–19 </w:t>
      </w:r>
      <w:proofErr w:type="gramStart"/>
      <w:r w:rsidRPr="001D050B">
        <w:t>period</w:t>
      </w:r>
      <w:proofErr w:type="gramEnd"/>
      <w:r w:rsidRPr="001D050B">
        <w:t xml:space="preserve"> is shown in </w:t>
      </w:r>
      <w:r>
        <w:fldChar w:fldCharType="begin"/>
      </w:r>
      <w:r>
        <w:instrText xml:space="preserve"> REF _Ref413329544 \h </w:instrText>
      </w:r>
      <w:r>
        <w:fldChar w:fldCharType="separate"/>
      </w:r>
      <w:r w:rsidR="00D32DCD">
        <w:t xml:space="preserve">Table </w:t>
      </w:r>
      <w:r w:rsidR="00D32DCD">
        <w:rPr>
          <w:noProof/>
        </w:rPr>
        <w:t>2</w:t>
      </w:r>
      <w:r w:rsidR="00D32DCD">
        <w:t>.</w:t>
      </w:r>
      <w:r w:rsidR="00D32DCD">
        <w:rPr>
          <w:noProof/>
        </w:rPr>
        <w:t>4</w:t>
      </w:r>
      <w:r>
        <w:fldChar w:fldCharType="end"/>
      </w:r>
      <w:r w:rsidRPr="001D050B">
        <w:t>.</w:t>
      </w:r>
    </w:p>
    <w:p w:rsidR="00EB4B6F" w:rsidRDefault="00EB4B6F" w:rsidP="001D050B"/>
    <w:p w:rsidR="00EB4B6F" w:rsidRDefault="00EB4B6F" w:rsidP="001D050B"/>
    <w:p w:rsidR="00EB4B6F" w:rsidRDefault="00EB4B6F" w:rsidP="001D050B"/>
    <w:p w:rsidR="00EB4B6F" w:rsidRDefault="00EB4B6F" w:rsidP="001D050B"/>
    <w:p w:rsidR="001D050B" w:rsidRDefault="001D050B" w:rsidP="001D050B">
      <w:pPr>
        <w:pStyle w:val="Caption"/>
      </w:pPr>
      <w:bookmarkStart w:id="18" w:name="_Ref413329544"/>
      <w:proofErr w:type="gramStart"/>
      <w:r>
        <w:lastRenderedPageBreak/>
        <w:t xml:space="preserve">Table </w:t>
      </w:r>
      <w:r w:rsidR="00281EBD">
        <w:fldChar w:fldCharType="begin"/>
      </w:r>
      <w:r w:rsidR="00281EBD">
        <w:instrText xml:space="preserve"> STYLEREF 1 \s </w:instrText>
      </w:r>
      <w:r w:rsidR="00281EBD">
        <w:fldChar w:fldCharType="separate"/>
      </w:r>
      <w:r w:rsidR="00D32DCD">
        <w:rPr>
          <w:noProof/>
        </w:rPr>
        <w:t>2</w:t>
      </w:r>
      <w:r w:rsidR="00281EBD">
        <w:rPr>
          <w:noProof/>
        </w:rPr>
        <w:fldChar w:fldCharType="end"/>
      </w:r>
      <w:r w:rsidR="00D32DCD">
        <w:t>.</w:t>
      </w:r>
      <w:proofErr w:type="gramEnd"/>
      <w:r w:rsidR="00281EBD">
        <w:fldChar w:fldCharType="begin"/>
      </w:r>
      <w:r w:rsidR="00281EBD">
        <w:instrText xml:space="preserve"> S</w:instrText>
      </w:r>
      <w:r w:rsidR="00281EBD">
        <w:instrText xml:space="preserve">EQ Table \* ARABIC \s 1 </w:instrText>
      </w:r>
      <w:r w:rsidR="00281EBD">
        <w:fldChar w:fldCharType="separate"/>
      </w:r>
      <w:r w:rsidR="00D32DCD">
        <w:rPr>
          <w:noProof/>
        </w:rPr>
        <w:t>4</w:t>
      </w:r>
      <w:r w:rsidR="00281EBD">
        <w:rPr>
          <w:noProof/>
        </w:rPr>
        <w:fldChar w:fldCharType="end"/>
      </w:r>
      <w:bookmarkEnd w:id="18"/>
      <w:r>
        <w:tab/>
        <w:t>Essential</w:t>
      </w:r>
      <w:r w:rsidRPr="001D050B">
        <w:t xml:space="preserve"> Energy's revised proposed RAB for the 2014–19 period ($ million, nominal)</w:t>
      </w:r>
    </w:p>
    <w:tbl>
      <w:tblPr>
        <w:tblStyle w:val="AERtable-numbers"/>
        <w:tblW w:w="8755" w:type="dxa"/>
        <w:tblLayout w:type="fixed"/>
        <w:tblLook w:val="04A0" w:firstRow="1" w:lastRow="0" w:firstColumn="1" w:lastColumn="0" w:noHBand="0" w:noVBand="1"/>
      </w:tblPr>
      <w:tblGrid>
        <w:gridCol w:w="3221"/>
        <w:gridCol w:w="1106"/>
        <w:gridCol w:w="1107"/>
        <w:gridCol w:w="1107"/>
        <w:gridCol w:w="1107"/>
        <w:gridCol w:w="1107"/>
      </w:tblGrid>
      <w:tr w:rsidR="001D050B" w:rsidRPr="001D050B" w:rsidTr="000F65E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1D050B" w:rsidRDefault="001D050B" w:rsidP="001D050B">
            <w:r w:rsidRPr="001D050B">
              <w:t> </w:t>
            </w:r>
          </w:p>
        </w:tc>
        <w:tc>
          <w:tcPr>
            <w:tcW w:w="1106" w:type="dxa"/>
            <w:noWrap/>
            <w:hideMark/>
          </w:tcPr>
          <w:p w:rsidR="001D050B" w:rsidRPr="001D050B" w:rsidRDefault="001D050B" w:rsidP="001D050B">
            <w:pPr>
              <w:cnfStyle w:val="100000000000" w:firstRow="1" w:lastRow="0" w:firstColumn="0" w:lastColumn="0" w:oddVBand="0" w:evenVBand="0" w:oddHBand="0" w:evenHBand="0" w:firstRowFirstColumn="0" w:firstRowLastColumn="0" w:lastRowFirstColumn="0" w:lastRowLastColumn="0"/>
            </w:pPr>
            <w:r w:rsidRPr="001D050B">
              <w:t>2014–15</w:t>
            </w:r>
          </w:p>
        </w:tc>
        <w:tc>
          <w:tcPr>
            <w:tcW w:w="1107" w:type="dxa"/>
            <w:noWrap/>
            <w:hideMark/>
          </w:tcPr>
          <w:p w:rsidR="001D050B" w:rsidRPr="001D050B" w:rsidRDefault="001D050B" w:rsidP="001D050B">
            <w:pPr>
              <w:cnfStyle w:val="100000000000" w:firstRow="1" w:lastRow="0" w:firstColumn="0" w:lastColumn="0" w:oddVBand="0" w:evenVBand="0" w:oddHBand="0" w:evenHBand="0" w:firstRowFirstColumn="0" w:firstRowLastColumn="0" w:lastRowFirstColumn="0" w:lastRowLastColumn="0"/>
            </w:pPr>
            <w:r w:rsidRPr="001D050B">
              <w:t>2015–16</w:t>
            </w:r>
          </w:p>
        </w:tc>
        <w:tc>
          <w:tcPr>
            <w:tcW w:w="1107" w:type="dxa"/>
            <w:noWrap/>
            <w:hideMark/>
          </w:tcPr>
          <w:p w:rsidR="001D050B" w:rsidRPr="001D050B" w:rsidRDefault="001D050B" w:rsidP="001D050B">
            <w:pPr>
              <w:cnfStyle w:val="100000000000" w:firstRow="1" w:lastRow="0" w:firstColumn="0" w:lastColumn="0" w:oddVBand="0" w:evenVBand="0" w:oddHBand="0" w:evenHBand="0" w:firstRowFirstColumn="0" w:firstRowLastColumn="0" w:lastRowFirstColumn="0" w:lastRowLastColumn="0"/>
            </w:pPr>
            <w:r w:rsidRPr="001D050B">
              <w:t>2016–17</w:t>
            </w:r>
          </w:p>
        </w:tc>
        <w:tc>
          <w:tcPr>
            <w:tcW w:w="1107" w:type="dxa"/>
            <w:noWrap/>
            <w:hideMark/>
          </w:tcPr>
          <w:p w:rsidR="001D050B" w:rsidRPr="001D050B" w:rsidRDefault="001D050B" w:rsidP="001D050B">
            <w:pPr>
              <w:cnfStyle w:val="100000000000" w:firstRow="1" w:lastRow="0" w:firstColumn="0" w:lastColumn="0" w:oddVBand="0" w:evenVBand="0" w:oddHBand="0" w:evenHBand="0" w:firstRowFirstColumn="0" w:firstRowLastColumn="0" w:lastRowFirstColumn="0" w:lastRowLastColumn="0"/>
            </w:pPr>
            <w:r w:rsidRPr="001D050B">
              <w:t>2017–18</w:t>
            </w:r>
          </w:p>
        </w:tc>
        <w:tc>
          <w:tcPr>
            <w:tcW w:w="1107" w:type="dxa"/>
            <w:noWrap/>
            <w:hideMark/>
          </w:tcPr>
          <w:p w:rsidR="001D050B" w:rsidRPr="001D050B" w:rsidRDefault="001D050B" w:rsidP="001D050B">
            <w:pPr>
              <w:cnfStyle w:val="100000000000" w:firstRow="1" w:lastRow="0" w:firstColumn="0" w:lastColumn="0" w:oddVBand="0" w:evenVBand="0" w:oddHBand="0" w:evenHBand="0" w:firstRowFirstColumn="0" w:firstRowLastColumn="0" w:lastRowFirstColumn="0" w:lastRowLastColumn="0"/>
            </w:pPr>
            <w:r w:rsidRPr="001D050B">
              <w:t>2018–19</w:t>
            </w:r>
          </w:p>
        </w:tc>
      </w:tr>
      <w:tr w:rsidR="001D050B" w:rsidRPr="00921CA9" w:rsidTr="000F65EE">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921CA9" w:rsidRDefault="001D050B" w:rsidP="00921CA9">
            <w:r w:rsidRPr="00921CA9">
              <w:t>Opening RAB</w:t>
            </w:r>
          </w:p>
        </w:tc>
        <w:tc>
          <w:tcPr>
            <w:tcW w:w="1106" w:type="dxa"/>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6787.6</w:t>
            </w:r>
          </w:p>
        </w:tc>
        <w:tc>
          <w:tcPr>
            <w:tcW w:w="1107" w:type="dxa"/>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7240.0</w:t>
            </w:r>
          </w:p>
        </w:tc>
        <w:tc>
          <w:tcPr>
            <w:tcW w:w="1107" w:type="dxa"/>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7696.1</w:t>
            </w:r>
          </w:p>
        </w:tc>
        <w:tc>
          <w:tcPr>
            <w:tcW w:w="1107" w:type="dxa"/>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8140.9</w:t>
            </w:r>
          </w:p>
        </w:tc>
        <w:tc>
          <w:tcPr>
            <w:tcW w:w="1107" w:type="dxa"/>
            <w:noWrap/>
            <w:hideMark/>
          </w:tcPr>
          <w:p w:rsidR="001D050B" w:rsidRPr="00921CA9" w:rsidRDefault="001D050B" w:rsidP="00921CA9">
            <w:pPr>
              <w:cnfStyle w:val="000000000000" w:firstRow="0" w:lastRow="0" w:firstColumn="0" w:lastColumn="0" w:oddVBand="0" w:evenVBand="0" w:oddHBand="0" w:evenHBand="0" w:firstRowFirstColumn="0" w:firstRowLastColumn="0" w:lastRowFirstColumn="0" w:lastRowLastColumn="0"/>
            </w:pPr>
            <w:r w:rsidRPr="00921CA9">
              <w:t>8580.1</w:t>
            </w:r>
          </w:p>
        </w:tc>
      </w:tr>
      <w:tr w:rsidR="001D050B" w:rsidRPr="001D050B" w:rsidTr="000F65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1D050B" w:rsidRDefault="001D050B" w:rsidP="001D050B">
            <w:r w:rsidRPr="001D050B">
              <w:t xml:space="preserve">Capital expenditure </w:t>
            </w:r>
          </w:p>
        </w:tc>
        <w:tc>
          <w:tcPr>
            <w:tcW w:w="1106"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551.2</w:t>
            </w:r>
          </w:p>
        </w:tc>
        <w:tc>
          <w:tcPr>
            <w:tcW w:w="1107"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569.9</w:t>
            </w:r>
          </w:p>
        </w:tc>
        <w:tc>
          <w:tcPr>
            <w:tcW w:w="1107"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574.5</w:t>
            </w:r>
          </w:p>
        </w:tc>
        <w:tc>
          <w:tcPr>
            <w:tcW w:w="1107"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561.0</w:t>
            </w:r>
          </w:p>
        </w:tc>
        <w:tc>
          <w:tcPr>
            <w:tcW w:w="1107"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548.9</w:t>
            </w:r>
          </w:p>
        </w:tc>
      </w:tr>
      <w:tr w:rsidR="001D050B" w:rsidRPr="001D050B" w:rsidTr="000F65EE">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1D050B" w:rsidRDefault="001D050B" w:rsidP="001D050B">
            <w:r w:rsidRPr="001D050B">
              <w:t>Inflation indexation on opening RAB</w:t>
            </w:r>
          </w:p>
        </w:tc>
        <w:tc>
          <w:tcPr>
            <w:tcW w:w="1106" w:type="dxa"/>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166.3</w:t>
            </w:r>
          </w:p>
        </w:tc>
        <w:tc>
          <w:tcPr>
            <w:tcW w:w="1107" w:type="dxa"/>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181.0</w:t>
            </w:r>
          </w:p>
        </w:tc>
        <w:tc>
          <w:tcPr>
            <w:tcW w:w="1107" w:type="dxa"/>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192.4</w:t>
            </w:r>
          </w:p>
        </w:tc>
        <w:tc>
          <w:tcPr>
            <w:tcW w:w="1107" w:type="dxa"/>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203.5</w:t>
            </w:r>
          </w:p>
        </w:tc>
        <w:tc>
          <w:tcPr>
            <w:tcW w:w="1107" w:type="dxa"/>
            <w:noWrap/>
            <w:hideMark/>
          </w:tcPr>
          <w:p w:rsidR="001D050B" w:rsidRPr="001D050B" w:rsidRDefault="001D050B" w:rsidP="001D050B">
            <w:pPr>
              <w:cnfStyle w:val="000000000000" w:firstRow="0" w:lastRow="0" w:firstColumn="0" w:lastColumn="0" w:oddVBand="0" w:evenVBand="0" w:oddHBand="0" w:evenHBand="0" w:firstRowFirstColumn="0" w:firstRowLastColumn="0" w:lastRowFirstColumn="0" w:lastRowLastColumn="0"/>
            </w:pPr>
            <w:r w:rsidRPr="001D050B">
              <w:t>214.5</w:t>
            </w:r>
          </w:p>
        </w:tc>
      </w:tr>
      <w:tr w:rsidR="001D050B" w:rsidRPr="001D050B" w:rsidTr="000F65E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1D050B" w:rsidRDefault="001D050B" w:rsidP="001D050B">
            <w:r w:rsidRPr="001D050B">
              <w:rPr>
                <w:rStyle w:val="AERtextitalic"/>
              </w:rPr>
              <w:t>Less:</w:t>
            </w:r>
            <w:r w:rsidRPr="001D050B">
              <w:t xml:space="preserve"> straight-line depreciation</w:t>
            </w:r>
          </w:p>
        </w:tc>
        <w:tc>
          <w:tcPr>
            <w:tcW w:w="1106"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265.1</w:t>
            </w:r>
          </w:p>
        </w:tc>
        <w:tc>
          <w:tcPr>
            <w:tcW w:w="1107"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294.8</w:t>
            </w:r>
          </w:p>
        </w:tc>
        <w:tc>
          <w:tcPr>
            <w:tcW w:w="1107"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322.1</w:t>
            </w:r>
          </w:p>
        </w:tc>
        <w:tc>
          <w:tcPr>
            <w:tcW w:w="1107"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325.3</w:t>
            </w:r>
          </w:p>
        </w:tc>
        <w:tc>
          <w:tcPr>
            <w:tcW w:w="1107" w:type="dxa"/>
            <w:noWrap/>
            <w:hideMark/>
          </w:tcPr>
          <w:p w:rsidR="001D050B" w:rsidRPr="001D050B" w:rsidRDefault="001D050B" w:rsidP="001D050B">
            <w:pPr>
              <w:cnfStyle w:val="000000010000" w:firstRow="0" w:lastRow="0" w:firstColumn="0" w:lastColumn="0" w:oddVBand="0" w:evenVBand="0" w:oddHBand="0" w:evenHBand="1" w:firstRowFirstColumn="0" w:firstRowLastColumn="0" w:lastRowFirstColumn="0" w:lastRowLastColumn="0"/>
            </w:pPr>
            <w:r w:rsidRPr="001D050B">
              <w:t>344.8</w:t>
            </w:r>
          </w:p>
        </w:tc>
      </w:tr>
      <w:tr w:rsidR="001D050B" w:rsidRPr="00F978BA" w:rsidTr="000F65EE">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1D050B" w:rsidRPr="00F978BA" w:rsidRDefault="001D050B" w:rsidP="00921CA9">
            <w:pPr>
              <w:rPr>
                <w:rStyle w:val="Strong"/>
              </w:rPr>
            </w:pPr>
            <w:r w:rsidRPr="00F978BA">
              <w:rPr>
                <w:rStyle w:val="Strong"/>
              </w:rPr>
              <w:t>Closing RAB</w:t>
            </w:r>
          </w:p>
        </w:tc>
        <w:tc>
          <w:tcPr>
            <w:tcW w:w="1106" w:type="dxa"/>
            <w:noWrap/>
            <w:hideMark/>
          </w:tcPr>
          <w:p w:rsidR="001D050B" w:rsidRPr="00F978BA" w:rsidRDefault="001D050B" w:rsidP="00921CA9">
            <w:pPr>
              <w:cnfStyle w:val="000000000000" w:firstRow="0" w:lastRow="0" w:firstColumn="0" w:lastColumn="0" w:oddVBand="0" w:evenVBand="0" w:oddHBand="0" w:evenHBand="0" w:firstRowFirstColumn="0" w:firstRowLastColumn="0" w:lastRowFirstColumn="0" w:lastRowLastColumn="0"/>
              <w:rPr>
                <w:rStyle w:val="Strong"/>
              </w:rPr>
            </w:pPr>
            <w:r w:rsidRPr="00F978BA">
              <w:rPr>
                <w:rStyle w:val="Strong"/>
              </w:rPr>
              <w:t>7240.0</w:t>
            </w:r>
          </w:p>
        </w:tc>
        <w:tc>
          <w:tcPr>
            <w:tcW w:w="1107" w:type="dxa"/>
            <w:noWrap/>
            <w:hideMark/>
          </w:tcPr>
          <w:p w:rsidR="001D050B" w:rsidRPr="00F978BA" w:rsidRDefault="001D050B" w:rsidP="00921CA9">
            <w:pPr>
              <w:cnfStyle w:val="000000000000" w:firstRow="0" w:lastRow="0" w:firstColumn="0" w:lastColumn="0" w:oddVBand="0" w:evenVBand="0" w:oddHBand="0" w:evenHBand="0" w:firstRowFirstColumn="0" w:firstRowLastColumn="0" w:lastRowFirstColumn="0" w:lastRowLastColumn="0"/>
              <w:rPr>
                <w:rStyle w:val="Strong"/>
              </w:rPr>
            </w:pPr>
            <w:r w:rsidRPr="00F978BA">
              <w:rPr>
                <w:rStyle w:val="Strong"/>
              </w:rPr>
              <w:t>7696.1</w:t>
            </w:r>
          </w:p>
        </w:tc>
        <w:tc>
          <w:tcPr>
            <w:tcW w:w="1107" w:type="dxa"/>
            <w:noWrap/>
            <w:hideMark/>
          </w:tcPr>
          <w:p w:rsidR="001D050B" w:rsidRPr="00F978BA" w:rsidRDefault="001D050B" w:rsidP="00921CA9">
            <w:pPr>
              <w:cnfStyle w:val="000000000000" w:firstRow="0" w:lastRow="0" w:firstColumn="0" w:lastColumn="0" w:oddVBand="0" w:evenVBand="0" w:oddHBand="0" w:evenHBand="0" w:firstRowFirstColumn="0" w:firstRowLastColumn="0" w:lastRowFirstColumn="0" w:lastRowLastColumn="0"/>
              <w:rPr>
                <w:rStyle w:val="Strong"/>
              </w:rPr>
            </w:pPr>
            <w:r w:rsidRPr="00F978BA">
              <w:rPr>
                <w:rStyle w:val="Strong"/>
              </w:rPr>
              <w:t>8140.9</w:t>
            </w:r>
          </w:p>
        </w:tc>
        <w:tc>
          <w:tcPr>
            <w:tcW w:w="1107" w:type="dxa"/>
            <w:noWrap/>
            <w:hideMark/>
          </w:tcPr>
          <w:p w:rsidR="001D050B" w:rsidRPr="00F978BA" w:rsidRDefault="001D050B" w:rsidP="00921CA9">
            <w:pPr>
              <w:cnfStyle w:val="000000000000" w:firstRow="0" w:lastRow="0" w:firstColumn="0" w:lastColumn="0" w:oddVBand="0" w:evenVBand="0" w:oddHBand="0" w:evenHBand="0" w:firstRowFirstColumn="0" w:firstRowLastColumn="0" w:lastRowFirstColumn="0" w:lastRowLastColumn="0"/>
              <w:rPr>
                <w:rStyle w:val="Strong"/>
              </w:rPr>
            </w:pPr>
            <w:r w:rsidRPr="00F978BA">
              <w:rPr>
                <w:rStyle w:val="Strong"/>
              </w:rPr>
              <w:t>8580.1</w:t>
            </w:r>
          </w:p>
        </w:tc>
        <w:tc>
          <w:tcPr>
            <w:tcW w:w="1107" w:type="dxa"/>
            <w:noWrap/>
            <w:hideMark/>
          </w:tcPr>
          <w:p w:rsidR="001D050B" w:rsidRPr="00F978BA" w:rsidRDefault="001D050B" w:rsidP="00921CA9">
            <w:pPr>
              <w:cnfStyle w:val="000000000000" w:firstRow="0" w:lastRow="0" w:firstColumn="0" w:lastColumn="0" w:oddVBand="0" w:evenVBand="0" w:oddHBand="0" w:evenHBand="0" w:firstRowFirstColumn="0" w:firstRowLastColumn="0" w:lastRowFirstColumn="0" w:lastRowLastColumn="0"/>
              <w:rPr>
                <w:rStyle w:val="Strong"/>
              </w:rPr>
            </w:pPr>
            <w:r w:rsidRPr="00F978BA">
              <w:rPr>
                <w:rStyle w:val="Strong"/>
              </w:rPr>
              <w:t>8998.8</w:t>
            </w:r>
          </w:p>
        </w:tc>
      </w:tr>
    </w:tbl>
    <w:p w:rsidR="00651A9F" w:rsidRDefault="001D050B" w:rsidP="00651A9F">
      <w:pPr>
        <w:pStyle w:val="AERtablesource"/>
      </w:pPr>
      <w:r>
        <w:t>Source:</w:t>
      </w:r>
      <w:r>
        <w:tab/>
      </w:r>
      <w:r w:rsidR="004F0259">
        <w:t>Essential Energy</w:t>
      </w:r>
      <w:r w:rsidR="004F0259" w:rsidRPr="004F0259">
        <w:t xml:space="preserve">, </w:t>
      </w:r>
      <w:r w:rsidR="004F0259" w:rsidRPr="004F0259">
        <w:rPr>
          <w:rStyle w:val="AERtextitalic"/>
        </w:rPr>
        <w:t>Revised regulatory proposal</w:t>
      </w:r>
      <w:r w:rsidR="004F0259" w:rsidRPr="004F0259">
        <w:t xml:space="preserve">, </w:t>
      </w:r>
      <w:r w:rsidR="004F0259">
        <w:t>January</w:t>
      </w:r>
      <w:r w:rsidR="004F0259" w:rsidRPr="004F0259">
        <w:t xml:space="preserve"> 2014, Attachment </w:t>
      </w:r>
      <w:r w:rsidR="004F0259">
        <w:t>5.5</w:t>
      </w:r>
      <w:r w:rsidR="004F0259" w:rsidRPr="004F0259">
        <w:t>.</w:t>
      </w:r>
      <w:r w:rsidR="00651A9F" w:rsidRPr="00651A9F">
        <w:t xml:space="preserve"> </w:t>
      </w:r>
    </w:p>
    <w:p w:rsidR="001D050B" w:rsidRDefault="00651A9F" w:rsidP="001D050B">
      <w:pPr>
        <w:pStyle w:val="AERtablesource"/>
      </w:pPr>
      <w:r>
        <w:t>(a)</w:t>
      </w:r>
      <w:r>
        <w:tab/>
        <w:t>Net of forecast disposals and capital contributions.</w:t>
      </w:r>
    </w:p>
    <w:p w:rsidR="00DE563D" w:rsidRDefault="00DE563D" w:rsidP="001754EE">
      <w:pPr>
        <w:pStyle w:val="Heading2"/>
      </w:pPr>
      <w:bookmarkStart w:id="19" w:name="_Toc403144138"/>
      <w:bookmarkStart w:id="20" w:name="_Toc417306252"/>
      <w:r w:rsidRPr="001754EE">
        <w:t>AER’s</w:t>
      </w:r>
      <w:r>
        <w:t xml:space="preserve"> assessment approach</w:t>
      </w:r>
      <w:bookmarkEnd w:id="19"/>
      <w:bookmarkEnd w:id="20"/>
    </w:p>
    <w:p w:rsidR="001D050B" w:rsidRPr="001D050B" w:rsidRDefault="001D050B" w:rsidP="001D050B">
      <w:r w:rsidRPr="001D050B">
        <w:t>We did not change our assessment approach for the RAB from our draft decision. Section 2.3 of our draft decision details that approach.</w:t>
      </w:r>
      <w:r w:rsidRPr="001D050B">
        <w:rPr>
          <w:rStyle w:val="FootnoteReference"/>
        </w:rPr>
        <w:footnoteReference w:id="4"/>
      </w:r>
    </w:p>
    <w:p w:rsidR="00DE563D" w:rsidRDefault="00DE563D" w:rsidP="001754EE">
      <w:pPr>
        <w:pStyle w:val="Heading2"/>
      </w:pPr>
      <w:bookmarkStart w:id="21" w:name="_Toc403144140"/>
      <w:bookmarkStart w:id="22" w:name="_Toc417306253"/>
      <w:r w:rsidRPr="001754EE">
        <w:t>Reasons</w:t>
      </w:r>
      <w:r>
        <w:t xml:space="preserve"> for </w:t>
      </w:r>
      <w:r w:rsidR="002016E7">
        <w:t>final</w:t>
      </w:r>
      <w:r>
        <w:t xml:space="preserve"> decision</w:t>
      </w:r>
      <w:bookmarkEnd w:id="21"/>
      <w:bookmarkEnd w:id="22"/>
      <w:r>
        <w:t xml:space="preserve"> </w:t>
      </w:r>
    </w:p>
    <w:p w:rsidR="002C233C" w:rsidRDefault="00FC2C52" w:rsidP="00FC2C52">
      <w:r w:rsidRPr="00FC2C52">
        <w:t>We have determined an opening RAB value for Essential Energy of $</w:t>
      </w:r>
      <w:r>
        <w:t>6</w:t>
      </w:r>
      <w:r w:rsidR="0043444D">
        <w:t>774.2</w:t>
      </w:r>
      <w:r>
        <w:t> </w:t>
      </w:r>
      <w:r w:rsidRPr="00FC2C52">
        <w:t>million ($</w:t>
      </w:r>
      <w:r>
        <w:t> </w:t>
      </w:r>
      <w:r w:rsidRPr="00FC2C52">
        <w:t>nominal) as at</w:t>
      </w:r>
      <w:r>
        <w:t xml:space="preserve"> </w:t>
      </w:r>
      <w:r w:rsidRPr="00FC2C52">
        <w:t>1 July 2014, a reduction of $</w:t>
      </w:r>
      <w:r w:rsidR="0043444D">
        <w:t>13.4</w:t>
      </w:r>
      <w:r>
        <w:t> </w:t>
      </w:r>
      <w:r w:rsidRPr="00FC2C52">
        <w:t>million ($</w:t>
      </w:r>
      <w:r>
        <w:t> nominal</w:t>
      </w:r>
      <w:r w:rsidRPr="00FC2C52">
        <w:t xml:space="preserve">) or </w:t>
      </w:r>
      <w:r w:rsidR="0043444D">
        <w:t>0.2</w:t>
      </w:r>
      <w:r w:rsidRPr="00FC2C52">
        <w:t xml:space="preserve"> per cent from the </w:t>
      </w:r>
      <w:r>
        <w:t xml:space="preserve">revised </w:t>
      </w:r>
      <w:r w:rsidRPr="00FC2C52">
        <w:t xml:space="preserve">proposed value. </w:t>
      </w:r>
      <w:r w:rsidR="00651A9F">
        <w:t>Based on this opening RAB value w</w:t>
      </w:r>
      <w:r w:rsidRPr="00FC2C52">
        <w:t>e</w:t>
      </w:r>
      <w:r>
        <w:t xml:space="preserve"> </w:t>
      </w:r>
      <w:r w:rsidRPr="00FC2C52">
        <w:t>forecast a closing RAB value of $</w:t>
      </w:r>
      <w:r w:rsidR="00766170">
        <w:t>87</w:t>
      </w:r>
      <w:r w:rsidR="0086189E">
        <w:t>20.4</w:t>
      </w:r>
      <w:r w:rsidR="00766170">
        <w:t> </w:t>
      </w:r>
      <w:r w:rsidRPr="00FC2C52">
        <w:t xml:space="preserve">million </w:t>
      </w:r>
      <w:r>
        <w:t xml:space="preserve">($ nominal) </w:t>
      </w:r>
      <w:r w:rsidRPr="00FC2C52">
        <w:t>by 30 June 2019. This represents a reduction of</w:t>
      </w:r>
      <w:r>
        <w:t xml:space="preserve"> $</w:t>
      </w:r>
      <w:r w:rsidR="00766170">
        <w:t>2</w:t>
      </w:r>
      <w:r w:rsidR="0086189E">
        <w:t>78.4</w:t>
      </w:r>
      <w:r w:rsidR="00766170">
        <w:t> </w:t>
      </w:r>
      <w:r w:rsidRPr="00FC2C52">
        <w:t xml:space="preserve">million, or </w:t>
      </w:r>
      <w:r w:rsidR="0086189E">
        <w:t>3.1</w:t>
      </w:r>
      <w:r w:rsidR="00766170">
        <w:t> </w:t>
      </w:r>
      <w:r w:rsidRPr="00FC2C52">
        <w:t xml:space="preserve">per cent compared to the </w:t>
      </w:r>
      <w:r>
        <w:t xml:space="preserve">revised </w:t>
      </w:r>
      <w:r w:rsidRPr="00FC2C52">
        <w:t>proposal. The reasons for our decision are discussed</w:t>
      </w:r>
      <w:r>
        <w:t xml:space="preserve"> </w:t>
      </w:r>
      <w:r w:rsidRPr="00FC2C52">
        <w:t>below.</w:t>
      </w:r>
    </w:p>
    <w:p w:rsidR="007B186E" w:rsidRDefault="00FC2C52" w:rsidP="001754EE">
      <w:pPr>
        <w:pStyle w:val="Heading3"/>
      </w:pPr>
      <w:bookmarkStart w:id="23" w:name="_Toc413315035"/>
      <w:bookmarkStart w:id="24" w:name="_Ref413334469"/>
      <w:bookmarkStart w:id="25" w:name="_Ref414874685"/>
      <w:bookmarkStart w:id="26" w:name="_Toc417306254"/>
      <w:r w:rsidRPr="00FC2C52">
        <w:t>Opening RAB as at 1 July 2014</w:t>
      </w:r>
      <w:bookmarkEnd w:id="23"/>
      <w:bookmarkEnd w:id="24"/>
      <w:bookmarkEnd w:id="25"/>
      <w:bookmarkEnd w:id="26"/>
    </w:p>
    <w:p w:rsidR="002C233C" w:rsidRDefault="009477A6" w:rsidP="002C233C">
      <w:r w:rsidRPr="009477A6">
        <w:t xml:space="preserve">We do not accept Essential Energy's revised proposal </w:t>
      </w:r>
      <w:r w:rsidR="00651A9F">
        <w:t xml:space="preserve">opening </w:t>
      </w:r>
      <w:r w:rsidRPr="009477A6">
        <w:t>RAB of $678</w:t>
      </w:r>
      <w:r w:rsidR="00651A9F">
        <w:t>7.6</w:t>
      </w:r>
      <w:r w:rsidRPr="009477A6">
        <w:t xml:space="preserve"> million ($</w:t>
      </w:r>
      <w:r>
        <w:t> </w:t>
      </w:r>
      <w:r w:rsidRPr="009477A6">
        <w:t>nominal) as at 1 July 2014. We instead determine an opening RAB as at 1</w:t>
      </w:r>
      <w:r w:rsidR="00651A9F">
        <w:t> </w:t>
      </w:r>
      <w:r w:rsidRPr="009477A6">
        <w:t>July 2014 of $6</w:t>
      </w:r>
      <w:r w:rsidR="0043444D">
        <w:t>774.2</w:t>
      </w:r>
      <w:r w:rsidRPr="009477A6">
        <w:t xml:space="preserve"> million ($ nominal).</w:t>
      </w:r>
      <w:r w:rsidR="009A59A4">
        <w:t xml:space="preserve"> This represents </w:t>
      </w:r>
      <w:r w:rsidR="009A59A4" w:rsidRPr="00FC2C52">
        <w:t>a reduction of $</w:t>
      </w:r>
      <w:r w:rsidR="0043444D">
        <w:t>13.4</w:t>
      </w:r>
      <w:r w:rsidR="009A59A4">
        <w:t> </w:t>
      </w:r>
      <w:r w:rsidR="009A59A4" w:rsidRPr="00FC2C52">
        <w:t>million ($</w:t>
      </w:r>
      <w:r w:rsidR="009A59A4">
        <w:t> nominal</w:t>
      </w:r>
      <w:r w:rsidR="009A59A4" w:rsidRPr="00FC2C52">
        <w:t xml:space="preserve">) or </w:t>
      </w:r>
      <w:r w:rsidR="0043444D">
        <w:t>0.2</w:t>
      </w:r>
      <w:r w:rsidR="009A59A4" w:rsidRPr="00FC2C52">
        <w:t xml:space="preserve"> per cent from </w:t>
      </w:r>
      <w:r w:rsidR="00651A9F">
        <w:t>Essential Energy's</w:t>
      </w:r>
      <w:r w:rsidR="009A59A4" w:rsidRPr="00FC2C52">
        <w:t xml:space="preserve"> </w:t>
      </w:r>
      <w:r w:rsidR="009A59A4">
        <w:t xml:space="preserve">revised </w:t>
      </w:r>
      <w:r w:rsidR="009A59A4" w:rsidRPr="00FC2C52">
        <w:t>propos</w:t>
      </w:r>
      <w:r w:rsidR="00651A9F">
        <w:t>al</w:t>
      </w:r>
      <w:r w:rsidR="009A59A4">
        <w:t>.</w:t>
      </w:r>
      <w:r w:rsidR="00B6341A" w:rsidRPr="00B6341A">
        <w:t xml:space="preserve"> </w:t>
      </w:r>
      <w:r w:rsidR="00B6341A">
        <w:t xml:space="preserve">While this adjustment is small, we consider it necessary to comply with the NER requirement to increase the RAB </w:t>
      </w:r>
      <w:r w:rsidR="00B6341A" w:rsidRPr="00B6341A">
        <w:t xml:space="preserve">by the amount of </w:t>
      </w:r>
      <w:r w:rsidR="00B6341A">
        <w:t xml:space="preserve">capex </w:t>
      </w:r>
      <w:r w:rsidR="00B6341A" w:rsidRPr="00B6341A">
        <w:t xml:space="preserve">incurred during the previous </w:t>
      </w:r>
      <w:r w:rsidR="00FA0AAC">
        <w:t xml:space="preserve">regulatory </w:t>
      </w:r>
      <w:r w:rsidR="00B6341A" w:rsidRPr="00B6341A">
        <w:t>control period</w:t>
      </w:r>
      <w:r w:rsidR="00B6341A">
        <w:t>.</w:t>
      </w:r>
      <w:r w:rsidR="00B6341A">
        <w:rPr>
          <w:rStyle w:val="FootnoteReference"/>
        </w:rPr>
        <w:footnoteReference w:id="5"/>
      </w:r>
      <w:r w:rsidR="00B6341A">
        <w:t xml:space="preserve"> As such, capitalised provisions should not increase the RAB until they are </w:t>
      </w:r>
      <w:r w:rsidR="00B6341A" w:rsidRPr="00CE069B">
        <w:t xml:space="preserve">paid out (incurred) </w:t>
      </w:r>
      <w:r w:rsidR="00B6341A">
        <w:t>as expenses.</w:t>
      </w:r>
    </w:p>
    <w:p w:rsidR="009477A6" w:rsidRDefault="009477A6" w:rsidP="009477A6">
      <w:r w:rsidRPr="009477A6">
        <w:t xml:space="preserve">In the draft decision, we </w:t>
      </w:r>
      <w:r>
        <w:t>made</w:t>
      </w:r>
      <w:r w:rsidRPr="009477A6">
        <w:t xml:space="preserve"> adjust</w:t>
      </w:r>
      <w:r>
        <w:t>ments to</w:t>
      </w:r>
      <w:r w:rsidRPr="009477A6">
        <w:t xml:space="preserve"> Essential Energy's </w:t>
      </w:r>
      <w:r w:rsidR="00DA5D37">
        <w:t xml:space="preserve">gross </w:t>
      </w:r>
      <w:r w:rsidRPr="009477A6">
        <w:t xml:space="preserve">capex </w:t>
      </w:r>
      <w:r>
        <w:t xml:space="preserve">to account for </w:t>
      </w:r>
      <w:r w:rsidRPr="009477A6">
        <w:t xml:space="preserve">the </w:t>
      </w:r>
      <w:r w:rsidR="009E7E1E">
        <w:t xml:space="preserve">net </w:t>
      </w:r>
      <w:r w:rsidRPr="009477A6">
        <w:t>movements in capitalised provisions.</w:t>
      </w:r>
      <w:r>
        <w:t xml:space="preserve"> </w:t>
      </w:r>
      <w:r w:rsidR="00DA5D37">
        <w:t xml:space="preserve">We noted the roll forward of </w:t>
      </w:r>
      <w:r w:rsidR="00DA5D37">
        <w:lastRenderedPageBreak/>
        <w:t>Essential Energy's RAB</w:t>
      </w:r>
      <w:r>
        <w:t xml:space="preserve"> included an estimate</w:t>
      </w:r>
      <w:r w:rsidR="00DA5D37">
        <w:t>d capex value</w:t>
      </w:r>
      <w:r>
        <w:t xml:space="preserve"> for 2013–14. </w:t>
      </w:r>
      <w:r w:rsidRPr="009477A6">
        <w:t xml:space="preserve">We </w:t>
      </w:r>
      <w:r w:rsidR="00DA5D37">
        <w:t>stated</w:t>
      </w:r>
      <w:r>
        <w:t xml:space="preserve"> we </w:t>
      </w:r>
      <w:r w:rsidRPr="009477A6">
        <w:t>would update</w:t>
      </w:r>
      <w:r>
        <w:t xml:space="preserve"> th</w:t>
      </w:r>
      <w:r w:rsidR="00DA5D37">
        <w:t>e 2013–14</w:t>
      </w:r>
      <w:r>
        <w:t xml:space="preserve"> estimate</w:t>
      </w:r>
      <w:r w:rsidR="00DA5D37">
        <w:t>d capex value for</w:t>
      </w:r>
      <w:r>
        <w:t xml:space="preserve"> the final decision</w:t>
      </w:r>
      <w:r w:rsidRPr="009477A6">
        <w:t>.</w:t>
      </w:r>
    </w:p>
    <w:p w:rsidR="009477A6" w:rsidRDefault="009477A6" w:rsidP="009477A6">
      <w:r>
        <w:t xml:space="preserve">Essential Energy's revised proposal updated </w:t>
      </w:r>
      <w:r w:rsidR="002173EC">
        <w:t xml:space="preserve">the </w:t>
      </w:r>
      <w:r>
        <w:t>2013–14</w:t>
      </w:r>
      <w:r w:rsidR="002173EC">
        <w:t xml:space="preserve"> estimated</w:t>
      </w:r>
      <w:r>
        <w:t xml:space="preserve"> capex </w:t>
      </w:r>
      <w:r w:rsidR="002173EC">
        <w:t>adopted in the draft decision to reflect</w:t>
      </w:r>
      <w:r>
        <w:t xml:space="preserve"> actual capex </w:t>
      </w:r>
      <w:r w:rsidR="002173EC">
        <w:t>for that year</w:t>
      </w:r>
      <w:r>
        <w:t xml:space="preserve">. </w:t>
      </w:r>
      <w:r w:rsidR="00A05371" w:rsidRPr="00A05371">
        <w:t xml:space="preserve">We have reconciled the 2013–-14 </w:t>
      </w:r>
      <w:r w:rsidR="00A05371">
        <w:t xml:space="preserve">actual </w:t>
      </w:r>
      <w:r w:rsidR="00A05371" w:rsidRPr="00A05371">
        <w:t xml:space="preserve">capex in the revised proposal against </w:t>
      </w:r>
      <w:r w:rsidR="00A05371">
        <w:t>Essential Energy</w:t>
      </w:r>
      <w:r w:rsidR="00A05371" w:rsidRPr="00A05371">
        <w:t xml:space="preserve">'s </w:t>
      </w:r>
      <w:r w:rsidR="002173EC">
        <w:t xml:space="preserve">audited </w:t>
      </w:r>
      <w:r w:rsidR="00A05371" w:rsidRPr="00A05371">
        <w:t xml:space="preserve">annual </w:t>
      </w:r>
      <w:r w:rsidR="00A05371">
        <w:t xml:space="preserve">reporting </w:t>
      </w:r>
      <w:r w:rsidR="00A05371" w:rsidRPr="00A05371">
        <w:t xml:space="preserve">RIN for </w:t>
      </w:r>
      <w:r w:rsidR="002173EC">
        <w:t>2013–14</w:t>
      </w:r>
      <w:r w:rsidR="00A05371" w:rsidRPr="00A05371">
        <w:t>. We therefore accept the actual capex for 2013–14</w:t>
      </w:r>
      <w:r w:rsidR="00A05371">
        <w:t>.</w:t>
      </w:r>
    </w:p>
    <w:p w:rsidR="00F321DA" w:rsidRDefault="002173EC" w:rsidP="00E4326F">
      <w:r>
        <w:t xml:space="preserve">However, Essential Energy's revised proposal did not adopt our draft decision approach to adjusting its gross capex for </w:t>
      </w:r>
      <w:r w:rsidRPr="009477A6">
        <w:t xml:space="preserve">the </w:t>
      </w:r>
      <w:r w:rsidR="009E7E1E">
        <w:t xml:space="preserve">net </w:t>
      </w:r>
      <w:r w:rsidRPr="009477A6">
        <w:t>movements in capitalised provisions</w:t>
      </w:r>
      <w:r>
        <w:t>.</w:t>
      </w:r>
      <w:r>
        <w:rPr>
          <w:rStyle w:val="FootnoteReference"/>
        </w:rPr>
        <w:footnoteReference w:id="6"/>
      </w:r>
      <w:r>
        <w:t xml:space="preserve"> </w:t>
      </w:r>
      <w:r w:rsidR="00F321DA">
        <w:t>It raised a few concerns with the approach, in particular</w:t>
      </w:r>
      <w:r w:rsidR="00BB5B62">
        <w:t>:</w:t>
      </w:r>
    </w:p>
    <w:p w:rsidR="00F321DA" w:rsidRDefault="00F321DA" w:rsidP="000F65EE">
      <w:pPr>
        <w:pStyle w:val="ListNumber"/>
      </w:pPr>
      <w:r>
        <w:t>W</w:t>
      </w:r>
      <w:r w:rsidR="00C347DF" w:rsidRPr="00C347DF">
        <w:t xml:space="preserve">hether </w:t>
      </w:r>
      <w:r w:rsidR="00C347DF">
        <w:t xml:space="preserve">we are able </w:t>
      </w:r>
      <w:r w:rsidR="00C347DF" w:rsidRPr="00C347DF">
        <w:t>to retrospectively adjust figures reported as actual in the</w:t>
      </w:r>
      <w:r w:rsidR="00C347DF">
        <w:t xml:space="preserve"> </w:t>
      </w:r>
      <w:r w:rsidR="00C347DF" w:rsidRPr="00C347DF">
        <w:t>previous regulatory control period</w:t>
      </w:r>
      <w:r w:rsidR="00C347DF">
        <w:t xml:space="preserve"> </w:t>
      </w:r>
      <w:r w:rsidR="00C347DF" w:rsidRPr="00C347DF">
        <w:t>under the NER.</w:t>
      </w:r>
      <w:r w:rsidR="00C347DF">
        <w:t xml:space="preserve"> </w:t>
      </w:r>
      <w:r w:rsidR="00C347DF" w:rsidRPr="00C347DF">
        <w:t xml:space="preserve">The NER provides that </w:t>
      </w:r>
      <w:r w:rsidR="00C347DF">
        <w:t>Essential Energy</w:t>
      </w:r>
      <w:r w:rsidR="00C347DF" w:rsidRPr="00C347DF">
        <w:t>'s RAB value as at 1 July 20</w:t>
      </w:r>
      <w:r w:rsidR="00C347DF">
        <w:t>09</w:t>
      </w:r>
      <w:r w:rsidR="00C347DF" w:rsidRPr="00C347DF">
        <w:t xml:space="preserve"> must be increased by the amount of</w:t>
      </w:r>
      <w:r w:rsidR="00C347DF">
        <w:t xml:space="preserve"> </w:t>
      </w:r>
      <w:r w:rsidR="00C347DF" w:rsidRPr="00C347DF">
        <w:t>all capex incurred during the 200</w:t>
      </w:r>
      <w:r w:rsidR="00C347DF">
        <w:t>9</w:t>
      </w:r>
      <w:r w:rsidR="00C347DF" w:rsidRPr="00C347DF">
        <w:t>–1</w:t>
      </w:r>
      <w:r w:rsidR="00C347DF">
        <w:t>4</w:t>
      </w:r>
      <w:r w:rsidR="00C347DF" w:rsidRPr="00C347DF">
        <w:t xml:space="preserve"> regulatory control period.</w:t>
      </w:r>
      <w:r w:rsidR="00C347DF">
        <w:rPr>
          <w:rStyle w:val="FootnoteReference"/>
        </w:rPr>
        <w:footnoteReference w:id="7"/>
      </w:r>
    </w:p>
    <w:p w:rsidR="00F321DA" w:rsidRDefault="00F321DA" w:rsidP="000F65EE">
      <w:pPr>
        <w:pStyle w:val="ListNumber"/>
      </w:pPr>
      <w:r>
        <w:t>The inconsistency of the approach with standard accounting practices</w:t>
      </w:r>
      <w:r w:rsidR="00CC23D4">
        <w:t>.</w:t>
      </w:r>
    </w:p>
    <w:p w:rsidR="00F321DA" w:rsidRDefault="00F321DA" w:rsidP="000F65EE">
      <w:pPr>
        <w:pStyle w:val="ListNumber"/>
      </w:pPr>
      <w:r>
        <w:t>The regulatory burden of the approach.</w:t>
      </w:r>
    </w:p>
    <w:p w:rsidR="00F321DA" w:rsidRDefault="00CC23D4" w:rsidP="000F65EE">
      <w:pPr>
        <w:pStyle w:val="ListNumber"/>
        <w:numPr>
          <w:ilvl w:val="0"/>
          <w:numId w:val="0"/>
        </w:numPr>
      </w:pPr>
      <w:r>
        <w:t>We have considered e</w:t>
      </w:r>
      <w:r w:rsidR="00F321DA">
        <w:t>ach of these concerns in previous decisions</w:t>
      </w:r>
      <w:r w:rsidR="001F4793">
        <w:t>.</w:t>
      </w:r>
      <w:r w:rsidR="00FA12BB">
        <w:t xml:space="preserve"> These matters were discussed extensively </w:t>
      </w:r>
      <w:r w:rsidR="00FA12BB" w:rsidRPr="00047FB1">
        <w:t xml:space="preserve">in our transmission determination for </w:t>
      </w:r>
      <w:proofErr w:type="spellStart"/>
      <w:r w:rsidR="00FA12BB" w:rsidRPr="00047FB1">
        <w:t>ElectraNet</w:t>
      </w:r>
      <w:proofErr w:type="spellEnd"/>
      <w:r w:rsidR="00FA12BB">
        <w:t>.</w:t>
      </w:r>
      <w:r w:rsidR="00FA12BB" w:rsidRPr="00FA12BB">
        <w:rPr>
          <w:rStyle w:val="FootnoteReference"/>
        </w:rPr>
        <w:footnoteReference w:id="8"/>
      </w:r>
      <w:r w:rsidR="00FA12BB">
        <w:rPr>
          <w:rStyle w:val="FootnoteReference"/>
        </w:rPr>
        <w:t xml:space="preserve"> </w:t>
      </w:r>
      <w:r w:rsidR="00CE069B">
        <w:t>In summary, our</w:t>
      </w:r>
      <w:r w:rsidR="00FA12BB">
        <w:t xml:space="preserve"> </w:t>
      </w:r>
      <w:r w:rsidR="00CE069B">
        <w:t>positions on these matters are:</w:t>
      </w:r>
    </w:p>
    <w:p w:rsidR="00A57435" w:rsidRDefault="00CE069B" w:rsidP="000F65EE">
      <w:pPr>
        <w:pStyle w:val="ListNumber"/>
        <w:numPr>
          <w:ilvl w:val="0"/>
          <w:numId w:val="44"/>
        </w:numPr>
      </w:pPr>
      <w:r>
        <w:t xml:space="preserve">The NER requires us to adjust </w:t>
      </w:r>
      <w:r w:rsidRPr="00CE069B">
        <w:t>capex for the</w:t>
      </w:r>
      <w:r w:rsidR="009E7E1E">
        <w:t xml:space="preserve"> net</w:t>
      </w:r>
      <w:r w:rsidRPr="00CE069B">
        <w:t xml:space="preserve"> movement in capitalised provisions to reflect when these costs are actually </w:t>
      </w:r>
      <w:r>
        <w:t>'</w:t>
      </w:r>
      <w:r w:rsidRPr="00CE069B">
        <w:t>incurred</w:t>
      </w:r>
      <w:r>
        <w:t>'</w:t>
      </w:r>
      <w:r w:rsidRPr="00CE069B">
        <w:t>.</w:t>
      </w:r>
      <w:r>
        <w:rPr>
          <w:rStyle w:val="FootnoteReference"/>
        </w:rPr>
        <w:footnoteReference w:id="9"/>
      </w:r>
      <w:r w:rsidRPr="00CE069B">
        <w:t xml:space="preserve"> </w:t>
      </w:r>
      <w:r>
        <w:t>We consider</w:t>
      </w:r>
      <w:r w:rsidR="00FE2D72">
        <w:t xml:space="preserve"> </w:t>
      </w:r>
      <w:r w:rsidR="00801B2F">
        <w:t xml:space="preserve">the </w:t>
      </w:r>
      <w:r w:rsidR="00FE2D72">
        <w:t>net</w:t>
      </w:r>
      <w:r>
        <w:t xml:space="preserve"> increase in </w:t>
      </w:r>
      <w:r w:rsidRPr="00CE069B">
        <w:t xml:space="preserve">capitalised provisions should not be included in the RAB </w:t>
      </w:r>
      <w:r>
        <w:t>as such provisions have</w:t>
      </w:r>
      <w:r w:rsidRPr="00CE069B">
        <w:t xml:space="preserve"> not yet </w:t>
      </w:r>
      <w:r w:rsidR="00752FE5">
        <w:t xml:space="preserve">been </w:t>
      </w:r>
      <w:r w:rsidRPr="00CE069B">
        <w:t xml:space="preserve">paid out (incurred) </w:t>
      </w:r>
      <w:r>
        <w:t>as expense</w:t>
      </w:r>
      <w:r w:rsidR="00BB5B62">
        <w:t>s</w:t>
      </w:r>
      <w:r>
        <w:t xml:space="preserve">. </w:t>
      </w:r>
      <w:r w:rsidR="00FE2D72">
        <w:t>Net d</w:t>
      </w:r>
      <w:r>
        <w:t xml:space="preserve">ecreases to capitalised provisions indicate that </w:t>
      </w:r>
      <w:r w:rsidR="00A57435">
        <w:t xml:space="preserve">expenses have been paid out and are therefore added to the RAB at that time. </w:t>
      </w:r>
    </w:p>
    <w:p w:rsidR="00A57435" w:rsidRPr="00A57435" w:rsidRDefault="00A57435" w:rsidP="00A57435">
      <w:pPr>
        <w:pStyle w:val="ListNumber"/>
      </w:pPr>
      <w:r>
        <w:t>A</w:t>
      </w:r>
      <w:r w:rsidRPr="00A57435">
        <w:t>ccounting system</w:t>
      </w:r>
      <w:r>
        <w:t>s</w:t>
      </w:r>
      <w:r w:rsidRPr="00A57435">
        <w:t xml:space="preserve"> may be indicative, but not determinative of whether the capex has been incurred or not during the </w:t>
      </w:r>
      <w:r w:rsidR="00A2570C">
        <w:t>200</w:t>
      </w:r>
      <w:r w:rsidR="00BB5B62">
        <w:t>8 to 20</w:t>
      </w:r>
      <w:r w:rsidR="00A2570C">
        <w:t>14</w:t>
      </w:r>
      <w:r w:rsidRPr="00A57435">
        <w:t xml:space="preserve"> period for the purposes of determining t</w:t>
      </w:r>
      <w:r w:rsidR="00A2570C">
        <w:t>he opening RAB as at 1 July 2014</w:t>
      </w:r>
      <w:r w:rsidRPr="00A57435">
        <w:t>.</w:t>
      </w:r>
      <w:r>
        <w:rPr>
          <w:rStyle w:val="FootnoteReference"/>
        </w:rPr>
        <w:footnoteReference w:id="10"/>
      </w:r>
      <w:r w:rsidRPr="00A57435">
        <w:t xml:space="preserve"> </w:t>
      </w:r>
      <w:r>
        <w:t>The economic regulation of service providers requires a</w:t>
      </w:r>
      <w:r w:rsidR="00C40F24">
        <w:t>n approach that differs from the</w:t>
      </w:r>
      <w:r>
        <w:t xml:space="preserve"> accounting standards</w:t>
      </w:r>
      <w:r w:rsidR="00A2570C" w:rsidRPr="00A2570C">
        <w:t xml:space="preserve"> </w:t>
      </w:r>
      <w:r w:rsidR="00A2570C">
        <w:t>in this matter</w:t>
      </w:r>
      <w:r>
        <w:t>.</w:t>
      </w:r>
    </w:p>
    <w:p w:rsidR="00CE069B" w:rsidRDefault="002201A3" w:rsidP="000F65EE">
      <w:pPr>
        <w:pStyle w:val="ListNumber"/>
        <w:numPr>
          <w:ilvl w:val="0"/>
          <w:numId w:val="44"/>
        </w:numPr>
      </w:pPr>
      <w:r>
        <w:t xml:space="preserve">The regulatory burden </w:t>
      </w:r>
      <w:r w:rsidR="00A2570C">
        <w:t>of</w:t>
      </w:r>
      <w:r>
        <w:t xml:space="preserve"> </w:t>
      </w:r>
      <w:r w:rsidR="00CC23D4">
        <w:t>our</w:t>
      </w:r>
      <w:r>
        <w:t xml:space="preserve"> approach is minimal. The movement in provisions are records that are maintained under usual accounting s</w:t>
      </w:r>
      <w:r w:rsidR="00A2570C">
        <w:t>ystems</w:t>
      </w:r>
      <w:r>
        <w:t xml:space="preserve">. </w:t>
      </w:r>
      <w:r w:rsidR="00A57435">
        <w:t xml:space="preserve">The reporting requirements for capitalised provisions </w:t>
      </w:r>
      <w:r>
        <w:t xml:space="preserve">to the AER </w:t>
      </w:r>
      <w:r w:rsidR="00A57435">
        <w:t>have also been in place for some time in the annual reporting RINs</w:t>
      </w:r>
      <w:r w:rsidR="00A57435" w:rsidRPr="00A57435">
        <w:t xml:space="preserve"> that service providers complete</w:t>
      </w:r>
      <w:r>
        <w:t>.</w:t>
      </w:r>
    </w:p>
    <w:p w:rsidR="00007B72" w:rsidRDefault="005C4066" w:rsidP="00E4326F">
      <w:r>
        <w:lastRenderedPageBreak/>
        <w:t xml:space="preserve">Essential Energy </w:t>
      </w:r>
      <w:r w:rsidR="00A57435">
        <w:t xml:space="preserve">also </w:t>
      </w:r>
      <w:r w:rsidR="00820575">
        <w:t>submitted</w:t>
      </w:r>
      <w:r>
        <w:t xml:space="preserve"> our approach could </w:t>
      </w:r>
      <w:r w:rsidRPr="005C4066">
        <w:t>introduce further potential pric</w:t>
      </w:r>
      <w:r>
        <w:t>e</w:t>
      </w:r>
      <w:r w:rsidRPr="005C4066">
        <w:t xml:space="preserve"> volatility.</w:t>
      </w:r>
      <w:r>
        <w:t xml:space="preserve"> We do not consider the movement in provisions </w:t>
      </w:r>
      <w:r w:rsidR="00007B72">
        <w:t>causes</w:t>
      </w:r>
      <w:r>
        <w:t xml:space="preserve"> price volatility</w:t>
      </w:r>
      <w:r w:rsidR="00007B72">
        <w:t xml:space="preserve"> as the roll forward occurs at the end of the r</w:t>
      </w:r>
      <w:r w:rsidR="00BD66BB">
        <w:t xml:space="preserve">egulatory control period </w:t>
      </w:r>
      <w:r w:rsidR="002201A3">
        <w:t xml:space="preserve">(not on an annual basis) </w:t>
      </w:r>
      <w:r w:rsidR="00BD66BB">
        <w:t>and i</w:t>
      </w:r>
      <w:r w:rsidR="00A57435">
        <w:t>s</w:t>
      </w:r>
      <w:r w:rsidR="00BD66BB">
        <w:t xml:space="preserve"> </w:t>
      </w:r>
      <w:r w:rsidR="002201A3">
        <w:t xml:space="preserve">generally </w:t>
      </w:r>
      <w:r w:rsidR="00BD66BB">
        <w:t xml:space="preserve">small compared to other </w:t>
      </w:r>
      <w:r w:rsidR="00007B72">
        <w:t>end of period adjustments</w:t>
      </w:r>
      <w:r>
        <w:t>.</w:t>
      </w:r>
      <w:r w:rsidRPr="005C4066" w:rsidDel="005C4066">
        <w:t xml:space="preserve"> </w:t>
      </w:r>
    </w:p>
    <w:p w:rsidR="002201A3" w:rsidRDefault="002201A3" w:rsidP="00E4326F">
      <w:r>
        <w:t xml:space="preserve">We do agree with </w:t>
      </w:r>
      <w:r w:rsidR="00A05371">
        <w:t>Essential Energy</w:t>
      </w:r>
      <w:r w:rsidR="003B125E">
        <w:t>'s</w:t>
      </w:r>
      <w:r w:rsidR="00E35CC1">
        <w:t xml:space="preserve"> </w:t>
      </w:r>
      <w:r>
        <w:t>c</w:t>
      </w:r>
      <w:r w:rsidR="00E35CC1">
        <w:t>oncern with the calculation of</w:t>
      </w:r>
      <w:r w:rsidR="00BD66BB">
        <w:t xml:space="preserve"> the</w:t>
      </w:r>
      <w:r w:rsidR="00E35CC1">
        <w:t xml:space="preserve"> movement in capitalised provisions </w:t>
      </w:r>
      <w:r w:rsidR="00BD66BB">
        <w:t>in the draft decision</w:t>
      </w:r>
      <w:r w:rsidR="00E35CC1">
        <w:t>.</w:t>
      </w:r>
      <w:r w:rsidR="004F0259">
        <w:rPr>
          <w:rStyle w:val="FootnoteReference"/>
        </w:rPr>
        <w:footnoteReference w:id="11"/>
      </w:r>
      <w:r w:rsidR="00E4326F">
        <w:t xml:space="preserve"> </w:t>
      </w:r>
      <w:r w:rsidR="0043741B">
        <w:t>I</w:t>
      </w:r>
      <w:r w:rsidR="00181950">
        <w:t xml:space="preserve">nstead of removing only the </w:t>
      </w:r>
      <w:r w:rsidR="00FE2D72">
        <w:t xml:space="preserve">net </w:t>
      </w:r>
      <w:r w:rsidR="00181950">
        <w:t xml:space="preserve">movement in </w:t>
      </w:r>
      <w:r w:rsidR="00181950" w:rsidRPr="00181950">
        <w:t>provision</w:t>
      </w:r>
      <w:r w:rsidR="00181950">
        <w:t>s</w:t>
      </w:r>
      <w:r w:rsidR="00181950" w:rsidRPr="00181950">
        <w:t xml:space="preserve"> allocated to capex</w:t>
      </w:r>
      <w:r w:rsidR="0043741B">
        <w:t xml:space="preserve"> in the draft decision calculation,</w:t>
      </w:r>
      <w:r w:rsidR="00181950">
        <w:t xml:space="preserve"> we also removed the increase to </w:t>
      </w:r>
      <w:r w:rsidR="00181950" w:rsidRPr="00181950">
        <w:t>provision</w:t>
      </w:r>
      <w:r w:rsidR="00181950">
        <w:t>s allocated to capex</w:t>
      </w:r>
      <w:r>
        <w:t xml:space="preserve">. </w:t>
      </w:r>
      <w:r w:rsidR="008007FA">
        <w:t>The draft decision calculation also only included the movement in the 'e</w:t>
      </w:r>
      <w:r w:rsidR="008007FA" w:rsidRPr="008007FA">
        <w:t xml:space="preserve">mployee entitlements </w:t>
      </w:r>
      <w:r w:rsidR="00BB5B62">
        <w:t xml:space="preserve">capitalised </w:t>
      </w:r>
      <w:r w:rsidR="008007FA" w:rsidRPr="008007FA">
        <w:t>provision</w:t>
      </w:r>
      <w:r w:rsidR="008007FA">
        <w:t xml:space="preserve">' and </w:t>
      </w:r>
      <w:r w:rsidR="00B84ACC">
        <w:t xml:space="preserve">not the movement in other </w:t>
      </w:r>
      <w:r w:rsidR="00BB5B62">
        <w:t xml:space="preserve">capitalised </w:t>
      </w:r>
      <w:r w:rsidR="008007FA">
        <w:t>provisions</w:t>
      </w:r>
      <w:r w:rsidR="00B84ACC">
        <w:t xml:space="preserve"> such as 'workers compensation'</w:t>
      </w:r>
      <w:r w:rsidR="008007FA">
        <w:t xml:space="preserve">. </w:t>
      </w:r>
      <w:r w:rsidR="00181950">
        <w:t xml:space="preserve">We </w:t>
      </w:r>
      <w:r w:rsidR="00B84ACC">
        <w:t xml:space="preserve">have </w:t>
      </w:r>
      <w:r w:rsidR="00181950">
        <w:t xml:space="preserve">corrected </w:t>
      </w:r>
      <w:r w:rsidR="008007FA">
        <w:t xml:space="preserve">these </w:t>
      </w:r>
      <w:r w:rsidR="0043741B">
        <w:t>adjustments</w:t>
      </w:r>
      <w:r w:rsidR="008007FA">
        <w:t xml:space="preserve"> for th</w:t>
      </w:r>
      <w:r w:rsidR="00B84ACC">
        <w:t>is</w:t>
      </w:r>
      <w:r w:rsidR="008007FA">
        <w:t xml:space="preserve"> final decision. We </w:t>
      </w:r>
      <w:r w:rsidR="00BB5B62">
        <w:t>are satisfied</w:t>
      </w:r>
      <w:r w:rsidR="008007FA">
        <w:t xml:space="preserve"> that these corrections</w:t>
      </w:r>
      <w:r w:rsidR="00B84ACC">
        <w:t xml:space="preserve"> address the calculation </w:t>
      </w:r>
      <w:r w:rsidR="0043741B">
        <w:t>matters</w:t>
      </w:r>
      <w:r w:rsidR="00B84ACC">
        <w:t xml:space="preserve"> identified by Essential Energy in its submission.</w:t>
      </w:r>
      <w:r w:rsidR="00B84ACC" w:rsidRPr="00B84ACC">
        <w:rPr>
          <w:rStyle w:val="FootnoteReference"/>
        </w:rPr>
        <w:footnoteReference w:id="12"/>
      </w:r>
    </w:p>
    <w:p w:rsidR="00A05371" w:rsidRDefault="00401246" w:rsidP="00E4326F">
      <w:r>
        <w:fldChar w:fldCharType="begin"/>
      </w:r>
      <w:r>
        <w:instrText xml:space="preserve"> REF _Ref414459974 \h </w:instrText>
      </w:r>
      <w:r>
        <w:fldChar w:fldCharType="separate"/>
      </w:r>
      <w:r w:rsidR="00D32DCD">
        <w:t xml:space="preserve">Table </w:t>
      </w:r>
      <w:r w:rsidR="00D32DCD">
        <w:rPr>
          <w:noProof/>
        </w:rPr>
        <w:t>2</w:t>
      </w:r>
      <w:r w:rsidR="00D32DCD">
        <w:t>.</w:t>
      </w:r>
      <w:r w:rsidR="00D32DCD">
        <w:rPr>
          <w:noProof/>
        </w:rPr>
        <w:t>5</w:t>
      </w:r>
      <w:r>
        <w:fldChar w:fldCharType="end"/>
      </w:r>
      <w:r>
        <w:t xml:space="preserve"> sets out o</w:t>
      </w:r>
      <w:r w:rsidR="00E35CC1">
        <w:t xml:space="preserve">ur final decision adjustment for the </w:t>
      </w:r>
      <w:r w:rsidR="009E7E1E">
        <w:t xml:space="preserve">net </w:t>
      </w:r>
      <w:r w:rsidR="00E35CC1">
        <w:t>movement in capitalised provisions</w:t>
      </w:r>
      <w:r>
        <w:t>, which</w:t>
      </w:r>
      <w:r w:rsidR="00E35CC1">
        <w:t xml:space="preserve"> reduc</w:t>
      </w:r>
      <w:r>
        <w:t>es Essential Energy's</w:t>
      </w:r>
      <w:r w:rsidR="00E35CC1">
        <w:t xml:space="preserve"> 2008–14</w:t>
      </w:r>
      <w:r w:rsidR="006D1273">
        <w:t xml:space="preserve"> </w:t>
      </w:r>
      <w:r w:rsidR="00E35CC1">
        <w:t xml:space="preserve">gross capex </w:t>
      </w:r>
      <w:r>
        <w:t xml:space="preserve">by </w:t>
      </w:r>
      <w:r w:rsidR="00E35CC1">
        <w:t>$11</w:t>
      </w:r>
      <w:r w:rsidR="00B84ACC">
        <w:t>.0</w:t>
      </w:r>
      <w:r w:rsidR="00E35CC1">
        <w:t> million</w:t>
      </w:r>
      <w:r w:rsidR="006D1273">
        <w:t xml:space="preserve"> ($ nominal)</w:t>
      </w:r>
      <w:r>
        <w:t>, other things being equal</w:t>
      </w:r>
      <w:r w:rsidR="006D1273">
        <w:t>.</w:t>
      </w:r>
      <w:r w:rsidR="000334E1">
        <w:t xml:space="preserve"> </w:t>
      </w:r>
    </w:p>
    <w:p w:rsidR="00401246" w:rsidRDefault="00401246" w:rsidP="00401246">
      <w:pPr>
        <w:pStyle w:val="Caption"/>
      </w:pPr>
      <w:bookmarkStart w:id="27" w:name="_Ref414459974"/>
      <w:proofErr w:type="gramStart"/>
      <w:r>
        <w:t xml:space="preserve">Table </w:t>
      </w:r>
      <w:r w:rsidR="00281EBD">
        <w:fldChar w:fldCharType="begin"/>
      </w:r>
      <w:r w:rsidR="00281EBD">
        <w:instrText xml:space="preserve"> STYLEREF 1 \s </w:instrText>
      </w:r>
      <w:r w:rsidR="00281EBD">
        <w:fldChar w:fldCharType="separate"/>
      </w:r>
      <w:r w:rsidR="00D32DCD">
        <w:rPr>
          <w:noProof/>
        </w:rPr>
        <w:t>2</w:t>
      </w:r>
      <w:r w:rsidR="00281EBD">
        <w:rPr>
          <w:noProof/>
        </w:rPr>
        <w:fldChar w:fldCharType="end"/>
      </w:r>
      <w:r w:rsidR="00D32DCD">
        <w:t>.</w:t>
      </w:r>
      <w:proofErr w:type="gramEnd"/>
      <w:r w:rsidR="00281EBD">
        <w:fldChar w:fldCharType="begin"/>
      </w:r>
      <w:r w:rsidR="00281EBD">
        <w:instrText xml:space="preserve"> SEQ Table \* ARABIC \s 1 </w:instrText>
      </w:r>
      <w:r w:rsidR="00281EBD">
        <w:fldChar w:fldCharType="separate"/>
      </w:r>
      <w:r w:rsidR="00D32DCD">
        <w:rPr>
          <w:noProof/>
        </w:rPr>
        <w:t>5</w:t>
      </w:r>
      <w:r w:rsidR="00281EBD">
        <w:rPr>
          <w:noProof/>
        </w:rPr>
        <w:fldChar w:fldCharType="end"/>
      </w:r>
      <w:bookmarkEnd w:id="27"/>
      <w:r>
        <w:tab/>
        <w:t>Essential</w:t>
      </w:r>
      <w:r w:rsidRPr="001D050B">
        <w:t xml:space="preserve"> Energy's </w:t>
      </w:r>
      <w:r w:rsidR="009E7244">
        <w:t xml:space="preserve">movement in capitalised provisions </w:t>
      </w:r>
      <w:r w:rsidR="009E7244">
        <w:br/>
      </w:r>
      <w:r w:rsidRPr="001D050B">
        <w:t>($ million, nominal)</w:t>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9E7244" w:rsidRPr="001D050B" w:rsidTr="0022793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227" w:type="dxa"/>
            <w:noWrap/>
            <w:hideMark/>
          </w:tcPr>
          <w:p w:rsidR="009E7244" w:rsidRPr="001D050B" w:rsidRDefault="009E7244" w:rsidP="00401246">
            <w:r w:rsidRPr="001D050B">
              <w:t> </w:t>
            </w:r>
          </w:p>
        </w:tc>
        <w:tc>
          <w:tcPr>
            <w:tcW w:w="921" w:type="dxa"/>
          </w:tcPr>
          <w:p w:rsidR="009E7244" w:rsidRPr="001D050B" w:rsidRDefault="009E7244" w:rsidP="00401246">
            <w:pPr>
              <w:cnfStyle w:val="100000000000" w:firstRow="1" w:lastRow="0" w:firstColumn="0" w:lastColumn="0" w:oddVBand="0" w:evenVBand="0" w:oddHBand="0" w:evenHBand="0" w:firstRowFirstColumn="0" w:firstRowLastColumn="0" w:lastRowFirstColumn="0" w:lastRowLastColumn="0"/>
            </w:pPr>
            <w:r>
              <w:t>2008–09</w:t>
            </w:r>
          </w:p>
        </w:tc>
        <w:tc>
          <w:tcPr>
            <w:tcW w:w="921" w:type="dxa"/>
            <w:noWrap/>
            <w:hideMark/>
          </w:tcPr>
          <w:p w:rsidR="009E7244" w:rsidRPr="001D050B" w:rsidRDefault="009E7244" w:rsidP="009E7244">
            <w:pPr>
              <w:cnfStyle w:val="100000000000" w:firstRow="1" w:lastRow="0" w:firstColumn="0" w:lastColumn="0" w:oddVBand="0" w:evenVBand="0" w:oddHBand="0" w:evenHBand="0" w:firstRowFirstColumn="0" w:firstRowLastColumn="0" w:lastRowFirstColumn="0" w:lastRowLastColumn="0"/>
            </w:pPr>
            <w:r w:rsidRPr="001D050B">
              <w:t>20</w:t>
            </w:r>
            <w:r>
              <w:t>09</w:t>
            </w:r>
            <w:r w:rsidRPr="001D050B">
              <w:t>–1</w:t>
            </w:r>
            <w:r>
              <w:t>0</w:t>
            </w:r>
          </w:p>
        </w:tc>
        <w:tc>
          <w:tcPr>
            <w:tcW w:w="922" w:type="dxa"/>
            <w:noWrap/>
            <w:hideMark/>
          </w:tcPr>
          <w:p w:rsidR="009E7244" w:rsidRPr="001D050B" w:rsidRDefault="009E7244" w:rsidP="009E7244">
            <w:pPr>
              <w:cnfStyle w:val="100000000000" w:firstRow="1" w:lastRow="0" w:firstColumn="0" w:lastColumn="0" w:oddVBand="0" w:evenVBand="0" w:oddHBand="0" w:evenHBand="0" w:firstRowFirstColumn="0" w:firstRowLastColumn="0" w:lastRowFirstColumn="0" w:lastRowLastColumn="0"/>
            </w:pPr>
            <w:r w:rsidRPr="001D050B">
              <w:t>201</w:t>
            </w:r>
            <w:r>
              <w:t>0</w:t>
            </w:r>
            <w:r w:rsidRPr="001D050B">
              <w:t>–1</w:t>
            </w:r>
            <w:r>
              <w:t>1</w:t>
            </w:r>
          </w:p>
        </w:tc>
        <w:tc>
          <w:tcPr>
            <w:tcW w:w="921" w:type="dxa"/>
            <w:noWrap/>
            <w:hideMark/>
          </w:tcPr>
          <w:p w:rsidR="009E7244" w:rsidRPr="001D050B" w:rsidRDefault="009E7244" w:rsidP="009E7244">
            <w:pPr>
              <w:cnfStyle w:val="100000000000" w:firstRow="1" w:lastRow="0" w:firstColumn="0" w:lastColumn="0" w:oddVBand="0" w:evenVBand="0" w:oddHBand="0" w:evenHBand="0" w:firstRowFirstColumn="0" w:firstRowLastColumn="0" w:lastRowFirstColumn="0" w:lastRowLastColumn="0"/>
            </w:pPr>
            <w:r w:rsidRPr="001D050B">
              <w:t>201</w:t>
            </w:r>
            <w:r>
              <w:t>1</w:t>
            </w:r>
            <w:r w:rsidRPr="001D050B">
              <w:t>–1</w:t>
            </w:r>
            <w:r>
              <w:t>2</w:t>
            </w:r>
          </w:p>
        </w:tc>
        <w:tc>
          <w:tcPr>
            <w:tcW w:w="921" w:type="dxa"/>
            <w:noWrap/>
            <w:hideMark/>
          </w:tcPr>
          <w:p w:rsidR="009E7244" w:rsidRPr="001D050B" w:rsidRDefault="009E7244" w:rsidP="009E7244">
            <w:pPr>
              <w:cnfStyle w:val="100000000000" w:firstRow="1" w:lastRow="0" w:firstColumn="0" w:lastColumn="0" w:oddVBand="0" w:evenVBand="0" w:oddHBand="0" w:evenHBand="0" w:firstRowFirstColumn="0" w:firstRowLastColumn="0" w:lastRowFirstColumn="0" w:lastRowLastColumn="0"/>
            </w:pPr>
            <w:r w:rsidRPr="001D050B">
              <w:t>201</w:t>
            </w:r>
            <w:r>
              <w:t>2</w:t>
            </w:r>
            <w:r w:rsidRPr="001D050B">
              <w:t>–1</w:t>
            </w:r>
            <w:r>
              <w:t>3</w:t>
            </w:r>
          </w:p>
        </w:tc>
        <w:tc>
          <w:tcPr>
            <w:tcW w:w="922" w:type="dxa"/>
            <w:noWrap/>
            <w:hideMark/>
          </w:tcPr>
          <w:p w:rsidR="009E7244" w:rsidRPr="001D050B" w:rsidRDefault="009E7244" w:rsidP="009E7244">
            <w:pPr>
              <w:cnfStyle w:val="100000000000" w:firstRow="1" w:lastRow="0" w:firstColumn="0" w:lastColumn="0" w:oddVBand="0" w:evenVBand="0" w:oddHBand="0" w:evenHBand="0" w:firstRowFirstColumn="0" w:firstRowLastColumn="0" w:lastRowFirstColumn="0" w:lastRowLastColumn="0"/>
            </w:pPr>
            <w:r w:rsidRPr="001D050B">
              <w:t>201</w:t>
            </w:r>
            <w:r>
              <w:t>3</w:t>
            </w:r>
            <w:r w:rsidRPr="001D050B">
              <w:t>–1</w:t>
            </w:r>
            <w:r>
              <w:t>4</w:t>
            </w:r>
          </w:p>
        </w:tc>
      </w:tr>
      <w:tr w:rsidR="00B84ACC" w:rsidRPr="009E7244" w:rsidTr="00227935">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B84ACC" w:rsidRPr="000F65EE" w:rsidRDefault="009E7E1E" w:rsidP="00B84ACC">
            <w:r>
              <w:t>Net m</w:t>
            </w:r>
            <w:r w:rsidR="00B84ACC" w:rsidRPr="00B84ACC">
              <w:t>ovement in capitalised provisions</w:t>
            </w:r>
          </w:p>
        </w:tc>
        <w:tc>
          <w:tcPr>
            <w:tcW w:w="921" w:type="dxa"/>
            <w:vAlign w:val="bottom"/>
          </w:tcPr>
          <w:p w:rsidR="00B84ACC" w:rsidRPr="00B84ACC" w:rsidRDefault="00B84ACC" w:rsidP="00B84ACC">
            <w:pPr>
              <w:cnfStyle w:val="000000000000" w:firstRow="0" w:lastRow="0" w:firstColumn="0" w:lastColumn="0" w:oddVBand="0" w:evenVBand="0" w:oddHBand="0" w:evenHBand="0" w:firstRowFirstColumn="0" w:firstRowLastColumn="0" w:lastRowFirstColumn="0" w:lastRowLastColumn="0"/>
            </w:pPr>
            <w:r w:rsidRPr="00B84ACC">
              <w:t>3.1</w:t>
            </w:r>
          </w:p>
        </w:tc>
        <w:tc>
          <w:tcPr>
            <w:tcW w:w="921" w:type="dxa"/>
            <w:noWrap/>
            <w:vAlign w:val="bottom"/>
          </w:tcPr>
          <w:p w:rsidR="00B84ACC" w:rsidRPr="000F65EE" w:rsidRDefault="00B84ACC" w:rsidP="00B84ACC">
            <w:pPr>
              <w:cnfStyle w:val="000000000000" w:firstRow="0" w:lastRow="0" w:firstColumn="0" w:lastColumn="0" w:oddVBand="0" w:evenVBand="0" w:oddHBand="0" w:evenHBand="0" w:firstRowFirstColumn="0" w:firstRowLastColumn="0" w:lastRowFirstColumn="0" w:lastRowLastColumn="0"/>
            </w:pPr>
            <w:r w:rsidRPr="00B84ACC">
              <w:t>1.0</w:t>
            </w:r>
          </w:p>
        </w:tc>
        <w:tc>
          <w:tcPr>
            <w:tcW w:w="922" w:type="dxa"/>
            <w:noWrap/>
            <w:vAlign w:val="bottom"/>
          </w:tcPr>
          <w:p w:rsidR="00B84ACC" w:rsidRPr="000F65EE" w:rsidRDefault="00B84ACC" w:rsidP="00B84ACC">
            <w:pPr>
              <w:cnfStyle w:val="000000000000" w:firstRow="0" w:lastRow="0" w:firstColumn="0" w:lastColumn="0" w:oddVBand="0" w:evenVBand="0" w:oddHBand="0" w:evenHBand="0" w:firstRowFirstColumn="0" w:firstRowLastColumn="0" w:lastRowFirstColumn="0" w:lastRowLastColumn="0"/>
            </w:pPr>
            <w:r w:rsidRPr="00B84ACC">
              <w:t>3.6</w:t>
            </w:r>
          </w:p>
        </w:tc>
        <w:tc>
          <w:tcPr>
            <w:tcW w:w="921" w:type="dxa"/>
            <w:noWrap/>
            <w:vAlign w:val="bottom"/>
          </w:tcPr>
          <w:p w:rsidR="00B84ACC" w:rsidRPr="000F65EE" w:rsidRDefault="00B84ACC" w:rsidP="00B84ACC">
            <w:pPr>
              <w:cnfStyle w:val="000000000000" w:firstRow="0" w:lastRow="0" w:firstColumn="0" w:lastColumn="0" w:oddVBand="0" w:evenVBand="0" w:oddHBand="0" w:evenHBand="0" w:firstRowFirstColumn="0" w:firstRowLastColumn="0" w:lastRowFirstColumn="0" w:lastRowLastColumn="0"/>
            </w:pPr>
            <w:r w:rsidRPr="00B84ACC">
              <w:t>10.5</w:t>
            </w:r>
          </w:p>
        </w:tc>
        <w:tc>
          <w:tcPr>
            <w:tcW w:w="921" w:type="dxa"/>
            <w:noWrap/>
            <w:vAlign w:val="bottom"/>
          </w:tcPr>
          <w:p w:rsidR="00B84ACC" w:rsidRPr="000F65EE" w:rsidRDefault="00B84ACC" w:rsidP="00B84ACC">
            <w:pPr>
              <w:cnfStyle w:val="000000000000" w:firstRow="0" w:lastRow="0" w:firstColumn="0" w:lastColumn="0" w:oddVBand="0" w:evenVBand="0" w:oddHBand="0" w:evenHBand="0" w:firstRowFirstColumn="0" w:firstRowLastColumn="0" w:lastRowFirstColumn="0" w:lastRowLastColumn="0"/>
            </w:pPr>
            <w:r>
              <w:t>–</w:t>
            </w:r>
            <w:r w:rsidRPr="00B84ACC">
              <w:t>2.6</w:t>
            </w:r>
          </w:p>
        </w:tc>
        <w:tc>
          <w:tcPr>
            <w:tcW w:w="922" w:type="dxa"/>
            <w:noWrap/>
            <w:vAlign w:val="bottom"/>
          </w:tcPr>
          <w:p w:rsidR="00B84ACC" w:rsidRPr="000F65EE" w:rsidRDefault="00B84ACC" w:rsidP="00B84ACC">
            <w:pPr>
              <w:cnfStyle w:val="000000000000" w:firstRow="0" w:lastRow="0" w:firstColumn="0" w:lastColumn="0" w:oddVBand="0" w:evenVBand="0" w:oddHBand="0" w:evenHBand="0" w:firstRowFirstColumn="0" w:firstRowLastColumn="0" w:lastRowFirstColumn="0" w:lastRowLastColumn="0"/>
            </w:pPr>
            <w:r>
              <w:t>–</w:t>
            </w:r>
            <w:r w:rsidRPr="00B84ACC">
              <w:t>4.6</w:t>
            </w:r>
          </w:p>
        </w:tc>
      </w:tr>
    </w:tbl>
    <w:p w:rsidR="00376D68" w:rsidRPr="00376D68" w:rsidRDefault="00376D68" w:rsidP="00376D68">
      <w:r w:rsidRPr="00376D68">
        <w:t xml:space="preserve">A number of submissions </w:t>
      </w:r>
      <w:r w:rsidR="00820575">
        <w:t>raised</w:t>
      </w:r>
      <w:r w:rsidRPr="00376D68">
        <w:t xml:space="preserve"> concerns with the size of </w:t>
      </w:r>
      <w:r>
        <w:t>Essential Energy's</w:t>
      </w:r>
      <w:r w:rsidRPr="00376D68">
        <w:t xml:space="preserve"> opening RAB</w:t>
      </w:r>
      <w:r>
        <w:t xml:space="preserve"> and</w:t>
      </w:r>
      <w:r w:rsidRPr="00376D68">
        <w:t xml:space="preserve"> suggested a write down of </w:t>
      </w:r>
      <w:r w:rsidR="00AE2088">
        <w:t>asset values</w:t>
      </w:r>
      <w:r w:rsidRPr="00376D68">
        <w:t>.</w:t>
      </w:r>
      <w:r w:rsidRPr="00376D68">
        <w:rPr>
          <w:rStyle w:val="FootnoteReference"/>
        </w:rPr>
        <w:footnoteReference w:id="13"/>
      </w:r>
      <w:r w:rsidRPr="00376D68">
        <w:t xml:space="preserve"> </w:t>
      </w:r>
    </w:p>
    <w:p w:rsidR="00376D68" w:rsidRDefault="00376D68" w:rsidP="005C4066">
      <w:r w:rsidRPr="00376D68">
        <w:t xml:space="preserve">The opening RAB reflects the capex incurred during the previous regulatory control periods. In the previous two regulatory control periods there was a significant increase in capex that only began to tail off in more recent years. </w:t>
      </w:r>
      <w:r w:rsidR="0066691D">
        <w:t>W</w:t>
      </w:r>
      <w:r w:rsidRPr="00376D68">
        <w:t>e have no ability to adjust for past capex or to optimise/write down the opening RAB</w:t>
      </w:r>
      <w:r w:rsidR="0066691D">
        <w:t xml:space="preserve"> for efficiency considerations</w:t>
      </w:r>
      <w:r w:rsidRPr="00376D68">
        <w:t xml:space="preserve">. </w:t>
      </w:r>
      <w:r w:rsidR="0066691D">
        <w:t>Under</w:t>
      </w:r>
      <w:r w:rsidR="0066691D" w:rsidRPr="000F67F7">
        <w:t xml:space="preserve"> the transitional rules, the review of past</w:t>
      </w:r>
      <w:r w:rsidR="0066691D">
        <w:t xml:space="preserve"> capex does not apply to Essential Energy</w:t>
      </w:r>
      <w:r w:rsidR="0066691D" w:rsidRPr="000F67F7">
        <w:t xml:space="preserve"> prior to 1 July 2015.</w:t>
      </w:r>
      <w:r w:rsidR="0066691D" w:rsidRPr="000F67F7">
        <w:rPr>
          <w:rStyle w:val="FootnoteReference"/>
        </w:rPr>
        <w:footnoteReference w:id="14"/>
      </w:r>
      <w:r w:rsidR="0066691D" w:rsidRPr="000F67F7">
        <w:t xml:space="preserve"> Therefore, for the purposes of this </w:t>
      </w:r>
      <w:r w:rsidR="0066691D">
        <w:t>final</w:t>
      </w:r>
      <w:r w:rsidR="0066691D" w:rsidRPr="000F67F7">
        <w:t xml:space="preserve"> decision, we </w:t>
      </w:r>
      <w:r w:rsidR="00C40F24">
        <w:t>are required</w:t>
      </w:r>
      <w:r w:rsidR="0066691D">
        <w:t xml:space="preserve"> to </w:t>
      </w:r>
      <w:r w:rsidR="0066691D" w:rsidRPr="000F67F7">
        <w:t>add E</w:t>
      </w:r>
      <w:r w:rsidR="0066691D">
        <w:t>ssential Energy'</w:t>
      </w:r>
      <w:r w:rsidR="0066691D" w:rsidRPr="000F67F7">
        <w:t>s actual</w:t>
      </w:r>
      <w:r w:rsidR="0066691D">
        <w:t xml:space="preserve"> capex </w:t>
      </w:r>
      <w:r w:rsidR="00994C51">
        <w:t>from</w:t>
      </w:r>
      <w:r w:rsidR="0066691D">
        <w:t xml:space="preserve"> the 2009</w:t>
      </w:r>
      <w:r w:rsidR="0066691D" w:rsidRPr="000F67F7">
        <w:t>–</w:t>
      </w:r>
      <w:r w:rsidR="0066691D">
        <w:t>14</w:t>
      </w:r>
      <w:r w:rsidR="0066691D" w:rsidRPr="000F67F7">
        <w:t xml:space="preserve"> regulatory control </w:t>
      </w:r>
      <w:proofErr w:type="gramStart"/>
      <w:r w:rsidR="0066691D" w:rsidRPr="000F67F7">
        <w:t>period</w:t>
      </w:r>
      <w:proofErr w:type="gramEnd"/>
      <w:r w:rsidR="0066691D" w:rsidRPr="000F67F7">
        <w:t xml:space="preserve"> to the RAB. </w:t>
      </w:r>
      <w:r w:rsidRPr="00376D68">
        <w:t>However, with rule changes in 2012, we will have the ability to exclude inefficient capex incurred during the 201</w:t>
      </w:r>
      <w:r w:rsidR="0066691D">
        <w:t>5</w:t>
      </w:r>
      <w:r w:rsidRPr="00376D68">
        <w:t xml:space="preserve">–19 </w:t>
      </w:r>
      <w:r w:rsidR="0066691D">
        <w:t xml:space="preserve">regulatory control </w:t>
      </w:r>
      <w:r w:rsidRPr="00376D68">
        <w:t xml:space="preserve">period </w:t>
      </w:r>
      <w:r w:rsidR="002F56B7">
        <w:t>in future resets</w:t>
      </w:r>
      <w:r w:rsidRPr="00376D68">
        <w:t xml:space="preserve"> </w:t>
      </w:r>
      <w:r w:rsidR="00820575">
        <w:t xml:space="preserve">if it exceeds the approved forecast and </w:t>
      </w:r>
      <w:r w:rsidRPr="00376D68">
        <w:t xml:space="preserve">if we consider it does not </w:t>
      </w:r>
      <w:r w:rsidRPr="00376D68">
        <w:lastRenderedPageBreak/>
        <w:t>reasonably reflect the capital expenditure criteria.</w:t>
      </w:r>
      <w:r w:rsidRPr="00376D68">
        <w:rPr>
          <w:rStyle w:val="FootnoteReference"/>
        </w:rPr>
        <w:footnoteReference w:id="15"/>
      </w:r>
      <w:r w:rsidRPr="00376D68">
        <w:t xml:space="preserve"> The details of our assessment approach for inefficient capex are set out in the </w:t>
      </w:r>
      <w:r w:rsidRPr="000F65EE">
        <w:rPr>
          <w:rStyle w:val="AERtextitalic"/>
        </w:rPr>
        <w:t xml:space="preserve">Capital </w:t>
      </w:r>
      <w:r w:rsidR="00820575" w:rsidRPr="000F65EE">
        <w:rPr>
          <w:rStyle w:val="AERtextitalic"/>
        </w:rPr>
        <w:t>e</w:t>
      </w:r>
      <w:r w:rsidRPr="000F65EE">
        <w:rPr>
          <w:rStyle w:val="AERtextitalic"/>
        </w:rPr>
        <w:t xml:space="preserve">xpenditure </w:t>
      </w:r>
      <w:r w:rsidR="00820575" w:rsidRPr="000F65EE">
        <w:rPr>
          <w:rStyle w:val="AERtextitalic"/>
        </w:rPr>
        <w:t>i</w:t>
      </w:r>
      <w:r w:rsidRPr="000F65EE">
        <w:rPr>
          <w:rStyle w:val="AERtextitalic"/>
        </w:rPr>
        <w:t xml:space="preserve">ncentive </w:t>
      </w:r>
      <w:r w:rsidR="00820575" w:rsidRPr="000F65EE">
        <w:rPr>
          <w:rStyle w:val="AERtextitalic"/>
        </w:rPr>
        <w:t>g</w:t>
      </w:r>
      <w:r w:rsidRPr="000F65EE">
        <w:rPr>
          <w:rStyle w:val="AERtextitalic"/>
        </w:rPr>
        <w:t>uideline</w:t>
      </w:r>
      <w:r w:rsidRPr="00376D68">
        <w:t>.</w:t>
      </w:r>
      <w:r w:rsidRPr="00376D68">
        <w:rPr>
          <w:rStyle w:val="FootnoteReference"/>
        </w:rPr>
        <w:footnoteReference w:id="16"/>
      </w:r>
    </w:p>
    <w:p w:rsidR="007B186E" w:rsidRDefault="009477A6" w:rsidP="009477A6">
      <w:pPr>
        <w:pStyle w:val="Heading3"/>
      </w:pPr>
      <w:bookmarkStart w:id="28" w:name="_Toc417306255"/>
      <w:r w:rsidRPr="009477A6">
        <w:t>Forecast closing RAB as at 30 June 2019</w:t>
      </w:r>
      <w:bookmarkEnd w:id="28"/>
    </w:p>
    <w:p w:rsidR="009A59A4" w:rsidRDefault="009A59A4" w:rsidP="009A59A4">
      <w:r w:rsidRPr="0064602F">
        <w:t>We forecast a closing RAB value of $</w:t>
      </w:r>
      <w:r w:rsidR="00766170">
        <w:t>87</w:t>
      </w:r>
      <w:r w:rsidR="0086189E">
        <w:t>20.4</w:t>
      </w:r>
      <w:r w:rsidR="00766170">
        <w:t xml:space="preserve"> </w:t>
      </w:r>
      <w:r w:rsidRPr="0064602F">
        <w:t xml:space="preserve">million by 30 June 2019 for </w:t>
      </w:r>
      <w:r>
        <w:t>Essential</w:t>
      </w:r>
      <w:r w:rsidRPr="0064602F">
        <w:t xml:space="preserve"> Energy. This</w:t>
      </w:r>
      <w:r>
        <w:t xml:space="preserve"> </w:t>
      </w:r>
      <w:r w:rsidRPr="0064602F">
        <w:t xml:space="preserve">represents a reduction of </w:t>
      </w:r>
      <w:r>
        <w:t>$</w:t>
      </w:r>
      <w:r w:rsidR="00766170">
        <w:t>2</w:t>
      </w:r>
      <w:r w:rsidR="0086189E">
        <w:t>78.4</w:t>
      </w:r>
      <w:r w:rsidR="00766170" w:rsidRPr="0064602F">
        <w:t xml:space="preserve"> </w:t>
      </w:r>
      <w:r w:rsidRPr="0064602F">
        <w:t xml:space="preserve">million, or </w:t>
      </w:r>
      <w:r w:rsidR="0086189E">
        <w:t>3.1</w:t>
      </w:r>
      <w:r w:rsidR="00766170" w:rsidRPr="0064602F">
        <w:t xml:space="preserve"> </w:t>
      </w:r>
      <w:r w:rsidRPr="0064602F">
        <w:t xml:space="preserve">per cent to </w:t>
      </w:r>
      <w:r>
        <w:t>Essential</w:t>
      </w:r>
      <w:r w:rsidRPr="0064602F">
        <w:t xml:space="preserve"> Energy's </w:t>
      </w:r>
      <w:r>
        <w:t xml:space="preserve">revised </w:t>
      </w:r>
      <w:r w:rsidRPr="0064602F">
        <w:t>proposal. This</w:t>
      </w:r>
      <w:r>
        <w:t xml:space="preserve"> </w:t>
      </w:r>
      <w:r w:rsidRPr="0064602F">
        <w:t xml:space="preserve">reduction reflects our </w:t>
      </w:r>
      <w:r>
        <w:t>final</w:t>
      </w:r>
      <w:r w:rsidRPr="0064602F">
        <w:t xml:space="preserve"> decision on the required inputs for determining the forecast RAB in the</w:t>
      </w:r>
      <w:r>
        <w:t xml:space="preserve"> </w:t>
      </w:r>
      <w:r w:rsidR="00DA5D37">
        <w:t>post-tax revenue model (</w:t>
      </w:r>
      <w:r w:rsidRPr="0064602F">
        <w:t>PTRM</w:t>
      </w:r>
      <w:r w:rsidR="00DA5D37">
        <w:t>)</w:t>
      </w:r>
      <w:r w:rsidRPr="0064602F">
        <w:t>. To determine the forecast RAB value, we amended the following PTRM inputs:</w:t>
      </w:r>
    </w:p>
    <w:p w:rsidR="009A59A4" w:rsidRDefault="009A59A4" w:rsidP="009A59A4">
      <w:pPr>
        <w:pStyle w:val="AERbulletlistfirststyle"/>
      </w:pPr>
      <w:r w:rsidRPr="009A59A4">
        <w:t xml:space="preserve">We reduced Essential Energy's </w:t>
      </w:r>
      <w:r w:rsidR="00D06AE6">
        <w:t xml:space="preserve">revised </w:t>
      </w:r>
      <w:r w:rsidRPr="009A59A4">
        <w:t xml:space="preserve">proposed opening RAB as at 1 July 2014 by </w:t>
      </w:r>
      <w:r w:rsidRPr="00FC2C52">
        <w:t>$</w:t>
      </w:r>
      <w:r w:rsidR="00801B2F">
        <w:t>13.4</w:t>
      </w:r>
      <w:r>
        <w:t> </w:t>
      </w:r>
      <w:r w:rsidRPr="00FC2C52">
        <w:t xml:space="preserve">million or </w:t>
      </w:r>
      <w:r w:rsidR="00801B2F">
        <w:t>0.2</w:t>
      </w:r>
      <w:r w:rsidRPr="00FC2C52">
        <w:t xml:space="preserve"> per cent</w:t>
      </w:r>
      <w:r w:rsidRPr="009A59A4">
        <w:t xml:space="preserve"> (section</w:t>
      </w:r>
      <w:r>
        <w:t xml:space="preserve"> </w:t>
      </w:r>
      <w:r>
        <w:fldChar w:fldCharType="begin"/>
      </w:r>
      <w:r>
        <w:instrText xml:space="preserve"> REF _Ref413334469 \r \h </w:instrText>
      </w:r>
      <w:r>
        <w:fldChar w:fldCharType="separate"/>
      </w:r>
      <w:r w:rsidR="00D32DCD">
        <w:t>2.4.1</w:t>
      </w:r>
      <w:r>
        <w:fldChar w:fldCharType="end"/>
      </w:r>
      <w:r>
        <w:t>)</w:t>
      </w:r>
    </w:p>
    <w:p w:rsidR="009A59A4" w:rsidRDefault="009A59A4" w:rsidP="009A59A4">
      <w:pPr>
        <w:pStyle w:val="AERbulletlistfirststyle"/>
      </w:pPr>
      <w:r w:rsidRPr="0064602F">
        <w:t xml:space="preserve">We reduced </w:t>
      </w:r>
      <w:r>
        <w:t>Essential</w:t>
      </w:r>
      <w:r w:rsidRPr="0064602F">
        <w:t xml:space="preserve"> Energy's </w:t>
      </w:r>
      <w:r>
        <w:t xml:space="preserve">revised </w:t>
      </w:r>
      <w:r w:rsidR="00D06AE6" w:rsidRPr="0064602F">
        <w:t>propos</w:t>
      </w:r>
      <w:r w:rsidR="00D06AE6">
        <w:t>ed</w:t>
      </w:r>
      <w:r w:rsidR="00D06AE6" w:rsidRPr="0064602F">
        <w:t xml:space="preserve"> </w:t>
      </w:r>
      <w:r w:rsidRPr="0064602F">
        <w:t xml:space="preserve">forecast capex for the 2014–19 </w:t>
      </w:r>
      <w:proofErr w:type="gramStart"/>
      <w:r w:rsidRPr="0064602F">
        <w:t>period</w:t>
      </w:r>
      <w:proofErr w:type="gramEnd"/>
      <w:r w:rsidRPr="0064602F">
        <w:t xml:space="preserve"> by</w:t>
      </w:r>
      <w:r>
        <w:t xml:space="preserve"> </w:t>
      </w:r>
      <w:r w:rsidRPr="0064602F">
        <w:t>$</w:t>
      </w:r>
      <w:r w:rsidR="0086189E">
        <w:t>227.0</w:t>
      </w:r>
      <w:r w:rsidR="00766170" w:rsidRPr="0064602F">
        <w:t xml:space="preserve"> </w:t>
      </w:r>
      <w:r w:rsidRPr="0064602F">
        <w:t xml:space="preserve">million or </w:t>
      </w:r>
      <w:r w:rsidR="0086189E">
        <w:t>8.1</w:t>
      </w:r>
      <w:r w:rsidR="00766170" w:rsidRPr="0064602F">
        <w:t xml:space="preserve"> </w:t>
      </w:r>
      <w:r w:rsidRPr="0064602F">
        <w:t>per cent (attachment 6).</w:t>
      </w:r>
    </w:p>
    <w:p w:rsidR="002C233C" w:rsidRDefault="009A59A4" w:rsidP="009A59A4">
      <w:pPr>
        <w:pStyle w:val="AERbulletlistfirststyle"/>
      </w:pPr>
      <w:r w:rsidRPr="0064602F">
        <w:t xml:space="preserve">We </w:t>
      </w:r>
      <w:r w:rsidR="00766170">
        <w:t>increas</w:t>
      </w:r>
      <w:r w:rsidR="00766170" w:rsidRPr="0064602F">
        <w:t xml:space="preserve">ed </w:t>
      </w:r>
      <w:r>
        <w:t>Essential</w:t>
      </w:r>
      <w:r w:rsidRPr="0064602F">
        <w:t xml:space="preserve"> Energy's </w:t>
      </w:r>
      <w:r>
        <w:t xml:space="preserve">revised </w:t>
      </w:r>
      <w:r w:rsidR="00D06AE6" w:rsidRPr="0064602F">
        <w:t>propos</w:t>
      </w:r>
      <w:r w:rsidR="00D06AE6">
        <w:t>ed</w:t>
      </w:r>
      <w:r w:rsidR="00D06AE6" w:rsidRPr="0064602F">
        <w:t xml:space="preserve"> </w:t>
      </w:r>
      <w:r w:rsidRPr="0064602F">
        <w:t xml:space="preserve">forecast </w:t>
      </w:r>
      <w:r>
        <w:t>regulatory depreciation</w:t>
      </w:r>
      <w:r w:rsidRPr="0064602F">
        <w:t xml:space="preserve"> for the 2014–19 </w:t>
      </w:r>
      <w:proofErr w:type="gramStart"/>
      <w:r w:rsidRPr="0064602F">
        <w:t>period</w:t>
      </w:r>
      <w:proofErr w:type="gramEnd"/>
      <w:r w:rsidRPr="0064602F">
        <w:t xml:space="preserve"> by</w:t>
      </w:r>
      <w:r>
        <w:t xml:space="preserve"> </w:t>
      </w:r>
      <w:r w:rsidRPr="0064602F">
        <w:t>$</w:t>
      </w:r>
      <w:r w:rsidR="0086189E">
        <w:t>38.0</w:t>
      </w:r>
      <w:r w:rsidR="00766170" w:rsidRPr="0064602F">
        <w:t xml:space="preserve"> </w:t>
      </w:r>
      <w:r w:rsidRPr="0064602F">
        <w:t xml:space="preserve">million or </w:t>
      </w:r>
      <w:r w:rsidR="00766170">
        <w:t>6.4</w:t>
      </w:r>
      <w:r w:rsidR="00766170" w:rsidRPr="0064602F">
        <w:t xml:space="preserve"> </w:t>
      </w:r>
      <w:r w:rsidRPr="0064602F">
        <w:t xml:space="preserve">per cent (attachment </w:t>
      </w:r>
      <w:r>
        <w:t>5</w:t>
      </w:r>
      <w:r w:rsidRPr="0064602F">
        <w:t>).</w:t>
      </w:r>
    </w:p>
    <w:p w:rsidR="00D06AE6" w:rsidRDefault="00D06AE6" w:rsidP="00D06AE6">
      <w:pPr>
        <w:pStyle w:val="AERbulletlistfirststyle"/>
      </w:pPr>
      <w:r w:rsidRPr="0064602F">
        <w:t xml:space="preserve">We reduced </w:t>
      </w:r>
      <w:r>
        <w:t>Essential</w:t>
      </w:r>
      <w:r w:rsidRPr="0064602F">
        <w:t xml:space="preserve"> Energy's </w:t>
      </w:r>
      <w:r>
        <w:t xml:space="preserve">revised </w:t>
      </w:r>
      <w:r w:rsidRPr="0064602F">
        <w:t>propos</w:t>
      </w:r>
      <w:r>
        <w:t>ed</w:t>
      </w:r>
      <w:r w:rsidRPr="0064602F">
        <w:t xml:space="preserve"> forecast </w:t>
      </w:r>
      <w:r>
        <w:t>inflation rate</w:t>
      </w:r>
      <w:r w:rsidRPr="0064602F">
        <w:t xml:space="preserve"> </w:t>
      </w:r>
      <w:r>
        <w:t xml:space="preserve">of 2.50 per cent </w:t>
      </w:r>
      <w:r w:rsidR="00227935">
        <w:t xml:space="preserve">per annum </w:t>
      </w:r>
      <w:r>
        <w:t xml:space="preserve">to 2.38 per cent </w:t>
      </w:r>
      <w:r w:rsidR="00227935">
        <w:t xml:space="preserve">per annum </w:t>
      </w:r>
      <w:r w:rsidRPr="0064602F">
        <w:t xml:space="preserve">(attachment </w:t>
      </w:r>
      <w:r>
        <w:t>3</w:t>
      </w:r>
      <w:r w:rsidRPr="0064602F">
        <w:t>).</w:t>
      </w:r>
    </w:p>
    <w:p w:rsidR="004F6A0E" w:rsidRDefault="004F6A0E" w:rsidP="002C233C"/>
    <w:sectPr w:rsidR="004F6A0E"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31" w:rsidRPr="00290C63" w:rsidRDefault="002C6D31" w:rsidP="00290C63">
      <w:r>
        <w:separator/>
      </w:r>
    </w:p>
    <w:p w:rsidR="002C6D31" w:rsidRDefault="002C6D31"/>
  </w:endnote>
  <w:endnote w:type="continuationSeparator" w:id="0">
    <w:p w:rsidR="002C6D31" w:rsidRPr="00290C63" w:rsidRDefault="002C6D31" w:rsidP="00290C63">
      <w:r>
        <w:continuationSeparator/>
      </w:r>
    </w:p>
    <w:p w:rsidR="002C6D31" w:rsidRDefault="002C6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31" w:rsidRPr="00290C63" w:rsidRDefault="002C6D3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C6D31" w:rsidRDefault="002C6D31"/>
  <w:p w:rsidR="002C6D31" w:rsidRDefault="002C6D31"/>
  <w:p w:rsidR="002C6D31" w:rsidRDefault="002C6D31"/>
  <w:p w:rsidR="002C6D31" w:rsidRDefault="002C6D31"/>
  <w:p w:rsidR="002C6D31" w:rsidRDefault="002C6D31"/>
  <w:p w:rsidR="002C6D31" w:rsidRDefault="002C6D31"/>
  <w:p w:rsidR="002C6D31" w:rsidRDefault="002C6D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2C6D31" w:rsidRPr="009B6F84" w:rsidRDefault="002C6D31">
        <w:pPr>
          <w:pStyle w:val="Footer"/>
          <w:rPr>
            <w:sz w:val="20"/>
          </w:rPr>
        </w:pPr>
        <w:r>
          <w:fldChar w:fldCharType="begin"/>
        </w:r>
        <w:r>
          <w:instrText xml:space="preserve"> PAGE   \* MERGEFORMAT </w:instrText>
        </w:r>
        <w:r>
          <w:fldChar w:fldCharType="separate"/>
        </w:r>
        <w:r w:rsidR="00281EBD">
          <w:rPr>
            <w:noProof/>
          </w:rPr>
          <w:t>2-7</w:t>
        </w:r>
        <w:r>
          <w:rPr>
            <w:noProof/>
          </w:rPr>
          <w:fldChar w:fldCharType="end"/>
        </w:r>
        <w:r>
          <w:rPr>
            <w:noProof/>
          </w:rPr>
          <w:t xml:space="preserve">         </w:t>
        </w:r>
        <w:r>
          <w:t xml:space="preserve">                      </w:t>
        </w:r>
        <w:r>
          <w:rPr>
            <w:noProof/>
          </w:rPr>
          <w:t xml:space="preserve"> </w:t>
        </w:r>
        <w:r w:rsidRPr="00C4466F">
          <w:rPr>
            <w:noProof/>
            <w:szCs w:val="16"/>
          </w:rPr>
          <w:t>Attachment 2 – Regulatory asset base</w:t>
        </w:r>
        <w:r>
          <w:rPr>
            <w:noProof/>
            <w:szCs w:val="16"/>
          </w:rPr>
          <w:t xml:space="preserve"> </w:t>
        </w:r>
        <w:r w:rsidRPr="009B6F84">
          <w:rPr>
            <w:rFonts w:cs="Gautami"/>
            <w:noProof/>
            <w:szCs w:val="16"/>
          </w:rPr>
          <w:t xml:space="preserve">| </w:t>
        </w:r>
        <w: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2C6D31" w:rsidRDefault="002C6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31" w:rsidRPr="00290C63" w:rsidRDefault="002C6D3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C6D31" w:rsidRDefault="002C6D31">
    <w:pPr>
      <w:pStyle w:val="Footer"/>
    </w:pPr>
  </w:p>
  <w:p w:rsidR="002C6D31" w:rsidRDefault="002C6D31"/>
  <w:p w:rsidR="002C6D31" w:rsidRDefault="002C6D31"/>
  <w:p w:rsidR="002C6D31" w:rsidRDefault="002C6D31"/>
  <w:p w:rsidR="002C6D31" w:rsidRDefault="002C6D31"/>
  <w:p w:rsidR="002C6D31" w:rsidRDefault="002C6D31"/>
  <w:p w:rsidR="002C6D31" w:rsidRDefault="002C6D31"/>
  <w:p w:rsidR="002C6D31" w:rsidRDefault="002C6D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31" w:rsidRPr="00290C63" w:rsidRDefault="002C6D31" w:rsidP="00290C63">
      <w:r>
        <w:separator/>
      </w:r>
    </w:p>
    <w:p w:rsidR="002C6D31" w:rsidRDefault="002C6D31"/>
  </w:footnote>
  <w:footnote w:type="continuationSeparator" w:id="0">
    <w:p w:rsidR="002C6D31" w:rsidRPr="00290C63" w:rsidRDefault="002C6D31" w:rsidP="00290C63">
      <w:r>
        <w:continuationSeparator/>
      </w:r>
    </w:p>
    <w:p w:rsidR="002C6D31" w:rsidRDefault="002C6D31"/>
  </w:footnote>
  <w:footnote w:id="1">
    <w:p w:rsidR="002C6D31" w:rsidRDefault="002C6D31">
      <w:pPr>
        <w:pStyle w:val="FootnoteText"/>
      </w:pPr>
      <w:r>
        <w:rPr>
          <w:rStyle w:val="FootnoteReference"/>
        </w:rPr>
        <w:footnoteRef/>
      </w:r>
      <w:r>
        <w:t xml:space="preserve"> </w:t>
      </w:r>
      <w:r>
        <w:tab/>
      </w:r>
      <w:proofErr w:type="gramStart"/>
      <w:r>
        <w:t>NER, cl. 6.12.1(6).</w:t>
      </w:r>
      <w:proofErr w:type="gramEnd"/>
    </w:p>
  </w:footnote>
  <w:footnote w:id="2">
    <w:p w:rsidR="002C6D31" w:rsidRDefault="002C6D31" w:rsidP="000B5900">
      <w:pPr>
        <w:pStyle w:val="FootnoteText"/>
      </w:pPr>
      <w:r>
        <w:rPr>
          <w:rStyle w:val="FootnoteReference"/>
        </w:rPr>
        <w:footnoteRef/>
      </w:r>
      <w:r>
        <w:t xml:space="preserve"> </w:t>
      </w:r>
      <w:r>
        <w:tab/>
        <w:t xml:space="preserve">Essential Energy, </w:t>
      </w:r>
      <w:r w:rsidRPr="00374C7E">
        <w:rPr>
          <w:rStyle w:val="AERtextitalic"/>
        </w:rPr>
        <w:t>Revised regulatory proposal</w:t>
      </w:r>
      <w:r>
        <w:t>, January 2015, p. 82.</w:t>
      </w:r>
    </w:p>
  </w:footnote>
  <w:footnote w:id="3">
    <w:p w:rsidR="002C6D31" w:rsidRDefault="002C6D31">
      <w:pPr>
        <w:pStyle w:val="FootnoteText"/>
      </w:pPr>
      <w:r>
        <w:rPr>
          <w:rStyle w:val="FootnoteReference"/>
        </w:rPr>
        <w:footnoteRef/>
      </w:r>
      <w:r>
        <w:t xml:space="preserve"> </w:t>
      </w:r>
      <w:r>
        <w:tab/>
        <w:t>Essential Energy</w:t>
      </w:r>
      <w:r w:rsidRPr="004F0259">
        <w:t xml:space="preserve">, </w:t>
      </w:r>
      <w:r w:rsidRPr="004F0259">
        <w:rPr>
          <w:rStyle w:val="AERtextitalic"/>
        </w:rPr>
        <w:t>Revised regulatory proposal</w:t>
      </w:r>
      <w:r w:rsidRPr="004F0259">
        <w:t xml:space="preserve">, </w:t>
      </w:r>
      <w:r>
        <w:t>January</w:t>
      </w:r>
      <w:r w:rsidRPr="004F0259">
        <w:t xml:space="preserve"> 2014, </w:t>
      </w:r>
      <w:r>
        <w:t>pp. 85–86</w:t>
      </w:r>
      <w:r w:rsidRPr="004F0259">
        <w:t>.</w:t>
      </w:r>
    </w:p>
  </w:footnote>
  <w:footnote w:id="4">
    <w:p w:rsidR="002C6D31" w:rsidRDefault="002C6D31" w:rsidP="001D050B">
      <w:pPr>
        <w:pStyle w:val="FootnoteText"/>
      </w:pPr>
      <w:r>
        <w:rPr>
          <w:rStyle w:val="FootnoteReference"/>
        </w:rPr>
        <w:footnoteRef/>
      </w:r>
      <w:r>
        <w:t xml:space="preserve"> </w:t>
      </w:r>
      <w:r>
        <w:tab/>
      </w:r>
      <w:proofErr w:type="gramStart"/>
      <w:r>
        <w:t xml:space="preserve">AER, </w:t>
      </w:r>
      <w:r w:rsidRPr="005C78F1">
        <w:rPr>
          <w:rStyle w:val="AERtextitalic"/>
        </w:rPr>
        <w:t xml:space="preserve">Draft decision - </w:t>
      </w:r>
      <w:r>
        <w:rPr>
          <w:rStyle w:val="AERtextitalic"/>
        </w:rPr>
        <w:t xml:space="preserve">Essential Energy </w:t>
      </w:r>
      <w:r w:rsidRPr="005C78F1">
        <w:rPr>
          <w:rStyle w:val="AERtextitalic"/>
        </w:rPr>
        <w:t>distribution determination attachment 2 - Regulatory asset base</w:t>
      </w:r>
      <w:r>
        <w:t>, November 2014, pp. 10–13.</w:t>
      </w:r>
      <w:proofErr w:type="gramEnd"/>
    </w:p>
  </w:footnote>
  <w:footnote w:id="5">
    <w:p w:rsidR="002C6D31" w:rsidRDefault="002C6D31">
      <w:pPr>
        <w:pStyle w:val="FootnoteText"/>
      </w:pPr>
      <w:r>
        <w:rPr>
          <w:rStyle w:val="FootnoteReference"/>
        </w:rPr>
        <w:footnoteRef/>
      </w:r>
      <w:r>
        <w:t xml:space="preserve"> </w:t>
      </w:r>
      <w:r>
        <w:tab/>
        <w:t xml:space="preserve">NER, </w:t>
      </w:r>
      <w:proofErr w:type="gramStart"/>
      <w:r>
        <w:t>S6.2.1(</w:t>
      </w:r>
      <w:proofErr w:type="gramEnd"/>
      <w:r>
        <w:t>e)(1)(</w:t>
      </w:r>
      <w:proofErr w:type="spellStart"/>
      <w:r>
        <w:t>i</w:t>
      </w:r>
      <w:proofErr w:type="spellEnd"/>
      <w:r>
        <w:t>).</w:t>
      </w:r>
    </w:p>
  </w:footnote>
  <w:footnote w:id="6">
    <w:p w:rsidR="002C6D31" w:rsidRDefault="002C6D31" w:rsidP="002173EC">
      <w:pPr>
        <w:pStyle w:val="FootnoteText"/>
      </w:pPr>
      <w:r>
        <w:rPr>
          <w:rStyle w:val="FootnoteReference"/>
        </w:rPr>
        <w:footnoteRef/>
      </w:r>
      <w:r>
        <w:t xml:space="preserve"> </w:t>
      </w:r>
      <w:r>
        <w:tab/>
        <w:t>Essential Energy</w:t>
      </w:r>
      <w:r w:rsidRPr="004F0259">
        <w:t xml:space="preserve">, </w:t>
      </w:r>
      <w:r w:rsidRPr="004F0259">
        <w:rPr>
          <w:rStyle w:val="AERtextitalic"/>
        </w:rPr>
        <w:t>Revised regulatory proposal</w:t>
      </w:r>
      <w:r w:rsidRPr="004F0259">
        <w:t xml:space="preserve">, </w:t>
      </w:r>
      <w:r>
        <w:t>20</w:t>
      </w:r>
      <w:r w:rsidRPr="004F0259">
        <w:t xml:space="preserve"> </w:t>
      </w:r>
      <w:r>
        <w:t>January</w:t>
      </w:r>
      <w:r w:rsidRPr="004F0259">
        <w:t xml:space="preserve"> 2014, </w:t>
      </w:r>
      <w:r>
        <w:t>pp. 85–86.</w:t>
      </w:r>
    </w:p>
  </w:footnote>
  <w:footnote w:id="7">
    <w:p w:rsidR="002C6D31" w:rsidRDefault="002C6D31">
      <w:pPr>
        <w:pStyle w:val="FootnoteText"/>
      </w:pPr>
      <w:r>
        <w:rPr>
          <w:rStyle w:val="FootnoteReference"/>
        </w:rPr>
        <w:footnoteRef/>
      </w:r>
      <w:r>
        <w:t xml:space="preserve"> </w:t>
      </w:r>
      <w:r>
        <w:tab/>
        <w:t xml:space="preserve">NER, </w:t>
      </w:r>
      <w:proofErr w:type="gramStart"/>
      <w:r>
        <w:t>S6.2.1(</w:t>
      </w:r>
      <w:proofErr w:type="gramEnd"/>
      <w:r>
        <w:t>e)(1)(</w:t>
      </w:r>
      <w:proofErr w:type="spellStart"/>
      <w:r>
        <w:t>i</w:t>
      </w:r>
      <w:proofErr w:type="spellEnd"/>
      <w:r>
        <w:t>).</w:t>
      </w:r>
    </w:p>
  </w:footnote>
  <w:footnote w:id="8">
    <w:p w:rsidR="002C6D31" w:rsidRDefault="002C6D31" w:rsidP="00FA12BB">
      <w:pPr>
        <w:pStyle w:val="FootnoteText"/>
      </w:pPr>
      <w:r>
        <w:rPr>
          <w:rStyle w:val="FootnoteReference"/>
        </w:rPr>
        <w:footnoteRef/>
      </w:r>
      <w:r>
        <w:t xml:space="preserve"> </w:t>
      </w:r>
      <w:r>
        <w:tab/>
      </w:r>
      <w:r w:rsidRPr="00047FB1">
        <w:t xml:space="preserve">AER, </w:t>
      </w:r>
      <w:r w:rsidRPr="00FB5D0F">
        <w:rPr>
          <w:rStyle w:val="AERtextitalic"/>
        </w:rPr>
        <w:t xml:space="preserve">Final decision: </w:t>
      </w:r>
      <w:proofErr w:type="spellStart"/>
      <w:r w:rsidRPr="00FB5D0F">
        <w:rPr>
          <w:rStyle w:val="AERtextitalic"/>
        </w:rPr>
        <w:t>ElectraNet</w:t>
      </w:r>
      <w:proofErr w:type="spellEnd"/>
      <w:r w:rsidRPr="00FB5D0F">
        <w:rPr>
          <w:rStyle w:val="AERtextitalic"/>
        </w:rPr>
        <w:t xml:space="preserve"> transmission determination 2013–14 to 2017–18</w:t>
      </w:r>
      <w:r w:rsidRPr="00047FB1">
        <w:t>,</w:t>
      </w:r>
      <w:r>
        <w:t xml:space="preserve"> April 2013, pp. 196–202. </w:t>
      </w:r>
      <w:r w:rsidRPr="00C40F24">
        <w:t xml:space="preserve">For an earlier example of the AER's considerations on this matter refer to: AER, </w:t>
      </w:r>
      <w:r w:rsidRPr="00C40F24">
        <w:rPr>
          <w:rStyle w:val="AERtextitalic"/>
        </w:rPr>
        <w:t>Draft decision: Draft Distribution Determination Aurora Energy Pty Ltd, 2012–13 to 2016–17,</w:t>
      </w:r>
      <w:r w:rsidRPr="00C40F24">
        <w:t xml:space="preserve"> November 2011, pp. 197-201.</w:t>
      </w:r>
    </w:p>
  </w:footnote>
  <w:footnote w:id="9">
    <w:p w:rsidR="002C6D31" w:rsidRDefault="002C6D31">
      <w:pPr>
        <w:pStyle w:val="FootnoteText"/>
      </w:pPr>
      <w:r>
        <w:rPr>
          <w:rStyle w:val="FootnoteReference"/>
        </w:rPr>
        <w:footnoteRef/>
      </w:r>
      <w:r>
        <w:t xml:space="preserve"> </w:t>
      </w:r>
      <w:r>
        <w:tab/>
      </w:r>
      <w:r w:rsidRPr="00CE069B">
        <w:t xml:space="preserve">NER, clause </w:t>
      </w:r>
      <w:proofErr w:type="gramStart"/>
      <w:r w:rsidRPr="00CE069B">
        <w:t>S6A.2.1(</w:t>
      </w:r>
      <w:proofErr w:type="gramEnd"/>
      <w:r w:rsidRPr="00CE069B">
        <w:t>f)(3).</w:t>
      </w:r>
      <w:r>
        <w:t xml:space="preserve"> </w:t>
      </w:r>
      <w:r w:rsidRPr="00C40F24">
        <w:t xml:space="preserve">Relevant High Court considerations are discussed in the </w:t>
      </w:r>
      <w:proofErr w:type="spellStart"/>
      <w:r w:rsidRPr="00C40F24">
        <w:t>ElectraNet</w:t>
      </w:r>
      <w:proofErr w:type="spellEnd"/>
      <w:r w:rsidRPr="00C40F24">
        <w:t xml:space="preserve"> final decision. AER, </w:t>
      </w:r>
      <w:r w:rsidRPr="00C40F24">
        <w:rPr>
          <w:rStyle w:val="AERtextitalic"/>
        </w:rPr>
        <w:t xml:space="preserve">Final decision: </w:t>
      </w:r>
      <w:proofErr w:type="spellStart"/>
      <w:r w:rsidRPr="00C40F24">
        <w:rPr>
          <w:rStyle w:val="AERtextitalic"/>
        </w:rPr>
        <w:t>ElectraNet</w:t>
      </w:r>
      <w:proofErr w:type="spellEnd"/>
      <w:r w:rsidRPr="00C40F24">
        <w:rPr>
          <w:rStyle w:val="AERtextitalic"/>
        </w:rPr>
        <w:t xml:space="preserve"> transmission determination 2013–14 to 2017–18, </w:t>
      </w:r>
      <w:r w:rsidRPr="00C40F24">
        <w:t>April 2013, pp. 197–198.</w:t>
      </w:r>
    </w:p>
  </w:footnote>
  <w:footnote w:id="10">
    <w:p w:rsidR="002C6D31" w:rsidRDefault="002C6D31">
      <w:pPr>
        <w:pStyle w:val="FootnoteText"/>
      </w:pPr>
      <w:r>
        <w:rPr>
          <w:rStyle w:val="FootnoteReference"/>
        </w:rPr>
        <w:footnoteRef/>
      </w:r>
      <w:r>
        <w:t xml:space="preserve"> </w:t>
      </w:r>
      <w:r>
        <w:tab/>
      </w:r>
      <w:r w:rsidRPr="00A57435">
        <w:t xml:space="preserve">AER, </w:t>
      </w:r>
      <w:r w:rsidRPr="000F65EE">
        <w:rPr>
          <w:rStyle w:val="AERtextitalic"/>
        </w:rPr>
        <w:t xml:space="preserve">Final decision: </w:t>
      </w:r>
      <w:proofErr w:type="spellStart"/>
      <w:r w:rsidRPr="000F65EE">
        <w:rPr>
          <w:rStyle w:val="AERtextitalic"/>
        </w:rPr>
        <w:t>ElectraNet</w:t>
      </w:r>
      <w:proofErr w:type="spellEnd"/>
      <w:r w:rsidRPr="000F65EE">
        <w:rPr>
          <w:rStyle w:val="AERtextitalic"/>
        </w:rPr>
        <w:t xml:space="preserve"> transmission determination 2013–14 to 2017–18</w:t>
      </w:r>
      <w:r>
        <w:t>, April 2013, pp. 198–199</w:t>
      </w:r>
      <w:r w:rsidRPr="00A57435">
        <w:t>.</w:t>
      </w:r>
    </w:p>
  </w:footnote>
  <w:footnote w:id="11">
    <w:p w:rsidR="002C6D31" w:rsidRDefault="002C6D31" w:rsidP="004F0259">
      <w:pPr>
        <w:pStyle w:val="FootnoteText"/>
      </w:pPr>
      <w:r>
        <w:rPr>
          <w:rStyle w:val="FootnoteReference"/>
        </w:rPr>
        <w:footnoteRef/>
      </w:r>
      <w:r>
        <w:t xml:space="preserve"> </w:t>
      </w:r>
      <w:r>
        <w:tab/>
      </w:r>
      <w:proofErr w:type="gramStart"/>
      <w:r>
        <w:t>Essential Energy</w:t>
      </w:r>
      <w:r w:rsidRPr="004F0259">
        <w:t xml:space="preserve">, </w:t>
      </w:r>
      <w:r w:rsidRPr="004F0259">
        <w:rPr>
          <w:rStyle w:val="AERtextitalic"/>
        </w:rPr>
        <w:t xml:space="preserve">Supplementary Submission on draft decision </w:t>
      </w:r>
      <w:r>
        <w:rPr>
          <w:rStyle w:val="AERtextitalic"/>
        </w:rPr>
        <w:t>- AER treatment of provisions</w:t>
      </w:r>
      <w:r w:rsidRPr="004F0259">
        <w:rPr>
          <w:rStyle w:val="AERtextitalic"/>
          <w:i w:val="0"/>
        </w:rPr>
        <w:t>, 13 February 2015</w:t>
      </w:r>
      <w:r w:rsidRPr="004F0259">
        <w:t xml:space="preserve">, </w:t>
      </w:r>
      <w:r>
        <w:t>pp. 4–8.</w:t>
      </w:r>
      <w:proofErr w:type="gramEnd"/>
    </w:p>
  </w:footnote>
  <w:footnote w:id="12">
    <w:p w:rsidR="002C6D31" w:rsidRDefault="002C6D31" w:rsidP="00B84ACC">
      <w:pPr>
        <w:pStyle w:val="FootnoteText"/>
      </w:pPr>
      <w:r>
        <w:rPr>
          <w:rStyle w:val="FootnoteReference"/>
        </w:rPr>
        <w:footnoteRef/>
      </w:r>
      <w:r>
        <w:t xml:space="preserve"> </w:t>
      </w:r>
      <w:r>
        <w:tab/>
      </w:r>
      <w:proofErr w:type="gramStart"/>
      <w:r>
        <w:t>Essential Energy</w:t>
      </w:r>
      <w:r w:rsidRPr="004F0259">
        <w:t xml:space="preserve">, </w:t>
      </w:r>
      <w:r w:rsidRPr="004F0259">
        <w:rPr>
          <w:rStyle w:val="AERtextitalic"/>
        </w:rPr>
        <w:t xml:space="preserve">Supplementary Submission on draft decision </w:t>
      </w:r>
      <w:r>
        <w:rPr>
          <w:rStyle w:val="AERtextitalic"/>
        </w:rPr>
        <w:t>- AER treatment of provisions</w:t>
      </w:r>
      <w:r w:rsidRPr="004F0259">
        <w:rPr>
          <w:rStyle w:val="AERtextitalic"/>
          <w:i w:val="0"/>
        </w:rPr>
        <w:t>, 13 February 2015</w:t>
      </w:r>
      <w:r w:rsidRPr="00BB5B62">
        <w:rPr>
          <w:rStyle w:val="AERtextitalic"/>
          <w:i w:val="0"/>
        </w:rPr>
        <w:t xml:space="preserve">, </w:t>
      </w:r>
      <w:r w:rsidRPr="00443FE7">
        <w:rPr>
          <w:rStyle w:val="AERtextitalic"/>
          <w:i w:val="0"/>
        </w:rPr>
        <w:t xml:space="preserve">pp. </w:t>
      </w:r>
      <w:r w:rsidRPr="00FE2D72">
        <w:rPr>
          <w:rStyle w:val="AERtextitalic"/>
          <w:i w:val="0"/>
        </w:rPr>
        <w:t>7</w:t>
      </w:r>
      <w:r w:rsidRPr="00B84ACC">
        <w:t>.</w:t>
      </w:r>
      <w:proofErr w:type="gramEnd"/>
    </w:p>
  </w:footnote>
  <w:footnote w:id="13">
    <w:p w:rsidR="002C6D31" w:rsidRPr="006A1A89" w:rsidRDefault="002C6D31" w:rsidP="00376D68">
      <w:pPr>
        <w:pStyle w:val="FootnoteText"/>
      </w:pPr>
      <w:r>
        <w:rPr>
          <w:rStyle w:val="FootnoteReference"/>
        </w:rPr>
        <w:footnoteRef/>
      </w:r>
      <w:r>
        <w:t xml:space="preserve"> </w:t>
      </w:r>
      <w:r>
        <w:tab/>
        <w:t>PIAC,</w:t>
      </w:r>
      <w:r w:rsidRPr="00376D68">
        <w:t xml:space="preserve"> </w:t>
      </w:r>
      <w:r w:rsidRPr="000F65EE">
        <w:rPr>
          <w:rStyle w:val="AERtextitalic"/>
        </w:rPr>
        <w:t>Submission on NSW draft decisions</w:t>
      </w:r>
      <w:r>
        <w:t xml:space="preserve">, </w:t>
      </w:r>
      <w:r w:rsidRPr="00376D68">
        <w:t>14 February 2015</w:t>
      </w:r>
      <w:r>
        <w:t>, p. 60–61; Cotton Australia,</w:t>
      </w:r>
      <w:r w:rsidRPr="00376D68">
        <w:t xml:space="preserve"> </w:t>
      </w:r>
      <w:r w:rsidRPr="000F65EE">
        <w:rPr>
          <w:rStyle w:val="AERtextitalic"/>
        </w:rPr>
        <w:t>Submission on Essential Energy draft decision</w:t>
      </w:r>
      <w:r>
        <w:t>,</w:t>
      </w:r>
      <w:r w:rsidRPr="00376D68">
        <w:t xml:space="preserve"> 13 February 2015</w:t>
      </w:r>
      <w:r>
        <w:t xml:space="preserve">, p.10–11; </w:t>
      </w:r>
      <w:r w:rsidRPr="00376D68">
        <w:t>NSW Irrigators Council</w:t>
      </w:r>
      <w:r>
        <w:t>,</w:t>
      </w:r>
      <w:r w:rsidRPr="00376D68">
        <w:t xml:space="preserve"> </w:t>
      </w:r>
      <w:r w:rsidRPr="000F65EE">
        <w:rPr>
          <w:rStyle w:val="AERtextitalic"/>
        </w:rPr>
        <w:t>Submission on Essential Energy draft decision</w:t>
      </w:r>
      <w:r>
        <w:t>,</w:t>
      </w:r>
      <w:r w:rsidRPr="00376D68">
        <w:t xml:space="preserve"> 13 February 2015</w:t>
      </w:r>
      <w:r>
        <w:t>, p. 10–11</w:t>
      </w:r>
      <w:r w:rsidRPr="006A1A89">
        <w:rPr>
          <w:rStyle w:val="AERtextitalic"/>
          <w:i w:val="0"/>
        </w:rPr>
        <w:t>.</w:t>
      </w:r>
    </w:p>
  </w:footnote>
  <w:footnote w:id="14">
    <w:p w:rsidR="002C6D31" w:rsidRDefault="002C6D31" w:rsidP="0066691D">
      <w:pPr>
        <w:pStyle w:val="FootnoteText"/>
      </w:pPr>
      <w:r>
        <w:rPr>
          <w:rStyle w:val="FootnoteReference"/>
        </w:rPr>
        <w:footnoteRef/>
      </w:r>
      <w:r>
        <w:t xml:space="preserve"> </w:t>
      </w:r>
      <w:r>
        <w:tab/>
      </w:r>
      <w:proofErr w:type="gramStart"/>
      <w:r>
        <w:t>NER, cl. 11.56.5.</w:t>
      </w:r>
      <w:proofErr w:type="gramEnd"/>
    </w:p>
  </w:footnote>
  <w:footnote w:id="15">
    <w:p w:rsidR="002C6D31" w:rsidRDefault="002C6D31" w:rsidP="00376D68">
      <w:pPr>
        <w:pStyle w:val="FootnoteText"/>
      </w:pPr>
      <w:r>
        <w:rPr>
          <w:rStyle w:val="FootnoteReference"/>
        </w:rPr>
        <w:footnoteRef/>
      </w:r>
      <w:r>
        <w:t xml:space="preserve"> </w:t>
      </w:r>
      <w:r>
        <w:tab/>
        <w:t xml:space="preserve">Under the NER, cl S6.2.2A(b), the exclusion of </w:t>
      </w:r>
      <w:r w:rsidRPr="00166EE4">
        <w:t>inefficient</w:t>
      </w:r>
      <w:r>
        <w:t xml:space="preserve"> capex could only come from three areas including overspend in capex , margin paid to third party and capitalisation of </w:t>
      </w:r>
      <w:proofErr w:type="spellStart"/>
      <w:r>
        <w:t>opex</w:t>
      </w:r>
      <w:proofErr w:type="spellEnd"/>
      <w:r>
        <w:t xml:space="preserve"> as defined in cl S6.2.2A(c), (d) and (e) of the NER. </w:t>
      </w:r>
    </w:p>
  </w:footnote>
  <w:footnote w:id="16">
    <w:p w:rsidR="002C6D31" w:rsidRDefault="002C6D31" w:rsidP="00376D68">
      <w:pPr>
        <w:pStyle w:val="FootnoteText"/>
      </w:pPr>
      <w:r>
        <w:rPr>
          <w:rStyle w:val="FootnoteReference"/>
        </w:rPr>
        <w:footnoteRef/>
      </w:r>
      <w:r>
        <w:t xml:space="preserve"> </w:t>
      </w:r>
      <w:r>
        <w:tab/>
      </w:r>
      <w:proofErr w:type="gramStart"/>
      <w:r>
        <w:t xml:space="preserve">AER, </w:t>
      </w:r>
      <w:r w:rsidRPr="00105346">
        <w:rPr>
          <w:rStyle w:val="AERtextitalic"/>
        </w:rPr>
        <w:t xml:space="preserve">Capital </w:t>
      </w:r>
      <w:r>
        <w:rPr>
          <w:rStyle w:val="AERtextitalic"/>
        </w:rPr>
        <w:t>e</w:t>
      </w:r>
      <w:r w:rsidRPr="00105346">
        <w:rPr>
          <w:rStyle w:val="AERtextitalic"/>
        </w:rPr>
        <w:t xml:space="preserve">xpenditure Incentive </w:t>
      </w:r>
      <w:r>
        <w:rPr>
          <w:rStyle w:val="AERtextitalic"/>
        </w:rPr>
        <w:t>g</w:t>
      </w:r>
      <w:r w:rsidRPr="00105346">
        <w:rPr>
          <w:rStyle w:val="AERtextitalic"/>
        </w:rPr>
        <w:t>uideline</w:t>
      </w:r>
      <w:r>
        <w:t>, November 2013, pp. 12–20.</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6EFAD888"/>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8"/>
    <w:lvlOverride w:ilvl="0">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3X3OtQ85/zCNfsbt8+3d4vd3z/vUfoXGlQ7myIu6rZg=" w:saltValue="08dtnNaKGsGsNoXimYBcUg==" w:algorithmName="SHA-256"/>
  <w:defaultTabStop w:val="34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384\AER15 364  AER - Final Decision Essential Energy distribution determination - Attachment 2 - Regulatory asset base - April 2015.DOCX"/>
  </w:docVars>
  <w:rsids>
    <w:rsidRoot w:val="00961A4A"/>
    <w:rsid w:val="00007B72"/>
    <w:rsid w:val="00021202"/>
    <w:rsid w:val="00021C2B"/>
    <w:rsid w:val="0002517F"/>
    <w:rsid w:val="000334E1"/>
    <w:rsid w:val="0003578C"/>
    <w:rsid w:val="00035D75"/>
    <w:rsid w:val="00047FB1"/>
    <w:rsid w:val="00063247"/>
    <w:rsid w:val="00070F9F"/>
    <w:rsid w:val="0007137B"/>
    <w:rsid w:val="00075C72"/>
    <w:rsid w:val="00085663"/>
    <w:rsid w:val="00085EBF"/>
    <w:rsid w:val="00091B15"/>
    <w:rsid w:val="00094E2F"/>
    <w:rsid w:val="000A3020"/>
    <w:rsid w:val="000A5C9D"/>
    <w:rsid w:val="000A6C7B"/>
    <w:rsid w:val="000B5900"/>
    <w:rsid w:val="000C2B40"/>
    <w:rsid w:val="000D084F"/>
    <w:rsid w:val="000D122C"/>
    <w:rsid w:val="000D3DC9"/>
    <w:rsid w:val="000E1819"/>
    <w:rsid w:val="000E4821"/>
    <w:rsid w:val="000E6C72"/>
    <w:rsid w:val="000F65EE"/>
    <w:rsid w:val="00116350"/>
    <w:rsid w:val="00116EB2"/>
    <w:rsid w:val="00124609"/>
    <w:rsid w:val="00126A4C"/>
    <w:rsid w:val="0014573B"/>
    <w:rsid w:val="00153583"/>
    <w:rsid w:val="001573E4"/>
    <w:rsid w:val="00160756"/>
    <w:rsid w:val="0017232E"/>
    <w:rsid w:val="00174102"/>
    <w:rsid w:val="001754EE"/>
    <w:rsid w:val="00180157"/>
    <w:rsid w:val="00181950"/>
    <w:rsid w:val="00185CB9"/>
    <w:rsid w:val="00186F77"/>
    <w:rsid w:val="001926A4"/>
    <w:rsid w:val="00192AD5"/>
    <w:rsid w:val="001B45A0"/>
    <w:rsid w:val="001D050B"/>
    <w:rsid w:val="001D055E"/>
    <w:rsid w:val="001F05A4"/>
    <w:rsid w:val="001F4793"/>
    <w:rsid w:val="001F492E"/>
    <w:rsid w:val="001F6DA3"/>
    <w:rsid w:val="002010BC"/>
    <w:rsid w:val="002016E7"/>
    <w:rsid w:val="00202E03"/>
    <w:rsid w:val="0020492C"/>
    <w:rsid w:val="002173EC"/>
    <w:rsid w:val="002201A3"/>
    <w:rsid w:val="00224DB9"/>
    <w:rsid w:val="00227935"/>
    <w:rsid w:val="00233775"/>
    <w:rsid w:val="00251745"/>
    <w:rsid w:val="00263780"/>
    <w:rsid w:val="00263AC0"/>
    <w:rsid w:val="00264264"/>
    <w:rsid w:val="0026772D"/>
    <w:rsid w:val="00281EBD"/>
    <w:rsid w:val="00286874"/>
    <w:rsid w:val="00290C63"/>
    <w:rsid w:val="00295249"/>
    <w:rsid w:val="00296B65"/>
    <w:rsid w:val="002A7AB8"/>
    <w:rsid w:val="002A7DEF"/>
    <w:rsid w:val="002C233C"/>
    <w:rsid w:val="002C6D31"/>
    <w:rsid w:val="002D72E8"/>
    <w:rsid w:val="002E7B22"/>
    <w:rsid w:val="002F56B7"/>
    <w:rsid w:val="002F7986"/>
    <w:rsid w:val="00301B40"/>
    <w:rsid w:val="003029EE"/>
    <w:rsid w:val="00303336"/>
    <w:rsid w:val="00305CC8"/>
    <w:rsid w:val="00307F6D"/>
    <w:rsid w:val="003177A2"/>
    <w:rsid w:val="003271B5"/>
    <w:rsid w:val="00327A1E"/>
    <w:rsid w:val="00331264"/>
    <w:rsid w:val="00334C8D"/>
    <w:rsid w:val="00343A18"/>
    <w:rsid w:val="003518B3"/>
    <w:rsid w:val="00376D68"/>
    <w:rsid w:val="003846F1"/>
    <w:rsid w:val="003944D2"/>
    <w:rsid w:val="003B125E"/>
    <w:rsid w:val="003B484F"/>
    <w:rsid w:val="003B7FBA"/>
    <w:rsid w:val="003F174D"/>
    <w:rsid w:val="003F5C90"/>
    <w:rsid w:val="003F60B4"/>
    <w:rsid w:val="00401246"/>
    <w:rsid w:val="0040762C"/>
    <w:rsid w:val="00415F31"/>
    <w:rsid w:val="00423A77"/>
    <w:rsid w:val="0043444D"/>
    <w:rsid w:val="0043741B"/>
    <w:rsid w:val="00443FE7"/>
    <w:rsid w:val="0045777E"/>
    <w:rsid w:val="00480B4B"/>
    <w:rsid w:val="00485DC4"/>
    <w:rsid w:val="004A43D1"/>
    <w:rsid w:val="004B4412"/>
    <w:rsid w:val="004C348C"/>
    <w:rsid w:val="004D55BA"/>
    <w:rsid w:val="004E22EC"/>
    <w:rsid w:val="004F0259"/>
    <w:rsid w:val="004F6A0E"/>
    <w:rsid w:val="0052188A"/>
    <w:rsid w:val="00530128"/>
    <w:rsid w:val="00532467"/>
    <w:rsid w:val="00564A4D"/>
    <w:rsid w:val="00567BA5"/>
    <w:rsid w:val="00571B35"/>
    <w:rsid w:val="00571D57"/>
    <w:rsid w:val="00577A09"/>
    <w:rsid w:val="005829C2"/>
    <w:rsid w:val="00584D8F"/>
    <w:rsid w:val="005A404D"/>
    <w:rsid w:val="005B1E3C"/>
    <w:rsid w:val="005B704A"/>
    <w:rsid w:val="005C21A4"/>
    <w:rsid w:val="005C26CC"/>
    <w:rsid w:val="005C4066"/>
    <w:rsid w:val="005D34F3"/>
    <w:rsid w:val="005D7BA2"/>
    <w:rsid w:val="005E36C2"/>
    <w:rsid w:val="00610EF9"/>
    <w:rsid w:val="00612F4F"/>
    <w:rsid w:val="00615C6B"/>
    <w:rsid w:val="00621DCE"/>
    <w:rsid w:val="00632D6D"/>
    <w:rsid w:val="00636C8C"/>
    <w:rsid w:val="00642C3E"/>
    <w:rsid w:val="00651A9F"/>
    <w:rsid w:val="0066104A"/>
    <w:rsid w:val="00663DAD"/>
    <w:rsid w:val="0066691D"/>
    <w:rsid w:val="00675E20"/>
    <w:rsid w:val="00676679"/>
    <w:rsid w:val="00683C89"/>
    <w:rsid w:val="00685726"/>
    <w:rsid w:val="006B2395"/>
    <w:rsid w:val="006B4CF9"/>
    <w:rsid w:val="006B7AC8"/>
    <w:rsid w:val="006C1736"/>
    <w:rsid w:val="006D1273"/>
    <w:rsid w:val="006D550F"/>
    <w:rsid w:val="0070011E"/>
    <w:rsid w:val="00701CAB"/>
    <w:rsid w:val="00707563"/>
    <w:rsid w:val="0072348C"/>
    <w:rsid w:val="00724A37"/>
    <w:rsid w:val="007303C3"/>
    <w:rsid w:val="007429BE"/>
    <w:rsid w:val="00743223"/>
    <w:rsid w:val="00746E01"/>
    <w:rsid w:val="00752FE5"/>
    <w:rsid w:val="00757364"/>
    <w:rsid w:val="00757BDF"/>
    <w:rsid w:val="007609D0"/>
    <w:rsid w:val="00763E5D"/>
    <w:rsid w:val="00766170"/>
    <w:rsid w:val="00767740"/>
    <w:rsid w:val="0077113C"/>
    <w:rsid w:val="00777EE6"/>
    <w:rsid w:val="00782EEA"/>
    <w:rsid w:val="0078781A"/>
    <w:rsid w:val="007B186E"/>
    <w:rsid w:val="007B2C72"/>
    <w:rsid w:val="007C1C53"/>
    <w:rsid w:val="007C74BB"/>
    <w:rsid w:val="007D456E"/>
    <w:rsid w:val="007E4904"/>
    <w:rsid w:val="007E4CB5"/>
    <w:rsid w:val="007E6132"/>
    <w:rsid w:val="007F066B"/>
    <w:rsid w:val="008007FA"/>
    <w:rsid w:val="00801B2F"/>
    <w:rsid w:val="008033C4"/>
    <w:rsid w:val="00806C88"/>
    <w:rsid w:val="0081034E"/>
    <w:rsid w:val="00820575"/>
    <w:rsid w:val="008344F6"/>
    <w:rsid w:val="0083510F"/>
    <w:rsid w:val="00851209"/>
    <w:rsid w:val="0086189E"/>
    <w:rsid w:val="008709EA"/>
    <w:rsid w:val="008837AC"/>
    <w:rsid w:val="008A587D"/>
    <w:rsid w:val="008B35CD"/>
    <w:rsid w:val="008B5FCC"/>
    <w:rsid w:val="008C3062"/>
    <w:rsid w:val="008C5486"/>
    <w:rsid w:val="008D1661"/>
    <w:rsid w:val="008D6800"/>
    <w:rsid w:val="008E7031"/>
    <w:rsid w:val="008E77DE"/>
    <w:rsid w:val="008F07A3"/>
    <w:rsid w:val="009001B6"/>
    <w:rsid w:val="00900E1B"/>
    <w:rsid w:val="00921CA9"/>
    <w:rsid w:val="009233EE"/>
    <w:rsid w:val="009460AA"/>
    <w:rsid w:val="009477A6"/>
    <w:rsid w:val="00951978"/>
    <w:rsid w:val="00961A4A"/>
    <w:rsid w:val="009661DE"/>
    <w:rsid w:val="00982EA4"/>
    <w:rsid w:val="00983C25"/>
    <w:rsid w:val="009856B7"/>
    <w:rsid w:val="00985C86"/>
    <w:rsid w:val="00994C51"/>
    <w:rsid w:val="009A59A4"/>
    <w:rsid w:val="009A5FC3"/>
    <w:rsid w:val="009B6F84"/>
    <w:rsid w:val="009B74B0"/>
    <w:rsid w:val="009C568E"/>
    <w:rsid w:val="009D3906"/>
    <w:rsid w:val="009D6B46"/>
    <w:rsid w:val="009E7244"/>
    <w:rsid w:val="009E7E1E"/>
    <w:rsid w:val="009F4940"/>
    <w:rsid w:val="009F5BA1"/>
    <w:rsid w:val="00A02A88"/>
    <w:rsid w:val="00A05371"/>
    <w:rsid w:val="00A0562E"/>
    <w:rsid w:val="00A0726D"/>
    <w:rsid w:val="00A2570C"/>
    <w:rsid w:val="00A32FBB"/>
    <w:rsid w:val="00A428EE"/>
    <w:rsid w:val="00A4478A"/>
    <w:rsid w:val="00A44852"/>
    <w:rsid w:val="00A50502"/>
    <w:rsid w:val="00A57435"/>
    <w:rsid w:val="00A57D04"/>
    <w:rsid w:val="00A60A26"/>
    <w:rsid w:val="00A61598"/>
    <w:rsid w:val="00A84A99"/>
    <w:rsid w:val="00A84F46"/>
    <w:rsid w:val="00A871F4"/>
    <w:rsid w:val="00AC1B2C"/>
    <w:rsid w:val="00AC3264"/>
    <w:rsid w:val="00AE1BF1"/>
    <w:rsid w:val="00AE2088"/>
    <w:rsid w:val="00AF0DD2"/>
    <w:rsid w:val="00B060D6"/>
    <w:rsid w:val="00B13048"/>
    <w:rsid w:val="00B1716D"/>
    <w:rsid w:val="00B17A1D"/>
    <w:rsid w:val="00B207A0"/>
    <w:rsid w:val="00B514DD"/>
    <w:rsid w:val="00B52AF0"/>
    <w:rsid w:val="00B561BD"/>
    <w:rsid w:val="00B56E03"/>
    <w:rsid w:val="00B6341A"/>
    <w:rsid w:val="00B8080B"/>
    <w:rsid w:val="00B82223"/>
    <w:rsid w:val="00B84A39"/>
    <w:rsid w:val="00B84ACC"/>
    <w:rsid w:val="00B87BA5"/>
    <w:rsid w:val="00B87C39"/>
    <w:rsid w:val="00B9562D"/>
    <w:rsid w:val="00BA4665"/>
    <w:rsid w:val="00BB2FB2"/>
    <w:rsid w:val="00BB3304"/>
    <w:rsid w:val="00BB5B62"/>
    <w:rsid w:val="00BC3FB9"/>
    <w:rsid w:val="00BD3446"/>
    <w:rsid w:val="00BD66BB"/>
    <w:rsid w:val="00BE1F1B"/>
    <w:rsid w:val="00BE47B5"/>
    <w:rsid w:val="00C25FA6"/>
    <w:rsid w:val="00C347DF"/>
    <w:rsid w:val="00C40F24"/>
    <w:rsid w:val="00C4466F"/>
    <w:rsid w:val="00C46166"/>
    <w:rsid w:val="00C538A9"/>
    <w:rsid w:val="00C53B5A"/>
    <w:rsid w:val="00C54F5A"/>
    <w:rsid w:val="00C569B4"/>
    <w:rsid w:val="00C6447C"/>
    <w:rsid w:val="00C67A92"/>
    <w:rsid w:val="00C84560"/>
    <w:rsid w:val="00C86679"/>
    <w:rsid w:val="00CA489E"/>
    <w:rsid w:val="00CB0279"/>
    <w:rsid w:val="00CB666B"/>
    <w:rsid w:val="00CC23D4"/>
    <w:rsid w:val="00CC7F1D"/>
    <w:rsid w:val="00CD46BF"/>
    <w:rsid w:val="00CE069B"/>
    <w:rsid w:val="00CE484B"/>
    <w:rsid w:val="00CF0DEE"/>
    <w:rsid w:val="00D006AE"/>
    <w:rsid w:val="00D01CF0"/>
    <w:rsid w:val="00D0442A"/>
    <w:rsid w:val="00D06AE6"/>
    <w:rsid w:val="00D32DCD"/>
    <w:rsid w:val="00D61388"/>
    <w:rsid w:val="00D61A54"/>
    <w:rsid w:val="00D64DEA"/>
    <w:rsid w:val="00D7168E"/>
    <w:rsid w:val="00D71E57"/>
    <w:rsid w:val="00D80893"/>
    <w:rsid w:val="00D84854"/>
    <w:rsid w:val="00D92CF1"/>
    <w:rsid w:val="00D92D38"/>
    <w:rsid w:val="00D950F5"/>
    <w:rsid w:val="00DA4752"/>
    <w:rsid w:val="00DA5D37"/>
    <w:rsid w:val="00DA61F3"/>
    <w:rsid w:val="00DB0F93"/>
    <w:rsid w:val="00DB1A67"/>
    <w:rsid w:val="00DB5074"/>
    <w:rsid w:val="00DC7981"/>
    <w:rsid w:val="00DE1093"/>
    <w:rsid w:val="00DE4EFA"/>
    <w:rsid w:val="00DE5520"/>
    <w:rsid w:val="00DE563D"/>
    <w:rsid w:val="00E04818"/>
    <w:rsid w:val="00E06442"/>
    <w:rsid w:val="00E23993"/>
    <w:rsid w:val="00E25B8C"/>
    <w:rsid w:val="00E35CC1"/>
    <w:rsid w:val="00E4326F"/>
    <w:rsid w:val="00E65C85"/>
    <w:rsid w:val="00E66199"/>
    <w:rsid w:val="00E755EC"/>
    <w:rsid w:val="00E7624D"/>
    <w:rsid w:val="00EA3D42"/>
    <w:rsid w:val="00EA6B1B"/>
    <w:rsid w:val="00EB4B6F"/>
    <w:rsid w:val="00EC04F1"/>
    <w:rsid w:val="00ED7323"/>
    <w:rsid w:val="00EE28F3"/>
    <w:rsid w:val="00EE50D1"/>
    <w:rsid w:val="00EF5110"/>
    <w:rsid w:val="00F10411"/>
    <w:rsid w:val="00F15882"/>
    <w:rsid w:val="00F171E0"/>
    <w:rsid w:val="00F20BD3"/>
    <w:rsid w:val="00F2243A"/>
    <w:rsid w:val="00F321DA"/>
    <w:rsid w:val="00F373A5"/>
    <w:rsid w:val="00F47559"/>
    <w:rsid w:val="00F64C7B"/>
    <w:rsid w:val="00F676DD"/>
    <w:rsid w:val="00F75A26"/>
    <w:rsid w:val="00F76706"/>
    <w:rsid w:val="00F83FAD"/>
    <w:rsid w:val="00F861C0"/>
    <w:rsid w:val="00F952A0"/>
    <w:rsid w:val="00F978BA"/>
    <w:rsid w:val="00FA0AAC"/>
    <w:rsid w:val="00FA12BB"/>
    <w:rsid w:val="00FA1519"/>
    <w:rsid w:val="00FA3C7F"/>
    <w:rsid w:val="00FB60FE"/>
    <w:rsid w:val="00FB74E2"/>
    <w:rsid w:val="00FC2C52"/>
    <w:rsid w:val="00FD5614"/>
    <w:rsid w:val="00FD5E78"/>
    <w:rsid w:val="00FE0BE1"/>
    <w:rsid w:val="00FE1DE9"/>
    <w:rsid w:val="00FE2D72"/>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5692">
      <w:bodyDiv w:val="1"/>
      <w:marLeft w:val="0"/>
      <w:marRight w:val="0"/>
      <w:marTop w:val="0"/>
      <w:marBottom w:val="0"/>
      <w:divBdr>
        <w:top w:val="none" w:sz="0" w:space="0" w:color="auto"/>
        <w:left w:val="none" w:sz="0" w:space="0" w:color="auto"/>
        <w:bottom w:val="none" w:sz="0" w:space="0" w:color="auto"/>
        <w:right w:val="none" w:sz="0" w:space="0" w:color="auto"/>
      </w:divBdr>
    </w:div>
    <w:div w:id="22495036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90759966">
      <w:bodyDiv w:val="1"/>
      <w:marLeft w:val="0"/>
      <w:marRight w:val="0"/>
      <w:marTop w:val="0"/>
      <w:marBottom w:val="0"/>
      <w:divBdr>
        <w:top w:val="none" w:sz="0" w:space="0" w:color="auto"/>
        <w:left w:val="none" w:sz="0" w:space="0" w:color="auto"/>
        <w:bottom w:val="none" w:sz="0" w:space="0" w:color="auto"/>
        <w:right w:val="none" w:sz="0" w:space="0" w:color="auto"/>
      </w:divBdr>
    </w:div>
    <w:div w:id="807430862">
      <w:bodyDiv w:val="1"/>
      <w:marLeft w:val="0"/>
      <w:marRight w:val="0"/>
      <w:marTop w:val="0"/>
      <w:marBottom w:val="0"/>
      <w:divBdr>
        <w:top w:val="none" w:sz="0" w:space="0" w:color="auto"/>
        <w:left w:val="none" w:sz="0" w:space="0" w:color="auto"/>
        <w:bottom w:val="none" w:sz="0" w:space="0" w:color="auto"/>
        <w:right w:val="none" w:sz="0" w:space="0" w:color="auto"/>
      </w:divBdr>
    </w:div>
    <w:div w:id="88684277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88384163">
      <w:bodyDiv w:val="1"/>
      <w:marLeft w:val="0"/>
      <w:marRight w:val="0"/>
      <w:marTop w:val="0"/>
      <w:marBottom w:val="0"/>
      <w:divBdr>
        <w:top w:val="none" w:sz="0" w:space="0" w:color="auto"/>
        <w:left w:val="none" w:sz="0" w:space="0" w:color="auto"/>
        <w:bottom w:val="none" w:sz="0" w:space="0" w:color="auto"/>
        <w:right w:val="none" w:sz="0" w:space="0" w:color="auto"/>
      </w:divBdr>
    </w:div>
    <w:div w:id="15864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29F0E263.dotm</Template>
  <TotalTime>0</TotalTime>
  <Pages>13</Pages>
  <Words>2722</Words>
  <Characters>15521</Characters>
  <Application>Microsoft Office Word</Application>
  <DocSecurity>0</DocSecurity>
  <Lines>129</Lines>
  <Paragraphs>36</Paragraphs>
  <ScaleCrop>false</ScaleCrop>
  <Company/>
  <LinksUpToDate>false</LinksUpToDate>
  <CharactersWithSpaces>18207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2015-04-27T07:30:00Z</dcterms:created>
  <dcterms:modified xsi:type="dcterms:W3CDTF">2015-04-27T07:30:00Z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