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1953F2D" wp14:editId="45A56C20">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5C21A4" w:rsidP="008F07A3">
          <w:pPr>
            <w:pStyle w:val="ReportSubtitle"/>
          </w:pPr>
          <w:r>
            <w:t>Essential Energy</w:t>
          </w:r>
          <w:r w:rsidR="0070011E">
            <w:t xml:space="preserve">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FB1463">
            <w:t>8</w:t>
          </w:r>
          <w:r w:rsidR="0069085A">
            <w:t xml:space="preserve"> –</w:t>
          </w:r>
          <w:r w:rsidR="002344AF">
            <w:t xml:space="preserve"> </w:t>
          </w:r>
          <w:r w:rsidR="00FB1463">
            <w:t>Corporate income tax</w:t>
          </w:r>
        </w:p>
        <w:p w:rsidR="000A6C7B" w:rsidRPr="00327A1E" w:rsidRDefault="00FB1463" w:rsidP="00FB1463">
          <w:pPr>
            <w:pStyle w:val="ReportDate"/>
            <w:tabs>
              <w:tab w:val="center" w:pos="4238"/>
              <w:tab w:val="left" w:pos="5670"/>
            </w:tabs>
            <w:jc w:val="left"/>
          </w:pPr>
          <w:r>
            <w:tab/>
          </w:r>
          <w:r w:rsidR="00DA4752">
            <w:t>April 2015</w:t>
          </w:r>
          <w:r>
            <w:tab/>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5C21A4" w:rsidP="00B9562D">
      <w:pPr>
        <w:pStyle w:val="Copyright"/>
      </w:pPr>
      <w:r>
        <w:t>AER reference:</w:t>
      </w:r>
      <w:r>
        <w:tab/>
        <w:t>54419</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4975747"/>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r w:rsidR="005C21A4">
        <w:t>Essential Energy</w:t>
      </w:r>
      <w:r w:rsidR="0070011E">
        <w:t>’</w:t>
      </w:r>
      <w:r w:rsidR="00415F31">
        <w:t>s revenue proposal 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Attachment 18 - Connection methodology</w:t>
      </w:r>
    </w:p>
    <w:p w:rsidR="00B85D5F" w:rsidRPr="00B85D5F" w:rsidRDefault="0070011E" w:rsidP="00B85D5F">
      <w:r>
        <w:t xml:space="preserve">Attachment 19 - </w:t>
      </w:r>
      <w:r w:rsidR="00B85D5F" w:rsidRPr="00B85D5F">
        <w:t>Analysis of Financial Viability</w:t>
      </w:r>
    </w:p>
    <w:p w:rsidR="008F07A3" w:rsidRPr="008F07A3" w:rsidRDefault="008F07A3" w:rsidP="00B85D5F">
      <w:p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4975748"/>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B1379F"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4975747" w:history="1">
            <w:r w:rsidR="00B1379F" w:rsidRPr="001C5E35">
              <w:rPr>
                <w:rStyle w:val="Hyperlink"/>
              </w:rPr>
              <w:t>Note</w:t>
            </w:r>
            <w:r w:rsidR="00B1379F">
              <w:rPr>
                <w:webHidden/>
              </w:rPr>
              <w:tab/>
            </w:r>
            <w:r w:rsidR="00B1379F">
              <w:rPr>
                <w:webHidden/>
              </w:rPr>
              <w:fldChar w:fldCharType="begin"/>
            </w:r>
            <w:r w:rsidR="00B1379F">
              <w:rPr>
                <w:webHidden/>
              </w:rPr>
              <w:instrText xml:space="preserve"> PAGEREF _Toc414975747 \h </w:instrText>
            </w:r>
            <w:r w:rsidR="00B1379F">
              <w:rPr>
                <w:webHidden/>
              </w:rPr>
            </w:r>
            <w:r w:rsidR="00B1379F">
              <w:rPr>
                <w:webHidden/>
              </w:rPr>
              <w:fldChar w:fldCharType="separate"/>
            </w:r>
            <w:r w:rsidR="004E7467">
              <w:rPr>
                <w:webHidden/>
              </w:rPr>
              <w:t>8-2</w:t>
            </w:r>
            <w:r w:rsidR="00B1379F">
              <w:rPr>
                <w:webHidden/>
              </w:rPr>
              <w:fldChar w:fldCharType="end"/>
            </w:r>
          </w:hyperlink>
        </w:p>
        <w:p w:rsidR="00B1379F" w:rsidRDefault="009C3E79">
          <w:pPr>
            <w:pStyle w:val="TOC1"/>
            <w:rPr>
              <w:rFonts w:asciiTheme="minorHAnsi" w:eastAsiaTheme="minorEastAsia" w:hAnsiTheme="minorHAnsi"/>
              <w:b w:val="0"/>
              <w:color w:val="auto"/>
              <w:sz w:val="22"/>
              <w:lang w:val="en-AU" w:eastAsia="en-AU"/>
            </w:rPr>
          </w:pPr>
          <w:hyperlink w:anchor="_Toc414975748" w:history="1">
            <w:r w:rsidR="00B1379F" w:rsidRPr="001C5E35">
              <w:rPr>
                <w:rStyle w:val="Hyperlink"/>
              </w:rPr>
              <w:t>Contents</w:t>
            </w:r>
            <w:r w:rsidR="00B1379F">
              <w:rPr>
                <w:webHidden/>
              </w:rPr>
              <w:tab/>
            </w:r>
            <w:r w:rsidR="00B1379F">
              <w:rPr>
                <w:webHidden/>
              </w:rPr>
              <w:fldChar w:fldCharType="begin"/>
            </w:r>
            <w:r w:rsidR="00B1379F">
              <w:rPr>
                <w:webHidden/>
              </w:rPr>
              <w:instrText xml:space="preserve"> PAGEREF _Toc414975748 \h </w:instrText>
            </w:r>
            <w:r w:rsidR="00B1379F">
              <w:rPr>
                <w:webHidden/>
              </w:rPr>
            </w:r>
            <w:r w:rsidR="00B1379F">
              <w:rPr>
                <w:webHidden/>
              </w:rPr>
              <w:fldChar w:fldCharType="separate"/>
            </w:r>
            <w:r w:rsidR="004E7467">
              <w:rPr>
                <w:webHidden/>
              </w:rPr>
              <w:t>8-3</w:t>
            </w:r>
            <w:r w:rsidR="00B1379F">
              <w:rPr>
                <w:webHidden/>
              </w:rPr>
              <w:fldChar w:fldCharType="end"/>
            </w:r>
          </w:hyperlink>
        </w:p>
        <w:p w:rsidR="00B1379F" w:rsidRDefault="009C3E79">
          <w:pPr>
            <w:pStyle w:val="TOC1"/>
            <w:rPr>
              <w:rFonts w:asciiTheme="minorHAnsi" w:eastAsiaTheme="minorEastAsia" w:hAnsiTheme="minorHAnsi"/>
              <w:b w:val="0"/>
              <w:color w:val="auto"/>
              <w:sz w:val="22"/>
              <w:lang w:val="en-AU" w:eastAsia="en-AU"/>
            </w:rPr>
          </w:pPr>
          <w:hyperlink w:anchor="_Toc414975749" w:history="1">
            <w:r w:rsidR="00B1379F" w:rsidRPr="001C5E35">
              <w:rPr>
                <w:rStyle w:val="Hyperlink"/>
              </w:rPr>
              <w:t>Shortened forms</w:t>
            </w:r>
            <w:r w:rsidR="00B1379F">
              <w:rPr>
                <w:webHidden/>
              </w:rPr>
              <w:tab/>
            </w:r>
            <w:r w:rsidR="00B1379F">
              <w:rPr>
                <w:webHidden/>
              </w:rPr>
              <w:fldChar w:fldCharType="begin"/>
            </w:r>
            <w:r w:rsidR="00B1379F">
              <w:rPr>
                <w:webHidden/>
              </w:rPr>
              <w:instrText xml:space="preserve"> PAGEREF _Toc414975749 \h </w:instrText>
            </w:r>
            <w:r w:rsidR="00B1379F">
              <w:rPr>
                <w:webHidden/>
              </w:rPr>
            </w:r>
            <w:r w:rsidR="00B1379F">
              <w:rPr>
                <w:webHidden/>
              </w:rPr>
              <w:fldChar w:fldCharType="separate"/>
            </w:r>
            <w:r w:rsidR="004E7467">
              <w:rPr>
                <w:webHidden/>
              </w:rPr>
              <w:t>8-4</w:t>
            </w:r>
            <w:r w:rsidR="00B1379F">
              <w:rPr>
                <w:webHidden/>
              </w:rPr>
              <w:fldChar w:fldCharType="end"/>
            </w:r>
          </w:hyperlink>
        </w:p>
        <w:p w:rsidR="00B1379F" w:rsidRDefault="009C3E79">
          <w:pPr>
            <w:pStyle w:val="TOC1"/>
            <w:rPr>
              <w:rFonts w:asciiTheme="minorHAnsi" w:eastAsiaTheme="minorEastAsia" w:hAnsiTheme="minorHAnsi"/>
              <w:b w:val="0"/>
              <w:color w:val="auto"/>
              <w:sz w:val="22"/>
              <w:lang w:val="en-AU" w:eastAsia="en-AU"/>
            </w:rPr>
          </w:pPr>
          <w:hyperlink w:anchor="_Toc414975750" w:history="1">
            <w:r w:rsidR="00B1379F" w:rsidRPr="001C5E35">
              <w:rPr>
                <w:rStyle w:val="Hyperlink"/>
              </w:rPr>
              <w:t>8</w:t>
            </w:r>
            <w:r w:rsidR="00B1379F">
              <w:rPr>
                <w:rFonts w:asciiTheme="minorHAnsi" w:eastAsiaTheme="minorEastAsia" w:hAnsiTheme="minorHAnsi"/>
                <w:b w:val="0"/>
                <w:color w:val="auto"/>
                <w:sz w:val="22"/>
                <w:lang w:val="en-AU" w:eastAsia="en-AU"/>
              </w:rPr>
              <w:tab/>
            </w:r>
            <w:r w:rsidR="00B1379F" w:rsidRPr="001C5E35">
              <w:rPr>
                <w:rStyle w:val="Hyperlink"/>
              </w:rPr>
              <w:t>Corporate income tax</w:t>
            </w:r>
            <w:r w:rsidR="00B1379F">
              <w:rPr>
                <w:webHidden/>
              </w:rPr>
              <w:tab/>
            </w:r>
            <w:r w:rsidR="00B1379F">
              <w:rPr>
                <w:webHidden/>
              </w:rPr>
              <w:fldChar w:fldCharType="begin"/>
            </w:r>
            <w:r w:rsidR="00B1379F">
              <w:rPr>
                <w:webHidden/>
              </w:rPr>
              <w:instrText xml:space="preserve"> PAGEREF _Toc414975750 \h </w:instrText>
            </w:r>
            <w:r w:rsidR="00B1379F">
              <w:rPr>
                <w:webHidden/>
              </w:rPr>
            </w:r>
            <w:r w:rsidR="00B1379F">
              <w:rPr>
                <w:webHidden/>
              </w:rPr>
              <w:fldChar w:fldCharType="separate"/>
            </w:r>
            <w:r w:rsidR="004E7467">
              <w:rPr>
                <w:webHidden/>
              </w:rPr>
              <w:t>8-6</w:t>
            </w:r>
            <w:r w:rsidR="00B1379F">
              <w:rPr>
                <w:webHidden/>
              </w:rPr>
              <w:fldChar w:fldCharType="end"/>
            </w:r>
          </w:hyperlink>
        </w:p>
        <w:p w:rsidR="00B1379F" w:rsidRDefault="009C3E79">
          <w:pPr>
            <w:pStyle w:val="TOC2"/>
            <w:rPr>
              <w:rFonts w:asciiTheme="minorHAnsi" w:eastAsiaTheme="minorEastAsia" w:hAnsiTheme="minorHAnsi"/>
              <w:b w:val="0"/>
              <w:color w:val="auto"/>
              <w:sz w:val="22"/>
              <w:lang w:eastAsia="en-AU"/>
            </w:rPr>
          </w:pPr>
          <w:hyperlink w:anchor="_Toc414975751" w:history="1">
            <w:r w:rsidR="00B1379F" w:rsidRPr="001C5E35">
              <w:rPr>
                <w:rStyle w:val="Hyperlink"/>
              </w:rPr>
              <w:t>8.1</w:t>
            </w:r>
            <w:r w:rsidR="00B1379F">
              <w:rPr>
                <w:rFonts w:asciiTheme="minorHAnsi" w:eastAsiaTheme="minorEastAsia" w:hAnsiTheme="minorHAnsi"/>
                <w:b w:val="0"/>
                <w:color w:val="auto"/>
                <w:sz w:val="22"/>
                <w:lang w:eastAsia="en-AU"/>
              </w:rPr>
              <w:tab/>
            </w:r>
            <w:r w:rsidR="00B1379F" w:rsidRPr="001C5E35">
              <w:rPr>
                <w:rStyle w:val="Hyperlink"/>
              </w:rPr>
              <w:t>Final decision</w:t>
            </w:r>
            <w:r w:rsidR="00B1379F">
              <w:rPr>
                <w:webHidden/>
              </w:rPr>
              <w:tab/>
            </w:r>
            <w:r w:rsidR="00B1379F">
              <w:rPr>
                <w:webHidden/>
              </w:rPr>
              <w:fldChar w:fldCharType="begin"/>
            </w:r>
            <w:r w:rsidR="00B1379F">
              <w:rPr>
                <w:webHidden/>
              </w:rPr>
              <w:instrText xml:space="preserve"> PAGEREF _Toc414975751 \h </w:instrText>
            </w:r>
            <w:r w:rsidR="00B1379F">
              <w:rPr>
                <w:webHidden/>
              </w:rPr>
            </w:r>
            <w:r w:rsidR="00B1379F">
              <w:rPr>
                <w:webHidden/>
              </w:rPr>
              <w:fldChar w:fldCharType="separate"/>
            </w:r>
            <w:r w:rsidR="004E7467">
              <w:rPr>
                <w:webHidden/>
              </w:rPr>
              <w:t>8-6</w:t>
            </w:r>
            <w:r w:rsidR="00B1379F">
              <w:rPr>
                <w:webHidden/>
              </w:rPr>
              <w:fldChar w:fldCharType="end"/>
            </w:r>
          </w:hyperlink>
        </w:p>
        <w:p w:rsidR="00B1379F" w:rsidRDefault="009C3E79">
          <w:pPr>
            <w:pStyle w:val="TOC2"/>
            <w:rPr>
              <w:rFonts w:asciiTheme="minorHAnsi" w:eastAsiaTheme="minorEastAsia" w:hAnsiTheme="minorHAnsi"/>
              <w:b w:val="0"/>
              <w:color w:val="auto"/>
              <w:sz w:val="22"/>
              <w:lang w:eastAsia="en-AU"/>
            </w:rPr>
          </w:pPr>
          <w:hyperlink w:anchor="_Toc414975752" w:history="1">
            <w:r w:rsidR="00B1379F" w:rsidRPr="001C5E35">
              <w:rPr>
                <w:rStyle w:val="Hyperlink"/>
              </w:rPr>
              <w:t>8.2</w:t>
            </w:r>
            <w:r w:rsidR="00B1379F">
              <w:rPr>
                <w:rFonts w:asciiTheme="minorHAnsi" w:eastAsiaTheme="minorEastAsia" w:hAnsiTheme="minorHAnsi"/>
                <w:b w:val="0"/>
                <w:color w:val="auto"/>
                <w:sz w:val="22"/>
                <w:lang w:eastAsia="en-AU"/>
              </w:rPr>
              <w:tab/>
            </w:r>
            <w:r w:rsidR="00B1379F" w:rsidRPr="001C5E35">
              <w:rPr>
                <w:rStyle w:val="Hyperlink"/>
              </w:rPr>
              <w:t>Essential Energy’s revised proposal</w:t>
            </w:r>
            <w:r w:rsidR="00B1379F">
              <w:rPr>
                <w:webHidden/>
              </w:rPr>
              <w:tab/>
            </w:r>
            <w:r w:rsidR="00B1379F">
              <w:rPr>
                <w:webHidden/>
              </w:rPr>
              <w:fldChar w:fldCharType="begin"/>
            </w:r>
            <w:r w:rsidR="00B1379F">
              <w:rPr>
                <w:webHidden/>
              </w:rPr>
              <w:instrText xml:space="preserve"> PAGEREF _Toc414975752 \h </w:instrText>
            </w:r>
            <w:r w:rsidR="00B1379F">
              <w:rPr>
                <w:webHidden/>
              </w:rPr>
            </w:r>
            <w:r w:rsidR="00B1379F">
              <w:rPr>
                <w:webHidden/>
              </w:rPr>
              <w:fldChar w:fldCharType="separate"/>
            </w:r>
            <w:r w:rsidR="004E7467">
              <w:rPr>
                <w:webHidden/>
              </w:rPr>
              <w:t>8-7</w:t>
            </w:r>
            <w:r w:rsidR="00B1379F">
              <w:rPr>
                <w:webHidden/>
              </w:rPr>
              <w:fldChar w:fldCharType="end"/>
            </w:r>
          </w:hyperlink>
        </w:p>
        <w:p w:rsidR="00B1379F" w:rsidRDefault="009C3E79">
          <w:pPr>
            <w:pStyle w:val="TOC2"/>
            <w:rPr>
              <w:rFonts w:asciiTheme="minorHAnsi" w:eastAsiaTheme="minorEastAsia" w:hAnsiTheme="minorHAnsi"/>
              <w:b w:val="0"/>
              <w:color w:val="auto"/>
              <w:sz w:val="22"/>
              <w:lang w:eastAsia="en-AU"/>
            </w:rPr>
          </w:pPr>
          <w:hyperlink w:anchor="_Toc414975753" w:history="1">
            <w:r w:rsidR="00B1379F" w:rsidRPr="001C5E35">
              <w:rPr>
                <w:rStyle w:val="Hyperlink"/>
              </w:rPr>
              <w:t>8.3</w:t>
            </w:r>
            <w:r w:rsidR="00B1379F">
              <w:rPr>
                <w:rFonts w:asciiTheme="minorHAnsi" w:eastAsiaTheme="minorEastAsia" w:hAnsiTheme="minorHAnsi"/>
                <w:b w:val="0"/>
                <w:color w:val="auto"/>
                <w:sz w:val="22"/>
                <w:lang w:eastAsia="en-AU"/>
              </w:rPr>
              <w:tab/>
            </w:r>
            <w:r w:rsidR="00B1379F" w:rsidRPr="001C5E35">
              <w:rPr>
                <w:rStyle w:val="Hyperlink"/>
              </w:rPr>
              <w:t>AER’s assessment approach</w:t>
            </w:r>
            <w:r w:rsidR="00B1379F">
              <w:rPr>
                <w:webHidden/>
              </w:rPr>
              <w:tab/>
            </w:r>
            <w:r w:rsidR="00B1379F">
              <w:rPr>
                <w:webHidden/>
              </w:rPr>
              <w:fldChar w:fldCharType="begin"/>
            </w:r>
            <w:r w:rsidR="00B1379F">
              <w:rPr>
                <w:webHidden/>
              </w:rPr>
              <w:instrText xml:space="preserve"> PAGEREF _Toc414975753 \h </w:instrText>
            </w:r>
            <w:r w:rsidR="00B1379F">
              <w:rPr>
                <w:webHidden/>
              </w:rPr>
            </w:r>
            <w:r w:rsidR="00B1379F">
              <w:rPr>
                <w:webHidden/>
              </w:rPr>
              <w:fldChar w:fldCharType="separate"/>
            </w:r>
            <w:r w:rsidR="004E7467">
              <w:rPr>
                <w:webHidden/>
              </w:rPr>
              <w:t>8-7</w:t>
            </w:r>
            <w:r w:rsidR="00B1379F">
              <w:rPr>
                <w:webHidden/>
              </w:rPr>
              <w:fldChar w:fldCharType="end"/>
            </w:r>
          </w:hyperlink>
        </w:p>
        <w:p w:rsidR="00B1379F" w:rsidRDefault="009C3E79">
          <w:pPr>
            <w:pStyle w:val="TOC2"/>
            <w:rPr>
              <w:rFonts w:asciiTheme="minorHAnsi" w:eastAsiaTheme="minorEastAsia" w:hAnsiTheme="minorHAnsi"/>
              <w:b w:val="0"/>
              <w:color w:val="auto"/>
              <w:sz w:val="22"/>
              <w:lang w:eastAsia="en-AU"/>
            </w:rPr>
          </w:pPr>
          <w:hyperlink w:anchor="_Toc414975754" w:history="1">
            <w:r w:rsidR="00B1379F" w:rsidRPr="001C5E35">
              <w:rPr>
                <w:rStyle w:val="Hyperlink"/>
              </w:rPr>
              <w:t>8.4</w:t>
            </w:r>
            <w:r w:rsidR="00B1379F">
              <w:rPr>
                <w:rFonts w:asciiTheme="minorHAnsi" w:eastAsiaTheme="minorEastAsia" w:hAnsiTheme="minorHAnsi"/>
                <w:b w:val="0"/>
                <w:color w:val="auto"/>
                <w:sz w:val="22"/>
                <w:lang w:eastAsia="en-AU"/>
              </w:rPr>
              <w:tab/>
            </w:r>
            <w:r w:rsidR="00B1379F" w:rsidRPr="001C5E35">
              <w:rPr>
                <w:rStyle w:val="Hyperlink"/>
              </w:rPr>
              <w:t>Reasons for final decision</w:t>
            </w:r>
            <w:r w:rsidR="00B1379F">
              <w:rPr>
                <w:webHidden/>
              </w:rPr>
              <w:tab/>
            </w:r>
            <w:r w:rsidR="00B1379F">
              <w:rPr>
                <w:webHidden/>
              </w:rPr>
              <w:fldChar w:fldCharType="begin"/>
            </w:r>
            <w:r w:rsidR="00B1379F">
              <w:rPr>
                <w:webHidden/>
              </w:rPr>
              <w:instrText xml:space="preserve"> PAGEREF _Toc414975754 \h </w:instrText>
            </w:r>
            <w:r w:rsidR="00B1379F">
              <w:rPr>
                <w:webHidden/>
              </w:rPr>
            </w:r>
            <w:r w:rsidR="00B1379F">
              <w:rPr>
                <w:webHidden/>
              </w:rPr>
              <w:fldChar w:fldCharType="separate"/>
            </w:r>
            <w:r w:rsidR="004E7467">
              <w:rPr>
                <w:webHidden/>
              </w:rPr>
              <w:t>8-8</w:t>
            </w:r>
            <w:r w:rsidR="00B1379F">
              <w:rPr>
                <w:webHidden/>
              </w:rPr>
              <w:fldChar w:fldCharType="end"/>
            </w:r>
          </w:hyperlink>
        </w:p>
        <w:p w:rsidR="00B1379F" w:rsidRDefault="009C3E79">
          <w:pPr>
            <w:pStyle w:val="TOC3"/>
            <w:rPr>
              <w:rFonts w:asciiTheme="minorHAnsi" w:eastAsiaTheme="minorEastAsia" w:hAnsiTheme="minorHAnsi"/>
              <w:lang w:eastAsia="en-AU"/>
            </w:rPr>
          </w:pPr>
          <w:hyperlink w:anchor="_Toc414975755" w:history="1">
            <w:r w:rsidR="00B1379F" w:rsidRPr="001C5E35">
              <w:rPr>
                <w:rStyle w:val="Hyperlink"/>
              </w:rPr>
              <w:t>8.4.1</w:t>
            </w:r>
            <w:r w:rsidR="00B1379F">
              <w:rPr>
                <w:rFonts w:asciiTheme="minorHAnsi" w:eastAsiaTheme="minorEastAsia" w:hAnsiTheme="minorHAnsi"/>
                <w:lang w:eastAsia="en-AU"/>
              </w:rPr>
              <w:tab/>
            </w:r>
            <w:r w:rsidR="00B1379F" w:rsidRPr="001C5E35">
              <w:rPr>
                <w:rStyle w:val="Hyperlink"/>
              </w:rPr>
              <w:t>Opening tax asset base</w:t>
            </w:r>
            <w:r w:rsidR="00B1379F">
              <w:rPr>
                <w:webHidden/>
              </w:rPr>
              <w:tab/>
            </w:r>
            <w:r w:rsidR="00B1379F">
              <w:rPr>
                <w:webHidden/>
              </w:rPr>
              <w:fldChar w:fldCharType="begin"/>
            </w:r>
            <w:r w:rsidR="00B1379F">
              <w:rPr>
                <w:webHidden/>
              </w:rPr>
              <w:instrText xml:space="preserve"> PAGEREF _Toc414975755 \h </w:instrText>
            </w:r>
            <w:r w:rsidR="00B1379F">
              <w:rPr>
                <w:webHidden/>
              </w:rPr>
            </w:r>
            <w:r w:rsidR="00B1379F">
              <w:rPr>
                <w:webHidden/>
              </w:rPr>
              <w:fldChar w:fldCharType="separate"/>
            </w:r>
            <w:r w:rsidR="004E7467">
              <w:rPr>
                <w:webHidden/>
              </w:rPr>
              <w:t>8-8</w:t>
            </w:r>
            <w:r w:rsidR="00B1379F">
              <w:rPr>
                <w:webHidden/>
              </w:rPr>
              <w:fldChar w:fldCharType="end"/>
            </w:r>
          </w:hyperlink>
        </w:p>
        <w:p w:rsidR="00B1379F" w:rsidRDefault="009C3E79">
          <w:pPr>
            <w:pStyle w:val="TOC3"/>
            <w:rPr>
              <w:rFonts w:asciiTheme="minorHAnsi" w:eastAsiaTheme="minorEastAsia" w:hAnsiTheme="minorHAnsi"/>
              <w:lang w:eastAsia="en-AU"/>
            </w:rPr>
          </w:pPr>
          <w:hyperlink w:anchor="_Toc414975756" w:history="1">
            <w:r w:rsidR="00B1379F" w:rsidRPr="001C5E35">
              <w:rPr>
                <w:rStyle w:val="Hyperlink"/>
              </w:rPr>
              <w:t>8.4.2</w:t>
            </w:r>
            <w:r w:rsidR="00B1379F">
              <w:rPr>
                <w:rFonts w:asciiTheme="minorHAnsi" w:eastAsiaTheme="minorEastAsia" w:hAnsiTheme="minorHAnsi"/>
                <w:lang w:eastAsia="en-AU"/>
              </w:rPr>
              <w:tab/>
            </w:r>
            <w:r w:rsidR="00B1379F" w:rsidRPr="001C5E35">
              <w:rPr>
                <w:rStyle w:val="Hyperlink"/>
              </w:rPr>
              <w:t>Standard tax asset lives</w:t>
            </w:r>
            <w:r w:rsidR="00B1379F">
              <w:rPr>
                <w:webHidden/>
              </w:rPr>
              <w:tab/>
            </w:r>
            <w:r w:rsidR="00B1379F">
              <w:rPr>
                <w:webHidden/>
              </w:rPr>
              <w:fldChar w:fldCharType="begin"/>
            </w:r>
            <w:r w:rsidR="00B1379F">
              <w:rPr>
                <w:webHidden/>
              </w:rPr>
              <w:instrText xml:space="preserve"> PAGEREF _Toc414975756 \h </w:instrText>
            </w:r>
            <w:r w:rsidR="00B1379F">
              <w:rPr>
                <w:webHidden/>
              </w:rPr>
            </w:r>
            <w:r w:rsidR="00B1379F">
              <w:rPr>
                <w:webHidden/>
              </w:rPr>
              <w:fldChar w:fldCharType="separate"/>
            </w:r>
            <w:r w:rsidR="004E7467">
              <w:rPr>
                <w:webHidden/>
              </w:rPr>
              <w:t>8-9</w:t>
            </w:r>
            <w:r w:rsidR="00B1379F">
              <w:rPr>
                <w:webHidden/>
              </w:rPr>
              <w:fldChar w:fldCharType="end"/>
            </w:r>
          </w:hyperlink>
        </w:p>
        <w:p w:rsidR="00B1379F" w:rsidRDefault="009C3E79">
          <w:pPr>
            <w:pStyle w:val="TOC3"/>
            <w:rPr>
              <w:rFonts w:asciiTheme="minorHAnsi" w:eastAsiaTheme="minorEastAsia" w:hAnsiTheme="minorHAnsi"/>
              <w:lang w:eastAsia="en-AU"/>
            </w:rPr>
          </w:pPr>
          <w:hyperlink w:anchor="_Toc414975757" w:history="1">
            <w:r w:rsidR="00B1379F" w:rsidRPr="001C5E35">
              <w:rPr>
                <w:rStyle w:val="Hyperlink"/>
              </w:rPr>
              <w:t>8.4.3</w:t>
            </w:r>
            <w:r w:rsidR="00B1379F">
              <w:rPr>
                <w:rFonts w:asciiTheme="minorHAnsi" w:eastAsiaTheme="minorEastAsia" w:hAnsiTheme="minorHAnsi"/>
                <w:lang w:eastAsia="en-AU"/>
              </w:rPr>
              <w:tab/>
            </w:r>
            <w:r w:rsidR="00B1379F" w:rsidRPr="001C5E35">
              <w:rPr>
                <w:rStyle w:val="Hyperlink"/>
              </w:rPr>
              <w:t>Remaining tax asset lives</w:t>
            </w:r>
            <w:r w:rsidR="00B1379F">
              <w:rPr>
                <w:webHidden/>
              </w:rPr>
              <w:tab/>
            </w:r>
            <w:r w:rsidR="00B1379F">
              <w:rPr>
                <w:webHidden/>
              </w:rPr>
              <w:fldChar w:fldCharType="begin"/>
            </w:r>
            <w:r w:rsidR="00B1379F">
              <w:rPr>
                <w:webHidden/>
              </w:rPr>
              <w:instrText xml:space="preserve"> PAGEREF _Toc414975757 \h </w:instrText>
            </w:r>
            <w:r w:rsidR="00B1379F">
              <w:rPr>
                <w:webHidden/>
              </w:rPr>
            </w:r>
            <w:r w:rsidR="00B1379F">
              <w:rPr>
                <w:webHidden/>
              </w:rPr>
              <w:fldChar w:fldCharType="separate"/>
            </w:r>
            <w:r w:rsidR="004E7467">
              <w:rPr>
                <w:webHidden/>
              </w:rPr>
              <w:t>8-10</w:t>
            </w:r>
            <w:r w:rsidR="00B1379F">
              <w:rPr>
                <w:webHidden/>
              </w:rPr>
              <w:fldChar w:fldCharType="end"/>
            </w:r>
          </w:hyperlink>
        </w:p>
        <w:p w:rsidR="00B1379F" w:rsidRDefault="009C3E79">
          <w:pPr>
            <w:pStyle w:val="TOC3"/>
            <w:rPr>
              <w:rFonts w:asciiTheme="minorHAnsi" w:eastAsiaTheme="minorEastAsia" w:hAnsiTheme="minorHAnsi"/>
              <w:lang w:eastAsia="en-AU"/>
            </w:rPr>
          </w:pPr>
          <w:hyperlink w:anchor="_Toc414975758" w:history="1">
            <w:r w:rsidR="00B1379F" w:rsidRPr="001C5E35">
              <w:rPr>
                <w:rStyle w:val="Hyperlink"/>
              </w:rPr>
              <w:t>8.4.4</w:t>
            </w:r>
            <w:r w:rsidR="00B1379F">
              <w:rPr>
                <w:rFonts w:asciiTheme="minorHAnsi" w:eastAsiaTheme="minorEastAsia" w:hAnsiTheme="minorHAnsi"/>
                <w:lang w:eastAsia="en-AU"/>
              </w:rPr>
              <w:tab/>
            </w:r>
            <w:r w:rsidR="00B1379F" w:rsidRPr="001C5E35">
              <w:rPr>
                <w:rStyle w:val="Hyperlink"/>
              </w:rPr>
              <w:t>Tax treatment of incentive scheme revenues</w:t>
            </w:r>
            <w:r w:rsidR="00B1379F">
              <w:rPr>
                <w:webHidden/>
              </w:rPr>
              <w:tab/>
            </w:r>
            <w:r w:rsidR="00B1379F">
              <w:rPr>
                <w:webHidden/>
              </w:rPr>
              <w:fldChar w:fldCharType="begin"/>
            </w:r>
            <w:r w:rsidR="00B1379F">
              <w:rPr>
                <w:webHidden/>
              </w:rPr>
              <w:instrText xml:space="preserve"> PAGEREF _Toc414975758 \h </w:instrText>
            </w:r>
            <w:r w:rsidR="00B1379F">
              <w:rPr>
                <w:webHidden/>
              </w:rPr>
            </w:r>
            <w:r w:rsidR="00B1379F">
              <w:rPr>
                <w:webHidden/>
              </w:rPr>
              <w:fldChar w:fldCharType="separate"/>
            </w:r>
            <w:r w:rsidR="004E7467">
              <w:rPr>
                <w:webHidden/>
              </w:rPr>
              <w:t>8-11</w:t>
            </w:r>
            <w:r w:rsidR="00B1379F">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4975749"/>
      <w:r>
        <w:lastRenderedPageBreak/>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457626">
        <w:trPr>
          <w:cnfStyle w:val="100000000000" w:firstRow="1" w:lastRow="0" w:firstColumn="0" w:lastColumn="0" w:oddVBand="0" w:evenVBand="0" w:oddHBand="0" w:evenHBand="0" w:firstRowFirstColumn="0" w:firstRowLastColumn="0" w:lastRowFirstColumn="0" w:lastRowLastColumn="0"/>
        </w:trPr>
        <w:tc>
          <w:tcPr>
            <w:tcW w:w="4349" w:type="dxa"/>
          </w:tcPr>
          <w:p w:rsidR="001F05A4" w:rsidRDefault="001F05A4" w:rsidP="001F05A4">
            <w:pPr>
              <w:numPr>
                <w:ilvl w:val="0"/>
                <w:numId w:val="25"/>
              </w:numPr>
            </w:pPr>
            <w:r>
              <w:t>Shortened form</w:t>
            </w:r>
          </w:p>
        </w:tc>
        <w:tc>
          <w:tcPr>
            <w:tcW w:w="4344" w:type="dxa"/>
          </w:tcPr>
          <w:p w:rsidR="001F05A4" w:rsidRDefault="001F05A4" w:rsidP="001F05A4">
            <w:pPr>
              <w:numPr>
                <w:ilvl w:val="0"/>
                <w:numId w:val="25"/>
              </w:numPr>
            </w:pPr>
            <w:r>
              <w:t>Extended form</w:t>
            </w:r>
          </w:p>
        </w:tc>
      </w:tr>
      <w:tr w:rsidR="00457626" w:rsidTr="00457626">
        <w:tc>
          <w:tcPr>
            <w:tcW w:w="4349" w:type="dxa"/>
          </w:tcPr>
          <w:p w:rsidR="00457626" w:rsidRPr="00457626" w:rsidRDefault="00457626" w:rsidP="00457626">
            <w:pPr>
              <w:numPr>
                <w:ilvl w:val="0"/>
                <w:numId w:val="25"/>
              </w:numPr>
            </w:pPr>
            <w:r w:rsidRPr="00457626">
              <w:t>AEMC</w:t>
            </w:r>
          </w:p>
        </w:tc>
        <w:tc>
          <w:tcPr>
            <w:tcW w:w="4344" w:type="dxa"/>
          </w:tcPr>
          <w:p w:rsidR="00457626" w:rsidRPr="00457626" w:rsidRDefault="00457626" w:rsidP="00457626">
            <w:pPr>
              <w:numPr>
                <w:ilvl w:val="0"/>
                <w:numId w:val="25"/>
              </w:numPr>
            </w:pPr>
            <w:r w:rsidRPr="00457626">
              <w:t>Australian Energy Market Commission</w:t>
            </w:r>
          </w:p>
        </w:tc>
      </w:tr>
      <w:tr w:rsidR="00457626" w:rsidTr="00457626">
        <w:trPr>
          <w:cnfStyle w:val="000000010000" w:firstRow="0" w:lastRow="0" w:firstColumn="0" w:lastColumn="0" w:oddVBand="0" w:evenVBand="0" w:oddHBand="0" w:evenHBand="1" w:firstRowFirstColumn="0" w:firstRowLastColumn="0" w:lastRowFirstColumn="0" w:lastRowLastColumn="0"/>
        </w:trPr>
        <w:tc>
          <w:tcPr>
            <w:tcW w:w="4349" w:type="dxa"/>
          </w:tcPr>
          <w:p w:rsidR="00457626" w:rsidRPr="00457626" w:rsidRDefault="00457626" w:rsidP="00457626">
            <w:pPr>
              <w:numPr>
                <w:ilvl w:val="0"/>
                <w:numId w:val="25"/>
              </w:numPr>
            </w:pPr>
            <w:r w:rsidRPr="00457626">
              <w:t>AEMO</w:t>
            </w:r>
          </w:p>
        </w:tc>
        <w:tc>
          <w:tcPr>
            <w:tcW w:w="4344" w:type="dxa"/>
          </w:tcPr>
          <w:p w:rsidR="00457626" w:rsidRPr="00457626" w:rsidRDefault="00457626" w:rsidP="00457626">
            <w:pPr>
              <w:numPr>
                <w:ilvl w:val="0"/>
                <w:numId w:val="25"/>
              </w:numPr>
            </w:pPr>
            <w:r w:rsidRPr="00457626">
              <w:t>Australian Energy Market Operator</w:t>
            </w:r>
          </w:p>
        </w:tc>
      </w:tr>
      <w:tr w:rsidR="00457626" w:rsidTr="00457626">
        <w:tc>
          <w:tcPr>
            <w:tcW w:w="4349" w:type="dxa"/>
          </w:tcPr>
          <w:p w:rsidR="00457626" w:rsidRPr="00457626" w:rsidRDefault="00457626" w:rsidP="00457626">
            <w:pPr>
              <w:numPr>
                <w:ilvl w:val="0"/>
                <w:numId w:val="25"/>
              </w:numPr>
            </w:pPr>
            <w:r w:rsidRPr="00457626">
              <w:t>AER</w:t>
            </w:r>
          </w:p>
        </w:tc>
        <w:tc>
          <w:tcPr>
            <w:tcW w:w="4344" w:type="dxa"/>
          </w:tcPr>
          <w:p w:rsidR="00457626" w:rsidRPr="00457626" w:rsidRDefault="00457626" w:rsidP="00457626">
            <w:pPr>
              <w:numPr>
                <w:ilvl w:val="0"/>
                <w:numId w:val="25"/>
              </w:numPr>
            </w:pPr>
            <w:r w:rsidRPr="00457626">
              <w:t>Australian Energy Regulator</w:t>
            </w:r>
          </w:p>
        </w:tc>
      </w:tr>
      <w:tr w:rsidR="00457626" w:rsidTr="00457626">
        <w:trPr>
          <w:cnfStyle w:val="000000010000" w:firstRow="0" w:lastRow="0" w:firstColumn="0" w:lastColumn="0" w:oddVBand="0" w:evenVBand="0" w:oddHBand="0" w:evenHBand="1" w:firstRowFirstColumn="0" w:firstRowLastColumn="0" w:lastRowFirstColumn="0" w:lastRowLastColumn="0"/>
        </w:trPr>
        <w:tc>
          <w:tcPr>
            <w:tcW w:w="4349" w:type="dxa"/>
          </w:tcPr>
          <w:p w:rsidR="00457626" w:rsidRPr="00457626" w:rsidRDefault="00457626" w:rsidP="00457626">
            <w:pPr>
              <w:numPr>
                <w:ilvl w:val="0"/>
                <w:numId w:val="25"/>
              </w:numPr>
            </w:pPr>
            <w:r w:rsidRPr="00457626">
              <w:t>augex</w:t>
            </w:r>
          </w:p>
        </w:tc>
        <w:tc>
          <w:tcPr>
            <w:tcW w:w="4344" w:type="dxa"/>
          </w:tcPr>
          <w:p w:rsidR="00457626" w:rsidRPr="00457626" w:rsidRDefault="00457626" w:rsidP="00457626">
            <w:pPr>
              <w:numPr>
                <w:ilvl w:val="0"/>
                <w:numId w:val="25"/>
              </w:numPr>
            </w:pPr>
            <w:r w:rsidRPr="00457626">
              <w:t>augmentation expenditure</w:t>
            </w:r>
          </w:p>
        </w:tc>
      </w:tr>
      <w:tr w:rsidR="00457626" w:rsidTr="00457626">
        <w:tc>
          <w:tcPr>
            <w:tcW w:w="4349" w:type="dxa"/>
          </w:tcPr>
          <w:p w:rsidR="00457626" w:rsidRPr="00457626" w:rsidRDefault="00457626" w:rsidP="00457626">
            <w:pPr>
              <w:numPr>
                <w:ilvl w:val="0"/>
                <w:numId w:val="25"/>
              </w:numPr>
            </w:pPr>
            <w:r w:rsidRPr="00457626">
              <w:t>capex</w:t>
            </w:r>
          </w:p>
        </w:tc>
        <w:tc>
          <w:tcPr>
            <w:tcW w:w="4344" w:type="dxa"/>
          </w:tcPr>
          <w:p w:rsidR="00457626" w:rsidRPr="00457626" w:rsidRDefault="00457626" w:rsidP="00457626">
            <w:pPr>
              <w:numPr>
                <w:ilvl w:val="0"/>
                <w:numId w:val="25"/>
              </w:numPr>
            </w:pPr>
            <w:r w:rsidRPr="00457626">
              <w:t>capital expenditure</w:t>
            </w:r>
          </w:p>
        </w:tc>
      </w:tr>
      <w:tr w:rsidR="00457626" w:rsidTr="00457626">
        <w:trPr>
          <w:cnfStyle w:val="000000010000" w:firstRow="0" w:lastRow="0" w:firstColumn="0" w:lastColumn="0" w:oddVBand="0" w:evenVBand="0" w:oddHBand="0" w:evenHBand="1" w:firstRowFirstColumn="0" w:firstRowLastColumn="0" w:lastRowFirstColumn="0" w:lastRowLastColumn="0"/>
        </w:trPr>
        <w:tc>
          <w:tcPr>
            <w:tcW w:w="4349" w:type="dxa"/>
          </w:tcPr>
          <w:p w:rsidR="00457626" w:rsidRPr="00457626" w:rsidRDefault="00457626" w:rsidP="00457626">
            <w:pPr>
              <w:numPr>
                <w:ilvl w:val="0"/>
                <w:numId w:val="25"/>
              </w:numPr>
            </w:pPr>
            <w:r w:rsidRPr="00457626">
              <w:t>CCP</w:t>
            </w:r>
          </w:p>
        </w:tc>
        <w:tc>
          <w:tcPr>
            <w:tcW w:w="4344" w:type="dxa"/>
          </w:tcPr>
          <w:p w:rsidR="00457626" w:rsidRPr="00457626" w:rsidRDefault="00457626" w:rsidP="00457626">
            <w:pPr>
              <w:numPr>
                <w:ilvl w:val="0"/>
                <w:numId w:val="25"/>
              </w:numPr>
            </w:pPr>
            <w:r w:rsidRPr="00457626">
              <w:t>Consumer Challenge Panel</w:t>
            </w:r>
          </w:p>
        </w:tc>
      </w:tr>
      <w:tr w:rsidR="00457626" w:rsidTr="00457626">
        <w:tc>
          <w:tcPr>
            <w:tcW w:w="4349" w:type="dxa"/>
          </w:tcPr>
          <w:p w:rsidR="00457626" w:rsidRPr="00457626" w:rsidRDefault="00457626" w:rsidP="00457626">
            <w:pPr>
              <w:numPr>
                <w:ilvl w:val="0"/>
                <w:numId w:val="25"/>
              </w:numPr>
            </w:pPr>
            <w:r w:rsidRPr="00457626">
              <w:t>CESS</w:t>
            </w:r>
          </w:p>
        </w:tc>
        <w:tc>
          <w:tcPr>
            <w:tcW w:w="4344" w:type="dxa"/>
          </w:tcPr>
          <w:p w:rsidR="00457626" w:rsidRPr="00457626" w:rsidRDefault="00457626" w:rsidP="00457626">
            <w:pPr>
              <w:numPr>
                <w:ilvl w:val="0"/>
                <w:numId w:val="25"/>
              </w:numPr>
            </w:pPr>
            <w:r w:rsidRPr="00457626">
              <w:t>capital expenditure sharing scheme</w:t>
            </w:r>
          </w:p>
        </w:tc>
      </w:tr>
      <w:tr w:rsidR="00457626" w:rsidTr="00457626">
        <w:trPr>
          <w:cnfStyle w:val="000000010000" w:firstRow="0" w:lastRow="0" w:firstColumn="0" w:lastColumn="0" w:oddVBand="0" w:evenVBand="0" w:oddHBand="0" w:evenHBand="1" w:firstRowFirstColumn="0" w:firstRowLastColumn="0" w:lastRowFirstColumn="0" w:lastRowLastColumn="0"/>
        </w:trPr>
        <w:tc>
          <w:tcPr>
            <w:tcW w:w="4349" w:type="dxa"/>
          </w:tcPr>
          <w:p w:rsidR="00457626" w:rsidRPr="00457626" w:rsidRDefault="00457626" w:rsidP="00457626">
            <w:pPr>
              <w:numPr>
                <w:ilvl w:val="0"/>
                <w:numId w:val="25"/>
              </w:numPr>
            </w:pPr>
            <w:r w:rsidRPr="00457626">
              <w:t>CPI</w:t>
            </w:r>
          </w:p>
        </w:tc>
        <w:tc>
          <w:tcPr>
            <w:tcW w:w="4344" w:type="dxa"/>
          </w:tcPr>
          <w:p w:rsidR="00457626" w:rsidRPr="00457626" w:rsidRDefault="00457626" w:rsidP="00457626">
            <w:pPr>
              <w:numPr>
                <w:ilvl w:val="0"/>
                <w:numId w:val="25"/>
              </w:numPr>
            </w:pPr>
            <w:r w:rsidRPr="00457626">
              <w:t>consumer price index</w:t>
            </w:r>
          </w:p>
        </w:tc>
      </w:tr>
      <w:tr w:rsidR="00457626" w:rsidTr="00457626">
        <w:tc>
          <w:tcPr>
            <w:tcW w:w="4349" w:type="dxa"/>
          </w:tcPr>
          <w:p w:rsidR="00457626" w:rsidRPr="00457626" w:rsidRDefault="00457626" w:rsidP="00457626">
            <w:pPr>
              <w:numPr>
                <w:ilvl w:val="0"/>
                <w:numId w:val="25"/>
              </w:numPr>
            </w:pPr>
            <w:r w:rsidRPr="00457626">
              <w:t>DRP</w:t>
            </w:r>
          </w:p>
        </w:tc>
        <w:tc>
          <w:tcPr>
            <w:tcW w:w="4344" w:type="dxa"/>
          </w:tcPr>
          <w:p w:rsidR="00457626" w:rsidRPr="00457626" w:rsidRDefault="00457626" w:rsidP="00457626">
            <w:pPr>
              <w:numPr>
                <w:ilvl w:val="0"/>
                <w:numId w:val="25"/>
              </w:numPr>
            </w:pPr>
            <w:r w:rsidRPr="00457626">
              <w:t>debt risk premium</w:t>
            </w:r>
          </w:p>
        </w:tc>
      </w:tr>
      <w:tr w:rsidR="00457626" w:rsidTr="00457626">
        <w:trPr>
          <w:cnfStyle w:val="000000010000" w:firstRow="0" w:lastRow="0" w:firstColumn="0" w:lastColumn="0" w:oddVBand="0" w:evenVBand="0" w:oddHBand="0" w:evenHBand="1" w:firstRowFirstColumn="0" w:firstRowLastColumn="0" w:lastRowFirstColumn="0" w:lastRowLastColumn="0"/>
        </w:trPr>
        <w:tc>
          <w:tcPr>
            <w:tcW w:w="4349" w:type="dxa"/>
          </w:tcPr>
          <w:p w:rsidR="00457626" w:rsidRPr="00457626" w:rsidRDefault="00457626" w:rsidP="00457626">
            <w:pPr>
              <w:numPr>
                <w:ilvl w:val="0"/>
                <w:numId w:val="25"/>
              </w:numPr>
            </w:pPr>
            <w:r w:rsidRPr="00457626">
              <w:t>DMIA</w:t>
            </w:r>
          </w:p>
        </w:tc>
        <w:tc>
          <w:tcPr>
            <w:tcW w:w="4344" w:type="dxa"/>
          </w:tcPr>
          <w:p w:rsidR="00457626" w:rsidRPr="00457626" w:rsidRDefault="00457626" w:rsidP="00457626">
            <w:pPr>
              <w:numPr>
                <w:ilvl w:val="0"/>
                <w:numId w:val="25"/>
              </w:numPr>
            </w:pPr>
            <w:r w:rsidRPr="00457626">
              <w:t>demand management innovation allowance</w:t>
            </w:r>
          </w:p>
        </w:tc>
      </w:tr>
      <w:tr w:rsidR="00457626" w:rsidTr="00457626">
        <w:tc>
          <w:tcPr>
            <w:tcW w:w="4349" w:type="dxa"/>
          </w:tcPr>
          <w:p w:rsidR="00457626" w:rsidRPr="00457626" w:rsidRDefault="00457626" w:rsidP="00457626">
            <w:pPr>
              <w:numPr>
                <w:ilvl w:val="0"/>
                <w:numId w:val="25"/>
              </w:numPr>
            </w:pPr>
            <w:r w:rsidRPr="00457626">
              <w:t>DMIS</w:t>
            </w:r>
          </w:p>
        </w:tc>
        <w:tc>
          <w:tcPr>
            <w:tcW w:w="4344" w:type="dxa"/>
          </w:tcPr>
          <w:p w:rsidR="00457626" w:rsidRPr="00457626" w:rsidRDefault="00457626" w:rsidP="00457626">
            <w:pPr>
              <w:numPr>
                <w:ilvl w:val="0"/>
                <w:numId w:val="25"/>
              </w:numPr>
            </w:pPr>
            <w:r w:rsidRPr="00457626">
              <w:t>demand management incentive scheme</w:t>
            </w:r>
          </w:p>
        </w:tc>
      </w:tr>
      <w:tr w:rsidR="00457626" w:rsidTr="00457626">
        <w:trPr>
          <w:cnfStyle w:val="000000010000" w:firstRow="0" w:lastRow="0" w:firstColumn="0" w:lastColumn="0" w:oddVBand="0" w:evenVBand="0" w:oddHBand="0" w:evenHBand="1" w:firstRowFirstColumn="0" w:firstRowLastColumn="0" w:lastRowFirstColumn="0" w:lastRowLastColumn="0"/>
        </w:trPr>
        <w:tc>
          <w:tcPr>
            <w:tcW w:w="4349" w:type="dxa"/>
          </w:tcPr>
          <w:p w:rsidR="00457626" w:rsidRPr="00457626" w:rsidRDefault="00457626" w:rsidP="00457626">
            <w:pPr>
              <w:numPr>
                <w:ilvl w:val="0"/>
                <w:numId w:val="25"/>
              </w:numPr>
            </w:pPr>
            <w:r w:rsidRPr="00457626">
              <w:t>distributor</w:t>
            </w:r>
          </w:p>
        </w:tc>
        <w:tc>
          <w:tcPr>
            <w:tcW w:w="4344" w:type="dxa"/>
          </w:tcPr>
          <w:p w:rsidR="00457626" w:rsidRPr="00457626" w:rsidRDefault="00457626" w:rsidP="00457626">
            <w:pPr>
              <w:numPr>
                <w:ilvl w:val="0"/>
                <w:numId w:val="25"/>
              </w:numPr>
            </w:pPr>
            <w:r w:rsidRPr="00457626">
              <w:t>distribution network service provider</w:t>
            </w:r>
          </w:p>
        </w:tc>
      </w:tr>
      <w:tr w:rsidR="00457626" w:rsidTr="00457626">
        <w:tc>
          <w:tcPr>
            <w:tcW w:w="4349" w:type="dxa"/>
          </w:tcPr>
          <w:p w:rsidR="00457626" w:rsidRPr="00457626" w:rsidRDefault="00457626" w:rsidP="00457626">
            <w:pPr>
              <w:numPr>
                <w:ilvl w:val="0"/>
                <w:numId w:val="25"/>
              </w:numPr>
            </w:pPr>
            <w:r w:rsidRPr="00457626">
              <w:t>DUoS</w:t>
            </w:r>
          </w:p>
        </w:tc>
        <w:tc>
          <w:tcPr>
            <w:tcW w:w="4344" w:type="dxa"/>
          </w:tcPr>
          <w:p w:rsidR="00457626" w:rsidRPr="00457626" w:rsidRDefault="00457626" w:rsidP="00457626">
            <w:pPr>
              <w:numPr>
                <w:ilvl w:val="0"/>
                <w:numId w:val="25"/>
              </w:numPr>
            </w:pPr>
            <w:r w:rsidRPr="00457626">
              <w:t>distribution use of system</w:t>
            </w:r>
          </w:p>
        </w:tc>
      </w:tr>
      <w:tr w:rsidR="00457626" w:rsidTr="00457626">
        <w:trPr>
          <w:cnfStyle w:val="000000010000" w:firstRow="0" w:lastRow="0" w:firstColumn="0" w:lastColumn="0" w:oddVBand="0" w:evenVBand="0" w:oddHBand="0" w:evenHBand="1" w:firstRowFirstColumn="0" w:firstRowLastColumn="0" w:lastRowFirstColumn="0" w:lastRowLastColumn="0"/>
        </w:trPr>
        <w:tc>
          <w:tcPr>
            <w:tcW w:w="4349" w:type="dxa"/>
          </w:tcPr>
          <w:p w:rsidR="00457626" w:rsidRPr="00457626" w:rsidRDefault="00457626" w:rsidP="00457626">
            <w:pPr>
              <w:numPr>
                <w:ilvl w:val="0"/>
                <w:numId w:val="25"/>
              </w:numPr>
            </w:pPr>
            <w:r w:rsidRPr="00457626">
              <w:t>EBSS</w:t>
            </w:r>
          </w:p>
        </w:tc>
        <w:tc>
          <w:tcPr>
            <w:tcW w:w="4344" w:type="dxa"/>
          </w:tcPr>
          <w:p w:rsidR="00457626" w:rsidRPr="00457626" w:rsidRDefault="00457626" w:rsidP="00457626">
            <w:pPr>
              <w:numPr>
                <w:ilvl w:val="0"/>
                <w:numId w:val="25"/>
              </w:numPr>
            </w:pPr>
            <w:r w:rsidRPr="00457626">
              <w:t>efficiency benefit sharing scheme</w:t>
            </w:r>
          </w:p>
        </w:tc>
      </w:tr>
      <w:tr w:rsidR="00457626" w:rsidTr="00457626">
        <w:tc>
          <w:tcPr>
            <w:tcW w:w="4349" w:type="dxa"/>
          </w:tcPr>
          <w:p w:rsidR="00457626" w:rsidRPr="00457626" w:rsidRDefault="00457626" w:rsidP="00457626">
            <w:pPr>
              <w:numPr>
                <w:ilvl w:val="0"/>
                <w:numId w:val="25"/>
              </w:numPr>
            </w:pPr>
            <w:r w:rsidRPr="00457626">
              <w:t>ERP</w:t>
            </w:r>
          </w:p>
        </w:tc>
        <w:tc>
          <w:tcPr>
            <w:tcW w:w="4344" w:type="dxa"/>
          </w:tcPr>
          <w:p w:rsidR="00457626" w:rsidRPr="00457626" w:rsidRDefault="00457626" w:rsidP="00457626">
            <w:pPr>
              <w:numPr>
                <w:ilvl w:val="0"/>
                <w:numId w:val="25"/>
              </w:numPr>
            </w:pPr>
            <w:r w:rsidRPr="00457626">
              <w:t>equity risk premium</w:t>
            </w:r>
          </w:p>
        </w:tc>
      </w:tr>
      <w:tr w:rsidR="00457626" w:rsidTr="00457626">
        <w:trPr>
          <w:cnfStyle w:val="000000010000" w:firstRow="0" w:lastRow="0" w:firstColumn="0" w:lastColumn="0" w:oddVBand="0" w:evenVBand="0" w:oddHBand="0" w:evenHBand="1" w:firstRowFirstColumn="0" w:firstRowLastColumn="0" w:lastRowFirstColumn="0" w:lastRowLastColumn="0"/>
        </w:trPr>
        <w:tc>
          <w:tcPr>
            <w:tcW w:w="4349" w:type="dxa"/>
          </w:tcPr>
          <w:p w:rsidR="00457626" w:rsidRPr="00457626" w:rsidRDefault="00457626" w:rsidP="00457626">
            <w:pPr>
              <w:numPr>
                <w:ilvl w:val="0"/>
                <w:numId w:val="25"/>
              </w:numPr>
            </w:pPr>
            <w:r w:rsidRPr="00457626">
              <w:t>Expenditure Assessment Guideline</w:t>
            </w:r>
          </w:p>
        </w:tc>
        <w:tc>
          <w:tcPr>
            <w:tcW w:w="4344" w:type="dxa"/>
          </w:tcPr>
          <w:p w:rsidR="00457626" w:rsidRPr="00457626" w:rsidRDefault="00457626" w:rsidP="00457626">
            <w:pPr>
              <w:numPr>
                <w:ilvl w:val="0"/>
                <w:numId w:val="25"/>
              </w:numPr>
            </w:pPr>
            <w:r w:rsidRPr="00457626">
              <w:t>expenditure forecast assessment Guideline for electricity distribution</w:t>
            </w:r>
          </w:p>
        </w:tc>
      </w:tr>
      <w:tr w:rsidR="00457626" w:rsidTr="00457626">
        <w:tc>
          <w:tcPr>
            <w:tcW w:w="4349" w:type="dxa"/>
          </w:tcPr>
          <w:p w:rsidR="00457626" w:rsidRPr="00457626" w:rsidRDefault="00457626" w:rsidP="00457626">
            <w:pPr>
              <w:numPr>
                <w:ilvl w:val="0"/>
                <w:numId w:val="25"/>
              </w:numPr>
            </w:pPr>
            <w:r w:rsidRPr="00457626">
              <w:t>F&amp;A</w:t>
            </w:r>
          </w:p>
        </w:tc>
        <w:tc>
          <w:tcPr>
            <w:tcW w:w="4344" w:type="dxa"/>
          </w:tcPr>
          <w:p w:rsidR="00457626" w:rsidRPr="00457626" w:rsidRDefault="00457626" w:rsidP="00457626">
            <w:pPr>
              <w:numPr>
                <w:ilvl w:val="0"/>
                <w:numId w:val="25"/>
              </w:numPr>
            </w:pPr>
            <w:r w:rsidRPr="00457626">
              <w:t>framework and approach</w:t>
            </w:r>
          </w:p>
        </w:tc>
      </w:tr>
      <w:tr w:rsidR="00457626" w:rsidTr="00457626">
        <w:trPr>
          <w:cnfStyle w:val="000000010000" w:firstRow="0" w:lastRow="0" w:firstColumn="0" w:lastColumn="0" w:oddVBand="0" w:evenVBand="0" w:oddHBand="0" w:evenHBand="1" w:firstRowFirstColumn="0" w:firstRowLastColumn="0" w:lastRowFirstColumn="0" w:lastRowLastColumn="0"/>
        </w:trPr>
        <w:tc>
          <w:tcPr>
            <w:tcW w:w="4349" w:type="dxa"/>
          </w:tcPr>
          <w:p w:rsidR="00457626" w:rsidRPr="00457626" w:rsidRDefault="00457626" w:rsidP="00457626">
            <w:pPr>
              <w:numPr>
                <w:ilvl w:val="0"/>
                <w:numId w:val="25"/>
              </w:numPr>
            </w:pPr>
            <w:r w:rsidRPr="00457626">
              <w:t>MRP</w:t>
            </w:r>
          </w:p>
        </w:tc>
        <w:tc>
          <w:tcPr>
            <w:tcW w:w="4344" w:type="dxa"/>
          </w:tcPr>
          <w:p w:rsidR="00457626" w:rsidRPr="00457626" w:rsidRDefault="00457626" w:rsidP="00457626">
            <w:pPr>
              <w:numPr>
                <w:ilvl w:val="0"/>
                <w:numId w:val="25"/>
              </w:numPr>
            </w:pPr>
            <w:r w:rsidRPr="00457626">
              <w:t>market risk premium</w:t>
            </w:r>
          </w:p>
        </w:tc>
      </w:tr>
      <w:tr w:rsidR="00457626" w:rsidTr="00457626">
        <w:tc>
          <w:tcPr>
            <w:tcW w:w="4349" w:type="dxa"/>
          </w:tcPr>
          <w:p w:rsidR="00457626" w:rsidRPr="00457626" w:rsidRDefault="00457626" w:rsidP="00457626">
            <w:pPr>
              <w:numPr>
                <w:ilvl w:val="0"/>
                <w:numId w:val="25"/>
              </w:numPr>
            </w:pPr>
            <w:r w:rsidRPr="00457626">
              <w:t>NEL</w:t>
            </w:r>
          </w:p>
        </w:tc>
        <w:tc>
          <w:tcPr>
            <w:tcW w:w="4344" w:type="dxa"/>
          </w:tcPr>
          <w:p w:rsidR="00457626" w:rsidRPr="00457626" w:rsidRDefault="00457626" w:rsidP="00457626">
            <w:pPr>
              <w:numPr>
                <w:ilvl w:val="0"/>
                <w:numId w:val="25"/>
              </w:numPr>
            </w:pPr>
            <w:r w:rsidRPr="00457626">
              <w:t>national electricity law</w:t>
            </w:r>
          </w:p>
        </w:tc>
      </w:tr>
      <w:tr w:rsidR="00457626" w:rsidTr="00457626">
        <w:trPr>
          <w:cnfStyle w:val="000000010000" w:firstRow="0" w:lastRow="0" w:firstColumn="0" w:lastColumn="0" w:oddVBand="0" w:evenVBand="0" w:oddHBand="0" w:evenHBand="1" w:firstRowFirstColumn="0" w:firstRowLastColumn="0" w:lastRowFirstColumn="0" w:lastRowLastColumn="0"/>
        </w:trPr>
        <w:tc>
          <w:tcPr>
            <w:tcW w:w="4349" w:type="dxa"/>
          </w:tcPr>
          <w:p w:rsidR="00457626" w:rsidRPr="00457626" w:rsidRDefault="00457626" w:rsidP="00457626">
            <w:pPr>
              <w:numPr>
                <w:ilvl w:val="0"/>
                <w:numId w:val="25"/>
              </w:numPr>
            </w:pPr>
            <w:r w:rsidRPr="00457626">
              <w:t>NEM</w:t>
            </w:r>
          </w:p>
        </w:tc>
        <w:tc>
          <w:tcPr>
            <w:tcW w:w="4344" w:type="dxa"/>
          </w:tcPr>
          <w:p w:rsidR="00457626" w:rsidRPr="00457626" w:rsidRDefault="00457626" w:rsidP="00457626">
            <w:pPr>
              <w:numPr>
                <w:ilvl w:val="0"/>
                <w:numId w:val="25"/>
              </w:numPr>
            </w:pPr>
            <w:r w:rsidRPr="00457626">
              <w:t>national electricity market</w:t>
            </w:r>
          </w:p>
        </w:tc>
      </w:tr>
      <w:tr w:rsidR="00457626" w:rsidTr="00457626">
        <w:tc>
          <w:tcPr>
            <w:tcW w:w="4349" w:type="dxa"/>
          </w:tcPr>
          <w:p w:rsidR="00457626" w:rsidRPr="00457626" w:rsidRDefault="00457626" w:rsidP="00457626">
            <w:pPr>
              <w:numPr>
                <w:ilvl w:val="0"/>
                <w:numId w:val="25"/>
              </w:numPr>
            </w:pPr>
            <w:r w:rsidRPr="00457626">
              <w:t>NEO</w:t>
            </w:r>
          </w:p>
        </w:tc>
        <w:tc>
          <w:tcPr>
            <w:tcW w:w="4344" w:type="dxa"/>
          </w:tcPr>
          <w:p w:rsidR="00457626" w:rsidRPr="00457626" w:rsidRDefault="00457626" w:rsidP="00457626">
            <w:pPr>
              <w:numPr>
                <w:ilvl w:val="0"/>
                <w:numId w:val="25"/>
              </w:numPr>
            </w:pPr>
            <w:r w:rsidRPr="00457626">
              <w:t>national electricity objective</w:t>
            </w:r>
          </w:p>
        </w:tc>
      </w:tr>
      <w:tr w:rsidR="00457626" w:rsidTr="00457626">
        <w:trPr>
          <w:cnfStyle w:val="000000010000" w:firstRow="0" w:lastRow="0" w:firstColumn="0" w:lastColumn="0" w:oddVBand="0" w:evenVBand="0" w:oddHBand="0" w:evenHBand="1" w:firstRowFirstColumn="0" w:firstRowLastColumn="0" w:lastRowFirstColumn="0" w:lastRowLastColumn="0"/>
        </w:trPr>
        <w:tc>
          <w:tcPr>
            <w:tcW w:w="4349" w:type="dxa"/>
          </w:tcPr>
          <w:p w:rsidR="00457626" w:rsidRPr="00457626" w:rsidRDefault="00457626" w:rsidP="00457626">
            <w:pPr>
              <w:numPr>
                <w:ilvl w:val="0"/>
                <w:numId w:val="25"/>
              </w:numPr>
            </w:pPr>
            <w:r w:rsidRPr="00457626">
              <w:t>NER</w:t>
            </w:r>
          </w:p>
        </w:tc>
        <w:tc>
          <w:tcPr>
            <w:tcW w:w="4344" w:type="dxa"/>
          </w:tcPr>
          <w:p w:rsidR="00457626" w:rsidRPr="00457626" w:rsidRDefault="00457626" w:rsidP="00457626">
            <w:pPr>
              <w:numPr>
                <w:ilvl w:val="0"/>
                <w:numId w:val="25"/>
              </w:numPr>
            </w:pPr>
            <w:r w:rsidRPr="00457626">
              <w:t>national electricity rules</w:t>
            </w:r>
          </w:p>
        </w:tc>
      </w:tr>
      <w:tr w:rsidR="00457626" w:rsidTr="00457626">
        <w:tc>
          <w:tcPr>
            <w:tcW w:w="4349" w:type="dxa"/>
          </w:tcPr>
          <w:p w:rsidR="00457626" w:rsidRPr="00457626" w:rsidRDefault="00457626" w:rsidP="00457626">
            <w:pPr>
              <w:numPr>
                <w:ilvl w:val="0"/>
                <w:numId w:val="25"/>
              </w:numPr>
            </w:pPr>
            <w:r w:rsidRPr="00457626">
              <w:t>NSP</w:t>
            </w:r>
          </w:p>
        </w:tc>
        <w:tc>
          <w:tcPr>
            <w:tcW w:w="4344" w:type="dxa"/>
          </w:tcPr>
          <w:p w:rsidR="00457626" w:rsidRPr="00457626" w:rsidRDefault="00457626" w:rsidP="00457626">
            <w:pPr>
              <w:numPr>
                <w:ilvl w:val="0"/>
                <w:numId w:val="25"/>
              </w:numPr>
            </w:pPr>
            <w:r w:rsidRPr="00457626">
              <w:t>network service provider</w:t>
            </w:r>
          </w:p>
        </w:tc>
      </w:tr>
      <w:tr w:rsidR="00457626" w:rsidTr="00457626">
        <w:trPr>
          <w:cnfStyle w:val="000000010000" w:firstRow="0" w:lastRow="0" w:firstColumn="0" w:lastColumn="0" w:oddVBand="0" w:evenVBand="0" w:oddHBand="0" w:evenHBand="1" w:firstRowFirstColumn="0" w:firstRowLastColumn="0" w:lastRowFirstColumn="0" w:lastRowLastColumn="0"/>
        </w:trPr>
        <w:tc>
          <w:tcPr>
            <w:tcW w:w="4349" w:type="dxa"/>
          </w:tcPr>
          <w:p w:rsidR="00457626" w:rsidRPr="00457626" w:rsidRDefault="00457626" w:rsidP="00457626">
            <w:pPr>
              <w:numPr>
                <w:ilvl w:val="0"/>
                <w:numId w:val="25"/>
              </w:numPr>
            </w:pPr>
            <w:proofErr w:type="spellStart"/>
            <w:r w:rsidRPr="00457626">
              <w:t>opex</w:t>
            </w:r>
            <w:proofErr w:type="spellEnd"/>
          </w:p>
        </w:tc>
        <w:tc>
          <w:tcPr>
            <w:tcW w:w="4344" w:type="dxa"/>
          </w:tcPr>
          <w:p w:rsidR="00457626" w:rsidRPr="00457626" w:rsidRDefault="00457626" w:rsidP="00457626">
            <w:pPr>
              <w:numPr>
                <w:ilvl w:val="0"/>
                <w:numId w:val="25"/>
              </w:numPr>
            </w:pPr>
            <w:r w:rsidRPr="00457626">
              <w:t>operating expenditure</w:t>
            </w:r>
          </w:p>
        </w:tc>
      </w:tr>
      <w:tr w:rsidR="00457626" w:rsidTr="00457626">
        <w:tc>
          <w:tcPr>
            <w:tcW w:w="4349" w:type="dxa"/>
          </w:tcPr>
          <w:p w:rsidR="00457626" w:rsidRPr="00457626" w:rsidRDefault="00457626" w:rsidP="00457626">
            <w:pPr>
              <w:numPr>
                <w:ilvl w:val="0"/>
                <w:numId w:val="25"/>
              </w:numPr>
            </w:pPr>
            <w:r w:rsidRPr="00457626">
              <w:t>PPI</w:t>
            </w:r>
          </w:p>
        </w:tc>
        <w:tc>
          <w:tcPr>
            <w:tcW w:w="4344" w:type="dxa"/>
          </w:tcPr>
          <w:p w:rsidR="00457626" w:rsidRPr="00457626" w:rsidRDefault="00457626" w:rsidP="00457626">
            <w:pPr>
              <w:numPr>
                <w:ilvl w:val="0"/>
                <w:numId w:val="25"/>
              </w:numPr>
            </w:pPr>
            <w:r w:rsidRPr="00457626">
              <w:t>partial performance indicators</w:t>
            </w:r>
          </w:p>
        </w:tc>
      </w:tr>
      <w:tr w:rsidR="00457626" w:rsidTr="00457626">
        <w:trPr>
          <w:cnfStyle w:val="000000010000" w:firstRow="0" w:lastRow="0" w:firstColumn="0" w:lastColumn="0" w:oddVBand="0" w:evenVBand="0" w:oddHBand="0" w:evenHBand="1" w:firstRowFirstColumn="0" w:firstRowLastColumn="0" w:lastRowFirstColumn="0" w:lastRowLastColumn="0"/>
        </w:trPr>
        <w:tc>
          <w:tcPr>
            <w:tcW w:w="4349" w:type="dxa"/>
          </w:tcPr>
          <w:p w:rsidR="00457626" w:rsidRPr="00457626" w:rsidRDefault="00457626" w:rsidP="00457626">
            <w:pPr>
              <w:numPr>
                <w:ilvl w:val="0"/>
                <w:numId w:val="25"/>
              </w:numPr>
            </w:pPr>
            <w:r w:rsidRPr="00457626">
              <w:t>PTRM</w:t>
            </w:r>
          </w:p>
        </w:tc>
        <w:tc>
          <w:tcPr>
            <w:tcW w:w="4344" w:type="dxa"/>
          </w:tcPr>
          <w:p w:rsidR="00457626" w:rsidRPr="00457626" w:rsidRDefault="00457626" w:rsidP="00457626">
            <w:pPr>
              <w:numPr>
                <w:ilvl w:val="0"/>
                <w:numId w:val="25"/>
              </w:numPr>
            </w:pPr>
            <w:r w:rsidRPr="00457626">
              <w:t>post-tax revenue model</w:t>
            </w:r>
          </w:p>
        </w:tc>
      </w:tr>
      <w:tr w:rsidR="00457626" w:rsidTr="00457626">
        <w:tc>
          <w:tcPr>
            <w:tcW w:w="4349" w:type="dxa"/>
          </w:tcPr>
          <w:p w:rsidR="00457626" w:rsidRPr="00457626" w:rsidRDefault="00457626" w:rsidP="00457626">
            <w:pPr>
              <w:numPr>
                <w:ilvl w:val="0"/>
                <w:numId w:val="25"/>
              </w:numPr>
            </w:pPr>
            <w:r w:rsidRPr="00457626">
              <w:t>RAB</w:t>
            </w:r>
          </w:p>
        </w:tc>
        <w:tc>
          <w:tcPr>
            <w:tcW w:w="4344" w:type="dxa"/>
          </w:tcPr>
          <w:p w:rsidR="00457626" w:rsidRPr="00457626" w:rsidRDefault="00457626" w:rsidP="00457626">
            <w:pPr>
              <w:numPr>
                <w:ilvl w:val="0"/>
                <w:numId w:val="25"/>
              </w:numPr>
            </w:pPr>
            <w:r w:rsidRPr="00457626">
              <w:t>regulatory asset base</w:t>
            </w:r>
          </w:p>
        </w:tc>
      </w:tr>
      <w:tr w:rsidR="00457626" w:rsidTr="00457626">
        <w:trPr>
          <w:cnfStyle w:val="000000010000" w:firstRow="0" w:lastRow="0" w:firstColumn="0" w:lastColumn="0" w:oddVBand="0" w:evenVBand="0" w:oddHBand="0" w:evenHBand="1" w:firstRowFirstColumn="0" w:firstRowLastColumn="0" w:lastRowFirstColumn="0" w:lastRowLastColumn="0"/>
        </w:trPr>
        <w:tc>
          <w:tcPr>
            <w:tcW w:w="4349" w:type="dxa"/>
          </w:tcPr>
          <w:p w:rsidR="00457626" w:rsidRPr="00457626" w:rsidRDefault="00457626" w:rsidP="00457626">
            <w:pPr>
              <w:numPr>
                <w:ilvl w:val="0"/>
                <w:numId w:val="25"/>
              </w:numPr>
            </w:pPr>
            <w:r w:rsidRPr="00457626">
              <w:t>RBA</w:t>
            </w:r>
          </w:p>
        </w:tc>
        <w:tc>
          <w:tcPr>
            <w:tcW w:w="4344" w:type="dxa"/>
          </w:tcPr>
          <w:p w:rsidR="00457626" w:rsidRPr="00457626" w:rsidRDefault="00457626" w:rsidP="00457626">
            <w:pPr>
              <w:numPr>
                <w:ilvl w:val="0"/>
                <w:numId w:val="25"/>
              </w:numPr>
            </w:pPr>
            <w:r w:rsidRPr="00457626">
              <w:t>Reserve Bank of Australia</w:t>
            </w:r>
          </w:p>
        </w:tc>
      </w:tr>
      <w:tr w:rsidR="00457626" w:rsidTr="00457626">
        <w:tc>
          <w:tcPr>
            <w:tcW w:w="4349" w:type="dxa"/>
          </w:tcPr>
          <w:p w:rsidR="00457626" w:rsidRPr="00457626" w:rsidRDefault="00457626" w:rsidP="00457626">
            <w:pPr>
              <w:numPr>
                <w:ilvl w:val="0"/>
                <w:numId w:val="25"/>
              </w:numPr>
            </w:pPr>
            <w:proofErr w:type="spellStart"/>
            <w:r w:rsidRPr="00457626">
              <w:t>repex</w:t>
            </w:r>
            <w:proofErr w:type="spellEnd"/>
          </w:p>
        </w:tc>
        <w:tc>
          <w:tcPr>
            <w:tcW w:w="4344" w:type="dxa"/>
          </w:tcPr>
          <w:p w:rsidR="00457626" w:rsidRPr="00457626" w:rsidRDefault="00457626" w:rsidP="00457626">
            <w:pPr>
              <w:numPr>
                <w:ilvl w:val="0"/>
                <w:numId w:val="25"/>
              </w:numPr>
            </w:pPr>
            <w:r w:rsidRPr="00457626">
              <w:t>replacement expenditure</w:t>
            </w:r>
          </w:p>
        </w:tc>
      </w:tr>
      <w:tr w:rsidR="00457626" w:rsidTr="00457626">
        <w:trPr>
          <w:cnfStyle w:val="000000010000" w:firstRow="0" w:lastRow="0" w:firstColumn="0" w:lastColumn="0" w:oddVBand="0" w:evenVBand="0" w:oddHBand="0" w:evenHBand="1" w:firstRowFirstColumn="0" w:firstRowLastColumn="0" w:lastRowFirstColumn="0" w:lastRowLastColumn="0"/>
        </w:trPr>
        <w:tc>
          <w:tcPr>
            <w:tcW w:w="4349" w:type="dxa"/>
          </w:tcPr>
          <w:p w:rsidR="00457626" w:rsidRPr="00457626" w:rsidRDefault="00457626" w:rsidP="00457626">
            <w:pPr>
              <w:numPr>
                <w:ilvl w:val="0"/>
                <w:numId w:val="25"/>
              </w:numPr>
            </w:pPr>
            <w:r w:rsidRPr="00457626">
              <w:t>RFM</w:t>
            </w:r>
          </w:p>
        </w:tc>
        <w:tc>
          <w:tcPr>
            <w:tcW w:w="4344" w:type="dxa"/>
          </w:tcPr>
          <w:p w:rsidR="00457626" w:rsidRPr="00457626" w:rsidRDefault="00457626" w:rsidP="00457626">
            <w:pPr>
              <w:numPr>
                <w:ilvl w:val="0"/>
                <w:numId w:val="25"/>
              </w:numPr>
            </w:pPr>
            <w:r w:rsidRPr="00457626">
              <w:t>roll forward model</w:t>
            </w:r>
          </w:p>
        </w:tc>
      </w:tr>
      <w:tr w:rsidR="00457626" w:rsidTr="00457626">
        <w:tc>
          <w:tcPr>
            <w:tcW w:w="4349" w:type="dxa"/>
          </w:tcPr>
          <w:p w:rsidR="00457626" w:rsidRPr="00457626" w:rsidRDefault="00457626" w:rsidP="00457626">
            <w:pPr>
              <w:numPr>
                <w:ilvl w:val="0"/>
                <w:numId w:val="25"/>
              </w:numPr>
            </w:pPr>
            <w:r w:rsidRPr="00457626">
              <w:lastRenderedPageBreak/>
              <w:t>RIN</w:t>
            </w:r>
          </w:p>
        </w:tc>
        <w:tc>
          <w:tcPr>
            <w:tcW w:w="4344" w:type="dxa"/>
          </w:tcPr>
          <w:p w:rsidR="00457626" w:rsidRPr="00457626" w:rsidRDefault="00457626" w:rsidP="00457626">
            <w:pPr>
              <w:numPr>
                <w:ilvl w:val="0"/>
                <w:numId w:val="25"/>
              </w:numPr>
            </w:pPr>
            <w:r w:rsidRPr="00457626">
              <w:t>regulatory information notice</w:t>
            </w:r>
          </w:p>
        </w:tc>
      </w:tr>
      <w:tr w:rsidR="00457626" w:rsidTr="00457626">
        <w:trPr>
          <w:cnfStyle w:val="000000010000" w:firstRow="0" w:lastRow="0" w:firstColumn="0" w:lastColumn="0" w:oddVBand="0" w:evenVBand="0" w:oddHBand="0" w:evenHBand="1" w:firstRowFirstColumn="0" w:firstRowLastColumn="0" w:lastRowFirstColumn="0" w:lastRowLastColumn="0"/>
        </w:trPr>
        <w:tc>
          <w:tcPr>
            <w:tcW w:w="4349" w:type="dxa"/>
          </w:tcPr>
          <w:p w:rsidR="00457626" w:rsidRPr="00457626" w:rsidRDefault="00457626" w:rsidP="00457626">
            <w:pPr>
              <w:numPr>
                <w:ilvl w:val="0"/>
                <w:numId w:val="25"/>
              </w:numPr>
            </w:pPr>
            <w:r w:rsidRPr="00457626">
              <w:t>RPP</w:t>
            </w:r>
          </w:p>
        </w:tc>
        <w:tc>
          <w:tcPr>
            <w:tcW w:w="4344" w:type="dxa"/>
          </w:tcPr>
          <w:p w:rsidR="00457626" w:rsidRPr="00457626" w:rsidRDefault="00457626" w:rsidP="00457626">
            <w:pPr>
              <w:numPr>
                <w:ilvl w:val="0"/>
                <w:numId w:val="25"/>
              </w:numPr>
            </w:pPr>
            <w:r w:rsidRPr="00457626">
              <w:t>revenue and pricing principles</w:t>
            </w:r>
          </w:p>
        </w:tc>
      </w:tr>
      <w:tr w:rsidR="00457626" w:rsidTr="00457626">
        <w:tc>
          <w:tcPr>
            <w:tcW w:w="4349" w:type="dxa"/>
          </w:tcPr>
          <w:p w:rsidR="00457626" w:rsidRPr="00457626" w:rsidRDefault="00457626" w:rsidP="00457626">
            <w:pPr>
              <w:numPr>
                <w:ilvl w:val="0"/>
                <w:numId w:val="25"/>
              </w:numPr>
            </w:pPr>
            <w:r w:rsidRPr="00457626">
              <w:t>SAIDI</w:t>
            </w:r>
          </w:p>
        </w:tc>
        <w:tc>
          <w:tcPr>
            <w:tcW w:w="4344" w:type="dxa"/>
          </w:tcPr>
          <w:p w:rsidR="00457626" w:rsidRPr="00457626" w:rsidRDefault="00457626" w:rsidP="00457626">
            <w:pPr>
              <w:numPr>
                <w:ilvl w:val="0"/>
                <w:numId w:val="25"/>
              </w:numPr>
            </w:pPr>
            <w:r w:rsidRPr="00457626">
              <w:t>system average interruption duration index</w:t>
            </w:r>
          </w:p>
        </w:tc>
      </w:tr>
      <w:tr w:rsidR="00457626" w:rsidTr="00457626">
        <w:trPr>
          <w:cnfStyle w:val="000000010000" w:firstRow="0" w:lastRow="0" w:firstColumn="0" w:lastColumn="0" w:oddVBand="0" w:evenVBand="0" w:oddHBand="0" w:evenHBand="1" w:firstRowFirstColumn="0" w:firstRowLastColumn="0" w:lastRowFirstColumn="0" w:lastRowLastColumn="0"/>
        </w:trPr>
        <w:tc>
          <w:tcPr>
            <w:tcW w:w="4349" w:type="dxa"/>
          </w:tcPr>
          <w:p w:rsidR="00457626" w:rsidRPr="00457626" w:rsidRDefault="00457626" w:rsidP="00457626">
            <w:pPr>
              <w:numPr>
                <w:ilvl w:val="0"/>
                <w:numId w:val="25"/>
              </w:numPr>
            </w:pPr>
            <w:r w:rsidRPr="00457626">
              <w:t>SAIFI</w:t>
            </w:r>
          </w:p>
        </w:tc>
        <w:tc>
          <w:tcPr>
            <w:tcW w:w="4344" w:type="dxa"/>
          </w:tcPr>
          <w:p w:rsidR="00457626" w:rsidRPr="00457626" w:rsidRDefault="00457626" w:rsidP="00457626">
            <w:pPr>
              <w:numPr>
                <w:ilvl w:val="0"/>
                <w:numId w:val="25"/>
              </w:numPr>
            </w:pPr>
            <w:r w:rsidRPr="00457626">
              <w:t>system average interruption frequency index</w:t>
            </w:r>
          </w:p>
        </w:tc>
      </w:tr>
      <w:tr w:rsidR="00457626" w:rsidTr="00457626">
        <w:tc>
          <w:tcPr>
            <w:tcW w:w="4349" w:type="dxa"/>
          </w:tcPr>
          <w:p w:rsidR="00457626" w:rsidRPr="00457626" w:rsidRDefault="00457626" w:rsidP="00457626">
            <w:pPr>
              <w:numPr>
                <w:ilvl w:val="0"/>
                <w:numId w:val="25"/>
              </w:numPr>
            </w:pPr>
            <w:r w:rsidRPr="00457626">
              <w:t>SLCAPM</w:t>
            </w:r>
          </w:p>
        </w:tc>
        <w:tc>
          <w:tcPr>
            <w:tcW w:w="4344" w:type="dxa"/>
          </w:tcPr>
          <w:p w:rsidR="00457626" w:rsidRPr="00457626" w:rsidRDefault="00457626" w:rsidP="00457626">
            <w:pPr>
              <w:numPr>
                <w:ilvl w:val="0"/>
                <w:numId w:val="25"/>
              </w:numPr>
            </w:pPr>
            <w:r w:rsidRPr="00457626">
              <w:t>Sharpe-</w:t>
            </w:r>
            <w:proofErr w:type="spellStart"/>
            <w:r w:rsidRPr="00457626">
              <w:t>Lintner</w:t>
            </w:r>
            <w:proofErr w:type="spellEnd"/>
            <w:r w:rsidRPr="00457626">
              <w:t xml:space="preserve"> capital asset pricing model</w:t>
            </w:r>
          </w:p>
        </w:tc>
      </w:tr>
      <w:tr w:rsidR="00457626" w:rsidTr="00457626">
        <w:trPr>
          <w:cnfStyle w:val="000000010000" w:firstRow="0" w:lastRow="0" w:firstColumn="0" w:lastColumn="0" w:oddVBand="0" w:evenVBand="0" w:oddHBand="0" w:evenHBand="1" w:firstRowFirstColumn="0" w:firstRowLastColumn="0" w:lastRowFirstColumn="0" w:lastRowLastColumn="0"/>
        </w:trPr>
        <w:tc>
          <w:tcPr>
            <w:tcW w:w="4349" w:type="dxa"/>
          </w:tcPr>
          <w:p w:rsidR="00457626" w:rsidRPr="00457626" w:rsidRDefault="00457626" w:rsidP="00457626">
            <w:pPr>
              <w:numPr>
                <w:ilvl w:val="0"/>
                <w:numId w:val="25"/>
              </w:numPr>
            </w:pPr>
            <w:r w:rsidRPr="00457626">
              <w:t>STPIS</w:t>
            </w:r>
          </w:p>
        </w:tc>
        <w:tc>
          <w:tcPr>
            <w:tcW w:w="4344" w:type="dxa"/>
          </w:tcPr>
          <w:p w:rsidR="00457626" w:rsidRPr="00457626" w:rsidRDefault="00457626" w:rsidP="00457626">
            <w:pPr>
              <w:numPr>
                <w:ilvl w:val="0"/>
                <w:numId w:val="25"/>
              </w:numPr>
            </w:pPr>
            <w:r w:rsidRPr="00457626">
              <w:t>service target performance incentive scheme</w:t>
            </w:r>
          </w:p>
        </w:tc>
      </w:tr>
      <w:tr w:rsidR="00457626" w:rsidTr="00457626">
        <w:tc>
          <w:tcPr>
            <w:tcW w:w="4349" w:type="dxa"/>
          </w:tcPr>
          <w:p w:rsidR="00457626" w:rsidRPr="00457626" w:rsidRDefault="00457626" w:rsidP="00457626">
            <w:pPr>
              <w:numPr>
                <w:ilvl w:val="0"/>
                <w:numId w:val="25"/>
              </w:numPr>
            </w:pPr>
            <w:r w:rsidRPr="00457626">
              <w:t>WACC</w:t>
            </w:r>
          </w:p>
        </w:tc>
        <w:tc>
          <w:tcPr>
            <w:tcW w:w="4344" w:type="dxa"/>
          </w:tcPr>
          <w:p w:rsidR="00457626" w:rsidRPr="00457626" w:rsidRDefault="00457626" w:rsidP="00457626">
            <w:pPr>
              <w:numPr>
                <w:ilvl w:val="0"/>
                <w:numId w:val="25"/>
              </w:numPr>
            </w:pPr>
            <w:r w:rsidRPr="00457626">
              <w:t>weighted average cost of capital</w:t>
            </w:r>
          </w:p>
        </w:tc>
      </w:tr>
    </w:tbl>
    <w:p w:rsidR="00DE563D" w:rsidRPr="00436A39" w:rsidRDefault="00DE563D" w:rsidP="00DE563D">
      <w:pPr>
        <w:numPr>
          <w:ilvl w:val="0"/>
          <w:numId w:val="25"/>
        </w:numPr>
      </w:pPr>
    </w:p>
    <w:p w:rsidR="00DE563D" w:rsidRDefault="00DE563D" w:rsidP="00DE563D"/>
    <w:p w:rsidR="00DE563D" w:rsidRDefault="00FB1463" w:rsidP="00FB1463">
      <w:pPr>
        <w:pStyle w:val="Heading1"/>
      </w:pPr>
      <w:bookmarkStart w:id="10" w:name="_Toc414975750"/>
      <w:r w:rsidRPr="00FB1463">
        <w:lastRenderedPageBreak/>
        <w:t>Corporate income tax</w:t>
      </w:r>
      <w:bookmarkEnd w:id="10"/>
    </w:p>
    <w:p w:rsidR="00220EF7" w:rsidRPr="00A3599D" w:rsidRDefault="00220EF7" w:rsidP="00220EF7">
      <w:r w:rsidRPr="00A3599D">
        <w:t xml:space="preserve">We are required to make a decision on the estimated cost of corporate income tax for </w:t>
      </w:r>
      <w:r>
        <w:t>Essential Energy</w:t>
      </w:r>
      <w:r w:rsidR="00CA683D">
        <w:t xml:space="preserve"> in the</w:t>
      </w:r>
      <w:r w:rsidRPr="00A3599D">
        <w:t xml:space="preserve"> 2014–19 </w:t>
      </w:r>
      <w:proofErr w:type="gramStart"/>
      <w:r w:rsidRPr="00A3599D">
        <w:t>period</w:t>
      </w:r>
      <w:proofErr w:type="gramEnd"/>
      <w:r w:rsidRPr="00A3599D">
        <w:t>.</w:t>
      </w:r>
      <w:r w:rsidR="00953847">
        <w:rPr>
          <w:rStyle w:val="FootnoteReference"/>
        </w:rPr>
        <w:footnoteReference w:id="1"/>
      </w:r>
      <w:r w:rsidRPr="00A3599D">
        <w:t xml:space="preserve"> Under the post-tax framework, a corporate income tax allowance is calculated as part of the building block assessment using our post-tax revenue model (PTRM). This amount enables </w:t>
      </w:r>
      <w:r>
        <w:t>Essential Energy</w:t>
      </w:r>
      <w:r w:rsidRPr="00A3599D">
        <w:t xml:space="preserve"> to recover the costs associated with the estimated corporate income tax payable during the 2014–19 </w:t>
      </w:r>
      <w:proofErr w:type="gramStart"/>
      <w:r w:rsidRPr="00A3599D">
        <w:t>period</w:t>
      </w:r>
      <w:proofErr w:type="gramEnd"/>
      <w:r w:rsidRPr="00A3599D">
        <w:t xml:space="preserve">. </w:t>
      </w:r>
    </w:p>
    <w:p w:rsidR="00DE563D" w:rsidRDefault="00220EF7" w:rsidP="00DE563D">
      <w:r w:rsidRPr="00A3599D">
        <w:t xml:space="preserve">This attachment presents our </w:t>
      </w:r>
      <w:r w:rsidR="0090206C">
        <w:t>final decision on</w:t>
      </w:r>
      <w:r w:rsidRPr="00A3599D">
        <w:t xml:space="preserve"> </w:t>
      </w:r>
      <w:r>
        <w:t>Essential Energy</w:t>
      </w:r>
      <w:r w:rsidRPr="00A3599D">
        <w:t xml:space="preserve">'s </w:t>
      </w:r>
      <w:r w:rsidR="00BE1813">
        <w:t xml:space="preserve">revised </w:t>
      </w:r>
      <w:r w:rsidRPr="00A3599D">
        <w:t xml:space="preserve">proposed corporate income tax allowance for the 2014–19 </w:t>
      </w:r>
      <w:proofErr w:type="gramStart"/>
      <w:r w:rsidRPr="00A3599D">
        <w:t>period</w:t>
      </w:r>
      <w:proofErr w:type="gramEnd"/>
      <w:r w:rsidRPr="00A3599D">
        <w:t xml:space="preserve">. It also presents our </w:t>
      </w:r>
      <w:r w:rsidR="00953847">
        <w:t>final decision</w:t>
      </w:r>
      <w:r w:rsidRPr="00A3599D">
        <w:t xml:space="preserve"> </w:t>
      </w:r>
      <w:r w:rsidR="00953847">
        <w:t xml:space="preserve">on </w:t>
      </w:r>
      <w:r w:rsidRPr="00A3599D">
        <w:t xml:space="preserve">its </w:t>
      </w:r>
      <w:r w:rsidR="00953847">
        <w:t xml:space="preserve">revised </w:t>
      </w:r>
      <w:r>
        <w:t>proposed opening tax asset base (TAB</w:t>
      </w:r>
      <w:r w:rsidRPr="00A3599D">
        <w:t>), the standard and remaining tax asset lives used to estimate tax depreciation for the purpose of calculating tax expenses</w:t>
      </w:r>
      <w:r>
        <w:t>, and the tax treatment of incentive scheme</w:t>
      </w:r>
      <w:r w:rsidR="00B1379F">
        <w:t xml:space="preserve"> revenue</w:t>
      </w:r>
      <w:r>
        <w:t>s</w:t>
      </w:r>
      <w:r w:rsidRPr="00A3599D">
        <w:t>.</w:t>
      </w:r>
    </w:p>
    <w:p w:rsidR="00DE563D" w:rsidRPr="001754EE" w:rsidRDefault="00415F31" w:rsidP="001754EE">
      <w:pPr>
        <w:pStyle w:val="Heading2"/>
      </w:pPr>
      <w:bookmarkStart w:id="11" w:name="_Toc403144136"/>
      <w:bookmarkStart w:id="12" w:name="_Toc414975751"/>
      <w:r w:rsidRPr="001754EE">
        <w:t>Final</w:t>
      </w:r>
      <w:r w:rsidR="00DE563D" w:rsidRPr="001754EE">
        <w:t xml:space="preserve"> decision</w:t>
      </w:r>
      <w:bookmarkEnd w:id="11"/>
      <w:bookmarkEnd w:id="12"/>
    </w:p>
    <w:p w:rsidR="002C233C" w:rsidRDefault="00220EF7" w:rsidP="002C233C">
      <w:bookmarkStart w:id="13" w:name="_Toc403144137"/>
      <w:r>
        <w:t>We do not accept Essential Energy's revised proposed cost of corporate income tax allowance of $</w:t>
      </w:r>
      <w:r w:rsidR="004D189C">
        <w:t>366.7 </w:t>
      </w:r>
      <w:r>
        <w:t>million ($ nominal). Our final decision on the estimated cost of corporate income tax is $</w:t>
      </w:r>
      <w:r w:rsidR="004D189C">
        <w:t>19</w:t>
      </w:r>
      <w:r w:rsidR="000E26B9">
        <w:t>6.9</w:t>
      </w:r>
      <w:r w:rsidR="004D189C">
        <w:t> </w:t>
      </w:r>
      <w:r>
        <w:t>million ($ nominal) for Essential Energy over the 2014–19 period. This represents a reduction of $</w:t>
      </w:r>
      <w:r w:rsidR="004D189C">
        <w:t>169.</w:t>
      </w:r>
      <w:r w:rsidR="000E26B9">
        <w:t>8</w:t>
      </w:r>
      <w:r w:rsidR="004D189C">
        <w:t> </w:t>
      </w:r>
      <w:r>
        <w:t xml:space="preserve">million (or </w:t>
      </w:r>
      <w:r w:rsidR="004D189C">
        <w:t>46.</w:t>
      </w:r>
      <w:r w:rsidR="000E26B9">
        <w:t>3</w:t>
      </w:r>
      <w:r w:rsidR="004D189C">
        <w:t> </w:t>
      </w:r>
      <w:r>
        <w:t>per cent) from its revised proposal.</w:t>
      </w:r>
    </w:p>
    <w:p w:rsidR="00220EF7" w:rsidRDefault="00220EF7" w:rsidP="002C233C">
      <w:r>
        <w:t xml:space="preserve">This reduction reflects our final decision on </w:t>
      </w:r>
      <w:r w:rsidRPr="00D94EE0">
        <w:t>the</w:t>
      </w:r>
      <w:r>
        <w:t xml:space="preserve"> </w:t>
      </w:r>
      <w:r w:rsidR="0090206C">
        <w:t xml:space="preserve">inputs for forecasting the cost of corporate income tax such as the </w:t>
      </w:r>
      <w:r>
        <w:t xml:space="preserve">opening tax asset base (section </w:t>
      </w:r>
      <w:r w:rsidR="00852825">
        <w:fldChar w:fldCharType="begin"/>
      </w:r>
      <w:r w:rsidR="00852825">
        <w:instrText xml:space="preserve"> REF _Ref413831135 \r \h </w:instrText>
      </w:r>
      <w:r w:rsidR="00852825">
        <w:fldChar w:fldCharType="separate"/>
      </w:r>
      <w:r w:rsidR="00852825">
        <w:t>8.4.1</w:t>
      </w:r>
      <w:r w:rsidR="00852825">
        <w:fldChar w:fldCharType="end"/>
      </w:r>
      <w:r>
        <w:t>)</w:t>
      </w:r>
      <w:r w:rsidR="0090206C">
        <w:t>,</w:t>
      </w:r>
      <w:r w:rsidRPr="00D94EE0">
        <w:t xml:space="preserve"> and</w:t>
      </w:r>
      <w:r>
        <w:t xml:space="preserve"> </w:t>
      </w:r>
      <w:r w:rsidR="0090206C">
        <w:t xml:space="preserve">the </w:t>
      </w:r>
      <w:r>
        <w:t>standard and</w:t>
      </w:r>
      <w:r w:rsidRPr="00D94EE0">
        <w:t xml:space="preserve"> remaining tax asset lives</w:t>
      </w:r>
      <w:r>
        <w:t xml:space="preserve"> (sections </w:t>
      </w:r>
      <w:r w:rsidR="00852825">
        <w:fldChar w:fldCharType="begin"/>
      </w:r>
      <w:r w:rsidR="00852825">
        <w:instrText xml:space="preserve"> REF _Ref414970592 \r \h </w:instrText>
      </w:r>
      <w:r w:rsidR="00852825">
        <w:fldChar w:fldCharType="separate"/>
      </w:r>
      <w:r w:rsidR="00852825">
        <w:t>8.4.2</w:t>
      </w:r>
      <w:r w:rsidR="00852825">
        <w:fldChar w:fldCharType="end"/>
      </w:r>
      <w:r>
        <w:t xml:space="preserve"> and </w:t>
      </w:r>
      <w:r w:rsidR="00852825">
        <w:fldChar w:fldCharType="begin"/>
      </w:r>
      <w:r w:rsidR="00852825">
        <w:instrText xml:space="preserve"> REF _Ref414624671 \r \h </w:instrText>
      </w:r>
      <w:r w:rsidR="00852825">
        <w:fldChar w:fldCharType="separate"/>
      </w:r>
      <w:r w:rsidR="00852825">
        <w:t>8.4.3</w:t>
      </w:r>
      <w:r w:rsidR="00852825">
        <w:fldChar w:fldCharType="end"/>
      </w:r>
      <w:r>
        <w:t xml:space="preserve"> respectively). </w:t>
      </w:r>
      <w:r w:rsidRPr="00D94EE0">
        <w:t>It also reflects our</w:t>
      </w:r>
      <w:r>
        <w:t xml:space="preserve"> final decision on the value of imputation credits—gamma—(attachment 4)</w:t>
      </w:r>
      <w:r w:rsidR="00953847">
        <w:t xml:space="preserve"> and c</w:t>
      </w:r>
      <w:r>
        <w:t>hanges to the building block costs affect</w:t>
      </w:r>
      <w:r w:rsidR="00953847">
        <w:t>ing</w:t>
      </w:r>
      <w:r>
        <w:t xml:space="preserve"> revenues, which also impact the tax calculation. The changes affecting revenues are discussed in attachment 1.</w:t>
      </w:r>
    </w:p>
    <w:p w:rsidR="006056FB" w:rsidRDefault="006056FB" w:rsidP="002C233C">
      <w:r>
        <w:fldChar w:fldCharType="begin"/>
      </w:r>
      <w:r>
        <w:instrText xml:space="preserve"> REF _Ref413830097 \h </w:instrText>
      </w:r>
      <w:r>
        <w:fldChar w:fldCharType="separate"/>
      </w:r>
      <w:r w:rsidR="00852825">
        <w:t xml:space="preserve">Table </w:t>
      </w:r>
      <w:r w:rsidR="00852825">
        <w:rPr>
          <w:noProof/>
        </w:rPr>
        <w:t>8</w:t>
      </w:r>
      <w:r w:rsidR="00852825">
        <w:t>.</w:t>
      </w:r>
      <w:r w:rsidR="00852825">
        <w:rPr>
          <w:noProof/>
        </w:rPr>
        <w:t>1</w:t>
      </w:r>
      <w:r>
        <w:fldChar w:fldCharType="end"/>
      </w:r>
      <w:r>
        <w:t xml:space="preserve"> sets out our final decision on the estimated cost of corporate income tax allowance for Essential Energy. </w:t>
      </w:r>
    </w:p>
    <w:p w:rsidR="006056FB" w:rsidRDefault="006056FB" w:rsidP="006056FB">
      <w:pPr>
        <w:pStyle w:val="Caption"/>
      </w:pPr>
      <w:bookmarkStart w:id="14" w:name="_Ref413830097"/>
      <w:proofErr w:type="gramStart"/>
      <w:r>
        <w:t xml:space="preserve">Table </w:t>
      </w:r>
      <w:proofErr w:type="gramEnd"/>
      <w:r w:rsidR="0001781B">
        <w:fldChar w:fldCharType="begin"/>
      </w:r>
      <w:r w:rsidR="0001781B">
        <w:instrText xml:space="preserve"> STYLEREF 1 \s </w:instrText>
      </w:r>
      <w:r w:rsidR="0001781B">
        <w:fldChar w:fldCharType="separate"/>
      </w:r>
      <w:r w:rsidR="00852825">
        <w:rPr>
          <w:noProof/>
        </w:rPr>
        <w:t>8</w:t>
      </w:r>
      <w:r w:rsidR="0001781B">
        <w:rPr>
          <w:noProof/>
        </w:rPr>
        <w:fldChar w:fldCharType="end"/>
      </w:r>
      <w:proofErr w:type="gramStart"/>
      <w:r w:rsidR="00641A2F">
        <w:t>.</w:t>
      </w:r>
      <w:proofErr w:type="gramEnd"/>
      <w:r w:rsidR="0001781B">
        <w:fldChar w:fldCharType="begin"/>
      </w:r>
      <w:r w:rsidR="0001781B">
        <w:instrText xml:space="preserve"> SEQ Table \* ARABIC \s 1 </w:instrText>
      </w:r>
      <w:r w:rsidR="0001781B">
        <w:fldChar w:fldCharType="separate"/>
      </w:r>
      <w:r w:rsidR="00852825">
        <w:rPr>
          <w:noProof/>
        </w:rPr>
        <w:t>1</w:t>
      </w:r>
      <w:r w:rsidR="0001781B">
        <w:rPr>
          <w:noProof/>
        </w:rPr>
        <w:fldChar w:fldCharType="end"/>
      </w:r>
      <w:bookmarkEnd w:id="14"/>
      <w:r>
        <w:tab/>
      </w:r>
      <w:r w:rsidRPr="006056FB">
        <w:t xml:space="preserve">AER's final decision on </w:t>
      </w:r>
      <w:r>
        <w:t>Essential</w:t>
      </w:r>
      <w:r w:rsidRPr="006056FB">
        <w:t xml:space="preserve"> Energy's cost of corporate income tax allowance for the 2014–19 period ($ million, nominal)</w:t>
      </w:r>
    </w:p>
    <w:tbl>
      <w:tblPr>
        <w:tblStyle w:val="AERtable-numbers"/>
        <w:tblW w:w="5000" w:type="pct"/>
        <w:tblLook w:val="04A0" w:firstRow="1" w:lastRow="0" w:firstColumn="1" w:lastColumn="0" w:noHBand="0" w:noVBand="1"/>
      </w:tblPr>
      <w:tblGrid>
        <w:gridCol w:w="3111"/>
        <w:gridCol w:w="977"/>
        <w:gridCol w:w="977"/>
        <w:gridCol w:w="977"/>
        <w:gridCol w:w="977"/>
        <w:gridCol w:w="977"/>
        <w:gridCol w:w="697"/>
      </w:tblGrid>
      <w:tr w:rsidR="006056FB" w:rsidTr="00953847">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789" w:type="pct"/>
          </w:tcPr>
          <w:p w:rsidR="006056FB" w:rsidRDefault="006056FB" w:rsidP="006056FB"/>
        </w:tc>
        <w:tc>
          <w:tcPr>
            <w:tcW w:w="562" w:type="pct"/>
          </w:tcPr>
          <w:p w:rsidR="006056FB" w:rsidRPr="006056FB" w:rsidRDefault="006056FB" w:rsidP="006056FB">
            <w:pPr>
              <w:cnfStyle w:val="100000000000" w:firstRow="1" w:lastRow="0" w:firstColumn="0" w:lastColumn="0" w:oddVBand="0" w:evenVBand="0" w:oddHBand="0" w:evenHBand="0" w:firstRowFirstColumn="0" w:firstRowLastColumn="0" w:lastRowFirstColumn="0" w:lastRowLastColumn="0"/>
            </w:pPr>
            <w:r>
              <w:t>2014–15</w:t>
            </w:r>
          </w:p>
        </w:tc>
        <w:tc>
          <w:tcPr>
            <w:tcW w:w="562" w:type="pct"/>
          </w:tcPr>
          <w:p w:rsidR="006056FB" w:rsidRPr="006056FB" w:rsidRDefault="006056FB" w:rsidP="006056FB">
            <w:pPr>
              <w:cnfStyle w:val="100000000000" w:firstRow="1" w:lastRow="0" w:firstColumn="0" w:lastColumn="0" w:oddVBand="0" w:evenVBand="0" w:oddHBand="0" w:evenHBand="0" w:firstRowFirstColumn="0" w:firstRowLastColumn="0" w:lastRowFirstColumn="0" w:lastRowLastColumn="0"/>
            </w:pPr>
            <w:r>
              <w:t>2015–16</w:t>
            </w:r>
          </w:p>
        </w:tc>
        <w:tc>
          <w:tcPr>
            <w:tcW w:w="562" w:type="pct"/>
          </w:tcPr>
          <w:p w:rsidR="006056FB" w:rsidRPr="006056FB" w:rsidRDefault="006056FB" w:rsidP="006056FB">
            <w:pPr>
              <w:cnfStyle w:val="100000000000" w:firstRow="1" w:lastRow="0" w:firstColumn="0" w:lastColumn="0" w:oddVBand="0" w:evenVBand="0" w:oddHBand="0" w:evenHBand="0" w:firstRowFirstColumn="0" w:firstRowLastColumn="0" w:lastRowFirstColumn="0" w:lastRowLastColumn="0"/>
            </w:pPr>
            <w:r>
              <w:t>2016–17</w:t>
            </w:r>
          </w:p>
        </w:tc>
        <w:tc>
          <w:tcPr>
            <w:tcW w:w="562" w:type="pct"/>
          </w:tcPr>
          <w:p w:rsidR="006056FB" w:rsidRPr="006056FB" w:rsidRDefault="006056FB" w:rsidP="006056FB">
            <w:pPr>
              <w:cnfStyle w:val="100000000000" w:firstRow="1" w:lastRow="0" w:firstColumn="0" w:lastColumn="0" w:oddVBand="0" w:evenVBand="0" w:oddHBand="0" w:evenHBand="0" w:firstRowFirstColumn="0" w:firstRowLastColumn="0" w:lastRowFirstColumn="0" w:lastRowLastColumn="0"/>
            </w:pPr>
            <w:r>
              <w:t>2017–18</w:t>
            </w:r>
          </w:p>
        </w:tc>
        <w:tc>
          <w:tcPr>
            <w:tcW w:w="562" w:type="pct"/>
          </w:tcPr>
          <w:p w:rsidR="006056FB" w:rsidRPr="006056FB" w:rsidRDefault="006056FB" w:rsidP="006056FB">
            <w:pPr>
              <w:cnfStyle w:val="100000000000" w:firstRow="1" w:lastRow="0" w:firstColumn="0" w:lastColumn="0" w:oddVBand="0" w:evenVBand="0" w:oddHBand="0" w:evenHBand="0" w:firstRowFirstColumn="0" w:firstRowLastColumn="0" w:lastRowFirstColumn="0" w:lastRowLastColumn="0"/>
            </w:pPr>
            <w:r>
              <w:t>2018–19</w:t>
            </w:r>
          </w:p>
        </w:tc>
        <w:tc>
          <w:tcPr>
            <w:tcW w:w="401" w:type="pct"/>
          </w:tcPr>
          <w:p w:rsidR="006056FB" w:rsidRPr="006056FB" w:rsidRDefault="006056FB" w:rsidP="006056FB">
            <w:pPr>
              <w:cnfStyle w:val="100000000000" w:firstRow="1" w:lastRow="0" w:firstColumn="0" w:lastColumn="0" w:oddVBand="0" w:evenVBand="0" w:oddHBand="0" w:evenHBand="0" w:firstRowFirstColumn="0" w:firstRowLastColumn="0" w:lastRowFirstColumn="0" w:lastRowLastColumn="0"/>
            </w:pPr>
            <w:r>
              <w:t>Total</w:t>
            </w:r>
          </w:p>
        </w:tc>
      </w:tr>
      <w:tr w:rsidR="000E26B9" w:rsidTr="0077313E">
        <w:trPr>
          <w:trHeight w:val="408"/>
        </w:trPr>
        <w:tc>
          <w:tcPr>
            <w:cnfStyle w:val="001000000000" w:firstRow="0" w:lastRow="0" w:firstColumn="1" w:lastColumn="0" w:oddVBand="0" w:evenVBand="0" w:oddHBand="0" w:evenHBand="0" w:firstRowFirstColumn="0" w:firstRowLastColumn="0" w:lastRowFirstColumn="0" w:lastRowLastColumn="0"/>
            <w:tcW w:w="1789" w:type="pct"/>
          </w:tcPr>
          <w:p w:rsidR="000E26B9" w:rsidRPr="000E26B9" w:rsidRDefault="000E26B9" w:rsidP="000E26B9">
            <w:r w:rsidRPr="000E26B9">
              <w:t xml:space="preserve">Tax payable                            </w:t>
            </w:r>
          </w:p>
        </w:tc>
        <w:tc>
          <w:tcPr>
            <w:tcW w:w="562" w:type="pct"/>
            <w:vAlign w:val="bottom"/>
          </w:tcPr>
          <w:p w:rsidR="000E26B9" w:rsidRPr="000E26B9" w:rsidRDefault="000E26B9" w:rsidP="000E26B9">
            <w:pPr>
              <w:cnfStyle w:val="000000000000" w:firstRow="0" w:lastRow="0" w:firstColumn="0" w:lastColumn="0" w:oddVBand="0" w:evenVBand="0" w:oddHBand="0" w:evenHBand="0" w:firstRowFirstColumn="0" w:firstRowLastColumn="0" w:lastRowFirstColumn="0" w:lastRowLastColumn="0"/>
            </w:pPr>
            <w:r w:rsidRPr="000E26B9">
              <w:t>59.2</w:t>
            </w:r>
          </w:p>
        </w:tc>
        <w:tc>
          <w:tcPr>
            <w:tcW w:w="562" w:type="pct"/>
            <w:vAlign w:val="bottom"/>
          </w:tcPr>
          <w:p w:rsidR="000E26B9" w:rsidRPr="000E26B9" w:rsidRDefault="000E26B9" w:rsidP="000E26B9">
            <w:pPr>
              <w:cnfStyle w:val="000000000000" w:firstRow="0" w:lastRow="0" w:firstColumn="0" w:lastColumn="0" w:oddVBand="0" w:evenVBand="0" w:oddHBand="0" w:evenHBand="0" w:firstRowFirstColumn="0" w:firstRowLastColumn="0" w:lastRowFirstColumn="0" w:lastRowLastColumn="0"/>
            </w:pPr>
            <w:r w:rsidRPr="000E26B9">
              <w:t>62.8</w:t>
            </w:r>
          </w:p>
        </w:tc>
        <w:tc>
          <w:tcPr>
            <w:tcW w:w="562" w:type="pct"/>
            <w:vAlign w:val="bottom"/>
          </w:tcPr>
          <w:p w:rsidR="000E26B9" w:rsidRPr="000E26B9" w:rsidRDefault="000E26B9" w:rsidP="000E26B9">
            <w:pPr>
              <w:cnfStyle w:val="000000000000" w:firstRow="0" w:lastRow="0" w:firstColumn="0" w:lastColumn="0" w:oddVBand="0" w:evenVBand="0" w:oddHBand="0" w:evenHBand="0" w:firstRowFirstColumn="0" w:firstRowLastColumn="0" w:lastRowFirstColumn="0" w:lastRowLastColumn="0"/>
            </w:pPr>
            <w:r w:rsidRPr="000E26B9">
              <w:t>71.1</w:t>
            </w:r>
          </w:p>
        </w:tc>
        <w:tc>
          <w:tcPr>
            <w:tcW w:w="562" w:type="pct"/>
            <w:vAlign w:val="bottom"/>
          </w:tcPr>
          <w:p w:rsidR="000E26B9" w:rsidRPr="000E26B9" w:rsidRDefault="000E26B9" w:rsidP="000E26B9">
            <w:pPr>
              <w:cnfStyle w:val="000000000000" w:firstRow="0" w:lastRow="0" w:firstColumn="0" w:lastColumn="0" w:oddVBand="0" w:evenVBand="0" w:oddHBand="0" w:evenHBand="0" w:firstRowFirstColumn="0" w:firstRowLastColumn="0" w:lastRowFirstColumn="0" w:lastRowLastColumn="0"/>
            </w:pPr>
            <w:r w:rsidRPr="000E26B9">
              <w:t>64.3</w:t>
            </w:r>
          </w:p>
        </w:tc>
        <w:tc>
          <w:tcPr>
            <w:tcW w:w="562" w:type="pct"/>
            <w:vAlign w:val="bottom"/>
          </w:tcPr>
          <w:p w:rsidR="000E26B9" w:rsidRPr="000E26B9" w:rsidRDefault="000E26B9" w:rsidP="000E26B9">
            <w:pPr>
              <w:cnfStyle w:val="000000000000" w:firstRow="0" w:lastRow="0" w:firstColumn="0" w:lastColumn="0" w:oddVBand="0" w:evenVBand="0" w:oddHBand="0" w:evenHBand="0" w:firstRowFirstColumn="0" w:firstRowLastColumn="0" w:lastRowFirstColumn="0" w:lastRowLastColumn="0"/>
            </w:pPr>
            <w:r w:rsidRPr="000E26B9">
              <w:t>70.8</w:t>
            </w:r>
          </w:p>
        </w:tc>
        <w:tc>
          <w:tcPr>
            <w:tcW w:w="401" w:type="pct"/>
            <w:vAlign w:val="bottom"/>
          </w:tcPr>
          <w:p w:rsidR="000E26B9" w:rsidRPr="000E26B9" w:rsidRDefault="000E26B9" w:rsidP="000E26B9">
            <w:pPr>
              <w:cnfStyle w:val="000000000000" w:firstRow="0" w:lastRow="0" w:firstColumn="0" w:lastColumn="0" w:oddVBand="0" w:evenVBand="0" w:oddHBand="0" w:evenHBand="0" w:firstRowFirstColumn="0" w:firstRowLastColumn="0" w:lastRowFirstColumn="0" w:lastRowLastColumn="0"/>
            </w:pPr>
            <w:r w:rsidRPr="000E26B9">
              <w:t>328.2</w:t>
            </w:r>
          </w:p>
        </w:tc>
      </w:tr>
      <w:tr w:rsidR="000E26B9" w:rsidTr="0077313E">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789" w:type="pct"/>
          </w:tcPr>
          <w:p w:rsidR="000E26B9" w:rsidRPr="000E26B9" w:rsidRDefault="000E26B9" w:rsidP="000E26B9">
            <w:r w:rsidRPr="000E26B9">
              <w:rPr>
                <w:rStyle w:val="AERtextitalic"/>
              </w:rPr>
              <w:t>Less:</w:t>
            </w:r>
            <w:r w:rsidRPr="000E26B9">
              <w:t xml:space="preserve"> value of imputation credits</w:t>
            </w:r>
          </w:p>
        </w:tc>
        <w:tc>
          <w:tcPr>
            <w:tcW w:w="562" w:type="pct"/>
            <w:vAlign w:val="bottom"/>
          </w:tcPr>
          <w:p w:rsidR="000E26B9" w:rsidRPr="000E26B9" w:rsidRDefault="000E26B9" w:rsidP="000E26B9">
            <w:pPr>
              <w:cnfStyle w:val="000000010000" w:firstRow="0" w:lastRow="0" w:firstColumn="0" w:lastColumn="0" w:oddVBand="0" w:evenVBand="0" w:oddHBand="0" w:evenHBand="1" w:firstRowFirstColumn="0" w:firstRowLastColumn="0" w:lastRowFirstColumn="0" w:lastRowLastColumn="0"/>
            </w:pPr>
            <w:r w:rsidRPr="000E26B9">
              <w:t>23.7</w:t>
            </w:r>
          </w:p>
        </w:tc>
        <w:tc>
          <w:tcPr>
            <w:tcW w:w="562" w:type="pct"/>
            <w:vAlign w:val="bottom"/>
          </w:tcPr>
          <w:p w:rsidR="000E26B9" w:rsidRPr="000E26B9" w:rsidRDefault="000E26B9" w:rsidP="000E26B9">
            <w:pPr>
              <w:cnfStyle w:val="000000010000" w:firstRow="0" w:lastRow="0" w:firstColumn="0" w:lastColumn="0" w:oddVBand="0" w:evenVBand="0" w:oddHBand="0" w:evenHBand="1" w:firstRowFirstColumn="0" w:firstRowLastColumn="0" w:lastRowFirstColumn="0" w:lastRowLastColumn="0"/>
            </w:pPr>
            <w:r w:rsidRPr="000E26B9">
              <w:t>25.1</w:t>
            </w:r>
          </w:p>
        </w:tc>
        <w:tc>
          <w:tcPr>
            <w:tcW w:w="562" w:type="pct"/>
            <w:vAlign w:val="bottom"/>
          </w:tcPr>
          <w:p w:rsidR="000E26B9" w:rsidRPr="000E26B9" w:rsidRDefault="000E26B9" w:rsidP="000E26B9">
            <w:pPr>
              <w:cnfStyle w:val="000000010000" w:firstRow="0" w:lastRow="0" w:firstColumn="0" w:lastColumn="0" w:oddVBand="0" w:evenVBand="0" w:oddHBand="0" w:evenHBand="1" w:firstRowFirstColumn="0" w:firstRowLastColumn="0" w:lastRowFirstColumn="0" w:lastRowLastColumn="0"/>
            </w:pPr>
            <w:r w:rsidRPr="000E26B9">
              <w:t>28.5</w:t>
            </w:r>
          </w:p>
        </w:tc>
        <w:tc>
          <w:tcPr>
            <w:tcW w:w="562" w:type="pct"/>
            <w:vAlign w:val="bottom"/>
          </w:tcPr>
          <w:p w:rsidR="000E26B9" w:rsidRPr="000E26B9" w:rsidRDefault="000E26B9" w:rsidP="000E26B9">
            <w:pPr>
              <w:cnfStyle w:val="000000010000" w:firstRow="0" w:lastRow="0" w:firstColumn="0" w:lastColumn="0" w:oddVBand="0" w:evenVBand="0" w:oddHBand="0" w:evenHBand="1" w:firstRowFirstColumn="0" w:firstRowLastColumn="0" w:lastRowFirstColumn="0" w:lastRowLastColumn="0"/>
            </w:pPr>
            <w:r w:rsidRPr="000E26B9">
              <w:t>25.7</w:t>
            </w:r>
          </w:p>
        </w:tc>
        <w:tc>
          <w:tcPr>
            <w:tcW w:w="562" w:type="pct"/>
            <w:vAlign w:val="bottom"/>
          </w:tcPr>
          <w:p w:rsidR="000E26B9" w:rsidRPr="000E26B9" w:rsidRDefault="000E26B9" w:rsidP="000E26B9">
            <w:pPr>
              <w:cnfStyle w:val="000000010000" w:firstRow="0" w:lastRow="0" w:firstColumn="0" w:lastColumn="0" w:oddVBand="0" w:evenVBand="0" w:oddHBand="0" w:evenHBand="1" w:firstRowFirstColumn="0" w:firstRowLastColumn="0" w:lastRowFirstColumn="0" w:lastRowLastColumn="0"/>
            </w:pPr>
            <w:r w:rsidRPr="000E26B9">
              <w:t>28.3</w:t>
            </w:r>
          </w:p>
        </w:tc>
        <w:tc>
          <w:tcPr>
            <w:tcW w:w="401" w:type="pct"/>
            <w:vAlign w:val="bottom"/>
          </w:tcPr>
          <w:p w:rsidR="000E26B9" w:rsidRPr="000E26B9" w:rsidRDefault="000E26B9" w:rsidP="000E26B9">
            <w:pPr>
              <w:cnfStyle w:val="000000010000" w:firstRow="0" w:lastRow="0" w:firstColumn="0" w:lastColumn="0" w:oddVBand="0" w:evenVBand="0" w:oddHBand="0" w:evenHBand="1" w:firstRowFirstColumn="0" w:firstRowLastColumn="0" w:lastRowFirstColumn="0" w:lastRowLastColumn="0"/>
            </w:pPr>
            <w:r w:rsidRPr="000E26B9">
              <w:t>131.3</w:t>
            </w:r>
          </w:p>
        </w:tc>
      </w:tr>
      <w:tr w:rsidR="000E26B9" w:rsidRPr="000E26B9" w:rsidTr="0077313E">
        <w:trPr>
          <w:trHeight w:val="408"/>
        </w:trPr>
        <w:tc>
          <w:tcPr>
            <w:cnfStyle w:val="001000000000" w:firstRow="0" w:lastRow="0" w:firstColumn="1" w:lastColumn="0" w:oddVBand="0" w:evenVBand="0" w:oddHBand="0" w:evenHBand="0" w:firstRowFirstColumn="0" w:firstRowLastColumn="0" w:lastRowFirstColumn="0" w:lastRowLastColumn="0"/>
            <w:tcW w:w="1789" w:type="pct"/>
          </w:tcPr>
          <w:p w:rsidR="000E26B9" w:rsidRPr="000E26B9" w:rsidRDefault="000E26B9" w:rsidP="000E26B9">
            <w:pPr>
              <w:rPr>
                <w:rStyle w:val="Strong"/>
              </w:rPr>
            </w:pPr>
            <w:r w:rsidRPr="000E26B9">
              <w:rPr>
                <w:rStyle w:val="Strong"/>
              </w:rPr>
              <w:t xml:space="preserve">Corporate income tax allowance </w:t>
            </w:r>
          </w:p>
        </w:tc>
        <w:tc>
          <w:tcPr>
            <w:tcW w:w="562" w:type="pct"/>
            <w:vAlign w:val="bottom"/>
          </w:tcPr>
          <w:p w:rsidR="000E26B9" w:rsidRPr="000E26B9" w:rsidRDefault="000E26B9" w:rsidP="000E26B9">
            <w:pPr>
              <w:cnfStyle w:val="000000000000" w:firstRow="0" w:lastRow="0" w:firstColumn="0" w:lastColumn="0" w:oddVBand="0" w:evenVBand="0" w:oddHBand="0" w:evenHBand="0" w:firstRowFirstColumn="0" w:firstRowLastColumn="0" w:lastRowFirstColumn="0" w:lastRowLastColumn="0"/>
              <w:rPr>
                <w:rStyle w:val="Strong"/>
              </w:rPr>
            </w:pPr>
            <w:r w:rsidRPr="000E26B9">
              <w:rPr>
                <w:rStyle w:val="Strong"/>
              </w:rPr>
              <w:t>35.5</w:t>
            </w:r>
          </w:p>
        </w:tc>
        <w:tc>
          <w:tcPr>
            <w:tcW w:w="562" w:type="pct"/>
            <w:vAlign w:val="bottom"/>
          </w:tcPr>
          <w:p w:rsidR="000E26B9" w:rsidRPr="000E26B9" w:rsidRDefault="000E26B9" w:rsidP="000E26B9">
            <w:pPr>
              <w:cnfStyle w:val="000000000000" w:firstRow="0" w:lastRow="0" w:firstColumn="0" w:lastColumn="0" w:oddVBand="0" w:evenVBand="0" w:oddHBand="0" w:evenHBand="0" w:firstRowFirstColumn="0" w:firstRowLastColumn="0" w:lastRowFirstColumn="0" w:lastRowLastColumn="0"/>
              <w:rPr>
                <w:rStyle w:val="Strong"/>
              </w:rPr>
            </w:pPr>
            <w:r w:rsidRPr="000E26B9">
              <w:rPr>
                <w:rStyle w:val="Strong"/>
              </w:rPr>
              <w:t>37.7</w:t>
            </w:r>
          </w:p>
        </w:tc>
        <w:tc>
          <w:tcPr>
            <w:tcW w:w="562" w:type="pct"/>
            <w:vAlign w:val="bottom"/>
          </w:tcPr>
          <w:p w:rsidR="000E26B9" w:rsidRPr="000E26B9" w:rsidRDefault="000E26B9" w:rsidP="000E26B9">
            <w:pPr>
              <w:cnfStyle w:val="000000000000" w:firstRow="0" w:lastRow="0" w:firstColumn="0" w:lastColumn="0" w:oddVBand="0" w:evenVBand="0" w:oddHBand="0" w:evenHBand="0" w:firstRowFirstColumn="0" w:firstRowLastColumn="0" w:lastRowFirstColumn="0" w:lastRowLastColumn="0"/>
              <w:rPr>
                <w:rStyle w:val="Strong"/>
              </w:rPr>
            </w:pPr>
            <w:r w:rsidRPr="000E26B9">
              <w:rPr>
                <w:rStyle w:val="Strong"/>
              </w:rPr>
              <w:t>42.7</w:t>
            </w:r>
          </w:p>
        </w:tc>
        <w:tc>
          <w:tcPr>
            <w:tcW w:w="562" w:type="pct"/>
            <w:vAlign w:val="bottom"/>
          </w:tcPr>
          <w:p w:rsidR="000E26B9" w:rsidRPr="000E26B9" w:rsidRDefault="000E26B9" w:rsidP="000E26B9">
            <w:pPr>
              <w:cnfStyle w:val="000000000000" w:firstRow="0" w:lastRow="0" w:firstColumn="0" w:lastColumn="0" w:oddVBand="0" w:evenVBand="0" w:oddHBand="0" w:evenHBand="0" w:firstRowFirstColumn="0" w:firstRowLastColumn="0" w:lastRowFirstColumn="0" w:lastRowLastColumn="0"/>
              <w:rPr>
                <w:rStyle w:val="Strong"/>
              </w:rPr>
            </w:pPr>
            <w:r w:rsidRPr="000E26B9">
              <w:rPr>
                <w:rStyle w:val="Strong"/>
              </w:rPr>
              <w:t>38.6</w:t>
            </w:r>
          </w:p>
        </w:tc>
        <w:tc>
          <w:tcPr>
            <w:tcW w:w="562" w:type="pct"/>
            <w:vAlign w:val="bottom"/>
          </w:tcPr>
          <w:p w:rsidR="000E26B9" w:rsidRPr="000E26B9" w:rsidRDefault="000E26B9" w:rsidP="000E26B9">
            <w:pPr>
              <w:cnfStyle w:val="000000000000" w:firstRow="0" w:lastRow="0" w:firstColumn="0" w:lastColumn="0" w:oddVBand="0" w:evenVBand="0" w:oddHBand="0" w:evenHBand="0" w:firstRowFirstColumn="0" w:firstRowLastColumn="0" w:lastRowFirstColumn="0" w:lastRowLastColumn="0"/>
              <w:rPr>
                <w:rStyle w:val="Strong"/>
              </w:rPr>
            </w:pPr>
            <w:r w:rsidRPr="000E26B9">
              <w:rPr>
                <w:rStyle w:val="Strong"/>
              </w:rPr>
              <w:t>42.5</w:t>
            </w:r>
          </w:p>
        </w:tc>
        <w:tc>
          <w:tcPr>
            <w:tcW w:w="401" w:type="pct"/>
            <w:vAlign w:val="bottom"/>
          </w:tcPr>
          <w:p w:rsidR="000E26B9" w:rsidRPr="000E26B9" w:rsidRDefault="000E26B9" w:rsidP="000E26B9">
            <w:pPr>
              <w:cnfStyle w:val="000000000000" w:firstRow="0" w:lastRow="0" w:firstColumn="0" w:lastColumn="0" w:oddVBand="0" w:evenVBand="0" w:oddHBand="0" w:evenHBand="0" w:firstRowFirstColumn="0" w:firstRowLastColumn="0" w:lastRowFirstColumn="0" w:lastRowLastColumn="0"/>
              <w:rPr>
                <w:rStyle w:val="Strong"/>
              </w:rPr>
            </w:pPr>
            <w:r w:rsidRPr="000E26B9">
              <w:rPr>
                <w:rStyle w:val="Strong"/>
              </w:rPr>
              <w:t>196.9</w:t>
            </w:r>
          </w:p>
        </w:tc>
      </w:tr>
    </w:tbl>
    <w:p w:rsidR="006056FB" w:rsidRDefault="006056FB" w:rsidP="006056FB">
      <w:pPr>
        <w:pStyle w:val="AERtablesource"/>
      </w:pPr>
      <w:r>
        <w:t>Source:</w:t>
      </w:r>
      <w:r>
        <w:tab/>
        <w:t>AER analysis.</w:t>
      </w:r>
    </w:p>
    <w:p w:rsidR="00DE563D" w:rsidRPr="001754EE" w:rsidRDefault="005C21A4" w:rsidP="001754EE">
      <w:pPr>
        <w:pStyle w:val="Heading2"/>
      </w:pPr>
      <w:bookmarkStart w:id="15" w:name="_Toc414975752"/>
      <w:r>
        <w:lastRenderedPageBreak/>
        <w:t>Essential Energy</w:t>
      </w:r>
      <w:r w:rsidR="00415F31" w:rsidRPr="001754EE">
        <w:t>’s revised</w:t>
      </w:r>
      <w:r w:rsidR="00DE563D" w:rsidRPr="001754EE">
        <w:t xml:space="preserve"> proposal</w:t>
      </w:r>
      <w:bookmarkEnd w:id="13"/>
      <w:bookmarkEnd w:id="15"/>
    </w:p>
    <w:p w:rsidR="006056FB" w:rsidRDefault="006056FB" w:rsidP="006056FB">
      <w:r>
        <w:t>Essential Energy's revised proposal forecast</w:t>
      </w:r>
      <w:r w:rsidR="00953847">
        <w:t>s a</w:t>
      </w:r>
      <w:r>
        <w:t xml:space="preserve"> cost of corporate income tax allowance of $36</w:t>
      </w:r>
      <w:r w:rsidR="0090206C">
        <w:t>6.</w:t>
      </w:r>
      <w:r>
        <w:t xml:space="preserve">7 million ($ nominal). </w:t>
      </w:r>
      <w:r w:rsidR="00953847">
        <w:t>Essential Energy's methodology for determining its</w:t>
      </w:r>
      <w:r w:rsidR="00953847" w:rsidRPr="00DC58F1">
        <w:t xml:space="preserve"> corporate income tax </w:t>
      </w:r>
      <w:r w:rsidR="00953847">
        <w:t>is unchanged from its initial proposal</w:t>
      </w:r>
      <w:r w:rsidR="00F40C52">
        <w:t xml:space="preserve"> except </w:t>
      </w:r>
      <w:r w:rsidR="0090206C">
        <w:t xml:space="preserve">for </w:t>
      </w:r>
      <w:r w:rsidR="00C30DC1" w:rsidRPr="00C30DC1">
        <w:t xml:space="preserve">the treatment of revenue adjustments arising from </w:t>
      </w:r>
      <w:r w:rsidR="0090206C">
        <w:t>efficiency benefit sharing scheme (</w:t>
      </w:r>
      <w:r w:rsidR="00C30DC1" w:rsidRPr="00C30DC1">
        <w:t>EBSS</w:t>
      </w:r>
      <w:r w:rsidR="0090206C">
        <w:t>)</w:t>
      </w:r>
      <w:r w:rsidR="00C30DC1" w:rsidRPr="00C30DC1">
        <w:t xml:space="preserve"> </w:t>
      </w:r>
      <w:r w:rsidR="0090206C">
        <w:t>and demand management innovation allowance</w:t>
      </w:r>
      <w:r w:rsidR="00C30DC1" w:rsidRPr="00C30DC1">
        <w:t xml:space="preserve"> </w:t>
      </w:r>
      <w:r w:rsidR="000878DB">
        <w:t>(</w:t>
      </w:r>
      <w:r w:rsidR="00C30DC1" w:rsidRPr="00C30DC1">
        <w:t>DMIA</w:t>
      </w:r>
      <w:r w:rsidR="000878DB">
        <w:t>)</w:t>
      </w:r>
      <w:r w:rsidR="00C30DC1" w:rsidRPr="00C30DC1">
        <w:t xml:space="preserve"> carryovers, and the DMIA</w:t>
      </w:r>
      <w:r w:rsidR="0090206C">
        <w:t xml:space="preserve"> forecast payments</w:t>
      </w:r>
      <w:r w:rsidR="00953847">
        <w:t>.</w:t>
      </w:r>
      <w:r w:rsidR="00F40C52">
        <w:t xml:space="preserve"> Essential Energy </w:t>
      </w:r>
      <w:r w:rsidR="00F40C52" w:rsidRPr="004F1897">
        <w:t xml:space="preserve">amended </w:t>
      </w:r>
      <w:r w:rsidR="00F40C52">
        <w:t xml:space="preserve">the </w:t>
      </w:r>
      <w:r w:rsidR="0090206C">
        <w:t xml:space="preserve">revised proposed </w:t>
      </w:r>
      <w:r w:rsidR="00F40C52" w:rsidRPr="004F1897">
        <w:t xml:space="preserve">PTRM so that </w:t>
      </w:r>
      <w:r w:rsidR="00F40C52">
        <w:t xml:space="preserve">these </w:t>
      </w:r>
      <w:r w:rsidR="00F40C52" w:rsidRPr="004F1897">
        <w:t>adjustments were not included as expenses for tax purposes.</w:t>
      </w:r>
      <w:r w:rsidR="00F40C52">
        <w:rPr>
          <w:rStyle w:val="FootnoteReference"/>
        </w:rPr>
        <w:footnoteReference w:id="2"/>
      </w:r>
      <w:r w:rsidR="00F40C52">
        <w:t xml:space="preserve"> </w:t>
      </w:r>
      <w:r>
        <w:t xml:space="preserve">Essential Energy calculated the cost </w:t>
      </w:r>
      <w:r w:rsidR="00FA37D5">
        <w:t>of</w:t>
      </w:r>
      <w:r>
        <w:t xml:space="preserve"> corporate income tax allowance usin</w:t>
      </w:r>
      <w:r w:rsidR="00F40C52">
        <w:t>g this amended PTRM</w:t>
      </w:r>
      <w:r>
        <w:t xml:space="preserve"> and the following inputs:</w:t>
      </w:r>
      <w:r w:rsidR="00AA6CBB">
        <w:rPr>
          <w:rStyle w:val="FootnoteReference"/>
        </w:rPr>
        <w:footnoteReference w:id="3"/>
      </w:r>
    </w:p>
    <w:p w:rsidR="006056FB" w:rsidRDefault="0090206C" w:rsidP="006056FB">
      <w:pPr>
        <w:pStyle w:val="AERbulletlistfirststyle"/>
      </w:pPr>
      <w:r>
        <w:t>a</w:t>
      </w:r>
      <w:r w:rsidR="00F40C52">
        <w:t xml:space="preserve"> revised opening TAB</w:t>
      </w:r>
      <w:r w:rsidR="00C022EE">
        <w:t xml:space="preserve"> at 1 July 2014 of $5353.7</w:t>
      </w:r>
      <w:r w:rsidR="006056FB">
        <w:t> million ($ nominal)</w:t>
      </w:r>
      <w:r w:rsidR="00F40C52">
        <w:t>,</w:t>
      </w:r>
      <w:r w:rsidR="00F40C52" w:rsidRPr="00F40C52">
        <w:t xml:space="preserve"> </w:t>
      </w:r>
      <w:r w:rsidR="00F40C52">
        <w:t>reflecting updates for 2013</w:t>
      </w:r>
      <w:r w:rsidR="00F40C52" w:rsidRPr="009134B1">
        <w:rPr>
          <w:rStyle w:val="AERbody"/>
        </w:rPr>
        <w:t>–</w:t>
      </w:r>
      <w:r w:rsidR="00F40C52">
        <w:t>14 actual capex</w:t>
      </w:r>
    </w:p>
    <w:p w:rsidR="00F40C52" w:rsidRDefault="0090206C" w:rsidP="00F40C52">
      <w:pPr>
        <w:pStyle w:val="AERbulletlistfirststyle"/>
      </w:pPr>
      <w:r>
        <w:t>r</w:t>
      </w:r>
      <w:r w:rsidR="00F40C52">
        <w:t>evised forecast capex</w:t>
      </w:r>
    </w:p>
    <w:p w:rsidR="00F40C52" w:rsidRDefault="0090206C" w:rsidP="00F40C52">
      <w:pPr>
        <w:pStyle w:val="AERbulletlistfirststyle"/>
      </w:pPr>
      <w:proofErr w:type="gramStart"/>
      <w:r>
        <w:t>r</w:t>
      </w:r>
      <w:r w:rsidR="00F40C52">
        <w:t>evised</w:t>
      </w:r>
      <w:proofErr w:type="gramEnd"/>
      <w:r w:rsidR="00F40C52">
        <w:t xml:space="preserve"> forecast </w:t>
      </w:r>
      <w:proofErr w:type="spellStart"/>
      <w:r w:rsidR="00F40C52">
        <w:t>opex</w:t>
      </w:r>
      <w:proofErr w:type="spellEnd"/>
      <w:r w:rsidR="00F40C52">
        <w:t xml:space="preserve">. </w:t>
      </w:r>
    </w:p>
    <w:p w:rsidR="00F40C52" w:rsidRPr="00F40C52" w:rsidRDefault="00F40C52" w:rsidP="00F40C52">
      <w:pPr>
        <w:pStyle w:val="AERbulletlistfirststyle"/>
        <w:numPr>
          <w:ilvl w:val="0"/>
          <w:numId w:val="0"/>
        </w:numPr>
      </w:pPr>
      <w:r>
        <w:t xml:space="preserve">Essential Energy </w:t>
      </w:r>
      <w:r w:rsidRPr="00F40C52">
        <w:t xml:space="preserve">also used the remaining tax asset lives </w:t>
      </w:r>
      <w:r w:rsidR="0090206C">
        <w:t xml:space="preserve">approved in the draft decision but </w:t>
      </w:r>
      <w:r w:rsidRPr="00F40C52">
        <w:t xml:space="preserve"> update</w:t>
      </w:r>
      <w:r w:rsidR="0090206C">
        <w:t>d to reflect</w:t>
      </w:r>
      <w:r w:rsidRPr="00F40C52">
        <w:t xml:space="preserve"> 2013–14 actual capex, and a value for gamma of 0.25 consistent with its initial proposal.</w:t>
      </w:r>
      <w:r w:rsidR="0090206C" w:rsidRPr="0090206C">
        <w:t xml:space="preserve"> </w:t>
      </w:r>
      <w:r w:rsidR="0090206C">
        <w:t>It also used the</w:t>
      </w:r>
      <w:r w:rsidR="0090206C" w:rsidRPr="0090206C">
        <w:t xml:space="preserve"> </w:t>
      </w:r>
      <w:r w:rsidR="00022CE5">
        <w:t>standard tax asset lives consistent with those approved in the draft decision</w:t>
      </w:r>
      <w:r w:rsidR="0090206C" w:rsidRPr="0090206C">
        <w:t>,</w:t>
      </w:r>
      <w:r w:rsidR="0090206C">
        <w:t xml:space="preserve"> but did not adopt the draft decision </w:t>
      </w:r>
      <w:r w:rsidR="00022CE5">
        <w:t>adjustment for the standard tax asset life of the 'Equity raising costs'</w:t>
      </w:r>
      <w:r w:rsidR="00666869">
        <w:t xml:space="preserve"> asset class</w:t>
      </w:r>
      <w:r w:rsidR="00022CE5">
        <w:t>.</w:t>
      </w:r>
    </w:p>
    <w:p w:rsidR="002C233C" w:rsidRDefault="004F1897" w:rsidP="002C233C">
      <w:r>
        <w:fldChar w:fldCharType="begin"/>
      </w:r>
      <w:r>
        <w:instrText xml:space="preserve"> REF _Ref413830721 \h </w:instrText>
      </w:r>
      <w:r>
        <w:fldChar w:fldCharType="separate"/>
      </w:r>
      <w:r w:rsidR="00852825">
        <w:t xml:space="preserve">Table </w:t>
      </w:r>
      <w:r w:rsidR="00852825">
        <w:rPr>
          <w:noProof/>
        </w:rPr>
        <w:t>8</w:t>
      </w:r>
      <w:r w:rsidR="00852825">
        <w:t>.</w:t>
      </w:r>
      <w:r w:rsidR="00852825">
        <w:rPr>
          <w:noProof/>
        </w:rPr>
        <w:t>2</w:t>
      </w:r>
      <w:r>
        <w:fldChar w:fldCharType="end"/>
      </w:r>
      <w:r>
        <w:t xml:space="preserve"> </w:t>
      </w:r>
      <w:r w:rsidRPr="004F1897">
        <w:t xml:space="preserve">sets out </w:t>
      </w:r>
      <w:r>
        <w:t>Essential</w:t>
      </w:r>
      <w:r w:rsidRPr="004F1897">
        <w:t xml:space="preserve"> Energy's </w:t>
      </w:r>
      <w:r w:rsidR="00757143">
        <w:t xml:space="preserve">revised </w:t>
      </w:r>
      <w:r w:rsidRPr="004F1897">
        <w:t xml:space="preserve">proposed cost of corporate income tax allowance over the 2014–19 </w:t>
      </w:r>
      <w:proofErr w:type="gramStart"/>
      <w:r w:rsidRPr="004F1897">
        <w:t>period</w:t>
      </w:r>
      <w:proofErr w:type="gramEnd"/>
      <w:r w:rsidRPr="004F1897">
        <w:t>.</w:t>
      </w:r>
    </w:p>
    <w:p w:rsidR="006056FB" w:rsidRDefault="004F1897" w:rsidP="004F1897">
      <w:pPr>
        <w:pStyle w:val="Caption"/>
      </w:pPr>
      <w:bookmarkStart w:id="16" w:name="_Ref413830721"/>
      <w:proofErr w:type="gramStart"/>
      <w:r>
        <w:t xml:space="preserve">Table </w:t>
      </w:r>
      <w:proofErr w:type="gramEnd"/>
      <w:r w:rsidR="0001781B">
        <w:fldChar w:fldCharType="begin"/>
      </w:r>
      <w:r w:rsidR="0001781B">
        <w:instrText xml:space="preserve"> STYLEREF 1 \s </w:instrText>
      </w:r>
      <w:r w:rsidR="0001781B">
        <w:fldChar w:fldCharType="separate"/>
      </w:r>
      <w:r w:rsidR="00852825">
        <w:rPr>
          <w:noProof/>
        </w:rPr>
        <w:t>8</w:t>
      </w:r>
      <w:r w:rsidR="0001781B">
        <w:rPr>
          <w:noProof/>
        </w:rPr>
        <w:fldChar w:fldCharType="end"/>
      </w:r>
      <w:proofErr w:type="gramStart"/>
      <w:r w:rsidR="00641A2F">
        <w:t>.</w:t>
      </w:r>
      <w:proofErr w:type="gramEnd"/>
      <w:r w:rsidR="0001781B">
        <w:fldChar w:fldCharType="begin"/>
      </w:r>
      <w:r w:rsidR="0001781B">
        <w:instrText xml:space="preserve"> SEQ Table \* ARABIC \s 1 </w:instrText>
      </w:r>
      <w:r w:rsidR="0001781B">
        <w:fldChar w:fldCharType="separate"/>
      </w:r>
      <w:r w:rsidR="00852825">
        <w:rPr>
          <w:noProof/>
        </w:rPr>
        <w:t>2</w:t>
      </w:r>
      <w:r w:rsidR="0001781B">
        <w:rPr>
          <w:noProof/>
        </w:rPr>
        <w:fldChar w:fldCharType="end"/>
      </w:r>
      <w:bookmarkEnd w:id="16"/>
      <w:r>
        <w:tab/>
        <w:t>Essential</w:t>
      </w:r>
      <w:r w:rsidRPr="004F1897">
        <w:t xml:space="preserve"> Energy's revised proposed cost of corporate income tax allowance for the 2014–19 period ($ million, nominal)</w:t>
      </w:r>
    </w:p>
    <w:tbl>
      <w:tblPr>
        <w:tblStyle w:val="AERtable-numbers"/>
        <w:tblW w:w="0" w:type="auto"/>
        <w:tblLook w:val="04A0" w:firstRow="1" w:lastRow="0" w:firstColumn="1" w:lastColumn="0" w:noHBand="0" w:noVBand="1"/>
      </w:tblPr>
      <w:tblGrid>
        <w:gridCol w:w="2802"/>
        <w:gridCol w:w="981"/>
        <w:gridCol w:w="982"/>
        <w:gridCol w:w="982"/>
        <w:gridCol w:w="982"/>
        <w:gridCol w:w="982"/>
        <w:gridCol w:w="982"/>
      </w:tblGrid>
      <w:tr w:rsidR="004F1897" w:rsidTr="000878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6056FB" w:rsidRDefault="006056FB" w:rsidP="006056FB"/>
        </w:tc>
        <w:tc>
          <w:tcPr>
            <w:tcW w:w="981" w:type="dxa"/>
          </w:tcPr>
          <w:p w:rsidR="006056FB" w:rsidRPr="006056FB" w:rsidRDefault="006056FB" w:rsidP="006056FB">
            <w:pPr>
              <w:cnfStyle w:val="100000000000" w:firstRow="1" w:lastRow="0" w:firstColumn="0" w:lastColumn="0" w:oddVBand="0" w:evenVBand="0" w:oddHBand="0" w:evenHBand="0" w:firstRowFirstColumn="0" w:firstRowLastColumn="0" w:lastRowFirstColumn="0" w:lastRowLastColumn="0"/>
            </w:pPr>
            <w:r>
              <w:t>2014–15</w:t>
            </w:r>
          </w:p>
        </w:tc>
        <w:tc>
          <w:tcPr>
            <w:tcW w:w="982" w:type="dxa"/>
          </w:tcPr>
          <w:p w:rsidR="006056FB" w:rsidRPr="006056FB" w:rsidRDefault="006056FB" w:rsidP="006056FB">
            <w:pPr>
              <w:cnfStyle w:val="100000000000" w:firstRow="1" w:lastRow="0" w:firstColumn="0" w:lastColumn="0" w:oddVBand="0" w:evenVBand="0" w:oddHBand="0" w:evenHBand="0" w:firstRowFirstColumn="0" w:firstRowLastColumn="0" w:lastRowFirstColumn="0" w:lastRowLastColumn="0"/>
            </w:pPr>
            <w:r>
              <w:t>2015–16</w:t>
            </w:r>
          </w:p>
        </w:tc>
        <w:tc>
          <w:tcPr>
            <w:tcW w:w="982" w:type="dxa"/>
          </w:tcPr>
          <w:p w:rsidR="006056FB" w:rsidRPr="006056FB" w:rsidRDefault="006056FB" w:rsidP="006056FB">
            <w:pPr>
              <w:cnfStyle w:val="100000000000" w:firstRow="1" w:lastRow="0" w:firstColumn="0" w:lastColumn="0" w:oddVBand="0" w:evenVBand="0" w:oddHBand="0" w:evenHBand="0" w:firstRowFirstColumn="0" w:firstRowLastColumn="0" w:lastRowFirstColumn="0" w:lastRowLastColumn="0"/>
            </w:pPr>
            <w:r>
              <w:t>2016–17</w:t>
            </w:r>
          </w:p>
        </w:tc>
        <w:tc>
          <w:tcPr>
            <w:tcW w:w="982" w:type="dxa"/>
          </w:tcPr>
          <w:p w:rsidR="006056FB" w:rsidRPr="006056FB" w:rsidRDefault="006056FB" w:rsidP="006056FB">
            <w:pPr>
              <w:cnfStyle w:val="100000000000" w:firstRow="1" w:lastRow="0" w:firstColumn="0" w:lastColumn="0" w:oddVBand="0" w:evenVBand="0" w:oddHBand="0" w:evenHBand="0" w:firstRowFirstColumn="0" w:firstRowLastColumn="0" w:lastRowFirstColumn="0" w:lastRowLastColumn="0"/>
            </w:pPr>
            <w:r>
              <w:t>2017–18</w:t>
            </w:r>
          </w:p>
        </w:tc>
        <w:tc>
          <w:tcPr>
            <w:tcW w:w="982" w:type="dxa"/>
          </w:tcPr>
          <w:p w:rsidR="006056FB" w:rsidRPr="006056FB" w:rsidRDefault="006056FB" w:rsidP="006056FB">
            <w:pPr>
              <w:cnfStyle w:val="100000000000" w:firstRow="1" w:lastRow="0" w:firstColumn="0" w:lastColumn="0" w:oddVBand="0" w:evenVBand="0" w:oddHBand="0" w:evenHBand="0" w:firstRowFirstColumn="0" w:firstRowLastColumn="0" w:lastRowFirstColumn="0" w:lastRowLastColumn="0"/>
            </w:pPr>
            <w:r>
              <w:t>2018–19</w:t>
            </w:r>
          </w:p>
        </w:tc>
        <w:tc>
          <w:tcPr>
            <w:tcW w:w="982" w:type="dxa"/>
          </w:tcPr>
          <w:p w:rsidR="006056FB" w:rsidRPr="006056FB" w:rsidRDefault="006056FB" w:rsidP="006056FB">
            <w:pPr>
              <w:cnfStyle w:val="100000000000" w:firstRow="1" w:lastRow="0" w:firstColumn="0" w:lastColumn="0" w:oddVBand="0" w:evenVBand="0" w:oddHBand="0" w:evenHBand="0" w:firstRowFirstColumn="0" w:firstRowLastColumn="0" w:lastRowFirstColumn="0" w:lastRowLastColumn="0"/>
            </w:pPr>
            <w:r>
              <w:t>Total</w:t>
            </w:r>
          </w:p>
        </w:tc>
      </w:tr>
      <w:tr w:rsidR="006056FB" w:rsidTr="000878DB">
        <w:tc>
          <w:tcPr>
            <w:cnfStyle w:val="001000000000" w:firstRow="0" w:lastRow="0" w:firstColumn="1" w:lastColumn="0" w:oddVBand="0" w:evenVBand="0" w:oddHBand="0" w:evenHBand="0" w:firstRowFirstColumn="0" w:firstRowLastColumn="0" w:lastRowFirstColumn="0" w:lastRowLastColumn="0"/>
            <w:tcW w:w="2802" w:type="dxa"/>
          </w:tcPr>
          <w:p w:rsidR="006056FB" w:rsidRPr="006056FB" w:rsidRDefault="006056FB" w:rsidP="006056FB">
            <w:r w:rsidRPr="006056FB">
              <w:t xml:space="preserve">Tax payable                            </w:t>
            </w:r>
          </w:p>
        </w:tc>
        <w:tc>
          <w:tcPr>
            <w:tcW w:w="981" w:type="dxa"/>
          </w:tcPr>
          <w:p w:rsidR="006056FB" w:rsidRPr="006056FB" w:rsidRDefault="006056FB">
            <w:pPr>
              <w:cnfStyle w:val="000000000000" w:firstRow="0" w:lastRow="0" w:firstColumn="0" w:lastColumn="0" w:oddVBand="0" w:evenVBand="0" w:oddHBand="0" w:evenHBand="0" w:firstRowFirstColumn="0" w:firstRowLastColumn="0" w:lastRowFirstColumn="0" w:lastRowLastColumn="0"/>
            </w:pPr>
            <w:r w:rsidRPr="006056FB">
              <w:t xml:space="preserve">        87.5 </w:t>
            </w:r>
          </w:p>
        </w:tc>
        <w:tc>
          <w:tcPr>
            <w:tcW w:w="982" w:type="dxa"/>
          </w:tcPr>
          <w:p w:rsidR="006056FB" w:rsidRPr="006056FB" w:rsidRDefault="006056FB">
            <w:pPr>
              <w:cnfStyle w:val="000000000000" w:firstRow="0" w:lastRow="0" w:firstColumn="0" w:lastColumn="0" w:oddVBand="0" w:evenVBand="0" w:oddHBand="0" w:evenHBand="0" w:firstRowFirstColumn="0" w:firstRowLastColumn="0" w:lastRowFirstColumn="0" w:lastRowLastColumn="0"/>
            </w:pPr>
            <w:r w:rsidRPr="006056FB">
              <w:t xml:space="preserve">        77.6 </w:t>
            </w:r>
          </w:p>
        </w:tc>
        <w:tc>
          <w:tcPr>
            <w:tcW w:w="982" w:type="dxa"/>
          </w:tcPr>
          <w:p w:rsidR="006056FB" w:rsidRPr="006056FB" w:rsidRDefault="006056FB">
            <w:pPr>
              <w:cnfStyle w:val="000000000000" w:firstRow="0" w:lastRow="0" w:firstColumn="0" w:lastColumn="0" w:oddVBand="0" w:evenVBand="0" w:oddHBand="0" w:evenHBand="0" w:firstRowFirstColumn="0" w:firstRowLastColumn="0" w:lastRowFirstColumn="0" w:lastRowLastColumn="0"/>
            </w:pPr>
            <w:r w:rsidRPr="006056FB">
              <w:t xml:space="preserve">        90.7 </w:t>
            </w:r>
          </w:p>
        </w:tc>
        <w:tc>
          <w:tcPr>
            <w:tcW w:w="982" w:type="dxa"/>
          </w:tcPr>
          <w:p w:rsidR="006056FB" w:rsidRPr="006056FB" w:rsidRDefault="006056FB">
            <w:pPr>
              <w:cnfStyle w:val="000000000000" w:firstRow="0" w:lastRow="0" w:firstColumn="0" w:lastColumn="0" w:oddVBand="0" w:evenVBand="0" w:oddHBand="0" w:evenHBand="0" w:firstRowFirstColumn="0" w:firstRowLastColumn="0" w:lastRowFirstColumn="0" w:lastRowLastColumn="0"/>
            </w:pPr>
            <w:r w:rsidRPr="006056FB">
              <w:t xml:space="preserve">      119.6 </w:t>
            </w:r>
          </w:p>
        </w:tc>
        <w:tc>
          <w:tcPr>
            <w:tcW w:w="982" w:type="dxa"/>
          </w:tcPr>
          <w:p w:rsidR="006056FB" w:rsidRPr="006056FB" w:rsidRDefault="006056FB">
            <w:pPr>
              <w:cnfStyle w:val="000000000000" w:firstRow="0" w:lastRow="0" w:firstColumn="0" w:lastColumn="0" w:oddVBand="0" w:evenVBand="0" w:oddHBand="0" w:evenHBand="0" w:firstRowFirstColumn="0" w:firstRowLastColumn="0" w:lastRowFirstColumn="0" w:lastRowLastColumn="0"/>
            </w:pPr>
            <w:r w:rsidRPr="006056FB">
              <w:t xml:space="preserve">      113.6 </w:t>
            </w:r>
          </w:p>
        </w:tc>
        <w:tc>
          <w:tcPr>
            <w:tcW w:w="982" w:type="dxa"/>
          </w:tcPr>
          <w:p w:rsidR="006056FB" w:rsidRPr="006056FB" w:rsidRDefault="006056FB" w:rsidP="006056FB">
            <w:pPr>
              <w:cnfStyle w:val="000000000000" w:firstRow="0" w:lastRow="0" w:firstColumn="0" w:lastColumn="0" w:oddVBand="0" w:evenVBand="0" w:oddHBand="0" w:evenHBand="0" w:firstRowFirstColumn="0" w:firstRowLastColumn="0" w:lastRowFirstColumn="0" w:lastRowLastColumn="0"/>
            </w:pPr>
            <w:r>
              <w:t>489.0</w:t>
            </w:r>
          </w:p>
        </w:tc>
      </w:tr>
      <w:tr w:rsidR="004F1897" w:rsidTr="000878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6056FB" w:rsidRPr="006056FB" w:rsidRDefault="006056FB" w:rsidP="006056FB">
            <w:r w:rsidRPr="00F40C52">
              <w:rPr>
                <w:rStyle w:val="AERtextitalic"/>
              </w:rPr>
              <w:t>Less:</w:t>
            </w:r>
            <w:r w:rsidRPr="006056FB">
              <w:t xml:space="preserve"> value of imputation credits</w:t>
            </w:r>
          </w:p>
        </w:tc>
        <w:tc>
          <w:tcPr>
            <w:tcW w:w="981" w:type="dxa"/>
          </w:tcPr>
          <w:p w:rsidR="006056FB" w:rsidRPr="006056FB" w:rsidRDefault="006056FB">
            <w:pPr>
              <w:cnfStyle w:val="000000010000" w:firstRow="0" w:lastRow="0" w:firstColumn="0" w:lastColumn="0" w:oddVBand="0" w:evenVBand="0" w:oddHBand="0" w:evenHBand="1" w:firstRowFirstColumn="0" w:firstRowLastColumn="0" w:lastRowFirstColumn="0" w:lastRowLastColumn="0"/>
            </w:pPr>
            <w:r w:rsidRPr="006056FB">
              <w:t xml:space="preserve">        21.9 </w:t>
            </w:r>
          </w:p>
        </w:tc>
        <w:tc>
          <w:tcPr>
            <w:tcW w:w="982" w:type="dxa"/>
          </w:tcPr>
          <w:p w:rsidR="006056FB" w:rsidRPr="006056FB" w:rsidRDefault="006056FB">
            <w:pPr>
              <w:cnfStyle w:val="000000010000" w:firstRow="0" w:lastRow="0" w:firstColumn="0" w:lastColumn="0" w:oddVBand="0" w:evenVBand="0" w:oddHBand="0" w:evenHBand="1" w:firstRowFirstColumn="0" w:firstRowLastColumn="0" w:lastRowFirstColumn="0" w:lastRowLastColumn="0"/>
            </w:pPr>
            <w:r w:rsidRPr="006056FB">
              <w:t xml:space="preserve">        19.4 </w:t>
            </w:r>
          </w:p>
        </w:tc>
        <w:tc>
          <w:tcPr>
            <w:tcW w:w="982" w:type="dxa"/>
          </w:tcPr>
          <w:p w:rsidR="006056FB" w:rsidRPr="006056FB" w:rsidRDefault="006056FB">
            <w:pPr>
              <w:cnfStyle w:val="000000010000" w:firstRow="0" w:lastRow="0" w:firstColumn="0" w:lastColumn="0" w:oddVBand="0" w:evenVBand="0" w:oddHBand="0" w:evenHBand="1" w:firstRowFirstColumn="0" w:firstRowLastColumn="0" w:lastRowFirstColumn="0" w:lastRowLastColumn="0"/>
            </w:pPr>
            <w:r w:rsidRPr="006056FB">
              <w:t xml:space="preserve">        22.7 </w:t>
            </w:r>
          </w:p>
        </w:tc>
        <w:tc>
          <w:tcPr>
            <w:tcW w:w="982" w:type="dxa"/>
          </w:tcPr>
          <w:p w:rsidR="006056FB" w:rsidRPr="006056FB" w:rsidRDefault="006056FB">
            <w:pPr>
              <w:cnfStyle w:val="000000010000" w:firstRow="0" w:lastRow="0" w:firstColumn="0" w:lastColumn="0" w:oddVBand="0" w:evenVBand="0" w:oddHBand="0" w:evenHBand="1" w:firstRowFirstColumn="0" w:firstRowLastColumn="0" w:lastRowFirstColumn="0" w:lastRowLastColumn="0"/>
            </w:pPr>
            <w:r w:rsidRPr="006056FB">
              <w:t xml:space="preserve">        29.9 </w:t>
            </w:r>
          </w:p>
        </w:tc>
        <w:tc>
          <w:tcPr>
            <w:tcW w:w="982" w:type="dxa"/>
          </w:tcPr>
          <w:p w:rsidR="006056FB" w:rsidRPr="006056FB" w:rsidRDefault="006056FB">
            <w:pPr>
              <w:cnfStyle w:val="000000010000" w:firstRow="0" w:lastRow="0" w:firstColumn="0" w:lastColumn="0" w:oddVBand="0" w:evenVBand="0" w:oddHBand="0" w:evenHBand="1" w:firstRowFirstColumn="0" w:firstRowLastColumn="0" w:lastRowFirstColumn="0" w:lastRowLastColumn="0"/>
            </w:pPr>
            <w:r w:rsidRPr="006056FB">
              <w:t xml:space="preserve">        28.4 </w:t>
            </w:r>
          </w:p>
        </w:tc>
        <w:tc>
          <w:tcPr>
            <w:tcW w:w="982" w:type="dxa"/>
          </w:tcPr>
          <w:p w:rsidR="006056FB" w:rsidRPr="006056FB" w:rsidRDefault="006056FB" w:rsidP="006056FB">
            <w:pPr>
              <w:cnfStyle w:val="000000010000" w:firstRow="0" w:lastRow="0" w:firstColumn="0" w:lastColumn="0" w:oddVBand="0" w:evenVBand="0" w:oddHBand="0" w:evenHBand="1" w:firstRowFirstColumn="0" w:firstRowLastColumn="0" w:lastRowFirstColumn="0" w:lastRowLastColumn="0"/>
            </w:pPr>
            <w:r>
              <w:t>122.2</w:t>
            </w:r>
          </w:p>
        </w:tc>
      </w:tr>
      <w:tr w:rsidR="004F1897" w:rsidRPr="004F1897" w:rsidTr="000878DB">
        <w:tc>
          <w:tcPr>
            <w:cnfStyle w:val="001000000000" w:firstRow="0" w:lastRow="0" w:firstColumn="1" w:lastColumn="0" w:oddVBand="0" w:evenVBand="0" w:oddHBand="0" w:evenHBand="0" w:firstRowFirstColumn="0" w:firstRowLastColumn="0" w:lastRowFirstColumn="0" w:lastRowLastColumn="0"/>
            <w:tcW w:w="2802" w:type="dxa"/>
          </w:tcPr>
          <w:p w:rsidR="004F1897" w:rsidRPr="004F1897" w:rsidRDefault="004F1897" w:rsidP="004F1897">
            <w:pPr>
              <w:rPr>
                <w:rStyle w:val="Strong"/>
              </w:rPr>
            </w:pPr>
            <w:r w:rsidRPr="004F1897">
              <w:rPr>
                <w:rStyle w:val="Strong"/>
              </w:rPr>
              <w:t xml:space="preserve">Corporate income tax allowance </w:t>
            </w:r>
          </w:p>
        </w:tc>
        <w:tc>
          <w:tcPr>
            <w:tcW w:w="981" w:type="dxa"/>
          </w:tcPr>
          <w:p w:rsidR="004F1897" w:rsidRPr="004F1897" w:rsidRDefault="004F1897" w:rsidP="004F1897">
            <w:pPr>
              <w:cnfStyle w:val="000000000000" w:firstRow="0" w:lastRow="0" w:firstColumn="0" w:lastColumn="0" w:oddVBand="0" w:evenVBand="0" w:oddHBand="0" w:evenHBand="0" w:firstRowFirstColumn="0" w:firstRowLastColumn="0" w:lastRowFirstColumn="0" w:lastRowLastColumn="0"/>
              <w:rPr>
                <w:rStyle w:val="Strong"/>
              </w:rPr>
            </w:pPr>
            <w:r w:rsidRPr="004F1897">
              <w:rPr>
                <w:rStyle w:val="Strong"/>
              </w:rPr>
              <w:t>65.6</w:t>
            </w:r>
          </w:p>
        </w:tc>
        <w:tc>
          <w:tcPr>
            <w:tcW w:w="982" w:type="dxa"/>
          </w:tcPr>
          <w:p w:rsidR="004F1897" w:rsidRPr="004F1897" w:rsidRDefault="004F1897" w:rsidP="004F1897">
            <w:pPr>
              <w:cnfStyle w:val="000000000000" w:firstRow="0" w:lastRow="0" w:firstColumn="0" w:lastColumn="0" w:oddVBand="0" w:evenVBand="0" w:oddHBand="0" w:evenHBand="0" w:firstRowFirstColumn="0" w:firstRowLastColumn="0" w:lastRowFirstColumn="0" w:lastRowLastColumn="0"/>
              <w:rPr>
                <w:rStyle w:val="Strong"/>
              </w:rPr>
            </w:pPr>
            <w:r w:rsidRPr="004F1897">
              <w:rPr>
                <w:rStyle w:val="Strong"/>
              </w:rPr>
              <w:t>58.2</w:t>
            </w:r>
          </w:p>
        </w:tc>
        <w:tc>
          <w:tcPr>
            <w:tcW w:w="982" w:type="dxa"/>
          </w:tcPr>
          <w:p w:rsidR="004F1897" w:rsidRPr="004F1897" w:rsidRDefault="004F1897" w:rsidP="004F1897">
            <w:pPr>
              <w:cnfStyle w:val="000000000000" w:firstRow="0" w:lastRow="0" w:firstColumn="0" w:lastColumn="0" w:oddVBand="0" w:evenVBand="0" w:oddHBand="0" w:evenHBand="0" w:firstRowFirstColumn="0" w:firstRowLastColumn="0" w:lastRowFirstColumn="0" w:lastRowLastColumn="0"/>
              <w:rPr>
                <w:rStyle w:val="Strong"/>
              </w:rPr>
            </w:pPr>
            <w:r w:rsidRPr="004F1897">
              <w:rPr>
                <w:rStyle w:val="Strong"/>
              </w:rPr>
              <w:t>68.0</w:t>
            </w:r>
          </w:p>
        </w:tc>
        <w:tc>
          <w:tcPr>
            <w:tcW w:w="982" w:type="dxa"/>
          </w:tcPr>
          <w:p w:rsidR="004F1897" w:rsidRPr="004F1897" w:rsidRDefault="004F1897" w:rsidP="004F1897">
            <w:pPr>
              <w:cnfStyle w:val="000000000000" w:firstRow="0" w:lastRow="0" w:firstColumn="0" w:lastColumn="0" w:oddVBand="0" w:evenVBand="0" w:oddHBand="0" w:evenHBand="0" w:firstRowFirstColumn="0" w:firstRowLastColumn="0" w:lastRowFirstColumn="0" w:lastRowLastColumn="0"/>
              <w:rPr>
                <w:rStyle w:val="Strong"/>
              </w:rPr>
            </w:pPr>
            <w:r w:rsidRPr="004F1897">
              <w:rPr>
                <w:rStyle w:val="Strong"/>
              </w:rPr>
              <w:t>89.7</w:t>
            </w:r>
          </w:p>
        </w:tc>
        <w:tc>
          <w:tcPr>
            <w:tcW w:w="982" w:type="dxa"/>
          </w:tcPr>
          <w:p w:rsidR="004F1897" w:rsidRPr="004F1897" w:rsidRDefault="004F1897" w:rsidP="004F1897">
            <w:pPr>
              <w:cnfStyle w:val="000000000000" w:firstRow="0" w:lastRow="0" w:firstColumn="0" w:lastColumn="0" w:oddVBand="0" w:evenVBand="0" w:oddHBand="0" w:evenHBand="0" w:firstRowFirstColumn="0" w:firstRowLastColumn="0" w:lastRowFirstColumn="0" w:lastRowLastColumn="0"/>
              <w:rPr>
                <w:rStyle w:val="Strong"/>
              </w:rPr>
            </w:pPr>
            <w:r w:rsidRPr="004F1897">
              <w:rPr>
                <w:rStyle w:val="Strong"/>
              </w:rPr>
              <w:t>85.2</w:t>
            </w:r>
          </w:p>
        </w:tc>
        <w:tc>
          <w:tcPr>
            <w:tcW w:w="982" w:type="dxa"/>
          </w:tcPr>
          <w:p w:rsidR="004F1897" w:rsidRPr="004F1897" w:rsidRDefault="004F1897" w:rsidP="004F1897">
            <w:pPr>
              <w:cnfStyle w:val="000000000000" w:firstRow="0" w:lastRow="0" w:firstColumn="0" w:lastColumn="0" w:oddVBand="0" w:evenVBand="0" w:oddHBand="0" w:evenHBand="0" w:firstRowFirstColumn="0" w:firstRowLastColumn="0" w:lastRowFirstColumn="0" w:lastRowLastColumn="0"/>
              <w:rPr>
                <w:rStyle w:val="Strong"/>
              </w:rPr>
            </w:pPr>
            <w:r w:rsidRPr="004F1897">
              <w:rPr>
                <w:rStyle w:val="Strong"/>
              </w:rPr>
              <w:t>366.7</w:t>
            </w:r>
          </w:p>
        </w:tc>
      </w:tr>
    </w:tbl>
    <w:p w:rsidR="006056FB" w:rsidRDefault="006056FB" w:rsidP="006056FB">
      <w:pPr>
        <w:pStyle w:val="AERtablesource"/>
      </w:pPr>
      <w:r>
        <w:t>Source:</w:t>
      </w:r>
      <w:r>
        <w:tab/>
      </w:r>
      <w:r w:rsidR="00AA6CBB">
        <w:t xml:space="preserve">Essential Energy, </w:t>
      </w:r>
      <w:r w:rsidR="00AA6CBB" w:rsidRPr="001B16E4">
        <w:rPr>
          <w:rStyle w:val="AERtextitalic"/>
        </w:rPr>
        <w:t>Revised regulatory proposal</w:t>
      </w:r>
      <w:r w:rsidR="00AA6CBB" w:rsidRPr="001B16E4">
        <w:t xml:space="preserve">, January 2015, </w:t>
      </w:r>
      <w:r w:rsidR="00AA6CBB">
        <w:t>Attachment 5.5.</w:t>
      </w:r>
    </w:p>
    <w:p w:rsidR="00DE563D" w:rsidRDefault="00DE563D" w:rsidP="001754EE">
      <w:pPr>
        <w:pStyle w:val="Heading2"/>
      </w:pPr>
      <w:bookmarkStart w:id="17" w:name="_Toc403144138"/>
      <w:bookmarkStart w:id="18" w:name="_Toc414975753"/>
      <w:r w:rsidRPr="001754EE">
        <w:t>AER’s</w:t>
      </w:r>
      <w:r>
        <w:t xml:space="preserve"> assessment approach</w:t>
      </w:r>
      <w:bookmarkEnd w:id="17"/>
      <w:bookmarkEnd w:id="18"/>
    </w:p>
    <w:p w:rsidR="002C233C" w:rsidRDefault="004F1897" w:rsidP="002C233C">
      <w:r w:rsidRPr="004F1897">
        <w:t xml:space="preserve">We did not change our assessment approach for </w:t>
      </w:r>
      <w:r w:rsidR="00F40C52">
        <w:t xml:space="preserve">the cost of corporate income tax </w:t>
      </w:r>
      <w:r w:rsidRPr="004F1897">
        <w:t xml:space="preserve">from our draft decision. Section </w:t>
      </w:r>
      <w:r w:rsidR="00022CE5">
        <w:t>8</w:t>
      </w:r>
      <w:r w:rsidRPr="004F1897">
        <w:t>.3 of our draft decision details that approach.</w:t>
      </w:r>
      <w:r w:rsidRPr="004F1897">
        <w:rPr>
          <w:rStyle w:val="FootnoteReference"/>
        </w:rPr>
        <w:footnoteReference w:id="4"/>
      </w:r>
    </w:p>
    <w:p w:rsidR="00DE563D" w:rsidRDefault="00DE563D" w:rsidP="001754EE">
      <w:pPr>
        <w:pStyle w:val="Heading2"/>
      </w:pPr>
      <w:bookmarkStart w:id="19" w:name="_Toc403144140"/>
      <w:bookmarkStart w:id="20" w:name="_Toc414975754"/>
      <w:r w:rsidRPr="001754EE">
        <w:lastRenderedPageBreak/>
        <w:t>Reasons</w:t>
      </w:r>
      <w:r>
        <w:t xml:space="preserve"> for </w:t>
      </w:r>
      <w:r w:rsidR="002016E7">
        <w:t>final</w:t>
      </w:r>
      <w:r>
        <w:t xml:space="preserve"> decision</w:t>
      </w:r>
      <w:bookmarkEnd w:id="19"/>
      <w:bookmarkEnd w:id="20"/>
      <w:r>
        <w:t xml:space="preserve"> </w:t>
      </w:r>
    </w:p>
    <w:p w:rsidR="00C022EE" w:rsidRDefault="004F1897" w:rsidP="002C233C">
      <w:r w:rsidRPr="004F1897">
        <w:t xml:space="preserve">We do not accept </w:t>
      </w:r>
      <w:r>
        <w:t>Essential</w:t>
      </w:r>
      <w:r w:rsidRPr="004F1897">
        <w:t xml:space="preserve"> Energy's </w:t>
      </w:r>
      <w:r w:rsidR="00022CE5">
        <w:t xml:space="preserve">revised </w:t>
      </w:r>
      <w:r w:rsidRPr="004F1897">
        <w:t xml:space="preserve">proposed cost of corporate income tax allowance. We </w:t>
      </w:r>
      <w:r w:rsidR="00F40C52">
        <w:t>instead determine</w:t>
      </w:r>
      <w:r w:rsidRPr="004F1897">
        <w:t xml:space="preserve"> a cost of corporate income tax allowance of $</w:t>
      </w:r>
      <w:r w:rsidR="004D189C">
        <w:t>1</w:t>
      </w:r>
      <w:r w:rsidR="000E7BD4">
        <w:t>9</w:t>
      </w:r>
      <w:r w:rsidR="000E26B9">
        <w:t>6.9</w:t>
      </w:r>
      <w:r w:rsidR="004D189C" w:rsidRPr="004F1897">
        <w:t> </w:t>
      </w:r>
      <w:r w:rsidRPr="004F1897">
        <w:t>million ($ nominal) for the 2014–19 period. This represent</w:t>
      </w:r>
      <w:r w:rsidR="00F40C52">
        <w:t>s</w:t>
      </w:r>
      <w:r w:rsidRPr="004F1897">
        <w:t xml:space="preserve"> a reduction of $</w:t>
      </w:r>
      <w:r w:rsidR="004D189C">
        <w:t>169.</w:t>
      </w:r>
      <w:r w:rsidR="000E26B9">
        <w:t>8</w:t>
      </w:r>
      <w:r w:rsidR="004D189C" w:rsidRPr="004F1897">
        <w:t> </w:t>
      </w:r>
      <w:r w:rsidRPr="004F1897">
        <w:t xml:space="preserve">million (or </w:t>
      </w:r>
      <w:r w:rsidR="004D189C">
        <w:t>46.</w:t>
      </w:r>
      <w:r w:rsidR="000E26B9">
        <w:t>3</w:t>
      </w:r>
      <w:r w:rsidR="004D189C" w:rsidRPr="004F1897">
        <w:t> </w:t>
      </w:r>
      <w:r w:rsidRPr="004F1897">
        <w:t xml:space="preserve">per cent) from </w:t>
      </w:r>
      <w:r>
        <w:t>Essential</w:t>
      </w:r>
      <w:r w:rsidRPr="004F1897">
        <w:t xml:space="preserve"> Energy's revised proposal.</w:t>
      </w:r>
    </w:p>
    <w:p w:rsidR="004F1897" w:rsidRDefault="00C022EE" w:rsidP="004F1897">
      <w:r>
        <w:t xml:space="preserve">We have </w:t>
      </w:r>
      <w:r w:rsidR="004F1897" w:rsidRPr="007B05E8">
        <w:t xml:space="preserve">adjusted the following proposed inputs to the PTRM </w:t>
      </w:r>
      <w:r>
        <w:t xml:space="preserve">which </w:t>
      </w:r>
      <w:r w:rsidR="00055E89">
        <w:t>affect</w:t>
      </w:r>
      <w:r>
        <w:t xml:space="preserve"> the calculation of the taxable income, and therefore the </w:t>
      </w:r>
      <w:r w:rsidR="00022CE5">
        <w:t>estimated</w:t>
      </w:r>
      <w:r>
        <w:t xml:space="preserve"> corporate income tax allowance. These include</w:t>
      </w:r>
      <w:r w:rsidR="004F1897" w:rsidRPr="007B05E8">
        <w:t>:</w:t>
      </w:r>
    </w:p>
    <w:p w:rsidR="004F1897" w:rsidRDefault="004F1897" w:rsidP="004F1897">
      <w:pPr>
        <w:pStyle w:val="AERbulletlistfirststyle"/>
      </w:pPr>
      <w:r w:rsidRPr="007B05E8">
        <w:t>the opening TAB value at the commencement of the 2014–19 period (section</w:t>
      </w:r>
      <w:r>
        <w:t xml:space="preserve"> </w:t>
      </w:r>
      <w:r>
        <w:fldChar w:fldCharType="begin"/>
      </w:r>
      <w:r>
        <w:instrText xml:space="preserve"> REF _Ref413831135 \r \h </w:instrText>
      </w:r>
      <w:r>
        <w:fldChar w:fldCharType="separate"/>
      </w:r>
      <w:r w:rsidR="00852825">
        <w:t>8.4.1</w:t>
      </w:r>
      <w:r>
        <w:fldChar w:fldCharType="end"/>
      </w:r>
      <w:r>
        <w:t>)</w:t>
      </w:r>
    </w:p>
    <w:p w:rsidR="00022CE5" w:rsidRDefault="00022CE5" w:rsidP="00022CE5">
      <w:pPr>
        <w:pStyle w:val="AERbulletlistfirststyle"/>
      </w:pPr>
      <w:r>
        <w:t xml:space="preserve">the standard tax asset life for the 'Equity raising cost' asset class (section </w:t>
      </w:r>
      <w:r>
        <w:fldChar w:fldCharType="begin"/>
      </w:r>
      <w:r>
        <w:instrText xml:space="preserve"> REF _Ref414970592 \r \h </w:instrText>
      </w:r>
      <w:r>
        <w:fldChar w:fldCharType="separate"/>
      </w:r>
      <w:r w:rsidR="00852825">
        <w:t>8.4.2</w:t>
      </w:r>
      <w:r>
        <w:fldChar w:fldCharType="end"/>
      </w:r>
      <w:r>
        <w:t>)</w:t>
      </w:r>
    </w:p>
    <w:p w:rsidR="00C022EE" w:rsidRDefault="00C022EE" w:rsidP="004F1897">
      <w:pPr>
        <w:pStyle w:val="AERbulletlistfirststyle"/>
      </w:pPr>
      <w:r>
        <w:t xml:space="preserve">the remaining tax asset lives at 1 July 2014 (section </w:t>
      </w:r>
      <w:r>
        <w:fldChar w:fldCharType="begin"/>
      </w:r>
      <w:r>
        <w:instrText xml:space="preserve"> REF _Ref414624671 \r \h </w:instrText>
      </w:r>
      <w:r>
        <w:fldChar w:fldCharType="separate"/>
      </w:r>
      <w:r w:rsidR="00852825">
        <w:t>8.4.3</w:t>
      </w:r>
      <w:r>
        <w:fldChar w:fldCharType="end"/>
      </w:r>
      <w:r>
        <w:t>)</w:t>
      </w:r>
    </w:p>
    <w:p w:rsidR="00AD78AF" w:rsidRDefault="00AD78AF" w:rsidP="004F1897">
      <w:pPr>
        <w:pStyle w:val="AERbulletlistfirststyle"/>
      </w:pPr>
      <w:r>
        <w:t xml:space="preserve">the treatment of revenue arising from incentive schemes (such as DMIA) for tax purposes (section </w:t>
      </w:r>
      <w:r>
        <w:fldChar w:fldCharType="begin"/>
      </w:r>
      <w:r>
        <w:instrText xml:space="preserve"> REF _Ref415136512 \r \h </w:instrText>
      </w:r>
      <w:r>
        <w:fldChar w:fldCharType="separate"/>
      </w:r>
      <w:r w:rsidR="00852825">
        <w:t>8.4.4</w:t>
      </w:r>
      <w:r>
        <w:fldChar w:fldCharType="end"/>
      </w:r>
      <w:r>
        <w:t>)</w:t>
      </w:r>
    </w:p>
    <w:p w:rsidR="004F1897" w:rsidRPr="007D35D2" w:rsidRDefault="004F1897" w:rsidP="004F1897">
      <w:pPr>
        <w:pStyle w:val="AERbulletlistfirststyle"/>
      </w:pPr>
      <w:r w:rsidRPr="007D35D2">
        <w:tab/>
        <w:t>the value of gamma (attachment 4)</w:t>
      </w:r>
    </w:p>
    <w:p w:rsidR="004F1897" w:rsidRDefault="004F1897" w:rsidP="002C233C">
      <w:pPr>
        <w:pStyle w:val="AERbulletlistfirststyle"/>
      </w:pPr>
      <w:r w:rsidRPr="007D35D2">
        <w:t xml:space="preserve">other building block components including forecast </w:t>
      </w:r>
      <w:proofErr w:type="spellStart"/>
      <w:r w:rsidRPr="007D35D2">
        <w:t>opex</w:t>
      </w:r>
      <w:proofErr w:type="spellEnd"/>
      <w:r w:rsidRPr="007D35D2">
        <w:t xml:space="preserve"> (attachment 7) and forecast capex (attachment 6) that </w:t>
      </w:r>
      <w:r w:rsidR="00A07525">
        <w:t>a</w:t>
      </w:r>
      <w:r w:rsidRPr="007D35D2">
        <w:t>ffect revenues, and therefore also impact the forecast corporate income tax allowance.</w:t>
      </w:r>
    </w:p>
    <w:p w:rsidR="007B186E" w:rsidRDefault="004F1897" w:rsidP="001754EE">
      <w:pPr>
        <w:pStyle w:val="Heading3"/>
      </w:pPr>
      <w:bookmarkStart w:id="21" w:name="_Ref413831135"/>
      <w:bookmarkStart w:id="22" w:name="_Toc414975755"/>
      <w:r w:rsidRPr="00877FF8">
        <w:t>Opening tax asset base</w:t>
      </w:r>
      <w:bookmarkEnd w:id="21"/>
      <w:bookmarkEnd w:id="22"/>
      <w:r w:rsidR="007D456E">
        <w:t xml:space="preserve"> </w:t>
      </w:r>
    </w:p>
    <w:p w:rsidR="002C233C" w:rsidRDefault="00C022EE" w:rsidP="00DD69A4">
      <w:r>
        <w:t>W</w:t>
      </w:r>
      <w:r w:rsidR="00DD69A4" w:rsidRPr="00DD69A4">
        <w:t xml:space="preserve">e accept Essential Energy's </w:t>
      </w:r>
      <w:r w:rsidR="00DD69A4">
        <w:t xml:space="preserve">revised </w:t>
      </w:r>
      <w:r w:rsidR="00DD69A4" w:rsidRPr="00DD69A4">
        <w:t>proposed method to establish the opening TAB at 1 July 2014 as it</w:t>
      </w:r>
      <w:r w:rsidR="00DD69A4">
        <w:t xml:space="preserve"> </w:t>
      </w:r>
      <w:r w:rsidR="00DD69A4" w:rsidRPr="00DD69A4">
        <w:t>is based on the approach set out in our RFM. However, we do not accept Essential Energy's</w:t>
      </w:r>
      <w:r w:rsidR="00DD69A4">
        <w:t xml:space="preserve"> revised </w:t>
      </w:r>
      <w:r w:rsidR="00DD69A4" w:rsidRPr="00DD69A4">
        <w:t>proposed opening TAB value at 1 July 2014 of $</w:t>
      </w:r>
      <w:r>
        <w:t>5353.7</w:t>
      </w:r>
      <w:r w:rsidR="00DD69A4">
        <w:t> </w:t>
      </w:r>
      <w:r w:rsidR="00DD69A4" w:rsidRPr="00DD69A4">
        <w:t>million ($</w:t>
      </w:r>
      <w:r w:rsidR="00DD69A4">
        <w:t> </w:t>
      </w:r>
      <w:r w:rsidR="00DD69A4" w:rsidRPr="00DD69A4">
        <w:t>nominal).</w:t>
      </w:r>
      <w:r w:rsidR="00DD69A4">
        <w:t xml:space="preserve"> </w:t>
      </w:r>
      <w:r w:rsidR="00DD69A4" w:rsidRPr="00DD69A4">
        <w:t>Instead we determine an</w:t>
      </w:r>
      <w:r w:rsidR="00DD69A4">
        <w:t xml:space="preserve"> </w:t>
      </w:r>
      <w:r w:rsidR="00DD69A4" w:rsidRPr="00DD69A4">
        <w:t>opening TAB value at 1 July 2014 of $</w:t>
      </w:r>
      <w:r w:rsidR="00DD69A4">
        <w:t>5</w:t>
      </w:r>
      <w:r>
        <w:t>344.2</w:t>
      </w:r>
      <w:r w:rsidR="00DD69A4">
        <w:t> </w:t>
      </w:r>
      <w:r w:rsidR="00DD69A4" w:rsidRPr="00DD69A4">
        <w:t>million ($ nominal)</w:t>
      </w:r>
      <w:r w:rsidR="00022CE5">
        <w:t xml:space="preserve"> and</w:t>
      </w:r>
      <w:r w:rsidR="009752B2">
        <w:t xml:space="preserve"> is consistent</w:t>
      </w:r>
      <w:r w:rsidR="009752B2" w:rsidRPr="00BA6440">
        <w:t xml:space="preserve"> </w:t>
      </w:r>
      <w:r w:rsidR="009752B2">
        <w:t xml:space="preserve">with our draft decision opening TAB </w:t>
      </w:r>
      <w:r w:rsidR="009752B2" w:rsidRPr="00BA6440">
        <w:t>updat</w:t>
      </w:r>
      <w:r w:rsidR="009752B2">
        <w:t>ed</w:t>
      </w:r>
      <w:r w:rsidR="009752B2" w:rsidRPr="00BA6440">
        <w:t xml:space="preserve"> </w:t>
      </w:r>
      <w:r w:rsidR="009752B2">
        <w:t xml:space="preserve">for </w:t>
      </w:r>
      <w:r w:rsidR="009752B2" w:rsidRPr="00BA6440">
        <w:t>actual</w:t>
      </w:r>
      <w:r w:rsidR="009752B2">
        <w:t xml:space="preserve"> </w:t>
      </w:r>
      <w:r w:rsidR="009752B2" w:rsidRPr="00BA6440">
        <w:t xml:space="preserve">2013–14 </w:t>
      </w:r>
      <w:r w:rsidR="009752B2">
        <w:t>capex. T</w:t>
      </w:r>
      <w:r w:rsidR="00DD69A4" w:rsidRPr="00DD69A4">
        <w:t>his represents a reduction of</w:t>
      </w:r>
      <w:r w:rsidR="00DD69A4">
        <w:t xml:space="preserve"> $</w:t>
      </w:r>
      <w:r>
        <w:t>9.6 </w:t>
      </w:r>
      <w:r w:rsidR="00DD69A4">
        <w:t xml:space="preserve">million ($ nominal) or </w:t>
      </w:r>
      <w:r>
        <w:t>0.2</w:t>
      </w:r>
      <w:r w:rsidR="00DD69A4">
        <w:t> per cent</w:t>
      </w:r>
      <w:r w:rsidR="009752B2">
        <w:t xml:space="preserve"> from Essential Energy's revised proposal</w:t>
      </w:r>
      <w:r w:rsidR="00DD69A4">
        <w:t>.</w:t>
      </w:r>
      <w:r w:rsidR="009752B2">
        <w:t xml:space="preserve"> </w:t>
      </w:r>
      <w:r w:rsidR="00022CE5">
        <w:t>This reduction is due to the adjustments made to the capex values</w:t>
      </w:r>
      <w:r w:rsidR="00E82B8B">
        <w:t xml:space="preserve"> for capitalised provisions</w:t>
      </w:r>
      <w:r w:rsidR="00022CE5">
        <w:t xml:space="preserve"> in Essential Energy's RFM as discussed in attachment 2.</w:t>
      </w:r>
    </w:p>
    <w:p w:rsidR="006E043E" w:rsidRDefault="006E043E" w:rsidP="00DD69A4">
      <w:r w:rsidRPr="001B16E4">
        <w:t xml:space="preserve">In the draft decision, we </w:t>
      </w:r>
      <w:r>
        <w:t xml:space="preserve">amended Essential Energy's opening TAB for </w:t>
      </w:r>
      <w:r w:rsidRPr="00F93A94">
        <w:t xml:space="preserve">adjustments made to </w:t>
      </w:r>
      <w:r w:rsidR="00022CE5">
        <w:t xml:space="preserve">the </w:t>
      </w:r>
      <w:r w:rsidRPr="00F93A94">
        <w:t>capex</w:t>
      </w:r>
      <w:r w:rsidR="00022CE5">
        <w:t xml:space="preserve"> values</w:t>
      </w:r>
      <w:r w:rsidR="00E82B8B">
        <w:t xml:space="preserve"> in respect of movements in capitalised provisions</w:t>
      </w:r>
      <w:r>
        <w:t xml:space="preserve">. </w:t>
      </w:r>
      <w:r w:rsidR="000878DB">
        <w:t>We also noted the roll forward of Essential Energy's TAB included estimated capex values for 2013–14.</w:t>
      </w:r>
      <w:r w:rsidR="000878DB">
        <w:rPr>
          <w:rStyle w:val="FootnoteReference"/>
        </w:rPr>
        <w:footnoteReference w:id="5"/>
      </w:r>
      <w:r w:rsidR="000878DB">
        <w:t xml:space="preserve"> </w:t>
      </w:r>
      <w:r w:rsidR="00641A2F" w:rsidRPr="00641A2F">
        <w:t>Essential Energy's revised proposal</w:t>
      </w:r>
      <w:r w:rsidR="00641A2F" w:rsidRPr="00641A2F" w:rsidDel="00E31E5A">
        <w:t xml:space="preserve"> </w:t>
      </w:r>
      <w:r w:rsidR="00641A2F" w:rsidRPr="00641A2F">
        <w:t xml:space="preserve">updated the </w:t>
      </w:r>
      <w:r w:rsidR="00286B49">
        <w:t>opening TAB</w:t>
      </w:r>
      <w:r w:rsidR="00641A2F" w:rsidRPr="00641A2F">
        <w:t xml:space="preserve"> for actual 2013–14 capex. However, </w:t>
      </w:r>
      <w:r>
        <w:t>Essential Energy</w:t>
      </w:r>
      <w:r w:rsidRPr="001B16E4">
        <w:t xml:space="preserve">'s revised proposal </w:t>
      </w:r>
      <w:r>
        <w:t>did not adopt</w:t>
      </w:r>
      <w:r w:rsidRPr="001B16E4">
        <w:t xml:space="preserve"> our draft decision </w:t>
      </w:r>
      <w:r w:rsidR="00286B49">
        <w:t>adjustment t</w:t>
      </w:r>
      <w:r>
        <w:t>o</w:t>
      </w:r>
      <w:r w:rsidR="00286B49">
        <w:t xml:space="preserve"> the</w:t>
      </w:r>
      <w:r>
        <w:t xml:space="preserve"> capex</w:t>
      </w:r>
      <w:r w:rsidR="00E82B8B">
        <w:t xml:space="preserve"> values</w:t>
      </w:r>
      <w:r>
        <w:t xml:space="preserve"> </w:t>
      </w:r>
      <w:r w:rsidR="00641A2F">
        <w:t xml:space="preserve">used in the </w:t>
      </w:r>
      <w:r>
        <w:t>TAB</w:t>
      </w:r>
      <w:r w:rsidR="009752B2">
        <w:t xml:space="preserve"> </w:t>
      </w:r>
      <w:r w:rsidR="00641A2F">
        <w:t>roll forward</w:t>
      </w:r>
      <w:r>
        <w:t>.</w:t>
      </w:r>
      <w:r w:rsidR="00C022EE">
        <w:t xml:space="preserve"> </w:t>
      </w:r>
      <w:r w:rsidR="00286B49">
        <w:t xml:space="preserve">For the reasons discussed in attachment 2, we maintain our approach in the draft decision to adjusting the capex values for this final decision. We have also taken account of the actual </w:t>
      </w:r>
      <w:r w:rsidR="00286B49">
        <w:lastRenderedPageBreak/>
        <w:t xml:space="preserve">2013–14 capex update in determining the </w:t>
      </w:r>
      <w:r>
        <w:t xml:space="preserve">opening TAB at 1 July 2014 </w:t>
      </w:r>
      <w:r w:rsidR="00286B49">
        <w:t>for this final decision</w:t>
      </w:r>
      <w:r>
        <w:t xml:space="preserve">. </w:t>
      </w:r>
    </w:p>
    <w:p w:rsidR="009752B2" w:rsidRDefault="009752B2" w:rsidP="00DD69A4">
      <w:r>
        <w:fldChar w:fldCharType="begin"/>
      </w:r>
      <w:r>
        <w:instrText xml:space="preserve"> REF _Ref413832906 \h </w:instrText>
      </w:r>
      <w:r>
        <w:fldChar w:fldCharType="separate"/>
      </w:r>
      <w:r w:rsidR="00852825">
        <w:t xml:space="preserve">Table </w:t>
      </w:r>
      <w:r w:rsidR="00852825">
        <w:rPr>
          <w:noProof/>
        </w:rPr>
        <w:t>8</w:t>
      </w:r>
      <w:r w:rsidR="00852825">
        <w:t>.</w:t>
      </w:r>
      <w:r w:rsidR="00852825">
        <w:rPr>
          <w:noProof/>
        </w:rPr>
        <w:t>3</w:t>
      </w:r>
      <w:r>
        <w:fldChar w:fldCharType="end"/>
      </w:r>
      <w:r>
        <w:t xml:space="preserve"> </w:t>
      </w:r>
      <w:r w:rsidRPr="009752B2">
        <w:t xml:space="preserve">sets out our </w:t>
      </w:r>
      <w:r>
        <w:t>final</w:t>
      </w:r>
      <w:r w:rsidRPr="009752B2">
        <w:t xml:space="preserve"> decision on the roll forward of </w:t>
      </w:r>
      <w:r>
        <w:t>Essential</w:t>
      </w:r>
      <w:r w:rsidRPr="009752B2">
        <w:t xml:space="preserve"> Energy's TAB over the 2009–14 regulatory control period.</w:t>
      </w:r>
    </w:p>
    <w:p w:rsidR="009752B2" w:rsidRDefault="009752B2" w:rsidP="009752B2">
      <w:pPr>
        <w:pStyle w:val="Caption"/>
      </w:pPr>
      <w:bookmarkStart w:id="23" w:name="_Ref413832906"/>
      <w:proofErr w:type="gramStart"/>
      <w:r>
        <w:t xml:space="preserve">Table </w:t>
      </w:r>
      <w:proofErr w:type="gramEnd"/>
      <w:r w:rsidR="0001781B">
        <w:fldChar w:fldCharType="begin"/>
      </w:r>
      <w:r w:rsidR="0001781B">
        <w:instrText xml:space="preserve"> STYLEREF 1 \s </w:instrText>
      </w:r>
      <w:r w:rsidR="0001781B">
        <w:fldChar w:fldCharType="separate"/>
      </w:r>
      <w:r w:rsidR="00852825">
        <w:rPr>
          <w:noProof/>
        </w:rPr>
        <w:t>8</w:t>
      </w:r>
      <w:r w:rsidR="0001781B">
        <w:rPr>
          <w:noProof/>
        </w:rPr>
        <w:fldChar w:fldCharType="end"/>
      </w:r>
      <w:proofErr w:type="gramStart"/>
      <w:r w:rsidR="00641A2F">
        <w:t>.</w:t>
      </w:r>
      <w:proofErr w:type="gramEnd"/>
      <w:r w:rsidR="0001781B">
        <w:fldChar w:fldCharType="begin"/>
      </w:r>
      <w:r w:rsidR="0001781B">
        <w:instrText xml:space="preserve"> SEQ Table \* ARABIC \s 1 </w:instrText>
      </w:r>
      <w:r w:rsidR="0001781B">
        <w:fldChar w:fldCharType="separate"/>
      </w:r>
      <w:r w:rsidR="00852825">
        <w:rPr>
          <w:noProof/>
        </w:rPr>
        <w:t>3</w:t>
      </w:r>
      <w:r w:rsidR="0001781B">
        <w:rPr>
          <w:noProof/>
        </w:rPr>
        <w:fldChar w:fldCharType="end"/>
      </w:r>
      <w:bookmarkEnd w:id="23"/>
      <w:r>
        <w:tab/>
      </w:r>
      <w:r w:rsidRPr="009752B2">
        <w:t xml:space="preserve">AER's final decision on </w:t>
      </w:r>
      <w:r>
        <w:t>Essential</w:t>
      </w:r>
      <w:r w:rsidRPr="009752B2">
        <w:t xml:space="preserve"> Energy's TAB roll forward </w:t>
      </w:r>
      <w:r w:rsidR="000878DB">
        <w:t xml:space="preserve">for the 2009–14 regulatory control period </w:t>
      </w:r>
      <w:r w:rsidRPr="009752B2">
        <w:t>($ million, nominal)</w:t>
      </w:r>
    </w:p>
    <w:tbl>
      <w:tblPr>
        <w:tblStyle w:val="AERtable-numbers"/>
        <w:tblW w:w="0" w:type="auto"/>
        <w:tblLook w:val="04A0" w:firstRow="1" w:lastRow="0" w:firstColumn="1" w:lastColumn="0" w:noHBand="0" w:noVBand="1"/>
      </w:tblPr>
      <w:tblGrid>
        <w:gridCol w:w="3369"/>
        <w:gridCol w:w="1064"/>
        <w:gridCol w:w="1065"/>
        <w:gridCol w:w="1065"/>
        <w:gridCol w:w="1065"/>
        <w:gridCol w:w="1065"/>
      </w:tblGrid>
      <w:tr w:rsidR="00EF6615" w:rsidTr="000512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9752B2" w:rsidRDefault="009752B2" w:rsidP="009752B2"/>
        </w:tc>
        <w:tc>
          <w:tcPr>
            <w:tcW w:w="1064" w:type="dxa"/>
          </w:tcPr>
          <w:p w:rsidR="009752B2" w:rsidRPr="009752B2" w:rsidRDefault="009752B2" w:rsidP="009752B2">
            <w:pPr>
              <w:cnfStyle w:val="100000000000" w:firstRow="1" w:lastRow="0" w:firstColumn="0" w:lastColumn="0" w:oddVBand="0" w:evenVBand="0" w:oddHBand="0" w:evenHBand="0" w:firstRowFirstColumn="0" w:firstRowLastColumn="0" w:lastRowFirstColumn="0" w:lastRowLastColumn="0"/>
            </w:pPr>
            <w:r>
              <w:t>2009–10</w:t>
            </w:r>
          </w:p>
        </w:tc>
        <w:tc>
          <w:tcPr>
            <w:tcW w:w="1065" w:type="dxa"/>
          </w:tcPr>
          <w:p w:rsidR="009752B2" w:rsidRPr="009752B2" w:rsidRDefault="009752B2" w:rsidP="009752B2">
            <w:pPr>
              <w:cnfStyle w:val="100000000000" w:firstRow="1" w:lastRow="0" w:firstColumn="0" w:lastColumn="0" w:oddVBand="0" w:evenVBand="0" w:oddHBand="0" w:evenHBand="0" w:firstRowFirstColumn="0" w:firstRowLastColumn="0" w:lastRowFirstColumn="0" w:lastRowLastColumn="0"/>
            </w:pPr>
            <w:r>
              <w:t>2010–11</w:t>
            </w:r>
          </w:p>
        </w:tc>
        <w:tc>
          <w:tcPr>
            <w:tcW w:w="1065" w:type="dxa"/>
          </w:tcPr>
          <w:p w:rsidR="009752B2" w:rsidRPr="009752B2" w:rsidRDefault="009752B2" w:rsidP="009752B2">
            <w:pPr>
              <w:cnfStyle w:val="100000000000" w:firstRow="1" w:lastRow="0" w:firstColumn="0" w:lastColumn="0" w:oddVBand="0" w:evenVBand="0" w:oddHBand="0" w:evenHBand="0" w:firstRowFirstColumn="0" w:firstRowLastColumn="0" w:lastRowFirstColumn="0" w:lastRowLastColumn="0"/>
            </w:pPr>
            <w:r>
              <w:t>2011–12</w:t>
            </w:r>
          </w:p>
        </w:tc>
        <w:tc>
          <w:tcPr>
            <w:tcW w:w="1065" w:type="dxa"/>
          </w:tcPr>
          <w:p w:rsidR="009752B2" w:rsidRPr="009752B2" w:rsidRDefault="009752B2" w:rsidP="009752B2">
            <w:pPr>
              <w:cnfStyle w:val="100000000000" w:firstRow="1" w:lastRow="0" w:firstColumn="0" w:lastColumn="0" w:oddVBand="0" w:evenVBand="0" w:oddHBand="0" w:evenHBand="0" w:firstRowFirstColumn="0" w:firstRowLastColumn="0" w:lastRowFirstColumn="0" w:lastRowLastColumn="0"/>
            </w:pPr>
            <w:r>
              <w:t>2012–13</w:t>
            </w:r>
          </w:p>
        </w:tc>
        <w:tc>
          <w:tcPr>
            <w:tcW w:w="1065" w:type="dxa"/>
          </w:tcPr>
          <w:p w:rsidR="009752B2" w:rsidRPr="009752B2" w:rsidRDefault="009752B2" w:rsidP="009752B2">
            <w:pPr>
              <w:cnfStyle w:val="100000000000" w:firstRow="1" w:lastRow="0" w:firstColumn="0" w:lastColumn="0" w:oddVBand="0" w:evenVBand="0" w:oddHBand="0" w:evenHBand="0" w:firstRowFirstColumn="0" w:firstRowLastColumn="0" w:lastRowFirstColumn="0" w:lastRowLastColumn="0"/>
            </w:pPr>
            <w:r>
              <w:t>2013–14</w:t>
            </w:r>
          </w:p>
        </w:tc>
      </w:tr>
      <w:tr w:rsidR="000E26B9" w:rsidRPr="00286B49" w:rsidTr="0005128E">
        <w:tc>
          <w:tcPr>
            <w:cnfStyle w:val="001000000000" w:firstRow="0" w:lastRow="0" w:firstColumn="1" w:lastColumn="0" w:oddVBand="0" w:evenVBand="0" w:oddHBand="0" w:evenHBand="0" w:firstRowFirstColumn="0" w:firstRowLastColumn="0" w:lastRowFirstColumn="0" w:lastRowLastColumn="0"/>
            <w:tcW w:w="3369" w:type="dxa"/>
          </w:tcPr>
          <w:p w:rsidR="000E26B9" w:rsidRPr="000E26B9" w:rsidRDefault="000E26B9" w:rsidP="000E26B9">
            <w:r w:rsidRPr="000E26B9">
              <w:t>Opening TAB</w:t>
            </w:r>
          </w:p>
        </w:tc>
        <w:tc>
          <w:tcPr>
            <w:tcW w:w="1064" w:type="dxa"/>
            <w:vAlign w:val="bottom"/>
          </w:tcPr>
          <w:p w:rsidR="000E26B9" w:rsidRPr="000E26B9" w:rsidRDefault="000E26B9" w:rsidP="000E26B9">
            <w:pPr>
              <w:cnfStyle w:val="000000000000" w:firstRow="0" w:lastRow="0" w:firstColumn="0" w:lastColumn="0" w:oddVBand="0" w:evenVBand="0" w:oddHBand="0" w:evenHBand="0" w:firstRowFirstColumn="0" w:firstRowLastColumn="0" w:lastRowFirstColumn="0" w:lastRowLastColumn="0"/>
            </w:pPr>
            <w:r w:rsidRPr="000E26B9">
              <w:t>2728.3</w:t>
            </w:r>
          </w:p>
        </w:tc>
        <w:tc>
          <w:tcPr>
            <w:tcW w:w="1065" w:type="dxa"/>
            <w:vAlign w:val="bottom"/>
          </w:tcPr>
          <w:p w:rsidR="000E26B9" w:rsidRPr="000E26B9" w:rsidRDefault="000E26B9" w:rsidP="000E26B9">
            <w:pPr>
              <w:cnfStyle w:val="000000000000" w:firstRow="0" w:lastRow="0" w:firstColumn="0" w:lastColumn="0" w:oddVBand="0" w:evenVBand="0" w:oddHBand="0" w:evenHBand="0" w:firstRowFirstColumn="0" w:firstRowLastColumn="0" w:lastRowFirstColumn="0" w:lastRowLastColumn="0"/>
            </w:pPr>
            <w:r w:rsidRPr="000E26B9">
              <w:t>3319.9</w:t>
            </w:r>
          </w:p>
        </w:tc>
        <w:tc>
          <w:tcPr>
            <w:tcW w:w="1065" w:type="dxa"/>
            <w:vAlign w:val="bottom"/>
          </w:tcPr>
          <w:p w:rsidR="000E26B9" w:rsidRPr="000E26B9" w:rsidRDefault="000E26B9" w:rsidP="000E26B9">
            <w:pPr>
              <w:cnfStyle w:val="000000000000" w:firstRow="0" w:lastRow="0" w:firstColumn="0" w:lastColumn="0" w:oddVBand="0" w:evenVBand="0" w:oddHBand="0" w:evenHBand="0" w:firstRowFirstColumn="0" w:firstRowLastColumn="0" w:lastRowFirstColumn="0" w:lastRowLastColumn="0"/>
            </w:pPr>
            <w:r w:rsidRPr="000E26B9">
              <w:t>3909.3</w:t>
            </w:r>
          </w:p>
        </w:tc>
        <w:tc>
          <w:tcPr>
            <w:tcW w:w="1065" w:type="dxa"/>
            <w:vAlign w:val="bottom"/>
          </w:tcPr>
          <w:p w:rsidR="000E26B9" w:rsidRPr="000E26B9" w:rsidRDefault="000E26B9" w:rsidP="000E26B9">
            <w:pPr>
              <w:cnfStyle w:val="000000000000" w:firstRow="0" w:lastRow="0" w:firstColumn="0" w:lastColumn="0" w:oddVBand="0" w:evenVBand="0" w:oddHBand="0" w:evenHBand="0" w:firstRowFirstColumn="0" w:firstRowLastColumn="0" w:lastRowFirstColumn="0" w:lastRowLastColumn="0"/>
            </w:pPr>
            <w:r w:rsidRPr="000E26B9">
              <w:t>4525.8</w:t>
            </w:r>
          </w:p>
        </w:tc>
        <w:tc>
          <w:tcPr>
            <w:tcW w:w="1065" w:type="dxa"/>
            <w:vAlign w:val="bottom"/>
          </w:tcPr>
          <w:p w:rsidR="000E26B9" w:rsidRPr="000E26B9" w:rsidRDefault="000E26B9" w:rsidP="000E26B9">
            <w:pPr>
              <w:cnfStyle w:val="000000000000" w:firstRow="0" w:lastRow="0" w:firstColumn="0" w:lastColumn="0" w:oddVBand="0" w:evenVBand="0" w:oddHBand="0" w:evenHBand="0" w:firstRowFirstColumn="0" w:firstRowLastColumn="0" w:lastRowFirstColumn="0" w:lastRowLastColumn="0"/>
            </w:pPr>
            <w:r w:rsidRPr="000E26B9">
              <w:t>5010.5</w:t>
            </w:r>
          </w:p>
        </w:tc>
      </w:tr>
      <w:tr w:rsidR="000E26B9" w:rsidTr="000512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0E26B9" w:rsidRPr="000E26B9" w:rsidRDefault="000E26B9" w:rsidP="000E26B9">
            <w:pPr>
              <w:rPr>
                <w:rStyle w:val="AERsuperscript"/>
              </w:rPr>
            </w:pPr>
            <w:r w:rsidRPr="000E26B9">
              <w:t xml:space="preserve">Capital </w:t>
            </w:r>
            <w:proofErr w:type="spellStart"/>
            <w:r w:rsidRPr="000E26B9">
              <w:t>expenditure</w:t>
            </w:r>
            <w:r w:rsidRPr="000E26B9">
              <w:rPr>
                <w:rStyle w:val="AERsuperscript"/>
              </w:rPr>
              <w:t>a</w:t>
            </w:r>
            <w:proofErr w:type="spellEnd"/>
          </w:p>
        </w:tc>
        <w:tc>
          <w:tcPr>
            <w:tcW w:w="1064" w:type="dxa"/>
            <w:vAlign w:val="bottom"/>
          </w:tcPr>
          <w:p w:rsidR="000E26B9" w:rsidRPr="000E26B9" w:rsidRDefault="000E26B9" w:rsidP="000E26B9">
            <w:pPr>
              <w:cnfStyle w:val="000000010000" w:firstRow="0" w:lastRow="0" w:firstColumn="0" w:lastColumn="0" w:oddVBand="0" w:evenVBand="0" w:oddHBand="0" w:evenHBand="1" w:firstRowFirstColumn="0" w:firstRowLastColumn="0" w:lastRowFirstColumn="0" w:lastRowLastColumn="0"/>
            </w:pPr>
            <w:r w:rsidRPr="000E26B9">
              <w:t>728.5</w:t>
            </w:r>
          </w:p>
        </w:tc>
        <w:tc>
          <w:tcPr>
            <w:tcW w:w="1065" w:type="dxa"/>
            <w:vAlign w:val="bottom"/>
          </w:tcPr>
          <w:p w:rsidR="000E26B9" w:rsidRPr="000E26B9" w:rsidRDefault="000E26B9" w:rsidP="000E26B9">
            <w:pPr>
              <w:cnfStyle w:val="000000010000" w:firstRow="0" w:lastRow="0" w:firstColumn="0" w:lastColumn="0" w:oddVBand="0" w:evenVBand="0" w:oddHBand="0" w:evenHBand="1" w:firstRowFirstColumn="0" w:firstRowLastColumn="0" w:lastRowFirstColumn="0" w:lastRowLastColumn="0"/>
            </w:pPr>
            <w:r w:rsidRPr="000E26B9">
              <w:t>754.6</w:t>
            </w:r>
          </w:p>
        </w:tc>
        <w:tc>
          <w:tcPr>
            <w:tcW w:w="1065" w:type="dxa"/>
            <w:vAlign w:val="bottom"/>
          </w:tcPr>
          <w:p w:rsidR="000E26B9" w:rsidRPr="000E26B9" w:rsidRDefault="000E26B9" w:rsidP="000E26B9">
            <w:pPr>
              <w:cnfStyle w:val="000000010000" w:firstRow="0" w:lastRow="0" w:firstColumn="0" w:lastColumn="0" w:oddVBand="0" w:evenVBand="0" w:oddHBand="0" w:evenHBand="1" w:firstRowFirstColumn="0" w:firstRowLastColumn="0" w:lastRowFirstColumn="0" w:lastRowLastColumn="0"/>
            </w:pPr>
            <w:r w:rsidRPr="000E26B9">
              <w:t>809.5</w:t>
            </w:r>
          </w:p>
        </w:tc>
        <w:tc>
          <w:tcPr>
            <w:tcW w:w="1065" w:type="dxa"/>
            <w:vAlign w:val="bottom"/>
          </w:tcPr>
          <w:p w:rsidR="000E26B9" w:rsidRPr="000E26B9" w:rsidRDefault="000E26B9" w:rsidP="000E26B9">
            <w:pPr>
              <w:cnfStyle w:val="000000010000" w:firstRow="0" w:lastRow="0" w:firstColumn="0" w:lastColumn="0" w:oddVBand="0" w:evenVBand="0" w:oddHBand="0" w:evenHBand="1" w:firstRowFirstColumn="0" w:firstRowLastColumn="0" w:lastRowFirstColumn="0" w:lastRowLastColumn="0"/>
            </w:pPr>
            <w:r w:rsidRPr="000E26B9">
              <w:t>702.8</w:t>
            </w:r>
          </w:p>
        </w:tc>
        <w:tc>
          <w:tcPr>
            <w:tcW w:w="1065" w:type="dxa"/>
            <w:vAlign w:val="bottom"/>
          </w:tcPr>
          <w:p w:rsidR="000E26B9" w:rsidRPr="000E26B9" w:rsidRDefault="000E26B9" w:rsidP="000E26B9">
            <w:pPr>
              <w:cnfStyle w:val="000000010000" w:firstRow="0" w:lastRow="0" w:firstColumn="0" w:lastColumn="0" w:oddVBand="0" w:evenVBand="0" w:oddHBand="0" w:evenHBand="1" w:firstRowFirstColumn="0" w:firstRowLastColumn="0" w:lastRowFirstColumn="0" w:lastRowLastColumn="0"/>
            </w:pPr>
            <w:r w:rsidRPr="000E26B9">
              <w:t>646.4</w:t>
            </w:r>
          </w:p>
        </w:tc>
      </w:tr>
      <w:tr w:rsidR="000E26B9" w:rsidTr="0005128E">
        <w:tc>
          <w:tcPr>
            <w:cnfStyle w:val="001000000000" w:firstRow="0" w:lastRow="0" w:firstColumn="1" w:lastColumn="0" w:oddVBand="0" w:evenVBand="0" w:oddHBand="0" w:evenHBand="0" w:firstRowFirstColumn="0" w:firstRowLastColumn="0" w:lastRowFirstColumn="0" w:lastRowLastColumn="0"/>
            <w:tcW w:w="3369" w:type="dxa"/>
          </w:tcPr>
          <w:p w:rsidR="000E26B9" w:rsidRPr="000E26B9" w:rsidRDefault="000E26B9" w:rsidP="000E26B9">
            <w:r w:rsidRPr="000E26B9">
              <w:rPr>
                <w:rStyle w:val="AERtextitalic"/>
              </w:rPr>
              <w:t>Less:</w:t>
            </w:r>
            <w:r w:rsidRPr="000E26B9">
              <w:t xml:space="preserve"> tax depreciation</w:t>
            </w:r>
          </w:p>
        </w:tc>
        <w:tc>
          <w:tcPr>
            <w:tcW w:w="1064" w:type="dxa"/>
            <w:vAlign w:val="bottom"/>
          </w:tcPr>
          <w:p w:rsidR="000E26B9" w:rsidRPr="000E26B9" w:rsidRDefault="000E26B9" w:rsidP="000E26B9">
            <w:pPr>
              <w:cnfStyle w:val="000000000000" w:firstRow="0" w:lastRow="0" w:firstColumn="0" w:lastColumn="0" w:oddVBand="0" w:evenVBand="0" w:oddHBand="0" w:evenHBand="0" w:firstRowFirstColumn="0" w:firstRowLastColumn="0" w:lastRowFirstColumn="0" w:lastRowLastColumn="0"/>
            </w:pPr>
            <w:r w:rsidRPr="000E26B9">
              <w:t>136.9</w:t>
            </w:r>
          </w:p>
        </w:tc>
        <w:tc>
          <w:tcPr>
            <w:tcW w:w="1065" w:type="dxa"/>
            <w:vAlign w:val="bottom"/>
          </w:tcPr>
          <w:p w:rsidR="000E26B9" w:rsidRPr="000E26B9" w:rsidRDefault="000E26B9" w:rsidP="000E26B9">
            <w:pPr>
              <w:cnfStyle w:val="000000000000" w:firstRow="0" w:lastRow="0" w:firstColumn="0" w:lastColumn="0" w:oddVBand="0" w:evenVBand="0" w:oddHBand="0" w:evenHBand="0" w:firstRowFirstColumn="0" w:firstRowLastColumn="0" w:lastRowFirstColumn="0" w:lastRowLastColumn="0"/>
            </w:pPr>
            <w:r w:rsidRPr="000E26B9">
              <w:t>165.2</w:t>
            </w:r>
          </w:p>
        </w:tc>
        <w:tc>
          <w:tcPr>
            <w:tcW w:w="1065" w:type="dxa"/>
            <w:vAlign w:val="bottom"/>
          </w:tcPr>
          <w:p w:rsidR="000E26B9" w:rsidRPr="000E26B9" w:rsidRDefault="000E26B9" w:rsidP="000E26B9">
            <w:pPr>
              <w:cnfStyle w:val="000000000000" w:firstRow="0" w:lastRow="0" w:firstColumn="0" w:lastColumn="0" w:oddVBand="0" w:evenVBand="0" w:oddHBand="0" w:evenHBand="0" w:firstRowFirstColumn="0" w:firstRowLastColumn="0" w:lastRowFirstColumn="0" w:lastRowLastColumn="0"/>
            </w:pPr>
            <w:r w:rsidRPr="000E26B9">
              <w:t>193.0</w:t>
            </w:r>
          </w:p>
        </w:tc>
        <w:tc>
          <w:tcPr>
            <w:tcW w:w="1065" w:type="dxa"/>
            <w:vAlign w:val="bottom"/>
          </w:tcPr>
          <w:p w:rsidR="000E26B9" w:rsidRPr="000E26B9" w:rsidRDefault="000E26B9" w:rsidP="000E26B9">
            <w:pPr>
              <w:cnfStyle w:val="000000000000" w:firstRow="0" w:lastRow="0" w:firstColumn="0" w:lastColumn="0" w:oddVBand="0" w:evenVBand="0" w:oddHBand="0" w:evenHBand="0" w:firstRowFirstColumn="0" w:firstRowLastColumn="0" w:lastRowFirstColumn="0" w:lastRowLastColumn="0"/>
            </w:pPr>
            <w:r w:rsidRPr="000E26B9">
              <w:t>218.1</w:t>
            </w:r>
          </w:p>
        </w:tc>
        <w:tc>
          <w:tcPr>
            <w:tcW w:w="1065" w:type="dxa"/>
            <w:vAlign w:val="bottom"/>
          </w:tcPr>
          <w:p w:rsidR="000E26B9" w:rsidRPr="000E26B9" w:rsidRDefault="000E26B9" w:rsidP="000E26B9">
            <w:pPr>
              <w:cnfStyle w:val="000000000000" w:firstRow="0" w:lastRow="0" w:firstColumn="0" w:lastColumn="0" w:oddVBand="0" w:evenVBand="0" w:oddHBand="0" w:evenHBand="0" w:firstRowFirstColumn="0" w:firstRowLastColumn="0" w:lastRowFirstColumn="0" w:lastRowLastColumn="0"/>
            </w:pPr>
            <w:r w:rsidRPr="000E26B9">
              <w:t>224.4</w:t>
            </w:r>
          </w:p>
        </w:tc>
      </w:tr>
      <w:tr w:rsidR="000E26B9" w:rsidRPr="00286B49" w:rsidTr="000512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0E26B9" w:rsidRPr="000E26B9" w:rsidRDefault="000E26B9" w:rsidP="000E26B9">
            <w:r w:rsidRPr="000E26B9">
              <w:t>Closing TAB</w:t>
            </w:r>
          </w:p>
        </w:tc>
        <w:tc>
          <w:tcPr>
            <w:tcW w:w="1064" w:type="dxa"/>
            <w:vAlign w:val="bottom"/>
          </w:tcPr>
          <w:p w:rsidR="000E26B9" w:rsidRPr="000E26B9" w:rsidRDefault="000E26B9" w:rsidP="000E26B9">
            <w:pPr>
              <w:cnfStyle w:val="000000010000" w:firstRow="0" w:lastRow="0" w:firstColumn="0" w:lastColumn="0" w:oddVBand="0" w:evenVBand="0" w:oddHBand="0" w:evenHBand="1" w:firstRowFirstColumn="0" w:firstRowLastColumn="0" w:lastRowFirstColumn="0" w:lastRowLastColumn="0"/>
            </w:pPr>
            <w:r w:rsidRPr="000E26B9">
              <w:t>3319.9</w:t>
            </w:r>
          </w:p>
        </w:tc>
        <w:tc>
          <w:tcPr>
            <w:tcW w:w="1065" w:type="dxa"/>
            <w:vAlign w:val="bottom"/>
          </w:tcPr>
          <w:p w:rsidR="000E26B9" w:rsidRPr="000E26B9" w:rsidRDefault="000E26B9" w:rsidP="000E26B9">
            <w:pPr>
              <w:cnfStyle w:val="000000010000" w:firstRow="0" w:lastRow="0" w:firstColumn="0" w:lastColumn="0" w:oddVBand="0" w:evenVBand="0" w:oddHBand="0" w:evenHBand="1" w:firstRowFirstColumn="0" w:firstRowLastColumn="0" w:lastRowFirstColumn="0" w:lastRowLastColumn="0"/>
            </w:pPr>
            <w:r w:rsidRPr="000E26B9">
              <w:t>3909.3</w:t>
            </w:r>
          </w:p>
        </w:tc>
        <w:tc>
          <w:tcPr>
            <w:tcW w:w="1065" w:type="dxa"/>
            <w:vAlign w:val="bottom"/>
          </w:tcPr>
          <w:p w:rsidR="000E26B9" w:rsidRPr="000E26B9" w:rsidRDefault="000E26B9" w:rsidP="000E26B9">
            <w:pPr>
              <w:cnfStyle w:val="000000010000" w:firstRow="0" w:lastRow="0" w:firstColumn="0" w:lastColumn="0" w:oddVBand="0" w:evenVBand="0" w:oddHBand="0" w:evenHBand="1" w:firstRowFirstColumn="0" w:firstRowLastColumn="0" w:lastRowFirstColumn="0" w:lastRowLastColumn="0"/>
            </w:pPr>
            <w:r w:rsidRPr="000E26B9">
              <w:t>4525.8</w:t>
            </w:r>
          </w:p>
        </w:tc>
        <w:tc>
          <w:tcPr>
            <w:tcW w:w="1065" w:type="dxa"/>
            <w:vAlign w:val="bottom"/>
          </w:tcPr>
          <w:p w:rsidR="000E26B9" w:rsidRPr="000E26B9" w:rsidRDefault="000E26B9" w:rsidP="000E26B9">
            <w:pPr>
              <w:cnfStyle w:val="000000010000" w:firstRow="0" w:lastRow="0" w:firstColumn="0" w:lastColumn="0" w:oddVBand="0" w:evenVBand="0" w:oddHBand="0" w:evenHBand="1" w:firstRowFirstColumn="0" w:firstRowLastColumn="0" w:lastRowFirstColumn="0" w:lastRowLastColumn="0"/>
            </w:pPr>
            <w:r w:rsidRPr="000E26B9">
              <w:t>5010.5</w:t>
            </w:r>
          </w:p>
        </w:tc>
        <w:tc>
          <w:tcPr>
            <w:tcW w:w="1065" w:type="dxa"/>
            <w:vAlign w:val="bottom"/>
          </w:tcPr>
          <w:p w:rsidR="000E26B9" w:rsidRPr="000E26B9" w:rsidRDefault="000E26B9" w:rsidP="000E26B9">
            <w:pPr>
              <w:cnfStyle w:val="000000010000" w:firstRow="0" w:lastRow="0" w:firstColumn="0" w:lastColumn="0" w:oddVBand="0" w:evenVBand="0" w:oddHBand="0" w:evenHBand="1" w:firstRowFirstColumn="0" w:firstRowLastColumn="0" w:lastRowFirstColumn="0" w:lastRowLastColumn="0"/>
            </w:pPr>
            <w:r w:rsidRPr="000E26B9">
              <w:t>5432.5</w:t>
            </w:r>
          </w:p>
        </w:tc>
      </w:tr>
      <w:tr w:rsidR="000E26B9" w:rsidTr="0005128E">
        <w:tc>
          <w:tcPr>
            <w:cnfStyle w:val="001000000000" w:firstRow="0" w:lastRow="0" w:firstColumn="1" w:lastColumn="0" w:oddVBand="0" w:evenVBand="0" w:oddHBand="0" w:evenHBand="0" w:firstRowFirstColumn="0" w:firstRowLastColumn="0" w:lastRowFirstColumn="0" w:lastRowLastColumn="0"/>
            <w:tcW w:w="3369" w:type="dxa"/>
          </w:tcPr>
          <w:p w:rsidR="000E26B9" w:rsidRPr="000E26B9" w:rsidRDefault="000E26B9" w:rsidP="000E26B9">
            <w:r w:rsidRPr="000E26B9">
              <w:t>Meters moved to alternative control services</w:t>
            </w:r>
          </w:p>
        </w:tc>
        <w:tc>
          <w:tcPr>
            <w:tcW w:w="1064" w:type="dxa"/>
            <w:vAlign w:val="bottom"/>
          </w:tcPr>
          <w:p w:rsidR="000E26B9" w:rsidRPr="000E26B9" w:rsidRDefault="000E26B9">
            <w:pPr>
              <w:cnfStyle w:val="000000000000" w:firstRow="0" w:lastRow="0" w:firstColumn="0" w:lastColumn="0" w:oddVBand="0" w:evenVBand="0" w:oddHBand="0" w:evenHBand="0" w:firstRowFirstColumn="0" w:firstRowLastColumn="0" w:lastRowFirstColumn="0" w:lastRowLastColumn="0"/>
            </w:pPr>
            <w:r w:rsidRPr="000E26B9">
              <w:t> </w:t>
            </w:r>
          </w:p>
        </w:tc>
        <w:tc>
          <w:tcPr>
            <w:tcW w:w="1065" w:type="dxa"/>
            <w:vAlign w:val="bottom"/>
          </w:tcPr>
          <w:p w:rsidR="000E26B9" w:rsidRPr="000E26B9" w:rsidRDefault="000E26B9">
            <w:pPr>
              <w:cnfStyle w:val="000000000000" w:firstRow="0" w:lastRow="0" w:firstColumn="0" w:lastColumn="0" w:oddVBand="0" w:evenVBand="0" w:oddHBand="0" w:evenHBand="0" w:firstRowFirstColumn="0" w:firstRowLastColumn="0" w:lastRowFirstColumn="0" w:lastRowLastColumn="0"/>
            </w:pPr>
            <w:r w:rsidRPr="000E26B9">
              <w:t> </w:t>
            </w:r>
          </w:p>
        </w:tc>
        <w:tc>
          <w:tcPr>
            <w:tcW w:w="1065" w:type="dxa"/>
            <w:vAlign w:val="bottom"/>
          </w:tcPr>
          <w:p w:rsidR="000E26B9" w:rsidRPr="000E26B9" w:rsidRDefault="000E26B9">
            <w:pPr>
              <w:cnfStyle w:val="000000000000" w:firstRow="0" w:lastRow="0" w:firstColumn="0" w:lastColumn="0" w:oddVBand="0" w:evenVBand="0" w:oddHBand="0" w:evenHBand="0" w:firstRowFirstColumn="0" w:firstRowLastColumn="0" w:lastRowFirstColumn="0" w:lastRowLastColumn="0"/>
            </w:pPr>
            <w:r w:rsidRPr="000E26B9">
              <w:t> </w:t>
            </w:r>
          </w:p>
        </w:tc>
        <w:tc>
          <w:tcPr>
            <w:tcW w:w="1065" w:type="dxa"/>
            <w:vAlign w:val="bottom"/>
          </w:tcPr>
          <w:p w:rsidR="000E26B9" w:rsidRPr="000E26B9" w:rsidRDefault="000E26B9">
            <w:pPr>
              <w:cnfStyle w:val="000000000000" w:firstRow="0" w:lastRow="0" w:firstColumn="0" w:lastColumn="0" w:oddVBand="0" w:evenVBand="0" w:oddHBand="0" w:evenHBand="0" w:firstRowFirstColumn="0" w:firstRowLastColumn="0" w:lastRowFirstColumn="0" w:lastRowLastColumn="0"/>
            </w:pPr>
            <w:r w:rsidRPr="000E26B9">
              <w:t> </w:t>
            </w:r>
          </w:p>
        </w:tc>
        <w:tc>
          <w:tcPr>
            <w:tcW w:w="1065" w:type="dxa"/>
            <w:vAlign w:val="bottom"/>
          </w:tcPr>
          <w:p w:rsidR="000E26B9" w:rsidRPr="000E26B9" w:rsidRDefault="000E26B9" w:rsidP="000E26B9">
            <w:pPr>
              <w:cnfStyle w:val="000000000000" w:firstRow="0" w:lastRow="0" w:firstColumn="0" w:lastColumn="0" w:oddVBand="0" w:evenVBand="0" w:oddHBand="0" w:evenHBand="0" w:firstRowFirstColumn="0" w:firstRowLastColumn="0" w:lastRowFirstColumn="0" w:lastRowLastColumn="0"/>
            </w:pPr>
            <w:r w:rsidRPr="000E26B9">
              <w:t>88.3</w:t>
            </w:r>
          </w:p>
        </w:tc>
      </w:tr>
      <w:tr w:rsidR="000E26B9" w:rsidRPr="000E26B9" w:rsidTr="000512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0E26B9" w:rsidRPr="000E26B9" w:rsidRDefault="000E26B9" w:rsidP="000E26B9">
            <w:pPr>
              <w:rPr>
                <w:rStyle w:val="Strong"/>
              </w:rPr>
            </w:pPr>
            <w:r w:rsidRPr="000E26B9">
              <w:rPr>
                <w:rStyle w:val="Strong"/>
              </w:rPr>
              <w:t>Opening TAB as at 1 July 2014</w:t>
            </w:r>
          </w:p>
        </w:tc>
        <w:tc>
          <w:tcPr>
            <w:tcW w:w="1064" w:type="dxa"/>
            <w:vAlign w:val="bottom"/>
          </w:tcPr>
          <w:p w:rsidR="000E26B9" w:rsidRPr="000E26B9" w:rsidRDefault="000E26B9">
            <w:pPr>
              <w:cnfStyle w:val="000000010000" w:firstRow="0" w:lastRow="0" w:firstColumn="0" w:lastColumn="0" w:oddVBand="0" w:evenVBand="0" w:oddHBand="0" w:evenHBand="1" w:firstRowFirstColumn="0" w:firstRowLastColumn="0" w:lastRowFirstColumn="0" w:lastRowLastColumn="0"/>
              <w:rPr>
                <w:rStyle w:val="Strong"/>
              </w:rPr>
            </w:pPr>
            <w:r w:rsidRPr="000E26B9">
              <w:rPr>
                <w:rStyle w:val="Strong"/>
              </w:rPr>
              <w:t> </w:t>
            </w:r>
          </w:p>
        </w:tc>
        <w:tc>
          <w:tcPr>
            <w:tcW w:w="1065" w:type="dxa"/>
            <w:vAlign w:val="bottom"/>
          </w:tcPr>
          <w:p w:rsidR="000E26B9" w:rsidRPr="000E26B9" w:rsidRDefault="000E26B9">
            <w:pPr>
              <w:cnfStyle w:val="000000010000" w:firstRow="0" w:lastRow="0" w:firstColumn="0" w:lastColumn="0" w:oddVBand="0" w:evenVBand="0" w:oddHBand="0" w:evenHBand="1" w:firstRowFirstColumn="0" w:firstRowLastColumn="0" w:lastRowFirstColumn="0" w:lastRowLastColumn="0"/>
              <w:rPr>
                <w:rStyle w:val="Strong"/>
              </w:rPr>
            </w:pPr>
            <w:r w:rsidRPr="000E26B9">
              <w:rPr>
                <w:rStyle w:val="Strong"/>
              </w:rPr>
              <w:t> </w:t>
            </w:r>
          </w:p>
        </w:tc>
        <w:tc>
          <w:tcPr>
            <w:tcW w:w="1065" w:type="dxa"/>
            <w:vAlign w:val="bottom"/>
          </w:tcPr>
          <w:p w:rsidR="000E26B9" w:rsidRPr="000E26B9" w:rsidRDefault="000E26B9">
            <w:pPr>
              <w:cnfStyle w:val="000000010000" w:firstRow="0" w:lastRow="0" w:firstColumn="0" w:lastColumn="0" w:oddVBand="0" w:evenVBand="0" w:oddHBand="0" w:evenHBand="1" w:firstRowFirstColumn="0" w:firstRowLastColumn="0" w:lastRowFirstColumn="0" w:lastRowLastColumn="0"/>
              <w:rPr>
                <w:rStyle w:val="Strong"/>
              </w:rPr>
            </w:pPr>
            <w:r w:rsidRPr="000E26B9">
              <w:rPr>
                <w:rStyle w:val="Strong"/>
              </w:rPr>
              <w:t> </w:t>
            </w:r>
          </w:p>
        </w:tc>
        <w:tc>
          <w:tcPr>
            <w:tcW w:w="1065" w:type="dxa"/>
            <w:vAlign w:val="bottom"/>
          </w:tcPr>
          <w:p w:rsidR="000E26B9" w:rsidRPr="000E26B9" w:rsidRDefault="000E26B9">
            <w:pPr>
              <w:cnfStyle w:val="000000010000" w:firstRow="0" w:lastRow="0" w:firstColumn="0" w:lastColumn="0" w:oddVBand="0" w:evenVBand="0" w:oddHBand="0" w:evenHBand="1" w:firstRowFirstColumn="0" w:firstRowLastColumn="0" w:lastRowFirstColumn="0" w:lastRowLastColumn="0"/>
              <w:rPr>
                <w:rStyle w:val="Strong"/>
              </w:rPr>
            </w:pPr>
            <w:r w:rsidRPr="000E26B9">
              <w:rPr>
                <w:rStyle w:val="Strong"/>
              </w:rPr>
              <w:t> </w:t>
            </w:r>
          </w:p>
        </w:tc>
        <w:tc>
          <w:tcPr>
            <w:tcW w:w="1065" w:type="dxa"/>
            <w:vAlign w:val="bottom"/>
          </w:tcPr>
          <w:p w:rsidR="000E26B9" w:rsidRPr="000E26B9" w:rsidRDefault="000E26B9" w:rsidP="000E26B9">
            <w:pPr>
              <w:cnfStyle w:val="000000010000" w:firstRow="0" w:lastRow="0" w:firstColumn="0" w:lastColumn="0" w:oddVBand="0" w:evenVBand="0" w:oddHBand="0" w:evenHBand="1" w:firstRowFirstColumn="0" w:firstRowLastColumn="0" w:lastRowFirstColumn="0" w:lastRowLastColumn="0"/>
              <w:rPr>
                <w:rStyle w:val="Strong"/>
              </w:rPr>
            </w:pPr>
            <w:r w:rsidRPr="000E26B9">
              <w:rPr>
                <w:rStyle w:val="Strong"/>
              </w:rPr>
              <w:t>5344.2</w:t>
            </w:r>
          </w:p>
        </w:tc>
      </w:tr>
    </w:tbl>
    <w:p w:rsidR="00A818A8" w:rsidRDefault="009752B2" w:rsidP="00A818A8">
      <w:pPr>
        <w:pStyle w:val="AERtablesource"/>
      </w:pPr>
      <w:r>
        <w:t>Source:</w:t>
      </w:r>
      <w:r>
        <w:tab/>
        <w:t>AER analysis.</w:t>
      </w:r>
      <w:r w:rsidR="00A818A8">
        <w:t xml:space="preserve"> </w:t>
      </w:r>
    </w:p>
    <w:p w:rsidR="009752B2" w:rsidRDefault="00A818A8" w:rsidP="009752B2">
      <w:pPr>
        <w:pStyle w:val="AERtablesource"/>
      </w:pPr>
      <w:r>
        <w:t xml:space="preserve">(a) </w:t>
      </w:r>
      <w:r>
        <w:tab/>
        <w:t>Net of disposals.</w:t>
      </w:r>
    </w:p>
    <w:p w:rsidR="007B186E" w:rsidRDefault="00DD69A4" w:rsidP="001754EE">
      <w:pPr>
        <w:pStyle w:val="Heading3"/>
      </w:pPr>
      <w:bookmarkStart w:id="24" w:name="_Ref414970592"/>
      <w:bookmarkStart w:id="25" w:name="_Toc414975756"/>
      <w:r w:rsidRPr="00877FF8">
        <w:t>Standard tax asset lives</w:t>
      </w:r>
      <w:bookmarkEnd w:id="24"/>
      <w:bookmarkEnd w:id="25"/>
      <w:r w:rsidR="007D456E">
        <w:t xml:space="preserve"> </w:t>
      </w:r>
    </w:p>
    <w:p w:rsidR="009752B2" w:rsidRPr="009752B2" w:rsidRDefault="009752B2" w:rsidP="009752B2">
      <w:r w:rsidRPr="009752B2">
        <w:t xml:space="preserve">Consistent with our draft decision, we accept </w:t>
      </w:r>
      <w:r>
        <w:t>Essential</w:t>
      </w:r>
      <w:r w:rsidRPr="009752B2">
        <w:t xml:space="preserve"> Energy's </w:t>
      </w:r>
      <w:r w:rsidR="007802D7">
        <w:t xml:space="preserve">revised </w:t>
      </w:r>
      <w:r w:rsidRPr="009752B2">
        <w:t>proposed standard tax asset lives because they are:</w:t>
      </w:r>
    </w:p>
    <w:p w:rsidR="009752B2" w:rsidRPr="009752B2" w:rsidRDefault="009752B2" w:rsidP="009752B2">
      <w:pPr>
        <w:pStyle w:val="AERbulletlistfirststyle"/>
      </w:pPr>
      <w:r w:rsidRPr="009752B2">
        <w:t>broadly consistent with the values prescribed by the Commissioner for taxation in tax ruling 2014/4</w:t>
      </w:r>
      <w:r w:rsidRPr="009752B2">
        <w:rPr>
          <w:rStyle w:val="FootnoteReference"/>
        </w:rPr>
        <w:footnoteReference w:id="6"/>
      </w:r>
    </w:p>
    <w:p w:rsidR="009752B2" w:rsidRPr="009752B2" w:rsidRDefault="009752B2" w:rsidP="009752B2">
      <w:pPr>
        <w:pStyle w:val="AERbulletlistfirststyle"/>
      </w:pPr>
      <w:proofErr w:type="gramStart"/>
      <w:r w:rsidRPr="009752B2">
        <w:t>the</w:t>
      </w:r>
      <w:proofErr w:type="gramEnd"/>
      <w:r w:rsidRPr="009752B2">
        <w:t xml:space="preserve"> same as those approved standard tax asset lives for the 2009–14 regulatory control period.</w:t>
      </w:r>
    </w:p>
    <w:p w:rsidR="00304A74" w:rsidRDefault="003E4933" w:rsidP="00641A2F">
      <w:r>
        <w:t xml:space="preserve">In the draft decision, we made one amendment to the proposed standard tax asset life. We </w:t>
      </w:r>
      <w:r w:rsidRPr="005F0D1A">
        <w:t xml:space="preserve">changed the standard tax asset life for </w:t>
      </w:r>
      <w:r>
        <w:t>the</w:t>
      </w:r>
      <w:r w:rsidRPr="005F0D1A">
        <w:t xml:space="preserve"> 'Equity </w:t>
      </w:r>
      <w:proofErr w:type="gramStart"/>
      <w:r w:rsidRPr="005F0D1A">
        <w:t>raising</w:t>
      </w:r>
      <w:proofErr w:type="gramEnd"/>
      <w:r w:rsidRPr="005F0D1A">
        <w:t xml:space="preserve"> costs' asset class to 5</w:t>
      </w:r>
      <w:r>
        <w:t> </w:t>
      </w:r>
      <w:r w:rsidRPr="005F0D1A">
        <w:t xml:space="preserve">years from </w:t>
      </w:r>
      <w:r>
        <w:t>Essential Energy</w:t>
      </w:r>
      <w:r w:rsidRPr="005F0D1A">
        <w:t xml:space="preserve">'s proposed </w:t>
      </w:r>
      <w:r>
        <w:t>44.7</w:t>
      </w:r>
      <w:r w:rsidRPr="005F0D1A">
        <w:t xml:space="preserve"> years for tax </w:t>
      </w:r>
      <w:r>
        <w:t xml:space="preserve">depreciation purposes. </w:t>
      </w:r>
      <w:r w:rsidRPr="005F0D1A">
        <w:t xml:space="preserve">This </w:t>
      </w:r>
      <w:r>
        <w:t>wa</w:t>
      </w:r>
      <w:r w:rsidRPr="005F0D1A">
        <w:t>s because the Australian Taxation Office (ATO) requires equity raising costs to be amortised over a five-year period on a straight-line basis</w:t>
      </w:r>
      <w:r>
        <w:t>.</w:t>
      </w:r>
      <w:r>
        <w:rPr>
          <w:rStyle w:val="FootnoteReference"/>
        </w:rPr>
        <w:footnoteReference w:id="7"/>
      </w:r>
      <w:r>
        <w:t xml:space="preserve"> Essential</w:t>
      </w:r>
      <w:r w:rsidR="009752B2" w:rsidRPr="009752B2">
        <w:t xml:space="preserve"> Energy's revised proposal </w:t>
      </w:r>
      <w:r w:rsidR="00641A2F">
        <w:t>did not adopt</w:t>
      </w:r>
      <w:r w:rsidR="009752B2" w:rsidRPr="009752B2">
        <w:t xml:space="preserve"> our draft decision </w:t>
      </w:r>
      <w:r w:rsidR="007802D7">
        <w:t xml:space="preserve">on the </w:t>
      </w:r>
      <w:r w:rsidR="009752B2" w:rsidRPr="009752B2">
        <w:t xml:space="preserve">standard </w:t>
      </w:r>
      <w:r w:rsidR="00304A74">
        <w:t xml:space="preserve">tax </w:t>
      </w:r>
      <w:r w:rsidR="009752B2" w:rsidRPr="009752B2">
        <w:t xml:space="preserve">asset life of 5 </w:t>
      </w:r>
      <w:r w:rsidR="009752B2" w:rsidRPr="009752B2">
        <w:lastRenderedPageBreak/>
        <w:t>years.</w:t>
      </w:r>
      <w:r w:rsidR="009752B2" w:rsidRPr="009752B2">
        <w:rPr>
          <w:rStyle w:val="FootnoteReference"/>
        </w:rPr>
        <w:footnoteReference w:id="8"/>
      </w:r>
      <w:r w:rsidR="00641A2F">
        <w:t xml:space="preserve"> </w:t>
      </w:r>
      <w:r w:rsidR="00304A74">
        <w:t>It did not provide reasons for not adopting our draft decision standard tax asset life for this asset class.</w:t>
      </w:r>
    </w:p>
    <w:p w:rsidR="009752B2" w:rsidRDefault="00641A2F" w:rsidP="00641A2F">
      <w:r>
        <w:t xml:space="preserve">Our final decision is to </w:t>
      </w:r>
      <w:r w:rsidR="00CF7423">
        <w:t xml:space="preserve">apply a </w:t>
      </w:r>
      <w:r w:rsidRPr="00641A2F">
        <w:t>standard tax asset life of 5 years</w:t>
      </w:r>
      <w:r w:rsidR="00304A74">
        <w:t xml:space="preserve"> for the 'Equity </w:t>
      </w:r>
      <w:proofErr w:type="gramStart"/>
      <w:r w:rsidR="00304A74">
        <w:t>raising</w:t>
      </w:r>
      <w:proofErr w:type="gramEnd"/>
      <w:r w:rsidR="00304A74">
        <w:t xml:space="preserve"> costs' asset class</w:t>
      </w:r>
      <w:r w:rsidRPr="00641A2F">
        <w:t xml:space="preserve"> for tax depreciation purposes. </w:t>
      </w:r>
      <w:r w:rsidR="00304A74">
        <w:t>Consistent with the draft decision, w</w:t>
      </w:r>
      <w:r w:rsidRPr="00641A2F">
        <w:t>e consider this</w:t>
      </w:r>
      <w:r w:rsidR="00CF7423">
        <w:t xml:space="preserve"> </w:t>
      </w:r>
      <w:r w:rsidRPr="00641A2F">
        <w:t xml:space="preserve">standard tax asset life </w:t>
      </w:r>
      <w:r w:rsidR="00304A74">
        <w:t>better reflects the ATO ruling on</w:t>
      </w:r>
      <w:r w:rsidR="00C07D73">
        <w:t xml:space="preserve"> equity raising costs and therefore likely to </w:t>
      </w:r>
      <w:r w:rsidRPr="00641A2F">
        <w:t>provide</w:t>
      </w:r>
      <w:r w:rsidR="00C07D73">
        <w:t xml:space="preserve"> an appropriate</w:t>
      </w:r>
      <w:r w:rsidRPr="00641A2F">
        <w:t xml:space="preserve"> estimate </w:t>
      </w:r>
      <w:r w:rsidR="00C07D73">
        <w:t>for</w:t>
      </w:r>
      <w:r w:rsidRPr="00641A2F">
        <w:t xml:space="preserve"> tax depreciation </w:t>
      </w:r>
      <w:r w:rsidR="00C07D73">
        <w:t>purposes</w:t>
      </w:r>
      <w:r w:rsidRPr="00641A2F">
        <w:t>.</w:t>
      </w:r>
    </w:p>
    <w:p w:rsidR="00C022EE" w:rsidRPr="009752B2" w:rsidRDefault="00304A74" w:rsidP="00ED77D8">
      <w:r w:rsidRPr="00304A74">
        <w:fldChar w:fldCharType="begin"/>
      </w:r>
      <w:r w:rsidRPr="00304A74">
        <w:instrText xml:space="preserve"> REF _Ref413833531 \h </w:instrText>
      </w:r>
      <w:r w:rsidR="00ED77D8">
        <w:instrText xml:space="preserve"> \* MERGEFORMAT </w:instrText>
      </w:r>
      <w:r w:rsidRPr="00304A74">
        <w:fldChar w:fldCharType="separate"/>
      </w:r>
      <w:r w:rsidR="00852825">
        <w:t>Table 8.4</w:t>
      </w:r>
      <w:r w:rsidRPr="00304A74">
        <w:fldChar w:fldCharType="end"/>
      </w:r>
      <w:r w:rsidRPr="00304A74">
        <w:t xml:space="preserve"> sets out our final decision on the standard tax asset lives for Essential Energy.</w:t>
      </w:r>
      <w:r>
        <w:t xml:space="preserve"> </w:t>
      </w:r>
      <w:r w:rsidR="00C022EE">
        <w:t>We are satisfied the</w:t>
      </w:r>
      <w:r w:rsidR="003E4933">
        <w:t>se</w:t>
      </w:r>
      <w:r w:rsidR="00C022EE">
        <w:t xml:space="preserve"> standard tax asset lives are likely to provide an appropriate estimate of the tax depreciation amount for a benchmark efficient service provider as required by the NER.</w:t>
      </w:r>
      <w:r w:rsidR="00C022EE">
        <w:rPr>
          <w:rStyle w:val="FootnoteReference"/>
        </w:rPr>
        <w:footnoteReference w:id="9"/>
      </w:r>
    </w:p>
    <w:p w:rsidR="00220EF7" w:rsidRDefault="00DD69A4" w:rsidP="00220EF7">
      <w:pPr>
        <w:pStyle w:val="Heading3"/>
      </w:pPr>
      <w:bookmarkStart w:id="26" w:name="_Ref414624671"/>
      <w:bookmarkStart w:id="27" w:name="_Toc414975757"/>
      <w:r>
        <w:t>Remaining</w:t>
      </w:r>
      <w:r w:rsidRPr="00877FF8">
        <w:t xml:space="preserve"> tax asset lives</w:t>
      </w:r>
      <w:bookmarkEnd w:id="26"/>
      <w:bookmarkEnd w:id="27"/>
      <w:r w:rsidR="00220EF7">
        <w:t xml:space="preserve"> </w:t>
      </w:r>
    </w:p>
    <w:p w:rsidR="009752B2" w:rsidRPr="009752B2" w:rsidRDefault="003E4933" w:rsidP="009752B2">
      <w:r>
        <w:t>W</w:t>
      </w:r>
      <w:r w:rsidR="009752B2" w:rsidRPr="009752B2">
        <w:t xml:space="preserve">e accept </w:t>
      </w:r>
      <w:r w:rsidR="009752B2">
        <w:t>Essential</w:t>
      </w:r>
      <w:r w:rsidR="007802D7">
        <w:t xml:space="preserve"> Energy's</w:t>
      </w:r>
      <w:r w:rsidR="009752B2" w:rsidRPr="009752B2">
        <w:t xml:space="preserve"> </w:t>
      </w:r>
      <w:r w:rsidR="00E82B8B">
        <w:t>weighted average method</w:t>
      </w:r>
      <w:r w:rsidR="009752B2">
        <w:t xml:space="preserve"> to </w:t>
      </w:r>
      <w:r w:rsidR="00E82B8B">
        <w:t>calculating the</w:t>
      </w:r>
      <w:r w:rsidR="009752B2">
        <w:t xml:space="preserve"> </w:t>
      </w:r>
      <w:r w:rsidR="009752B2" w:rsidRPr="009752B2">
        <w:t>remaining tax asset lives as at 1 July 2014</w:t>
      </w:r>
      <w:r w:rsidR="00E82B8B">
        <w:t xml:space="preserve"> in its revised proposal</w:t>
      </w:r>
      <w:r w:rsidR="009752B2" w:rsidRPr="009752B2">
        <w:t>. Th</w:t>
      </w:r>
      <w:r w:rsidR="00E82B8B">
        <w:t>is</w:t>
      </w:r>
      <w:r w:rsidR="009752B2" w:rsidRPr="009752B2">
        <w:t xml:space="preserve"> method is consistent with our preferred approach.</w:t>
      </w:r>
    </w:p>
    <w:p w:rsidR="00CA02AD" w:rsidRDefault="009752B2" w:rsidP="002C233C">
      <w:r w:rsidRPr="009752B2" w:rsidDel="00E31E5A">
        <w:t xml:space="preserve">In </w:t>
      </w:r>
      <w:r w:rsidRPr="009752B2">
        <w:t>the</w:t>
      </w:r>
      <w:r w:rsidRPr="009752B2" w:rsidDel="00E31E5A">
        <w:t xml:space="preserve"> draft decision, we accepted </w:t>
      </w:r>
      <w:r>
        <w:t>Essential</w:t>
      </w:r>
      <w:r w:rsidRPr="009752B2">
        <w:t xml:space="preserve"> Energy</w:t>
      </w:r>
      <w:r w:rsidRPr="009752B2" w:rsidDel="00E31E5A">
        <w:t xml:space="preserve">'s proposed </w:t>
      </w:r>
      <w:r w:rsidRPr="009752B2">
        <w:t>weighted average</w:t>
      </w:r>
      <w:r w:rsidRPr="009752B2" w:rsidDel="00E31E5A">
        <w:t xml:space="preserve"> method for calculating the re</w:t>
      </w:r>
      <w:r w:rsidRPr="009752B2">
        <w:t xml:space="preserve">maining tax asset lives at 1 July 2014. </w:t>
      </w:r>
      <w:r w:rsidR="00CA02AD">
        <w:t>The proposed method is consistent with our preferred approach</w:t>
      </w:r>
      <w:r w:rsidR="00CA02AD" w:rsidDel="00E31E5A">
        <w:t xml:space="preserve">. </w:t>
      </w:r>
      <w:r w:rsidRPr="009752B2" w:rsidDel="00E31E5A">
        <w:t xml:space="preserve">We adjusted the remaining </w:t>
      </w:r>
      <w:r w:rsidRPr="009752B2">
        <w:t xml:space="preserve">tax </w:t>
      </w:r>
      <w:r w:rsidRPr="009752B2" w:rsidDel="00E31E5A">
        <w:t>asset lives to reflect our adjustments to</w:t>
      </w:r>
      <w:r w:rsidR="00E82B8B">
        <w:t xml:space="preserve"> the</w:t>
      </w:r>
      <w:r w:rsidRPr="009752B2" w:rsidDel="00E31E5A">
        <w:t xml:space="preserve"> capex </w:t>
      </w:r>
      <w:r w:rsidR="00E82B8B">
        <w:t xml:space="preserve">values </w:t>
      </w:r>
      <w:r w:rsidRPr="009752B2">
        <w:t>in the TAB ro</w:t>
      </w:r>
      <w:r w:rsidR="00F07312">
        <w:t xml:space="preserve">ll forward. </w:t>
      </w:r>
      <w:r w:rsidR="00E82B8B">
        <w:t>W</w:t>
      </w:r>
      <w:r w:rsidR="00E82B8B" w:rsidRPr="00574329">
        <w:t xml:space="preserve">e noted that the remaining </w:t>
      </w:r>
      <w:r w:rsidR="00E82B8B">
        <w:t xml:space="preserve">tax </w:t>
      </w:r>
      <w:r w:rsidR="00E82B8B" w:rsidRPr="00574329">
        <w:t xml:space="preserve">asset lives would be updated for the final decision because </w:t>
      </w:r>
      <w:r w:rsidR="00E82B8B">
        <w:t>Essential Energy</w:t>
      </w:r>
      <w:r w:rsidR="00E82B8B" w:rsidRPr="00574329">
        <w:t xml:space="preserve">'s revised proposal would include revisions for 2013–14 actual capex. </w:t>
      </w:r>
      <w:r w:rsidR="00F07312">
        <w:t xml:space="preserve">This was because </w:t>
      </w:r>
      <w:r w:rsidRPr="009752B2">
        <w:t xml:space="preserve">capex </w:t>
      </w:r>
      <w:r w:rsidR="00F07312">
        <w:t>is an input</w:t>
      </w:r>
      <w:r w:rsidRPr="009752B2">
        <w:t xml:space="preserve"> for calculating the remaining tax asset lives</w:t>
      </w:r>
      <w:r w:rsidRPr="009752B2" w:rsidDel="00E31E5A">
        <w:t>.</w:t>
      </w:r>
      <w:r w:rsidRPr="009752B2">
        <w:rPr>
          <w:rStyle w:val="FootnoteReference"/>
        </w:rPr>
        <w:footnoteReference w:id="10"/>
      </w:r>
      <w:r w:rsidR="00641A2F">
        <w:t xml:space="preserve"> </w:t>
      </w:r>
    </w:p>
    <w:p w:rsidR="004F6A0E" w:rsidRDefault="009752B2" w:rsidP="002C233C">
      <w:r>
        <w:t>Essential</w:t>
      </w:r>
      <w:r w:rsidRPr="009752B2">
        <w:t xml:space="preserve"> Energy's revised proposal</w:t>
      </w:r>
      <w:r w:rsidRPr="009752B2" w:rsidDel="00E31E5A">
        <w:t xml:space="preserve"> </w:t>
      </w:r>
      <w:r w:rsidRPr="009752B2">
        <w:t xml:space="preserve">updated the </w:t>
      </w:r>
      <w:r>
        <w:t xml:space="preserve">remaining tax asset lives </w:t>
      </w:r>
      <w:r w:rsidRPr="009752B2">
        <w:t xml:space="preserve">calculation for actual 2013–14 </w:t>
      </w:r>
      <w:proofErr w:type="gramStart"/>
      <w:r w:rsidRPr="009752B2">
        <w:t>capex</w:t>
      </w:r>
      <w:r w:rsidR="00641A2F">
        <w:t>,</w:t>
      </w:r>
      <w:proofErr w:type="gramEnd"/>
      <w:r w:rsidR="00641A2F">
        <w:t xml:space="preserve"> however, it</w:t>
      </w:r>
      <w:r w:rsidRPr="009752B2">
        <w:t xml:space="preserve"> </w:t>
      </w:r>
      <w:r>
        <w:t>did not adopt</w:t>
      </w:r>
      <w:r w:rsidRPr="009752B2" w:rsidDel="00E31E5A">
        <w:t xml:space="preserve"> our draft decision adjustment to </w:t>
      </w:r>
      <w:r w:rsidR="00E82B8B">
        <w:t>the</w:t>
      </w:r>
      <w:r>
        <w:t xml:space="preserve"> capex</w:t>
      </w:r>
      <w:r w:rsidR="00E82B8B">
        <w:t xml:space="preserve"> values</w:t>
      </w:r>
      <w:r w:rsidR="00F07312">
        <w:t xml:space="preserve"> for the movement in capitalised provisions (attachment 2)</w:t>
      </w:r>
      <w:r w:rsidRPr="009752B2">
        <w:t>.</w:t>
      </w:r>
      <w:r w:rsidRPr="009752B2">
        <w:rPr>
          <w:rStyle w:val="FootnoteReference"/>
        </w:rPr>
        <w:footnoteReference w:id="11"/>
      </w:r>
    </w:p>
    <w:p w:rsidR="007802D7" w:rsidRDefault="00E82B8B" w:rsidP="002C233C">
      <w:r>
        <w:t xml:space="preserve">As discussed in attachment 2 and section </w:t>
      </w:r>
      <w:r>
        <w:fldChar w:fldCharType="begin"/>
      </w:r>
      <w:r>
        <w:instrText xml:space="preserve"> REF _Ref413831135 \r \h </w:instrText>
      </w:r>
      <w:r>
        <w:fldChar w:fldCharType="separate"/>
      </w:r>
      <w:r w:rsidR="00852825">
        <w:t>8.4.1</w:t>
      </w:r>
      <w:r>
        <w:fldChar w:fldCharType="end"/>
      </w:r>
      <w:r>
        <w:t xml:space="preserve">, we have adjusted the </w:t>
      </w:r>
      <w:r w:rsidR="004347B5">
        <w:t xml:space="preserve">capex values </w:t>
      </w:r>
      <w:r>
        <w:t>and therefore we have updated the</w:t>
      </w:r>
      <w:r w:rsidR="00641A2F" w:rsidRPr="00641A2F">
        <w:t xml:space="preserve"> </w:t>
      </w:r>
      <w:r w:rsidR="00641A2F">
        <w:t>remaining tax asset lives</w:t>
      </w:r>
      <w:r w:rsidR="00641A2F" w:rsidRPr="00641A2F">
        <w:t xml:space="preserve"> at 1 July 2014 </w:t>
      </w:r>
      <w:r w:rsidR="004347B5">
        <w:t>for this</w:t>
      </w:r>
      <w:r w:rsidR="00641A2F" w:rsidRPr="00641A2F">
        <w:t xml:space="preserve"> final decision.</w:t>
      </w:r>
      <w:r w:rsidR="004347B5">
        <w:t xml:space="preserve"> </w:t>
      </w:r>
    </w:p>
    <w:p w:rsidR="004F6A0E" w:rsidRDefault="00641A2F" w:rsidP="002C233C">
      <w:r>
        <w:fldChar w:fldCharType="begin"/>
      </w:r>
      <w:r>
        <w:instrText xml:space="preserve"> REF _Ref413833531 \h </w:instrText>
      </w:r>
      <w:r>
        <w:fldChar w:fldCharType="separate"/>
      </w:r>
      <w:r w:rsidR="00852825">
        <w:t xml:space="preserve">Table </w:t>
      </w:r>
      <w:r w:rsidR="00852825">
        <w:rPr>
          <w:noProof/>
        </w:rPr>
        <w:t>8</w:t>
      </w:r>
      <w:r w:rsidR="00852825">
        <w:t>.</w:t>
      </w:r>
      <w:r w:rsidR="00852825">
        <w:rPr>
          <w:noProof/>
        </w:rPr>
        <w:t>4</w:t>
      </w:r>
      <w:r>
        <w:fldChar w:fldCharType="end"/>
      </w:r>
      <w:r>
        <w:t xml:space="preserve"> </w:t>
      </w:r>
      <w:r w:rsidRPr="00641A2F">
        <w:t xml:space="preserve">sets out our final decision on the remaining tax asset lives as at 1 July 2014 for </w:t>
      </w:r>
      <w:r>
        <w:t>Essential</w:t>
      </w:r>
      <w:r w:rsidRPr="00641A2F">
        <w:t xml:space="preserve"> Energy.</w:t>
      </w:r>
    </w:p>
    <w:p w:rsidR="00641A2F" w:rsidRDefault="00641A2F" w:rsidP="00641A2F">
      <w:pPr>
        <w:pStyle w:val="Caption"/>
      </w:pPr>
      <w:bookmarkStart w:id="28" w:name="_Ref413833531"/>
      <w:proofErr w:type="gramStart"/>
      <w:r>
        <w:lastRenderedPageBreak/>
        <w:t xml:space="preserve">Table </w:t>
      </w:r>
      <w:proofErr w:type="gramEnd"/>
      <w:r w:rsidR="0001781B">
        <w:fldChar w:fldCharType="begin"/>
      </w:r>
      <w:r w:rsidR="0001781B">
        <w:instrText xml:space="preserve"> STYLEREF 1 \s </w:instrText>
      </w:r>
      <w:r w:rsidR="0001781B">
        <w:fldChar w:fldCharType="separate"/>
      </w:r>
      <w:r w:rsidR="00852825">
        <w:rPr>
          <w:noProof/>
        </w:rPr>
        <w:t>8</w:t>
      </w:r>
      <w:r w:rsidR="0001781B">
        <w:rPr>
          <w:noProof/>
        </w:rPr>
        <w:fldChar w:fldCharType="end"/>
      </w:r>
      <w:proofErr w:type="gramStart"/>
      <w:r>
        <w:t>.</w:t>
      </w:r>
      <w:proofErr w:type="gramEnd"/>
      <w:r w:rsidR="009C3E79">
        <w:fldChar w:fldCharType="begin"/>
      </w:r>
      <w:r w:rsidR="009C3E79">
        <w:instrText xml:space="preserve"> SEQ Table \* ARABIC \s 1 </w:instrText>
      </w:r>
      <w:r w:rsidR="009C3E79">
        <w:fldChar w:fldCharType="separate"/>
      </w:r>
      <w:r w:rsidR="00852825">
        <w:rPr>
          <w:noProof/>
        </w:rPr>
        <w:t>4</w:t>
      </w:r>
      <w:r w:rsidR="009C3E79">
        <w:rPr>
          <w:noProof/>
        </w:rPr>
        <w:fldChar w:fldCharType="end"/>
      </w:r>
      <w:bookmarkEnd w:id="28"/>
      <w:r>
        <w:tab/>
      </w:r>
      <w:r w:rsidRPr="00641A2F">
        <w:t xml:space="preserve">AER's final decision on </w:t>
      </w:r>
      <w:r>
        <w:t>Essential</w:t>
      </w:r>
      <w:r w:rsidRPr="00641A2F">
        <w:t xml:space="preserve"> Energy's standard and remaining tax asset lives at 1 July 2014 (years)</w:t>
      </w:r>
    </w:p>
    <w:tbl>
      <w:tblPr>
        <w:tblStyle w:val="AERtable-numbers"/>
        <w:tblW w:w="5000" w:type="pct"/>
        <w:tblLook w:val="04A0" w:firstRow="1" w:lastRow="0" w:firstColumn="1" w:lastColumn="0" w:noHBand="0" w:noVBand="1"/>
      </w:tblPr>
      <w:tblGrid>
        <w:gridCol w:w="3249"/>
        <w:gridCol w:w="1915"/>
        <w:gridCol w:w="3529"/>
      </w:tblGrid>
      <w:tr w:rsidR="00641A2F" w:rsidRPr="00E029D1" w:rsidTr="007802D7">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73" w:type="pct"/>
            <w:noWrap/>
            <w:hideMark/>
          </w:tcPr>
          <w:p w:rsidR="00641A2F" w:rsidRPr="00641A2F" w:rsidRDefault="00641A2F" w:rsidP="00641A2F">
            <w:r w:rsidRPr="00641A2F">
              <w:t>Asset class</w:t>
            </w:r>
          </w:p>
        </w:tc>
        <w:tc>
          <w:tcPr>
            <w:tcW w:w="1094" w:type="pct"/>
            <w:noWrap/>
            <w:hideMark/>
          </w:tcPr>
          <w:p w:rsidR="00641A2F" w:rsidRPr="00641A2F" w:rsidRDefault="00641A2F" w:rsidP="00641A2F">
            <w:pPr>
              <w:cnfStyle w:val="100000000000" w:firstRow="1" w:lastRow="0" w:firstColumn="0" w:lastColumn="0" w:oddVBand="0" w:evenVBand="0" w:oddHBand="0" w:evenHBand="0" w:firstRowFirstColumn="0" w:firstRowLastColumn="0" w:lastRowFirstColumn="0" w:lastRowLastColumn="0"/>
            </w:pPr>
            <w:r w:rsidRPr="00641A2F">
              <w:t xml:space="preserve">Standard </w:t>
            </w:r>
            <w:r>
              <w:t xml:space="preserve">tax </w:t>
            </w:r>
            <w:r w:rsidRPr="00641A2F">
              <w:t xml:space="preserve">asset life </w:t>
            </w:r>
          </w:p>
        </w:tc>
        <w:tc>
          <w:tcPr>
            <w:tcW w:w="2033" w:type="pct"/>
            <w:noWrap/>
            <w:hideMark/>
          </w:tcPr>
          <w:p w:rsidR="00641A2F" w:rsidRPr="004347B5" w:rsidRDefault="00641A2F" w:rsidP="004347B5">
            <w:pPr>
              <w:cnfStyle w:val="100000000000" w:firstRow="1" w:lastRow="0" w:firstColumn="0" w:lastColumn="0" w:oddVBand="0" w:evenVBand="0" w:oddHBand="0" w:evenHBand="0" w:firstRowFirstColumn="0" w:firstRowLastColumn="0" w:lastRowFirstColumn="0" w:lastRowLastColumn="0"/>
            </w:pPr>
            <w:r w:rsidRPr="004347B5">
              <w:t>Remaining tax asset life</w:t>
            </w:r>
            <w:r w:rsidR="004347B5" w:rsidRPr="004347B5">
              <w:t xml:space="preserve"> </w:t>
            </w:r>
            <w:r w:rsidRPr="004347B5">
              <w:t xml:space="preserve">at 1 July 2014 </w:t>
            </w:r>
          </w:p>
        </w:tc>
      </w:tr>
      <w:tr w:rsidR="00CF7423" w:rsidRPr="00E029D1" w:rsidTr="007802D7">
        <w:trPr>
          <w:trHeight w:val="301"/>
        </w:trPr>
        <w:tc>
          <w:tcPr>
            <w:cnfStyle w:val="001000000000" w:firstRow="0" w:lastRow="0" w:firstColumn="1" w:lastColumn="0" w:oddVBand="0" w:evenVBand="0" w:oddHBand="0" w:evenHBand="0" w:firstRowFirstColumn="0" w:firstRowLastColumn="0" w:lastRowFirstColumn="0" w:lastRowLastColumn="0"/>
            <w:tcW w:w="1873" w:type="pct"/>
            <w:noWrap/>
            <w:hideMark/>
          </w:tcPr>
          <w:p w:rsidR="00CF7423" w:rsidRPr="00CF7423" w:rsidRDefault="00CF7423" w:rsidP="00CF7423">
            <w:r w:rsidRPr="00CF7423">
              <w:t>Sub-transmission lines and cables</w:t>
            </w:r>
          </w:p>
        </w:tc>
        <w:tc>
          <w:tcPr>
            <w:tcW w:w="1094" w:type="pct"/>
            <w:noWrap/>
            <w:vAlign w:val="bottom"/>
          </w:tcPr>
          <w:p w:rsidR="00CF7423" w:rsidRPr="00CF7423" w:rsidRDefault="00CF7423" w:rsidP="00CF7423">
            <w:pPr>
              <w:cnfStyle w:val="000000000000" w:firstRow="0" w:lastRow="0" w:firstColumn="0" w:lastColumn="0" w:oddVBand="0" w:evenVBand="0" w:oddHBand="0" w:evenHBand="0" w:firstRowFirstColumn="0" w:firstRowLastColumn="0" w:lastRowFirstColumn="0" w:lastRowLastColumn="0"/>
            </w:pPr>
            <w:bookmarkStart w:id="29" w:name="RANGE!P7"/>
            <w:r w:rsidRPr="00CF7423">
              <w:t>47.5</w:t>
            </w:r>
            <w:bookmarkEnd w:id="29"/>
          </w:p>
        </w:tc>
        <w:tc>
          <w:tcPr>
            <w:tcW w:w="2033" w:type="pct"/>
            <w:noWrap/>
            <w:vAlign w:val="bottom"/>
          </w:tcPr>
          <w:p w:rsidR="00CF7423" w:rsidRPr="00CF7423" w:rsidRDefault="00CF7423" w:rsidP="00CF7423">
            <w:pPr>
              <w:cnfStyle w:val="000000000000" w:firstRow="0" w:lastRow="0" w:firstColumn="0" w:lastColumn="0" w:oddVBand="0" w:evenVBand="0" w:oddHBand="0" w:evenHBand="0" w:firstRowFirstColumn="0" w:firstRowLastColumn="0" w:lastRowFirstColumn="0" w:lastRowLastColumn="0"/>
            </w:pPr>
            <w:r w:rsidRPr="00CF7423">
              <w:t xml:space="preserve">                                  37.7 </w:t>
            </w:r>
          </w:p>
        </w:tc>
      </w:tr>
      <w:tr w:rsidR="00CF7423" w:rsidRPr="00E029D1" w:rsidTr="007802D7">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73" w:type="pct"/>
            <w:noWrap/>
            <w:hideMark/>
          </w:tcPr>
          <w:p w:rsidR="00CF7423" w:rsidRPr="00CF7423" w:rsidRDefault="00CF7423" w:rsidP="00CF7423">
            <w:r w:rsidRPr="00CF7423">
              <w:t>Distribution lines and cables</w:t>
            </w:r>
          </w:p>
        </w:tc>
        <w:tc>
          <w:tcPr>
            <w:tcW w:w="1094" w:type="pct"/>
            <w:noWrap/>
            <w:vAlign w:val="bottom"/>
          </w:tcPr>
          <w:p w:rsidR="00CF7423" w:rsidRPr="00CF7423" w:rsidRDefault="00CF7423" w:rsidP="00CF7423">
            <w:pPr>
              <w:cnfStyle w:val="000000010000" w:firstRow="0" w:lastRow="0" w:firstColumn="0" w:lastColumn="0" w:oddVBand="0" w:evenVBand="0" w:oddHBand="0" w:evenHBand="1" w:firstRowFirstColumn="0" w:firstRowLastColumn="0" w:lastRowFirstColumn="0" w:lastRowLastColumn="0"/>
            </w:pPr>
            <w:bookmarkStart w:id="30" w:name="RANGE!P8"/>
            <w:r w:rsidRPr="00CF7423">
              <w:t>45.0</w:t>
            </w:r>
            <w:bookmarkEnd w:id="30"/>
          </w:p>
        </w:tc>
        <w:tc>
          <w:tcPr>
            <w:tcW w:w="2033" w:type="pct"/>
            <w:noWrap/>
            <w:vAlign w:val="bottom"/>
          </w:tcPr>
          <w:p w:rsidR="00CF7423" w:rsidRPr="00CF7423" w:rsidRDefault="00CF7423" w:rsidP="00CF7423">
            <w:pPr>
              <w:cnfStyle w:val="000000010000" w:firstRow="0" w:lastRow="0" w:firstColumn="0" w:lastColumn="0" w:oddVBand="0" w:evenVBand="0" w:oddHBand="0" w:evenHBand="1" w:firstRowFirstColumn="0" w:firstRowLastColumn="0" w:lastRowFirstColumn="0" w:lastRowLastColumn="0"/>
            </w:pPr>
            <w:r w:rsidRPr="00CF7423">
              <w:t xml:space="preserve">                                  32.4 </w:t>
            </w:r>
          </w:p>
        </w:tc>
      </w:tr>
      <w:tr w:rsidR="00CF7423" w:rsidRPr="00E029D1" w:rsidTr="007802D7">
        <w:trPr>
          <w:trHeight w:val="301"/>
        </w:trPr>
        <w:tc>
          <w:tcPr>
            <w:cnfStyle w:val="001000000000" w:firstRow="0" w:lastRow="0" w:firstColumn="1" w:lastColumn="0" w:oddVBand="0" w:evenVBand="0" w:oddHBand="0" w:evenHBand="0" w:firstRowFirstColumn="0" w:firstRowLastColumn="0" w:lastRowFirstColumn="0" w:lastRowLastColumn="0"/>
            <w:tcW w:w="1873" w:type="pct"/>
            <w:noWrap/>
            <w:hideMark/>
          </w:tcPr>
          <w:p w:rsidR="00CF7423" w:rsidRPr="00CF7423" w:rsidRDefault="00CF7423" w:rsidP="00CF7423">
            <w:r w:rsidRPr="00CF7423">
              <w:t>Substations</w:t>
            </w:r>
          </w:p>
        </w:tc>
        <w:tc>
          <w:tcPr>
            <w:tcW w:w="1094" w:type="pct"/>
            <w:noWrap/>
            <w:vAlign w:val="bottom"/>
          </w:tcPr>
          <w:p w:rsidR="00CF7423" w:rsidRPr="00CF7423" w:rsidRDefault="00CF7423" w:rsidP="00CF7423">
            <w:pPr>
              <w:cnfStyle w:val="000000000000" w:firstRow="0" w:lastRow="0" w:firstColumn="0" w:lastColumn="0" w:oddVBand="0" w:evenVBand="0" w:oddHBand="0" w:evenHBand="0" w:firstRowFirstColumn="0" w:firstRowLastColumn="0" w:lastRowFirstColumn="0" w:lastRowLastColumn="0"/>
            </w:pPr>
            <w:bookmarkStart w:id="31" w:name="RANGE!P9"/>
            <w:r w:rsidRPr="00CF7423">
              <w:t>40.0</w:t>
            </w:r>
            <w:bookmarkEnd w:id="31"/>
          </w:p>
        </w:tc>
        <w:tc>
          <w:tcPr>
            <w:tcW w:w="2033" w:type="pct"/>
            <w:noWrap/>
            <w:vAlign w:val="bottom"/>
          </w:tcPr>
          <w:p w:rsidR="00CF7423" w:rsidRPr="00CF7423" w:rsidRDefault="00CF7423" w:rsidP="00CF7423">
            <w:pPr>
              <w:cnfStyle w:val="000000000000" w:firstRow="0" w:lastRow="0" w:firstColumn="0" w:lastColumn="0" w:oddVBand="0" w:evenVBand="0" w:oddHBand="0" w:evenHBand="0" w:firstRowFirstColumn="0" w:firstRowLastColumn="0" w:lastRowFirstColumn="0" w:lastRowLastColumn="0"/>
            </w:pPr>
            <w:r w:rsidRPr="00CF7423">
              <w:t xml:space="preserve">                                  29.7 </w:t>
            </w:r>
          </w:p>
        </w:tc>
      </w:tr>
      <w:tr w:rsidR="00CF7423" w:rsidRPr="00E029D1" w:rsidTr="007802D7">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73" w:type="pct"/>
            <w:noWrap/>
            <w:hideMark/>
          </w:tcPr>
          <w:p w:rsidR="00CF7423" w:rsidRPr="00CF7423" w:rsidRDefault="00CF7423" w:rsidP="00CF7423">
            <w:r w:rsidRPr="00CF7423">
              <w:t>Transformers</w:t>
            </w:r>
          </w:p>
        </w:tc>
        <w:tc>
          <w:tcPr>
            <w:tcW w:w="1094" w:type="pct"/>
            <w:noWrap/>
            <w:vAlign w:val="bottom"/>
          </w:tcPr>
          <w:p w:rsidR="00CF7423" w:rsidRPr="00CF7423" w:rsidRDefault="00CF7423" w:rsidP="00CF7423">
            <w:pPr>
              <w:cnfStyle w:val="000000010000" w:firstRow="0" w:lastRow="0" w:firstColumn="0" w:lastColumn="0" w:oddVBand="0" w:evenVBand="0" w:oddHBand="0" w:evenHBand="1" w:firstRowFirstColumn="0" w:firstRowLastColumn="0" w:lastRowFirstColumn="0" w:lastRowLastColumn="0"/>
            </w:pPr>
            <w:bookmarkStart w:id="32" w:name="RANGE!P10"/>
            <w:r w:rsidRPr="00CF7423">
              <w:t>40.0</w:t>
            </w:r>
            <w:bookmarkEnd w:id="32"/>
          </w:p>
        </w:tc>
        <w:tc>
          <w:tcPr>
            <w:tcW w:w="2033" w:type="pct"/>
            <w:noWrap/>
            <w:vAlign w:val="bottom"/>
          </w:tcPr>
          <w:p w:rsidR="00CF7423" w:rsidRPr="00CF7423" w:rsidRDefault="00CF7423" w:rsidP="00CF7423">
            <w:pPr>
              <w:cnfStyle w:val="000000010000" w:firstRow="0" w:lastRow="0" w:firstColumn="0" w:lastColumn="0" w:oddVBand="0" w:evenVBand="0" w:oddHBand="0" w:evenHBand="1" w:firstRowFirstColumn="0" w:firstRowLastColumn="0" w:lastRowFirstColumn="0" w:lastRowLastColumn="0"/>
            </w:pPr>
            <w:r w:rsidRPr="00CF7423">
              <w:t xml:space="preserve">                                  32.3 </w:t>
            </w:r>
          </w:p>
        </w:tc>
      </w:tr>
      <w:tr w:rsidR="00CF7423" w:rsidRPr="00E029D1" w:rsidTr="007802D7">
        <w:trPr>
          <w:trHeight w:val="301"/>
        </w:trPr>
        <w:tc>
          <w:tcPr>
            <w:cnfStyle w:val="001000000000" w:firstRow="0" w:lastRow="0" w:firstColumn="1" w:lastColumn="0" w:oddVBand="0" w:evenVBand="0" w:oddHBand="0" w:evenHBand="0" w:firstRowFirstColumn="0" w:firstRowLastColumn="0" w:lastRowFirstColumn="0" w:lastRowLastColumn="0"/>
            <w:tcW w:w="1873" w:type="pct"/>
            <w:noWrap/>
            <w:hideMark/>
          </w:tcPr>
          <w:p w:rsidR="00CF7423" w:rsidRPr="00CF7423" w:rsidRDefault="00CF7423" w:rsidP="00CF7423">
            <w:r w:rsidRPr="00CF7423">
              <w:t>Low voltage lines and cables</w:t>
            </w:r>
          </w:p>
        </w:tc>
        <w:tc>
          <w:tcPr>
            <w:tcW w:w="1094" w:type="pct"/>
            <w:noWrap/>
            <w:vAlign w:val="bottom"/>
          </w:tcPr>
          <w:p w:rsidR="00CF7423" w:rsidRPr="00CF7423" w:rsidRDefault="00CF7423" w:rsidP="00CF7423">
            <w:pPr>
              <w:cnfStyle w:val="000000000000" w:firstRow="0" w:lastRow="0" w:firstColumn="0" w:lastColumn="0" w:oddVBand="0" w:evenVBand="0" w:oddHBand="0" w:evenHBand="0" w:firstRowFirstColumn="0" w:firstRowLastColumn="0" w:lastRowFirstColumn="0" w:lastRowLastColumn="0"/>
            </w:pPr>
            <w:bookmarkStart w:id="33" w:name="RANGE!P11"/>
            <w:r w:rsidRPr="00CF7423">
              <w:t>45.0</w:t>
            </w:r>
            <w:bookmarkEnd w:id="33"/>
          </w:p>
        </w:tc>
        <w:tc>
          <w:tcPr>
            <w:tcW w:w="2033" w:type="pct"/>
            <w:noWrap/>
            <w:vAlign w:val="bottom"/>
          </w:tcPr>
          <w:p w:rsidR="00CF7423" w:rsidRPr="00CF7423" w:rsidRDefault="00CF7423" w:rsidP="00CF7423">
            <w:pPr>
              <w:cnfStyle w:val="000000000000" w:firstRow="0" w:lastRow="0" w:firstColumn="0" w:lastColumn="0" w:oddVBand="0" w:evenVBand="0" w:oddHBand="0" w:evenHBand="0" w:firstRowFirstColumn="0" w:firstRowLastColumn="0" w:lastRowFirstColumn="0" w:lastRowLastColumn="0"/>
            </w:pPr>
            <w:r w:rsidRPr="00CF7423">
              <w:t xml:space="preserve">                                  35.3 </w:t>
            </w:r>
          </w:p>
        </w:tc>
      </w:tr>
      <w:tr w:rsidR="00CF7423" w:rsidRPr="00E029D1" w:rsidTr="007802D7">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73" w:type="pct"/>
            <w:noWrap/>
            <w:hideMark/>
          </w:tcPr>
          <w:p w:rsidR="00CF7423" w:rsidRPr="00CF7423" w:rsidRDefault="00CF7423" w:rsidP="00CF7423">
            <w:r w:rsidRPr="00CF7423">
              <w:t>Customer metering and load control</w:t>
            </w:r>
          </w:p>
        </w:tc>
        <w:tc>
          <w:tcPr>
            <w:tcW w:w="1094" w:type="pct"/>
            <w:noWrap/>
            <w:vAlign w:val="bottom"/>
          </w:tcPr>
          <w:p w:rsidR="00CF7423" w:rsidRPr="00CF7423" w:rsidRDefault="00CF7423" w:rsidP="00CF7423">
            <w:pPr>
              <w:cnfStyle w:val="000000010000" w:firstRow="0" w:lastRow="0" w:firstColumn="0" w:lastColumn="0" w:oddVBand="0" w:evenVBand="0" w:oddHBand="0" w:evenHBand="1" w:firstRowFirstColumn="0" w:firstRowLastColumn="0" w:lastRowFirstColumn="0" w:lastRowLastColumn="0"/>
            </w:pPr>
            <w:bookmarkStart w:id="34" w:name="RANGE!P12"/>
            <w:r w:rsidRPr="00CF7423">
              <w:t>25.0</w:t>
            </w:r>
            <w:bookmarkEnd w:id="34"/>
          </w:p>
        </w:tc>
        <w:tc>
          <w:tcPr>
            <w:tcW w:w="2033" w:type="pct"/>
            <w:noWrap/>
            <w:vAlign w:val="bottom"/>
          </w:tcPr>
          <w:p w:rsidR="00CF7423" w:rsidRPr="00CF7423" w:rsidRDefault="00CF7423" w:rsidP="00CF7423">
            <w:pPr>
              <w:cnfStyle w:val="000000010000" w:firstRow="0" w:lastRow="0" w:firstColumn="0" w:lastColumn="0" w:oddVBand="0" w:evenVBand="0" w:oddHBand="0" w:evenHBand="1" w:firstRowFirstColumn="0" w:firstRowLastColumn="0" w:lastRowFirstColumn="0" w:lastRowLastColumn="0"/>
            </w:pPr>
            <w:r w:rsidRPr="00CF7423">
              <w:t xml:space="preserve">                                  14.1 </w:t>
            </w:r>
          </w:p>
        </w:tc>
      </w:tr>
      <w:tr w:rsidR="00CF7423" w:rsidRPr="00E029D1" w:rsidTr="007802D7">
        <w:trPr>
          <w:trHeight w:val="301"/>
        </w:trPr>
        <w:tc>
          <w:tcPr>
            <w:cnfStyle w:val="001000000000" w:firstRow="0" w:lastRow="0" w:firstColumn="1" w:lastColumn="0" w:oddVBand="0" w:evenVBand="0" w:oddHBand="0" w:evenHBand="0" w:firstRowFirstColumn="0" w:firstRowLastColumn="0" w:lastRowFirstColumn="0" w:lastRowLastColumn="0"/>
            <w:tcW w:w="1873" w:type="pct"/>
            <w:noWrap/>
            <w:hideMark/>
          </w:tcPr>
          <w:p w:rsidR="00CF7423" w:rsidRPr="00CF7423" w:rsidRDefault="00CF7423" w:rsidP="00CF7423">
            <w:r w:rsidRPr="00CF7423">
              <w:t>Communications</w:t>
            </w:r>
          </w:p>
        </w:tc>
        <w:tc>
          <w:tcPr>
            <w:tcW w:w="1094" w:type="pct"/>
            <w:noWrap/>
            <w:vAlign w:val="bottom"/>
          </w:tcPr>
          <w:p w:rsidR="00CF7423" w:rsidRPr="00CF7423" w:rsidRDefault="00CF7423" w:rsidP="00CF7423">
            <w:pPr>
              <w:cnfStyle w:val="000000000000" w:firstRow="0" w:lastRow="0" w:firstColumn="0" w:lastColumn="0" w:oddVBand="0" w:evenVBand="0" w:oddHBand="0" w:evenHBand="0" w:firstRowFirstColumn="0" w:firstRowLastColumn="0" w:lastRowFirstColumn="0" w:lastRowLastColumn="0"/>
            </w:pPr>
            <w:bookmarkStart w:id="35" w:name="RANGE!P13"/>
            <w:r w:rsidRPr="00CF7423">
              <w:t>10.0</w:t>
            </w:r>
            <w:bookmarkEnd w:id="35"/>
          </w:p>
        </w:tc>
        <w:tc>
          <w:tcPr>
            <w:tcW w:w="2033" w:type="pct"/>
            <w:noWrap/>
            <w:vAlign w:val="bottom"/>
          </w:tcPr>
          <w:p w:rsidR="00CF7423" w:rsidRPr="00CF7423" w:rsidRDefault="00CF7423" w:rsidP="00CF7423">
            <w:pPr>
              <w:cnfStyle w:val="000000000000" w:firstRow="0" w:lastRow="0" w:firstColumn="0" w:lastColumn="0" w:oddVBand="0" w:evenVBand="0" w:oddHBand="0" w:evenHBand="0" w:firstRowFirstColumn="0" w:firstRowLastColumn="0" w:lastRowFirstColumn="0" w:lastRowLastColumn="0"/>
            </w:pPr>
            <w:r w:rsidRPr="00CF7423">
              <w:t xml:space="preserve">                                   7.2 </w:t>
            </w:r>
          </w:p>
        </w:tc>
      </w:tr>
      <w:tr w:rsidR="00CF7423" w:rsidRPr="00E029D1" w:rsidTr="007802D7">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73" w:type="pct"/>
            <w:noWrap/>
            <w:hideMark/>
          </w:tcPr>
          <w:p w:rsidR="00CF7423" w:rsidRPr="00CF7423" w:rsidRDefault="00CF7423" w:rsidP="00CF7423">
            <w:r w:rsidRPr="00CF7423">
              <w:t>Land</w:t>
            </w:r>
          </w:p>
        </w:tc>
        <w:tc>
          <w:tcPr>
            <w:tcW w:w="1094" w:type="pct"/>
            <w:noWrap/>
            <w:vAlign w:val="bottom"/>
          </w:tcPr>
          <w:p w:rsidR="00CF7423" w:rsidRPr="00CF7423" w:rsidRDefault="00CF7423" w:rsidP="00CF7423">
            <w:pPr>
              <w:cnfStyle w:val="000000010000" w:firstRow="0" w:lastRow="0" w:firstColumn="0" w:lastColumn="0" w:oddVBand="0" w:evenVBand="0" w:oddHBand="0" w:evenHBand="1" w:firstRowFirstColumn="0" w:firstRowLastColumn="0" w:lastRowFirstColumn="0" w:lastRowLastColumn="0"/>
            </w:pPr>
            <w:bookmarkStart w:id="36" w:name="RANGE!P14"/>
            <w:r w:rsidRPr="00CF7423">
              <w:t>n/a</w:t>
            </w:r>
            <w:bookmarkEnd w:id="36"/>
          </w:p>
        </w:tc>
        <w:tc>
          <w:tcPr>
            <w:tcW w:w="2033" w:type="pct"/>
            <w:noWrap/>
            <w:vAlign w:val="bottom"/>
          </w:tcPr>
          <w:p w:rsidR="00CF7423" w:rsidRPr="00CF7423" w:rsidRDefault="00CF7423" w:rsidP="00CF7423">
            <w:pPr>
              <w:cnfStyle w:val="000000010000" w:firstRow="0" w:lastRow="0" w:firstColumn="0" w:lastColumn="0" w:oddVBand="0" w:evenVBand="0" w:oddHBand="0" w:evenHBand="1" w:firstRowFirstColumn="0" w:firstRowLastColumn="0" w:lastRowFirstColumn="0" w:lastRowLastColumn="0"/>
            </w:pPr>
            <w:r w:rsidRPr="00CF7423">
              <w:t>n/a</w:t>
            </w:r>
          </w:p>
        </w:tc>
      </w:tr>
      <w:tr w:rsidR="00CF7423" w:rsidRPr="00E029D1" w:rsidTr="007802D7">
        <w:trPr>
          <w:trHeight w:val="301"/>
        </w:trPr>
        <w:tc>
          <w:tcPr>
            <w:cnfStyle w:val="001000000000" w:firstRow="0" w:lastRow="0" w:firstColumn="1" w:lastColumn="0" w:oddVBand="0" w:evenVBand="0" w:oddHBand="0" w:evenHBand="0" w:firstRowFirstColumn="0" w:firstRowLastColumn="0" w:lastRowFirstColumn="0" w:lastRowLastColumn="0"/>
            <w:tcW w:w="1873" w:type="pct"/>
            <w:noWrap/>
            <w:hideMark/>
          </w:tcPr>
          <w:p w:rsidR="00CF7423" w:rsidRPr="00CF7423" w:rsidRDefault="00CF7423" w:rsidP="00CF7423">
            <w:r w:rsidRPr="00CF7423">
              <w:t>Easements</w:t>
            </w:r>
          </w:p>
        </w:tc>
        <w:tc>
          <w:tcPr>
            <w:tcW w:w="1094" w:type="pct"/>
            <w:noWrap/>
            <w:vAlign w:val="bottom"/>
          </w:tcPr>
          <w:p w:rsidR="00CF7423" w:rsidRPr="00CF7423" w:rsidRDefault="00CF7423" w:rsidP="00CF7423">
            <w:pPr>
              <w:cnfStyle w:val="000000000000" w:firstRow="0" w:lastRow="0" w:firstColumn="0" w:lastColumn="0" w:oddVBand="0" w:evenVBand="0" w:oddHBand="0" w:evenHBand="0" w:firstRowFirstColumn="0" w:firstRowLastColumn="0" w:lastRowFirstColumn="0" w:lastRowLastColumn="0"/>
            </w:pPr>
            <w:r w:rsidRPr="00CF7423">
              <w:t>n/a</w:t>
            </w:r>
          </w:p>
        </w:tc>
        <w:tc>
          <w:tcPr>
            <w:tcW w:w="2033" w:type="pct"/>
            <w:noWrap/>
            <w:vAlign w:val="bottom"/>
          </w:tcPr>
          <w:p w:rsidR="00CF7423" w:rsidRPr="00CF7423" w:rsidRDefault="00CF7423" w:rsidP="00CF7423">
            <w:pPr>
              <w:cnfStyle w:val="000000000000" w:firstRow="0" w:lastRow="0" w:firstColumn="0" w:lastColumn="0" w:oddVBand="0" w:evenVBand="0" w:oddHBand="0" w:evenHBand="0" w:firstRowFirstColumn="0" w:firstRowLastColumn="0" w:lastRowFirstColumn="0" w:lastRowLastColumn="0"/>
            </w:pPr>
            <w:r w:rsidRPr="00CF7423">
              <w:t>n/a</w:t>
            </w:r>
          </w:p>
        </w:tc>
      </w:tr>
      <w:tr w:rsidR="00CF7423" w:rsidRPr="00E029D1" w:rsidTr="007802D7">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73" w:type="pct"/>
            <w:noWrap/>
            <w:hideMark/>
          </w:tcPr>
          <w:p w:rsidR="00CF7423" w:rsidRPr="00CF7423" w:rsidRDefault="00CF7423" w:rsidP="00CF7423">
            <w:r w:rsidRPr="00CF7423">
              <w:t>IT systems</w:t>
            </w:r>
          </w:p>
        </w:tc>
        <w:tc>
          <w:tcPr>
            <w:tcW w:w="1094" w:type="pct"/>
            <w:noWrap/>
            <w:vAlign w:val="bottom"/>
          </w:tcPr>
          <w:p w:rsidR="00CF7423" w:rsidRPr="00CF7423" w:rsidRDefault="00CF7423" w:rsidP="00CF7423">
            <w:pPr>
              <w:cnfStyle w:val="000000010000" w:firstRow="0" w:lastRow="0" w:firstColumn="0" w:lastColumn="0" w:oddVBand="0" w:evenVBand="0" w:oddHBand="0" w:evenHBand="1" w:firstRowFirstColumn="0" w:firstRowLastColumn="0" w:lastRowFirstColumn="0" w:lastRowLastColumn="0"/>
            </w:pPr>
            <w:bookmarkStart w:id="37" w:name="RANGE!P18"/>
            <w:r w:rsidRPr="00CF7423">
              <w:t>4.0</w:t>
            </w:r>
            <w:bookmarkEnd w:id="37"/>
          </w:p>
        </w:tc>
        <w:tc>
          <w:tcPr>
            <w:tcW w:w="2033" w:type="pct"/>
            <w:noWrap/>
            <w:vAlign w:val="bottom"/>
          </w:tcPr>
          <w:p w:rsidR="00CF7423" w:rsidRPr="00CF7423" w:rsidRDefault="00CF7423" w:rsidP="00CF7423">
            <w:pPr>
              <w:cnfStyle w:val="000000010000" w:firstRow="0" w:lastRow="0" w:firstColumn="0" w:lastColumn="0" w:oddVBand="0" w:evenVBand="0" w:oddHBand="0" w:evenHBand="1" w:firstRowFirstColumn="0" w:firstRowLastColumn="0" w:lastRowFirstColumn="0" w:lastRowLastColumn="0"/>
            </w:pPr>
            <w:r w:rsidRPr="00CF7423">
              <w:t xml:space="preserve">                                   1.2 </w:t>
            </w:r>
          </w:p>
        </w:tc>
      </w:tr>
      <w:tr w:rsidR="00CF7423" w:rsidRPr="00E029D1" w:rsidTr="007802D7">
        <w:trPr>
          <w:trHeight w:val="301"/>
        </w:trPr>
        <w:tc>
          <w:tcPr>
            <w:cnfStyle w:val="001000000000" w:firstRow="0" w:lastRow="0" w:firstColumn="1" w:lastColumn="0" w:oddVBand="0" w:evenVBand="0" w:oddHBand="0" w:evenHBand="0" w:firstRowFirstColumn="0" w:firstRowLastColumn="0" w:lastRowFirstColumn="0" w:lastRowLastColumn="0"/>
            <w:tcW w:w="1873" w:type="pct"/>
            <w:noWrap/>
          </w:tcPr>
          <w:p w:rsidR="00CF7423" w:rsidRPr="00CF7423" w:rsidRDefault="00CF7423" w:rsidP="00CF7423">
            <w:r w:rsidRPr="00CF7423">
              <w:t>Furniture, fittings, plant and equipment</w:t>
            </w:r>
          </w:p>
        </w:tc>
        <w:tc>
          <w:tcPr>
            <w:tcW w:w="1094" w:type="pct"/>
            <w:noWrap/>
            <w:vAlign w:val="bottom"/>
          </w:tcPr>
          <w:p w:rsidR="00CF7423" w:rsidRPr="00CF7423" w:rsidRDefault="00CF7423" w:rsidP="00CF7423">
            <w:pPr>
              <w:cnfStyle w:val="000000000000" w:firstRow="0" w:lastRow="0" w:firstColumn="0" w:lastColumn="0" w:oddVBand="0" w:evenVBand="0" w:oddHBand="0" w:evenHBand="0" w:firstRowFirstColumn="0" w:firstRowLastColumn="0" w:lastRowFirstColumn="0" w:lastRowLastColumn="0"/>
            </w:pPr>
            <w:bookmarkStart w:id="38" w:name="RANGE!P19"/>
            <w:r w:rsidRPr="00CF7423">
              <w:t>6.7</w:t>
            </w:r>
            <w:bookmarkEnd w:id="38"/>
          </w:p>
        </w:tc>
        <w:tc>
          <w:tcPr>
            <w:tcW w:w="2033" w:type="pct"/>
            <w:noWrap/>
            <w:vAlign w:val="bottom"/>
          </w:tcPr>
          <w:p w:rsidR="00CF7423" w:rsidRPr="00CF7423" w:rsidRDefault="00CF7423" w:rsidP="00CF7423">
            <w:pPr>
              <w:cnfStyle w:val="000000000000" w:firstRow="0" w:lastRow="0" w:firstColumn="0" w:lastColumn="0" w:oddVBand="0" w:evenVBand="0" w:oddHBand="0" w:evenHBand="0" w:firstRowFirstColumn="0" w:firstRowLastColumn="0" w:lastRowFirstColumn="0" w:lastRowLastColumn="0"/>
            </w:pPr>
            <w:r w:rsidRPr="00CF7423">
              <w:t xml:space="preserve">                                   4.0 </w:t>
            </w:r>
          </w:p>
        </w:tc>
      </w:tr>
      <w:tr w:rsidR="00CF7423" w:rsidRPr="00E029D1" w:rsidTr="007802D7">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73" w:type="pct"/>
            <w:noWrap/>
            <w:hideMark/>
          </w:tcPr>
          <w:p w:rsidR="00CF7423" w:rsidRPr="00CF7423" w:rsidRDefault="00CF7423" w:rsidP="00CF7423">
            <w:r w:rsidRPr="00CF7423">
              <w:t>Motor vehicles</w:t>
            </w:r>
          </w:p>
        </w:tc>
        <w:tc>
          <w:tcPr>
            <w:tcW w:w="1094" w:type="pct"/>
            <w:noWrap/>
            <w:vAlign w:val="bottom"/>
          </w:tcPr>
          <w:p w:rsidR="00CF7423" w:rsidRPr="00CF7423" w:rsidRDefault="00CF7423" w:rsidP="00CF7423">
            <w:pPr>
              <w:cnfStyle w:val="000000010000" w:firstRow="0" w:lastRow="0" w:firstColumn="0" w:lastColumn="0" w:oddVBand="0" w:evenVBand="0" w:oddHBand="0" w:evenHBand="1" w:firstRowFirstColumn="0" w:firstRowLastColumn="0" w:lastRowFirstColumn="0" w:lastRowLastColumn="0"/>
            </w:pPr>
            <w:bookmarkStart w:id="39" w:name="RANGE!P20"/>
            <w:r w:rsidRPr="00CF7423">
              <w:t>15.0</w:t>
            </w:r>
            <w:bookmarkEnd w:id="39"/>
          </w:p>
        </w:tc>
        <w:tc>
          <w:tcPr>
            <w:tcW w:w="2033" w:type="pct"/>
            <w:noWrap/>
            <w:vAlign w:val="bottom"/>
          </w:tcPr>
          <w:p w:rsidR="00CF7423" w:rsidRPr="00CF7423" w:rsidRDefault="00CF7423" w:rsidP="00CF7423">
            <w:pPr>
              <w:cnfStyle w:val="000000010000" w:firstRow="0" w:lastRow="0" w:firstColumn="0" w:lastColumn="0" w:oddVBand="0" w:evenVBand="0" w:oddHBand="0" w:evenHBand="1" w:firstRowFirstColumn="0" w:firstRowLastColumn="0" w:lastRowFirstColumn="0" w:lastRowLastColumn="0"/>
            </w:pPr>
            <w:r w:rsidRPr="00CF7423">
              <w:t xml:space="preserve">                                   9.7 </w:t>
            </w:r>
          </w:p>
        </w:tc>
      </w:tr>
      <w:tr w:rsidR="00CF7423" w:rsidRPr="00E029D1" w:rsidTr="007802D7">
        <w:trPr>
          <w:trHeight w:val="301"/>
        </w:trPr>
        <w:tc>
          <w:tcPr>
            <w:cnfStyle w:val="001000000000" w:firstRow="0" w:lastRow="0" w:firstColumn="1" w:lastColumn="0" w:oddVBand="0" w:evenVBand="0" w:oddHBand="0" w:evenHBand="0" w:firstRowFirstColumn="0" w:firstRowLastColumn="0" w:lastRowFirstColumn="0" w:lastRowLastColumn="0"/>
            <w:tcW w:w="1873" w:type="pct"/>
            <w:noWrap/>
            <w:hideMark/>
          </w:tcPr>
          <w:p w:rsidR="00CF7423" w:rsidRPr="00CF7423" w:rsidRDefault="00CF7423" w:rsidP="00CF7423">
            <w:r w:rsidRPr="00CF7423">
              <w:t>Buildings</w:t>
            </w:r>
          </w:p>
        </w:tc>
        <w:tc>
          <w:tcPr>
            <w:tcW w:w="1094" w:type="pct"/>
            <w:noWrap/>
            <w:vAlign w:val="bottom"/>
          </w:tcPr>
          <w:p w:rsidR="00CF7423" w:rsidRPr="00CF7423" w:rsidRDefault="00CF7423" w:rsidP="00CF7423">
            <w:pPr>
              <w:cnfStyle w:val="000000000000" w:firstRow="0" w:lastRow="0" w:firstColumn="0" w:lastColumn="0" w:oddVBand="0" w:evenVBand="0" w:oddHBand="0" w:evenHBand="0" w:firstRowFirstColumn="0" w:firstRowLastColumn="0" w:lastRowFirstColumn="0" w:lastRowLastColumn="0"/>
            </w:pPr>
            <w:bookmarkStart w:id="40" w:name="RANGE!P21"/>
            <w:r w:rsidRPr="00CF7423">
              <w:t>100.0</w:t>
            </w:r>
            <w:bookmarkEnd w:id="40"/>
          </w:p>
        </w:tc>
        <w:tc>
          <w:tcPr>
            <w:tcW w:w="2033" w:type="pct"/>
            <w:noWrap/>
            <w:vAlign w:val="bottom"/>
          </w:tcPr>
          <w:p w:rsidR="00CF7423" w:rsidRPr="00CF7423" w:rsidRDefault="00CF7423" w:rsidP="00CF7423">
            <w:pPr>
              <w:cnfStyle w:val="000000000000" w:firstRow="0" w:lastRow="0" w:firstColumn="0" w:lastColumn="0" w:oddVBand="0" w:evenVBand="0" w:oddHBand="0" w:evenHBand="0" w:firstRowFirstColumn="0" w:firstRowLastColumn="0" w:lastRowFirstColumn="0" w:lastRowLastColumn="0"/>
            </w:pPr>
            <w:r w:rsidRPr="00CF7423">
              <w:t xml:space="preserve">                                  87.2 </w:t>
            </w:r>
          </w:p>
        </w:tc>
      </w:tr>
      <w:tr w:rsidR="00641A2F" w:rsidRPr="00E029D1" w:rsidTr="007802D7">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73" w:type="pct"/>
            <w:noWrap/>
            <w:hideMark/>
          </w:tcPr>
          <w:p w:rsidR="00641A2F" w:rsidRPr="00641A2F" w:rsidRDefault="00641A2F" w:rsidP="00641A2F">
            <w:r w:rsidRPr="00641A2F">
              <w:t>Land (non-system)</w:t>
            </w:r>
          </w:p>
        </w:tc>
        <w:tc>
          <w:tcPr>
            <w:tcW w:w="1094" w:type="pct"/>
            <w:noWrap/>
            <w:vAlign w:val="bottom"/>
          </w:tcPr>
          <w:p w:rsidR="00641A2F" w:rsidRPr="00641A2F" w:rsidRDefault="00641A2F" w:rsidP="00641A2F">
            <w:pPr>
              <w:cnfStyle w:val="000000010000" w:firstRow="0" w:lastRow="0" w:firstColumn="0" w:lastColumn="0" w:oddVBand="0" w:evenVBand="0" w:oddHBand="0" w:evenHBand="1" w:firstRowFirstColumn="0" w:firstRowLastColumn="0" w:lastRowFirstColumn="0" w:lastRowLastColumn="0"/>
            </w:pPr>
            <w:bookmarkStart w:id="41" w:name="RANGE!P22"/>
            <w:r w:rsidRPr="00641A2F">
              <w:t>n/a</w:t>
            </w:r>
            <w:bookmarkEnd w:id="41"/>
          </w:p>
        </w:tc>
        <w:tc>
          <w:tcPr>
            <w:tcW w:w="2033" w:type="pct"/>
            <w:noWrap/>
          </w:tcPr>
          <w:p w:rsidR="00641A2F" w:rsidRPr="00641A2F" w:rsidRDefault="00CF7423" w:rsidP="00641A2F">
            <w:pPr>
              <w:cnfStyle w:val="000000010000" w:firstRow="0" w:lastRow="0" w:firstColumn="0" w:lastColumn="0" w:oddVBand="0" w:evenVBand="0" w:oddHBand="0" w:evenHBand="1" w:firstRowFirstColumn="0" w:firstRowLastColumn="0" w:lastRowFirstColumn="0" w:lastRowLastColumn="0"/>
            </w:pPr>
            <w:r>
              <w:t>n/a</w:t>
            </w:r>
          </w:p>
        </w:tc>
      </w:tr>
      <w:tr w:rsidR="00641A2F" w:rsidRPr="00E029D1" w:rsidTr="007802D7">
        <w:trPr>
          <w:trHeight w:val="301"/>
        </w:trPr>
        <w:tc>
          <w:tcPr>
            <w:cnfStyle w:val="001000000000" w:firstRow="0" w:lastRow="0" w:firstColumn="1" w:lastColumn="0" w:oddVBand="0" w:evenVBand="0" w:oddHBand="0" w:evenHBand="0" w:firstRowFirstColumn="0" w:firstRowLastColumn="0" w:lastRowFirstColumn="0" w:lastRowLastColumn="0"/>
            <w:tcW w:w="1873" w:type="pct"/>
            <w:noWrap/>
            <w:hideMark/>
          </w:tcPr>
          <w:p w:rsidR="00641A2F" w:rsidRPr="00641A2F" w:rsidRDefault="00641A2F" w:rsidP="00641A2F">
            <w:r w:rsidRPr="00641A2F">
              <w:t>Other non-system assets</w:t>
            </w:r>
          </w:p>
        </w:tc>
        <w:tc>
          <w:tcPr>
            <w:tcW w:w="1094" w:type="pct"/>
            <w:noWrap/>
            <w:vAlign w:val="bottom"/>
          </w:tcPr>
          <w:p w:rsidR="00641A2F" w:rsidRPr="00641A2F" w:rsidRDefault="00641A2F" w:rsidP="00641A2F">
            <w:pPr>
              <w:cnfStyle w:val="000000000000" w:firstRow="0" w:lastRow="0" w:firstColumn="0" w:lastColumn="0" w:oddVBand="0" w:evenVBand="0" w:oddHBand="0" w:evenHBand="0" w:firstRowFirstColumn="0" w:firstRowLastColumn="0" w:lastRowFirstColumn="0" w:lastRowLastColumn="0"/>
            </w:pPr>
            <w:bookmarkStart w:id="42" w:name="RANGE!P23"/>
            <w:r w:rsidRPr="00641A2F">
              <w:t>43.8</w:t>
            </w:r>
            <w:bookmarkEnd w:id="42"/>
          </w:p>
        </w:tc>
        <w:tc>
          <w:tcPr>
            <w:tcW w:w="2033" w:type="pct"/>
            <w:noWrap/>
          </w:tcPr>
          <w:p w:rsidR="00641A2F" w:rsidRPr="00641A2F" w:rsidRDefault="00CF7423" w:rsidP="00641A2F">
            <w:pPr>
              <w:cnfStyle w:val="000000000000" w:firstRow="0" w:lastRow="0" w:firstColumn="0" w:lastColumn="0" w:oddVBand="0" w:evenVBand="0" w:oddHBand="0" w:evenHBand="0" w:firstRowFirstColumn="0" w:firstRowLastColumn="0" w:lastRowFirstColumn="0" w:lastRowLastColumn="0"/>
            </w:pPr>
            <w:r>
              <w:t>37.7</w:t>
            </w:r>
          </w:p>
        </w:tc>
      </w:tr>
      <w:tr w:rsidR="00641A2F" w:rsidRPr="00E029D1" w:rsidTr="007802D7">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73" w:type="pct"/>
            <w:noWrap/>
            <w:hideMark/>
          </w:tcPr>
          <w:p w:rsidR="00641A2F" w:rsidRPr="00641A2F" w:rsidRDefault="00641A2F" w:rsidP="00641A2F">
            <w:r w:rsidRPr="00641A2F">
              <w:t>Equity raising costs</w:t>
            </w:r>
          </w:p>
        </w:tc>
        <w:tc>
          <w:tcPr>
            <w:tcW w:w="1094" w:type="pct"/>
            <w:noWrap/>
          </w:tcPr>
          <w:p w:rsidR="00641A2F" w:rsidRPr="00641A2F" w:rsidRDefault="00641A2F" w:rsidP="00641A2F">
            <w:pPr>
              <w:cnfStyle w:val="000000010000" w:firstRow="0" w:lastRow="0" w:firstColumn="0" w:lastColumn="0" w:oddVBand="0" w:evenVBand="0" w:oddHBand="0" w:evenHBand="1" w:firstRowFirstColumn="0" w:firstRowLastColumn="0" w:lastRowFirstColumn="0" w:lastRowLastColumn="0"/>
            </w:pPr>
            <w:r>
              <w:t>5.0</w:t>
            </w:r>
          </w:p>
        </w:tc>
        <w:tc>
          <w:tcPr>
            <w:tcW w:w="2033" w:type="pct"/>
            <w:noWrap/>
          </w:tcPr>
          <w:p w:rsidR="00641A2F" w:rsidRPr="00641A2F" w:rsidRDefault="00CF7423" w:rsidP="00641A2F">
            <w:pPr>
              <w:cnfStyle w:val="000000010000" w:firstRow="0" w:lastRow="0" w:firstColumn="0" w:lastColumn="0" w:oddVBand="0" w:evenVBand="0" w:oddHBand="0" w:evenHBand="1" w:firstRowFirstColumn="0" w:firstRowLastColumn="0" w:lastRowFirstColumn="0" w:lastRowLastColumn="0"/>
            </w:pPr>
            <w:r>
              <w:t>40.7</w:t>
            </w:r>
          </w:p>
        </w:tc>
      </w:tr>
    </w:tbl>
    <w:p w:rsidR="00641A2F" w:rsidRDefault="00641A2F" w:rsidP="00641A2F">
      <w:pPr>
        <w:pStyle w:val="AERtablesource"/>
      </w:pPr>
      <w:r>
        <w:t>Source:</w:t>
      </w:r>
      <w:r>
        <w:tab/>
        <w:t>AER analysis.</w:t>
      </w:r>
    </w:p>
    <w:p w:rsidR="00F07312" w:rsidRDefault="00F07312" w:rsidP="00F07312">
      <w:pPr>
        <w:pStyle w:val="AERtablesource"/>
      </w:pPr>
      <w:r>
        <w:t>n/a:</w:t>
      </w:r>
      <w:r>
        <w:tab/>
        <w:t>not applicable.</w:t>
      </w:r>
    </w:p>
    <w:p w:rsidR="00DE4998" w:rsidRDefault="00DE4998" w:rsidP="007802D7">
      <w:pPr>
        <w:pStyle w:val="Heading3"/>
      </w:pPr>
      <w:bookmarkStart w:id="43" w:name="_Toc414975758"/>
      <w:bookmarkStart w:id="44" w:name="_Ref415136512"/>
      <w:r w:rsidRPr="00DE4998">
        <w:t>Tax treatment of incentive scheme</w:t>
      </w:r>
      <w:r w:rsidR="00B1379F">
        <w:t xml:space="preserve"> revenue</w:t>
      </w:r>
      <w:r w:rsidRPr="00DE4998">
        <w:t>s</w:t>
      </w:r>
      <w:bookmarkEnd w:id="43"/>
      <w:bookmarkEnd w:id="44"/>
    </w:p>
    <w:p w:rsidR="00B1379F" w:rsidRDefault="00B1379F" w:rsidP="007802D7">
      <w:r>
        <w:t xml:space="preserve">We do not accept Essential Energy's revised proposed approach of treating the amounts associated </w:t>
      </w:r>
      <w:r w:rsidR="00016CB6">
        <w:t xml:space="preserve">with </w:t>
      </w:r>
      <w:r>
        <w:t>various incentive schemes as non-deductions for tax purposes.</w:t>
      </w:r>
    </w:p>
    <w:p w:rsidR="00DE4998" w:rsidRDefault="00DE4998" w:rsidP="007802D7">
      <w:r>
        <w:t>Essential Energy</w:t>
      </w:r>
      <w:r w:rsidR="00906B7F">
        <w:t>'s revised</w:t>
      </w:r>
      <w:r w:rsidRPr="00DE4998">
        <w:t xml:space="preserve"> propos</w:t>
      </w:r>
      <w:r w:rsidR="00906B7F">
        <w:t xml:space="preserve">al altered the </w:t>
      </w:r>
      <w:r w:rsidR="0047137B">
        <w:t xml:space="preserve">tax </w:t>
      </w:r>
      <w:r w:rsidR="00906B7F">
        <w:t xml:space="preserve">treatment of </w:t>
      </w:r>
      <w:r w:rsidR="00B1379F">
        <w:t xml:space="preserve">proposed </w:t>
      </w:r>
      <w:r w:rsidRPr="00DE4998">
        <w:t xml:space="preserve">revenue adjustments arising from EBSS </w:t>
      </w:r>
      <w:r w:rsidR="008D0525">
        <w:t>and</w:t>
      </w:r>
      <w:r w:rsidR="0017230A">
        <w:t xml:space="preserve"> </w:t>
      </w:r>
      <w:r w:rsidRPr="00DE4998">
        <w:t>DMIA carryover</w:t>
      </w:r>
      <w:r w:rsidR="0017230A">
        <w:t>s</w:t>
      </w:r>
      <w:r w:rsidR="008D0525">
        <w:t>,</w:t>
      </w:r>
      <w:r w:rsidRPr="00DE4998">
        <w:t xml:space="preserve"> </w:t>
      </w:r>
      <w:r w:rsidR="0017230A">
        <w:t xml:space="preserve">and </w:t>
      </w:r>
      <w:r w:rsidRPr="00DE4998">
        <w:t>the DMIA</w:t>
      </w:r>
      <w:r w:rsidR="00B1379F">
        <w:t xml:space="preserve"> forecast payments</w:t>
      </w:r>
      <w:r w:rsidR="00906B7F">
        <w:t>. It proposed to remove these adjustments from its taxable expenses when calculating its cost of corporate income tax</w:t>
      </w:r>
      <w:r w:rsidRPr="00DE4998">
        <w:t>.</w:t>
      </w:r>
      <w:r w:rsidR="00906B7F" w:rsidRPr="00906B7F">
        <w:rPr>
          <w:rStyle w:val="FootnoteReference"/>
        </w:rPr>
        <w:footnoteReference w:id="12"/>
      </w:r>
    </w:p>
    <w:p w:rsidR="00B22971" w:rsidRDefault="00E35236" w:rsidP="007802D7">
      <w:r>
        <w:lastRenderedPageBreak/>
        <w:t xml:space="preserve">In its revised proposal Essential Energy removed </w:t>
      </w:r>
      <w:r w:rsidR="00B22971">
        <w:t xml:space="preserve">the </w:t>
      </w:r>
      <w:r>
        <w:t xml:space="preserve">DMIA </w:t>
      </w:r>
      <w:r w:rsidR="0067123C">
        <w:t>forecast payment</w:t>
      </w:r>
      <w:r w:rsidR="00016CB6">
        <w:t>s</w:t>
      </w:r>
      <w:r w:rsidR="0067123C">
        <w:t xml:space="preserve"> </w:t>
      </w:r>
      <w:r>
        <w:t xml:space="preserve">(as distinct from the DMIA carryover) from its taxable expenses. </w:t>
      </w:r>
      <w:r w:rsidR="00975D45">
        <w:t>In its</w:t>
      </w:r>
      <w:r w:rsidR="0067123C">
        <w:t xml:space="preserve"> recent</w:t>
      </w:r>
      <w:r w:rsidR="00975D45">
        <w:t xml:space="preserve"> </w:t>
      </w:r>
      <w:r w:rsidR="00975D45" w:rsidRPr="00975D45">
        <w:t>submission to the amendment</w:t>
      </w:r>
      <w:r w:rsidR="0067123C">
        <w:t>s</w:t>
      </w:r>
      <w:r w:rsidR="00975D45" w:rsidRPr="00975D45">
        <w:t xml:space="preserve"> of the </w:t>
      </w:r>
      <w:r w:rsidR="00906B7F">
        <w:t xml:space="preserve">AER's </w:t>
      </w:r>
      <w:r w:rsidR="0067123C">
        <w:t xml:space="preserve">distribution </w:t>
      </w:r>
      <w:r w:rsidR="00975D45" w:rsidRPr="00975D45">
        <w:t>PTRM</w:t>
      </w:r>
      <w:r w:rsidR="00975D45">
        <w:t xml:space="preserve">, </w:t>
      </w:r>
      <w:r w:rsidR="0067123C">
        <w:t>the</w:t>
      </w:r>
      <w:r w:rsidR="00975D45">
        <w:t xml:space="preserve"> NSW </w:t>
      </w:r>
      <w:r w:rsidR="0067123C">
        <w:t xml:space="preserve">service providers </w:t>
      </w:r>
      <w:r w:rsidR="00975D45">
        <w:t xml:space="preserve">proposed not to </w:t>
      </w:r>
      <w:r w:rsidR="0067123C">
        <w:t>remove amount</w:t>
      </w:r>
      <w:r w:rsidR="007802D7">
        <w:t>s</w:t>
      </w:r>
      <w:r w:rsidR="00975D45">
        <w:t xml:space="preserve"> that specifically incur </w:t>
      </w:r>
      <w:proofErr w:type="spellStart"/>
      <w:r w:rsidR="00975D45">
        <w:t>opex</w:t>
      </w:r>
      <w:proofErr w:type="spellEnd"/>
      <w:r w:rsidR="00975D45">
        <w:t>—such as the DMIA—when estimating tax deductible expenses.</w:t>
      </w:r>
      <w:r>
        <w:rPr>
          <w:rStyle w:val="FootnoteReference"/>
        </w:rPr>
        <w:footnoteReference w:id="13"/>
      </w:r>
      <w:r w:rsidR="00975D45">
        <w:t xml:space="preserve"> We agree with this approach</w:t>
      </w:r>
      <w:r w:rsidR="0067123C">
        <w:t xml:space="preserve"> and confirm that the DMIA amounts should be included as a tax deduction</w:t>
      </w:r>
      <w:r w:rsidR="00975D45">
        <w:t xml:space="preserve">. </w:t>
      </w:r>
      <w:r w:rsidR="00016CB6">
        <w:t xml:space="preserve">We consider that because </w:t>
      </w:r>
      <w:r w:rsidR="00016CB6" w:rsidRPr="00016CB6">
        <w:t xml:space="preserve">the DMIA is an allowance that specifically incurs </w:t>
      </w:r>
      <w:proofErr w:type="spellStart"/>
      <w:r w:rsidR="00016CB6" w:rsidRPr="00016CB6">
        <w:t>opex</w:t>
      </w:r>
      <w:proofErr w:type="spellEnd"/>
      <w:r w:rsidR="00016CB6" w:rsidRPr="00016CB6">
        <w:t xml:space="preserve">, it should be treated as an expense for tax purposes. </w:t>
      </w:r>
      <w:r w:rsidR="00975D45">
        <w:t xml:space="preserve">We also note that </w:t>
      </w:r>
      <w:r w:rsidR="0067123C">
        <w:t>the other NSW service providers'</w:t>
      </w:r>
      <w:r w:rsidR="00975D45">
        <w:t xml:space="preserve"> revised </w:t>
      </w:r>
      <w:r w:rsidR="0067123C">
        <w:t xml:space="preserve">proposal </w:t>
      </w:r>
      <w:r w:rsidR="00B22971">
        <w:t xml:space="preserve">did not alter the </w:t>
      </w:r>
      <w:r w:rsidR="0067123C">
        <w:t xml:space="preserve">tax </w:t>
      </w:r>
      <w:r w:rsidR="00B22971">
        <w:t>treatment of the DMIA</w:t>
      </w:r>
      <w:r w:rsidR="0067123C">
        <w:t xml:space="preserve"> as accepted in the draft decision</w:t>
      </w:r>
      <w:r w:rsidR="00B22971">
        <w:t>.</w:t>
      </w:r>
      <w:r w:rsidR="00B22971">
        <w:rPr>
          <w:rStyle w:val="FootnoteReference"/>
        </w:rPr>
        <w:footnoteReference w:id="14"/>
      </w:r>
      <w:r w:rsidR="00975D45">
        <w:t xml:space="preserve"> </w:t>
      </w:r>
    </w:p>
    <w:p w:rsidR="00016CB6" w:rsidRDefault="00016CB6" w:rsidP="00016CB6">
      <w:r w:rsidRPr="0017230A">
        <w:t xml:space="preserve">As </w:t>
      </w:r>
      <w:r>
        <w:t xml:space="preserve">discussed </w:t>
      </w:r>
      <w:r w:rsidRPr="0017230A">
        <w:t xml:space="preserve">in </w:t>
      </w:r>
      <w:r>
        <w:t>attachment</w:t>
      </w:r>
      <w:r w:rsidRPr="0017230A">
        <w:t xml:space="preserve"> </w:t>
      </w:r>
      <w:r>
        <w:t>9</w:t>
      </w:r>
      <w:r w:rsidRPr="0017230A">
        <w:t xml:space="preserve"> we will </w:t>
      </w:r>
      <w:r>
        <w:t xml:space="preserve">not be </w:t>
      </w:r>
      <w:r w:rsidRPr="0017230A">
        <w:t>appl</w:t>
      </w:r>
      <w:r>
        <w:t>ying</w:t>
      </w:r>
      <w:r w:rsidRPr="0017230A">
        <w:t xml:space="preserve"> the negative </w:t>
      </w:r>
      <w:r>
        <w:t xml:space="preserve">EBSS </w:t>
      </w:r>
      <w:r w:rsidRPr="0017230A">
        <w:t>carryover penalties for Essential Energy.</w:t>
      </w:r>
      <w:r>
        <w:t xml:space="preserve"> We also consider that DMIA carryover amounts will be dealt with via the annual pricing mechanism</w:t>
      </w:r>
      <w:r w:rsidRPr="00E35236">
        <w:t xml:space="preserve"> </w:t>
      </w:r>
      <w:r>
        <w:t xml:space="preserve">(attachment </w:t>
      </w:r>
      <w:r w:rsidR="0068325F">
        <w:t>1</w:t>
      </w:r>
      <w:r w:rsidR="00852825">
        <w:t>6</w:t>
      </w:r>
      <w:r>
        <w:t>)</w:t>
      </w:r>
      <w:r w:rsidRPr="0017230A">
        <w:t>. The removal of these revenue amounts from the PTRM means that we do not need to make an assessment</w:t>
      </w:r>
      <w:r>
        <w:t xml:space="preserve"> in this final decision</w:t>
      </w:r>
      <w:r w:rsidRPr="0017230A">
        <w:t xml:space="preserve"> about </w:t>
      </w:r>
      <w:r>
        <w:t>Essential Energy</w:t>
      </w:r>
      <w:r w:rsidRPr="0017230A">
        <w:t>'s revised proposal to alter the tax treatment</w:t>
      </w:r>
      <w:r w:rsidR="0047137B">
        <w:t xml:space="preserve"> for these matters</w:t>
      </w:r>
      <w:r w:rsidRPr="0017230A">
        <w:t>.</w:t>
      </w:r>
      <w:r w:rsidR="004C2BE6">
        <w:rPr>
          <w:rStyle w:val="FootnoteReference"/>
        </w:rPr>
        <w:footnoteReference w:id="15"/>
      </w:r>
    </w:p>
    <w:p w:rsidR="0017230A" w:rsidRPr="00DE4998" w:rsidRDefault="0017230A" w:rsidP="007802D7"/>
    <w:sectPr w:rsidR="0017230A" w:rsidRPr="00DE4998"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615" w:rsidRPr="00290C63" w:rsidRDefault="00EF6615" w:rsidP="00290C63">
      <w:r>
        <w:separator/>
      </w:r>
    </w:p>
    <w:p w:rsidR="00EF6615" w:rsidRDefault="00EF6615"/>
  </w:endnote>
  <w:endnote w:type="continuationSeparator" w:id="0">
    <w:p w:rsidR="00EF6615" w:rsidRPr="00290C63" w:rsidRDefault="00EF6615" w:rsidP="00290C63">
      <w:r>
        <w:continuationSeparator/>
      </w:r>
    </w:p>
    <w:p w:rsidR="00EF6615" w:rsidRDefault="00EF6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615" w:rsidRPr="00290C63" w:rsidRDefault="00EF6615"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EF6615" w:rsidRDefault="00EF6615"/>
  <w:p w:rsidR="00EF6615" w:rsidRDefault="00EF6615"/>
  <w:p w:rsidR="00EF6615" w:rsidRDefault="00EF6615"/>
  <w:p w:rsidR="00EF6615" w:rsidRDefault="00EF6615"/>
  <w:p w:rsidR="00EF6615" w:rsidRDefault="00EF6615"/>
  <w:p w:rsidR="00EF6615" w:rsidRDefault="00EF6615"/>
  <w:p w:rsidR="00EF6615" w:rsidRDefault="00EF661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EF6615" w:rsidRPr="009B6F84" w:rsidRDefault="00EF6615">
        <w:pPr>
          <w:pStyle w:val="Footer"/>
          <w:rPr>
            <w:sz w:val="20"/>
          </w:rPr>
        </w:pPr>
        <w:r>
          <w:fldChar w:fldCharType="begin"/>
        </w:r>
        <w:r>
          <w:instrText xml:space="preserve"> PAGE   \* MERGEFORMAT </w:instrText>
        </w:r>
        <w:r>
          <w:fldChar w:fldCharType="separate"/>
        </w:r>
        <w:r w:rsidR="009C3E79">
          <w:rPr>
            <w:noProof/>
          </w:rPr>
          <w:t>8-7</w:t>
        </w:r>
        <w:r>
          <w:rPr>
            <w:noProof/>
          </w:rPr>
          <w:fldChar w:fldCharType="end"/>
        </w:r>
        <w:r>
          <w:rPr>
            <w:noProof/>
          </w:rPr>
          <w:t xml:space="preserve">         </w:t>
        </w:r>
        <w:r>
          <w:t xml:space="preserve">                        </w:t>
        </w:r>
        <w:r>
          <w:rPr>
            <w:noProof/>
          </w:rPr>
          <w:t xml:space="preserve"> </w:t>
        </w:r>
        <w:r w:rsidRPr="00FB1463">
          <w:rPr>
            <w:noProof/>
            <w:szCs w:val="16"/>
          </w:rPr>
          <w:t xml:space="preserve">Attachment 8 – Corporate income tax </w:t>
        </w:r>
        <w:r w:rsidRPr="009B6F84">
          <w:rPr>
            <w:rFonts w:cs="Gautami"/>
            <w:noProof/>
            <w:szCs w:val="16"/>
          </w:rPr>
          <w:t xml:space="preserve">| </w:t>
        </w:r>
        <w:r>
          <w:t>Essential Energy</w:t>
        </w:r>
        <w:r w:rsidRPr="009B6F84">
          <w:rPr>
            <w:rFonts w:cs="Gautami"/>
            <w:noProof/>
            <w:szCs w:val="16"/>
          </w:rPr>
          <w:t xml:space="preserve"> Final decision</w:t>
        </w:r>
        <w:r w:rsidRPr="009B6F84">
          <w:rPr>
            <w:sz w:val="20"/>
          </w:rPr>
          <w:t xml:space="preserve"> </w:t>
        </w:r>
        <w:r w:rsidRPr="009B6F84">
          <w:rPr>
            <w:rFonts w:cs="Gautami"/>
            <w:noProof/>
            <w:szCs w:val="16"/>
          </w:rPr>
          <w:t>2015–19</w:t>
        </w:r>
      </w:p>
    </w:sdtContent>
  </w:sdt>
  <w:p w:rsidR="00EF6615" w:rsidRDefault="00EF66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615" w:rsidRPr="00290C63" w:rsidRDefault="00EF6615"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EF6615" w:rsidRDefault="00EF6615">
    <w:pPr>
      <w:pStyle w:val="Footer"/>
    </w:pPr>
  </w:p>
  <w:p w:rsidR="00EF6615" w:rsidRDefault="00EF6615"/>
  <w:p w:rsidR="00EF6615" w:rsidRDefault="00EF6615"/>
  <w:p w:rsidR="00EF6615" w:rsidRDefault="00EF6615"/>
  <w:p w:rsidR="00EF6615" w:rsidRDefault="00EF6615"/>
  <w:p w:rsidR="00EF6615" w:rsidRDefault="00EF6615"/>
  <w:p w:rsidR="00EF6615" w:rsidRDefault="00EF6615"/>
  <w:p w:rsidR="00EF6615" w:rsidRDefault="00EF66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615" w:rsidRPr="00290C63" w:rsidRDefault="00EF6615" w:rsidP="00290C63">
      <w:r>
        <w:separator/>
      </w:r>
    </w:p>
    <w:p w:rsidR="00EF6615" w:rsidRDefault="00EF6615"/>
  </w:footnote>
  <w:footnote w:type="continuationSeparator" w:id="0">
    <w:p w:rsidR="00EF6615" w:rsidRPr="00290C63" w:rsidRDefault="00EF6615" w:rsidP="00290C63">
      <w:r>
        <w:continuationSeparator/>
      </w:r>
    </w:p>
    <w:p w:rsidR="00EF6615" w:rsidRDefault="00EF6615"/>
  </w:footnote>
  <w:footnote w:id="1">
    <w:p w:rsidR="00EF6615" w:rsidRDefault="00EF6615" w:rsidP="00953847">
      <w:pPr>
        <w:pStyle w:val="FootnoteText"/>
      </w:pPr>
      <w:r>
        <w:rPr>
          <w:rStyle w:val="FootnoteReference"/>
        </w:rPr>
        <w:footnoteRef/>
      </w:r>
      <w:r>
        <w:t xml:space="preserve"> </w:t>
      </w:r>
      <w:r>
        <w:tab/>
        <w:t>NER, cl. 6.4.3(a</w:t>
      </w:r>
      <w:proofErr w:type="gramStart"/>
      <w:r>
        <w:t>)(</w:t>
      </w:r>
      <w:proofErr w:type="gramEnd"/>
      <w:r>
        <w:t>4).</w:t>
      </w:r>
    </w:p>
  </w:footnote>
  <w:footnote w:id="2">
    <w:p w:rsidR="00EF6615" w:rsidRDefault="00EF6615" w:rsidP="00F40C52">
      <w:pPr>
        <w:pStyle w:val="FootnoteText"/>
      </w:pPr>
      <w:r>
        <w:rPr>
          <w:rStyle w:val="FootnoteReference"/>
        </w:rPr>
        <w:footnoteRef/>
      </w:r>
      <w:r>
        <w:t xml:space="preserve"> </w:t>
      </w:r>
      <w:r>
        <w:tab/>
        <w:t xml:space="preserve">Essential Energy, </w:t>
      </w:r>
      <w:r w:rsidRPr="001B16E4">
        <w:rPr>
          <w:rStyle w:val="AERtextitalic"/>
        </w:rPr>
        <w:t>Revised regulatory proposal</w:t>
      </w:r>
      <w:r w:rsidRPr="001B16E4">
        <w:t xml:space="preserve">, January 2015, </w:t>
      </w:r>
      <w:r>
        <w:t>Attachment 5.5.</w:t>
      </w:r>
    </w:p>
  </w:footnote>
  <w:footnote w:id="3">
    <w:p w:rsidR="00EF6615" w:rsidRDefault="00EF6615">
      <w:pPr>
        <w:pStyle w:val="FootnoteText"/>
      </w:pPr>
      <w:r>
        <w:rPr>
          <w:rStyle w:val="FootnoteReference"/>
        </w:rPr>
        <w:footnoteRef/>
      </w:r>
      <w:r>
        <w:t xml:space="preserve"> </w:t>
      </w:r>
      <w:r>
        <w:tab/>
        <w:t xml:space="preserve">Essential Energy, </w:t>
      </w:r>
      <w:r w:rsidRPr="001B16E4">
        <w:rPr>
          <w:rStyle w:val="AERtextitalic"/>
        </w:rPr>
        <w:t>Revised regulatory proposal</w:t>
      </w:r>
      <w:r w:rsidRPr="001B16E4">
        <w:t xml:space="preserve">, January 2015, </w:t>
      </w:r>
      <w:r>
        <w:t>Attachment 5.5.</w:t>
      </w:r>
    </w:p>
  </w:footnote>
  <w:footnote w:id="4">
    <w:p w:rsidR="00EF6615" w:rsidRDefault="00EF6615" w:rsidP="004F1897">
      <w:pPr>
        <w:pStyle w:val="FootnoteText"/>
      </w:pPr>
      <w:r>
        <w:rPr>
          <w:rStyle w:val="FootnoteReference"/>
        </w:rPr>
        <w:footnoteRef/>
      </w:r>
      <w:r>
        <w:t xml:space="preserve"> </w:t>
      </w:r>
      <w:r>
        <w:tab/>
      </w:r>
      <w:proofErr w:type="gramStart"/>
      <w:r w:rsidRPr="002C538E">
        <w:t xml:space="preserve">AER, </w:t>
      </w:r>
      <w:r w:rsidRPr="002C538E">
        <w:rPr>
          <w:rStyle w:val="AERtextitalic"/>
        </w:rPr>
        <w:t xml:space="preserve">Draft decision - </w:t>
      </w:r>
      <w:r>
        <w:rPr>
          <w:rStyle w:val="AERtextitalic"/>
        </w:rPr>
        <w:t>Essential Energy</w:t>
      </w:r>
      <w:r w:rsidRPr="002C538E">
        <w:rPr>
          <w:rStyle w:val="AERtextitalic"/>
        </w:rPr>
        <w:t xml:space="preserve"> distribution determination attachment </w:t>
      </w:r>
      <w:r>
        <w:rPr>
          <w:rStyle w:val="AERtextitalic"/>
        </w:rPr>
        <w:t>8</w:t>
      </w:r>
      <w:r w:rsidRPr="002C538E">
        <w:rPr>
          <w:rStyle w:val="AERtextitalic"/>
        </w:rPr>
        <w:t xml:space="preserve"> - </w:t>
      </w:r>
      <w:r>
        <w:rPr>
          <w:rStyle w:val="AERtextitalic"/>
        </w:rPr>
        <w:t>Corporate income tax</w:t>
      </w:r>
      <w:r w:rsidRPr="002C538E">
        <w:t xml:space="preserve">, November 2014, pp. </w:t>
      </w:r>
      <w:r>
        <w:t>8–10.</w:t>
      </w:r>
      <w:proofErr w:type="gramEnd"/>
    </w:p>
  </w:footnote>
  <w:footnote w:id="5">
    <w:p w:rsidR="00EF6615" w:rsidRDefault="00EF6615" w:rsidP="000878DB">
      <w:pPr>
        <w:pStyle w:val="FootnoteText"/>
      </w:pPr>
      <w:r>
        <w:rPr>
          <w:rStyle w:val="FootnoteReference"/>
        </w:rPr>
        <w:footnoteRef/>
      </w:r>
      <w:r>
        <w:t xml:space="preserve"> </w:t>
      </w:r>
      <w:r>
        <w:tab/>
      </w:r>
      <w:proofErr w:type="gramStart"/>
      <w:r>
        <w:t xml:space="preserve">AER, </w:t>
      </w:r>
      <w:r w:rsidRPr="002C538E">
        <w:rPr>
          <w:rStyle w:val="AERtextitalic"/>
        </w:rPr>
        <w:t xml:space="preserve">Draft decision - </w:t>
      </w:r>
      <w:r>
        <w:rPr>
          <w:rStyle w:val="AERtextitalic"/>
        </w:rPr>
        <w:t>Essential Energy</w:t>
      </w:r>
      <w:r w:rsidRPr="002C538E">
        <w:rPr>
          <w:rStyle w:val="AERtextitalic"/>
        </w:rPr>
        <w:t xml:space="preserve"> distribution determination attachment </w:t>
      </w:r>
      <w:r>
        <w:rPr>
          <w:rStyle w:val="AERtextitalic"/>
        </w:rPr>
        <w:t>8</w:t>
      </w:r>
      <w:r w:rsidRPr="002C538E">
        <w:rPr>
          <w:rStyle w:val="AERtextitalic"/>
        </w:rPr>
        <w:t xml:space="preserve"> - </w:t>
      </w:r>
      <w:r>
        <w:rPr>
          <w:rStyle w:val="AERtextitalic"/>
        </w:rPr>
        <w:t>Corporate income tax</w:t>
      </w:r>
      <w:r>
        <w:t>, November 2014, p</w:t>
      </w:r>
      <w:r w:rsidRPr="002C538E">
        <w:t xml:space="preserve">. </w:t>
      </w:r>
      <w:r>
        <w:t>8.</w:t>
      </w:r>
      <w:proofErr w:type="gramEnd"/>
    </w:p>
  </w:footnote>
  <w:footnote w:id="6">
    <w:p w:rsidR="00EF6615" w:rsidRDefault="00EF6615" w:rsidP="009752B2">
      <w:pPr>
        <w:pStyle w:val="FootnoteText"/>
      </w:pPr>
      <w:r>
        <w:rPr>
          <w:rStyle w:val="FootnoteReference"/>
        </w:rPr>
        <w:footnoteRef/>
      </w:r>
      <w:r>
        <w:t xml:space="preserve"> </w:t>
      </w:r>
      <w:r>
        <w:tab/>
      </w:r>
      <w:r w:rsidRPr="003C1ADE">
        <w:t xml:space="preserve">ATO, </w:t>
      </w:r>
      <w:r w:rsidRPr="007802D7">
        <w:rPr>
          <w:rStyle w:val="AERtextitalic"/>
        </w:rPr>
        <w:t>Taxation Ruling Income tax: effective life of depreciating assets (applicable from 1 July 2014)</w:t>
      </w:r>
      <w:r w:rsidRPr="003C1ADE">
        <w:t>, August 2014,</w:t>
      </w:r>
      <w:r>
        <w:t xml:space="preserve"> </w:t>
      </w:r>
      <w:hyperlink r:id="rId1" w:history="1">
        <w:r w:rsidRPr="0064055E">
          <w:rPr>
            <w:rStyle w:val="Hyperlink"/>
            <w:sz w:val="16"/>
          </w:rPr>
          <w:t>http://law.ato.gov.au/atolaw/view.htm?docid=%22TXR%2FTR20144%2FNAT%2FATO%2F00001%22</w:t>
        </w:r>
      </w:hyperlink>
      <w:r w:rsidRPr="003C1ADE">
        <w:t>, accessed on 2</w:t>
      </w:r>
      <w:r>
        <w:t>4 February 2015</w:t>
      </w:r>
      <w:r w:rsidRPr="003C1ADE">
        <w:t>.</w:t>
      </w:r>
    </w:p>
  </w:footnote>
  <w:footnote w:id="7">
    <w:p w:rsidR="00EF6615" w:rsidRDefault="00EF6615" w:rsidP="003E4933">
      <w:pPr>
        <w:pStyle w:val="FootnoteText"/>
      </w:pPr>
      <w:r>
        <w:rPr>
          <w:rStyle w:val="FootnoteReference"/>
        </w:rPr>
        <w:footnoteRef/>
      </w:r>
      <w:r>
        <w:t xml:space="preserve"> </w:t>
      </w:r>
      <w:r>
        <w:tab/>
      </w:r>
      <w:proofErr w:type="gramStart"/>
      <w:r>
        <w:t xml:space="preserve">AER, </w:t>
      </w:r>
      <w:r w:rsidRPr="00523BB5">
        <w:rPr>
          <w:rStyle w:val="AERtextitalic"/>
        </w:rPr>
        <w:t>Draft decision - ActewAGL distribution determination attachment 8 - Corporate income tax</w:t>
      </w:r>
      <w:r w:rsidRPr="00A13EBC">
        <w:t>, November 2014</w:t>
      </w:r>
      <w:r>
        <w:t>, pp. 13-14.</w:t>
      </w:r>
      <w:proofErr w:type="gramEnd"/>
    </w:p>
  </w:footnote>
  <w:footnote w:id="8">
    <w:p w:rsidR="00EF6615" w:rsidRDefault="00EF6615" w:rsidP="009752B2">
      <w:pPr>
        <w:pStyle w:val="FootnoteText"/>
      </w:pPr>
      <w:r>
        <w:rPr>
          <w:rStyle w:val="FootnoteReference"/>
        </w:rPr>
        <w:footnoteRef/>
      </w:r>
      <w:r>
        <w:t xml:space="preserve"> </w:t>
      </w:r>
      <w:r>
        <w:tab/>
        <w:t xml:space="preserve">Essential Energy, </w:t>
      </w:r>
      <w:r w:rsidRPr="001B16E4">
        <w:rPr>
          <w:rStyle w:val="AERtextitalic"/>
        </w:rPr>
        <w:t>Revised regulatory proposal</w:t>
      </w:r>
      <w:r w:rsidRPr="001B16E4">
        <w:t xml:space="preserve">, January 2015, </w:t>
      </w:r>
      <w:r>
        <w:t>Attachment 5.1.</w:t>
      </w:r>
    </w:p>
  </w:footnote>
  <w:footnote w:id="9">
    <w:p w:rsidR="00EF6615" w:rsidRDefault="00EF6615" w:rsidP="00C022EE">
      <w:pPr>
        <w:pStyle w:val="FootnoteText"/>
      </w:pPr>
      <w:r>
        <w:rPr>
          <w:rStyle w:val="FootnoteReference"/>
        </w:rPr>
        <w:footnoteRef/>
      </w:r>
      <w:r>
        <w:t xml:space="preserve"> </w:t>
      </w:r>
      <w:r>
        <w:tab/>
      </w:r>
      <w:proofErr w:type="gramStart"/>
      <w:r>
        <w:t>NER, cl. 6.5.3.</w:t>
      </w:r>
      <w:proofErr w:type="gramEnd"/>
    </w:p>
  </w:footnote>
  <w:footnote w:id="10">
    <w:p w:rsidR="00EF6615" w:rsidRDefault="00EF6615" w:rsidP="009752B2">
      <w:pPr>
        <w:pStyle w:val="FootnoteText"/>
      </w:pPr>
      <w:r>
        <w:rPr>
          <w:rStyle w:val="FootnoteReference"/>
        </w:rPr>
        <w:footnoteRef/>
      </w:r>
      <w:r>
        <w:t xml:space="preserve"> </w:t>
      </w:r>
      <w:r>
        <w:tab/>
      </w:r>
      <w:proofErr w:type="gramStart"/>
      <w:r w:rsidRPr="002C538E">
        <w:t xml:space="preserve">AER, </w:t>
      </w:r>
      <w:r w:rsidRPr="002C538E">
        <w:rPr>
          <w:rStyle w:val="AERtextitalic"/>
        </w:rPr>
        <w:t xml:space="preserve">Draft decision - </w:t>
      </w:r>
      <w:r>
        <w:rPr>
          <w:rStyle w:val="AERtextitalic"/>
        </w:rPr>
        <w:t>Essential Energy</w:t>
      </w:r>
      <w:r w:rsidRPr="002C538E">
        <w:rPr>
          <w:rStyle w:val="AERtextitalic"/>
        </w:rPr>
        <w:t xml:space="preserve"> distribution determination attachment 5 - Regulatory depreciation</w:t>
      </w:r>
      <w:r>
        <w:t>, November 2014, p</w:t>
      </w:r>
      <w:r w:rsidRPr="002C538E">
        <w:t xml:space="preserve">. </w:t>
      </w:r>
      <w:r>
        <w:t>12.</w:t>
      </w:r>
      <w:proofErr w:type="gramEnd"/>
    </w:p>
  </w:footnote>
  <w:footnote w:id="11">
    <w:p w:rsidR="00EF6615" w:rsidRDefault="00EF6615" w:rsidP="009752B2">
      <w:pPr>
        <w:pStyle w:val="FootnoteText"/>
      </w:pPr>
      <w:r>
        <w:rPr>
          <w:rStyle w:val="FootnoteReference"/>
        </w:rPr>
        <w:footnoteRef/>
      </w:r>
      <w:r>
        <w:t xml:space="preserve"> </w:t>
      </w:r>
      <w:r>
        <w:tab/>
        <w:t xml:space="preserve">Essential Energy, </w:t>
      </w:r>
      <w:r w:rsidRPr="001B16E4">
        <w:rPr>
          <w:rStyle w:val="AERtextitalic"/>
        </w:rPr>
        <w:t>Revised regulatory proposal</w:t>
      </w:r>
      <w:r w:rsidRPr="001B16E4">
        <w:t xml:space="preserve">, January 2015, </w:t>
      </w:r>
      <w:r>
        <w:t>Attachment 5.1.</w:t>
      </w:r>
    </w:p>
  </w:footnote>
  <w:footnote w:id="12">
    <w:p w:rsidR="00EF6615" w:rsidRDefault="00EF6615" w:rsidP="00906B7F">
      <w:pPr>
        <w:pStyle w:val="FootnoteText"/>
      </w:pPr>
      <w:r>
        <w:rPr>
          <w:rStyle w:val="FootnoteReference"/>
        </w:rPr>
        <w:footnoteRef/>
      </w:r>
      <w:r>
        <w:t xml:space="preserve"> </w:t>
      </w:r>
      <w:r>
        <w:tab/>
        <w:t xml:space="preserve">Essential Energy did not propose such a change in its initial (May 2014) regulatory proposal, and instead applied the AER's standard approach. Accordingly, our draft decision accepted Essential Energy's proposal and treated the EBSS revenue adjustment as both taxable income and a tax expense. See: </w:t>
      </w:r>
      <w:r w:rsidRPr="00DE4998">
        <w:rPr>
          <w:rStyle w:val="AERtextitalic"/>
          <w:i w:val="0"/>
        </w:rPr>
        <w:t>Essential Energy,</w:t>
      </w:r>
      <w:r>
        <w:rPr>
          <w:rStyle w:val="AERtextitalic"/>
        </w:rPr>
        <w:t xml:space="preserve"> Regulatory proposal</w:t>
      </w:r>
      <w:r>
        <w:t xml:space="preserve">, 30 May 2014, attachment 4.1; AER, </w:t>
      </w:r>
      <w:r w:rsidRPr="00FC6364">
        <w:rPr>
          <w:rStyle w:val="AERtextitalic"/>
        </w:rPr>
        <w:t xml:space="preserve">Draft decision, </w:t>
      </w:r>
      <w:r>
        <w:rPr>
          <w:rStyle w:val="AERtextitalic"/>
        </w:rPr>
        <w:t>Essential Energy</w:t>
      </w:r>
      <w:r w:rsidRPr="00FC6364">
        <w:rPr>
          <w:rStyle w:val="AERtextitalic"/>
        </w:rPr>
        <w:t xml:space="preserve"> distribution determination 2015-16 to 2018-19</w:t>
      </w:r>
      <w:r>
        <w:t xml:space="preserve">, 27 November 2014, PTRM and Attachment 8: Corporate income tax. </w:t>
      </w:r>
    </w:p>
  </w:footnote>
  <w:footnote w:id="13">
    <w:p w:rsidR="00EF6615" w:rsidRDefault="00EF6615">
      <w:pPr>
        <w:pStyle w:val="FootnoteText"/>
      </w:pPr>
      <w:r>
        <w:rPr>
          <w:rStyle w:val="FootnoteReference"/>
        </w:rPr>
        <w:footnoteRef/>
      </w:r>
      <w:r>
        <w:t xml:space="preserve"> </w:t>
      </w:r>
      <w:r>
        <w:tab/>
      </w:r>
      <w:proofErr w:type="gramStart"/>
      <w:r w:rsidRPr="00E35236">
        <w:t>Networks NSW</w:t>
      </w:r>
      <w:r>
        <w:t>,</w:t>
      </w:r>
      <w:r w:rsidRPr="00E35236">
        <w:t xml:space="preserve"> </w:t>
      </w:r>
      <w:r w:rsidRPr="00FD5E98">
        <w:rPr>
          <w:rStyle w:val="AERtextitalic"/>
        </w:rPr>
        <w:t>Submission on proposed amendments to post-tax revenue model</w:t>
      </w:r>
      <w:r>
        <w:t>,</w:t>
      </w:r>
      <w:r w:rsidRPr="00E35236">
        <w:t xml:space="preserve"> 17 Nov</w:t>
      </w:r>
      <w:r>
        <w:t>ember</w:t>
      </w:r>
      <w:r w:rsidRPr="00E35236">
        <w:t xml:space="preserve"> 2014</w:t>
      </w:r>
      <w:r>
        <w:t>, Attachment 1.</w:t>
      </w:r>
      <w:proofErr w:type="gramEnd"/>
      <w:r>
        <w:t xml:space="preserve"> </w:t>
      </w:r>
    </w:p>
  </w:footnote>
  <w:footnote w:id="14">
    <w:p w:rsidR="00EF6615" w:rsidRDefault="00EF6615" w:rsidP="00B23928">
      <w:pPr>
        <w:pStyle w:val="FootnoteText"/>
      </w:pPr>
      <w:r>
        <w:rPr>
          <w:rStyle w:val="FootnoteReference"/>
        </w:rPr>
        <w:footnoteRef/>
      </w:r>
      <w:r>
        <w:t xml:space="preserve"> </w:t>
      </w:r>
      <w:r>
        <w:tab/>
        <w:t xml:space="preserve">Endeavour Energy did not alter the tax </w:t>
      </w:r>
      <w:r w:rsidRPr="00B23928">
        <w:t xml:space="preserve">treatment of incentive scheme revenues </w:t>
      </w:r>
      <w:r>
        <w:t xml:space="preserve">while Ausgrid removed EBSS and DMIA carryover amounts from tax expenses, but not DMIA forecast payments. See: </w:t>
      </w:r>
      <w:r w:rsidRPr="00B23928">
        <w:t xml:space="preserve">Endeavour Energy, </w:t>
      </w:r>
      <w:r w:rsidRPr="00B23928">
        <w:rPr>
          <w:rStyle w:val="AERtextitalic"/>
        </w:rPr>
        <w:t>Revised regulatory proposal</w:t>
      </w:r>
      <w:r w:rsidRPr="00B23928">
        <w:t>, January 2015, Attachment 4.01a</w:t>
      </w:r>
      <w:r>
        <w:t xml:space="preserve">; and </w:t>
      </w:r>
      <w:r w:rsidRPr="00B23928">
        <w:t xml:space="preserve">Ausgrid, </w:t>
      </w:r>
      <w:r w:rsidRPr="00B23928">
        <w:rPr>
          <w:rStyle w:val="AERtextitalic"/>
        </w:rPr>
        <w:t xml:space="preserve">Revised regulatory </w:t>
      </w:r>
      <w:proofErr w:type="gramStart"/>
      <w:r w:rsidRPr="00B23928">
        <w:rPr>
          <w:rStyle w:val="AERtextitalic"/>
        </w:rPr>
        <w:t>proposal ,</w:t>
      </w:r>
      <w:proofErr w:type="gramEnd"/>
      <w:r w:rsidRPr="00B23928">
        <w:t> January 2015, Attachments 4.08 and 4.09 (PTRMs for distribution and transmission)</w:t>
      </w:r>
      <w:r>
        <w:t>.</w:t>
      </w:r>
    </w:p>
  </w:footnote>
  <w:footnote w:id="15">
    <w:p w:rsidR="00EF6615" w:rsidRDefault="00EF6615">
      <w:pPr>
        <w:pStyle w:val="FootnoteText"/>
      </w:pPr>
      <w:r>
        <w:rPr>
          <w:rStyle w:val="FootnoteReference"/>
        </w:rPr>
        <w:footnoteRef/>
      </w:r>
      <w:r>
        <w:t xml:space="preserve"> </w:t>
      </w:r>
      <w:r>
        <w:tab/>
        <w:t xml:space="preserve">Ausgrid also proposed to alter the tax treatment of incentive carryovers. This is discussed further in AER, </w:t>
      </w:r>
      <w:r w:rsidRPr="004C2BE6">
        <w:rPr>
          <w:rStyle w:val="AERtextitalic"/>
        </w:rPr>
        <w:t>Final decision, Ausgrid distribution determination attachment 8 – Corporate income tax</w:t>
      </w:r>
      <w:r>
        <w:t>,</w:t>
      </w:r>
      <w:r w:rsidRPr="004C2BE6">
        <w:t xml:space="preserve"> </w:t>
      </w:r>
      <w:r>
        <w:t>April</w:t>
      </w:r>
      <w:r w:rsidRPr="004C2BE6">
        <w:t xml:space="preserve"> 201</w:t>
      </w:r>
      <w:r>
        <w:t>5, section 8.4.5.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5F4FFC"/>
    <w:multiLevelType w:val="multilevel"/>
    <w:tmpl w:val="950A1C52"/>
    <w:numStyleLink w:val="AERHeadings"/>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1A80E45"/>
    <w:multiLevelType w:val="multilevel"/>
    <w:tmpl w:val="950A1C52"/>
    <w:numStyleLink w:val="AERHeadings"/>
  </w:abstractNum>
  <w:abstractNum w:abstractNumId="26">
    <w:nsid w:val="487C7731"/>
    <w:multiLevelType w:val="multilevel"/>
    <w:tmpl w:val="950A1C52"/>
    <w:numStyleLink w:val="AERHeadings"/>
  </w:abstractNum>
  <w:abstractNum w:abstractNumId="27">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nsid w:val="5ECE4384"/>
    <w:multiLevelType w:val="multilevel"/>
    <w:tmpl w:val="81BA5ABA"/>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4">
    <w:nsid w:val="6DE36827"/>
    <w:multiLevelType w:val="multilevel"/>
    <w:tmpl w:val="950A1C52"/>
    <w:numStyleLink w:val="AERHeadings"/>
  </w:abstractNum>
  <w:abstractNum w:abstractNumId="3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22"/>
  </w:num>
  <w:num w:numId="14">
    <w:abstractNumId w:val="10"/>
  </w:num>
  <w:num w:numId="15">
    <w:abstractNumId w:val="13"/>
  </w:num>
  <w:num w:numId="16">
    <w:abstractNumId w:val="27"/>
  </w:num>
  <w:num w:numId="17">
    <w:abstractNumId w:val="9"/>
  </w:num>
  <w:num w:numId="18">
    <w:abstractNumId w:val="18"/>
  </w:num>
  <w:num w:numId="19">
    <w:abstractNumId w:val="28"/>
  </w:num>
  <w:num w:numId="20">
    <w:abstractNumId w:val="35"/>
  </w:num>
  <w:num w:numId="21">
    <w:abstractNumId w:val="14"/>
  </w:num>
  <w:num w:numId="22">
    <w:abstractNumId w:val="31"/>
  </w:num>
  <w:num w:numId="23">
    <w:abstractNumId w:val="29"/>
  </w:num>
  <w:num w:numId="24">
    <w:abstractNumId w:val="20"/>
  </w:num>
  <w:num w:numId="25">
    <w:abstractNumId w:val="30"/>
  </w:num>
  <w:num w:numId="26">
    <w:abstractNumId w:val="32"/>
  </w:num>
  <w:num w:numId="27">
    <w:abstractNumId w:val="21"/>
  </w:num>
  <w:num w:numId="28">
    <w:abstractNumId w:val="19"/>
  </w:num>
  <w:num w:numId="29">
    <w:abstractNumId w:val="17"/>
  </w:num>
  <w:num w:numId="30">
    <w:abstractNumId w:val="36"/>
  </w:num>
  <w:num w:numId="31">
    <w:abstractNumId w:val="15"/>
  </w:num>
  <w:num w:numId="32">
    <w:abstractNumId w:val="24"/>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4"/>
  </w:num>
  <w:num w:numId="37">
    <w:abstractNumId w:val="26"/>
  </w:num>
  <w:num w:numId="38">
    <w:abstractNumId w:val="23"/>
  </w:num>
  <w:num w:numId="39">
    <w:abstractNumId w:val="12"/>
  </w:num>
  <w:num w:numId="40">
    <w:abstractNumId w:val="32"/>
  </w:num>
  <w:num w:numId="41">
    <w:abstractNumId w:val="32"/>
  </w:num>
  <w:num w:numId="42">
    <w:abstractNumId w:val="25"/>
  </w:num>
  <w:num w:numId="43">
    <w:abstractNumId w:val="16"/>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pLNHESUXyQA5eUTt0IaD5KSkN0Rw+7/A8B0OWmtVRk=" w:saltValue="E44Pvp+sgNbyFcf07Va4zA==" w:algorithmName="SHA-256"/>
  <w:defaultTabStop w:val="34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5132\AER15 372  AER - Final Decision Essential Energy distribution determination - Attachment 8 - Corporate income tax - April 2015.DOCX"/>
  </w:docVars>
  <w:rsids>
    <w:rsidRoot w:val="00961A4A"/>
    <w:rsid w:val="00011F13"/>
    <w:rsid w:val="00016CB6"/>
    <w:rsid w:val="0001781B"/>
    <w:rsid w:val="00021202"/>
    <w:rsid w:val="00021C2B"/>
    <w:rsid w:val="00022CE5"/>
    <w:rsid w:val="0002517F"/>
    <w:rsid w:val="0003578C"/>
    <w:rsid w:val="0005128E"/>
    <w:rsid w:val="00055E89"/>
    <w:rsid w:val="00063247"/>
    <w:rsid w:val="00070F9F"/>
    <w:rsid w:val="0007137B"/>
    <w:rsid w:val="00085663"/>
    <w:rsid w:val="00085EBF"/>
    <w:rsid w:val="000878DB"/>
    <w:rsid w:val="000901EB"/>
    <w:rsid w:val="00091B15"/>
    <w:rsid w:val="000A3020"/>
    <w:rsid w:val="000A6C7B"/>
    <w:rsid w:val="000C2B40"/>
    <w:rsid w:val="000D122C"/>
    <w:rsid w:val="000E1819"/>
    <w:rsid w:val="000E20EC"/>
    <w:rsid w:val="000E26B9"/>
    <w:rsid w:val="000E4821"/>
    <w:rsid w:val="000E6C72"/>
    <w:rsid w:val="000E7BD4"/>
    <w:rsid w:val="00116EB2"/>
    <w:rsid w:val="00124609"/>
    <w:rsid w:val="00126A4C"/>
    <w:rsid w:val="0014573B"/>
    <w:rsid w:val="001573E4"/>
    <w:rsid w:val="00160756"/>
    <w:rsid w:val="0017230A"/>
    <w:rsid w:val="0017232E"/>
    <w:rsid w:val="00174102"/>
    <w:rsid w:val="001754EE"/>
    <w:rsid w:val="00180157"/>
    <w:rsid w:val="00181687"/>
    <w:rsid w:val="00185CB9"/>
    <w:rsid w:val="00186F77"/>
    <w:rsid w:val="001926A4"/>
    <w:rsid w:val="00192AD5"/>
    <w:rsid w:val="001B45A0"/>
    <w:rsid w:val="001D055E"/>
    <w:rsid w:val="001F05A4"/>
    <w:rsid w:val="001F492E"/>
    <w:rsid w:val="001F6DA3"/>
    <w:rsid w:val="002010BC"/>
    <w:rsid w:val="002016E7"/>
    <w:rsid w:val="00202E03"/>
    <w:rsid w:val="0020492C"/>
    <w:rsid w:val="00220EF7"/>
    <w:rsid w:val="00224DB9"/>
    <w:rsid w:val="00233775"/>
    <w:rsid w:val="002344AF"/>
    <w:rsid w:val="00251745"/>
    <w:rsid w:val="00263AC0"/>
    <w:rsid w:val="00264264"/>
    <w:rsid w:val="0026772D"/>
    <w:rsid w:val="00286874"/>
    <w:rsid w:val="00286B49"/>
    <w:rsid w:val="00290C63"/>
    <w:rsid w:val="00296B65"/>
    <w:rsid w:val="002A7DEF"/>
    <w:rsid w:val="002C233C"/>
    <w:rsid w:val="002D72E8"/>
    <w:rsid w:val="002E7B22"/>
    <w:rsid w:val="002F7986"/>
    <w:rsid w:val="00301B40"/>
    <w:rsid w:val="003029EE"/>
    <w:rsid w:val="00304A74"/>
    <w:rsid w:val="00305CC8"/>
    <w:rsid w:val="00307F6D"/>
    <w:rsid w:val="003177A2"/>
    <w:rsid w:val="003257C4"/>
    <w:rsid w:val="003271B5"/>
    <w:rsid w:val="00327A1E"/>
    <w:rsid w:val="00331264"/>
    <w:rsid w:val="00334C8D"/>
    <w:rsid w:val="00343A18"/>
    <w:rsid w:val="003518B3"/>
    <w:rsid w:val="00353A76"/>
    <w:rsid w:val="003846F1"/>
    <w:rsid w:val="003B1D8C"/>
    <w:rsid w:val="003B484F"/>
    <w:rsid w:val="003B7FBA"/>
    <w:rsid w:val="003C29EF"/>
    <w:rsid w:val="003E4933"/>
    <w:rsid w:val="003F174D"/>
    <w:rsid w:val="00415F31"/>
    <w:rsid w:val="00423A77"/>
    <w:rsid w:val="004347B5"/>
    <w:rsid w:val="00457626"/>
    <w:rsid w:val="0045777E"/>
    <w:rsid w:val="0047137B"/>
    <w:rsid w:val="00480B4B"/>
    <w:rsid w:val="00485DC4"/>
    <w:rsid w:val="004A43D1"/>
    <w:rsid w:val="004B4412"/>
    <w:rsid w:val="004C2BE6"/>
    <w:rsid w:val="004C348C"/>
    <w:rsid w:val="004D189C"/>
    <w:rsid w:val="004D55BA"/>
    <w:rsid w:val="004E22EC"/>
    <w:rsid w:val="004E7467"/>
    <w:rsid w:val="004F1897"/>
    <w:rsid w:val="004F6A0E"/>
    <w:rsid w:val="00530128"/>
    <w:rsid w:val="00532467"/>
    <w:rsid w:val="00564A4D"/>
    <w:rsid w:val="00567BA5"/>
    <w:rsid w:val="00571B35"/>
    <w:rsid w:val="00571D57"/>
    <w:rsid w:val="00577A09"/>
    <w:rsid w:val="005829C2"/>
    <w:rsid w:val="00584D8F"/>
    <w:rsid w:val="00590AD3"/>
    <w:rsid w:val="005A404D"/>
    <w:rsid w:val="005B00A2"/>
    <w:rsid w:val="005B1E3C"/>
    <w:rsid w:val="005B704A"/>
    <w:rsid w:val="005C21A4"/>
    <w:rsid w:val="005C26CC"/>
    <w:rsid w:val="005D7BA2"/>
    <w:rsid w:val="005E36C2"/>
    <w:rsid w:val="006056FB"/>
    <w:rsid w:val="00610EF9"/>
    <w:rsid w:val="00612F4F"/>
    <w:rsid w:val="00615C6B"/>
    <w:rsid w:val="00621DCE"/>
    <w:rsid w:val="00632D6D"/>
    <w:rsid w:val="00635DDA"/>
    <w:rsid w:val="00641A2F"/>
    <w:rsid w:val="00642C3E"/>
    <w:rsid w:val="0066104A"/>
    <w:rsid w:val="00663DAD"/>
    <w:rsid w:val="00666869"/>
    <w:rsid w:val="0067123C"/>
    <w:rsid w:val="00675E20"/>
    <w:rsid w:val="00676679"/>
    <w:rsid w:val="0068325F"/>
    <w:rsid w:val="00683C89"/>
    <w:rsid w:val="0069085A"/>
    <w:rsid w:val="006B2395"/>
    <w:rsid w:val="006B4CF9"/>
    <w:rsid w:val="006B7AC8"/>
    <w:rsid w:val="006C1736"/>
    <w:rsid w:val="006D550F"/>
    <w:rsid w:val="006E043E"/>
    <w:rsid w:val="0070011E"/>
    <w:rsid w:val="00701CAB"/>
    <w:rsid w:val="00707563"/>
    <w:rsid w:val="0072348C"/>
    <w:rsid w:val="00724A37"/>
    <w:rsid w:val="007303C3"/>
    <w:rsid w:val="007429BE"/>
    <w:rsid w:val="00743223"/>
    <w:rsid w:val="00743A6F"/>
    <w:rsid w:val="00746E01"/>
    <w:rsid w:val="00757143"/>
    <w:rsid w:val="00757364"/>
    <w:rsid w:val="00757BDF"/>
    <w:rsid w:val="007609D0"/>
    <w:rsid w:val="00763E5D"/>
    <w:rsid w:val="00767740"/>
    <w:rsid w:val="0077313E"/>
    <w:rsid w:val="00777EE6"/>
    <w:rsid w:val="007802D7"/>
    <w:rsid w:val="00782EEA"/>
    <w:rsid w:val="007B186E"/>
    <w:rsid w:val="007B2C72"/>
    <w:rsid w:val="007C1C53"/>
    <w:rsid w:val="007C74BB"/>
    <w:rsid w:val="007D456E"/>
    <w:rsid w:val="007E4904"/>
    <w:rsid w:val="007E4CB5"/>
    <w:rsid w:val="007F066B"/>
    <w:rsid w:val="008033C4"/>
    <w:rsid w:val="00806C88"/>
    <w:rsid w:val="0081034E"/>
    <w:rsid w:val="008344F6"/>
    <w:rsid w:val="0083510F"/>
    <w:rsid w:val="00851209"/>
    <w:rsid w:val="00852825"/>
    <w:rsid w:val="00871F02"/>
    <w:rsid w:val="008837AC"/>
    <w:rsid w:val="008A587D"/>
    <w:rsid w:val="008B35CD"/>
    <w:rsid w:val="008B5FCC"/>
    <w:rsid w:val="008C5486"/>
    <w:rsid w:val="008D0525"/>
    <w:rsid w:val="008D1661"/>
    <w:rsid w:val="008D6800"/>
    <w:rsid w:val="008E7031"/>
    <w:rsid w:val="008E77DE"/>
    <w:rsid w:val="008F07A3"/>
    <w:rsid w:val="009001B6"/>
    <w:rsid w:val="00900E1B"/>
    <w:rsid w:val="0090206C"/>
    <w:rsid w:val="00906B7F"/>
    <w:rsid w:val="009233EE"/>
    <w:rsid w:val="009460AA"/>
    <w:rsid w:val="00951978"/>
    <w:rsid w:val="00953847"/>
    <w:rsid w:val="00961A4A"/>
    <w:rsid w:val="009661DE"/>
    <w:rsid w:val="009752B2"/>
    <w:rsid w:val="00975D45"/>
    <w:rsid w:val="00983C25"/>
    <w:rsid w:val="009856B7"/>
    <w:rsid w:val="00985C86"/>
    <w:rsid w:val="009A5FC3"/>
    <w:rsid w:val="009B49B4"/>
    <w:rsid w:val="009B6F84"/>
    <w:rsid w:val="009B74B0"/>
    <w:rsid w:val="009C3E79"/>
    <w:rsid w:val="009D3906"/>
    <w:rsid w:val="009D6B46"/>
    <w:rsid w:val="009F4940"/>
    <w:rsid w:val="009F5BA1"/>
    <w:rsid w:val="00A02A88"/>
    <w:rsid w:val="00A0562E"/>
    <w:rsid w:val="00A0726D"/>
    <w:rsid w:val="00A07525"/>
    <w:rsid w:val="00A323DF"/>
    <w:rsid w:val="00A32FBB"/>
    <w:rsid w:val="00A361EF"/>
    <w:rsid w:val="00A428EE"/>
    <w:rsid w:val="00A4478A"/>
    <w:rsid w:val="00A44852"/>
    <w:rsid w:val="00A50502"/>
    <w:rsid w:val="00A57D04"/>
    <w:rsid w:val="00A60A26"/>
    <w:rsid w:val="00A61598"/>
    <w:rsid w:val="00A818A8"/>
    <w:rsid w:val="00A84A99"/>
    <w:rsid w:val="00A84F46"/>
    <w:rsid w:val="00A871F4"/>
    <w:rsid w:val="00AA6CBB"/>
    <w:rsid w:val="00AC1B2C"/>
    <w:rsid w:val="00AC3264"/>
    <w:rsid w:val="00AD78AF"/>
    <w:rsid w:val="00AE1BF1"/>
    <w:rsid w:val="00AF0DD2"/>
    <w:rsid w:val="00B13048"/>
    <w:rsid w:val="00B1379F"/>
    <w:rsid w:val="00B1716D"/>
    <w:rsid w:val="00B17A1D"/>
    <w:rsid w:val="00B207A0"/>
    <w:rsid w:val="00B22971"/>
    <w:rsid w:val="00B23928"/>
    <w:rsid w:val="00B514DD"/>
    <w:rsid w:val="00B52AF0"/>
    <w:rsid w:val="00B561BD"/>
    <w:rsid w:val="00B56E03"/>
    <w:rsid w:val="00B8080B"/>
    <w:rsid w:val="00B82223"/>
    <w:rsid w:val="00B85D5F"/>
    <w:rsid w:val="00B87BA5"/>
    <w:rsid w:val="00B87C39"/>
    <w:rsid w:val="00B9562D"/>
    <w:rsid w:val="00BA4665"/>
    <w:rsid w:val="00BB2FB2"/>
    <w:rsid w:val="00BB3304"/>
    <w:rsid w:val="00BD3446"/>
    <w:rsid w:val="00BE1813"/>
    <w:rsid w:val="00BE1F1B"/>
    <w:rsid w:val="00BE47B5"/>
    <w:rsid w:val="00C022EE"/>
    <w:rsid w:val="00C07D73"/>
    <w:rsid w:val="00C25FA6"/>
    <w:rsid w:val="00C30DC1"/>
    <w:rsid w:val="00C4466F"/>
    <w:rsid w:val="00C538A9"/>
    <w:rsid w:val="00C53B5A"/>
    <w:rsid w:val="00C54C6D"/>
    <w:rsid w:val="00C54F5A"/>
    <w:rsid w:val="00C569B4"/>
    <w:rsid w:val="00C67A92"/>
    <w:rsid w:val="00C84560"/>
    <w:rsid w:val="00C86679"/>
    <w:rsid w:val="00CA02AD"/>
    <w:rsid w:val="00CA489E"/>
    <w:rsid w:val="00CA683D"/>
    <w:rsid w:val="00CB0279"/>
    <w:rsid w:val="00CB666B"/>
    <w:rsid w:val="00CC7F1D"/>
    <w:rsid w:val="00CE484B"/>
    <w:rsid w:val="00CF0DEE"/>
    <w:rsid w:val="00CF7423"/>
    <w:rsid w:val="00D006AE"/>
    <w:rsid w:val="00D01CF0"/>
    <w:rsid w:val="00D0442A"/>
    <w:rsid w:val="00D61388"/>
    <w:rsid w:val="00D61A54"/>
    <w:rsid w:val="00D64DEA"/>
    <w:rsid w:val="00D7168E"/>
    <w:rsid w:val="00D71E57"/>
    <w:rsid w:val="00D80893"/>
    <w:rsid w:val="00D84854"/>
    <w:rsid w:val="00D92CF1"/>
    <w:rsid w:val="00D92D38"/>
    <w:rsid w:val="00D950F5"/>
    <w:rsid w:val="00DA4752"/>
    <w:rsid w:val="00DA61F3"/>
    <w:rsid w:val="00DB0F93"/>
    <w:rsid w:val="00DB1A67"/>
    <w:rsid w:val="00DB5074"/>
    <w:rsid w:val="00DC7981"/>
    <w:rsid w:val="00DD69A4"/>
    <w:rsid w:val="00DE1093"/>
    <w:rsid w:val="00DE4998"/>
    <w:rsid w:val="00DE4EFA"/>
    <w:rsid w:val="00DE5520"/>
    <w:rsid w:val="00DE563D"/>
    <w:rsid w:val="00E04818"/>
    <w:rsid w:val="00E06442"/>
    <w:rsid w:val="00E23993"/>
    <w:rsid w:val="00E25B8C"/>
    <w:rsid w:val="00E35236"/>
    <w:rsid w:val="00E65C85"/>
    <w:rsid w:val="00E66199"/>
    <w:rsid w:val="00E755EC"/>
    <w:rsid w:val="00E7624D"/>
    <w:rsid w:val="00E82B8B"/>
    <w:rsid w:val="00EA3D42"/>
    <w:rsid w:val="00EA6B1B"/>
    <w:rsid w:val="00EC04F1"/>
    <w:rsid w:val="00ED7323"/>
    <w:rsid w:val="00ED77D8"/>
    <w:rsid w:val="00EE28F3"/>
    <w:rsid w:val="00EE50D1"/>
    <w:rsid w:val="00EF5110"/>
    <w:rsid w:val="00EF6615"/>
    <w:rsid w:val="00F07312"/>
    <w:rsid w:val="00F10411"/>
    <w:rsid w:val="00F15882"/>
    <w:rsid w:val="00F171E0"/>
    <w:rsid w:val="00F20BD3"/>
    <w:rsid w:val="00F373A5"/>
    <w:rsid w:val="00F40C52"/>
    <w:rsid w:val="00F47559"/>
    <w:rsid w:val="00F64C7B"/>
    <w:rsid w:val="00F676DD"/>
    <w:rsid w:val="00F75A26"/>
    <w:rsid w:val="00F76706"/>
    <w:rsid w:val="00F83FAD"/>
    <w:rsid w:val="00F952A0"/>
    <w:rsid w:val="00FA37D5"/>
    <w:rsid w:val="00FA3C7F"/>
    <w:rsid w:val="00FB1463"/>
    <w:rsid w:val="00FB60FE"/>
    <w:rsid w:val="00FB74E2"/>
    <w:rsid w:val="00FD5614"/>
    <w:rsid w:val="00FD5E78"/>
    <w:rsid w:val="00FD5E9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2689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law.ato.gov.au/atolaw/view.htm?docid=%22TXR%2FTR20144%2FNAT%2FATO%2F00001%22"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82F3387B.dotm</Template>
  <TotalTime>0</TotalTime>
  <Pages>13</Pages>
  <Words>2825</Words>
  <Characters>16104</Characters>
  <Application>Microsoft Office Word</Application>
  <DocSecurity>0</DocSecurity>
  <Lines>134</Lines>
  <Paragraphs>37</Paragraphs>
  <ScaleCrop>false</ScaleCrop>
  <Company/>
  <LinksUpToDate>false</LinksUpToDate>
  <CharactersWithSpaces>18892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2015-04-27T07:33:00Z</dcterms:created>
  <dcterms:modified xsi:type="dcterms:W3CDTF">2015-04-27T07:33:00Z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