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6889177" wp14:editId="60414F8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FB5826" w:rsidP="008F07A3">
          <w:pPr>
            <w:pStyle w:val="ReportSubtitle"/>
          </w:pPr>
          <w:r>
            <w:t>Jemena Gas Networks (NSW) Ltd</w:t>
          </w:r>
        </w:p>
        <w:p w:rsidR="00FB5826" w:rsidRDefault="00FB5826" w:rsidP="008F07A3">
          <w:pPr>
            <w:pStyle w:val="ReportSubtitle"/>
          </w:pPr>
          <w:r>
            <w:t>Access Arrangement 2015-20</w:t>
          </w:r>
        </w:p>
        <w:p w:rsidR="000A6C7B" w:rsidRDefault="000A6C7B" w:rsidP="008F07A3">
          <w:pPr>
            <w:pStyle w:val="ReportSubtitle"/>
          </w:pPr>
        </w:p>
        <w:p w:rsidR="008F07A3" w:rsidRPr="000A6C7B" w:rsidRDefault="008F07A3" w:rsidP="008F07A3">
          <w:pPr>
            <w:pStyle w:val="ReportSubtitle"/>
          </w:pPr>
        </w:p>
        <w:p w:rsidR="000A6C7B" w:rsidRPr="000A6C7B" w:rsidRDefault="00DA4752" w:rsidP="008F07A3">
          <w:pPr>
            <w:pStyle w:val="ReportSubtitle"/>
          </w:pPr>
          <w:r>
            <w:t xml:space="preserve">Attachment 1 </w:t>
          </w:r>
          <w:r>
            <w:rPr>
              <w:rFonts w:cs="Arial"/>
            </w:rPr>
            <w:t>−</w:t>
          </w:r>
          <w:r>
            <w:t xml:space="preserve"> </w:t>
          </w:r>
          <w:r w:rsidR="00FB5826">
            <w:t>Services covered by the access arrangement</w:t>
          </w:r>
        </w:p>
        <w:p w:rsidR="000A6C7B" w:rsidRPr="00327A1E" w:rsidRDefault="00CF1015" w:rsidP="00327A1E">
          <w:pPr>
            <w:pStyle w:val="ReportDate"/>
          </w:pPr>
          <w:r>
            <w:t xml:space="preserve">June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w:t>
      </w:r>
      <w:r w:rsidR="00FB5826">
        <w:t>1741</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9966269"/>
      <w:r>
        <w:lastRenderedPageBreak/>
        <w:t>N</w:t>
      </w:r>
      <w:r w:rsidR="008F07A3">
        <w:t>ote</w:t>
      </w:r>
      <w:bookmarkEnd w:id="1"/>
      <w:bookmarkEnd w:id="2"/>
      <w:bookmarkEnd w:id="3"/>
      <w:bookmarkEnd w:id="4"/>
      <w:bookmarkEnd w:id="5"/>
    </w:p>
    <w:p w:rsidR="008F07A3" w:rsidRDefault="008F07A3" w:rsidP="008F07A3"/>
    <w:p w:rsidR="00FB5826" w:rsidRPr="00FB5826" w:rsidRDefault="00FB5826" w:rsidP="00FB5826">
      <w:r w:rsidRPr="00FB5826">
        <w:t xml:space="preserve">This </w:t>
      </w:r>
      <w:r w:rsidR="00CE6A32">
        <w:t>attachment</w:t>
      </w:r>
      <w:r w:rsidRPr="00FB5826">
        <w:t xml:space="preserve"> forms part of the AER's </w:t>
      </w:r>
      <w:r>
        <w:t>final</w:t>
      </w:r>
      <w:r w:rsidRPr="00FB5826">
        <w:t xml:space="preserve"> decision on Jemena Gas Networks' 2015–20 access arrangement. It should be read with other parts of the </w:t>
      </w:r>
      <w:r>
        <w:t>final</w:t>
      </w:r>
      <w:r w:rsidRPr="00FB5826">
        <w:t xml:space="preserve"> decision.</w:t>
      </w:r>
    </w:p>
    <w:p w:rsidR="00FB5826" w:rsidRPr="00FB5826" w:rsidRDefault="00FB5826" w:rsidP="00FB5826">
      <w:r w:rsidRPr="00FB5826">
        <w:t xml:space="preserve">The </w:t>
      </w:r>
      <w:r>
        <w:t>final</w:t>
      </w:r>
      <w:r w:rsidRPr="00FB5826">
        <w:t xml:space="preserve"> decision includes the following documents:</w:t>
      </w:r>
    </w:p>
    <w:p w:rsidR="00FB5826" w:rsidRPr="00FB5826" w:rsidRDefault="00FB5826" w:rsidP="00FB5826">
      <w:r w:rsidRPr="00FB5826">
        <w:t>Overview</w:t>
      </w:r>
    </w:p>
    <w:p w:rsidR="00FB5826" w:rsidRPr="00FB5826" w:rsidRDefault="00FB5826" w:rsidP="00FB5826">
      <w:r w:rsidRPr="00FB5826">
        <w:t>Attachment 1 – services covered by the access arrangement</w:t>
      </w:r>
    </w:p>
    <w:p w:rsidR="00FB5826" w:rsidRPr="00FB5826" w:rsidRDefault="00FB5826" w:rsidP="00FB5826">
      <w:r w:rsidRPr="00FB5826">
        <w:t>Attachment 2 – capital base</w:t>
      </w:r>
    </w:p>
    <w:p w:rsidR="00FB5826" w:rsidRPr="00FB5826" w:rsidRDefault="00FB5826" w:rsidP="00FB5826">
      <w:r w:rsidRPr="00FB5826">
        <w:t>Attachment 3 – rate of return</w:t>
      </w:r>
    </w:p>
    <w:p w:rsidR="00FB5826" w:rsidRPr="00FB5826" w:rsidRDefault="00FB5826" w:rsidP="00FB5826">
      <w:r w:rsidRPr="00FB5826">
        <w:t>Attachment 4 – value of imputation credits</w:t>
      </w:r>
    </w:p>
    <w:p w:rsidR="00FB5826" w:rsidRPr="00FB5826" w:rsidRDefault="00FB5826" w:rsidP="00FB5826">
      <w:r w:rsidRPr="00FB5826">
        <w:t>Attachment 5 – regulatory depreciation</w:t>
      </w:r>
    </w:p>
    <w:p w:rsidR="00FB5826" w:rsidRPr="00FB5826" w:rsidRDefault="00FB5826" w:rsidP="00FB5826">
      <w:r w:rsidRPr="00FB5826">
        <w:t xml:space="preserve">Attachment 6 – capital expenditure </w:t>
      </w:r>
    </w:p>
    <w:p w:rsidR="00FB5826" w:rsidRPr="00FB5826" w:rsidRDefault="00FB5826" w:rsidP="00FB5826">
      <w:r w:rsidRPr="00FB5826">
        <w:t>Attachment 7 – operating expenditure</w:t>
      </w:r>
    </w:p>
    <w:p w:rsidR="00FB5826" w:rsidRPr="00FB5826" w:rsidRDefault="00FB5826" w:rsidP="00FB5826">
      <w:r w:rsidRPr="00FB5826">
        <w:t>Attachment 8 – corporate income tax</w:t>
      </w:r>
    </w:p>
    <w:p w:rsidR="00FB5826" w:rsidRPr="00FB5826" w:rsidRDefault="00FB5826" w:rsidP="00FB5826">
      <w:r w:rsidRPr="00FB5826">
        <w:t>Attachment 9 – efficiency carryover mechanism</w:t>
      </w:r>
    </w:p>
    <w:p w:rsidR="00FB5826" w:rsidRPr="00FB5826" w:rsidRDefault="00FB5826" w:rsidP="00FB5826">
      <w:r w:rsidRPr="00FB5826">
        <w:t>Attachment 10 – reference tariff setting</w:t>
      </w:r>
    </w:p>
    <w:p w:rsidR="00FB5826" w:rsidRPr="00FB5826" w:rsidRDefault="00FB5826" w:rsidP="00FB5826">
      <w:r w:rsidRPr="00FB5826">
        <w:t>Attachment 11 – reference tariff variation mechanism</w:t>
      </w:r>
    </w:p>
    <w:p w:rsidR="00FB5826" w:rsidRPr="00FB5826" w:rsidRDefault="00FB5826" w:rsidP="00FB5826">
      <w:r w:rsidRPr="00FB5826">
        <w:t>Attachment 12 – non-tariff components</w:t>
      </w:r>
    </w:p>
    <w:p w:rsidR="00FB5826" w:rsidRPr="00FB5826" w:rsidRDefault="00FB5826" w:rsidP="00FB5826">
      <w:r w:rsidRPr="00FB5826">
        <w:t xml:space="preserve">Attachment 13 – demand </w:t>
      </w:r>
    </w:p>
    <w:p w:rsidR="00AF1F9E" w:rsidRPr="009134B1" w:rsidRDefault="00AF1F9E" w:rsidP="00AF1F9E">
      <w:pPr>
        <w:numPr>
          <w:ilvl w:val="0"/>
          <w:numId w:val="25"/>
        </w:numPr>
        <w:spacing w:before="0" w:after="240" w:line="288" w:lineRule="auto"/>
        <w:jc w:val="both"/>
      </w:pPr>
    </w:p>
    <w:p w:rsidR="00AF1F9E" w:rsidRPr="008F07A3" w:rsidRDefault="00AF1F9E" w:rsidP="008F07A3">
      <w:pPr>
        <w:sectPr w:rsidR="00AF1F9E" w:rsidRPr="008F07A3" w:rsidSect="00392E78">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996627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77065"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9966269" w:history="1">
            <w:r w:rsidR="00877065" w:rsidRPr="009464B4">
              <w:rPr>
                <w:rStyle w:val="Hyperlink"/>
              </w:rPr>
              <w:t>Note</w:t>
            </w:r>
            <w:r w:rsidR="00877065">
              <w:rPr>
                <w:webHidden/>
              </w:rPr>
              <w:tab/>
            </w:r>
            <w:r w:rsidR="00877065">
              <w:rPr>
                <w:webHidden/>
              </w:rPr>
              <w:fldChar w:fldCharType="begin"/>
            </w:r>
            <w:r w:rsidR="00877065">
              <w:rPr>
                <w:webHidden/>
              </w:rPr>
              <w:instrText xml:space="preserve"> PAGEREF _Toc419966269 \h </w:instrText>
            </w:r>
            <w:r w:rsidR="00877065">
              <w:rPr>
                <w:webHidden/>
              </w:rPr>
            </w:r>
            <w:r w:rsidR="00877065">
              <w:rPr>
                <w:webHidden/>
              </w:rPr>
              <w:fldChar w:fldCharType="separate"/>
            </w:r>
            <w:r w:rsidR="00480C08">
              <w:rPr>
                <w:webHidden/>
              </w:rPr>
              <w:t>1-2</w:t>
            </w:r>
            <w:r w:rsidR="00877065">
              <w:rPr>
                <w:webHidden/>
              </w:rPr>
              <w:fldChar w:fldCharType="end"/>
            </w:r>
          </w:hyperlink>
        </w:p>
        <w:p w:rsidR="00877065" w:rsidRDefault="00480C08">
          <w:pPr>
            <w:pStyle w:val="TOC1"/>
            <w:rPr>
              <w:rFonts w:asciiTheme="minorHAnsi" w:eastAsiaTheme="minorEastAsia" w:hAnsiTheme="minorHAnsi"/>
              <w:b w:val="0"/>
              <w:color w:val="auto"/>
              <w:sz w:val="22"/>
              <w:lang w:val="en-AU" w:eastAsia="en-AU"/>
            </w:rPr>
          </w:pPr>
          <w:hyperlink w:anchor="_Toc419966270" w:history="1">
            <w:r w:rsidR="00877065" w:rsidRPr="009464B4">
              <w:rPr>
                <w:rStyle w:val="Hyperlink"/>
              </w:rPr>
              <w:t>Contents</w:t>
            </w:r>
            <w:r w:rsidR="00877065">
              <w:rPr>
                <w:webHidden/>
              </w:rPr>
              <w:tab/>
            </w:r>
            <w:r w:rsidR="00877065">
              <w:rPr>
                <w:webHidden/>
              </w:rPr>
              <w:fldChar w:fldCharType="begin"/>
            </w:r>
            <w:r w:rsidR="00877065">
              <w:rPr>
                <w:webHidden/>
              </w:rPr>
              <w:instrText xml:space="preserve"> PAGEREF _Toc419966270 \h </w:instrText>
            </w:r>
            <w:r w:rsidR="00877065">
              <w:rPr>
                <w:webHidden/>
              </w:rPr>
            </w:r>
            <w:r w:rsidR="00877065">
              <w:rPr>
                <w:webHidden/>
              </w:rPr>
              <w:fldChar w:fldCharType="separate"/>
            </w:r>
            <w:r>
              <w:rPr>
                <w:webHidden/>
              </w:rPr>
              <w:t>1-3</w:t>
            </w:r>
            <w:r w:rsidR="00877065">
              <w:rPr>
                <w:webHidden/>
              </w:rPr>
              <w:fldChar w:fldCharType="end"/>
            </w:r>
          </w:hyperlink>
        </w:p>
        <w:p w:rsidR="00877065" w:rsidRDefault="00480C08">
          <w:pPr>
            <w:pStyle w:val="TOC1"/>
            <w:rPr>
              <w:rFonts w:asciiTheme="minorHAnsi" w:eastAsiaTheme="minorEastAsia" w:hAnsiTheme="minorHAnsi"/>
              <w:b w:val="0"/>
              <w:color w:val="auto"/>
              <w:sz w:val="22"/>
              <w:lang w:val="en-AU" w:eastAsia="en-AU"/>
            </w:rPr>
          </w:pPr>
          <w:hyperlink w:anchor="_Toc419966271" w:history="1">
            <w:r w:rsidR="00877065" w:rsidRPr="009464B4">
              <w:rPr>
                <w:rStyle w:val="Hyperlink"/>
              </w:rPr>
              <w:t>Shortened forms</w:t>
            </w:r>
            <w:r w:rsidR="00877065">
              <w:rPr>
                <w:webHidden/>
              </w:rPr>
              <w:tab/>
            </w:r>
            <w:r w:rsidR="00877065">
              <w:rPr>
                <w:webHidden/>
              </w:rPr>
              <w:fldChar w:fldCharType="begin"/>
            </w:r>
            <w:r w:rsidR="00877065">
              <w:rPr>
                <w:webHidden/>
              </w:rPr>
              <w:instrText xml:space="preserve"> PAGEREF _Toc419966271 \h </w:instrText>
            </w:r>
            <w:r w:rsidR="00877065">
              <w:rPr>
                <w:webHidden/>
              </w:rPr>
            </w:r>
            <w:r w:rsidR="00877065">
              <w:rPr>
                <w:webHidden/>
              </w:rPr>
              <w:fldChar w:fldCharType="separate"/>
            </w:r>
            <w:r>
              <w:rPr>
                <w:webHidden/>
              </w:rPr>
              <w:t>1-4</w:t>
            </w:r>
            <w:r w:rsidR="00877065">
              <w:rPr>
                <w:webHidden/>
              </w:rPr>
              <w:fldChar w:fldCharType="end"/>
            </w:r>
          </w:hyperlink>
        </w:p>
        <w:p w:rsidR="00877065" w:rsidRDefault="00480C08">
          <w:pPr>
            <w:pStyle w:val="TOC1"/>
            <w:rPr>
              <w:rFonts w:asciiTheme="minorHAnsi" w:eastAsiaTheme="minorEastAsia" w:hAnsiTheme="minorHAnsi"/>
              <w:b w:val="0"/>
              <w:color w:val="auto"/>
              <w:sz w:val="22"/>
              <w:lang w:val="en-AU" w:eastAsia="en-AU"/>
            </w:rPr>
          </w:pPr>
          <w:hyperlink w:anchor="_Toc419966272" w:history="1">
            <w:r w:rsidR="00877065" w:rsidRPr="009464B4">
              <w:rPr>
                <w:rStyle w:val="Hyperlink"/>
              </w:rPr>
              <w:t>1</w:t>
            </w:r>
            <w:r w:rsidR="00877065">
              <w:rPr>
                <w:rFonts w:asciiTheme="minorHAnsi" w:eastAsiaTheme="minorEastAsia" w:hAnsiTheme="minorHAnsi"/>
                <w:b w:val="0"/>
                <w:color w:val="auto"/>
                <w:sz w:val="22"/>
                <w:lang w:val="en-AU" w:eastAsia="en-AU"/>
              </w:rPr>
              <w:tab/>
            </w:r>
            <w:r w:rsidR="00877065" w:rsidRPr="009464B4">
              <w:rPr>
                <w:rStyle w:val="Hyperlink"/>
              </w:rPr>
              <w:t>Services covered by the access arrangement</w:t>
            </w:r>
            <w:r w:rsidR="00877065">
              <w:rPr>
                <w:webHidden/>
              </w:rPr>
              <w:tab/>
            </w:r>
            <w:r w:rsidR="00877065">
              <w:rPr>
                <w:webHidden/>
              </w:rPr>
              <w:fldChar w:fldCharType="begin"/>
            </w:r>
            <w:r w:rsidR="00877065">
              <w:rPr>
                <w:webHidden/>
              </w:rPr>
              <w:instrText xml:space="preserve"> PAGEREF _Toc419966272 \h </w:instrText>
            </w:r>
            <w:r w:rsidR="00877065">
              <w:rPr>
                <w:webHidden/>
              </w:rPr>
            </w:r>
            <w:r w:rsidR="00877065">
              <w:rPr>
                <w:webHidden/>
              </w:rPr>
              <w:fldChar w:fldCharType="separate"/>
            </w:r>
            <w:r>
              <w:rPr>
                <w:webHidden/>
              </w:rPr>
              <w:t>1-5</w:t>
            </w:r>
            <w:r w:rsidR="00877065">
              <w:rPr>
                <w:webHidden/>
              </w:rPr>
              <w:fldChar w:fldCharType="end"/>
            </w:r>
          </w:hyperlink>
        </w:p>
        <w:p w:rsidR="00877065" w:rsidRDefault="00480C08">
          <w:pPr>
            <w:pStyle w:val="TOC2"/>
            <w:rPr>
              <w:rFonts w:asciiTheme="minorHAnsi" w:eastAsiaTheme="minorEastAsia" w:hAnsiTheme="minorHAnsi"/>
              <w:b w:val="0"/>
              <w:color w:val="auto"/>
              <w:sz w:val="22"/>
              <w:lang w:eastAsia="en-AU"/>
            </w:rPr>
          </w:pPr>
          <w:hyperlink w:anchor="_Toc419966273" w:history="1">
            <w:r w:rsidR="00877065" w:rsidRPr="009464B4">
              <w:rPr>
                <w:rStyle w:val="Hyperlink"/>
              </w:rPr>
              <w:t>1.1</w:t>
            </w:r>
            <w:r w:rsidR="00877065">
              <w:rPr>
                <w:rFonts w:asciiTheme="minorHAnsi" w:eastAsiaTheme="minorEastAsia" w:hAnsiTheme="minorHAnsi"/>
                <w:b w:val="0"/>
                <w:color w:val="auto"/>
                <w:sz w:val="22"/>
                <w:lang w:eastAsia="en-AU"/>
              </w:rPr>
              <w:tab/>
            </w:r>
            <w:r w:rsidR="00877065" w:rsidRPr="009464B4">
              <w:rPr>
                <w:rStyle w:val="Hyperlink"/>
              </w:rPr>
              <w:t>Final decision</w:t>
            </w:r>
            <w:r w:rsidR="00877065">
              <w:rPr>
                <w:webHidden/>
              </w:rPr>
              <w:tab/>
            </w:r>
            <w:r w:rsidR="00877065">
              <w:rPr>
                <w:webHidden/>
              </w:rPr>
              <w:fldChar w:fldCharType="begin"/>
            </w:r>
            <w:r w:rsidR="00877065">
              <w:rPr>
                <w:webHidden/>
              </w:rPr>
              <w:instrText xml:space="preserve"> PAGEREF _Toc419966273 \h </w:instrText>
            </w:r>
            <w:r w:rsidR="00877065">
              <w:rPr>
                <w:webHidden/>
              </w:rPr>
            </w:r>
            <w:r w:rsidR="00877065">
              <w:rPr>
                <w:webHidden/>
              </w:rPr>
              <w:fldChar w:fldCharType="separate"/>
            </w:r>
            <w:r>
              <w:rPr>
                <w:webHidden/>
              </w:rPr>
              <w:t>1-5</w:t>
            </w:r>
            <w:r w:rsidR="00877065">
              <w:rPr>
                <w:webHidden/>
              </w:rPr>
              <w:fldChar w:fldCharType="end"/>
            </w:r>
          </w:hyperlink>
        </w:p>
        <w:p w:rsidR="00877065" w:rsidRDefault="00480C08">
          <w:pPr>
            <w:pStyle w:val="TOC2"/>
            <w:rPr>
              <w:rFonts w:asciiTheme="minorHAnsi" w:eastAsiaTheme="minorEastAsia" w:hAnsiTheme="minorHAnsi"/>
              <w:b w:val="0"/>
              <w:color w:val="auto"/>
              <w:sz w:val="22"/>
              <w:lang w:eastAsia="en-AU"/>
            </w:rPr>
          </w:pPr>
          <w:hyperlink w:anchor="_Toc419966274" w:history="1">
            <w:r w:rsidR="00877065" w:rsidRPr="009464B4">
              <w:rPr>
                <w:rStyle w:val="Hyperlink"/>
              </w:rPr>
              <w:t>1.2</w:t>
            </w:r>
            <w:r w:rsidR="00877065">
              <w:rPr>
                <w:rFonts w:asciiTheme="minorHAnsi" w:eastAsiaTheme="minorEastAsia" w:hAnsiTheme="minorHAnsi"/>
                <w:b w:val="0"/>
                <w:color w:val="auto"/>
                <w:sz w:val="22"/>
                <w:lang w:eastAsia="en-AU"/>
              </w:rPr>
              <w:tab/>
            </w:r>
            <w:r w:rsidR="00877065" w:rsidRPr="009464B4">
              <w:rPr>
                <w:rStyle w:val="Hyperlink"/>
              </w:rPr>
              <w:t>JGN's revised proposal</w:t>
            </w:r>
            <w:r w:rsidR="00877065">
              <w:rPr>
                <w:webHidden/>
              </w:rPr>
              <w:tab/>
            </w:r>
            <w:r w:rsidR="00877065">
              <w:rPr>
                <w:webHidden/>
              </w:rPr>
              <w:fldChar w:fldCharType="begin"/>
            </w:r>
            <w:r w:rsidR="00877065">
              <w:rPr>
                <w:webHidden/>
              </w:rPr>
              <w:instrText xml:space="preserve"> PAGEREF _Toc419966274 \h </w:instrText>
            </w:r>
            <w:r w:rsidR="00877065">
              <w:rPr>
                <w:webHidden/>
              </w:rPr>
            </w:r>
            <w:r w:rsidR="00877065">
              <w:rPr>
                <w:webHidden/>
              </w:rPr>
              <w:fldChar w:fldCharType="separate"/>
            </w:r>
            <w:r>
              <w:rPr>
                <w:webHidden/>
              </w:rPr>
              <w:t>1-5</w:t>
            </w:r>
            <w:r w:rsidR="00877065">
              <w:rPr>
                <w:webHidden/>
              </w:rPr>
              <w:fldChar w:fldCharType="end"/>
            </w:r>
          </w:hyperlink>
        </w:p>
        <w:p w:rsidR="00877065" w:rsidRDefault="00480C08">
          <w:pPr>
            <w:pStyle w:val="TOC2"/>
            <w:rPr>
              <w:rFonts w:asciiTheme="minorHAnsi" w:eastAsiaTheme="minorEastAsia" w:hAnsiTheme="minorHAnsi"/>
              <w:b w:val="0"/>
              <w:color w:val="auto"/>
              <w:sz w:val="22"/>
              <w:lang w:eastAsia="en-AU"/>
            </w:rPr>
          </w:pPr>
          <w:hyperlink w:anchor="_Toc419966275" w:history="1">
            <w:r w:rsidR="00877065" w:rsidRPr="009464B4">
              <w:rPr>
                <w:rStyle w:val="Hyperlink"/>
              </w:rPr>
              <w:t>1.3</w:t>
            </w:r>
            <w:r w:rsidR="00877065">
              <w:rPr>
                <w:rFonts w:asciiTheme="minorHAnsi" w:eastAsiaTheme="minorEastAsia" w:hAnsiTheme="minorHAnsi"/>
                <w:b w:val="0"/>
                <w:color w:val="auto"/>
                <w:sz w:val="22"/>
                <w:lang w:eastAsia="en-AU"/>
              </w:rPr>
              <w:tab/>
            </w:r>
            <w:r w:rsidR="00877065" w:rsidRPr="009464B4">
              <w:rPr>
                <w:rStyle w:val="Hyperlink"/>
              </w:rPr>
              <w:t>AER’s assessment approach</w:t>
            </w:r>
            <w:r w:rsidR="00877065">
              <w:rPr>
                <w:webHidden/>
              </w:rPr>
              <w:tab/>
            </w:r>
            <w:r w:rsidR="00877065">
              <w:rPr>
                <w:webHidden/>
              </w:rPr>
              <w:fldChar w:fldCharType="begin"/>
            </w:r>
            <w:r w:rsidR="00877065">
              <w:rPr>
                <w:webHidden/>
              </w:rPr>
              <w:instrText xml:space="preserve"> PAGEREF _Toc419966275 \h </w:instrText>
            </w:r>
            <w:r w:rsidR="00877065">
              <w:rPr>
                <w:webHidden/>
              </w:rPr>
            </w:r>
            <w:r w:rsidR="00877065">
              <w:rPr>
                <w:webHidden/>
              </w:rPr>
              <w:fldChar w:fldCharType="separate"/>
            </w:r>
            <w:r>
              <w:rPr>
                <w:webHidden/>
              </w:rPr>
              <w:t>1-5</w:t>
            </w:r>
            <w:r w:rsidR="00877065">
              <w:rPr>
                <w:webHidden/>
              </w:rPr>
              <w:fldChar w:fldCharType="end"/>
            </w:r>
          </w:hyperlink>
        </w:p>
        <w:p w:rsidR="00877065" w:rsidRDefault="00480C08">
          <w:pPr>
            <w:pStyle w:val="TOC2"/>
            <w:rPr>
              <w:rFonts w:asciiTheme="minorHAnsi" w:eastAsiaTheme="minorEastAsia" w:hAnsiTheme="minorHAnsi"/>
              <w:b w:val="0"/>
              <w:color w:val="auto"/>
              <w:sz w:val="22"/>
              <w:lang w:eastAsia="en-AU"/>
            </w:rPr>
          </w:pPr>
          <w:hyperlink w:anchor="_Toc419966276" w:history="1">
            <w:r w:rsidR="00877065" w:rsidRPr="009464B4">
              <w:rPr>
                <w:rStyle w:val="Hyperlink"/>
              </w:rPr>
              <w:t>1.4</w:t>
            </w:r>
            <w:r w:rsidR="00877065">
              <w:rPr>
                <w:rFonts w:asciiTheme="minorHAnsi" w:eastAsiaTheme="minorEastAsia" w:hAnsiTheme="minorHAnsi"/>
                <w:b w:val="0"/>
                <w:color w:val="auto"/>
                <w:sz w:val="22"/>
                <w:lang w:eastAsia="en-AU"/>
              </w:rPr>
              <w:tab/>
            </w:r>
            <w:r w:rsidR="00877065" w:rsidRPr="009464B4">
              <w:rPr>
                <w:rStyle w:val="Hyperlink"/>
              </w:rPr>
              <w:t>Reasons for final decision</w:t>
            </w:r>
            <w:r w:rsidR="00877065">
              <w:rPr>
                <w:webHidden/>
              </w:rPr>
              <w:tab/>
            </w:r>
            <w:r w:rsidR="00877065">
              <w:rPr>
                <w:webHidden/>
              </w:rPr>
              <w:fldChar w:fldCharType="begin"/>
            </w:r>
            <w:r w:rsidR="00877065">
              <w:rPr>
                <w:webHidden/>
              </w:rPr>
              <w:instrText xml:space="preserve"> PAGEREF _Toc419966276 \h </w:instrText>
            </w:r>
            <w:r w:rsidR="00877065">
              <w:rPr>
                <w:webHidden/>
              </w:rPr>
            </w:r>
            <w:r w:rsidR="00877065">
              <w:rPr>
                <w:webHidden/>
              </w:rPr>
              <w:fldChar w:fldCharType="separate"/>
            </w:r>
            <w:r>
              <w:rPr>
                <w:webHidden/>
              </w:rPr>
              <w:t>1-5</w:t>
            </w:r>
            <w:r w:rsidR="00877065">
              <w:rPr>
                <w:webHidden/>
              </w:rPr>
              <w:fldChar w:fldCharType="end"/>
            </w:r>
          </w:hyperlink>
        </w:p>
        <w:p w:rsidR="00877065" w:rsidRDefault="00480C08">
          <w:pPr>
            <w:pStyle w:val="TOC3"/>
            <w:rPr>
              <w:rFonts w:asciiTheme="minorHAnsi" w:eastAsiaTheme="minorEastAsia" w:hAnsiTheme="minorHAnsi"/>
              <w:lang w:eastAsia="en-AU"/>
            </w:rPr>
          </w:pPr>
          <w:hyperlink w:anchor="_Toc419966277" w:history="1">
            <w:r w:rsidR="00877065" w:rsidRPr="009464B4">
              <w:rPr>
                <w:rStyle w:val="Hyperlink"/>
              </w:rPr>
              <w:t>1.4.1</w:t>
            </w:r>
            <w:r w:rsidR="00877065">
              <w:rPr>
                <w:rFonts w:asciiTheme="minorHAnsi" w:eastAsiaTheme="minorEastAsia" w:hAnsiTheme="minorHAnsi"/>
                <w:lang w:eastAsia="en-AU"/>
              </w:rPr>
              <w:tab/>
            </w:r>
            <w:r w:rsidR="00877065" w:rsidRPr="009464B4">
              <w:rPr>
                <w:rStyle w:val="Hyperlink"/>
              </w:rPr>
              <w:t>Gas metering contestability</w:t>
            </w:r>
            <w:r w:rsidR="00877065">
              <w:rPr>
                <w:webHidden/>
              </w:rPr>
              <w:tab/>
            </w:r>
            <w:r w:rsidR="00877065">
              <w:rPr>
                <w:webHidden/>
              </w:rPr>
              <w:fldChar w:fldCharType="begin"/>
            </w:r>
            <w:r w:rsidR="00877065">
              <w:rPr>
                <w:webHidden/>
              </w:rPr>
              <w:instrText xml:space="preserve"> PAGEREF _Toc419966277 \h </w:instrText>
            </w:r>
            <w:r w:rsidR="00877065">
              <w:rPr>
                <w:webHidden/>
              </w:rPr>
            </w:r>
            <w:r w:rsidR="00877065">
              <w:rPr>
                <w:webHidden/>
              </w:rPr>
              <w:fldChar w:fldCharType="separate"/>
            </w:r>
            <w:r>
              <w:rPr>
                <w:webHidden/>
              </w:rPr>
              <w:t>1-5</w:t>
            </w:r>
            <w:r w:rsidR="00877065">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9966271"/>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3652"/>
        <w:gridCol w:w="5041"/>
      </w:tblGrid>
      <w:tr w:rsidR="00FB5826" w:rsidTr="00FB5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Shortened form</w:t>
            </w:r>
          </w:p>
        </w:tc>
        <w:tc>
          <w:tcPr>
            <w:tcW w:w="5041" w:type="dxa"/>
          </w:tcPr>
          <w:p w:rsidR="00FB5826" w:rsidRDefault="00FB5826" w:rsidP="00FB5826">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AER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capital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CAPM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capital asset pricing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CCP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Challenge Panel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Code</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CPI</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consumer price index</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DRP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debt risk premium</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ERP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equity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JGN</w:t>
            </w:r>
          </w:p>
        </w:tc>
        <w:tc>
          <w:tcPr>
            <w:tcW w:w="5041" w:type="dxa"/>
          </w:tcPr>
          <w:p w:rsidR="00FB5826" w:rsidRDefault="00FB5826" w:rsidP="00153FDE">
            <w:pPr>
              <w:numPr>
                <w:ilvl w:val="0"/>
                <w:numId w:val="25"/>
              </w:numPr>
              <w:cnfStyle w:val="000000000000" w:firstRow="0" w:lastRow="0" w:firstColumn="0" w:lastColumn="0" w:oddVBand="0" w:evenVBand="0" w:oddHBand="0" w:evenHBand="0" w:firstRowFirstColumn="0" w:firstRowLastColumn="0" w:lastRowFirstColumn="0" w:lastRowLastColumn="0"/>
            </w:pPr>
            <w:r>
              <w:t>Jemena Gas Networks (NSW) Ltd (A</w:t>
            </w:r>
            <w:r w:rsidR="00153FDE">
              <w:t>C</w:t>
            </w:r>
            <w:r>
              <w:t>N 003 004 322)</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MRP</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market risk premium</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NGL</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law</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NGO</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national gas objective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NGR</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national gas rules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opex</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operating expenditure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PPI</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partial performance indicators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PTRM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post-tax revenue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RAB</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RBA</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Reserve Bank of Australia</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RFM</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roll forward model</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RIN</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RPP</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FB5826" w:rsidTr="00FB58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SLCAPM</w:t>
            </w:r>
          </w:p>
        </w:tc>
        <w:tc>
          <w:tcPr>
            <w:tcW w:w="5041" w:type="dxa"/>
          </w:tcPr>
          <w:p w:rsidR="00FB5826" w:rsidRDefault="00FB5826" w:rsidP="00FB5826">
            <w:pPr>
              <w:numPr>
                <w:ilvl w:val="0"/>
                <w:numId w:val="25"/>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B5826" w:rsidTr="00FB5826">
        <w:tc>
          <w:tcPr>
            <w:cnfStyle w:val="001000000000" w:firstRow="0" w:lastRow="0" w:firstColumn="1" w:lastColumn="0" w:oddVBand="0" w:evenVBand="0" w:oddHBand="0" w:evenHBand="0" w:firstRowFirstColumn="0" w:firstRowLastColumn="0" w:lastRowFirstColumn="0" w:lastRowLastColumn="0"/>
            <w:tcW w:w="3652" w:type="dxa"/>
          </w:tcPr>
          <w:p w:rsidR="00FB5826" w:rsidRDefault="00FB5826" w:rsidP="00FB5826">
            <w:pPr>
              <w:numPr>
                <w:ilvl w:val="0"/>
                <w:numId w:val="25"/>
              </w:numPr>
            </w:pPr>
            <w:r>
              <w:t>WACC</w:t>
            </w:r>
          </w:p>
        </w:tc>
        <w:tc>
          <w:tcPr>
            <w:tcW w:w="5041" w:type="dxa"/>
          </w:tcPr>
          <w:p w:rsidR="00FB5826" w:rsidRDefault="00FB5826" w:rsidP="00FB5826">
            <w:pPr>
              <w:numPr>
                <w:ilvl w:val="0"/>
                <w:numId w:val="25"/>
              </w:numPr>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FB5826" w:rsidP="007B49E1">
      <w:pPr>
        <w:pStyle w:val="Heading1"/>
      </w:pPr>
      <w:bookmarkStart w:id="10" w:name="_Toc419966272"/>
      <w:r>
        <w:lastRenderedPageBreak/>
        <w:t>Services covered by the access arrangement</w:t>
      </w:r>
      <w:bookmarkEnd w:id="10"/>
    </w:p>
    <w:p w:rsidR="00095959" w:rsidRPr="00D426C7" w:rsidRDefault="00095959" w:rsidP="00D0595C">
      <w:r w:rsidRPr="00D426C7">
        <w:t xml:space="preserve">The </w:t>
      </w:r>
      <w:r w:rsidR="00D0595C">
        <w:t xml:space="preserve">National Gas Rules </w:t>
      </w:r>
      <w:r w:rsidRPr="00D426C7">
        <w:t xml:space="preserve">requires </w:t>
      </w:r>
      <w:r w:rsidR="00D0595C">
        <w:t>an</w:t>
      </w:r>
      <w:r w:rsidR="00D0595C" w:rsidRPr="00D426C7">
        <w:t xml:space="preserve"> </w:t>
      </w:r>
      <w:r w:rsidRPr="00D426C7">
        <w:t>access arrangement to identify:</w:t>
      </w:r>
    </w:p>
    <w:p w:rsidR="00095959" w:rsidRPr="00095959" w:rsidRDefault="00095959" w:rsidP="00095959">
      <w:pPr>
        <w:pStyle w:val="AERbulletlistfirststyle"/>
      </w:pPr>
      <w:r w:rsidRPr="00D426C7">
        <w:t xml:space="preserve"> the pipeline which th</w:t>
      </w:r>
      <w:r w:rsidR="0020492D">
        <w:t>e access arrangement relates to</w:t>
      </w:r>
      <w:r w:rsidRPr="00D426C7">
        <w:t xml:space="preserve"> and</w:t>
      </w:r>
    </w:p>
    <w:p w:rsidR="00095959" w:rsidRPr="00095959" w:rsidRDefault="00095959" w:rsidP="00095959">
      <w:pPr>
        <w:pStyle w:val="AERbulletlistfirststyle"/>
      </w:pPr>
      <w:r w:rsidRPr="00D426C7">
        <w:t xml:space="preserve"> the</w:t>
      </w:r>
      <w:r w:rsidRPr="00095959">
        <w:t xml:space="preserve"> services which JGN proposes to offer to provide by means of that pipeline.</w:t>
      </w:r>
      <w:r w:rsidRPr="00095959">
        <w:rPr>
          <w:rStyle w:val="FootnoteReference"/>
        </w:rPr>
        <w:footnoteReference w:id="1"/>
      </w:r>
      <w:r w:rsidRPr="00095959">
        <w:t xml:space="preserve"> </w:t>
      </w:r>
    </w:p>
    <w:p w:rsidR="00DE563D" w:rsidRPr="00AF1F9E" w:rsidRDefault="00AF1F9E" w:rsidP="00AF1F9E">
      <w:pPr>
        <w:pStyle w:val="Heading2"/>
      </w:pPr>
      <w:bookmarkStart w:id="11" w:name="_Toc403144136"/>
      <w:bookmarkStart w:id="12" w:name="_Toc419966273"/>
      <w:r>
        <w:t>Final</w:t>
      </w:r>
      <w:r w:rsidR="00DE563D" w:rsidRPr="00AF1F9E">
        <w:t xml:space="preserve"> decision</w:t>
      </w:r>
      <w:bookmarkEnd w:id="11"/>
      <w:bookmarkEnd w:id="12"/>
    </w:p>
    <w:p w:rsidR="00095959" w:rsidRPr="00D426C7" w:rsidRDefault="00095959" w:rsidP="00095959">
      <w:pPr>
        <w:numPr>
          <w:ilvl w:val="0"/>
          <w:numId w:val="25"/>
        </w:numPr>
      </w:pPr>
      <w:r w:rsidRPr="00D426C7">
        <w:t xml:space="preserve">We approve JGN's </w:t>
      </w:r>
      <w:r w:rsidR="00D0595C">
        <w:t xml:space="preserve">revised </w:t>
      </w:r>
      <w:r w:rsidRPr="00D426C7">
        <w:t>proposal</w:t>
      </w:r>
      <w:r w:rsidR="00153FDE">
        <w:t xml:space="preserve"> on the services covered by this access arrangement</w:t>
      </w:r>
      <w:r w:rsidRPr="00D426C7">
        <w:t xml:space="preserve">. </w:t>
      </w:r>
    </w:p>
    <w:p w:rsidR="00DE563D" w:rsidRPr="00AF1F9E" w:rsidRDefault="00FB5826" w:rsidP="00AF1F9E">
      <w:pPr>
        <w:pStyle w:val="Heading2"/>
      </w:pPr>
      <w:bookmarkStart w:id="13" w:name="_Toc403144137"/>
      <w:bookmarkStart w:id="14" w:name="_Toc419966274"/>
      <w:r>
        <w:t>JGN's</w:t>
      </w:r>
      <w:r w:rsidR="00AF1F9E">
        <w:t xml:space="preserve"> revised</w:t>
      </w:r>
      <w:r w:rsidR="00DE563D" w:rsidRPr="00AF1F9E">
        <w:t xml:space="preserve"> proposal</w:t>
      </w:r>
      <w:bookmarkEnd w:id="13"/>
      <w:bookmarkEnd w:id="14"/>
    </w:p>
    <w:p w:rsidR="00DE563D" w:rsidRPr="00AF1F9E" w:rsidRDefault="00095959" w:rsidP="00AF1F9E">
      <w:r>
        <w:t>JGN's</w:t>
      </w:r>
      <w:r w:rsidR="00D0595C">
        <w:t xml:space="preserve"> </w:t>
      </w:r>
      <w:r>
        <w:t>revised proposal accepted our draft decision on the services covered by its access arrangement.</w:t>
      </w:r>
      <w:r w:rsidR="009F254C">
        <w:rPr>
          <w:rStyle w:val="FootnoteReference"/>
        </w:rPr>
        <w:footnoteReference w:id="2"/>
      </w:r>
    </w:p>
    <w:p w:rsidR="00DE563D" w:rsidRPr="00AF1F9E" w:rsidRDefault="00DE563D" w:rsidP="00AF1F9E">
      <w:pPr>
        <w:pStyle w:val="Heading2"/>
      </w:pPr>
      <w:bookmarkStart w:id="15" w:name="_Toc403144138"/>
      <w:bookmarkStart w:id="16" w:name="_Toc419966275"/>
      <w:r w:rsidRPr="00AF1F9E">
        <w:t>AER’s assessment approach</w:t>
      </w:r>
      <w:bookmarkEnd w:id="15"/>
      <w:bookmarkEnd w:id="16"/>
    </w:p>
    <w:p w:rsidR="00095959" w:rsidRPr="00AF1F9E" w:rsidRDefault="00095959" w:rsidP="00095959">
      <w:bookmarkStart w:id="17" w:name="_Toc403144139"/>
      <w:r w:rsidRPr="00277FF4">
        <w:t xml:space="preserve">Our approach to assessing </w:t>
      </w:r>
      <w:r w:rsidR="00D0595C" w:rsidRPr="00277FF4">
        <w:t>JGN</w:t>
      </w:r>
      <w:r w:rsidR="00D0595C">
        <w:t xml:space="preserve">'s </w:t>
      </w:r>
      <w:r w:rsidR="00153FDE">
        <w:t>proposal</w:t>
      </w:r>
      <w:r>
        <w:t xml:space="preserve"> </w:t>
      </w:r>
      <w:r w:rsidRPr="00277FF4">
        <w:t>was described in detail in our draft decision. We maintained this approach for the final decision.</w:t>
      </w:r>
      <w:r>
        <w:rPr>
          <w:rStyle w:val="FootnoteReference"/>
        </w:rPr>
        <w:footnoteReference w:id="3"/>
      </w:r>
      <w:r w:rsidRPr="00277FF4">
        <w:t xml:space="preserve">  </w:t>
      </w:r>
    </w:p>
    <w:p w:rsidR="00DE563D" w:rsidRDefault="00DE563D" w:rsidP="00AF1F9E">
      <w:pPr>
        <w:pStyle w:val="Heading2"/>
      </w:pPr>
      <w:bookmarkStart w:id="18" w:name="_Toc403144140"/>
      <w:bookmarkStart w:id="19" w:name="_Toc419966276"/>
      <w:bookmarkEnd w:id="17"/>
      <w:r w:rsidRPr="00AF1F9E">
        <w:t xml:space="preserve">Reasons for </w:t>
      </w:r>
      <w:r w:rsidR="00AF1F9E">
        <w:t>final</w:t>
      </w:r>
      <w:r w:rsidRPr="00AF1F9E">
        <w:t xml:space="preserve"> decision</w:t>
      </w:r>
      <w:bookmarkEnd w:id="18"/>
      <w:bookmarkEnd w:id="19"/>
      <w:r w:rsidRPr="00AF1F9E">
        <w:t xml:space="preserve"> </w:t>
      </w:r>
    </w:p>
    <w:p w:rsidR="00095959" w:rsidRDefault="00153FDE" w:rsidP="00095959">
      <w:r>
        <w:t xml:space="preserve">For the reasons set out in our draft decision, </w:t>
      </w:r>
      <w:r w:rsidR="00EC3063">
        <w:t xml:space="preserve">which JGN has accepted without further change, </w:t>
      </w:r>
      <w:r>
        <w:t>we accept JGN's revised proposal on the services covered by this access arrangement.</w:t>
      </w:r>
      <w:r w:rsidR="00287559">
        <w:rPr>
          <w:rStyle w:val="FootnoteReference"/>
        </w:rPr>
        <w:footnoteReference w:id="4"/>
      </w:r>
    </w:p>
    <w:p w:rsidR="00095959" w:rsidRDefault="00135123" w:rsidP="00095959">
      <w:r>
        <w:t>AGL's submission</w:t>
      </w:r>
      <w:r w:rsidR="00095959">
        <w:t xml:space="preserve"> </w:t>
      </w:r>
      <w:r w:rsidR="00287559">
        <w:t>did not support the draft decision</w:t>
      </w:r>
      <w:r>
        <w:t xml:space="preserve"> </w:t>
      </w:r>
      <w:r w:rsidR="00D0595C">
        <w:t>to approve</w:t>
      </w:r>
      <w:r w:rsidR="00095959" w:rsidRPr="00095959">
        <w:t xml:space="preserve"> </w:t>
      </w:r>
      <w:r w:rsidR="00095959">
        <w:t>JGN's c</w:t>
      </w:r>
      <w:r w:rsidR="00095959" w:rsidRPr="00095959">
        <w:t>ombining meter data services into haulage reference services</w:t>
      </w:r>
      <w:r w:rsidR="00095959">
        <w:t>.</w:t>
      </w:r>
      <w:r w:rsidR="00232F8D" w:rsidRPr="00232F8D">
        <w:rPr>
          <w:rStyle w:val="FootnoteReference"/>
        </w:rPr>
        <w:t xml:space="preserve"> </w:t>
      </w:r>
      <w:r w:rsidR="00232F8D">
        <w:rPr>
          <w:rStyle w:val="FootnoteReference"/>
        </w:rPr>
        <w:footnoteReference w:id="5"/>
      </w:r>
      <w:r>
        <w:t xml:space="preserve"> </w:t>
      </w:r>
      <w:r w:rsidR="00153FDE">
        <w:t xml:space="preserve">For the reasons set out below, we </w:t>
      </w:r>
      <w:r w:rsidR="00232F8D">
        <w:t>do not consider this submission impacts on our reasoning in our draft decision.</w:t>
      </w:r>
    </w:p>
    <w:p w:rsidR="00095959" w:rsidRDefault="00135123" w:rsidP="00135123">
      <w:pPr>
        <w:pStyle w:val="Heading3"/>
      </w:pPr>
      <w:bookmarkStart w:id="20" w:name="_Toc419966277"/>
      <w:r>
        <w:t>Gas metering contestability</w:t>
      </w:r>
      <w:bookmarkEnd w:id="20"/>
    </w:p>
    <w:p w:rsidR="002D4610" w:rsidRDefault="00E71A00" w:rsidP="00E71A00">
      <w:r>
        <w:t>We consider that t</w:t>
      </w:r>
      <w:r w:rsidRPr="00E71A00">
        <w:t>he simplification</w:t>
      </w:r>
      <w:r>
        <w:t xml:space="preserve"> </w:t>
      </w:r>
      <w:r w:rsidRPr="00E71A00">
        <w:t>to a single reference service instead of two bundled services (which</w:t>
      </w:r>
      <w:r>
        <w:t xml:space="preserve"> </w:t>
      </w:r>
      <w:r w:rsidRPr="00E71A00">
        <w:t>in effect are only available as one) will reduce the number of individual</w:t>
      </w:r>
      <w:r>
        <w:t xml:space="preserve"> </w:t>
      </w:r>
      <w:r w:rsidRPr="00E71A00">
        <w:lastRenderedPageBreak/>
        <w:t>tariffs and charge components</w:t>
      </w:r>
      <w:r w:rsidR="00A008B4">
        <w:t xml:space="preserve">. </w:t>
      </w:r>
      <w:r w:rsidR="00281236">
        <w:t xml:space="preserve">This would also </w:t>
      </w:r>
      <w:r w:rsidR="00A008B4">
        <w:t xml:space="preserve">harmonise JGN's reference service with </w:t>
      </w:r>
      <w:r w:rsidR="00232F8D">
        <w:t xml:space="preserve">those of </w:t>
      </w:r>
      <w:r w:rsidR="00A008B4">
        <w:t xml:space="preserve">other </w:t>
      </w:r>
      <w:r w:rsidRPr="00E71A00">
        <w:t>gas distributors in other jurisdictions.</w:t>
      </w:r>
      <w:r w:rsidR="00876154">
        <w:rPr>
          <w:rStyle w:val="FootnoteReference"/>
        </w:rPr>
        <w:footnoteReference w:id="6"/>
      </w:r>
      <w:r w:rsidR="00F60E17">
        <w:t xml:space="preserve"> </w:t>
      </w:r>
    </w:p>
    <w:p w:rsidR="002D4610" w:rsidRDefault="00F60E17" w:rsidP="005158AF">
      <w:r>
        <w:t>AGL</w:t>
      </w:r>
      <w:r w:rsidR="00876154">
        <w:t xml:space="preserve"> submitted that</w:t>
      </w:r>
      <w:r>
        <w:t xml:space="preserve"> </w:t>
      </w:r>
      <w:r w:rsidRPr="00F60E17">
        <w:t xml:space="preserve">the bundling of services may require </w:t>
      </w:r>
      <w:r w:rsidR="00287559" w:rsidRPr="00F60E17">
        <w:t xml:space="preserve">systems </w:t>
      </w:r>
      <w:r w:rsidRPr="00F60E17">
        <w:t>changes</w:t>
      </w:r>
      <w:r w:rsidR="00D0595C">
        <w:t xml:space="preserve">, </w:t>
      </w:r>
      <w:r w:rsidR="00B12C5E">
        <w:t xml:space="preserve">imposing </w:t>
      </w:r>
      <w:r w:rsidRPr="00F60E17">
        <w:t xml:space="preserve">needless cost </w:t>
      </w:r>
      <w:r w:rsidR="00B12C5E">
        <w:t>on</w:t>
      </w:r>
      <w:r w:rsidR="00B12C5E" w:rsidRPr="00F60E17">
        <w:t xml:space="preserve"> </w:t>
      </w:r>
      <w:r w:rsidRPr="00F60E17">
        <w:t>industry</w:t>
      </w:r>
      <w:r w:rsidR="00876154">
        <w:t>.</w:t>
      </w:r>
      <w:r w:rsidR="00232F8D" w:rsidRPr="00232F8D">
        <w:rPr>
          <w:rStyle w:val="FootnoteReference"/>
        </w:rPr>
        <w:t xml:space="preserve"> </w:t>
      </w:r>
      <w:r w:rsidR="00232F8D">
        <w:rPr>
          <w:rStyle w:val="FootnoteReference"/>
        </w:rPr>
        <w:footnoteReference w:id="7"/>
      </w:r>
      <w:r w:rsidR="00232F8D">
        <w:t xml:space="preserve"> </w:t>
      </w:r>
      <w:r w:rsidR="00876154">
        <w:t xml:space="preserve"> </w:t>
      </w:r>
      <w:r w:rsidR="005158AF">
        <w:t xml:space="preserve">We consider that AGL may have systems and procedures already in place to adapt to the bundling of services because it operates </w:t>
      </w:r>
      <w:r w:rsidR="002D4610">
        <w:t xml:space="preserve">in Victoria </w:t>
      </w:r>
      <w:r w:rsidR="00876154">
        <w:t xml:space="preserve">and South Australia </w:t>
      </w:r>
      <w:r w:rsidR="002D4610">
        <w:t xml:space="preserve">where meter data services are </w:t>
      </w:r>
      <w:r w:rsidR="005158AF">
        <w:t xml:space="preserve">currently </w:t>
      </w:r>
      <w:r w:rsidR="002D4610">
        <w:t xml:space="preserve">merged. </w:t>
      </w:r>
    </w:p>
    <w:p w:rsidR="00CC1A11" w:rsidRDefault="00A008B4" w:rsidP="00E71A00">
      <w:pPr>
        <w:rPr>
          <w:rStyle w:val="AERbody"/>
        </w:rPr>
      </w:pPr>
      <w:r w:rsidRPr="00A008B4">
        <w:rPr>
          <w:rStyle w:val="AERbody"/>
        </w:rPr>
        <w:t>AGL</w:t>
      </w:r>
      <w:r w:rsidR="003D4CDA">
        <w:rPr>
          <w:rStyle w:val="AERbody"/>
        </w:rPr>
        <w:t xml:space="preserve"> </w:t>
      </w:r>
      <w:r w:rsidR="00B879EA">
        <w:rPr>
          <w:rStyle w:val="AERbody"/>
        </w:rPr>
        <w:t>also stated that the A</w:t>
      </w:r>
      <w:r w:rsidR="00A94DF7">
        <w:rPr>
          <w:rStyle w:val="AERbody"/>
        </w:rPr>
        <w:t xml:space="preserve">ustralian </w:t>
      </w:r>
      <w:r w:rsidR="00B879EA">
        <w:rPr>
          <w:rStyle w:val="AERbody"/>
        </w:rPr>
        <w:t>E</w:t>
      </w:r>
      <w:r w:rsidR="00A94DF7">
        <w:rPr>
          <w:rStyle w:val="AERbody"/>
        </w:rPr>
        <w:t xml:space="preserve">nergy </w:t>
      </w:r>
      <w:r w:rsidR="00B879EA">
        <w:rPr>
          <w:rStyle w:val="AERbody"/>
        </w:rPr>
        <w:t>M</w:t>
      </w:r>
      <w:r w:rsidR="00A94DF7">
        <w:rPr>
          <w:rStyle w:val="AERbody"/>
        </w:rPr>
        <w:t xml:space="preserve">arket </w:t>
      </w:r>
      <w:r w:rsidR="00B879EA">
        <w:rPr>
          <w:rStyle w:val="AERbody"/>
        </w:rPr>
        <w:t>C</w:t>
      </w:r>
      <w:r w:rsidR="00A94DF7">
        <w:rPr>
          <w:rStyle w:val="AERbody"/>
        </w:rPr>
        <w:t>ommission</w:t>
      </w:r>
      <w:r w:rsidR="00B879EA">
        <w:rPr>
          <w:rStyle w:val="AERbody"/>
        </w:rPr>
        <w:t xml:space="preserve"> may introduce gas meter contestability</w:t>
      </w:r>
      <w:r w:rsidR="00153FDE">
        <w:rPr>
          <w:rStyle w:val="AERbody"/>
        </w:rPr>
        <w:t>,</w:t>
      </w:r>
      <w:r w:rsidR="00B879EA">
        <w:rPr>
          <w:rStyle w:val="AERbody"/>
        </w:rPr>
        <w:t xml:space="preserve"> because </w:t>
      </w:r>
      <w:r w:rsidR="00BC69B3">
        <w:rPr>
          <w:rStyle w:val="AERbody"/>
        </w:rPr>
        <w:t>it is</w:t>
      </w:r>
      <w:r w:rsidR="00B879EA">
        <w:rPr>
          <w:rStyle w:val="AERbody"/>
        </w:rPr>
        <w:t xml:space="preserve"> proposing draft rule changes to introduce meter contestability in</w:t>
      </w:r>
      <w:r w:rsidR="00A12B01">
        <w:rPr>
          <w:rStyle w:val="AERbody"/>
        </w:rPr>
        <w:t>to</w:t>
      </w:r>
      <w:r w:rsidR="00B879EA">
        <w:rPr>
          <w:rStyle w:val="AERbody"/>
        </w:rPr>
        <w:t xml:space="preserve"> electricity markets.</w:t>
      </w:r>
      <w:r w:rsidR="00281236" w:rsidRPr="00281236">
        <w:t xml:space="preserve"> </w:t>
      </w:r>
      <w:r w:rsidR="00281236" w:rsidRPr="00281236">
        <w:rPr>
          <w:rStyle w:val="AERbody"/>
        </w:rPr>
        <w:t>The introduction of electricity metering contestability does not necessarily mean that gas metering contest</w:t>
      </w:r>
      <w:r w:rsidR="00281236">
        <w:rPr>
          <w:rStyle w:val="AERbody"/>
        </w:rPr>
        <w:t>a</w:t>
      </w:r>
      <w:r w:rsidR="00281236" w:rsidRPr="00281236">
        <w:rPr>
          <w:rStyle w:val="AERbody"/>
        </w:rPr>
        <w:t>bility will be introduced in the near future</w:t>
      </w:r>
      <w:r w:rsidR="00734E99">
        <w:rPr>
          <w:rStyle w:val="AERbody"/>
        </w:rPr>
        <w:t>.</w:t>
      </w:r>
      <w:r w:rsidR="00734E99">
        <w:rPr>
          <w:rStyle w:val="FootnoteReference"/>
        </w:rPr>
        <w:footnoteReference w:id="8"/>
      </w:r>
      <w:r w:rsidR="00C00170">
        <w:rPr>
          <w:rStyle w:val="AERbody"/>
        </w:rPr>
        <w:t xml:space="preserve"> </w:t>
      </w:r>
    </w:p>
    <w:p w:rsidR="00CC1A11" w:rsidRDefault="00CC1A11" w:rsidP="00E71A00">
      <w:pPr>
        <w:rPr>
          <w:rStyle w:val="AERbody"/>
        </w:rPr>
      </w:pPr>
      <w:r>
        <w:rPr>
          <w:rStyle w:val="AERbody"/>
        </w:rPr>
        <w:t>O</w:t>
      </w:r>
      <w:r w:rsidR="00E71A00" w:rsidRPr="00A008B4">
        <w:rPr>
          <w:rStyle w:val="AERbody"/>
        </w:rPr>
        <w:t xml:space="preserve">ne significant driver of electricity metering contestability has been a desire to foster </w:t>
      </w:r>
      <w:r w:rsidR="00A12B01">
        <w:rPr>
          <w:rStyle w:val="AERbody"/>
        </w:rPr>
        <w:t xml:space="preserve">introduction </w:t>
      </w:r>
      <w:r w:rsidR="00E71A00" w:rsidRPr="00A008B4">
        <w:rPr>
          <w:rStyle w:val="AERbody"/>
        </w:rPr>
        <w:t xml:space="preserve">of time of use tariffs to mass market electricity customers. </w:t>
      </w:r>
      <w:r w:rsidR="00153FDE">
        <w:rPr>
          <w:rStyle w:val="AERbody"/>
        </w:rPr>
        <w:t>T</w:t>
      </w:r>
      <w:r w:rsidR="00E71A00" w:rsidRPr="00A008B4">
        <w:rPr>
          <w:rStyle w:val="AERbody"/>
        </w:rPr>
        <w:t>here is no equivalent gas network or retail imperative for time of use pricing and associated behavioural change</w:t>
      </w:r>
      <w:r w:rsidR="00A12B01">
        <w:rPr>
          <w:rStyle w:val="AERbody"/>
        </w:rPr>
        <w:t xml:space="preserve"> in the gas sector</w:t>
      </w:r>
      <w:r w:rsidR="00E71A00" w:rsidRPr="00A008B4">
        <w:rPr>
          <w:rStyle w:val="AERbody"/>
        </w:rPr>
        <w:t>.</w:t>
      </w:r>
      <w:r w:rsidR="00A008B4">
        <w:rPr>
          <w:rStyle w:val="AERbody"/>
        </w:rPr>
        <w:t xml:space="preserve"> </w:t>
      </w:r>
    </w:p>
    <w:p w:rsidR="00A12B01" w:rsidRDefault="00BC69B3" w:rsidP="00B95991">
      <w:r>
        <w:t>We are not aware of any evidence suggesting that</w:t>
      </w:r>
      <w:r w:rsidR="00CC1A11" w:rsidRPr="00D426C7">
        <w:t xml:space="preserve"> gas meter reading contestability in NSW has</w:t>
      </w:r>
      <w:r w:rsidR="00CC1A11">
        <w:t xml:space="preserve"> changed since 2000</w:t>
      </w:r>
      <w:r>
        <w:t>.</w:t>
      </w:r>
      <w:r w:rsidR="00CC1A11">
        <w:t xml:space="preserve"> </w:t>
      </w:r>
      <w:r w:rsidR="00153FDE">
        <w:t xml:space="preserve">Nor does the information before us suggest </w:t>
      </w:r>
      <w:r w:rsidR="00CC1A11" w:rsidRPr="00D426C7">
        <w:t>that it may change in the next Access Arrangement period</w:t>
      </w:r>
      <w:r w:rsidR="00CC1A11" w:rsidRPr="00E71A00">
        <w:t>.</w:t>
      </w:r>
      <w:r w:rsidR="00CC1A11">
        <w:t xml:space="preserve"> In addition, </w:t>
      </w:r>
      <w:r w:rsidR="00734E99">
        <w:t xml:space="preserve">JGN submitted that </w:t>
      </w:r>
      <w:r w:rsidR="00CC1A11" w:rsidRPr="00D426C7">
        <w:t xml:space="preserve">the provisions to facilitate contestable meter data services were removed from NSW and ACT </w:t>
      </w:r>
      <w:r w:rsidR="00232F8D">
        <w:t>G</w:t>
      </w:r>
      <w:r w:rsidR="00CC1A11" w:rsidRPr="00D426C7">
        <w:t xml:space="preserve">as </w:t>
      </w:r>
      <w:r w:rsidR="00232F8D">
        <w:t>R</w:t>
      </w:r>
      <w:r w:rsidR="00CC1A11" w:rsidRPr="00D426C7">
        <w:t xml:space="preserve">etail </w:t>
      </w:r>
      <w:r w:rsidR="00232F8D">
        <w:t>M</w:t>
      </w:r>
      <w:r w:rsidR="00CC1A11" w:rsidRPr="00D426C7">
        <w:t xml:space="preserve">arket </w:t>
      </w:r>
      <w:r w:rsidR="00232F8D">
        <w:t>P</w:t>
      </w:r>
      <w:r w:rsidR="00CC1A11" w:rsidRPr="00D426C7">
        <w:t>rocedures in 2000</w:t>
      </w:r>
      <w:r w:rsidR="00CC1A11">
        <w:t>.</w:t>
      </w:r>
      <w:r w:rsidR="00B95991">
        <w:t xml:space="preserve"> Under clause 17.1 of </w:t>
      </w:r>
      <w:r w:rsidR="00615B26">
        <w:t xml:space="preserve">JGN's Reference </w:t>
      </w:r>
      <w:r w:rsidR="00B95991" w:rsidRPr="00E71A00">
        <w:t>Service Agreement</w:t>
      </w:r>
      <w:r w:rsidR="00A12B01">
        <w:t>,</w:t>
      </w:r>
      <w:r w:rsidR="00B95991">
        <w:t xml:space="preserve"> m</w:t>
      </w:r>
      <w:r w:rsidR="00B95991" w:rsidRPr="00095959">
        <w:t xml:space="preserve">eter data services </w:t>
      </w:r>
      <w:r w:rsidR="00B95991">
        <w:t>and</w:t>
      </w:r>
      <w:r w:rsidR="00B95991" w:rsidRPr="00095959">
        <w:t xml:space="preserve"> haulage reference services</w:t>
      </w:r>
      <w:r w:rsidR="00B95991">
        <w:t xml:space="preserve"> are not currently </w:t>
      </w:r>
      <w:r w:rsidR="00A12B01">
        <w:t xml:space="preserve">separately </w:t>
      </w:r>
      <w:r w:rsidR="00B95991">
        <w:t>available. Further</w:t>
      </w:r>
      <w:r w:rsidR="00A12B01">
        <w:t>more,</w:t>
      </w:r>
      <w:r w:rsidR="00B95991">
        <w:t xml:space="preserve"> these services are only available from the gas distribution </w:t>
      </w:r>
      <w:r w:rsidR="00232F8D">
        <w:t>service provider</w:t>
      </w:r>
      <w:r w:rsidR="00B95991">
        <w:t xml:space="preserve">. We accept that merging them into one reference tariff would provide administrative simplicity. </w:t>
      </w:r>
      <w:r w:rsidR="00A12B01">
        <w:t>This is supported by the</w:t>
      </w:r>
      <w:r w:rsidR="00B95991">
        <w:t xml:space="preserve"> fact</w:t>
      </w:r>
      <w:r w:rsidR="00A12B01">
        <w:t xml:space="preserve"> that</w:t>
      </w:r>
      <w:r w:rsidR="00B95991">
        <w:t xml:space="preserve"> they are offered as a haulage reference service in other jurisdictions.</w:t>
      </w:r>
    </w:p>
    <w:p w:rsidR="00DE6B7E" w:rsidRDefault="00B95991" w:rsidP="00CC1A11">
      <w:r>
        <w:t xml:space="preserve">While we accept that the AEMC is currently contemplating a rule change to introduce </w:t>
      </w:r>
      <w:r w:rsidR="00A12B01">
        <w:t xml:space="preserve">electricity industry </w:t>
      </w:r>
      <w:r>
        <w:t xml:space="preserve">meter contestability, no such rule change has been contemplated in the gas </w:t>
      </w:r>
      <w:r w:rsidR="00DE6B7E">
        <w:t>industry. If</w:t>
      </w:r>
      <w:r>
        <w:t xml:space="preserve"> such a rule change was proposed and subsequently implemented then all gas </w:t>
      </w:r>
      <w:r w:rsidR="00DE6B7E">
        <w:t xml:space="preserve">network operators </w:t>
      </w:r>
      <w:r>
        <w:t xml:space="preserve">would be required to unbundle </w:t>
      </w:r>
      <w:r w:rsidR="00DE6B7E">
        <w:t xml:space="preserve">their </w:t>
      </w:r>
      <w:r w:rsidRPr="00095959">
        <w:t xml:space="preserve">meter data services </w:t>
      </w:r>
      <w:r>
        <w:t>from</w:t>
      </w:r>
      <w:r w:rsidRPr="00095959">
        <w:t xml:space="preserve"> haulage reference services</w:t>
      </w:r>
      <w:r>
        <w:t>.</w:t>
      </w:r>
    </w:p>
    <w:p w:rsidR="005D7BA2" w:rsidRDefault="00DE6B7E" w:rsidP="00DB5074">
      <w:r>
        <w:t>We will not</w:t>
      </w:r>
      <w:r w:rsidR="00B95991">
        <w:t xml:space="preserve"> pre-empt such a potential</w:t>
      </w:r>
      <w:r w:rsidR="00232F8D">
        <w:t>—</w:t>
      </w:r>
      <w:r>
        <w:t>and substantial</w:t>
      </w:r>
      <w:r w:rsidR="00232F8D">
        <w:t>—</w:t>
      </w:r>
      <w:r w:rsidR="00B95991">
        <w:t>change</w:t>
      </w:r>
      <w:r>
        <w:t>.</w:t>
      </w:r>
      <w:r w:rsidR="00B95991">
        <w:t xml:space="preserve"> </w:t>
      </w:r>
      <w:r w:rsidR="00232F8D">
        <w:t>We therefore consider it</w:t>
      </w:r>
      <w:r w:rsidR="00B95991">
        <w:t xml:space="preserve"> </w:t>
      </w:r>
      <w:r>
        <w:t xml:space="preserve">reasonable </w:t>
      </w:r>
      <w:r w:rsidR="00B95991">
        <w:t>to bring JGN</w:t>
      </w:r>
      <w:r>
        <w:t>'s</w:t>
      </w:r>
      <w:r w:rsidR="00B95991">
        <w:t xml:space="preserve"> </w:t>
      </w:r>
      <w:r>
        <w:t>services into</w:t>
      </w:r>
      <w:r w:rsidR="00B95991">
        <w:t xml:space="preserve"> line with</w:t>
      </w:r>
      <w:r>
        <w:t xml:space="preserve"> those</w:t>
      </w:r>
      <w:r w:rsidR="00B95991">
        <w:t xml:space="preserve"> </w:t>
      </w:r>
      <w:r>
        <w:t xml:space="preserve">of </w:t>
      </w:r>
      <w:r w:rsidR="00B95991">
        <w:t xml:space="preserve">other </w:t>
      </w:r>
      <w:r>
        <w:t>gas distributors</w:t>
      </w:r>
      <w:r w:rsidR="00CC1A11" w:rsidRPr="00E71A00">
        <w:t>.</w:t>
      </w:r>
      <w:r w:rsidR="00CC1A11">
        <w:rPr>
          <w:rStyle w:val="FootnoteReference"/>
        </w:rPr>
        <w:footnoteReference w:id="9"/>
      </w:r>
      <w:r w:rsidR="00CC1A11" w:rsidRPr="00E71A00">
        <w:t xml:space="preserve"> </w:t>
      </w:r>
    </w:p>
    <w:sectPr w:rsidR="005D7BA2"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fldChar w:fldCharType="begin"/>
        </w:r>
        <w:r>
          <w:instrText xml:space="preserve"> PAGE   \* MERGEFORMAT </w:instrText>
        </w:r>
        <w:r>
          <w:fldChar w:fldCharType="separate"/>
        </w:r>
        <w:r w:rsidR="00480C08">
          <w:rPr>
            <w:noProof/>
          </w:rPr>
          <w:t>1-0</w:t>
        </w:r>
        <w:r>
          <w:rPr>
            <w:noProof/>
          </w:rPr>
          <w:fldChar w:fldCharType="end"/>
        </w:r>
        <w:r w:rsidR="00DA61F3">
          <w:rPr>
            <w:noProof/>
          </w:rPr>
          <w:t xml:space="preserve">      </w:t>
        </w:r>
        <w:r w:rsidR="00DA61F3">
          <w:t xml:space="preserve">           </w:t>
        </w:r>
        <w:r w:rsidR="00DA61F3">
          <w:rPr>
            <w:noProof/>
          </w:rPr>
          <w:t xml:space="preserve"> </w:t>
        </w:r>
        <w:r>
          <w:rPr>
            <w:noProof/>
          </w:rPr>
          <w:t xml:space="preserve"> 1 </w:t>
        </w:r>
        <w:r>
          <w:rPr>
            <w:rFonts w:cs="Gautami"/>
            <w:noProof/>
          </w:rPr>
          <w:t xml:space="preserve">– </w:t>
        </w:r>
        <w:r w:rsidR="00FB5826">
          <w:t>Services covered by the access arrangement</w:t>
        </w:r>
        <w:r>
          <w:rPr>
            <w:rFonts w:cs="Gautami"/>
            <w:noProof/>
          </w:rPr>
          <w:t xml:space="preserve"> | </w:t>
        </w:r>
        <w:r w:rsidR="00AF1F9E">
          <w:t xml:space="preserve">Final decision: </w:t>
        </w:r>
        <w:r w:rsidR="00FB5826">
          <w:t>Jemena Gas Networks</w:t>
        </w:r>
        <w:r>
          <w:rPr>
            <w:rFonts w:cs="Gautami"/>
            <w:noProof/>
          </w:rPr>
          <w:t xml:space="preserve">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095959" w:rsidRDefault="00095959" w:rsidP="00095959">
      <w:pPr>
        <w:pStyle w:val="FootnoteText"/>
      </w:pPr>
      <w:r>
        <w:rPr>
          <w:rStyle w:val="FootnoteReference"/>
        </w:rPr>
        <w:footnoteRef/>
      </w:r>
      <w:r>
        <w:t xml:space="preserve"> </w:t>
      </w:r>
      <w:r>
        <w:tab/>
        <w:t>NGR, r. 48(1)(a) and (b).</w:t>
      </w:r>
    </w:p>
  </w:footnote>
  <w:footnote w:id="2">
    <w:p w:rsidR="009F254C" w:rsidRDefault="009F254C" w:rsidP="009F254C">
      <w:pPr>
        <w:pStyle w:val="FootnoteText"/>
      </w:pPr>
      <w:r>
        <w:rPr>
          <w:rStyle w:val="FootnoteReference"/>
        </w:rPr>
        <w:footnoteRef/>
      </w:r>
      <w:r>
        <w:t xml:space="preserve"> </w:t>
      </w:r>
      <w:r>
        <w:tab/>
        <w:t xml:space="preserve">JGN, </w:t>
      </w:r>
      <w:r w:rsidRPr="009F254C">
        <w:rPr>
          <w:rStyle w:val="AERtextitalic"/>
        </w:rPr>
        <w:t>2015-20 Access Arrangement Response to the AER's draft decision &amp; revised proposal</w:t>
      </w:r>
      <w:r>
        <w:t>, February 2015, pp. 3–4.</w:t>
      </w:r>
    </w:p>
  </w:footnote>
  <w:footnote w:id="3">
    <w:p w:rsidR="00095959" w:rsidRDefault="00095959" w:rsidP="00095959">
      <w:pPr>
        <w:pStyle w:val="FootnoteText"/>
      </w:pPr>
      <w:r>
        <w:rPr>
          <w:rStyle w:val="FootnoteReference"/>
        </w:rPr>
        <w:footnoteRef/>
      </w:r>
      <w:r>
        <w:t xml:space="preserve"> </w:t>
      </w:r>
      <w:r>
        <w:tab/>
        <w:t xml:space="preserve">AER, </w:t>
      </w:r>
      <w:r w:rsidRPr="00C2023F">
        <w:rPr>
          <w:rStyle w:val="AERtextitalic"/>
        </w:rPr>
        <w:t>Draft decision Jemena Gas Networks (NSW) Ltd Access arrangement 2015–20 Attachment 1 –</w:t>
      </w:r>
      <w:r>
        <w:rPr>
          <w:rStyle w:val="AERtextitalic"/>
        </w:rPr>
        <w:t>Services covered by the access arrangement</w:t>
      </w:r>
      <w:r>
        <w:t>, November 2014, p. 10.</w:t>
      </w:r>
    </w:p>
  </w:footnote>
  <w:footnote w:id="4">
    <w:p w:rsidR="00287559" w:rsidRDefault="00287559" w:rsidP="00287559">
      <w:pPr>
        <w:pStyle w:val="FootnoteText"/>
      </w:pPr>
      <w:r>
        <w:rPr>
          <w:rStyle w:val="FootnoteReference"/>
        </w:rPr>
        <w:footnoteRef/>
      </w:r>
      <w:r>
        <w:t xml:space="preserve"> </w:t>
      </w:r>
      <w:r>
        <w:tab/>
      </w:r>
      <w:r w:rsidRPr="009F254C">
        <w:t xml:space="preserve">JGN, </w:t>
      </w:r>
      <w:r w:rsidRPr="009F254C">
        <w:rPr>
          <w:rStyle w:val="AERtextitalic"/>
        </w:rPr>
        <w:t>2015-20 Access Arrangement Response to the AER's draft decision &amp; revised proposal</w:t>
      </w:r>
      <w:r w:rsidRPr="009F254C">
        <w:t>, February 2015, p. 3.</w:t>
      </w:r>
    </w:p>
  </w:footnote>
  <w:footnote w:id="5">
    <w:p w:rsidR="00232F8D" w:rsidRDefault="00232F8D" w:rsidP="00232F8D">
      <w:pPr>
        <w:pStyle w:val="FootnoteText"/>
      </w:pPr>
      <w:r>
        <w:rPr>
          <w:rStyle w:val="FootnoteReference"/>
        </w:rPr>
        <w:footnoteRef/>
      </w:r>
      <w:r>
        <w:t xml:space="preserve"> </w:t>
      </w:r>
      <w:r>
        <w:tab/>
        <w:t xml:space="preserve">AGL, </w:t>
      </w:r>
      <w:r w:rsidRPr="00876154">
        <w:rPr>
          <w:rStyle w:val="AERtextitalic"/>
        </w:rPr>
        <w:t>AGL Response to AER NSW Gas (Jemena) Draft Decision</w:t>
      </w:r>
      <w:r>
        <w:t xml:space="preserve">, 27 March 2015, p. 2; JGN, </w:t>
      </w:r>
      <w:r w:rsidRPr="00A96CD4">
        <w:rPr>
          <w:rStyle w:val="AERtextitalic"/>
        </w:rPr>
        <w:t>Jemena Gas Networks 2015-20 Access Arrangement Proposal – AGL Energy Limited submission</w:t>
      </w:r>
      <w:r>
        <w:t xml:space="preserve">, 30 January 2015, p. 8. </w:t>
      </w:r>
    </w:p>
  </w:footnote>
  <w:footnote w:id="6">
    <w:p w:rsidR="00876154" w:rsidRDefault="00876154" w:rsidP="00A96CD4">
      <w:pPr>
        <w:pStyle w:val="FootnoteText"/>
      </w:pPr>
      <w:r>
        <w:rPr>
          <w:rStyle w:val="FootnoteReference"/>
        </w:rPr>
        <w:footnoteRef/>
      </w:r>
      <w:r>
        <w:t xml:space="preserve"> </w:t>
      </w:r>
      <w:r>
        <w:tab/>
        <w:t xml:space="preserve">AGL, </w:t>
      </w:r>
      <w:r w:rsidRPr="00876154">
        <w:rPr>
          <w:rStyle w:val="AERtextitalic"/>
        </w:rPr>
        <w:t>AGL Response to AER NSW Gas (Jemena) Draft Decision</w:t>
      </w:r>
      <w:r>
        <w:t xml:space="preserve">, 27 March 2015, p. </w:t>
      </w:r>
      <w:r w:rsidR="00A96CD4">
        <w:t xml:space="preserve">2; JGN, </w:t>
      </w:r>
      <w:r w:rsidR="00A96CD4" w:rsidRPr="00A96CD4">
        <w:rPr>
          <w:rStyle w:val="AERtextitalic"/>
        </w:rPr>
        <w:t>Jemena Gas Networks 2015-20 Access Arrangement Proposal – AGL Energy Limited submission</w:t>
      </w:r>
      <w:r w:rsidR="00A96CD4">
        <w:t>, 30 January 2015, p. 8.</w:t>
      </w:r>
    </w:p>
  </w:footnote>
  <w:footnote w:id="7">
    <w:p w:rsidR="00232F8D" w:rsidRDefault="00232F8D" w:rsidP="00232F8D">
      <w:pPr>
        <w:pStyle w:val="FootnoteText"/>
      </w:pPr>
      <w:r>
        <w:rPr>
          <w:rStyle w:val="FootnoteReference"/>
        </w:rPr>
        <w:footnoteRef/>
      </w:r>
      <w:r>
        <w:t xml:space="preserve"> </w:t>
      </w:r>
      <w:r>
        <w:tab/>
        <w:t xml:space="preserve">AGL, </w:t>
      </w:r>
      <w:r w:rsidRPr="00876154">
        <w:rPr>
          <w:rStyle w:val="AERtextitalic"/>
        </w:rPr>
        <w:t>AGL Response to AER NSW Gas (Jemena) Draft Decision</w:t>
      </w:r>
      <w:r>
        <w:t>, 27 March 2015, p. 2.</w:t>
      </w:r>
    </w:p>
  </w:footnote>
  <w:footnote w:id="8">
    <w:p w:rsidR="00734E99" w:rsidRDefault="00734E99">
      <w:pPr>
        <w:pStyle w:val="FootnoteText"/>
      </w:pPr>
      <w:r>
        <w:rPr>
          <w:rStyle w:val="FootnoteReference"/>
        </w:rPr>
        <w:footnoteRef/>
      </w:r>
      <w:r>
        <w:t xml:space="preserve"> </w:t>
      </w:r>
      <w:r>
        <w:tab/>
        <w:t xml:space="preserve">AGL, </w:t>
      </w:r>
      <w:r w:rsidRPr="00876154">
        <w:rPr>
          <w:rStyle w:val="AERtextitalic"/>
        </w:rPr>
        <w:t>AGL Response to AER NSW Gas (Jemena) Draft Decision</w:t>
      </w:r>
      <w:r>
        <w:t>, 27 March 2015, p. 2.</w:t>
      </w:r>
    </w:p>
  </w:footnote>
  <w:footnote w:id="9">
    <w:p w:rsidR="00CC1A11" w:rsidRDefault="00CC1A11" w:rsidP="00CC1A11">
      <w:pPr>
        <w:pStyle w:val="FootnoteText"/>
      </w:pPr>
      <w:r>
        <w:rPr>
          <w:rStyle w:val="FootnoteReference"/>
        </w:rPr>
        <w:footnoteRef/>
      </w:r>
      <w:r>
        <w:t xml:space="preserve"> </w:t>
      </w:r>
      <w:r>
        <w:tab/>
        <w:t xml:space="preserve">AGL, </w:t>
      </w:r>
      <w:r w:rsidRPr="00876154">
        <w:rPr>
          <w:rStyle w:val="AERtextitalic"/>
        </w:rPr>
        <w:t>AGL Response to AER NSW Gas (Jemena) Draft Decision</w:t>
      </w:r>
      <w:r>
        <w:t xml:space="preserve">, 27 March 2015, p. 2; AER, </w:t>
      </w:r>
      <w:r w:rsidRPr="009F254C">
        <w:rPr>
          <w:rStyle w:val="AERtextitalic"/>
        </w:rPr>
        <w:t>Draft decision Jemena Gas Networks (NSW) Ltd Access arrangement 2015-20 Attachment 1 - Services covered by the access arrangement</w:t>
      </w:r>
      <w:r>
        <w:t>, November 2014, pp. 12–13.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2784418"/>
    <w:multiLevelType w:val="multilevel"/>
    <w:tmpl w:val="950A1C52"/>
    <w:numStyleLink w:val="AERHeadings"/>
  </w:abstractNum>
  <w:abstractNum w:abstractNumId="24">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7244F3C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0"/>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19"/>
  </w:num>
  <w:num w:numId="28">
    <w:abstractNumId w:val="17"/>
  </w:num>
  <w:num w:numId="29">
    <w:abstractNumId w:val="15"/>
  </w:num>
  <w:num w:numId="30">
    <w:abstractNumId w:val="34"/>
  </w:num>
  <w:num w:numId="31">
    <w:abstractNumId w:val="14"/>
  </w:num>
  <w:num w:numId="32">
    <w:abstractNumId w:val="22"/>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3"/>
  </w:num>
  <w:num w:numId="38">
    <w:abstractNumId w:val="24"/>
  </w:num>
  <w:num w:numId="3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z00F/2Bi0rz1NFGRGc7zRdi1S0KZYIzLH+kt4SNUUJk=" w:saltValue="NtzFFULbbORuci61UpKV+A==" w:algorithmName="SHA-256"/>
  <w:defaultTabStop w:val="34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JGN gas 2015 reset\COORD ONLY Final decision - Public\Overview and attachments - Public\AER - Final Decision JGN distribution access arrangement - Attachment 1 - Services covered by the access arrangement - June 2015.docx"/>
  </w:docVars>
  <w:rsids>
    <w:rsidRoot w:val="00961A4A"/>
    <w:rsid w:val="00021202"/>
    <w:rsid w:val="0002517F"/>
    <w:rsid w:val="0003578C"/>
    <w:rsid w:val="00063247"/>
    <w:rsid w:val="00070F9F"/>
    <w:rsid w:val="0007137B"/>
    <w:rsid w:val="00085663"/>
    <w:rsid w:val="00085EBF"/>
    <w:rsid w:val="00095959"/>
    <w:rsid w:val="000A3020"/>
    <w:rsid w:val="000A6C7B"/>
    <w:rsid w:val="000D122C"/>
    <w:rsid w:val="000E1819"/>
    <w:rsid w:val="000E4821"/>
    <w:rsid w:val="000E6C72"/>
    <w:rsid w:val="00116EB2"/>
    <w:rsid w:val="00124609"/>
    <w:rsid w:val="00126A4C"/>
    <w:rsid w:val="00135123"/>
    <w:rsid w:val="0014573B"/>
    <w:rsid w:val="00153FDE"/>
    <w:rsid w:val="001573E4"/>
    <w:rsid w:val="00160756"/>
    <w:rsid w:val="0017232E"/>
    <w:rsid w:val="00174102"/>
    <w:rsid w:val="00180157"/>
    <w:rsid w:val="00185CB9"/>
    <w:rsid w:val="00186F77"/>
    <w:rsid w:val="001926A4"/>
    <w:rsid w:val="00192AD5"/>
    <w:rsid w:val="001B45A0"/>
    <w:rsid w:val="001D055E"/>
    <w:rsid w:val="001D21CB"/>
    <w:rsid w:val="001F492E"/>
    <w:rsid w:val="001F6DA3"/>
    <w:rsid w:val="002010BC"/>
    <w:rsid w:val="00202E03"/>
    <w:rsid w:val="0020492C"/>
    <w:rsid w:val="0020492D"/>
    <w:rsid w:val="00224DB9"/>
    <w:rsid w:val="00232F8D"/>
    <w:rsid w:val="00233775"/>
    <w:rsid w:val="00251745"/>
    <w:rsid w:val="00263AC0"/>
    <w:rsid w:val="00264264"/>
    <w:rsid w:val="0026772D"/>
    <w:rsid w:val="00281236"/>
    <w:rsid w:val="00286874"/>
    <w:rsid w:val="00287559"/>
    <w:rsid w:val="00290C63"/>
    <w:rsid w:val="00296B65"/>
    <w:rsid w:val="002A7DEF"/>
    <w:rsid w:val="002D4610"/>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92E78"/>
    <w:rsid w:val="003B484F"/>
    <w:rsid w:val="003D4CDA"/>
    <w:rsid w:val="003F174D"/>
    <w:rsid w:val="0045777E"/>
    <w:rsid w:val="00480B4B"/>
    <w:rsid w:val="00480C08"/>
    <w:rsid w:val="00485DC4"/>
    <w:rsid w:val="004A43D1"/>
    <w:rsid w:val="004B4412"/>
    <w:rsid w:val="004C348C"/>
    <w:rsid w:val="004D55BA"/>
    <w:rsid w:val="004E22EC"/>
    <w:rsid w:val="005158AF"/>
    <w:rsid w:val="00530128"/>
    <w:rsid w:val="00532467"/>
    <w:rsid w:val="00544520"/>
    <w:rsid w:val="00564A4D"/>
    <w:rsid w:val="005676A8"/>
    <w:rsid w:val="00567BA5"/>
    <w:rsid w:val="00571B35"/>
    <w:rsid w:val="00571D57"/>
    <w:rsid w:val="00577A09"/>
    <w:rsid w:val="005829C2"/>
    <w:rsid w:val="00584D8F"/>
    <w:rsid w:val="005A404D"/>
    <w:rsid w:val="005B1E3C"/>
    <w:rsid w:val="005B6D20"/>
    <w:rsid w:val="005C26CC"/>
    <w:rsid w:val="005C742E"/>
    <w:rsid w:val="005D7BA2"/>
    <w:rsid w:val="005E36C2"/>
    <w:rsid w:val="00615B26"/>
    <w:rsid w:val="00615C6B"/>
    <w:rsid w:val="00621DCE"/>
    <w:rsid w:val="00632D6D"/>
    <w:rsid w:val="00642C3E"/>
    <w:rsid w:val="0066104A"/>
    <w:rsid w:val="00663DAD"/>
    <w:rsid w:val="00675E20"/>
    <w:rsid w:val="00676679"/>
    <w:rsid w:val="00683C89"/>
    <w:rsid w:val="006B2395"/>
    <w:rsid w:val="006B4CF9"/>
    <w:rsid w:val="006B7AC8"/>
    <w:rsid w:val="006D550F"/>
    <w:rsid w:val="00701CAB"/>
    <w:rsid w:val="00707563"/>
    <w:rsid w:val="0072348C"/>
    <w:rsid w:val="00724A37"/>
    <w:rsid w:val="007303C3"/>
    <w:rsid w:val="00734E99"/>
    <w:rsid w:val="007429BE"/>
    <w:rsid w:val="00743223"/>
    <w:rsid w:val="00746E01"/>
    <w:rsid w:val="00757BDF"/>
    <w:rsid w:val="00763E5D"/>
    <w:rsid w:val="00767740"/>
    <w:rsid w:val="00777EE6"/>
    <w:rsid w:val="00782EEA"/>
    <w:rsid w:val="007A4EEA"/>
    <w:rsid w:val="007B1A07"/>
    <w:rsid w:val="007B2C72"/>
    <w:rsid w:val="007B49E1"/>
    <w:rsid w:val="007C1C53"/>
    <w:rsid w:val="007C74BB"/>
    <w:rsid w:val="007E4904"/>
    <w:rsid w:val="007E4CB5"/>
    <w:rsid w:val="007F066B"/>
    <w:rsid w:val="008033C4"/>
    <w:rsid w:val="00806C88"/>
    <w:rsid w:val="0081034E"/>
    <w:rsid w:val="008344F6"/>
    <w:rsid w:val="0083510F"/>
    <w:rsid w:val="00851209"/>
    <w:rsid w:val="00876154"/>
    <w:rsid w:val="00877065"/>
    <w:rsid w:val="008837AC"/>
    <w:rsid w:val="008A587D"/>
    <w:rsid w:val="008B35CD"/>
    <w:rsid w:val="008B5FCC"/>
    <w:rsid w:val="008C5486"/>
    <w:rsid w:val="008D1661"/>
    <w:rsid w:val="008E7031"/>
    <w:rsid w:val="008E77DE"/>
    <w:rsid w:val="008F07A3"/>
    <w:rsid w:val="00900E1B"/>
    <w:rsid w:val="0091051C"/>
    <w:rsid w:val="009233EE"/>
    <w:rsid w:val="009460AA"/>
    <w:rsid w:val="00951978"/>
    <w:rsid w:val="00961A4A"/>
    <w:rsid w:val="009661DE"/>
    <w:rsid w:val="00983C25"/>
    <w:rsid w:val="009856B7"/>
    <w:rsid w:val="00985C86"/>
    <w:rsid w:val="009A5FC3"/>
    <w:rsid w:val="009B74B0"/>
    <w:rsid w:val="009C0EE6"/>
    <w:rsid w:val="009D6B46"/>
    <w:rsid w:val="009F254C"/>
    <w:rsid w:val="009F4940"/>
    <w:rsid w:val="009F5BA1"/>
    <w:rsid w:val="00A008B4"/>
    <w:rsid w:val="00A02A88"/>
    <w:rsid w:val="00A0562E"/>
    <w:rsid w:val="00A0726D"/>
    <w:rsid w:val="00A12B01"/>
    <w:rsid w:val="00A32FBB"/>
    <w:rsid w:val="00A428EE"/>
    <w:rsid w:val="00A4478A"/>
    <w:rsid w:val="00A44852"/>
    <w:rsid w:val="00A57D04"/>
    <w:rsid w:val="00A60A26"/>
    <w:rsid w:val="00A61598"/>
    <w:rsid w:val="00A84A99"/>
    <w:rsid w:val="00A84F46"/>
    <w:rsid w:val="00A871F4"/>
    <w:rsid w:val="00A925AE"/>
    <w:rsid w:val="00A94DF7"/>
    <w:rsid w:val="00A96CD4"/>
    <w:rsid w:val="00AC1B2C"/>
    <w:rsid w:val="00AC3264"/>
    <w:rsid w:val="00AE1BF1"/>
    <w:rsid w:val="00AF0DD2"/>
    <w:rsid w:val="00AF1F9E"/>
    <w:rsid w:val="00B12C5E"/>
    <w:rsid w:val="00B13048"/>
    <w:rsid w:val="00B1716D"/>
    <w:rsid w:val="00B17A1D"/>
    <w:rsid w:val="00B207A0"/>
    <w:rsid w:val="00B514DD"/>
    <w:rsid w:val="00B52AF0"/>
    <w:rsid w:val="00B561BD"/>
    <w:rsid w:val="00B56E03"/>
    <w:rsid w:val="00B8080B"/>
    <w:rsid w:val="00B85786"/>
    <w:rsid w:val="00B879EA"/>
    <w:rsid w:val="00B87BA5"/>
    <w:rsid w:val="00B87C39"/>
    <w:rsid w:val="00B95991"/>
    <w:rsid w:val="00BA4665"/>
    <w:rsid w:val="00BB2FB2"/>
    <w:rsid w:val="00BB3304"/>
    <w:rsid w:val="00BC69B3"/>
    <w:rsid w:val="00BD3446"/>
    <w:rsid w:val="00BE1F1B"/>
    <w:rsid w:val="00BE47B5"/>
    <w:rsid w:val="00BE7C12"/>
    <w:rsid w:val="00C00170"/>
    <w:rsid w:val="00C25FA6"/>
    <w:rsid w:val="00C538A9"/>
    <w:rsid w:val="00C53B5A"/>
    <w:rsid w:val="00C54F5A"/>
    <w:rsid w:val="00C569B4"/>
    <w:rsid w:val="00C67A92"/>
    <w:rsid w:val="00C756C5"/>
    <w:rsid w:val="00C84DB9"/>
    <w:rsid w:val="00C86679"/>
    <w:rsid w:val="00CA489E"/>
    <w:rsid w:val="00CB0279"/>
    <w:rsid w:val="00CB45FB"/>
    <w:rsid w:val="00CB666B"/>
    <w:rsid w:val="00CC1A11"/>
    <w:rsid w:val="00CC7F1D"/>
    <w:rsid w:val="00CE1FA9"/>
    <w:rsid w:val="00CE6A32"/>
    <w:rsid w:val="00CF1015"/>
    <w:rsid w:val="00D006AE"/>
    <w:rsid w:val="00D01CF0"/>
    <w:rsid w:val="00D0442A"/>
    <w:rsid w:val="00D0577F"/>
    <w:rsid w:val="00D0595C"/>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D5364"/>
    <w:rsid w:val="00DE1093"/>
    <w:rsid w:val="00DE4EFA"/>
    <w:rsid w:val="00DE5520"/>
    <w:rsid w:val="00DE563D"/>
    <w:rsid w:val="00DE6B7E"/>
    <w:rsid w:val="00E04818"/>
    <w:rsid w:val="00E06442"/>
    <w:rsid w:val="00E23993"/>
    <w:rsid w:val="00E25B8C"/>
    <w:rsid w:val="00E65C85"/>
    <w:rsid w:val="00E66199"/>
    <w:rsid w:val="00E71A00"/>
    <w:rsid w:val="00E755EC"/>
    <w:rsid w:val="00E7624D"/>
    <w:rsid w:val="00EA3D42"/>
    <w:rsid w:val="00EA6B1B"/>
    <w:rsid w:val="00EC3063"/>
    <w:rsid w:val="00ED7323"/>
    <w:rsid w:val="00EE28F3"/>
    <w:rsid w:val="00EF5110"/>
    <w:rsid w:val="00F10411"/>
    <w:rsid w:val="00F15882"/>
    <w:rsid w:val="00F171E0"/>
    <w:rsid w:val="00F20BD3"/>
    <w:rsid w:val="00F373A5"/>
    <w:rsid w:val="00F474F4"/>
    <w:rsid w:val="00F47559"/>
    <w:rsid w:val="00F60E17"/>
    <w:rsid w:val="00F64C7B"/>
    <w:rsid w:val="00F676DD"/>
    <w:rsid w:val="00F75A26"/>
    <w:rsid w:val="00F76706"/>
    <w:rsid w:val="00F83FAD"/>
    <w:rsid w:val="00F90ADF"/>
    <w:rsid w:val="00F91F9A"/>
    <w:rsid w:val="00F952A0"/>
    <w:rsid w:val="00FA3C7F"/>
    <w:rsid w:val="00FB5826"/>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4ECA047</Template>
  <TotalTime>0</TotalTime>
  <Pages>7</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2015-05-31T23:18:00Z</dcterms:created>
  <dcterms:modified xsi:type="dcterms:W3CDTF">2015-05-31T23:18:00Z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