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E11CE0F" wp14:editId="4C1AE2C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w:t>
          </w:r>
          <w:bookmarkStart w:id="0" w:name="_GoBack"/>
          <w:bookmarkEnd w:id="0"/>
          <w:r w:rsidR="00DA4752">
            <w: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60243">
            <w:t>10</w:t>
          </w:r>
          <w:r>
            <w:t xml:space="preserve"> </w:t>
          </w:r>
          <w:r w:rsidR="00415F31">
            <w:rPr>
              <w:rFonts w:cs="Arial"/>
            </w:rPr>
            <w:t>–</w:t>
          </w:r>
          <w:r>
            <w:t xml:space="preserve"> </w:t>
          </w:r>
          <w:r w:rsidR="00D60243">
            <w:t>Capital expenditure</w:t>
          </w:r>
          <w:r w:rsidR="002C585C">
            <w:t xml:space="preserve"> sharing scheme (</w:t>
          </w:r>
          <w:r w:rsidR="00D60243">
            <w:t>CE</w:t>
          </w:r>
          <w:r w:rsidR="002C585C">
            <w:t>SS)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319835"/>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31983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432A4"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319835" w:history="1">
            <w:r w:rsidR="00A432A4" w:rsidRPr="00141DEA">
              <w:rPr>
                <w:rStyle w:val="Hyperlink"/>
              </w:rPr>
              <w:t>Note</w:t>
            </w:r>
            <w:r w:rsidR="00A432A4">
              <w:rPr>
                <w:webHidden/>
              </w:rPr>
              <w:tab/>
            </w:r>
            <w:r w:rsidR="00A432A4">
              <w:rPr>
                <w:webHidden/>
              </w:rPr>
              <w:fldChar w:fldCharType="begin"/>
            </w:r>
            <w:r w:rsidR="00A432A4">
              <w:rPr>
                <w:webHidden/>
              </w:rPr>
              <w:instrText xml:space="preserve"> PAGEREF _Toc417319835 \h </w:instrText>
            </w:r>
            <w:r w:rsidR="00A432A4">
              <w:rPr>
                <w:webHidden/>
              </w:rPr>
            </w:r>
            <w:r w:rsidR="00A432A4">
              <w:rPr>
                <w:webHidden/>
              </w:rPr>
              <w:fldChar w:fldCharType="separate"/>
            </w:r>
            <w:r w:rsidR="00C47641">
              <w:rPr>
                <w:webHidden/>
              </w:rPr>
              <w:t>10-2</w:t>
            </w:r>
            <w:r w:rsidR="00A432A4">
              <w:rPr>
                <w:webHidden/>
              </w:rPr>
              <w:fldChar w:fldCharType="end"/>
            </w:r>
          </w:hyperlink>
        </w:p>
        <w:p w:rsidR="00A432A4" w:rsidRDefault="00C47641">
          <w:pPr>
            <w:pStyle w:val="TOC1"/>
            <w:rPr>
              <w:rFonts w:asciiTheme="minorHAnsi" w:eastAsiaTheme="minorEastAsia" w:hAnsiTheme="minorHAnsi"/>
              <w:b w:val="0"/>
              <w:color w:val="auto"/>
              <w:sz w:val="22"/>
              <w:lang w:val="en-AU" w:eastAsia="en-AU"/>
            </w:rPr>
          </w:pPr>
          <w:hyperlink w:anchor="_Toc417319836" w:history="1">
            <w:r w:rsidR="00A432A4" w:rsidRPr="00141DEA">
              <w:rPr>
                <w:rStyle w:val="Hyperlink"/>
              </w:rPr>
              <w:t>Contents</w:t>
            </w:r>
            <w:r w:rsidR="00A432A4">
              <w:rPr>
                <w:webHidden/>
              </w:rPr>
              <w:tab/>
            </w:r>
            <w:r w:rsidR="00A432A4">
              <w:rPr>
                <w:webHidden/>
              </w:rPr>
              <w:fldChar w:fldCharType="begin"/>
            </w:r>
            <w:r w:rsidR="00A432A4">
              <w:rPr>
                <w:webHidden/>
              </w:rPr>
              <w:instrText xml:space="preserve"> PAGEREF _Toc417319836 \h </w:instrText>
            </w:r>
            <w:r w:rsidR="00A432A4">
              <w:rPr>
                <w:webHidden/>
              </w:rPr>
            </w:r>
            <w:r w:rsidR="00A432A4">
              <w:rPr>
                <w:webHidden/>
              </w:rPr>
              <w:fldChar w:fldCharType="separate"/>
            </w:r>
            <w:r>
              <w:rPr>
                <w:webHidden/>
              </w:rPr>
              <w:t>10-3</w:t>
            </w:r>
            <w:r w:rsidR="00A432A4">
              <w:rPr>
                <w:webHidden/>
              </w:rPr>
              <w:fldChar w:fldCharType="end"/>
            </w:r>
          </w:hyperlink>
        </w:p>
        <w:p w:rsidR="00A432A4" w:rsidRDefault="00C47641">
          <w:pPr>
            <w:pStyle w:val="TOC1"/>
            <w:rPr>
              <w:rFonts w:asciiTheme="minorHAnsi" w:eastAsiaTheme="minorEastAsia" w:hAnsiTheme="minorHAnsi"/>
              <w:b w:val="0"/>
              <w:color w:val="auto"/>
              <w:sz w:val="22"/>
              <w:lang w:val="en-AU" w:eastAsia="en-AU"/>
            </w:rPr>
          </w:pPr>
          <w:hyperlink w:anchor="_Toc417319837" w:history="1">
            <w:r w:rsidR="00A432A4" w:rsidRPr="00141DEA">
              <w:rPr>
                <w:rStyle w:val="Hyperlink"/>
              </w:rPr>
              <w:t>Shortened forms</w:t>
            </w:r>
            <w:r w:rsidR="00A432A4">
              <w:rPr>
                <w:webHidden/>
              </w:rPr>
              <w:tab/>
            </w:r>
            <w:r w:rsidR="00A432A4">
              <w:rPr>
                <w:webHidden/>
              </w:rPr>
              <w:fldChar w:fldCharType="begin"/>
            </w:r>
            <w:r w:rsidR="00A432A4">
              <w:rPr>
                <w:webHidden/>
              </w:rPr>
              <w:instrText xml:space="preserve"> PAGEREF _Toc417319837 \h </w:instrText>
            </w:r>
            <w:r w:rsidR="00A432A4">
              <w:rPr>
                <w:webHidden/>
              </w:rPr>
            </w:r>
            <w:r w:rsidR="00A432A4">
              <w:rPr>
                <w:webHidden/>
              </w:rPr>
              <w:fldChar w:fldCharType="separate"/>
            </w:r>
            <w:r>
              <w:rPr>
                <w:webHidden/>
              </w:rPr>
              <w:t>10-4</w:t>
            </w:r>
            <w:r w:rsidR="00A432A4">
              <w:rPr>
                <w:webHidden/>
              </w:rPr>
              <w:fldChar w:fldCharType="end"/>
            </w:r>
          </w:hyperlink>
        </w:p>
        <w:p w:rsidR="00A432A4" w:rsidRDefault="00C47641">
          <w:pPr>
            <w:pStyle w:val="TOC1"/>
            <w:rPr>
              <w:rFonts w:asciiTheme="minorHAnsi" w:eastAsiaTheme="minorEastAsia" w:hAnsiTheme="minorHAnsi"/>
              <w:b w:val="0"/>
              <w:color w:val="auto"/>
              <w:sz w:val="22"/>
              <w:lang w:val="en-AU" w:eastAsia="en-AU"/>
            </w:rPr>
          </w:pPr>
          <w:hyperlink w:anchor="_Toc417319838" w:history="1">
            <w:r w:rsidR="00A432A4" w:rsidRPr="00141DEA">
              <w:rPr>
                <w:rStyle w:val="Hyperlink"/>
              </w:rPr>
              <w:t>10</w:t>
            </w:r>
            <w:r w:rsidR="00A432A4">
              <w:rPr>
                <w:rFonts w:asciiTheme="minorHAnsi" w:eastAsiaTheme="minorEastAsia" w:hAnsiTheme="minorHAnsi"/>
                <w:b w:val="0"/>
                <w:color w:val="auto"/>
                <w:sz w:val="22"/>
                <w:lang w:val="en-AU" w:eastAsia="en-AU"/>
              </w:rPr>
              <w:tab/>
            </w:r>
            <w:r w:rsidR="00A432A4" w:rsidRPr="00141DEA">
              <w:rPr>
                <w:rStyle w:val="Hyperlink"/>
              </w:rPr>
              <w:t>Capital expenditure sharing scheme</w:t>
            </w:r>
            <w:r w:rsidR="00A432A4">
              <w:rPr>
                <w:webHidden/>
              </w:rPr>
              <w:tab/>
            </w:r>
            <w:r w:rsidR="00A432A4">
              <w:rPr>
                <w:webHidden/>
              </w:rPr>
              <w:fldChar w:fldCharType="begin"/>
            </w:r>
            <w:r w:rsidR="00A432A4">
              <w:rPr>
                <w:webHidden/>
              </w:rPr>
              <w:instrText xml:space="preserve"> PAGEREF _Toc417319838 \h </w:instrText>
            </w:r>
            <w:r w:rsidR="00A432A4">
              <w:rPr>
                <w:webHidden/>
              </w:rPr>
            </w:r>
            <w:r w:rsidR="00A432A4">
              <w:rPr>
                <w:webHidden/>
              </w:rPr>
              <w:fldChar w:fldCharType="separate"/>
            </w:r>
            <w:r>
              <w:rPr>
                <w:webHidden/>
              </w:rPr>
              <w:t>10-6</w:t>
            </w:r>
            <w:r w:rsidR="00A432A4">
              <w:rPr>
                <w:webHidden/>
              </w:rPr>
              <w:fldChar w:fldCharType="end"/>
            </w:r>
          </w:hyperlink>
        </w:p>
        <w:p w:rsidR="00A432A4" w:rsidRDefault="00C47641">
          <w:pPr>
            <w:pStyle w:val="TOC2"/>
            <w:tabs>
              <w:tab w:val="left" w:pos="1276"/>
            </w:tabs>
            <w:rPr>
              <w:rFonts w:asciiTheme="minorHAnsi" w:eastAsiaTheme="minorEastAsia" w:hAnsiTheme="minorHAnsi"/>
              <w:b w:val="0"/>
              <w:color w:val="auto"/>
              <w:sz w:val="22"/>
              <w:lang w:eastAsia="en-AU"/>
            </w:rPr>
          </w:pPr>
          <w:hyperlink w:anchor="_Toc417319839" w:history="1">
            <w:r w:rsidR="00A432A4" w:rsidRPr="00141DEA">
              <w:rPr>
                <w:rStyle w:val="Hyperlink"/>
              </w:rPr>
              <w:t>10.1</w:t>
            </w:r>
            <w:r w:rsidR="00A432A4">
              <w:rPr>
                <w:rFonts w:asciiTheme="minorHAnsi" w:eastAsiaTheme="minorEastAsia" w:hAnsiTheme="minorHAnsi"/>
                <w:b w:val="0"/>
                <w:color w:val="auto"/>
                <w:sz w:val="22"/>
                <w:lang w:eastAsia="en-AU"/>
              </w:rPr>
              <w:tab/>
            </w:r>
            <w:r w:rsidR="00A432A4" w:rsidRPr="00141DEA">
              <w:rPr>
                <w:rStyle w:val="Hyperlink"/>
              </w:rPr>
              <w:t>Final decision</w:t>
            </w:r>
            <w:r w:rsidR="00A432A4">
              <w:rPr>
                <w:webHidden/>
              </w:rPr>
              <w:tab/>
            </w:r>
            <w:r w:rsidR="00A432A4">
              <w:rPr>
                <w:webHidden/>
              </w:rPr>
              <w:fldChar w:fldCharType="begin"/>
            </w:r>
            <w:r w:rsidR="00A432A4">
              <w:rPr>
                <w:webHidden/>
              </w:rPr>
              <w:instrText xml:space="preserve"> PAGEREF _Toc417319839 \h </w:instrText>
            </w:r>
            <w:r w:rsidR="00A432A4">
              <w:rPr>
                <w:webHidden/>
              </w:rPr>
            </w:r>
            <w:r w:rsidR="00A432A4">
              <w:rPr>
                <w:webHidden/>
              </w:rPr>
              <w:fldChar w:fldCharType="separate"/>
            </w:r>
            <w:r>
              <w:rPr>
                <w:webHidden/>
              </w:rPr>
              <w:t>10-7</w:t>
            </w:r>
            <w:r w:rsidR="00A432A4">
              <w:rPr>
                <w:webHidden/>
              </w:rPr>
              <w:fldChar w:fldCharType="end"/>
            </w:r>
          </w:hyperlink>
        </w:p>
        <w:p w:rsidR="00A432A4" w:rsidRDefault="00C47641">
          <w:pPr>
            <w:pStyle w:val="TOC2"/>
            <w:tabs>
              <w:tab w:val="left" w:pos="1276"/>
            </w:tabs>
            <w:rPr>
              <w:rFonts w:asciiTheme="minorHAnsi" w:eastAsiaTheme="minorEastAsia" w:hAnsiTheme="minorHAnsi"/>
              <w:b w:val="0"/>
              <w:color w:val="auto"/>
              <w:sz w:val="22"/>
              <w:lang w:eastAsia="en-AU"/>
            </w:rPr>
          </w:pPr>
          <w:hyperlink w:anchor="_Toc417319840" w:history="1">
            <w:r w:rsidR="00A432A4" w:rsidRPr="00141DEA">
              <w:rPr>
                <w:rStyle w:val="Hyperlink"/>
              </w:rPr>
              <w:t>10.2</w:t>
            </w:r>
            <w:r w:rsidR="00A432A4">
              <w:rPr>
                <w:rFonts w:asciiTheme="minorHAnsi" w:eastAsiaTheme="minorEastAsia" w:hAnsiTheme="minorHAnsi"/>
                <w:b w:val="0"/>
                <w:color w:val="auto"/>
                <w:sz w:val="22"/>
                <w:lang w:eastAsia="en-AU"/>
              </w:rPr>
              <w:tab/>
            </w:r>
            <w:r w:rsidR="00A432A4" w:rsidRPr="00141DEA">
              <w:rPr>
                <w:rStyle w:val="Hyperlink"/>
              </w:rPr>
              <w:t>TransGrid's revised proposal</w:t>
            </w:r>
            <w:r w:rsidR="00A432A4">
              <w:rPr>
                <w:webHidden/>
              </w:rPr>
              <w:tab/>
            </w:r>
            <w:r w:rsidR="00A432A4">
              <w:rPr>
                <w:webHidden/>
              </w:rPr>
              <w:fldChar w:fldCharType="begin"/>
            </w:r>
            <w:r w:rsidR="00A432A4">
              <w:rPr>
                <w:webHidden/>
              </w:rPr>
              <w:instrText xml:space="preserve"> PAGEREF _Toc417319840 \h </w:instrText>
            </w:r>
            <w:r w:rsidR="00A432A4">
              <w:rPr>
                <w:webHidden/>
              </w:rPr>
            </w:r>
            <w:r w:rsidR="00A432A4">
              <w:rPr>
                <w:webHidden/>
              </w:rPr>
              <w:fldChar w:fldCharType="separate"/>
            </w:r>
            <w:r>
              <w:rPr>
                <w:webHidden/>
              </w:rPr>
              <w:t>10-7</w:t>
            </w:r>
            <w:r w:rsidR="00A432A4">
              <w:rPr>
                <w:webHidden/>
              </w:rPr>
              <w:fldChar w:fldCharType="end"/>
            </w:r>
          </w:hyperlink>
        </w:p>
        <w:p w:rsidR="00A432A4" w:rsidRDefault="00C47641">
          <w:pPr>
            <w:pStyle w:val="TOC2"/>
            <w:tabs>
              <w:tab w:val="left" w:pos="1276"/>
            </w:tabs>
            <w:rPr>
              <w:rFonts w:asciiTheme="minorHAnsi" w:eastAsiaTheme="minorEastAsia" w:hAnsiTheme="minorHAnsi"/>
              <w:b w:val="0"/>
              <w:color w:val="auto"/>
              <w:sz w:val="22"/>
              <w:lang w:eastAsia="en-AU"/>
            </w:rPr>
          </w:pPr>
          <w:hyperlink w:anchor="_Toc417319841" w:history="1">
            <w:r w:rsidR="00A432A4" w:rsidRPr="00141DEA">
              <w:rPr>
                <w:rStyle w:val="Hyperlink"/>
              </w:rPr>
              <w:t>10.3</w:t>
            </w:r>
            <w:r w:rsidR="00A432A4">
              <w:rPr>
                <w:rFonts w:asciiTheme="minorHAnsi" w:eastAsiaTheme="minorEastAsia" w:hAnsiTheme="minorHAnsi"/>
                <w:b w:val="0"/>
                <w:color w:val="auto"/>
                <w:sz w:val="22"/>
                <w:lang w:eastAsia="en-AU"/>
              </w:rPr>
              <w:tab/>
            </w:r>
            <w:r w:rsidR="00A432A4" w:rsidRPr="00141DEA">
              <w:rPr>
                <w:rStyle w:val="Hyperlink"/>
              </w:rPr>
              <w:t>AER's assessment approach</w:t>
            </w:r>
            <w:r w:rsidR="00A432A4">
              <w:rPr>
                <w:webHidden/>
              </w:rPr>
              <w:tab/>
            </w:r>
            <w:r w:rsidR="00A432A4">
              <w:rPr>
                <w:webHidden/>
              </w:rPr>
              <w:fldChar w:fldCharType="begin"/>
            </w:r>
            <w:r w:rsidR="00A432A4">
              <w:rPr>
                <w:webHidden/>
              </w:rPr>
              <w:instrText xml:space="preserve"> PAGEREF _Toc417319841 \h </w:instrText>
            </w:r>
            <w:r w:rsidR="00A432A4">
              <w:rPr>
                <w:webHidden/>
              </w:rPr>
            </w:r>
            <w:r w:rsidR="00A432A4">
              <w:rPr>
                <w:webHidden/>
              </w:rPr>
              <w:fldChar w:fldCharType="separate"/>
            </w:r>
            <w:r>
              <w:rPr>
                <w:webHidden/>
              </w:rPr>
              <w:t>10-7</w:t>
            </w:r>
            <w:r w:rsidR="00A432A4">
              <w:rPr>
                <w:webHidden/>
              </w:rPr>
              <w:fldChar w:fldCharType="end"/>
            </w:r>
          </w:hyperlink>
        </w:p>
        <w:p w:rsidR="00A432A4" w:rsidRDefault="00C47641">
          <w:pPr>
            <w:pStyle w:val="TOC3"/>
            <w:rPr>
              <w:rFonts w:asciiTheme="minorHAnsi" w:eastAsiaTheme="minorEastAsia" w:hAnsiTheme="minorHAnsi"/>
              <w:lang w:eastAsia="en-AU"/>
            </w:rPr>
          </w:pPr>
          <w:hyperlink w:anchor="_Toc417319842" w:history="1">
            <w:r w:rsidR="00A432A4" w:rsidRPr="00141DEA">
              <w:rPr>
                <w:rStyle w:val="Hyperlink"/>
              </w:rPr>
              <w:t>10.3.1</w:t>
            </w:r>
            <w:r w:rsidR="00A432A4">
              <w:rPr>
                <w:rFonts w:asciiTheme="minorHAnsi" w:eastAsiaTheme="minorEastAsia" w:hAnsiTheme="minorHAnsi"/>
                <w:lang w:eastAsia="en-AU"/>
              </w:rPr>
              <w:tab/>
            </w:r>
            <w:r w:rsidR="00A432A4" w:rsidRPr="00141DEA">
              <w:rPr>
                <w:rStyle w:val="Hyperlink"/>
              </w:rPr>
              <w:t>Interrelationships</w:t>
            </w:r>
            <w:r w:rsidR="00A432A4">
              <w:rPr>
                <w:webHidden/>
              </w:rPr>
              <w:tab/>
            </w:r>
            <w:r w:rsidR="00A432A4">
              <w:rPr>
                <w:webHidden/>
              </w:rPr>
              <w:fldChar w:fldCharType="begin"/>
            </w:r>
            <w:r w:rsidR="00A432A4">
              <w:rPr>
                <w:webHidden/>
              </w:rPr>
              <w:instrText xml:space="preserve"> PAGEREF _Toc417319842 \h </w:instrText>
            </w:r>
            <w:r w:rsidR="00A432A4">
              <w:rPr>
                <w:webHidden/>
              </w:rPr>
            </w:r>
            <w:r w:rsidR="00A432A4">
              <w:rPr>
                <w:webHidden/>
              </w:rPr>
              <w:fldChar w:fldCharType="separate"/>
            </w:r>
            <w:r>
              <w:rPr>
                <w:webHidden/>
              </w:rPr>
              <w:t>10-7</w:t>
            </w:r>
            <w:r w:rsidR="00A432A4">
              <w:rPr>
                <w:webHidden/>
              </w:rPr>
              <w:fldChar w:fldCharType="end"/>
            </w:r>
          </w:hyperlink>
        </w:p>
        <w:p w:rsidR="00A432A4" w:rsidRDefault="00C47641">
          <w:pPr>
            <w:pStyle w:val="TOC2"/>
            <w:tabs>
              <w:tab w:val="left" w:pos="1276"/>
            </w:tabs>
            <w:rPr>
              <w:rFonts w:asciiTheme="minorHAnsi" w:eastAsiaTheme="minorEastAsia" w:hAnsiTheme="minorHAnsi"/>
              <w:b w:val="0"/>
              <w:color w:val="auto"/>
              <w:sz w:val="22"/>
              <w:lang w:eastAsia="en-AU"/>
            </w:rPr>
          </w:pPr>
          <w:hyperlink w:anchor="_Toc417319843" w:history="1">
            <w:r w:rsidR="00A432A4" w:rsidRPr="00141DEA">
              <w:rPr>
                <w:rStyle w:val="Hyperlink"/>
              </w:rPr>
              <w:t>10.4</w:t>
            </w:r>
            <w:r w:rsidR="00A432A4">
              <w:rPr>
                <w:rFonts w:asciiTheme="minorHAnsi" w:eastAsiaTheme="minorEastAsia" w:hAnsiTheme="minorHAnsi"/>
                <w:b w:val="0"/>
                <w:color w:val="auto"/>
                <w:sz w:val="22"/>
                <w:lang w:eastAsia="en-AU"/>
              </w:rPr>
              <w:tab/>
            </w:r>
            <w:r w:rsidR="00A432A4" w:rsidRPr="00141DEA">
              <w:rPr>
                <w:rStyle w:val="Hyperlink"/>
              </w:rPr>
              <w:t>Reasons for final decision</w:t>
            </w:r>
            <w:r w:rsidR="00A432A4">
              <w:rPr>
                <w:webHidden/>
              </w:rPr>
              <w:tab/>
            </w:r>
            <w:r w:rsidR="00A432A4">
              <w:rPr>
                <w:webHidden/>
              </w:rPr>
              <w:fldChar w:fldCharType="begin"/>
            </w:r>
            <w:r w:rsidR="00A432A4">
              <w:rPr>
                <w:webHidden/>
              </w:rPr>
              <w:instrText xml:space="preserve"> PAGEREF _Toc417319843 \h </w:instrText>
            </w:r>
            <w:r w:rsidR="00A432A4">
              <w:rPr>
                <w:webHidden/>
              </w:rPr>
            </w:r>
            <w:r w:rsidR="00A432A4">
              <w:rPr>
                <w:webHidden/>
              </w:rPr>
              <w:fldChar w:fldCharType="separate"/>
            </w:r>
            <w:r>
              <w:rPr>
                <w:webHidden/>
              </w:rPr>
              <w:t>10-8</w:t>
            </w:r>
            <w:r w:rsidR="00A432A4">
              <w:rPr>
                <w:webHidden/>
              </w:rPr>
              <w:fldChar w:fldCharType="end"/>
            </w:r>
          </w:hyperlink>
        </w:p>
        <w:p w:rsidR="00A432A4" w:rsidRDefault="00C47641">
          <w:pPr>
            <w:pStyle w:val="TOC3"/>
            <w:rPr>
              <w:rFonts w:asciiTheme="minorHAnsi" w:eastAsiaTheme="minorEastAsia" w:hAnsiTheme="minorHAnsi"/>
              <w:lang w:eastAsia="en-AU"/>
            </w:rPr>
          </w:pPr>
          <w:hyperlink w:anchor="_Toc417319844" w:history="1">
            <w:r w:rsidR="00A432A4" w:rsidRPr="00141DEA">
              <w:rPr>
                <w:rStyle w:val="Hyperlink"/>
              </w:rPr>
              <w:t>10.4.1</w:t>
            </w:r>
            <w:r w:rsidR="00A432A4">
              <w:rPr>
                <w:rFonts w:asciiTheme="minorHAnsi" w:eastAsiaTheme="minorEastAsia" w:hAnsiTheme="minorHAnsi"/>
                <w:lang w:eastAsia="en-AU"/>
              </w:rPr>
              <w:tab/>
            </w:r>
            <w:r w:rsidR="00A432A4" w:rsidRPr="00141DEA">
              <w:rPr>
                <w:rStyle w:val="Hyperlink"/>
              </w:rPr>
              <w:t>Equity raising costs</w:t>
            </w:r>
            <w:r w:rsidR="00A432A4">
              <w:rPr>
                <w:webHidden/>
              </w:rPr>
              <w:tab/>
            </w:r>
            <w:r w:rsidR="00A432A4">
              <w:rPr>
                <w:webHidden/>
              </w:rPr>
              <w:fldChar w:fldCharType="begin"/>
            </w:r>
            <w:r w:rsidR="00A432A4">
              <w:rPr>
                <w:webHidden/>
              </w:rPr>
              <w:instrText xml:space="preserve"> PAGEREF _Toc417319844 \h </w:instrText>
            </w:r>
            <w:r w:rsidR="00A432A4">
              <w:rPr>
                <w:webHidden/>
              </w:rPr>
            </w:r>
            <w:r w:rsidR="00A432A4">
              <w:rPr>
                <w:webHidden/>
              </w:rPr>
              <w:fldChar w:fldCharType="separate"/>
            </w:r>
            <w:r>
              <w:rPr>
                <w:webHidden/>
              </w:rPr>
              <w:t>10-8</w:t>
            </w:r>
            <w:r w:rsidR="00A432A4">
              <w:rPr>
                <w:webHidden/>
              </w:rPr>
              <w:fldChar w:fldCharType="end"/>
            </w:r>
          </w:hyperlink>
        </w:p>
        <w:p w:rsidR="00A432A4" w:rsidRDefault="00C47641">
          <w:pPr>
            <w:pStyle w:val="TOC3"/>
            <w:rPr>
              <w:rFonts w:asciiTheme="minorHAnsi" w:eastAsiaTheme="minorEastAsia" w:hAnsiTheme="minorHAnsi"/>
              <w:lang w:eastAsia="en-AU"/>
            </w:rPr>
          </w:pPr>
          <w:hyperlink w:anchor="_Toc417319845" w:history="1">
            <w:r w:rsidR="00A432A4" w:rsidRPr="00141DEA">
              <w:rPr>
                <w:rStyle w:val="Hyperlink"/>
              </w:rPr>
              <w:t>10.4.2</w:t>
            </w:r>
            <w:r w:rsidR="00A432A4">
              <w:rPr>
                <w:rFonts w:asciiTheme="minorHAnsi" w:eastAsiaTheme="minorEastAsia" w:hAnsiTheme="minorHAnsi"/>
                <w:lang w:eastAsia="en-AU"/>
              </w:rPr>
              <w:tab/>
            </w:r>
            <w:r w:rsidR="00A432A4" w:rsidRPr="00141DEA">
              <w:rPr>
                <w:rStyle w:val="Hyperlink"/>
              </w:rPr>
              <w:t>Demand management</w:t>
            </w:r>
            <w:r w:rsidR="00A432A4">
              <w:rPr>
                <w:webHidden/>
              </w:rPr>
              <w:tab/>
            </w:r>
            <w:r w:rsidR="00A432A4">
              <w:rPr>
                <w:webHidden/>
              </w:rPr>
              <w:fldChar w:fldCharType="begin"/>
            </w:r>
            <w:r w:rsidR="00A432A4">
              <w:rPr>
                <w:webHidden/>
              </w:rPr>
              <w:instrText xml:space="preserve"> PAGEREF _Toc417319845 \h </w:instrText>
            </w:r>
            <w:r w:rsidR="00A432A4">
              <w:rPr>
                <w:webHidden/>
              </w:rPr>
            </w:r>
            <w:r w:rsidR="00A432A4">
              <w:rPr>
                <w:webHidden/>
              </w:rPr>
              <w:fldChar w:fldCharType="separate"/>
            </w:r>
            <w:r>
              <w:rPr>
                <w:webHidden/>
              </w:rPr>
              <w:t>10-9</w:t>
            </w:r>
            <w:r w:rsidR="00A432A4">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7319837"/>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368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36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36845">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FC12D2" w:rsidP="00D60243">
      <w:pPr>
        <w:pStyle w:val="Heading1"/>
      </w:pPr>
      <w:r>
        <w:lastRenderedPageBreak/>
        <w:t xml:space="preserve"> </w:t>
      </w:r>
      <w:bookmarkStart w:id="10" w:name="_Toc417319838"/>
      <w:r w:rsidR="00D60243">
        <w:t>Capital expenditure</w:t>
      </w:r>
      <w:r w:rsidR="002C585C">
        <w:t xml:space="preserve"> sharing scheme</w:t>
      </w:r>
      <w:bookmarkEnd w:id="10"/>
    </w:p>
    <w:p w:rsidR="004547DC" w:rsidRDefault="004547DC" w:rsidP="006F7FBD">
      <w:r>
        <w:t xml:space="preserve">The capital expenditure sharing scheme (CESS) provides financial rewards for network service providers whose capex becomes more efficient and financial penalties for those that become less efficient. Consumers benefit from improved efficiency through </w:t>
      </w:r>
      <w:r w:rsidRPr="006F7FBD">
        <w:t>lower regulated prices. This attachment sets out how we will apply the CESS to TransGrid in the 2015</w:t>
      </w:r>
      <w:r w:rsidRPr="006F7FBD">
        <w:softHyphen/>
        <w:t>–18 regulatory control period.</w:t>
      </w:r>
      <w:r>
        <w:t xml:space="preserve"> </w:t>
      </w:r>
    </w:p>
    <w:p w:rsidR="004547DC" w:rsidRDefault="004547DC" w:rsidP="004547DC">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service providers and consumers. </w:t>
      </w:r>
    </w:p>
    <w:p w:rsidR="004547DC" w:rsidRDefault="004547DC" w:rsidP="004547DC">
      <w:pPr>
        <w:numPr>
          <w:ilvl w:val="0"/>
          <w:numId w:val="25"/>
        </w:numPr>
      </w:pPr>
      <w:r>
        <w:t xml:space="preserve">The CESS works as follows: </w:t>
      </w:r>
    </w:p>
    <w:p w:rsidR="004547DC" w:rsidRPr="004547DC" w:rsidRDefault="004547DC" w:rsidP="004547DC">
      <w:pPr>
        <w:pStyle w:val="AERbulletlistfirststyle"/>
      </w:pPr>
      <w:r>
        <w:t xml:space="preserve">We calculate the cumulative underspend or overspend for the current regulatory control period in net present value terms. </w:t>
      </w:r>
    </w:p>
    <w:p w:rsidR="004547DC" w:rsidRPr="004547DC" w:rsidRDefault="004547DC" w:rsidP="004547DC">
      <w:pPr>
        <w:pStyle w:val="AERbulletlistfirststyle"/>
      </w:pPr>
      <w:r>
        <w:t xml:space="preserve">We apply the sharing ratio of 30 per cent to the cumulative underspend or overspend to work out what the </w:t>
      </w:r>
      <w:r w:rsidRPr="004547DC">
        <w:t>service provider's share of the underspend or overspend should be.</w:t>
      </w:r>
    </w:p>
    <w:p w:rsidR="004547DC" w:rsidRPr="004547DC" w:rsidRDefault="004547DC" w:rsidP="004547DC">
      <w:pPr>
        <w:pStyle w:val="AERbulletlistfirststyle"/>
      </w:pPr>
      <w:r>
        <w:t xml:space="preserve">We calculate the CESS payments taking into account the financing benefit or cost to the </w:t>
      </w:r>
      <w:r w:rsidRPr="004547DC">
        <w:t>service provider of the underspends or overspends.</w:t>
      </w:r>
      <w:r w:rsidRPr="004547DC">
        <w:rPr>
          <w:rStyle w:val="FootnoteReference"/>
        </w:rPr>
        <w:footnoteReference w:id="2"/>
      </w:r>
      <w:r w:rsidRPr="004547DC">
        <w:t xml:space="preserve"> We can also make further adjustments to account for deferral of capex and ex post exclusions of capex from the RAB.</w:t>
      </w:r>
      <w:r w:rsidRPr="004547DC">
        <w:rPr>
          <w:rStyle w:val="FootnoteReference"/>
        </w:rPr>
        <w:footnoteReference w:id="3"/>
      </w:r>
      <w:r w:rsidRPr="004547DC">
        <w:t xml:space="preserve"> </w:t>
      </w:r>
    </w:p>
    <w:p w:rsidR="004547DC" w:rsidRPr="004547DC" w:rsidRDefault="004547DC" w:rsidP="004547DC">
      <w:pPr>
        <w:pStyle w:val="AERbulletlistfirststyle"/>
      </w:pPr>
      <w:r>
        <w:t xml:space="preserve">The CESS payments will be added or subtracted to the </w:t>
      </w:r>
      <w:r w:rsidRPr="004547DC">
        <w:t>service provider's regulated revenue as a separate building block in the next regulatory control period.</w:t>
      </w:r>
    </w:p>
    <w:p w:rsidR="00FF2FB4" w:rsidRDefault="004547DC" w:rsidP="004547DC">
      <w:pPr>
        <w:numPr>
          <w:ilvl w:val="0"/>
          <w:numId w:val="25"/>
        </w:numPr>
      </w:pPr>
      <w:r>
        <w:t>Under the CESS a service provider retains 30 per cent of an underspend or overspend, while consumers retain 70 per cent of the underspend on overspend. This means that for a one dollar saving in capex the service provider</w:t>
      </w:r>
      <w:r w:rsidRPr="004903FE" w:rsidDel="001F2206">
        <w:t xml:space="preserve"> </w:t>
      </w:r>
      <w:r>
        <w:t xml:space="preserve">keeps 30 cents of the benefit while consumers keep 70 cents of the benefit. </w:t>
      </w:r>
    </w:p>
    <w:p w:rsidR="00FF2FB4" w:rsidRDefault="00FF2FB4">
      <w:pPr>
        <w:spacing w:line="240" w:lineRule="auto"/>
      </w:pPr>
      <w:r>
        <w:br w:type="page"/>
      </w:r>
    </w:p>
    <w:p w:rsidR="004547DC" w:rsidRPr="004547DC" w:rsidRDefault="00FF2FB4" w:rsidP="004547DC">
      <w:pPr>
        <w:pStyle w:val="Heading2"/>
      </w:pPr>
      <w:bookmarkStart w:id="11" w:name="_Toc390936443"/>
      <w:bookmarkStart w:id="12" w:name="_Toc404179451"/>
      <w:r>
        <w:lastRenderedPageBreak/>
        <w:t xml:space="preserve"> </w:t>
      </w:r>
      <w:bookmarkStart w:id="13" w:name="_Toc417319839"/>
      <w:r w:rsidR="006F7FBD">
        <w:t>Final</w:t>
      </w:r>
      <w:r w:rsidR="004547DC" w:rsidRPr="004547DC">
        <w:t xml:space="preserve"> decision</w:t>
      </w:r>
      <w:bookmarkEnd w:id="11"/>
      <w:bookmarkEnd w:id="12"/>
      <w:bookmarkEnd w:id="13"/>
    </w:p>
    <w:p w:rsidR="00FF2FB4" w:rsidRDefault="004547DC" w:rsidP="006F7FBD">
      <w:r>
        <w:t xml:space="preserve">We will apply </w:t>
      </w:r>
      <w:r w:rsidRPr="006F7FBD">
        <w:t>the</w:t>
      </w:r>
      <w:r>
        <w:t xml:space="preserve"> CESS </w:t>
      </w:r>
      <w:r w:rsidRPr="004547DC">
        <w:t xml:space="preserve">as set out in version 1 of the capital expenditure incentives guideline </w:t>
      </w:r>
      <w:r w:rsidRPr="006F7FBD">
        <w:t>to TransGrid in the 2015–18 reg</w:t>
      </w:r>
      <w:r w:rsidRPr="004547DC">
        <w:t>ulatory control period.</w:t>
      </w:r>
      <w:r w:rsidRPr="004547DC">
        <w:rPr>
          <w:rStyle w:val="FootnoteReference"/>
        </w:rPr>
        <w:footnoteReference w:id="4"/>
      </w:r>
      <w:r w:rsidRPr="004547DC">
        <w:t xml:space="preserve"> </w:t>
      </w:r>
      <w:r w:rsidR="00FF2FB4">
        <w:t>This is consistent with the proposed approach we set out in our framework and approach paper.</w:t>
      </w:r>
      <w:r w:rsidR="00FF2FB4">
        <w:rPr>
          <w:rStyle w:val="FootnoteReference"/>
        </w:rPr>
        <w:footnoteReference w:id="5"/>
      </w:r>
      <w:r w:rsidR="00FF2FB4">
        <w:t xml:space="preserve"> We will apply </w:t>
      </w:r>
      <w:r w:rsidR="00FF2FB4" w:rsidRPr="004547DC">
        <w:t>the exclusion from the CESS of capex the service provider incurs in delivering a priority project approved under the network capability component of the Service Target Performance Incentive Scheme (STPIS) for transmission network service providers.</w:t>
      </w:r>
      <w:r w:rsidR="00FF2FB4" w:rsidRPr="004547DC">
        <w:rPr>
          <w:rStyle w:val="FootnoteReference"/>
        </w:rPr>
        <w:footnoteReference w:id="6"/>
      </w:r>
      <w:r w:rsidR="00FF2FB4" w:rsidRPr="004547DC">
        <w:t xml:space="preserve"> </w:t>
      </w:r>
      <w:r w:rsidR="00FF2FB4">
        <w:t xml:space="preserve">We will not apply any further exclusions as proposed by TransGrid. </w:t>
      </w:r>
    </w:p>
    <w:p w:rsidR="004547DC" w:rsidRPr="006F7FBD" w:rsidRDefault="00FF2FB4" w:rsidP="00FF2FB4">
      <w:pPr>
        <w:pStyle w:val="Heading2"/>
      </w:pPr>
      <w:bookmarkStart w:id="14" w:name="_Toc390936444"/>
      <w:bookmarkStart w:id="15" w:name="_Toc404179452"/>
      <w:r>
        <w:t xml:space="preserve"> </w:t>
      </w:r>
      <w:bookmarkStart w:id="16" w:name="_Toc417319840"/>
      <w:r w:rsidR="004547DC" w:rsidRPr="006F7FBD">
        <w:t xml:space="preserve">TransGrid's </w:t>
      </w:r>
      <w:r w:rsidR="006F7FBD">
        <w:t xml:space="preserve">revised </w:t>
      </w:r>
      <w:r w:rsidR="004547DC" w:rsidRPr="006F7FBD">
        <w:t>proposal</w:t>
      </w:r>
      <w:bookmarkEnd w:id="14"/>
      <w:bookmarkEnd w:id="15"/>
      <w:bookmarkEnd w:id="16"/>
    </w:p>
    <w:p w:rsidR="006F7FBD" w:rsidRPr="004547DC" w:rsidRDefault="00BD0FBD" w:rsidP="00BD0FBD">
      <w:r>
        <w:t>TransGrid accepted</w:t>
      </w:r>
      <w:r w:rsidRPr="00BD0FBD">
        <w:t xml:space="preserve"> </w:t>
      </w:r>
      <w:r>
        <w:t xml:space="preserve">our </w:t>
      </w:r>
      <w:r w:rsidRPr="00BD0FBD">
        <w:t xml:space="preserve">draft decision </w:t>
      </w:r>
      <w:r>
        <w:t xml:space="preserve">to apply the </w:t>
      </w:r>
      <w:r w:rsidRPr="00BD0FBD">
        <w:t xml:space="preserve">CESS </w:t>
      </w:r>
      <w:r>
        <w:t xml:space="preserve">as set out in the guideline. </w:t>
      </w:r>
      <w:r w:rsidR="006F7FBD">
        <w:t xml:space="preserve">TransGrid </w:t>
      </w:r>
      <w:r>
        <w:t xml:space="preserve">also </w:t>
      </w:r>
      <w:r w:rsidR="006F7FBD">
        <w:t xml:space="preserve">accepted our </w:t>
      </w:r>
      <w:r w:rsidR="006F7FBD" w:rsidRPr="006F7FBD">
        <w:t xml:space="preserve">draft decision </w:t>
      </w:r>
      <w:r w:rsidR="006F7FBD">
        <w:t xml:space="preserve">to not exclude </w:t>
      </w:r>
      <w:r w:rsidR="006F7FBD" w:rsidRPr="006F7FBD">
        <w:t>employee entitlements</w:t>
      </w:r>
      <w:r>
        <w:t xml:space="preserve"> </w:t>
      </w:r>
      <w:r w:rsidR="006F7FBD">
        <w:t>from the CESS.</w:t>
      </w:r>
      <w:r>
        <w:t xml:space="preserve"> However, TransGrid did </w:t>
      </w:r>
      <w:r w:rsidRPr="00BD0FBD">
        <w:t xml:space="preserve">not accept </w:t>
      </w:r>
      <w:r>
        <w:t xml:space="preserve">our </w:t>
      </w:r>
      <w:r w:rsidRPr="00BD0FBD">
        <w:t xml:space="preserve">draft decision </w:t>
      </w:r>
      <w:r>
        <w:t>to not exclude</w:t>
      </w:r>
      <w:r w:rsidRPr="00BD0FBD">
        <w:t xml:space="preserve"> equity raising</w:t>
      </w:r>
      <w:r>
        <w:t xml:space="preserve"> </w:t>
      </w:r>
      <w:r w:rsidRPr="00BD0FBD">
        <w:t xml:space="preserve">costs and capital expenditure under the demand </w:t>
      </w:r>
      <w:r>
        <w:t>management innovation allowance from the CESS.</w:t>
      </w:r>
      <w:r>
        <w:rPr>
          <w:rStyle w:val="FootnoteReference"/>
        </w:rPr>
        <w:footnoteReference w:id="7"/>
      </w:r>
    </w:p>
    <w:p w:rsidR="004547DC" w:rsidRPr="004547DC" w:rsidRDefault="004547DC" w:rsidP="004547DC">
      <w:pPr>
        <w:pStyle w:val="Heading2"/>
      </w:pPr>
      <w:bookmarkStart w:id="17" w:name="_Toc390936445"/>
      <w:bookmarkStart w:id="18" w:name="_Toc404179453"/>
      <w:bookmarkStart w:id="19" w:name="_Toc417319841"/>
      <w:r>
        <w:t>AER's assessment approach</w:t>
      </w:r>
      <w:bookmarkEnd w:id="17"/>
      <w:bookmarkEnd w:id="18"/>
      <w:bookmarkEnd w:id="19"/>
    </w:p>
    <w:p w:rsidR="004547DC" w:rsidRDefault="004547DC" w:rsidP="004547DC">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AF29A1">
        <w:rPr>
          <w:rStyle w:val="FootnoteReference"/>
        </w:rPr>
        <w:footnoteReference w:id="8"/>
      </w:r>
    </w:p>
    <w:p w:rsidR="004547DC" w:rsidRPr="004547DC" w:rsidRDefault="004547DC" w:rsidP="004547DC">
      <w:pPr>
        <w:pStyle w:val="AERbulletlistfirststyle"/>
      </w:pPr>
      <w:r>
        <w:rPr>
          <w:rStyle w:val="AERbody"/>
        </w:rPr>
        <w:t xml:space="preserve">make that decision in a manner </w:t>
      </w:r>
      <w:r w:rsidRPr="004547DC">
        <w:t>that contributes to the capex incentive objective</w:t>
      </w:r>
      <w:r w:rsidRPr="004547DC">
        <w:rPr>
          <w:rStyle w:val="FootnoteReference"/>
        </w:rPr>
        <w:footnoteReference w:id="9"/>
      </w:r>
    </w:p>
    <w:p w:rsidR="004547DC" w:rsidRPr="004547DC" w:rsidRDefault="004547DC" w:rsidP="004547DC">
      <w:pPr>
        <w:pStyle w:val="AERbulletlistfirststyle"/>
      </w:pPr>
      <w:r>
        <w:t xml:space="preserve">take into </w:t>
      </w:r>
      <w:r w:rsidRPr="004547DC">
        <w:t>account the CESS principles,</w:t>
      </w:r>
      <w:r w:rsidRPr="004547DC">
        <w:rPr>
          <w:rStyle w:val="FootnoteReference"/>
        </w:rPr>
        <w:footnoteReference w:id="10"/>
      </w:r>
      <w:r w:rsidRPr="004547DC">
        <w:t xml:space="preserve"> the </w:t>
      </w:r>
      <w:r w:rsidRPr="004547DC">
        <w:rPr>
          <w:rStyle w:val="AERbody"/>
        </w:rPr>
        <w:t>capex objectives,</w:t>
      </w:r>
      <w:r w:rsidRPr="004547DC">
        <w:rPr>
          <w:rStyle w:val="FootnoteReference"/>
        </w:rPr>
        <w:footnoteReference w:id="11"/>
      </w:r>
      <w:r w:rsidRPr="004547DC">
        <w:rPr>
          <w:rStyle w:val="AERtextitalic"/>
        </w:rPr>
        <w:t xml:space="preserve"> </w:t>
      </w:r>
      <w:r w:rsidRPr="004547DC">
        <w:t>other incentive schemes, and, where relevant the</w:t>
      </w:r>
      <w:r w:rsidRPr="004547DC">
        <w:rPr>
          <w:rStyle w:val="AERtextitalic"/>
        </w:rPr>
        <w:t xml:space="preserve"> </w:t>
      </w:r>
      <w:r w:rsidRPr="004547DC">
        <w:rPr>
          <w:rStyle w:val="AERbody"/>
        </w:rPr>
        <w:t>opex objectives,</w:t>
      </w:r>
      <w:r w:rsidRPr="004547DC">
        <w:rPr>
          <w:rStyle w:val="AERtextitalic"/>
        </w:rPr>
        <w:t xml:space="preserve"> </w:t>
      </w:r>
      <w:r w:rsidRPr="004547DC">
        <w:t>as they apply to the particular service provider, and the circumstances of the service provider.</w:t>
      </w:r>
    </w:p>
    <w:p w:rsidR="004547DC" w:rsidRDefault="004547DC" w:rsidP="004547DC">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4547DC" w:rsidRPr="004547DC" w:rsidRDefault="004547DC" w:rsidP="004547DC">
      <w:pPr>
        <w:pStyle w:val="Heading3"/>
      </w:pPr>
      <w:bookmarkStart w:id="20" w:name="_Toc390936446"/>
      <w:bookmarkStart w:id="21" w:name="_Toc404179454"/>
      <w:bookmarkStart w:id="22" w:name="_Toc417319842"/>
      <w:r w:rsidRPr="00E94C06">
        <w:t>Interrelationships</w:t>
      </w:r>
      <w:bookmarkEnd w:id="20"/>
      <w:bookmarkEnd w:id="21"/>
      <w:bookmarkEnd w:id="22"/>
      <w:r w:rsidRPr="00E94C06">
        <w:t xml:space="preserve"> </w:t>
      </w:r>
    </w:p>
    <w:p w:rsidR="004547DC" w:rsidRPr="00B449B8" w:rsidRDefault="004547DC" w:rsidP="004547DC">
      <w:pPr>
        <w:numPr>
          <w:ilvl w:val="0"/>
          <w:numId w:val="25"/>
        </w:numPr>
      </w:pPr>
      <w:r>
        <w:t xml:space="preserve">The CESS relates to </w:t>
      </w:r>
      <w:r w:rsidR="009216A6">
        <w:t xml:space="preserve">other </w:t>
      </w:r>
      <w:r>
        <w:t>incentives TransGrid faces to incur efficient opex, conduct demand management and maintain or improve service levels.</w:t>
      </w:r>
      <w:r>
        <w:rPr>
          <w:rStyle w:val="FootnoteReference"/>
        </w:rPr>
        <w:footnoteReference w:id="12"/>
      </w:r>
      <w:r>
        <w:t xml:space="preserve"> We aim to incentivise </w:t>
      </w:r>
      <w:r>
        <w:lastRenderedPageBreak/>
        <w:t xml:space="preserve">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4547DC" w:rsidRPr="004547DC" w:rsidRDefault="009216A6" w:rsidP="004547DC">
      <w:pPr>
        <w:pStyle w:val="Heading2"/>
      </w:pPr>
      <w:bookmarkStart w:id="23" w:name="_Toc390936447"/>
      <w:bookmarkStart w:id="24" w:name="_Toc404179455"/>
      <w:r>
        <w:t xml:space="preserve"> </w:t>
      </w:r>
      <w:bookmarkStart w:id="25" w:name="_Toc417319843"/>
      <w:r w:rsidR="004547DC">
        <w:t xml:space="preserve">Reasons for </w:t>
      </w:r>
      <w:r w:rsidR="006F7FBD">
        <w:t>final</w:t>
      </w:r>
      <w:r w:rsidR="004547DC">
        <w:t xml:space="preserve"> decision</w:t>
      </w:r>
      <w:bookmarkEnd w:id="23"/>
      <w:bookmarkEnd w:id="24"/>
      <w:bookmarkEnd w:id="25"/>
    </w:p>
    <w:p w:rsidR="00773845" w:rsidRDefault="004547DC" w:rsidP="00C164BD">
      <w:r w:rsidRPr="00BD0FBD">
        <w:t xml:space="preserve">We </w:t>
      </w:r>
      <w:r w:rsidR="006D27CB">
        <w:t xml:space="preserve">maintain our draft decision to </w:t>
      </w:r>
      <w:r w:rsidRPr="00BD0FBD">
        <w:t>apply the CESS to TransGrid as set out in the capex incentive guideline</w:t>
      </w:r>
      <w:r w:rsidR="005D2114">
        <w:t xml:space="preserve">.  </w:t>
      </w:r>
    </w:p>
    <w:p w:rsidR="00773845" w:rsidRPr="004547DC" w:rsidRDefault="009216A6" w:rsidP="00773845">
      <w:r>
        <w:t xml:space="preserve">We will apply </w:t>
      </w:r>
      <w:r w:rsidR="00773845" w:rsidRPr="004547DC">
        <w:t xml:space="preserve">the exclusion from the CESS </w:t>
      </w:r>
      <w:r>
        <w:t xml:space="preserve">set out in the guideline </w:t>
      </w:r>
      <w:r w:rsidR="00773845" w:rsidRPr="004547DC">
        <w:t>of capex the service provider incurs in delivering a priority project approved under the network capability component of the Service Target Performance Incentive Scheme (STPIS) for transmission network service providers.</w:t>
      </w:r>
      <w:r w:rsidR="00773845" w:rsidRPr="004547DC">
        <w:rPr>
          <w:rStyle w:val="FootnoteReference"/>
        </w:rPr>
        <w:footnoteReference w:id="13"/>
      </w:r>
      <w:r w:rsidR="00773845" w:rsidRPr="004547DC">
        <w:t xml:space="preserve"> </w:t>
      </w:r>
    </w:p>
    <w:p w:rsidR="006D27CB" w:rsidRDefault="00773845" w:rsidP="00C164BD">
      <w:r>
        <w:t>We will not</w:t>
      </w:r>
      <w:r w:rsidR="004547DC" w:rsidRPr="00BD0FBD">
        <w:t xml:space="preserve"> </w:t>
      </w:r>
      <w:r>
        <w:t>apply</w:t>
      </w:r>
      <w:r w:rsidR="004547DC" w:rsidRPr="00BD0FBD">
        <w:t xml:space="preserve"> further exclusions. </w:t>
      </w:r>
      <w:r w:rsidR="006D27CB">
        <w:t>W</w:t>
      </w:r>
      <w:r w:rsidR="006D27CB" w:rsidRPr="00BD0FBD">
        <w:t xml:space="preserve">e are not satisfied </w:t>
      </w:r>
      <w:r w:rsidR="005D2114">
        <w:t xml:space="preserve">that </w:t>
      </w:r>
      <w:r w:rsidR="006D27CB" w:rsidRPr="00BD0FBD">
        <w:t>TransGrid</w:t>
      </w:r>
      <w:r w:rsidR="009216A6">
        <w:t xml:space="preserve"> </w:t>
      </w:r>
      <w:r w:rsidR="005D2114">
        <w:t>has justified</w:t>
      </w:r>
      <w:r w:rsidR="006D27CB" w:rsidRPr="00BD0FBD">
        <w:t xml:space="preserve"> </w:t>
      </w:r>
      <w:r w:rsidR="006D27CB">
        <w:t xml:space="preserve">further </w:t>
      </w:r>
      <w:r w:rsidR="006D27CB" w:rsidRPr="00BD0FBD">
        <w:t>exclusions.</w:t>
      </w:r>
      <w:r w:rsidR="006D27CB">
        <w:rPr>
          <w:rStyle w:val="FootnoteReference"/>
        </w:rPr>
        <w:footnoteReference w:id="14"/>
      </w:r>
    </w:p>
    <w:p w:rsidR="004547DC" w:rsidRPr="00BD0FBD" w:rsidRDefault="004547DC" w:rsidP="006D27CB">
      <w:pPr>
        <w:pStyle w:val="Heading3"/>
      </w:pPr>
      <w:bookmarkStart w:id="26" w:name="_Toc417319844"/>
      <w:r w:rsidRPr="00BD0FBD">
        <w:t>Equity raising costs</w:t>
      </w:r>
      <w:bookmarkEnd w:id="26"/>
    </w:p>
    <w:p w:rsidR="00AE636C" w:rsidRDefault="00C164BD" w:rsidP="00AE636C">
      <w:pPr>
        <w:numPr>
          <w:ilvl w:val="0"/>
          <w:numId w:val="25"/>
        </w:numPr>
      </w:pPr>
      <w:r>
        <w:t xml:space="preserve">In our draft decision we outlined that we did </w:t>
      </w:r>
      <w:r w:rsidRPr="002C4193">
        <w:t>not consider equity raising costs should be excluded ex ante from the CESS on the basis that we may exclude debt raising costs ex post from the EBSS</w:t>
      </w:r>
      <w:r>
        <w:t xml:space="preserve">. This was because the reason for excluding debt raising costs from the EBSS does not correspond to excluding equity raising costs from the CESS. </w:t>
      </w:r>
    </w:p>
    <w:p w:rsidR="00C164BD" w:rsidRDefault="00C164BD" w:rsidP="00C164BD">
      <w:r>
        <w:t xml:space="preserve">In its revised proposal TransGrid </w:t>
      </w:r>
      <w:r w:rsidR="005D2114">
        <w:t xml:space="preserve">submitted </w:t>
      </w:r>
      <w:r>
        <w:t xml:space="preserve">that </w:t>
      </w:r>
      <w:r w:rsidRPr="00C164BD">
        <w:t xml:space="preserve">equity raising costs </w:t>
      </w:r>
      <w:r>
        <w:t>should be excluded from the CESS for two reasons:</w:t>
      </w:r>
      <w:r w:rsidR="00AE636C">
        <w:rPr>
          <w:rStyle w:val="FootnoteReference"/>
        </w:rPr>
        <w:footnoteReference w:id="15"/>
      </w:r>
    </w:p>
    <w:p w:rsidR="00C164BD" w:rsidRDefault="00C164BD" w:rsidP="00C164BD">
      <w:pPr>
        <w:pStyle w:val="AERbulletlistfirststyle"/>
      </w:pPr>
      <w:r>
        <w:t xml:space="preserve">Equity raising costs are </w:t>
      </w:r>
      <w:r w:rsidRPr="00C164BD">
        <w:t>determined with reference to a</w:t>
      </w:r>
      <w:r>
        <w:t xml:space="preserve"> </w:t>
      </w:r>
      <w:r w:rsidRPr="00C164BD">
        <w:t>benchmark efficient firm</w:t>
      </w:r>
      <w:r>
        <w:t>. T</w:t>
      </w:r>
      <w:r w:rsidRPr="00C164BD">
        <w:t>hese</w:t>
      </w:r>
      <w:r>
        <w:t xml:space="preserve"> </w:t>
      </w:r>
      <w:r w:rsidRPr="00C164BD">
        <w:t>costs are already subject to the incentive to source capital at a more competitive rate than</w:t>
      </w:r>
      <w:r>
        <w:t xml:space="preserve"> </w:t>
      </w:r>
      <w:r w:rsidRPr="00C164BD">
        <w:t>the benchmark rate of return, and do not require additional incentives.</w:t>
      </w:r>
    </w:p>
    <w:p w:rsidR="00C164BD" w:rsidRDefault="00C164BD" w:rsidP="00C164BD">
      <w:pPr>
        <w:pStyle w:val="AERbulletlistfirststyle"/>
      </w:pPr>
      <w:r w:rsidRPr="00C164BD">
        <w:t>As equity raising costs are not included in forecast capital expenditure, they are not included</w:t>
      </w:r>
      <w:r>
        <w:t xml:space="preserve"> </w:t>
      </w:r>
      <w:r w:rsidRPr="00C164BD">
        <w:t>in the CESS targets. Therefore, they should not be included in the actual expenditure</w:t>
      </w:r>
      <w:r>
        <w:t xml:space="preserve"> </w:t>
      </w:r>
      <w:r w:rsidRPr="00C164BD">
        <w:t>measured under the CESS. For the avoida</w:t>
      </w:r>
      <w:r w:rsidR="00AE636C">
        <w:t>nce of doubt, TransGrid proposed</w:t>
      </w:r>
      <w:r w:rsidRPr="00C164BD">
        <w:t xml:space="preserve"> that equity</w:t>
      </w:r>
      <w:r>
        <w:t xml:space="preserve"> </w:t>
      </w:r>
      <w:r w:rsidRPr="00C164BD">
        <w:t>raising costs be excluded from the CESS.</w:t>
      </w:r>
    </w:p>
    <w:p w:rsidR="00563107" w:rsidRDefault="00563107" w:rsidP="00C164BD">
      <w:r w:rsidRPr="00563107">
        <w:t xml:space="preserve">We </w:t>
      </w:r>
      <w:r>
        <w:t xml:space="preserve">maintain our view from the draft decision that </w:t>
      </w:r>
      <w:r w:rsidRPr="00563107">
        <w:t xml:space="preserve">equity raising costs should </w:t>
      </w:r>
      <w:r>
        <w:t xml:space="preserve">not </w:t>
      </w:r>
      <w:r w:rsidRPr="00563107">
        <w:t>be excluded ex ante from the CESS</w:t>
      </w:r>
      <w:r>
        <w:t>.</w:t>
      </w:r>
      <w:r w:rsidRPr="00563107">
        <w:t xml:space="preserve"> </w:t>
      </w:r>
      <w:r>
        <w:t>W</w:t>
      </w:r>
      <w:r w:rsidRPr="00563107">
        <w:t xml:space="preserve">e </w:t>
      </w:r>
      <w:r w:rsidR="009E4D64">
        <w:t xml:space="preserve">explained in our draft decision that while we </w:t>
      </w:r>
      <w:r w:rsidRPr="00563107">
        <w:t xml:space="preserve">may </w:t>
      </w:r>
      <w:r w:rsidRPr="00563107">
        <w:lastRenderedPageBreak/>
        <w:t>exclude debt rais</w:t>
      </w:r>
      <w:r>
        <w:t>ing costs from the EBSS, t</w:t>
      </w:r>
      <w:r w:rsidRPr="00563107">
        <w:t>he reason</w:t>
      </w:r>
      <w:r>
        <w:t>s</w:t>
      </w:r>
      <w:r w:rsidRPr="00563107">
        <w:t xml:space="preserve"> for </w:t>
      </w:r>
      <w:r>
        <w:t xml:space="preserve">doing this under the EBSS do </w:t>
      </w:r>
      <w:r w:rsidRPr="00563107">
        <w:t>not correspond to excluding equ</w:t>
      </w:r>
      <w:r w:rsidR="009E4D64">
        <w:t>ity raising costs from the CESS</w:t>
      </w:r>
      <w:r>
        <w:t>.</w:t>
      </w:r>
      <w:r w:rsidR="00AE0E7A" w:rsidRPr="00AE0E7A">
        <w:rPr>
          <w:rStyle w:val="FootnoteReference"/>
        </w:rPr>
        <w:t xml:space="preserve"> </w:t>
      </w:r>
      <w:r w:rsidR="00AE0E7A">
        <w:rPr>
          <w:rStyle w:val="FootnoteReference"/>
        </w:rPr>
        <w:footnoteReference w:id="16"/>
      </w:r>
    </w:p>
    <w:p w:rsidR="003840E3" w:rsidRDefault="009E4D64" w:rsidP="00C164BD">
      <w:r>
        <w:t>Regarding the further arguments TransGrid submitted in its revised proposal, w</w:t>
      </w:r>
      <w:r w:rsidR="00A11C90" w:rsidRPr="00A11C90">
        <w:t xml:space="preserve">e do not consider we should exclude a category of expenditure from the CESS on the basis </w:t>
      </w:r>
      <w:r w:rsidR="005D2114">
        <w:t>that</w:t>
      </w:r>
      <w:r w:rsidR="00416F1A">
        <w:t xml:space="preserve"> it is already subject to incentives for efficiency. W</w:t>
      </w:r>
      <w:r w:rsidR="00A11C90" w:rsidRPr="00A11C90">
        <w:t>e assess forecast capex at an overall rather than component level. The purpose of the CESS is to provide a continuous incentive to deliver efficient overall capex and to share the benefits of capex efficiency gains (or costs of capex efficiency losses) between the service provider and consumers.</w:t>
      </w:r>
      <w:r w:rsidR="00416F1A">
        <w:t xml:space="preserve"> </w:t>
      </w:r>
      <w:r w:rsidR="00EC53E5">
        <w:t>If the CESS did not apply to a particular type of capex t</w:t>
      </w:r>
      <w:r w:rsidR="00EC53E5" w:rsidRPr="001A1108">
        <w:t xml:space="preserve">he relative sharing ratio between the </w:t>
      </w:r>
      <w:r w:rsidR="00EC53E5">
        <w:t xml:space="preserve">distributor </w:t>
      </w:r>
      <w:r w:rsidR="00EC53E5" w:rsidRPr="001A1108">
        <w:t xml:space="preserve">and consumers </w:t>
      </w:r>
      <w:r w:rsidR="00EC53E5">
        <w:t xml:space="preserve">would instead depend on </w:t>
      </w:r>
      <w:r w:rsidR="00384429">
        <w:t xml:space="preserve">the year in which the </w:t>
      </w:r>
      <w:r w:rsidR="00EC53E5">
        <w:t>overspend or underspend occurs, and will vary</w:t>
      </w:r>
      <w:r w:rsidR="00EC53E5" w:rsidRPr="001A1108">
        <w:t xml:space="preserve"> across </w:t>
      </w:r>
      <w:r w:rsidR="00EC53E5">
        <w:t xml:space="preserve">the </w:t>
      </w:r>
      <w:r w:rsidR="00EC53E5" w:rsidRPr="001A1108">
        <w:t>regulatory control period.</w:t>
      </w:r>
      <w:r w:rsidR="00EC53E5">
        <w:t xml:space="preserve"> </w:t>
      </w:r>
      <w:r w:rsidR="00416F1A">
        <w:t>We recognise TranGrid's point that equity raising costs are not include</w:t>
      </w:r>
      <w:r w:rsidR="005D2114">
        <w:t>d</w:t>
      </w:r>
      <w:r w:rsidR="00416F1A">
        <w:t xml:space="preserve"> in forecast capex and would therefore not be included in the CESS targets. </w:t>
      </w:r>
      <w:r w:rsidR="00252D4B">
        <w:t xml:space="preserve">However, the CESS rewards and penalties will ultimately be determined relative to total forecast capex. </w:t>
      </w:r>
      <w:r w:rsidR="005D2114">
        <w:t>We will</w:t>
      </w:r>
      <w:r w:rsidR="00416F1A">
        <w:t xml:space="preserve"> </w:t>
      </w:r>
      <w:r w:rsidR="00AE636C">
        <w:t>apply the CESS as set out in the guideline</w:t>
      </w:r>
      <w:r>
        <w:t xml:space="preserve">. We are not satisfied there is a </w:t>
      </w:r>
      <w:r w:rsidR="005D2114">
        <w:t xml:space="preserve">satisfactory </w:t>
      </w:r>
      <w:r>
        <w:t>reason</w:t>
      </w:r>
      <w:r w:rsidR="00416F1A">
        <w:t xml:space="preserve"> to depart from the guideline by specifying further exclusions.</w:t>
      </w:r>
    </w:p>
    <w:p w:rsidR="004547DC" w:rsidRPr="00BD0FBD" w:rsidRDefault="004547DC" w:rsidP="008E2D82">
      <w:pPr>
        <w:pStyle w:val="Heading3"/>
      </w:pPr>
      <w:bookmarkStart w:id="27" w:name="_Toc417319845"/>
      <w:r w:rsidRPr="00BD0FBD">
        <w:t>Demand management</w:t>
      </w:r>
      <w:bookmarkEnd w:id="27"/>
    </w:p>
    <w:p w:rsidR="004F0DBD" w:rsidRDefault="004F0DBD" w:rsidP="004F0DBD">
      <w:r>
        <w:t>TransGrid proposed</w:t>
      </w:r>
      <w:r w:rsidRPr="004F0DBD">
        <w:t xml:space="preserve"> to exclude capital</w:t>
      </w:r>
      <w:r>
        <w:t xml:space="preserve"> </w:t>
      </w:r>
      <w:r w:rsidRPr="004F0DBD">
        <w:t>expenditure under the demand management innovation allow</w:t>
      </w:r>
      <w:r w:rsidR="007775DF">
        <w:t>ance from the CESS. In its revised proposal TransGrid</w:t>
      </w:r>
      <w:r>
        <w:t xml:space="preserve"> </w:t>
      </w:r>
      <w:r w:rsidR="00966E36">
        <w:t>stated</w:t>
      </w:r>
      <w:r w:rsidR="007775DF">
        <w:t xml:space="preserve"> that </w:t>
      </w:r>
      <w:r w:rsidRPr="004F0DBD">
        <w:t>the purpose of the demand management innovation allowance is to undertake</w:t>
      </w:r>
      <w:r>
        <w:t xml:space="preserve"> </w:t>
      </w:r>
      <w:r w:rsidRPr="004F0DBD">
        <w:t>initiatives of a research and development nature to develop the demand</w:t>
      </w:r>
      <w:r>
        <w:t xml:space="preserve"> </w:t>
      </w:r>
      <w:r w:rsidRPr="004F0DBD">
        <w:t xml:space="preserve">management market. </w:t>
      </w:r>
      <w:r>
        <w:t xml:space="preserve">It indicated consumers have </w:t>
      </w:r>
      <w:r w:rsidRPr="004F0DBD">
        <w:t>generally support</w:t>
      </w:r>
      <w:r>
        <w:t>ed</w:t>
      </w:r>
      <w:r w:rsidRPr="004F0DBD">
        <w:t xml:space="preserve"> demand</w:t>
      </w:r>
      <w:r>
        <w:t xml:space="preserve"> </w:t>
      </w:r>
      <w:r w:rsidRPr="004F0DBD">
        <w:t>management innovation and a desire for TransGrid to proactively pursue developments in</w:t>
      </w:r>
      <w:r>
        <w:t xml:space="preserve"> </w:t>
      </w:r>
      <w:r w:rsidRPr="004F0DBD">
        <w:t>this area.</w:t>
      </w:r>
      <w:r w:rsidR="00C2155B">
        <w:t xml:space="preserve"> TransGrid agreed that </w:t>
      </w:r>
      <w:r w:rsidR="00C2155B" w:rsidRPr="004F0DBD">
        <w:t xml:space="preserve">much of this expenditure is </w:t>
      </w:r>
      <w:r w:rsidR="00C2155B">
        <w:t>likely to be opex, but</w:t>
      </w:r>
      <w:r w:rsidR="00AE0E7A">
        <w:t xml:space="preserve"> noted</w:t>
      </w:r>
      <w:r w:rsidR="00C2155B">
        <w:t xml:space="preserve"> that </w:t>
      </w:r>
      <w:r w:rsidR="00C2155B" w:rsidRPr="004F0DBD">
        <w:t>some of the initiatives may involve some minor capital</w:t>
      </w:r>
      <w:r w:rsidR="00C2155B">
        <w:t xml:space="preserve"> </w:t>
      </w:r>
      <w:r w:rsidR="00C2155B" w:rsidRPr="004F0DBD">
        <w:t>expenditure.</w:t>
      </w:r>
      <w:r w:rsidR="00C2155B">
        <w:t xml:space="preserve"> </w:t>
      </w:r>
      <w:r>
        <w:t xml:space="preserve">TransGrid was of the view that the </w:t>
      </w:r>
      <w:r w:rsidRPr="004F0DBD">
        <w:t xml:space="preserve">inclusion of the demand management innovation allowance </w:t>
      </w:r>
      <w:r>
        <w:t xml:space="preserve">in the CESS </w:t>
      </w:r>
      <w:r w:rsidRPr="004F0DBD">
        <w:t>would provide an incentive</w:t>
      </w:r>
      <w:r>
        <w:t xml:space="preserve"> </w:t>
      </w:r>
      <w:r w:rsidRPr="004F0DBD">
        <w:t>that is contrary to the value consumers have expressed for development of the demand</w:t>
      </w:r>
      <w:r>
        <w:t xml:space="preserve"> </w:t>
      </w:r>
      <w:r w:rsidRPr="004F0DBD">
        <w:t>management market</w:t>
      </w:r>
      <w:r>
        <w:t>.</w:t>
      </w:r>
      <w:r w:rsidRPr="004F0DBD">
        <w:t xml:space="preserve"> </w:t>
      </w:r>
      <w:r>
        <w:t>T</w:t>
      </w:r>
      <w:r w:rsidRPr="004F0DBD">
        <w:t xml:space="preserve">hat is, </w:t>
      </w:r>
      <w:r>
        <w:t xml:space="preserve">this would </w:t>
      </w:r>
      <w:r w:rsidRPr="004F0DBD">
        <w:t>reduce expenditure on demand management innovation.</w:t>
      </w:r>
      <w:r>
        <w:rPr>
          <w:rStyle w:val="FootnoteReference"/>
        </w:rPr>
        <w:footnoteReference w:id="17"/>
      </w:r>
    </w:p>
    <w:p w:rsidR="004547DC" w:rsidRPr="001B6619" w:rsidRDefault="0049415B" w:rsidP="004547DC">
      <w:r>
        <w:t>We disagree that inclusion of demand management in the CESS would discourage TransGrid from pursuing demand management opportunities. As stated in our draft decision, s</w:t>
      </w:r>
      <w:r w:rsidR="004547DC" w:rsidRPr="00B56111">
        <w:t xml:space="preserve">uccessful </w:t>
      </w:r>
      <w:r w:rsidR="004547DC">
        <w:t xml:space="preserve">demand management </w:t>
      </w:r>
      <w:r w:rsidR="004547DC" w:rsidRPr="00B56111">
        <w:t xml:space="preserve">should result in the </w:t>
      </w:r>
      <w:r w:rsidR="004547DC">
        <w:t xml:space="preserve">network service provider </w:t>
      </w:r>
      <w:r w:rsidR="004547DC" w:rsidRPr="00B56111">
        <w:t xml:space="preserve">spending less on capex than it otherwise would have. Both the CESS and EBSS will apply </w:t>
      </w:r>
      <w:r w:rsidR="004547DC">
        <w:t xml:space="preserve">to TransGrid </w:t>
      </w:r>
      <w:r w:rsidR="004547DC" w:rsidRPr="00B56111">
        <w:t xml:space="preserve">in the subsequent </w:t>
      </w:r>
      <w:r w:rsidR="004547DC">
        <w:t xml:space="preserve">regulatory control </w:t>
      </w:r>
      <w:r w:rsidR="004547DC" w:rsidRPr="00B56111">
        <w:t xml:space="preserve">period. As a result </w:t>
      </w:r>
      <w:r w:rsidR="004547DC">
        <w:t xml:space="preserve">TransGrid </w:t>
      </w:r>
      <w:r w:rsidR="004547DC" w:rsidRPr="00B56111">
        <w:t xml:space="preserve">has an incentive to implement a </w:t>
      </w:r>
      <w:r w:rsidR="004547DC" w:rsidRPr="00CB1FD9">
        <w:t xml:space="preserve">demand management </w:t>
      </w:r>
      <w:r w:rsidR="004547DC">
        <w:t xml:space="preserve">solution </w:t>
      </w:r>
      <w:r w:rsidR="004547DC" w:rsidRPr="00B56111">
        <w:t xml:space="preserve">if the increase in opex is less than the corresponding decrease in capex. In this way, </w:t>
      </w:r>
      <w:r w:rsidR="004547DC">
        <w:t xml:space="preserve">it </w:t>
      </w:r>
      <w:r w:rsidR="004547DC" w:rsidRPr="00B56111">
        <w:t xml:space="preserve">will </w:t>
      </w:r>
      <w:r w:rsidR="004547DC" w:rsidRPr="00B56111">
        <w:lastRenderedPageBreak/>
        <w:t xml:space="preserve">receive a net reward for implementing </w:t>
      </w:r>
      <w:r w:rsidR="004547DC">
        <w:t>demand management</w:t>
      </w:r>
      <w:r w:rsidR="004547DC" w:rsidRPr="00B56111">
        <w:t>.</w:t>
      </w:r>
      <w:r w:rsidR="004547DC" w:rsidRPr="00CB1FD9">
        <w:rPr>
          <w:rStyle w:val="FootnoteReference"/>
        </w:rPr>
        <w:footnoteReference w:id="18"/>
      </w:r>
      <w:r w:rsidR="004547DC" w:rsidRPr="00B56111">
        <w:t xml:space="preserve"> This is because the rewards and penalties under the EBSS and CESS are balanced and symmetric. </w:t>
      </w:r>
      <w:r w:rsidR="006B6D2E" w:rsidRPr="006B6D2E">
        <w:t>In the past</w:t>
      </w:r>
      <w:r w:rsidR="005D2114">
        <w:t xml:space="preserve">, when </w:t>
      </w:r>
      <w:r w:rsidR="006B6D2E">
        <w:t>a CESS</w:t>
      </w:r>
      <w:r w:rsidR="006B6D2E" w:rsidRPr="006B6D2E">
        <w:t xml:space="preserve"> </w:t>
      </w:r>
      <w:r w:rsidR="005D2114">
        <w:t xml:space="preserve">did not apply, </w:t>
      </w:r>
      <w:r w:rsidR="006B6D2E" w:rsidRPr="006B6D2E">
        <w:t xml:space="preserve">service providers </w:t>
      </w:r>
      <w:r w:rsidR="00A432A4">
        <w:t xml:space="preserve">could </w:t>
      </w:r>
      <w:r w:rsidR="006B6D2E">
        <w:t xml:space="preserve">have received a penalty </w:t>
      </w:r>
      <w:r w:rsidR="006B6D2E" w:rsidRPr="006B6D2E">
        <w:t>for increasing opex without a corresponding reward for decreasing capex.</w:t>
      </w:r>
      <w:r w:rsidR="00A432A4">
        <w:t xml:space="preserve"> </w:t>
      </w:r>
    </w:p>
    <w:p w:rsidR="004547DC" w:rsidRPr="004547DC" w:rsidRDefault="004547DC" w:rsidP="004547DC"/>
    <w:sectPr w:rsidR="004547DC" w:rsidRPr="004547DC"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3327"/>
      <w:docPartObj>
        <w:docPartGallery w:val="Page Numbers (Bottom of Page)"/>
        <w:docPartUnique/>
      </w:docPartObj>
    </w:sdtPr>
    <w:sdtEndPr>
      <w:rPr>
        <w:noProof/>
        <w:sz w:val="16"/>
        <w:szCs w:val="16"/>
      </w:rPr>
    </w:sdtEndPr>
    <w:sdtContent>
      <w:p w:rsidR="00DE563D" w:rsidRDefault="00423A77">
        <w:pPr>
          <w:pStyle w:val="Footer"/>
        </w:pPr>
        <w:r>
          <w:fldChar w:fldCharType="begin"/>
        </w:r>
        <w:r>
          <w:instrText xml:space="preserve"> PAGE   \* MERGEFORMAT </w:instrText>
        </w:r>
        <w:r>
          <w:fldChar w:fldCharType="separate"/>
        </w:r>
        <w:r w:rsidR="00C47641">
          <w:rPr>
            <w:noProof/>
          </w:rPr>
          <w:t>10-3</w:t>
        </w:r>
        <w:r>
          <w:rPr>
            <w:noProof/>
          </w:rPr>
          <w:fldChar w:fldCharType="end"/>
        </w:r>
        <w:r w:rsidR="00FD5E78">
          <w:rPr>
            <w:noProof/>
          </w:rPr>
          <w:t xml:space="preserve">          </w:t>
        </w:r>
        <w:r w:rsidR="00DE563D" w:rsidRPr="00FD5E78">
          <w:rPr>
            <w:noProof/>
            <w:sz w:val="16"/>
            <w:szCs w:val="16"/>
          </w:rPr>
          <w:t xml:space="preserve">Attachment </w:t>
        </w:r>
        <w:r w:rsidR="00D60243">
          <w:rPr>
            <w:noProof/>
            <w:sz w:val="16"/>
            <w:szCs w:val="16"/>
          </w:rPr>
          <w:t>10</w:t>
        </w:r>
        <w:r w:rsidR="00DE563D" w:rsidRPr="00FD5E78">
          <w:rPr>
            <w:noProof/>
            <w:sz w:val="16"/>
            <w:szCs w:val="16"/>
          </w:rPr>
          <w:t xml:space="preserve"> </w:t>
        </w:r>
        <w:r w:rsidR="00DE563D" w:rsidRPr="00FD5E78">
          <w:rPr>
            <w:rFonts w:cs="Gautami"/>
            <w:noProof/>
            <w:sz w:val="16"/>
            <w:szCs w:val="16"/>
          </w:rPr>
          <w:t xml:space="preserve">– </w:t>
        </w:r>
        <w:r w:rsidR="00D60243">
          <w:rPr>
            <w:sz w:val="16"/>
            <w:szCs w:val="16"/>
          </w:rPr>
          <w:t>CESS</w:t>
        </w:r>
        <w:r w:rsidR="00DE563D" w:rsidRPr="00FD5E78">
          <w:rPr>
            <w:rFonts w:cs="Gautami"/>
            <w:noProof/>
            <w:sz w:val="16"/>
            <w:szCs w:val="16"/>
          </w:rPr>
          <w:t xml:space="preserve"> | </w:t>
        </w:r>
        <w:r w:rsidR="00FD5E78" w:rsidRPr="00FD5E78">
          <w:rPr>
            <w:rFonts w:cs="Gautami"/>
            <w:noProof/>
            <w:sz w:val="16"/>
            <w:szCs w:val="16"/>
          </w:rPr>
          <w:t xml:space="preserve">Final decision </w:t>
        </w:r>
        <w:r w:rsidR="002016E7" w:rsidRPr="00FD5E78">
          <w:rPr>
            <w:sz w:val="16"/>
            <w:szCs w:val="16"/>
          </w:rPr>
          <w:t>TransGrid transmission</w:t>
        </w:r>
        <w:r w:rsidR="00DE563D" w:rsidRPr="00FD5E78">
          <w:rPr>
            <w:rFonts w:cs="Gautami"/>
            <w:noProof/>
            <w:sz w:val="16"/>
            <w:szCs w:val="16"/>
          </w:rPr>
          <w:t xml:space="preserve"> determination 2015–</w:t>
        </w:r>
        <w:r w:rsidR="002016E7" w:rsidRPr="00FD5E78">
          <w:rPr>
            <w:rFonts w:cs="Gautami"/>
            <w:noProof/>
            <w:sz w:val="16"/>
            <w:szCs w:val="16"/>
          </w:rPr>
          <w:t>18</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4547DC" w:rsidRDefault="004547DC" w:rsidP="004547DC">
      <w:pPr>
        <w:pStyle w:val="FootnoteText"/>
      </w:pPr>
      <w:r>
        <w:rPr>
          <w:rStyle w:val="FootnoteReference"/>
        </w:rPr>
        <w:footnoteRef/>
      </w:r>
      <w:r>
        <w:t xml:space="preserve"> </w:t>
      </w:r>
      <w:r>
        <w:tab/>
      </w:r>
      <w:r w:rsidRPr="00F007E7">
        <w:t xml:space="preserve">AER, </w:t>
      </w:r>
      <w:r w:rsidRPr="004A7AE9">
        <w:rPr>
          <w:rStyle w:val="AERtextitalic"/>
        </w:rPr>
        <w:t>Capital Expenditure Incentive Guideline for Electricity Network Service Providers</w:t>
      </w:r>
      <w:r w:rsidRPr="00F007E7">
        <w:t>, November 2013, pp. 5–9. (AER,</w:t>
      </w:r>
      <w:r>
        <w:t xml:space="preserve"> </w:t>
      </w:r>
      <w:r w:rsidRPr="004A7AE9">
        <w:rPr>
          <w:rStyle w:val="AERtextitalic"/>
        </w:rPr>
        <w:t>Capex incentive guideline</w:t>
      </w:r>
      <w:r w:rsidRPr="00F007E7">
        <w:t>, November 2013).</w:t>
      </w:r>
    </w:p>
  </w:footnote>
  <w:footnote w:id="2">
    <w:p w:rsidR="004547DC" w:rsidRDefault="004547DC" w:rsidP="004547DC">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of the overspend.</w:t>
      </w:r>
    </w:p>
  </w:footnote>
  <w:footnote w:id="3">
    <w:p w:rsidR="004547DC" w:rsidRDefault="004547DC" w:rsidP="004547DC">
      <w:pPr>
        <w:pStyle w:val="FootnoteText"/>
      </w:pPr>
      <w:r>
        <w:rPr>
          <w:rStyle w:val="FootnoteReference"/>
        </w:rPr>
        <w:footnoteRef/>
      </w:r>
      <w:r>
        <w:t xml:space="preserve"> </w:t>
      </w:r>
      <w:r>
        <w:tab/>
        <w:t xml:space="preserve">The capex incentive guideline outlines how we may exclude capex from the RAB. AER, </w:t>
      </w:r>
      <w:r>
        <w:rPr>
          <w:rStyle w:val="AERtextitalic"/>
        </w:rPr>
        <w:t>Capex incentive guideline</w:t>
      </w:r>
      <w:r>
        <w:t>, November 2013, pp. 13</w:t>
      </w:r>
      <w:r w:rsidRPr="0095438A">
        <w:t>–</w:t>
      </w:r>
      <w:r>
        <w:t>20.</w:t>
      </w:r>
    </w:p>
  </w:footnote>
  <w:footnote w:id="4">
    <w:p w:rsidR="004547DC" w:rsidRDefault="004547DC" w:rsidP="004547DC">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
    <w:p w:rsidR="00FF2FB4" w:rsidRDefault="00FF2FB4" w:rsidP="00FF2FB4">
      <w:pPr>
        <w:pStyle w:val="FootnoteText"/>
      </w:pPr>
      <w:r>
        <w:rPr>
          <w:rStyle w:val="FootnoteReference"/>
        </w:rPr>
        <w:footnoteRef/>
      </w:r>
      <w:r>
        <w:t xml:space="preserve"> </w:t>
      </w:r>
      <w:r>
        <w:tab/>
        <w:t xml:space="preserve">AER, </w:t>
      </w:r>
      <w:r w:rsidRPr="00CD7A30">
        <w:rPr>
          <w:rStyle w:val="AERtextitalic"/>
        </w:rPr>
        <w:t>Framework and approach paper</w:t>
      </w:r>
      <w:r>
        <w:rPr>
          <w:rStyle w:val="AERtextitalic"/>
        </w:rPr>
        <w:t>, TransGrid</w:t>
      </w:r>
      <w:r>
        <w:t>, January 2014, p. 24.</w:t>
      </w:r>
    </w:p>
  </w:footnote>
  <w:footnote w:id="6">
    <w:p w:rsidR="00FF2FB4" w:rsidRDefault="00FF2FB4" w:rsidP="00FF2FB4">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7">
    <w:p w:rsidR="00BD0FBD" w:rsidRDefault="00BD0FBD" w:rsidP="00FF2FB4">
      <w:pPr>
        <w:pStyle w:val="FootnoteText"/>
      </w:pPr>
      <w:r>
        <w:rPr>
          <w:rStyle w:val="FootnoteReference"/>
        </w:rPr>
        <w:footnoteRef/>
      </w:r>
      <w:r>
        <w:t xml:space="preserve"> </w:t>
      </w:r>
      <w:r>
        <w:tab/>
        <w:t>Trans</w:t>
      </w:r>
      <w:r w:rsidR="00FF2FB4">
        <w:t xml:space="preserve">Grid, </w:t>
      </w:r>
      <w:r w:rsidR="00FF2FB4" w:rsidRPr="00FF2FB4">
        <w:rPr>
          <w:rStyle w:val="AERtextitalic"/>
        </w:rPr>
        <w:t>Revised revenue proposal, 2014/15 – 2017/18</w:t>
      </w:r>
      <w:r w:rsidR="00FF2FB4">
        <w:t>, January 2015, pp.</w:t>
      </w:r>
      <w:r>
        <w:t xml:space="preserve"> 144–145</w:t>
      </w:r>
      <w:r w:rsidR="00FF2FB4">
        <w:t xml:space="preserve"> (TransGrid, </w:t>
      </w:r>
      <w:r w:rsidR="00FF2FB4" w:rsidRPr="00FF2FB4">
        <w:rPr>
          <w:rStyle w:val="AERtextitalic"/>
        </w:rPr>
        <w:t>Revised revenue proposal</w:t>
      </w:r>
      <w:r w:rsidR="00FF2FB4">
        <w:t>, January 2015).</w:t>
      </w:r>
    </w:p>
  </w:footnote>
  <w:footnote w:id="8">
    <w:p w:rsidR="004547DC" w:rsidRDefault="004547DC" w:rsidP="004547DC">
      <w:pPr>
        <w:pStyle w:val="FootnoteText"/>
      </w:pPr>
      <w:r>
        <w:rPr>
          <w:rStyle w:val="FootnoteReference"/>
        </w:rPr>
        <w:footnoteRef/>
      </w:r>
      <w:r>
        <w:t xml:space="preserve"> </w:t>
      </w:r>
      <w:r>
        <w:tab/>
        <w:t>NER, cl. 6A.6.5A.</w:t>
      </w:r>
    </w:p>
  </w:footnote>
  <w:footnote w:id="9">
    <w:p w:rsidR="004547DC" w:rsidRDefault="004547DC" w:rsidP="004547DC">
      <w:pPr>
        <w:pStyle w:val="FootnoteText"/>
      </w:pPr>
      <w:r>
        <w:rPr>
          <w:rStyle w:val="FootnoteReference"/>
        </w:rPr>
        <w:footnoteRef/>
      </w:r>
      <w:r>
        <w:t xml:space="preserve"> </w:t>
      </w:r>
      <w:r>
        <w:tab/>
        <w:t xml:space="preserve">NER, cl. </w:t>
      </w:r>
      <w:r w:rsidRPr="00BD64DE">
        <w:t>6</w:t>
      </w:r>
      <w:r>
        <w:t>A.5</w:t>
      </w:r>
      <w:r w:rsidRPr="00BD64DE">
        <w:t>A(a)</w:t>
      </w:r>
      <w:r>
        <w:t xml:space="preserve">; the capex criteria are set out in cl. </w:t>
      </w:r>
      <w:r w:rsidRPr="00BD64DE">
        <w:t>6</w:t>
      </w:r>
      <w:r>
        <w:t>A.6.7(c)(1)-(3) of the NER.</w:t>
      </w:r>
    </w:p>
  </w:footnote>
  <w:footnote w:id="10">
    <w:p w:rsidR="004547DC" w:rsidRDefault="004547DC" w:rsidP="004547DC">
      <w:pPr>
        <w:pStyle w:val="FootnoteText"/>
      </w:pPr>
      <w:r>
        <w:rPr>
          <w:rStyle w:val="FootnoteReference"/>
        </w:rPr>
        <w:footnoteRef/>
      </w:r>
      <w:r>
        <w:t xml:space="preserve"> </w:t>
      </w:r>
      <w:r>
        <w:tab/>
        <w:t>NER, cl. 6A.6.5A(c).</w:t>
      </w:r>
    </w:p>
  </w:footnote>
  <w:footnote w:id="11">
    <w:p w:rsidR="004547DC" w:rsidRDefault="004547DC" w:rsidP="004547DC">
      <w:pPr>
        <w:pStyle w:val="FootnoteText"/>
      </w:pPr>
      <w:r>
        <w:rPr>
          <w:rStyle w:val="FootnoteReference"/>
        </w:rPr>
        <w:footnoteRef/>
      </w:r>
      <w:r>
        <w:t xml:space="preserve"> </w:t>
      </w:r>
      <w:r>
        <w:tab/>
        <w:t>NER, cl. 6A.6.7(a).</w:t>
      </w:r>
    </w:p>
  </w:footnote>
  <w:footnote w:id="12">
    <w:p w:rsidR="004547DC" w:rsidRDefault="004547DC" w:rsidP="004547DC">
      <w:pPr>
        <w:pStyle w:val="FootnoteText"/>
      </w:pPr>
      <w:r>
        <w:rPr>
          <w:rStyle w:val="FootnoteReference"/>
        </w:rPr>
        <w:footnoteRef/>
      </w:r>
      <w:r>
        <w:t xml:space="preserve"> </w:t>
      </w:r>
      <w:r>
        <w:tab/>
        <w:t xml:space="preserve">Related schemes are the efficiency benefit sharing scheme (EBSS) for opex, and the service target performance incentive scheme (STPIS) for service levels. </w:t>
      </w:r>
    </w:p>
  </w:footnote>
  <w:footnote w:id="13">
    <w:p w:rsidR="00773845" w:rsidRDefault="00773845" w:rsidP="00773845">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14">
    <w:p w:rsidR="006D27CB" w:rsidRDefault="006D27CB">
      <w:pPr>
        <w:pStyle w:val="FootnoteText"/>
      </w:pPr>
      <w:r>
        <w:rPr>
          <w:rStyle w:val="FootnoteReference"/>
        </w:rPr>
        <w:footnoteRef/>
      </w:r>
      <w:r>
        <w:t xml:space="preserve"> </w:t>
      </w:r>
      <w:r>
        <w:tab/>
      </w:r>
      <w:r w:rsidRPr="006D27CB">
        <w:t>In developing the CESS in consultation with stakeholders, we considered a range of capex categories that we could exclude from the CESS. The capex incentive guideline provides for a single exclusion related to the STPIS for transmission. Our reasoning for deciding to only allow this exclusion, and not any other categories of exclusions, is set out in the explanatory statement to the capex incentive guideline.</w:t>
      </w:r>
    </w:p>
  </w:footnote>
  <w:footnote w:id="15">
    <w:p w:rsidR="00AE636C" w:rsidRDefault="00AE636C">
      <w:pPr>
        <w:pStyle w:val="FootnoteText"/>
      </w:pPr>
      <w:r>
        <w:rPr>
          <w:rStyle w:val="FootnoteReference"/>
        </w:rPr>
        <w:footnoteRef/>
      </w:r>
      <w:r w:rsidR="00966E36">
        <w:t xml:space="preserve"> </w:t>
      </w:r>
      <w:r w:rsidR="00966E36">
        <w:tab/>
        <w:t xml:space="preserve">TransGrid, </w:t>
      </w:r>
      <w:r w:rsidR="00AE0E7A" w:rsidRPr="00FF2FB4">
        <w:rPr>
          <w:rStyle w:val="AERtextitalic"/>
        </w:rPr>
        <w:t>Revised revenue proposal</w:t>
      </w:r>
      <w:r w:rsidR="00966E36">
        <w:t>, January 2015,</w:t>
      </w:r>
      <w:r>
        <w:t xml:space="preserve"> pp. 145–146.</w:t>
      </w:r>
    </w:p>
  </w:footnote>
  <w:footnote w:id="16">
    <w:p w:rsidR="00AE0E7A" w:rsidRPr="00966E36" w:rsidRDefault="00AE0E7A" w:rsidP="00AE0E7A">
      <w:pPr>
        <w:pStyle w:val="FootnoteText"/>
        <w:rPr>
          <w:rStyle w:val="AERtexthighlight"/>
        </w:rPr>
      </w:pPr>
      <w:r>
        <w:rPr>
          <w:rStyle w:val="FootnoteReference"/>
        </w:rPr>
        <w:footnoteRef/>
      </w:r>
      <w:r>
        <w:t xml:space="preserve"> </w:t>
      </w:r>
      <w:r>
        <w:tab/>
        <w:t xml:space="preserve">AER, </w:t>
      </w:r>
      <w:r w:rsidRPr="00AE0E7A">
        <w:t>Draft decision</w:t>
      </w:r>
      <w:r>
        <w:t xml:space="preserve">, </w:t>
      </w:r>
      <w:r w:rsidRPr="00AE0E7A">
        <w:rPr>
          <w:rStyle w:val="AERtextitalic"/>
        </w:rPr>
        <w:t>TransGrid transmission determination, 2015–16 to 2017–18, Attachment 10: Capital expenditure sharing scheme</w:t>
      </w:r>
      <w:r>
        <w:t>, November 2014, p. 11.</w:t>
      </w:r>
    </w:p>
  </w:footnote>
  <w:footnote w:id="17">
    <w:p w:rsidR="004F0DBD" w:rsidRDefault="004F0DBD">
      <w:pPr>
        <w:pStyle w:val="FootnoteText"/>
      </w:pPr>
      <w:r>
        <w:rPr>
          <w:rStyle w:val="FootnoteReference"/>
        </w:rPr>
        <w:footnoteRef/>
      </w:r>
      <w:r w:rsidR="00966E36">
        <w:t xml:space="preserve"> </w:t>
      </w:r>
      <w:r w:rsidR="00966E36">
        <w:tab/>
        <w:t xml:space="preserve">TransGrid, </w:t>
      </w:r>
      <w:r w:rsidR="00AE0E7A" w:rsidRPr="00FF2FB4">
        <w:rPr>
          <w:rStyle w:val="AERtextitalic"/>
        </w:rPr>
        <w:t>Revised revenue proposal</w:t>
      </w:r>
      <w:r>
        <w:t xml:space="preserve">, </w:t>
      </w:r>
      <w:r w:rsidR="00966E36">
        <w:t xml:space="preserve">January 2015, </w:t>
      </w:r>
      <w:r>
        <w:t>p. 146</w:t>
      </w:r>
      <w:r w:rsidR="00AE0E7A">
        <w:t>.</w:t>
      </w:r>
    </w:p>
  </w:footnote>
  <w:footnote w:id="18">
    <w:p w:rsidR="004547DC" w:rsidRPr="00CB1FD9" w:rsidRDefault="004547DC" w:rsidP="004547DC">
      <w:pPr>
        <w:pStyle w:val="FootnoteText"/>
      </w:pPr>
      <w:r w:rsidRPr="00CD6359">
        <w:rPr>
          <w:rStyle w:val="FootnoteReference"/>
        </w:rPr>
        <w:footnoteRef/>
      </w:r>
      <w:r w:rsidRPr="00CB1FD9">
        <w:t xml:space="preserve"> </w:t>
      </w:r>
      <w:r w:rsidRPr="00CB1FD9">
        <w:tab/>
        <w:t xml:space="preserve">When the </w:t>
      </w:r>
      <w:r>
        <w:t>service provider</w:t>
      </w:r>
      <w:r w:rsidRPr="00CB1FD9">
        <w:t xml:space="preserve"> spends more on opex it receives a 30 per cent penalty under the EBSS. However, when there is a corresponding decrease in capex the </w:t>
      </w:r>
      <w:r>
        <w:t xml:space="preserve">service provider </w:t>
      </w:r>
      <w:r w:rsidRPr="00CB1FD9">
        <w:t xml:space="preserve">receives a 30 per cent reward under the CESS. So where the decrease in capex is larger than the increase in opex the </w:t>
      </w:r>
      <w:r>
        <w:t xml:space="preserve">service provider </w:t>
      </w:r>
      <w:r w:rsidRPr="00CB1FD9">
        <w:t>receives a larger reward than penalty, a net reward.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A934DE68"/>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AC6DD7"/>
    <w:multiLevelType w:val="multilevel"/>
    <w:tmpl w:val="950A1C52"/>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7"/>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24"/>
  </w:num>
  <w:num w:numId="46">
    <w:abstractNumId w:val="19"/>
  </w:num>
  <w:num w:numId="47">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Jf/SEtAokCfZ1PkqMuJBe7Sx7Lxmw51YvuhLn8iKBk=" w:saltValue="3rz9nQAWro1P1GffjoPFag==" w:algorithmName="SHA-256"/>
  <w:defaultTabStop w:val="34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0 - capital expenditure sharing scheme - April 2015 fixed.docx"/>
  </w:docVars>
  <w:rsids>
    <w:rsidRoot w:val="00961A4A"/>
    <w:rsid w:val="00021202"/>
    <w:rsid w:val="00021C2B"/>
    <w:rsid w:val="0002517F"/>
    <w:rsid w:val="0003578C"/>
    <w:rsid w:val="000457BC"/>
    <w:rsid w:val="00063247"/>
    <w:rsid w:val="00070F9F"/>
    <w:rsid w:val="0007137B"/>
    <w:rsid w:val="00085663"/>
    <w:rsid w:val="00085EBF"/>
    <w:rsid w:val="00090AB1"/>
    <w:rsid w:val="000A3020"/>
    <w:rsid w:val="000A6C7B"/>
    <w:rsid w:val="000C2B40"/>
    <w:rsid w:val="000D122C"/>
    <w:rsid w:val="000D6EF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492E"/>
    <w:rsid w:val="001F6DA3"/>
    <w:rsid w:val="002010BC"/>
    <w:rsid w:val="002016E7"/>
    <w:rsid w:val="00202E03"/>
    <w:rsid w:val="0020492C"/>
    <w:rsid w:val="00224DB9"/>
    <w:rsid w:val="00233775"/>
    <w:rsid w:val="00251745"/>
    <w:rsid w:val="00252D4B"/>
    <w:rsid w:val="00263AC0"/>
    <w:rsid w:val="00264264"/>
    <w:rsid w:val="0026772D"/>
    <w:rsid w:val="00286874"/>
    <w:rsid w:val="00290C63"/>
    <w:rsid w:val="00296B65"/>
    <w:rsid w:val="002A7DEF"/>
    <w:rsid w:val="002C585C"/>
    <w:rsid w:val="002D72E8"/>
    <w:rsid w:val="002E7B22"/>
    <w:rsid w:val="002F442C"/>
    <w:rsid w:val="002F7986"/>
    <w:rsid w:val="00301B40"/>
    <w:rsid w:val="003029EE"/>
    <w:rsid w:val="00305CC8"/>
    <w:rsid w:val="00307F6D"/>
    <w:rsid w:val="003177A2"/>
    <w:rsid w:val="0032272A"/>
    <w:rsid w:val="003271B5"/>
    <w:rsid w:val="00327A1E"/>
    <w:rsid w:val="00331264"/>
    <w:rsid w:val="00334C8D"/>
    <w:rsid w:val="00343A18"/>
    <w:rsid w:val="003518B3"/>
    <w:rsid w:val="003840E3"/>
    <w:rsid w:val="00384429"/>
    <w:rsid w:val="003846F1"/>
    <w:rsid w:val="003A0ABD"/>
    <w:rsid w:val="003B484F"/>
    <w:rsid w:val="003B7FBA"/>
    <w:rsid w:val="003F174D"/>
    <w:rsid w:val="00415F31"/>
    <w:rsid w:val="00416F1A"/>
    <w:rsid w:val="00423A77"/>
    <w:rsid w:val="00433139"/>
    <w:rsid w:val="004547DC"/>
    <w:rsid w:val="0045777E"/>
    <w:rsid w:val="0047393A"/>
    <w:rsid w:val="00480B4B"/>
    <w:rsid w:val="00485DC4"/>
    <w:rsid w:val="0049415B"/>
    <w:rsid w:val="004A43D1"/>
    <w:rsid w:val="004B4412"/>
    <w:rsid w:val="004C348C"/>
    <w:rsid w:val="004D55BA"/>
    <w:rsid w:val="004E22EC"/>
    <w:rsid w:val="004F0DBD"/>
    <w:rsid w:val="00530128"/>
    <w:rsid w:val="00532467"/>
    <w:rsid w:val="00563107"/>
    <w:rsid w:val="00564A4D"/>
    <w:rsid w:val="00567BA5"/>
    <w:rsid w:val="00571B35"/>
    <w:rsid w:val="00571D57"/>
    <w:rsid w:val="00577A09"/>
    <w:rsid w:val="005829C2"/>
    <w:rsid w:val="00584D8F"/>
    <w:rsid w:val="005A404D"/>
    <w:rsid w:val="005B1E3C"/>
    <w:rsid w:val="005B704A"/>
    <w:rsid w:val="005C26CC"/>
    <w:rsid w:val="005D2114"/>
    <w:rsid w:val="005D7BA2"/>
    <w:rsid w:val="005E36C2"/>
    <w:rsid w:val="00612F4F"/>
    <w:rsid w:val="00615C6B"/>
    <w:rsid w:val="00621DCE"/>
    <w:rsid w:val="00632D6D"/>
    <w:rsid w:val="006426C1"/>
    <w:rsid w:val="00642C3E"/>
    <w:rsid w:val="0066104A"/>
    <w:rsid w:val="00663DAD"/>
    <w:rsid w:val="00675E20"/>
    <w:rsid w:val="00676679"/>
    <w:rsid w:val="00683C89"/>
    <w:rsid w:val="00693198"/>
    <w:rsid w:val="006B2395"/>
    <w:rsid w:val="006B4CF9"/>
    <w:rsid w:val="006B6D2E"/>
    <w:rsid w:val="006B7AC8"/>
    <w:rsid w:val="006D27CB"/>
    <w:rsid w:val="006D550F"/>
    <w:rsid w:val="006F7FBD"/>
    <w:rsid w:val="00701CAB"/>
    <w:rsid w:val="00707563"/>
    <w:rsid w:val="0072348C"/>
    <w:rsid w:val="00724A37"/>
    <w:rsid w:val="007303C3"/>
    <w:rsid w:val="007429BE"/>
    <w:rsid w:val="00743223"/>
    <w:rsid w:val="00746E01"/>
    <w:rsid w:val="00757BDF"/>
    <w:rsid w:val="00763E5D"/>
    <w:rsid w:val="00767740"/>
    <w:rsid w:val="00773845"/>
    <w:rsid w:val="007775DF"/>
    <w:rsid w:val="00777EE6"/>
    <w:rsid w:val="00782EEA"/>
    <w:rsid w:val="007A236B"/>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8100C"/>
    <w:rsid w:val="008837AC"/>
    <w:rsid w:val="00885771"/>
    <w:rsid w:val="008A587D"/>
    <w:rsid w:val="008B35CD"/>
    <w:rsid w:val="008B5FCC"/>
    <w:rsid w:val="008C5486"/>
    <w:rsid w:val="008D1661"/>
    <w:rsid w:val="008D57DF"/>
    <w:rsid w:val="008E2D82"/>
    <w:rsid w:val="008E7031"/>
    <w:rsid w:val="008E77DE"/>
    <w:rsid w:val="008F07A3"/>
    <w:rsid w:val="009001B6"/>
    <w:rsid w:val="00900E1B"/>
    <w:rsid w:val="009216A6"/>
    <w:rsid w:val="009233EE"/>
    <w:rsid w:val="009460AA"/>
    <w:rsid w:val="00951978"/>
    <w:rsid w:val="00961A4A"/>
    <w:rsid w:val="009661DE"/>
    <w:rsid w:val="00966E36"/>
    <w:rsid w:val="00983C25"/>
    <w:rsid w:val="009856B7"/>
    <w:rsid w:val="00985C86"/>
    <w:rsid w:val="009A5FC3"/>
    <w:rsid w:val="009B74B0"/>
    <w:rsid w:val="009D3906"/>
    <w:rsid w:val="009D6B46"/>
    <w:rsid w:val="009E4D64"/>
    <w:rsid w:val="009F4940"/>
    <w:rsid w:val="009F5BA1"/>
    <w:rsid w:val="00A02A88"/>
    <w:rsid w:val="00A0562E"/>
    <w:rsid w:val="00A0726D"/>
    <w:rsid w:val="00A11C90"/>
    <w:rsid w:val="00A32FBB"/>
    <w:rsid w:val="00A428EE"/>
    <w:rsid w:val="00A432A4"/>
    <w:rsid w:val="00A4478A"/>
    <w:rsid w:val="00A44852"/>
    <w:rsid w:val="00A57D04"/>
    <w:rsid w:val="00A60A26"/>
    <w:rsid w:val="00A61598"/>
    <w:rsid w:val="00A84A99"/>
    <w:rsid w:val="00A84F46"/>
    <w:rsid w:val="00A871F4"/>
    <w:rsid w:val="00AC1B2C"/>
    <w:rsid w:val="00AC3264"/>
    <w:rsid w:val="00AE0E7A"/>
    <w:rsid w:val="00AE1BF1"/>
    <w:rsid w:val="00AE636C"/>
    <w:rsid w:val="00AF0DD2"/>
    <w:rsid w:val="00B012EC"/>
    <w:rsid w:val="00B13048"/>
    <w:rsid w:val="00B1716D"/>
    <w:rsid w:val="00B17A1D"/>
    <w:rsid w:val="00B207A0"/>
    <w:rsid w:val="00B37194"/>
    <w:rsid w:val="00B43384"/>
    <w:rsid w:val="00B514DD"/>
    <w:rsid w:val="00B52AF0"/>
    <w:rsid w:val="00B5493D"/>
    <w:rsid w:val="00B561BD"/>
    <w:rsid w:val="00B56E03"/>
    <w:rsid w:val="00B8080B"/>
    <w:rsid w:val="00B82223"/>
    <w:rsid w:val="00B87BA5"/>
    <w:rsid w:val="00B87C39"/>
    <w:rsid w:val="00B9562D"/>
    <w:rsid w:val="00BA4665"/>
    <w:rsid w:val="00BB28F2"/>
    <w:rsid w:val="00BB2FB2"/>
    <w:rsid w:val="00BB3304"/>
    <w:rsid w:val="00BD0FBD"/>
    <w:rsid w:val="00BD3446"/>
    <w:rsid w:val="00BE1F1B"/>
    <w:rsid w:val="00BE47B5"/>
    <w:rsid w:val="00C164BD"/>
    <w:rsid w:val="00C2155B"/>
    <w:rsid w:val="00C25FA6"/>
    <w:rsid w:val="00C47641"/>
    <w:rsid w:val="00C538A9"/>
    <w:rsid w:val="00C53B5A"/>
    <w:rsid w:val="00C54F5A"/>
    <w:rsid w:val="00C569B4"/>
    <w:rsid w:val="00C67A92"/>
    <w:rsid w:val="00C84560"/>
    <w:rsid w:val="00C86679"/>
    <w:rsid w:val="00CA489E"/>
    <w:rsid w:val="00CB0279"/>
    <w:rsid w:val="00CB666B"/>
    <w:rsid w:val="00CC7F1D"/>
    <w:rsid w:val="00CE1BDD"/>
    <w:rsid w:val="00D006AE"/>
    <w:rsid w:val="00D01CF0"/>
    <w:rsid w:val="00D0442A"/>
    <w:rsid w:val="00D60243"/>
    <w:rsid w:val="00D61388"/>
    <w:rsid w:val="00D61A54"/>
    <w:rsid w:val="00D64DEA"/>
    <w:rsid w:val="00D7168E"/>
    <w:rsid w:val="00D71E57"/>
    <w:rsid w:val="00D76276"/>
    <w:rsid w:val="00D80893"/>
    <w:rsid w:val="00D84854"/>
    <w:rsid w:val="00D92CF1"/>
    <w:rsid w:val="00D92D38"/>
    <w:rsid w:val="00D950F5"/>
    <w:rsid w:val="00DA4668"/>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C53E5"/>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C12D2"/>
    <w:rsid w:val="00FD5614"/>
    <w:rsid w:val="00FD5E78"/>
    <w:rsid w:val="00FE0BE1"/>
    <w:rsid w:val="00FE1DE9"/>
    <w:rsid w:val="00FE36AF"/>
    <w:rsid w:val="00FE39C2"/>
    <w:rsid w:val="00FE3C32"/>
    <w:rsid w:val="00FE64AE"/>
    <w:rsid w:val="00FF2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ED982444</Template>
  <TotalTime>0</TotalTime>
  <Pages>11</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2015-04-29T04:25:00Z</dcterms:created>
  <dcterms:modified xsi:type="dcterms:W3CDTF">2015-04-29T04:25:00Z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