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60243">
            <w:t>1</w:t>
          </w:r>
          <w:r w:rsidR="00D84A7A">
            <w:t>3</w:t>
          </w:r>
          <w:r>
            <w:t xml:space="preserve"> </w:t>
          </w:r>
          <w:r w:rsidR="00415F31">
            <w:rPr>
              <w:rFonts w:cs="Arial"/>
            </w:rPr>
            <w:t>–</w:t>
          </w:r>
          <w:r>
            <w:t xml:space="preserve"> </w:t>
          </w:r>
          <w:r w:rsidR="00A37C21">
            <w:t>P</w:t>
          </w:r>
          <w:r w:rsidR="00D84A7A">
            <w:t>ass through events</w:t>
          </w:r>
        </w:p>
        <w:p w:rsidR="000A6C7B" w:rsidRPr="00327A1E" w:rsidRDefault="00DA4752" w:rsidP="00327A1E">
          <w:pPr>
            <w:pStyle w:val="ReportDate"/>
          </w:pPr>
          <w:r>
            <w:t>April 2015</w:t>
          </w:r>
        </w:p>
      </w:sdtContent>
    </w:sdt>
    <w:p w:rsidR="00327A1E" w:rsidRPr="00290C63" w:rsidRDefault="00327A1E" w:rsidP="00290C63">
      <w:r>
        <w:br w:type="page"/>
      </w:r>
    </w:p>
    <w:p w:rsidR="000A6C7B" w:rsidRPr="00796E2B" w:rsidRDefault="008F07A3" w:rsidP="00961A4A">
      <w:pPr>
        <w:pStyle w:val="Copyright"/>
        <w:rPr>
          <w:rStyle w:val="AERbody"/>
        </w:rPr>
      </w:pPr>
      <w:r w:rsidRPr="00796E2B">
        <w:rPr>
          <w:rStyle w:val="AERbody"/>
        </w:rPr>
        <w:lastRenderedPageBreak/>
        <w:t>© Commonwealth of Australia 2015</w:t>
      </w:r>
    </w:p>
    <w:p w:rsidR="000A6C7B" w:rsidRPr="00796E2B" w:rsidRDefault="000A6C7B" w:rsidP="000A6C7B">
      <w:pPr>
        <w:pStyle w:val="Copyright"/>
        <w:rPr>
          <w:rStyle w:val="AERbody"/>
        </w:rPr>
      </w:pPr>
      <w:r w:rsidRPr="00796E2B">
        <w:rPr>
          <w:rStyle w:val="AERbody"/>
        </w:rPr>
        <w:t>This work is copyright. In addition to any use permitted under the Copyright Act 1968, all material contained within this work is provided under a Creative Commons Attributions 3.0 Australia licence, with the exception of:</w:t>
      </w:r>
    </w:p>
    <w:p w:rsidR="000A6C7B" w:rsidRPr="00796E2B" w:rsidRDefault="000A6C7B" w:rsidP="00796E2B">
      <w:pPr>
        <w:pStyle w:val="AERbulletlistfirststyle"/>
        <w:rPr>
          <w:rStyle w:val="AERbody"/>
        </w:rPr>
      </w:pPr>
      <w:r w:rsidRPr="00796E2B">
        <w:rPr>
          <w:rStyle w:val="AERbody"/>
        </w:rPr>
        <w:t>the Commonwealth Coat of Arms</w:t>
      </w:r>
    </w:p>
    <w:p w:rsidR="000A6C7B" w:rsidRPr="00796E2B" w:rsidRDefault="000A6C7B" w:rsidP="00983C25">
      <w:pPr>
        <w:pStyle w:val="AERbulletlistfirststyle"/>
        <w:rPr>
          <w:rStyle w:val="AERbody"/>
        </w:rPr>
      </w:pPr>
      <w:r w:rsidRPr="00796E2B">
        <w:rPr>
          <w:rStyle w:val="AERbody"/>
        </w:rPr>
        <w:t>the ACCC and AER logos</w:t>
      </w:r>
    </w:p>
    <w:p w:rsidR="000A6C7B" w:rsidRPr="00796E2B" w:rsidRDefault="000A6C7B" w:rsidP="00983C25">
      <w:pPr>
        <w:pStyle w:val="AERbulletlistfirststyle"/>
        <w:rPr>
          <w:rStyle w:val="AERbody"/>
        </w:rPr>
      </w:pPr>
      <w:r w:rsidRPr="00796E2B">
        <w:rPr>
          <w:rStyle w:val="AERbody"/>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Pr="00796E2B" w:rsidRDefault="000A6C7B" w:rsidP="000A6C7B">
      <w:pPr>
        <w:pStyle w:val="Copyright"/>
        <w:rPr>
          <w:rStyle w:val="AERbody"/>
        </w:rPr>
      </w:pPr>
      <w:r w:rsidRPr="00796E2B">
        <w:rPr>
          <w:rStyle w:val="AERbody"/>
        </w:rPr>
        <w:t>Requests and inquiries concerning reproduction and rights should be addressed to the</w:t>
      </w:r>
      <w:r w:rsidR="009D3906" w:rsidRPr="00796E2B">
        <w:rPr>
          <w:rStyle w:val="AERbody"/>
        </w:rPr>
        <w:t>:</w:t>
      </w:r>
    </w:p>
    <w:p w:rsidR="009D3906" w:rsidRPr="00796E2B" w:rsidRDefault="000A6C7B" w:rsidP="000A6C7B">
      <w:pPr>
        <w:pStyle w:val="Copyright"/>
        <w:rPr>
          <w:rStyle w:val="AERbody"/>
        </w:rPr>
      </w:pPr>
      <w:r w:rsidRPr="00796E2B">
        <w:rPr>
          <w:rStyle w:val="AERbody"/>
        </w:rPr>
        <w:t>Dir</w:t>
      </w:r>
      <w:r w:rsidR="009D3906" w:rsidRPr="00796E2B">
        <w:rPr>
          <w:rStyle w:val="AERbody"/>
        </w:rPr>
        <w:t>ector, Corporate Communications</w:t>
      </w:r>
      <w:r w:rsidR="00983C25" w:rsidRPr="00796E2B">
        <w:rPr>
          <w:rStyle w:val="AERbody"/>
        </w:rPr>
        <w:br/>
      </w:r>
      <w:r w:rsidRPr="00796E2B">
        <w:rPr>
          <w:rStyle w:val="AERbody"/>
        </w:rPr>
        <w:t>Australian Comp</w:t>
      </w:r>
      <w:r w:rsidR="009D3906" w:rsidRPr="00796E2B">
        <w:rPr>
          <w:rStyle w:val="AERbody"/>
        </w:rPr>
        <w:t>etition and Consumer Commission</w:t>
      </w:r>
      <w:r w:rsidRPr="00796E2B">
        <w:rPr>
          <w:rStyle w:val="AERbody"/>
        </w:rPr>
        <w:t xml:space="preserve"> </w:t>
      </w:r>
      <w:r w:rsidR="00983C25" w:rsidRPr="00796E2B">
        <w:rPr>
          <w:rStyle w:val="AERbody"/>
        </w:rPr>
        <w:br/>
      </w:r>
      <w:r w:rsidRPr="00796E2B">
        <w:rPr>
          <w:rStyle w:val="AERbody"/>
        </w:rPr>
        <w:t>GPO Box 4141, Canberra ACT 2601</w:t>
      </w:r>
    </w:p>
    <w:p w:rsidR="000A6C7B" w:rsidRPr="00796E2B" w:rsidRDefault="000A6C7B" w:rsidP="000A6C7B">
      <w:pPr>
        <w:pStyle w:val="Copyright"/>
        <w:rPr>
          <w:rStyle w:val="AERbody"/>
        </w:rPr>
      </w:pPr>
      <w:r w:rsidRPr="00796E2B">
        <w:rPr>
          <w:rStyle w:val="AERbody"/>
        </w:rPr>
        <w:t>or publishing.unit@accc.gov.au.</w:t>
      </w:r>
    </w:p>
    <w:p w:rsidR="00951978" w:rsidRPr="00796E2B" w:rsidRDefault="000A6C7B" w:rsidP="00961A4A">
      <w:pPr>
        <w:pStyle w:val="Copyright"/>
        <w:rPr>
          <w:rStyle w:val="AERbody"/>
        </w:rPr>
      </w:pPr>
      <w:r w:rsidRPr="00796E2B">
        <w:rPr>
          <w:rStyle w:val="AERbody"/>
        </w:rPr>
        <w:t>Inquiries about this publication should be addressed to:</w:t>
      </w:r>
    </w:p>
    <w:p w:rsidR="000A6C7B" w:rsidRPr="00796E2B" w:rsidRDefault="000A6C7B" w:rsidP="000A6C7B">
      <w:pPr>
        <w:pStyle w:val="Copyright"/>
        <w:rPr>
          <w:rStyle w:val="AERbody"/>
        </w:rPr>
      </w:pPr>
      <w:r w:rsidRPr="00796E2B">
        <w:rPr>
          <w:rStyle w:val="AERbody"/>
        </w:rPr>
        <w:t>Australian Energy Regulator</w:t>
      </w:r>
      <w:r w:rsidR="00951978" w:rsidRPr="00796E2B">
        <w:rPr>
          <w:rStyle w:val="AERbody"/>
        </w:rPr>
        <w:br/>
      </w:r>
      <w:r w:rsidRPr="00796E2B">
        <w:rPr>
          <w:rStyle w:val="AERbody"/>
        </w:rPr>
        <w:t>GPO Box 520</w:t>
      </w:r>
      <w:r w:rsidR="00951978" w:rsidRPr="00796E2B">
        <w:rPr>
          <w:rStyle w:val="AERbody"/>
        </w:rPr>
        <w:br/>
      </w:r>
      <w:r w:rsidRPr="00796E2B">
        <w:rPr>
          <w:rStyle w:val="AERbody"/>
        </w:rPr>
        <w:t>Melbourne  Vic  3001</w:t>
      </w:r>
    </w:p>
    <w:p w:rsidR="000A6C7B" w:rsidRPr="00796E2B" w:rsidRDefault="000A6C7B" w:rsidP="00961A4A">
      <w:pPr>
        <w:pStyle w:val="Copyright"/>
        <w:rPr>
          <w:rStyle w:val="AERbody"/>
        </w:rPr>
      </w:pPr>
      <w:r w:rsidRPr="00796E2B">
        <w:rPr>
          <w:rStyle w:val="AERbody"/>
        </w:rPr>
        <w:t>Tel: (03) 9290 1444</w:t>
      </w:r>
      <w:r w:rsidR="00951978" w:rsidRPr="00796E2B">
        <w:rPr>
          <w:rStyle w:val="AERbody"/>
        </w:rPr>
        <w:br/>
      </w:r>
      <w:r w:rsidRPr="00796E2B">
        <w:rPr>
          <w:rStyle w:val="AERbody"/>
        </w:rPr>
        <w:t>Fax: (03) 9290 1457</w:t>
      </w:r>
    </w:p>
    <w:p w:rsidR="00B9562D" w:rsidRPr="00796E2B" w:rsidRDefault="000A6C7B" w:rsidP="00B9562D">
      <w:pPr>
        <w:pStyle w:val="Copyright"/>
        <w:rPr>
          <w:rStyle w:val="AERbody"/>
        </w:rPr>
      </w:pPr>
      <w:r w:rsidRPr="00796E2B">
        <w:rPr>
          <w:rStyle w:val="AERbody"/>
        </w:rPr>
        <w:t xml:space="preserve">Email: </w:t>
      </w:r>
      <w:hyperlink r:id="rId10" w:history="1">
        <w:r w:rsidRPr="00796E2B">
          <w:rPr>
            <w:rStyle w:val="AERbody"/>
          </w:rPr>
          <w:t>AERInquiry@aer.gov.au</w:t>
        </w:r>
      </w:hyperlink>
      <w:r w:rsidR="00951978" w:rsidRPr="00796E2B">
        <w:rPr>
          <w:rStyle w:val="AERbody"/>
        </w:rPr>
        <w:br/>
      </w:r>
    </w:p>
    <w:p w:rsidR="008F07A3" w:rsidRPr="00796E2B" w:rsidRDefault="00415F31" w:rsidP="00B9562D">
      <w:pPr>
        <w:pStyle w:val="Copyright"/>
        <w:rPr>
          <w:rStyle w:val="AERbody"/>
        </w:rPr>
      </w:pPr>
      <w:r w:rsidRPr="00796E2B">
        <w:rPr>
          <w:rStyle w:val="AERbody"/>
        </w:rPr>
        <w:t>AER reference:</w:t>
      </w:r>
      <w:r w:rsidRPr="00796E2B">
        <w:rPr>
          <w:rStyle w:val="AERbody"/>
        </w:rPr>
        <w:tab/>
        <w:t>53444</w:t>
      </w:r>
    </w:p>
    <w:p w:rsidR="009001B6" w:rsidRPr="00796E2B" w:rsidRDefault="009001B6">
      <w:pPr>
        <w:spacing w:line="240" w:lineRule="auto"/>
        <w:rPr>
          <w:rStyle w:val="AERbody"/>
        </w:rPr>
      </w:pPr>
      <w:bookmarkStart w:id="1" w:name="_Toc404354899"/>
      <w:bookmarkStart w:id="2" w:name="_Toc404353070"/>
      <w:bookmarkStart w:id="3" w:name="_Toc404684201"/>
      <w:bookmarkStart w:id="4" w:name="_Toc404700923"/>
      <w:r w:rsidRPr="00796E2B">
        <w:rPr>
          <w:rStyle w:val="AERbody"/>
        </w:rPr>
        <w:br w:type="page"/>
      </w:r>
    </w:p>
    <w:p w:rsidR="008F07A3" w:rsidRDefault="00DA61F3" w:rsidP="008F07A3">
      <w:pPr>
        <w:pStyle w:val="UnnumberedHeading"/>
        <w:numPr>
          <w:ilvl w:val="0"/>
          <w:numId w:val="24"/>
        </w:numPr>
      </w:pPr>
      <w:bookmarkStart w:id="5" w:name="_Toc414446275"/>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attachment forms part of the AER'</w:t>
      </w:r>
      <w:r w:rsidR="00276607">
        <w:t xml:space="preserve">s final decision on TransGrid’s </w:t>
      </w:r>
      <w:r w:rsidR="00415F31">
        <w:t>revenue proposal 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444627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74BDB" w:rsidRDefault="00D76276">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14446275" w:history="1">
            <w:r w:rsidR="00774BDB" w:rsidRPr="001F3519">
              <w:rPr>
                <w:rStyle w:val="Hyperlink"/>
              </w:rPr>
              <w:t>Note</w:t>
            </w:r>
            <w:r w:rsidR="00774BDB">
              <w:rPr>
                <w:webHidden/>
              </w:rPr>
              <w:tab/>
            </w:r>
            <w:r w:rsidR="00774BDB">
              <w:rPr>
                <w:webHidden/>
              </w:rPr>
              <w:fldChar w:fldCharType="begin"/>
            </w:r>
            <w:r w:rsidR="00774BDB">
              <w:rPr>
                <w:webHidden/>
              </w:rPr>
              <w:instrText xml:space="preserve"> PAGEREF _Toc414446275 \h </w:instrText>
            </w:r>
            <w:r w:rsidR="00774BDB">
              <w:rPr>
                <w:webHidden/>
              </w:rPr>
            </w:r>
            <w:r w:rsidR="00774BDB">
              <w:rPr>
                <w:webHidden/>
              </w:rPr>
              <w:fldChar w:fldCharType="separate"/>
            </w:r>
            <w:r w:rsidR="00A60CA9">
              <w:rPr>
                <w:webHidden/>
              </w:rPr>
              <w:t>13-2</w:t>
            </w:r>
            <w:r w:rsidR="00774BDB">
              <w:rPr>
                <w:webHidden/>
              </w:rPr>
              <w:fldChar w:fldCharType="end"/>
            </w:r>
          </w:hyperlink>
        </w:p>
        <w:p w:rsidR="00774BDB" w:rsidRDefault="00A60CA9">
          <w:pPr>
            <w:pStyle w:val="TOC1"/>
            <w:rPr>
              <w:rFonts w:asciiTheme="minorHAnsi" w:eastAsiaTheme="minorEastAsia" w:hAnsiTheme="minorHAnsi"/>
              <w:b w:val="0"/>
              <w:color w:val="auto"/>
              <w:sz w:val="22"/>
              <w:lang w:val="en-AU" w:eastAsia="en-AU"/>
            </w:rPr>
          </w:pPr>
          <w:hyperlink w:anchor="_Toc414446276" w:history="1">
            <w:r w:rsidR="00774BDB" w:rsidRPr="001F3519">
              <w:rPr>
                <w:rStyle w:val="Hyperlink"/>
              </w:rPr>
              <w:t>Contents</w:t>
            </w:r>
            <w:r w:rsidR="00774BDB">
              <w:rPr>
                <w:webHidden/>
              </w:rPr>
              <w:tab/>
            </w:r>
            <w:r w:rsidR="00774BDB">
              <w:rPr>
                <w:webHidden/>
              </w:rPr>
              <w:fldChar w:fldCharType="begin"/>
            </w:r>
            <w:r w:rsidR="00774BDB">
              <w:rPr>
                <w:webHidden/>
              </w:rPr>
              <w:instrText xml:space="preserve"> PAGEREF _Toc414446276 \h </w:instrText>
            </w:r>
            <w:r w:rsidR="00774BDB">
              <w:rPr>
                <w:webHidden/>
              </w:rPr>
            </w:r>
            <w:r w:rsidR="00774BDB">
              <w:rPr>
                <w:webHidden/>
              </w:rPr>
              <w:fldChar w:fldCharType="separate"/>
            </w:r>
            <w:r>
              <w:rPr>
                <w:webHidden/>
              </w:rPr>
              <w:t>13-3</w:t>
            </w:r>
            <w:r w:rsidR="00774BDB">
              <w:rPr>
                <w:webHidden/>
              </w:rPr>
              <w:fldChar w:fldCharType="end"/>
            </w:r>
          </w:hyperlink>
        </w:p>
        <w:p w:rsidR="00774BDB" w:rsidRDefault="00A60CA9">
          <w:pPr>
            <w:pStyle w:val="TOC1"/>
            <w:rPr>
              <w:rFonts w:asciiTheme="minorHAnsi" w:eastAsiaTheme="minorEastAsia" w:hAnsiTheme="minorHAnsi"/>
              <w:b w:val="0"/>
              <w:color w:val="auto"/>
              <w:sz w:val="22"/>
              <w:lang w:val="en-AU" w:eastAsia="en-AU"/>
            </w:rPr>
          </w:pPr>
          <w:hyperlink w:anchor="_Toc414446277" w:history="1">
            <w:r w:rsidR="00774BDB" w:rsidRPr="001F3519">
              <w:rPr>
                <w:rStyle w:val="Hyperlink"/>
              </w:rPr>
              <w:t>Shortened forms</w:t>
            </w:r>
            <w:r w:rsidR="00774BDB">
              <w:rPr>
                <w:webHidden/>
              </w:rPr>
              <w:tab/>
            </w:r>
            <w:r w:rsidR="00774BDB">
              <w:rPr>
                <w:webHidden/>
              </w:rPr>
              <w:fldChar w:fldCharType="begin"/>
            </w:r>
            <w:r w:rsidR="00774BDB">
              <w:rPr>
                <w:webHidden/>
              </w:rPr>
              <w:instrText xml:space="preserve"> PAGEREF _Toc414446277 \h </w:instrText>
            </w:r>
            <w:r w:rsidR="00774BDB">
              <w:rPr>
                <w:webHidden/>
              </w:rPr>
            </w:r>
            <w:r w:rsidR="00774BDB">
              <w:rPr>
                <w:webHidden/>
              </w:rPr>
              <w:fldChar w:fldCharType="separate"/>
            </w:r>
            <w:r>
              <w:rPr>
                <w:webHidden/>
              </w:rPr>
              <w:t>13-4</w:t>
            </w:r>
            <w:r w:rsidR="00774BDB">
              <w:rPr>
                <w:webHidden/>
              </w:rPr>
              <w:fldChar w:fldCharType="end"/>
            </w:r>
          </w:hyperlink>
        </w:p>
        <w:p w:rsidR="00774BDB" w:rsidRDefault="00A60CA9">
          <w:pPr>
            <w:pStyle w:val="TOC1"/>
            <w:rPr>
              <w:rFonts w:asciiTheme="minorHAnsi" w:eastAsiaTheme="minorEastAsia" w:hAnsiTheme="minorHAnsi"/>
              <w:b w:val="0"/>
              <w:color w:val="auto"/>
              <w:sz w:val="22"/>
              <w:lang w:val="en-AU" w:eastAsia="en-AU"/>
            </w:rPr>
          </w:pPr>
          <w:hyperlink w:anchor="_Toc414446278" w:history="1">
            <w:r w:rsidR="00774BDB" w:rsidRPr="001F3519">
              <w:rPr>
                <w:rStyle w:val="Hyperlink"/>
              </w:rPr>
              <w:t>13</w:t>
            </w:r>
            <w:r w:rsidR="00774BDB">
              <w:rPr>
                <w:rFonts w:asciiTheme="minorHAnsi" w:eastAsiaTheme="minorEastAsia" w:hAnsiTheme="minorHAnsi"/>
                <w:b w:val="0"/>
                <w:color w:val="auto"/>
                <w:sz w:val="22"/>
                <w:lang w:val="en-AU" w:eastAsia="en-AU"/>
              </w:rPr>
              <w:tab/>
            </w:r>
            <w:r w:rsidR="00774BDB" w:rsidRPr="001F3519">
              <w:rPr>
                <w:rStyle w:val="Hyperlink"/>
              </w:rPr>
              <w:t>Pass through events</w:t>
            </w:r>
            <w:r w:rsidR="00774BDB">
              <w:rPr>
                <w:webHidden/>
              </w:rPr>
              <w:tab/>
            </w:r>
            <w:r w:rsidR="00774BDB">
              <w:rPr>
                <w:webHidden/>
              </w:rPr>
              <w:fldChar w:fldCharType="begin"/>
            </w:r>
            <w:r w:rsidR="00774BDB">
              <w:rPr>
                <w:webHidden/>
              </w:rPr>
              <w:instrText xml:space="preserve"> PAGEREF _Toc414446278 \h </w:instrText>
            </w:r>
            <w:r w:rsidR="00774BDB">
              <w:rPr>
                <w:webHidden/>
              </w:rPr>
            </w:r>
            <w:r w:rsidR="00774BDB">
              <w:rPr>
                <w:webHidden/>
              </w:rPr>
              <w:fldChar w:fldCharType="separate"/>
            </w:r>
            <w:r>
              <w:rPr>
                <w:webHidden/>
              </w:rPr>
              <w:t>13-6</w:t>
            </w:r>
            <w:r w:rsidR="00774BDB">
              <w:rPr>
                <w:webHidden/>
              </w:rPr>
              <w:fldChar w:fldCharType="end"/>
            </w:r>
          </w:hyperlink>
        </w:p>
        <w:p w:rsidR="00774BDB" w:rsidRDefault="00A60CA9">
          <w:pPr>
            <w:pStyle w:val="TOC2"/>
            <w:tabs>
              <w:tab w:val="left" w:pos="1276"/>
            </w:tabs>
            <w:rPr>
              <w:rFonts w:asciiTheme="minorHAnsi" w:eastAsiaTheme="minorEastAsia" w:hAnsiTheme="minorHAnsi"/>
              <w:b w:val="0"/>
              <w:color w:val="auto"/>
              <w:sz w:val="22"/>
              <w:lang w:eastAsia="en-AU"/>
            </w:rPr>
          </w:pPr>
          <w:hyperlink w:anchor="_Toc414446279" w:history="1">
            <w:r w:rsidR="00774BDB" w:rsidRPr="001F3519">
              <w:rPr>
                <w:rStyle w:val="Hyperlink"/>
              </w:rPr>
              <w:t>13.1</w:t>
            </w:r>
            <w:r w:rsidR="00774BDB">
              <w:rPr>
                <w:rFonts w:asciiTheme="minorHAnsi" w:eastAsiaTheme="minorEastAsia" w:hAnsiTheme="minorHAnsi"/>
                <w:b w:val="0"/>
                <w:color w:val="auto"/>
                <w:sz w:val="22"/>
                <w:lang w:eastAsia="en-AU"/>
              </w:rPr>
              <w:tab/>
            </w:r>
            <w:r w:rsidR="00774BDB" w:rsidRPr="001F3519">
              <w:rPr>
                <w:rStyle w:val="Hyperlink"/>
              </w:rPr>
              <w:t>Final decision</w:t>
            </w:r>
            <w:r w:rsidR="00774BDB">
              <w:rPr>
                <w:webHidden/>
              </w:rPr>
              <w:tab/>
            </w:r>
            <w:r w:rsidR="00774BDB">
              <w:rPr>
                <w:webHidden/>
              </w:rPr>
              <w:fldChar w:fldCharType="begin"/>
            </w:r>
            <w:r w:rsidR="00774BDB">
              <w:rPr>
                <w:webHidden/>
              </w:rPr>
              <w:instrText xml:space="preserve"> PAGEREF _Toc414446279 \h </w:instrText>
            </w:r>
            <w:r w:rsidR="00774BDB">
              <w:rPr>
                <w:webHidden/>
              </w:rPr>
            </w:r>
            <w:r w:rsidR="00774BDB">
              <w:rPr>
                <w:webHidden/>
              </w:rPr>
              <w:fldChar w:fldCharType="separate"/>
            </w:r>
            <w:r>
              <w:rPr>
                <w:webHidden/>
              </w:rPr>
              <w:t>13-6</w:t>
            </w:r>
            <w:r w:rsidR="00774BDB">
              <w:rPr>
                <w:webHidden/>
              </w:rPr>
              <w:fldChar w:fldCharType="end"/>
            </w:r>
          </w:hyperlink>
        </w:p>
        <w:p w:rsidR="00774BDB" w:rsidRDefault="00A60CA9">
          <w:pPr>
            <w:pStyle w:val="TOC2"/>
            <w:tabs>
              <w:tab w:val="left" w:pos="1276"/>
            </w:tabs>
            <w:rPr>
              <w:rFonts w:asciiTheme="minorHAnsi" w:eastAsiaTheme="minorEastAsia" w:hAnsiTheme="minorHAnsi"/>
              <w:b w:val="0"/>
              <w:color w:val="auto"/>
              <w:sz w:val="22"/>
              <w:lang w:eastAsia="en-AU"/>
            </w:rPr>
          </w:pPr>
          <w:hyperlink w:anchor="_Toc414446280" w:history="1">
            <w:r w:rsidR="00774BDB" w:rsidRPr="001F3519">
              <w:rPr>
                <w:rStyle w:val="Hyperlink"/>
              </w:rPr>
              <w:t>13.2</w:t>
            </w:r>
            <w:r w:rsidR="00774BDB">
              <w:rPr>
                <w:rFonts w:asciiTheme="minorHAnsi" w:eastAsiaTheme="minorEastAsia" w:hAnsiTheme="minorHAnsi"/>
                <w:b w:val="0"/>
                <w:color w:val="auto"/>
                <w:sz w:val="22"/>
                <w:lang w:eastAsia="en-AU"/>
              </w:rPr>
              <w:tab/>
            </w:r>
            <w:r w:rsidR="00774BDB" w:rsidRPr="001F3519">
              <w:rPr>
                <w:rStyle w:val="Hyperlink"/>
              </w:rPr>
              <w:t>TransGrid’s revised proposal</w:t>
            </w:r>
            <w:r w:rsidR="00774BDB">
              <w:rPr>
                <w:webHidden/>
              </w:rPr>
              <w:tab/>
            </w:r>
            <w:r w:rsidR="00774BDB">
              <w:rPr>
                <w:webHidden/>
              </w:rPr>
              <w:fldChar w:fldCharType="begin"/>
            </w:r>
            <w:r w:rsidR="00774BDB">
              <w:rPr>
                <w:webHidden/>
              </w:rPr>
              <w:instrText xml:space="preserve"> PAGEREF _Toc414446280 \h </w:instrText>
            </w:r>
            <w:r w:rsidR="00774BDB">
              <w:rPr>
                <w:webHidden/>
              </w:rPr>
            </w:r>
            <w:r w:rsidR="00774BDB">
              <w:rPr>
                <w:webHidden/>
              </w:rPr>
              <w:fldChar w:fldCharType="separate"/>
            </w:r>
            <w:r>
              <w:rPr>
                <w:webHidden/>
              </w:rPr>
              <w:t>13-8</w:t>
            </w:r>
            <w:r w:rsidR="00774BDB">
              <w:rPr>
                <w:webHidden/>
              </w:rPr>
              <w:fldChar w:fldCharType="end"/>
            </w:r>
          </w:hyperlink>
        </w:p>
        <w:p w:rsidR="00774BDB" w:rsidRDefault="00A60CA9">
          <w:pPr>
            <w:pStyle w:val="TOC2"/>
            <w:tabs>
              <w:tab w:val="left" w:pos="1276"/>
            </w:tabs>
            <w:rPr>
              <w:rFonts w:asciiTheme="minorHAnsi" w:eastAsiaTheme="minorEastAsia" w:hAnsiTheme="minorHAnsi"/>
              <w:b w:val="0"/>
              <w:color w:val="auto"/>
              <w:sz w:val="22"/>
              <w:lang w:eastAsia="en-AU"/>
            </w:rPr>
          </w:pPr>
          <w:hyperlink w:anchor="_Toc414446281" w:history="1">
            <w:r w:rsidR="00774BDB" w:rsidRPr="001F3519">
              <w:rPr>
                <w:rStyle w:val="Hyperlink"/>
              </w:rPr>
              <w:t>13.3</w:t>
            </w:r>
            <w:r w:rsidR="00774BDB">
              <w:rPr>
                <w:rFonts w:asciiTheme="minorHAnsi" w:eastAsiaTheme="minorEastAsia" w:hAnsiTheme="minorHAnsi"/>
                <w:b w:val="0"/>
                <w:color w:val="auto"/>
                <w:sz w:val="22"/>
                <w:lang w:eastAsia="en-AU"/>
              </w:rPr>
              <w:tab/>
            </w:r>
            <w:r w:rsidR="00774BDB" w:rsidRPr="001F3519">
              <w:rPr>
                <w:rStyle w:val="Hyperlink"/>
              </w:rPr>
              <w:t>AER’s assessment approach</w:t>
            </w:r>
            <w:r w:rsidR="00774BDB">
              <w:rPr>
                <w:webHidden/>
              </w:rPr>
              <w:tab/>
            </w:r>
            <w:r w:rsidR="00774BDB">
              <w:rPr>
                <w:webHidden/>
              </w:rPr>
              <w:fldChar w:fldCharType="begin"/>
            </w:r>
            <w:r w:rsidR="00774BDB">
              <w:rPr>
                <w:webHidden/>
              </w:rPr>
              <w:instrText xml:space="preserve"> PAGEREF _Toc414446281 \h </w:instrText>
            </w:r>
            <w:r w:rsidR="00774BDB">
              <w:rPr>
                <w:webHidden/>
              </w:rPr>
            </w:r>
            <w:r w:rsidR="00774BDB">
              <w:rPr>
                <w:webHidden/>
              </w:rPr>
              <w:fldChar w:fldCharType="separate"/>
            </w:r>
            <w:r>
              <w:rPr>
                <w:webHidden/>
              </w:rPr>
              <w:t>13-9</w:t>
            </w:r>
            <w:r w:rsidR="00774BDB">
              <w:rPr>
                <w:webHidden/>
              </w:rPr>
              <w:fldChar w:fldCharType="end"/>
            </w:r>
          </w:hyperlink>
        </w:p>
        <w:p w:rsidR="00774BDB" w:rsidRDefault="00A60CA9">
          <w:pPr>
            <w:pStyle w:val="TOC3"/>
            <w:rPr>
              <w:rFonts w:asciiTheme="minorHAnsi" w:eastAsiaTheme="minorEastAsia" w:hAnsiTheme="minorHAnsi"/>
              <w:lang w:eastAsia="en-AU"/>
            </w:rPr>
          </w:pPr>
          <w:hyperlink w:anchor="_Toc414446282" w:history="1">
            <w:r w:rsidR="00774BDB" w:rsidRPr="001F3519">
              <w:rPr>
                <w:rStyle w:val="Hyperlink"/>
              </w:rPr>
              <w:t>13.3.1</w:t>
            </w:r>
            <w:r w:rsidR="00774BDB">
              <w:rPr>
                <w:rFonts w:asciiTheme="minorHAnsi" w:eastAsiaTheme="minorEastAsia" w:hAnsiTheme="minorHAnsi"/>
                <w:lang w:eastAsia="en-AU"/>
              </w:rPr>
              <w:tab/>
            </w:r>
            <w:r w:rsidR="00774BDB" w:rsidRPr="001F3519">
              <w:rPr>
                <w:rStyle w:val="Hyperlink"/>
              </w:rPr>
              <w:t>Interrelationships</w:t>
            </w:r>
            <w:r w:rsidR="00774BDB">
              <w:rPr>
                <w:webHidden/>
              </w:rPr>
              <w:tab/>
            </w:r>
            <w:r w:rsidR="00774BDB">
              <w:rPr>
                <w:webHidden/>
              </w:rPr>
              <w:fldChar w:fldCharType="begin"/>
            </w:r>
            <w:r w:rsidR="00774BDB">
              <w:rPr>
                <w:webHidden/>
              </w:rPr>
              <w:instrText xml:space="preserve"> PAGEREF _Toc414446282 \h </w:instrText>
            </w:r>
            <w:r w:rsidR="00774BDB">
              <w:rPr>
                <w:webHidden/>
              </w:rPr>
            </w:r>
            <w:r w:rsidR="00774BDB">
              <w:rPr>
                <w:webHidden/>
              </w:rPr>
              <w:fldChar w:fldCharType="separate"/>
            </w:r>
            <w:r>
              <w:rPr>
                <w:webHidden/>
              </w:rPr>
              <w:t>13-9</w:t>
            </w:r>
            <w:r w:rsidR="00774BDB">
              <w:rPr>
                <w:webHidden/>
              </w:rPr>
              <w:fldChar w:fldCharType="end"/>
            </w:r>
          </w:hyperlink>
        </w:p>
        <w:p w:rsidR="00774BDB" w:rsidRDefault="00A60CA9">
          <w:pPr>
            <w:pStyle w:val="TOC2"/>
            <w:tabs>
              <w:tab w:val="left" w:pos="1276"/>
            </w:tabs>
            <w:rPr>
              <w:rFonts w:asciiTheme="minorHAnsi" w:eastAsiaTheme="minorEastAsia" w:hAnsiTheme="minorHAnsi"/>
              <w:b w:val="0"/>
              <w:color w:val="auto"/>
              <w:sz w:val="22"/>
              <w:lang w:eastAsia="en-AU"/>
            </w:rPr>
          </w:pPr>
          <w:hyperlink w:anchor="_Toc414446283" w:history="1">
            <w:r w:rsidR="00774BDB" w:rsidRPr="001F3519">
              <w:rPr>
                <w:rStyle w:val="Hyperlink"/>
              </w:rPr>
              <w:t>13.4</w:t>
            </w:r>
            <w:r w:rsidR="00774BDB">
              <w:rPr>
                <w:rFonts w:asciiTheme="minorHAnsi" w:eastAsiaTheme="minorEastAsia" w:hAnsiTheme="minorHAnsi"/>
                <w:b w:val="0"/>
                <w:color w:val="auto"/>
                <w:sz w:val="22"/>
                <w:lang w:eastAsia="en-AU"/>
              </w:rPr>
              <w:tab/>
            </w:r>
            <w:r w:rsidR="00774BDB" w:rsidRPr="001F3519">
              <w:rPr>
                <w:rStyle w:val="Hyperlink"/>
              </w:rPr>
              <w:t>Reasons for final decision</w:t>
            </w:r>
            <w:r w:rsidR="00774BDB">
              <w:rPr>
                <w:webHidden/>
              </w:rPr>
              <w:tab/>
            </w:r>
            <w:r w:rsidR="00774BDB">
              <w:rPr>
                <w:webHidden/>
              </w:rPr>
              <w:fldChar w:fldCharType="begin"/>
            </w:r>
            <w:r w:rsidR="00774BDB">
              <w:rPr>
                <w:webHidden/>
              </w:rPr>
              <w:instrText xml:space="preserve"> PAGEREF _Toc414446283 \h </w:instrText>
            </w:r>
            <w:r w:rsidR="00774BDB">
              <w:rPr>
                <w:webHidden/>
              </w:rPr>
            </w:r>
            <w:r w:rsidR="00774BDB">
              <w:rPr>
                <w:webHidden/>
              </w:rPr>
              <w:fldChar w:fldCharType="separate"/>
            </w:r>
            <w:r>
              <w:rPr>
                <w:webHidden/>
              </w:rPr>
              <w:t>13-9</w:t>
            </w:r>
            <w:r w:rsidR="00774BDB">
              <w:rPr>
                <w:webHidden/>
              </w:rPr>
              <w:fldChar w:fldCharType="end"/>
            </w:r>
          </w:hyperlink>
        </w:p>
        <w:p w:rsidR="00774BDB" w:rsidRDefault="00A60CA9">
          <w:pPr>
            <w:pStyle w:val="TOC3"/>
            <w:rPr>
              <w:rFonts w:asciiTheme="minorHAnsi" w:eastAsiaTheme="minorEastAsia" w:hAnsiTheme="minorHAnsi"/>
              <w:lang w:eastAsia="en-AU"/>
            </w:rPr>
          </w:pPr>
          <w:hyperlink w:anchor="_Toc414446284" w:history="1">
            <w:r w:rsidR="00774BDB" w:rsidRPr="001F3519">
              <w:rPr>
                <w:rStyle w:val="Hyperlink"/>
              </w:rPr>
              <w:t>13.4.1</w:t>
            </w:r>
            <w:r w:rsidR="00774BDB">
              <w:rPr>
                <w:rFonts w:asciiTheme="minorHAnsi" w:eastAsiaTheme="minorEastAsia" w:hAnsiTheme="minorHAnsi"/>
                <w:lang w:eastAsia="en-AU"/>
              </w:rPr>
              <w:tab/>
            </w:r>
            <w:r w:rsidR="00774BDB" w:rsidRPr="001F3519">
              <w:rPr>
                <w:rStyle w:val="Hyperlink"/>
              </w:rPr>
              <w:t>Insurance cap event</w:t>
            </w:r>
            <w:r w:rsidR="00774BDB">
              <w:rPr>
                <w:webHidden/>
              </w:rPr>
              <w:tab/>
            </w:r>
            <w:r w:rsidR="00774BDB">
              <w:rPr>
                <w:webHidden/>
              </w:rPr>
              <w:fldChar w:fldCharType="begin"/>
            </w:r>
            <w:r w:rsidR="00774BDB">
              <w:rPr>
                <w:webHidden/>
              </w:rPr>
              <w:instrText xml:space="preserve"> PAGEREF _Toc414446284 \h </w:instrText>
            </w:r>
            <w:r w:rsidR="00774BDB">
              <w:rPr>
                <w:webHidden/>
              </w:rPr>
            </w:r>
            <w:r w:rsidR="00774BDB">
              <w:rPr>
                <w:webHidden/>
              </w:rPr>
              <w:fldChar w:fldCharType="separate"/>
            </w:r>
            <w:r>
              <w:rPr>
                <w:webHidden/>
              </w:rPr>
              <w:t>13-10</w:t>
            </w:r>
            <w:r w:rsidR="00774BDB">
              <w:rPr>
                <w:webHidden/>
              </w:rPr>
              <w:fldChar w:fldCharType="end"/>
            </w:r>
          </w:hyperlink>
        </w:p>
        <w:p w:rsidR="00774BDB" w:rsidRDefault="00A60CA9">
          <w:pPr>
            <w:pStyle w:val="TOC3"/>
            <w:rPr>
              <w:rFonts w:asciiTheme="minorHAnsi" w:eastAsiaTheme="minorEastAsia" w:hAnsiTheme="minorHAnsi"/>
              <w:lang w:eastAsia="en-AU"/>
            </w:rPr>
          </w:pPr>
          <w:hyperlink w:anchor="_Toc414446285" w:history="1">
            <w:r w:rsidR="00774BDB" w:rsidRPr="001F3519">
              <w:rPr>
                <w:rStyle w:val="Hyperlink"/>
              </w:rPr>
              <w:t>13.4.2</w:t>
            </w:r>
            <w:r w:rsidR="00774BDB">
              <w:rPr>
                <w:rFonts w:asciiTheme="minorHAnsi" w:eastAsiaTheme="minorEastAsia" w:hAnsiTheme="minorHAnsi"/>
                <w:lang w:eastAsia="en-AU"/>
              </w:rPr>
              <w:tab/>
            </w:r>
            <w:r w:rsidR="00774BDB" w:rsidRPr="001F3519">
              <w:rPr>
                <w:rStyle w:val="Hyperlink"/>
              </w:rPr>
              <w:t>Insurer's credit risk event</w:t>
            </w:r>
            <w:r w:rsidR="00774BDB">
              <w:rPr>
                <w:webHidden/>
              </w:rPr>
              <w:tab/>
            </w:r>
            <w:r w:rsidR="00774BDB">
              <w:rPr>
                <w:webHidden/>
              </w:rPr>
              <w:fldChar w:fldCharType="begin"/>
            </w:r>
            <w:r w:rsidR="00774BDB">
              <w:rPr>
                <w:webHidden/>
              </w:rPr>
              <w:instrText xml:space="preserve"> PAGEREF _Toc414446285 \h </w:instrText>
            </w:r>
            <w:r w:rsidR="00774BDB">
              <w:rPr>
                <w:webHidden/>
              </w:rPr>
            </w:r>
            <w:r w:rsidR="00774BDB">
              <w:rPr>
                <w:webHidden/>
              </w:rPr>
              <w:fldChar w:fldCharType="separate"/>
            </w:r>
            <w:r>
              <w:rPr>
                <w:webHidden/>
              </w:rPr>
              <w:t>13-11</w:t>
            </w:r>
            <w:r w:rsidR="00774BDB">
              <w:rPr>
                <w:webHidden/>
              </w:rPr>
              <w:fldChar w:fldCharType="end"/>
            </w:r>
          </w:hyperlink>
        </w:p>
        <w:p w:rsidR="00774BDB" w:rsidRDefault="00A60CA9">
          <w:pPr>
            <w:pStyle w:val="TOC3"/>
            <w:rPr>
              <w:rFonts w:asciiTheme="minorHAnsi" w:eastAsiaTheme="minorEastAsia" w:hAnsiTheme="minorHAnsi"/>
              <w:lang w:eastAsia="en-AU"/>
            </w:rPr>
          </w:pPr>
          <w:hyperlink w:anchor="_Toc414446286" w:history="1">
            <w:r w:rsidR="00774BDB" w:rsidRPr="001F3519">
              <w:rPr>
                <w:rStyle w:val="Hyperlink"/>
              </w:rPr>
              <w:t>13.4.3</w:t>
            </w:r>
            <w:r w:rsidR="00774BDB">
              <w:rPr>
                <w:rFonts w:asciiTheme="minorHAnsi" w:eastAsiaTheme="minorEastAsia" w:hAnsiTheme="minorHAnsi"/>
                <w:lang w:eastAsia="en-AU"/>
              </w:rPr>
              <w:tab/>
            </w:r>
            <w:r w:rsidR="00774BDB" w:rsidRPr="001F3519">
              <w:rPr>
                <w:rStyle w:val="Hyperlink"/>
              </w:rPr>
              <w:t>Terrorism event</w:t>
            </w:r>
            <w:r w:rsidR="00774BDB">
              <w:rPr>
                <w:webHidden/>
              </w:rPr>
              <w:tab/>
            </w:r>
            <w:r w:rsidR="00774BDB">
              <w:rPr>
                <w:webHidden/>
              </w:rPr>
              <w:fldChar w:fldCharType="begin"/>
            </w:r>
            <w:r w:rsidR="00774BDB">
              <w:rPr>
                <w:webHidden/>
              </w:rPr>
              <w:instrText xml:space="preserve"> PAGEREF _Toc414446286 \h </w:instrText>
            </w:r>
            <w:r w:rsidR="00774BDB">
              <w:rPr>
                <w:webHidden/>
              </w:rPr>
            </w:r>
            <w:r w:rsidR="00774BDB">
              <w:rPr>
                <w:webHidden/>
              </w:rPr>
              <w:fldChar w:fldCharType="separate"/>
            </w:r>
            <w:r>
              <w:rPr>
                <w:webHidden/>
              </w:rPr>
              <w:t>13-12</w:t>
            </w:r>
            <w:r w:rsidR="00774BDB">
              <w:rPr>
                <w:webHidden/>
              </w:rPr>
              <w:fldChar w:fldCharType="end"/>
            </w:r>
          </w:hyperlink>
        </w:p>
        <w:p w:rsidR="00774BDB" w:rsidRDefault="00A60CA9">
          <w:pPr>
            <w:pStyle w:val="TOC3"/>
            <w:rPr>
              <w:rFonts w:asciiTheme="minorHAnsi" w:eastAsiaTheme="minorEastAsia" w:hAnsiTheme="minorHAnsi"/>
              <w:lang w:eastAsia="en-AU"/>
            </w:rPr>
          </w:pPr>
          <w:hyperlink w:anchor="_Toc414446287" w:history="1">
            <w:r w:rsidR="00774BDB" w:rsidRPr="001F3519">
              <w:rPr>
                <w:rStyle w:val="Hyperlink"/>
              </w:rPr>
              <w:t>13.4.4</w:t>
            </w:r>
            <w:r w:rsidR="00774BDB">
              <w:rPr>
                <w:rFonts w:asciiTheme="minorHAnsi" w:eastAsiaTheme="minorEastAsia" w:hAnsiTheme="minorHAnsi"/>
                <w:lang w:eastAsia="en-AU"/>
              </w:rPr>
              <w:tab/>
            </w:r>
            <w:r w:rsidR="00774BDB" w:rsidRPr="001F3519">
              <w:rPr>
                <w:rStyle w:val="Hyperlink"/>
              </w:rPr>
              <w:t>Cyber-related external attack event</w:t>
            </w:r>
            <w:r w:rsidR="00774BDB">
              <w:rPr>
                <w:webHidden/>
              </w:rPr>
              <w:tab/>
            </w:r>
            <w:r w:rsidR="00774BDB">
              <w:rPr>
                <w:webHidden/>
              </w:rPr>
              <w:fldChar w:fldCharType="begin"/>
            </w:r>
            <w:r w:rsidR="00774BDB">
              <w:rPr>
                <w:webHidden/>
              </w:rPr>
              <w:instrText xml:space="preserve"> PAGEREF _Toc414446287 \h </w:instrText>
            </w:r>
            <w:r w:rsidR="00774BDB">
              <w:rPr>
                <w:webHidden/>
              </w:rPr>
            </w:r>
            <w:r w:rsidR="00774BDB">
              <w:rPr>
                <w:webHidden/>
              </w:rPr>
              <w:fldChar w:fldCharType="separate"/>
            </w:r>
            <w:r>
              <w:rPr>
                <w:webHidden/>
              </w:rPr>
              <w:t>13-13</w:t>
            </w:r>
            <w:r w:rsidR="00774BDB">
              <w:rPr>
                <w:webHidden/>
              </w:rPr>
              <w:fldChar w:fldCharType="end"/>
            </w:r>
          </w:hyperlink>
        </w:p>
        <w:p w:rsidR="00774BDB" w:rsidRDefault="00A60CA9">
          <w:pPr>
            <w:pStyle w:val="TOC3"/>
            <w:rPr>
              <w:rFonts w:asciiTheme="minorHAnsi" w:eastAsiaTheme="minorEastAsia" w:hAnsiTheme="minorHAnsi"/>
              <w:lang w:eastAsia="en-AU"/>
            </w:rPr>
          </w:pPr>
          <w:hyperlink w:anchor="_Toc414446288" w:history="1">
            <w:r w:rsidR="00774BDB" w:rsidRPr="001F3519">
              <w:rPr>
                <w:rStyle w:val="Hyperlink"/>
              </w:rPr>
              <w:t>13.4.5</w:t>
            </w:r>
            <w:r w:rsidR="00774BDB">
              <w:rPr>
                <w:rFonts w:asciiTheme="minorHAnsi" w:eastAsiaTheme="minorEastAsia" w:hAnsiTheme="minorHAnsi"/>
                <w:lang w:eastAsia="en-AU"/>
              </w:rPr>
              <w:tab/>
            </w:r>
            <w:r w:rsidR="00774BDB" w:rsidRPr="001F3519">
              <w:rPr>
                <w:rStyle w:val="Hyperlink"/>
              </w:rPr>
              <w:t>Gradual environmental contamination event</w:t>
            </w:r>
            <w:r w:rsidR="00774BDB">
              <w:rPr>
                <w:webHidden/>
              </w:rPr>
              <w:tab/>
            </w:r>
            <w:r w:rsidR="00774BDB">
              <w:rPr>
                <w:webHidden/>
              </w:rPr>
              <w:fldChar w:fldCharType="begin"/>
            </w:r>
            <w:r w:rsidR="00774BDB">
              <w:rPr>
                <w:webHidden/>
              </w:rPr>
              <w:instrText xml:space="preserve"> PAGEREF _Toc414446288 \h </w:instrText>
            </w:r>
            <w:r w:rsidR="00774BDB">
              <w:rPr>
                <w:webHidden/>
              </w:rPr>
            </w:r>
            <w:r w:rsidR="00774BDB">
              <w:rPr>
                <w:webHidden/>
              </w:rPr>
              <w:fldChar w:fldCharType="separate"/>
            </w:r>
            <w:r>
              <w:rPr>
                <w:webHidden/>
              </w:rPr>
              <w:t>13-14</w:t>
            </w:r>
            <w:r w:rsidR="00774BDB">
              <w:rPr>
                <w:webHidden/>
              </w:rPr>
              <w:fldChar w:fldCharType="end"/>
            </w:r>
          </w:hyperlink>
        </w:p>
        <w:p w:rsidR="00DE563D" w:rsidRDefault="00D76276" w:rsidP="00D76276">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14446277"/>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301C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301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301C0B">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A37C21" w:rsidP="00D84A7A">
      <w:pPr>
        <w:pStyle w:val="Heading1"/>
      </w:pPr>
      <w:bookmarkStart w:id="10" w:name="_Toc414446278"/>
      <w:r>
        <w:lastRenderedPageBreak/>
        <w:t>P</w:t>
      </w:r>
      <w:r w:rsidR="00D84A7A">
        <w:t>ass through events</w:t>
      </w:r>
      <w:bookmarkEnd w:id="10"/>
    </w:p>
    <w:p w:rsidR="00E15B84" w:rsidRPr="00E15B84" w:rsidRDefault="00E15B84" w:rsidP="00E15B84">
      <w:pPr>
        <w:numPr>
          <w:ilvl w:val="0"/>
          <w:numId w:val="25"/>
        </w:numPr>
      </w:pPr>
      <w:bookmarkStart w:id="11" w:name="_Toc403144136"/>
      <w:r w:rsidRPr="00E15B84">
        <w:t>The pass through mechanism of the National Electricity Rules (NER) recognises that a</w:t>
      </w:r>
      <w:r w:rsidR="003703F7">
        <w:t xml:space="preserve"> TNSP</w:t>
      </w:r>
      <w:r w:rsidRPr="00E15B84">
        <w:t xml:space="preserve"> can be exposed to risks beyond its control</w:t>
      </w:r>
      <w:r w:rsidR="004B63CF">
        <w:t>. These risks</w:t>
      </w:r>
      <w:r w:rsidRPr="00E15B84">
        <w:t xml:space="preserve"> may have a material impact on </w:t>
      </w:r>
      <w:r w:rsidR="004B63CF">
        <w:t>a TNSP's</w:t>
      </w:r>
      <w:r w:rsidRPr="00E15B84">
        <w:t xml:space="preserve"> costs. A cost pass through enables a </w:t>
      </w:r>
      <w:r>
        <w:t xml:space="preserve">TNSP </w:t>
      </w:r>
      <w:r w:rsidRPr="00E15B84">
        <w:t>to recover (or pass through) the costs of defined</w:t>
      </w:r>
      <w:r w:rsidR="005E0372">
        <w:t>,</w:t>
      </w:r>
      <w:r w:rsidRPr="00E15B84">
        <w:t xml:space="preserve"> unpredictable, high cost events that are not built into </w:t>
      </w:r>
      <w:r>
        <w:t>our transmission</w:t>
      </w:r>
      <w:r w:rsidRPr="00E15B84">
        <w:t xml:space="preserve"> determination. The NER includes the following prescribed pass through events for all </w:t>
      </w:r>
      <w:r>
        <w:t>T</w:t>
      </w:r>
      <w:r w:rsidRPr="00E15B84">
        <w:t>NSPs:</w:t>
      </w:r>
    </w:p>
    <w:p w:rsidR="00E15B84" w:rsidRPr="00E15B84" w:rsidRDefault="00E15B84" w:rsidP="00E15B84">
      <w:pPr>
        <w:pStyle w:val="AERbulletlistfirststyle"/>
      </w:pPr>
      <w:r w:rsidRPr="00E15B84">
        <w:t>a regulatory change event</w:t>
      </w:r>
    </w:p>
    <w:p w:rsidR="00E15B84" w:rsidRPr="00E15B84" w:rsidRDefault="00E15B84" w:rsidP="00E15B84">
      <w:pPr>
        <w:pStyle w:val="AERbulletlistfirststyle"/>
      </w:pPr>
      <w:r w:rsidRPr="00E15B84">
        <w:t>a service standard event</w:t>
      </w:r>
    </w:p>
    <w:p w:rsidR="00E15B84" w:rsidRPr="00E15B84" w:rsidRDefault="00E15B84" w:rsidP="00E15B84">
      <w:pPr>
        <w:pStyle w:val="AERbulletlistfirststyle"/>
      </w:pPr>
      <w:r w:rsidRPr="00E15B84">
        <w:t>a tax change event</w:t>
      </w:r>
    </w:p>
    <w:p w:rsidR="00E15B84" w:rsidRPr="00E15B84" w:rsidRDefault="00E15B84" w:rsidP="00E15B84">
      <w:pPr>
        <w:pStyle w:val="AERbulletlistfirststyle"/>
      </w:pPr>
      <w:r>
        <w:t>an insurance event</w:t>
      </w:r>
      <w:r w:rsidR="004B63CF">
        <w:t>, and</w:t>
      </w:r>
    </w:p>
    <w:p w:rsidR="00E15B84" w:rsidRPr="00E15B84" w:rsidRDefault="00E15B84" w:rsidP="00E15B84">
      <w:pPr>
        <w:pStyle w:val="AERbulletlistfirststyle"/>
      </w:pPr>
      <w:r w:rsidRPr="00E15B84">
        <w:t>in addition to those defined events, an event specified in a determination for a regulatory control period (nominated pass through event).</w:t>
      </w:r>
      <w:r>
        <w:rPr>
          <w:rStyle w:val="FootnoteReference"/>
        </w:rPr>
        <w:footnoteReference w:id="1"/>
      </w:r>
      <w:r w:rsidRPr="00E15B84">
        <w:t xml:space="preserve"> </w:t>
      </w:r>
    </w:p>
    <w:p w:rsidR="00E15B84" w:rsidRPr="00E15B84" w:rsidRDefault="00E15B84" w:rsidP="00E15B84">
      <w:pPr>
        <w:numPr>
          <w:ilvl w:val="0"/>
          <w:numId w:val="25"/>
        </w:numPr>
      </w:pPr>
      <w:r w:rsidRPr="00E15B84">
        <w:t xml:space="preserve">This attachment sets out our final decision </w:t>
      </w:r>
      <w:r>
        <w:t>on</w:t>
      </w:r>
      <w:r w:rsidR="00E2115B">
        <w:t xml:space="preserve"> the</w:t>
      </w:r>
      <w:r>
        <w:t xml:space="preserve"> </w:t>
      </w:r>
      <w:r w:rsidRPr="00E15B84">
        <w:t xml:space="preserve">nominated pass through events </w:t>
      </w:r>
      <w:r>
        <w:t>that</w:t>
      </w:r>
      <w:r w:rsidR="00E2115B">
        <w:t xml:space="preserve"> will apply to TransGrid during the</w:t>
      </w:r>
      <w:r w:rsidR="005E0372">
        <w:t xml:space="preserve"> 2015–18</w:t>
      </w:r>
      <w:r w:rsidRPr="00E15B84">
        <w:t xml:space="preserve"> regulatory control period.</w:t>
      </w:r>
    </w:p>
    <w:p w:rsidR="00DE563D" w:rsidRPr="001754EE" w:rsidRDefault="00415F31" w:rsidP="001754EE">
      <w:pPr>
        <w:pStyle w:val="Heading2"/>
      </w:pPr>
      <w:bookmarkStart w:id="12" w:name="_Toc414446279"/>
      <w:r w:rsidRPr="001754EE">
        <w:t>Final</w:t>
      </w:r>
      <w:r w:rsidR="00DE563D" w:rsidRPr="001754EE">
        <w:t xml:space="preserve"> decision</w:t>
      </w:r>
      <w:bookmarkEnd w:id="11"/>
      <w:bookmarkEnd w:id="12"/>
    </w:p>
    <w:p w:rsidR="00BB28F2" w:rsidRDefault="00F52E4B" w:rsidP="00BB28F2">
      <w:bookmarkStart w:id="13" w:name="_Toc403144137"/>
      <w:r>
        <w:t xml:space="preserve">Our final decision is </w:t>
      </w:r>
      <w:r w:rsidR="00E2115B">
        <w:t>that</w:t>
      </w:r>
      <w:r>
        <w:t xml:space="preserve"> the following additional (nominated) pass through events </w:t>
      </w:r>
      <w:r w:rsidR="00E2115B">
        <w:t>will</w:t>
      </w:r>
      <w:r>
        <w:t xml:space="preserve"> apply to TransGrid for the 20</w:t>
      </w:r>
      <w:r w:rsidR="00111D81">
        <w:t>15–18 regulatory control period:</w:t>
      </w:r>
      <w:r>
        <w:t xml:space="preserve"> </w:t>
      </w:r>
    </w:p>
    <w:p w:rsidR="00F52E4B" w:rsidRDefault="005E0372" w:rsidP="00F52E4B">
      <w:pPr>
        <w:pStyle w:val="AERbulletlistfirststyle"/>
      </w:pPr>
      <w:r>
        <w:t>t</w:t>
      </w:r>
      <w:r w:rsidR="00F52E4B">
        <w:t>errorism event</w:t>
      </w:r>
    </w:p>
    <w:p w:rsidR="00F52E4B" w:rsidRDefault="005E0372" w:rsidP="00F52E4B">
      <w:pPr>
        <w:pStyle w:val="AERbulletlistfirststyle"/>
      </w:pPr>
      <w:r>
        <w:t>i</w:t>
      </w:r>
      <w:r w:rsidR="00F52E4B">
        <w:t>nsurance cap event</w:t>
      </w:r>
      <w:r w:rsidR="004B63CF">
        <w:t>, and</w:t>
      </w:r>
    </w:p>
    <w:p w:rsidR="00F52E4B" w:rsidRDefault="005E0372" w:rsidP="00F52E4B">
      <w:pPr>
        <w:pStyle w:val="AERbulletlistfirststyle"/>
      </w:pPr>
      <w:r>
        <w:t>i</w:t>
      </w:r>
      <w:r w:rsidR="00F52E4B">
        <w:t>nsurer's credit risk event</w:t>
      </w:r>
      <w:r w:rsidR="004B63CF">
        <w:t>.</w:t>
      </w:r>
    </w:p>
    <w:p w:rsidR="00F52E4B" w:rsidRDefault="00F52E4B" w:rsidP="00F52E4B">
      <w:r>
        <w:t>These events have the definitions listed in</w:t>
      </w:r>
      <w:r w:rsidR="005E0372">
        <w:t xml:space="preserve"> </w:t>
      </w:r>
      <w:r w:rsidR="009701F8">
        <w:fldChar w:fldCharType="begin"/>
      </w:r>
      <w:r w:rsidR="009701F8">
        <w:instrText xml:space="preserve"> REF _Ref414014049 \h </w:instrText>
      </w:r>
      <w:r w:rsidR="009701F8">
        <w:fldChar w:fldCharType="separate"/>
      </w:r>
      <w:r w:rsidR="00A60CA9">
        <w:t xml:space="preserve">Table </w:t>
      </w:r>
      <w:r w:rsidR="00A60CA9">
        <w:rPr>
          <w:noProof/>
        </w:rPr>
        <w:t>13</w:t>
      </w:r>
      <w:r w:rsidR="00A60CA9">
        <w:t>.</w:t>
      </w:r>
      <w:r w:rsidR="00A60CA9">
        <w:rPr>
          <w:noProof/>
        </w:rPr>
        <w:t>1</w:t>
      </w:r>
      <w:r w:rsidR="009701F8">
        <w:fldChar w:fldCharType="end"/>
      </w:r>
      <w:r>
        <w:t xml:space="preserve"> </w:t>
      </w:r>
      <w:r w:rsidR="005E0372">
        <w:t>below</w:t>
      </w:r>
      <w:r>
        <w:t>.</w:t>
      </w:r>
    </w:p>
    <w:p w:rsidR="005E0372" w:rsidRDefault="009701F8" w:rsidP="009701F8">
      <w:pPr>
        <w:pStyle w:val="Caption"/>
      </w:pPr>
      <w:bookmarkStart w:id="14" w:name="_Ref414014049"/>
      <w:r>
        <w:t xml:space="preserve">Table </w:t>
      </w:r>
      <w:fldSimple w:instr=" STYLEREF 1 \s ">
        <w:r w:rsidR="00A60CA9">
          <w:rPr>
            <w:noProof/>
          </w:rPr>
          <w:t>13</w:t>
        </w:r>
      </w:fldSimple>
      <w:r>
        <w:t>.</w:t>
      </w:r>
      <w:fldSimple w:instr=" SEQ Table \* ARABIC \s 1 ">
        <w:r w:rsidR="00A60CA9">
          <w:rPr>
            <w:noProof/>
          </w:rPr>
          <w:t>1</w:t>
        </w:r>
      </w:fldSimple>
      <w:bookmarkEnd w:id="14"/>
      <w:r w:rsidR="005E0372">
        <w:tab/>
        <w:t>Accepted event definitions</w:t>
      </w:r>
    </w:p>
    <w:tbl>
      <w:tblPr>
        <w:tblStyle w:val="TableGrid"/>
        <w:tblW w:w="0" w:type="auto"/>
        <w:tblLook w:val="04A0" w:firstRow="1" w:lastRow="0" w:firstColumn="1" w:lastColumn="0" w:noHBand="0" w:noVBand="1"/>
      </w:tblPr>
      <w:tblGrid>
        <w:gridCol w:w="4346"/>
        <w:gridCol w:w="4347"/>
      </w:tblGrid>
      <w:tr w:rsidR="00F52E4B" w:rsidTr="00F52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F52E4B" w:rsidRDefault="00F52E4B" w:rsidP="00F52E4B">
            <w:r>
              <w:t>Pass through event</w:t>
            </w:r>
          </w:p>
        </w:tc>
        <w:tc>
          <w:tcPr>
            <w:tcW w:w="4347" w:type="dxa"/>
          </w:tcPr>
          <w:p w:rsidR="00F52E4B" w:rsidRDefault="00F52E4B" w:rsidP="00F52E4B">
            <w:pPr>
              <w:cnfStyle w:val="100000000000" w:firstRow="1" w:lastRow="0" w:firstColumn="0" w:lastColumn="0" w:oddVBand="0" w:evenVBand="0" w:oddHBand="0" w:evenHBand="0" w:firstRowFirstColumn="0" w:firstRowLastColumn="0" w:lastRowFirstColumn="0" w:lastRowLastColumn="0"/>
            </w:pPr>
            <w:r>
              <w:t>Definition</w:t>
            </w:r>
          </w:p>
        </w:tc>
      </w:tr>
      <w:tr w:rsidR="00F52E4B" w:rsidTr="00F52E4B">
        <w:tc>
          <w:tcPr>
            <w:cnfStyle w:val="001000000000" w:firstRow="0" w:lastRow="0" w:firstColumn="1" w:lastColumn="0" w:oddVBand="0" w:evenVBand="0" w:oddHBand="0" w:evenHBand="0" w:firstRowFirstColumn="0" w:firstRowLastColumn="0" w:lastRowFirstColumn="0" w:lastRowLastColumn="0"/>
            <w:tcW w:w="4346" w:type="dxa"/>
          </w:tcPr>
          <w:p w:rsidR="00F52E4B" w:rsidRDefault="00F52E4B" w:rsidP="00F52E4B">
            <w:r>
              <w:t>Terrorism event</w:t>
            </w:r>
          </w:p>
        </w:tc>
        <w:tc>
          <w:tcPr>
            <w:tcW w:w="4347" w:type="dxa"/>
          </w:tcPr>
          <w:p w:rsidR="00F52E4B" w:rsidRDefault="00F04D2F" w:rsidP="00F52E4B">
            <w:pPr>
              <w:cnfStyle w:val="000000000000" w:firstRow="0" w:lastRow="0" w:firstColumn="0" w:lastColumn="0" w:oddVBand="0" w:evenVBand="0" w:oddHBand="0" w:evenHBand="0" w:firstRowFirstColumn="0" w:firstRowLastColumn="0" w:lastRowFirstColumn="0" w:lastRowLastColumn="0"/>
            </w:pPr>
            <w:r>
              <w:t>A terrorism event occurs if:</w:t>
            </w:r>
          </w:p>
          <w:p w:rsidR="00F04D2F" w:rsidRDefault="00F04D2F" w:rsidP="00F04D2F">
            <w:pPr>
              <w:cnfStyle w:val="000000000000" w:firstRow="0" w:lastRow="0" w:firstColumn="0" w:lastColumn="0" w:oddVBand="0" w:evenVBand="0" w:oddHBand="0" w:evenHBand="0" w:firstRowFirstColumn="0" w:firstRowLastColumn="0" w:lastRowFirstColumn="0" w:lastRowLastColumn="0"/>
            </w:pPr>
            <w:r>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w:t>
            </w:r>
            <w:r>
              <w:lastRenderedPageBreak/>
              <w:t xml:space="preserve">religious, ideological, ethnic or similar purposes or reasons (including the intention to influence or intimidate any government and/or put the public, or any section of the public, in fear) and which materially increases the costs to TransGrid in providing prescribed transmission services. </w:t>
            </w:r>
          </w:p>
          <w:p w:rsidR="00F04D2F" w:rsidRDefault="00F04D2F" w:rsidP="00F04D2F">
            <w:pPr>
              <w:cnfStyle w:val="000000000000" w:firstRow="0" w:lastRow="0" w:firstColumn="0" w:lastColumn="0" w:oddVBand="0" w:evenVBand="0" w:oddHBand="0" w:evenHBand="0" w:firstRowFirstColumn="0" w:firstRowLastColumn="0" w:lastRowFirstColumn="0" w:lastRowLastColumn="0"/>
            </w:pPr>
            <w:r>
              <w:t>Note: In assessing a terrorism event pass through application, the AER will have regard to, amongst other things:</w:t>
            </w:r>
          </w:p>
          <w:p w:rsidR="00F04D2F" w:rsidRDefault="00727295" w:rsidP="00727295">
            <w:pPr>
              <w:cnfStyle w:val="000000000000" w:firstRow="0" w:lastRow="0" w:firstColumn="0" w:lastColumn="0" w:oddVBand="0" w:evenVBand="0" w:oddHBand="0" w:evenHBand="0" w:firstRowFirstColumn="0" w:firstRowLastColumn="0" w:lastRowFirstColumn="0" w:lastRowLastColumn="0"/>
            </w:pPr>
            <w:r>
              <w:t xml:space="preserve">i. </w:t>
            </w:r>
            <w:r w:rsidR="00A21632">
              <w:t>w</w:t>
            </w:r>
            <w:r w:rsidR="00F04D2F">
              <w:t>hether TransGrid has insurance against the event</w:t>
            </w:r>
            <w:r w:rsidR="00CA1ABA">
              <w:t>, including coverage from the Australian Reinsurance Pool</w:t>
            </w:r>
          </w:p>
          <w:p w:rsidR="00F04D2F" w:rsidRDefault="00727295" w:rsidP="00727295">
            <w:pPr>
              <w:cnfStyle w:val="000000000000" w:firstRow="0" w:lastRow="0" w:firstColumn="0" w:lastColumn="0" w:oddVBand="0" w:evenVBand="0" w:oddHBand="0" w:evenHBand="0" w:firstRowFirstColumn="0" w:firstRowLastColumn="0" w:lastRowFirstColumn="0" w:lastRowLastColumn="0"/>
            </w:pPr>
            <w:r>
              <w:t xml:space="preserve">ii. </w:t>
            </w:r>
            <w:r w:rsidR="00A21632">
              <w:t>t</w:t>
            </w:r>
            <w:r w:rsidR="00F04D2F">
              <w:t>he level of insurance that an efficient and prudent NSP</w:t>
            </w:r>
            <w:r w:rsidR="00CA1ABA">
              <w:t xml:space="preserve"> would obtain in respect of the event, and</w:t>
            </w:r>
          </w:p>
          <w:p w:rsidR="00F04D2F" w:rsidRDefault="00727295" w:rsidP="00A21632">
            <w:pPr>
              <w:cnfStyle w:val="000000000000" w:firstRow="0" w:lastRow="0" w:firstColumn="0" w:lastColumn="0" w:oddVBand="0" w:evenVBand="0" w:oddHBand="0" w:evenHBand="0" w:firstRowFirstColumn="0" w:firstRowLastColumn="0" w:lastRowFirstColumn="0" w:lastRowLastColumn="0"/>
            </w:pPr>
            <w:r>
              <w:t xml:space="preserve">iii. </w:t>
            </w:r>
            <w:r w:rsidR="00A21632">
              <w:t>w</w:t>
            </w:r>
            <w:r w:rsidR="00F04D2F">
              <w:t>hether a declaration has been made by a relevant government authority that a t</w:t>
            </w:r>
            <w:r w:rsidR="00CA1ABA">
              <w:t>errorism event has occurred.</w:t>
            </w:r>
            <w:r w:rsidR="00F04D2F">
              <w:t xml:space="preserve"> </w:t>
            </w:r>
          </w:p>
        </w:tc>
      </w:tr>
      <w:tr w:rsidR="00F52E4B" w:rsidTr="00F52E4B">
        <w:tc>
          <w:tcPr>
            <w:cnfStyle w:val="001000000000" w:firstRow="0" w:lastRow="0" w:firstColumn="1" w:lastColumn="0" w:oddVBand="0" w:evenVBand="0" w:oddHBand="0" w:evenHBand="0" w:firstRowFirstColumn="0" w:firstRowLastColumn="0" w:lastRowFirstColumn="0" w:lastRowLastColumn="0"/>
            <w:tcW w:w="4346" w:type="dxa"/>
          </w:tcPr>
          <w:p w:rsidR="00F52E4B" w:rsidRDefault="00F52E4B" w:rsidP="00F52E4B"/>
        </w:tc>
        <w:tc>
          <w:tcPr>
            <w:tcW w:w="4347" w:type="dxa"/>
          </w:tcPr>
          <w:p w:rsidR="00F52E4B" w:rsidRDefault="00F52E4B" w:rsidP="00F52E4B">
            <w:pPr>
              <w:cnfStyle w:val="000000000000" w:firstRow="0" w:lastRow="0" w:firstColumn="0" w:lastColumn="0" w:oddVBand="0" w:evenVBand="0" w:oddHBand="0" w:evenHBand="0" w:firstRowFirstColumn="0" w:firstRowLastColumn="0" w:lastRowFirstColumn="0" w:lastRowLastColumn="0"/>
            </w:pPr>
          </w:p>
        </w:tc>
      </w:tr>
      <w:tr w:rsidR="00F52E4B" w:rsidTr="00F52E4B">
        <w:tc>
          <w:tcPr>
            <w:cnfStyle w:val="001000000000" w:firstRow="0" w:lastRow="0" w:firstColumn="1" w:lastColumn="0" w:oddVBand="0" w:evenVBand="0" w:oddHBand="0" w:evenHBand="0" w:firstRowFirstColumn="0" w:firstRowLastColumn="0" w:lastRowFirstColumn="0" w:lastRowLastColumn="0"/>
            <w:tcW w:w="4346" w:type="dxa"/>
          </w:tcPr>
          <w:p w:rsidR="00F52E4B" w:rsidRDefault="00F52E4B" w:rsidP="00F52E4B">
            <w:r>
              <w:t>Insurance cap event</w:t>
            </w:r>
          </w:p>
        </w:tc>
        <w:tc>
          <w:tcPr>
            <w:tcW w:w="4347" w:type="dxa"/>
          </w:tcPr>
          <w:p w:rsidR="00F52E4B" w:rsidRDefault="00727295" w:rsidP="00F52E4B">
            <w:pPr>
              <w:cnfStyle w:val="000000000000" w:firstRow="0" w:lastRow="0" w:firstColumn="0" w:lastColumn="0" w:oddVBand="0" w:evenVBand="0" w:oddHBand="0" w:evenHBand="0" w:firstRowFirstColumn="0" w:firstRowLastColumn="0" w:lastRowFirstColumn="0" w:lastRowLastColumn="0"/>
            </w:pPr>
            <w:r>
              <w:t>An insurance cap event occurs if:</w:t>
            </w:r>
          </w:p>
          <w:p w:rsidR="00727295" w:rsidRDefault="00727295" w:rsidP="00F52E4B">
            <w:pPr>
              <w:cnfStyle w:val="000000000000" w:firstRow="0" w:lastRow="0" w:firstColumn="0" w:lastColumn="0" w:oddVBand="0" w:evenVBand="0" w:oddHBand="0" w:evenHBand="0" w:firstRowFirstColumn="0" w:firstRowLastColumn="0" w:lastRowFirstColumn="0" w:lastRowLastColumn="0"/>
            </w:pPr>
            <w:r>
              <w:t>1. TransGrid makes a claim or claims and receives the benefit of a payment or payments under a relevant insurance policy;</w:t>
            </w:r>
          </w:p>
          <w:p w:rsidR="00727295" w:rsidRDefault="00727295" w:rsidP="00F52E4B">
            <w:pPr>
              <w:cnfStyle w:val="000000000000" w:firstRow="0" w:lastRow="0" w:firstColumn="0" w:lastColumn="0" w:oddVBand="0" w:evenVBand="0" w:oddHBand="0" w:evenHBand="0" w:firstRowFirstColumn="0" w:firstRowLastColumn="0" w:lastRowFirstColumn="0" w:lastRowLastColumn="0"/>
            </w:pPr>
            <w:r>
              <w:t>2. TransGrid incurs costs beyond the relevant policy limit: and</w:t>
            </w:r>
          </w:p>
          <w:p w:rsidR="00727295" w:rsidRDefault="00727295" w:rsidP="00727295">
            <w:pPr>
              <w:cnfStyle w:val="000000000000" w:firstRow="0" w:lastRow="0" w:firstColumn="0" w:lastColumn="0" w:oddVBand="0" w:evenVBand="0" w:oddHBand="0" w:evenHBand="0" w:firstRowFirstColumn="0" w:firstRowLastColumn="0" w:lastRowFirstColumn="0" w:lastRowLastColumn="0"/>
            </w:pPr>
            <w:r>
              <w:t>3. the costs beyond the relevant policy limit materially increase the costs to TransGrid in providing prescribed transmission services.</w:t>
            </w:r>
          </w:p>
          <w:p w:rsidR="00727295" w:rsidRDefault="00727295" w:rsidP="00727295">
            <w:pPr>
              <w:cnfStyle w:val="000000000000" w:firstRow="0" w:lastRow="0" w:firstColumn="0" w:lastColumn="0" w:oddVBand="0" w:evenVBand="0" w:oddHBand="0" w:evenHBand="0" w:firstRowFirstColumn="0" w:firstRowLastColumn="0" w:lastRowFirstColumn="0" w:lastRowLastColumn="0"/>
            </w:pPr>
            <w:r>
              <w:t>For this insurance cap event:</w:t>
            </w:r>
          </w:p>
          <w:p w:rsidR="00727295" w:rsidRDefault="00727295" w:rsidP="00727295">
            <w:pPr>
              <w:cnfStyle w:val="000000000000" w:firstRow="0" w:lastRow="0" w:firstColumn="0" w:lastColumn="0" w:oddVBand="0" w:evenVBand="0" w:oddHBand="0" w:evenHBand="0" w:firstRowFirstColumn="0" w:firstRowLastColumn="0" w:lastRowFirstColumn="0" w:lastRowLastColumn="0"/>
            </w:pPr>
            <w:r>
              <w:t>4. the relevant policy limit is the greater of:</w:t>
            </w:r>
          </w:p>
          <w:p w:rsidR="00727295" w:rsidRDefault="00727295" w:rsidP="00727295">
            <w:pPr>
              <w:cnfStyle w:val="000000000000" w:firstRow="0" w:lastRow="0" w:firstColumn="0" w:lastColumn="0" w:oddVBand="0" w:evenVBand="0" w:oddHBand="0" w:evenHBand="0" w:firstRowFirstColumn="0" w:firstRowLastColumn="0" w:lastRowFirstColumn="0" w:lastRowLastColumn="0"/>
            </w:pPr>
            <w:r>
              <w:t>a. TransGrid's actual policy limit at the time of the event that gives, or would have given rise to a claim; and</w:t>
            </w:r>
          </w:p>
          <w:p w:rsidR="00727295" w:rsidRDefault="00727295" w:rsidP="00727295">
            <w:pPr>
              <w:cnfStyle w:val="000000000000" w:firstRow="0" w:lastRow="0" w:firstColumn="0" w:lastColumn="0" w:oddVBand="0" w:evenVBand="0" w:oddHBand="0" w:evenHBand="0" w:firstRowFirstColumn="0" w:firstRowLastColumn="0" w:lastRowFirstColumn="0" w:lastRowLastColumn="0"/>
            </w:pPr>
            <w:r>
              <w:t>b. subject to paragraph c, the policy limit that is explicitly or implicitly commensurate with the allowance for insurance premiums that is included in the forecast operating expenditure allowance approved in the AER's final decision for the regulatory control period</w:t>
            </w:r>
            <w:r w:rsidR="00FF250C">
              <w:t>.</w:t>
            </w:r>
          </w:p>
          <w:p w:rsidR="00727295" w:rsidRDefault="00727295" w:rsidP="00727295">
            <w:pPr>
              <w:cnfStyle w:val="000000000000" w:firstRow="0" w:lastRow="0" w:firstColumn="0" w:lastColumn="0" w:oddVBand="0" w:evenVBand="0" w:oddHBand="0" w:evenHBand="0" w:firstRowFirstColumn="0" w:firstRowLastColumn="0" w:lastRowFirstColumn="0" w:lastRowLastColumn="0"/>
            </w:pPr>
            <w:r>
              <w:t xml:space="preserve">c. </w:t>
            </w:r>
            <w:r w:rsidR="00A21632">
              <w:t>the policy limit in paragraph b</w:t>
            </w:r>
            <w:r>
              <w:t xml:space="preserve"> will not be taken as the greater policy limit if that policy limit at the time of the </w:t>
            </w:r>
            <w:r w:rsidR="00F33255">
              <w:t>e</w:t>
            </w:r>
            <w:r>
              <w:t xml:space="preserve">vent that gives rise to a claim, was not available to TransGrid for reasons beyond its control. </w:t>
            </w:r>
          </w:p>
          <w:p w:rsidR="00077B79" w:rsidRDefault="00077B79" w:rsidP="00727295">
            <w:pPr>
              <w:cnfStyle w:val="000000000000" w:firstRow="0" w:lastRow="0" w:firstColumn="0" w:lastColumn="0" w:oddVBand="0" w:evenVBand="0" w:oddHBand="0" w:evenHBand="0" w:firstRowFirstColumn="0" w:firstRowLastColumn="0" w:lastRowFirstColumn="0" w:lastRowLastColumn="0"/>
            </w:pPr>
            <w:r>
              <w:t xml:space="preserve">5. a relevant insurance policy is an </w:t>
            </w:r>
            <w:r w:rsidR="00482639">
              <w:t>insurance</w:t>
            </w:r>
            <w:r w:rsidR="00CC425F">
              <w:t xml:space="preserve"> policy held during the 2015–18</w:t>
            </w:r>
            <w:r>
              <w:t xml:space="preserve"> regulatory control period</w:t>
            </w:r>
            <w:r w:rsidR="00482639">
              <w:t xml:space="preserve"> </w:t>
            </w:r>
            <w:r>
              <w:t xml:space="preserve">or a previous regulatory control </w:t>
            </w:r>
            <w:r>
              <w:lastRenderedPageBreak/>
              <w:t xml:space="preserve">period in which TransGrid was regulated. </w:t>
            </w:r>
          </w:p>
          <w:p w:rsidR="00077B79" w:rsidRDefault="00077B79" w:rsidP="00727295">
            <w:pPr>
              <w:cnfStyle w:val="000000000000" w:firstRow="0" w:lastRow="0" w:firstColumn="0" w:lastColumn="0" w:oddVBand="0" w:evenVBand="0" w:oddHBand="0" w:evenHBand="0" w:firstRowFirstColumn="0" w:firstRowLastColumn="0" w:lastRowFirstColumn="0" w:lastRowLastColumn="0"/>
            </w:pPr>
            <w:r>
              <w:t>Note for avoidance of doubt, in assessing an insurance cap event cost pass through application under Rule 6A7.3, the AER will have regard to</w:t>
            </w:r>
            <w:r w:rsidR="00F33255">
              <w:t>, amongst other things</w:t>
            </w:r>
            <w:r>
              <w:t>:</w:t>
            </w:r>
          </w:p>
          <w:p w:rsidR="00077B79" w:rsidRDefault="00077B79" w:rsidP="00727295">
            <w:pPr>
              <w:cnfStyle w:val="000000000000" w:firstRow="0" w:lastRow="0" w:firstColumn="0" w:lastColumn="0" w:oddVBand="0" w:evenVBand="0" w:oddHBand="0" w:evenHBand="0" w:firstRowFirstColumn="0" w:firstRowLastColumn="0" w:lastRowFirstColumn="0" w:lastRowLastColumn="0"/>
            </w:pPr>
            <w:r>
              <w:t>i. the insurance policy for the event;</w:t>
            </w:r>
            <w:r w:rsidR="00A21632">
              <w:t xml:space="preserve"> and</w:t>
            </w:r>
          </w:p>
          <w:p w:rsidR="00077B79" w:rsidRDefault="00077B79" w:rsidP="00727295">
            <w:pPr>
              <w:cnfStyle w:val="000000000000" w:firstRow="0" w:lastRow="0" w:firstColumn="0" w:lastColumn="0" w:oddVBand="0" w:evenVBand="0" w:oddHBand="0" w:evenHBand="0" w:firstRowFirstColumn="0" w:firstRowLastColumn="0" w:lastRowFirstColumn="0" w:lastRowLastColumn="0"/>
            </w:pPr>
            <w:r>
              <w:t>ii. the level of insurance that an efficient</w:t>
            </w:r>
            <w:r w:rsidR="00482639">
              <w:t xml:space="preserve"> and prudent </w:t>
            </w:r>
            <w:r w:rsidR="00A21632">
              <w:t>T</w:t>
            </w:r>
            <w:r w:rsidR="00482639">
              <w:t>NSP would obtain in respect of the e</w:t>
            </w:r>
            <w:r w:rsidR="00DE386B">
              <w:t>vent.</w:t>
            </w:r>
          </w:p>
          <w:p w:rsidR="00482639" w:rsidRDefault="00482639" w:rsidP="00727295">
            <w:pPr>
              <w:cnfStyle w:val="000000000000" w:firstRow="0" w:lastRow="0" w:firstColumn="0" w:lastColumn="0" w:oddVBand="0" w:evenVBand="0" w:oddHBand="0" w:evenHBand="0" w:firstRowFirstColumn="0" w:firstRowLastColumn="0" w:lastRowFirstColumn="0" w:lastRowLastColumn="0"/>
            </w:pPr>
          </w:p>
        </w:tc>
      </w:tr>
      <w:tr w:rsidR="00F52E4B" w:rsidTr="00F52E4B">
        <w:tc>
          <w:tcPr>
            <w:cnfStyle w:val="001000000000" w:firstRow="0" w:lastRow="0" w:firstColumn="1" w:lastColumn="0" w:oddVBand="0" w:evenVBand="0" w:oddHBand="0" w:evenHBand="0" w:firstRowFirstColumn="0" w:firstRowLastColumn="0" w:lastRowFirstColumn="0" w:lastRowLastColumn="0"/>
            <w:tcW w:w="4346" w:type="dxa"/>
          </w:tcPr>
          <w:p w:rsidR="00F52E4B" w:rsidRDefault="00F52E4B" w:rsidP="00111D81">
            <w:r>
              <w:lastRenderedPageBreak/>
              <w:t>Insurer</w:t>
            </w:r>
            <w:r w:rsidR="00111D81">
              <w:t>'s credit risk</w:t>
            </w:r>
            <w:r>
              <w:t xml:space="preserve"> event</w:t>
            </w:r>
          </w:p>
        </w:tc>
        <w:tc>
          <w:tcPr>
            <w:tcW w:w="4347" w:type="dxa"/>
          </w:tcPr>
          <w:p w:rsidR="003703F7" w:rsidRPr="003703F7" w:rsidRDefault="003703F7" w:rsidP="003703F7">
            <w:pPr>
              <w:cnfStyle w:val="000000000000" w:firstRow="0" w:lastRow="0" w:firstColumn="0" w:lastColumn="0" w:oddVBand="0" w:evenVBand="0" w:oddHBand="0" w:evenHBand="0" w:firstRowFirstColumn="0" w:firstRowLastColumn="0" w:lastRowFirstColumn="0" w:lastRowLastColumn="0"/>
            </w:pPr>
            <w:r w:rsidRPr="003703F7">
              <w:t>An insurer’s credit risk event occurs if:</w:t>
            </w:r>
          </w:p>
          <w:p w:rsidR="003703F7" w:rsidRPr="003703F7" w:rsidRDefault="003703F7" w:rsidP="003703F7">
            <w:pPr>
              <w:cnfStyle w:val="000000000000" w:firstRow="0" w:lastRow="0" w:firstColumn="0" w:lastColumn="0" w:oddVBand="0" w:evenVBand="0" w:oddHBand="0" w:evenHBand="0" w:firstRowFirstColumn="0" w:firstRowLastColumn="0" w:lastRowFirstColumn="0" w:lastRowLastColumn="0"/>
            </w:pPr>
            <w:r w:rsidRPr="003703F7">
              <w:t xml:space="preserve">A nominated insurer of </w:t>
            </w:r>
            <w:r>
              <w:t>TransG</w:t>
            </w:r>
            <w:r w:rsidRPr="003703F7">
              <w:t>rid becomes insolvent, a</w:t>
            </w:r>
            <w:r w:rsidR="00211476">
              <w:t xml:space="preserve">nd as a result, in respect of an existing, or potential, </w:t>
            </w:r>
            <w:r w:rsidRPr="003703F7">
              <w:t xml:space="preserve">claim for a risk that was insured by the insolvent insurer, </w:t>
            </w:r>
            <w:r>
              <w:t>TransG</w:t>
            </w:r>
            <w:r w:rsidRPr="003703F7">
              <w:t>rid:</w:t>
            </w:r>
          </w:p>
          <w:p w:rsidR="003703F7" w:rsidRPr="003703F7" w:rsidRDefault="003703F7" w:rsidP="003703F7">
            <w:pPr>
              <w:cnfStyle w:val="000000000000" w:firstRow="0" w:lastRow="0" w:firstColumn="0" w:lastColumn="0" w:oddVBand="0" w:evenVBand="0" w:oddHBand="0" w:evenHBand="0" w:firstRowFirstColumn="0" w:firstRowLastColumn="0" w:lastRowFirstColumn="0" w:lastRowLastColumn="0"/>
            </w:pPr>
            <w:r>
              <w:t xml:space="preserve">1. </w:t>
            </w:r>
            <w:r w:rsidRPr="003703F7">
              <w:t>is subject to a materially higher or lower claim limit or a materially higher or lower deductible than would have otherwise applied under the insolvent insurer’s policy; or</w:t>
            </w:r>
          </w:p>
          <w:p w:rsidR="003703F7" w:rsidRPr="003703F7" w:rsidRDefault="003703F7" w:rsidP="003703F7">
            <w:pPr>
              <w:cnfStyle w:val="000000000000" w:firstRow="0" w:lastRow="0" w:firstColumn="0" w:lastColumn="0" w:oddVBand="0" w:evenVBand="0" w:oddHBand="0" w:evenHBand="0" w:firstRowFirstColumn="0" w:firstRowLastColumn="0" w:lastRowFirstColumn="0" w:lastRowLastColumn="0"/>
            </w:pPr>
            <w:r>
              <w:t xml:space="preserve">2. </w:t>
            </w:r>
            <w:r w:rsidRPr="003703F7">
              <w:t>incurs additional costs associated with self-funding an insurance claim, which would otherwise have been covered by the insolvent insurer.</w:t>
            </w:r>
          </w:p>
          <w:p w:rsidR="003703F7" w:rsidRPr="003703F7" w:rsidRDefault="003703F7" w:rsidP="003703F7">
            <w:pPr>
              <w:cnfStyle w:val="000000000000" w:firstRow="0" w:lastRow="0" w:firstColumn="0" w:lastColumn="0" w:oddVBand="0" w:evenVBand="0" w:oddHBand="0" w:evenHBand="0" w:firstRowFirstColumn="0" w:firstRowLastColumn="0" w:lastRowFirstColumn="0" w:lastRowLastColumn="0"/>
            </w:pPr>
            <w:r w:rsidRPr="003703F7">
              <w:t>Note: In assessing an insurer's credit risk event pass through application, the AER will have regard to, amongst other things:</w:t>
            </w:r>
          </w:p>
          <w:p w:rsidR="000B6DE8" w:rsidRDefault="003703F7" w:rsidP="00211476">
            <w:pPr>
              <w:cnfStyle w:val="000000000000" w:firstRow="0" w:lastRow="0" w:firstColumn="0" w:lastColumn="0" w:oddVBand="0" w:evenVBand="0" w:oddHBand="0" w:evenHBand="0" w:firstRowFirstColumn="0" w:firstRowLastColumn="0" w:lastRowFirstColumn="0" w:lastRowLastColumn="0"/>
            </w:pPr>
            <w:r w:rsidRPr="00211476">
              <w:t xml:space="preserve">i. </w:t>
            </w:r>
            <w:r w:rsidR="00211476">
              <w:t>TransGrid</w:t>
            </w:r>
            <w:r w:rsidR="00211476" w:rsidRPr="00211476">
              <w:t>’s attempts to mitigate and prevent the event from occurring by reviewing and considering the insurer’s track record, siz</w:t>
            </w:r>
            <w:r w:rsidR="00DD5ADF">
              <w:t>e, credit rating and reputation, and</w:t>
            </w:r>
          </w:p>
          <w:p w:rsidR="00211476" w:rsidRDefault="00211476" w:rsidP="000B6DE8">
            <w:pPr>
              <w:cnfStyle w:val="000000000000" w:firstRow="0" w:lastRow="0" w:firstColumn="0" w:lastColumn="0" w:oddVBand="0" w:evenVBand="0" w:oddHBand="0" w:evenHBand="0" w:firstRowFirstColumn="0" w:firstRowLastColumn="0" w:lastRowFirstColumn="0" w:lastRowLastColumn="0"/>
            </w:pPr>
            <w:r w:rsidRPr="00211476">
              <w:t xml:space="preserve">ii. </w:t>
            </w:r>
            <w:r w:rsidR="00DD5ADF">
              <w:t>i</w:t>
            </w:r>
            <w:r w:rsidRPr="00211476">
              <w:t>n the eve</w:t>
            </w:r>
            <w:r>
              <w:t xml:space="preserve">nt that a claim would have been </w:t>
            </w:r>
            <w:r w:rsidRPr="00211476">
              <w:t xml:space="preserve">made after the insurance provider became insolvent, whether </w:t>
            </w:r>
            <w:r>
              <w:t>TransGrid</w:t>
            </w:r>
            <w:r w:rsidRPr="00211476">
              <w:t xml:space="preserve"> had reasonable opportunity to insure the </w:t>
            </w:r>
            <w:r w:rsidR="00A21632">
              <w:t>risk with a different provider.</w:t>
            </w:r>
          </w:p>
          <w:p w:rsidR="000B6DE8" w:rsidRDefault="000B6DE8" w:rsidP="000B6DE8">
            <w:pPr>
              <w:cnfStyle w:val="000000000000" w:firstRow="0" w:lastRow="0" w:firstColumn="0" w:lastColumn="0" w:oddVBand="0" w:evenVBand="0" w:oddHBand="0" w:evenHBand="0" w:firstRowFirstColumn="0" w:firstRowLastColumn="0" w:lastRowFirstColumn="0" w:lastRowLastColumn="0"/>
            </w:pPr>
          </w:p>
        </w:tc>
      </w:tr>
    </w:tbl>
    <w:p w:rsidR="00F52E4B" w:rsidRDefault="00F52E4B" w:rsidP="00F52E4B"/>
    <w:p w:rsidR="00DE563D" w:rsidRPr="001754EE" w:rsidRDefault="00415F31" w:rsidP="001754EE">
      <w:pPr>
        <w:pStyle w:val="Heading2"/>
      </w:pPr>
      <w:bookmarkStart w:id="15" w:name="_Toc414446280"/>
      <w:r w:rsidRPr="001754EE">
        <w:t>TransGrid’s revised</w:t>
      </w:r>
      <w:r w:rsidR="00DE563D" w:rsidRPr="001754EE">
        <w:t xml:space="preserve"> proposal</w:t>
      </w:r>
      <w:bookmarkEnd w:id="13"/>
      <w:bookmarkEnd w:id="15"/>
    </w:p>
    <w:p w:rsidR="00BB28F2" w:rsidRDefault="00ED1D97" w:rsidP="00BB28F2">
      <w:r>
        <w:t>In its revised proposal TransGrid:</w:t>
      </w:r>
    </w:p>
    <w:p w:rsidR="00ED1D97" w:rsidRDefault="005E0372" w:rsidP="00ED1D97">
      <w:pPr>
        <w:pStyle w:val="AERbulletlistfirststyle"/>
      </w:pPr>
      <w:r>
        <w:t>d</w:t>
      </w:r>
      <w:r w:rsidR="00ED1D97">
        <w:t xml:space="preserve">id not accept </w:t>
      </w:r>
      <w:r w:rsidR="00E2115B">
        <w:t xml:space="preserve">our </w:t>
      </w:r>
      <w:r w:rsidR="00ED1D97">
        <w:t>draft decision to reject</w:t>
      </w:r>
      <w:r w:rsidR="00E2115B">
        <w:t xml:space="preserve"> its proposed</w:t>
      </w:r>
      <w:r w:rsidR="00ED1D97">
        <w:t xml:space="preserve"> cyber-related external attack event, gradual environmental contamination </w:t>
      </w:r>
      <w:r w:rsidR="00276607">
        <w:t>event and insurer default event</w:t>
      </w:r>
      <w:r w:rsidR="00ED1D97">
        <w:t xml:space="preserve"> </w:t>
      </w:r>
    </w:p>
    <w:p w:rsidR="00E2115B" w:rsidRDefault="005E0372" w:rsidP="00ED1D97">
      <w:pPr>
        <w:pStyle w:val="AERbulletlistfirststyle"/>
      </w:pPr>
      <w:r>
        <w:t>p</w:t>
      </w:r>
      <w:r w:rsidR="00E2115B">
        <w:t>roposed amendments to the</w:t>
      </w:r>
      <w:r w:rsidR="00ED1D97">
        <w:t xml:space="preserve"> definitions for the insurance cap and terrorism events</w:t>
      </w:r>
      <w:r w:rsidR="00E2115B">
        <w:t xml:space="preserve"> that were set out in the draft decision to:</w:t>
      </w:r>
      <w:r w:rsidR="00ED1D97">
        <w:t xml:space="preserve"> </w:t>
      </w:r>
    </w:p>
    <w:p w:rsidR="00E2115B" w:rsidRDefault="00ED1D97" w:rsidP="00E2115B">
      <w:pPr>
        <w:pStyle w:val="AERbulletlistsecondstyle"/>
      </w:pPr>
      <w:r>
        <w:lastRenderedPageBreak/>
        <w:t xml:space="preserve">enable TransGrid to make an application </w:t>
      </w:r>
      <w:r w:rsidR="00285C68">
        <w:t>under the insurance cap</w:t>
      </w:r>
      <w:r>
        <w:t xml:space="preserve"> event if </w:t>
      </w:r>
      <w:r w:rsidR="00E2115B">
        <w:t xml:space="preserve">it no longer has access to </w:t>
      </w:r>
      <w:r w:rsidR="00285C68">
        <w:t xml:space="preserve">its current </w:t>
      </w:r>
      <w:r w:rsidR="00E2115B">
        <w:t>SICorp insurance</w:t>
      </w:r>
      <w:r>
        <w:t xml:space="preserve"> </w:t>
      </w:r>
    </w:p>
    <w:p w:rsidR="00ED1D97" w:rsidRDefault="00ED1D97" w:rsidP="00E2115B">
      <w:pPr>
        <w:pStyle w:val="AERbulletlistsecondstyle"/>
      </w:pPr>
      <w:r>
        <w:t>include specific recognition that the Australian Reinsurance Pool be considered insurance for the</w:t>
      </w:r>
      <w:r w:rsidR="00E2115B">
        <w:t xml:space="preserve"> purposes of the</w:t>
      </w:r>
      <w:r>
        <w:t xml:space="preserve"> </w:t>
      </w:r>
      <w:r w:rsidR="00E2115B">
        <w:t xml:space="preserve">terrorism </w:t>
      </w:r>
      <w:r>
        <w:t xml:space="preserve">event. </w:t>
      </w:r>
    </w:p>
    <w:p w:rsidR="00DE563D" w:rsidRDefault="00DE563D" w:rsidP="001754EE">
      <w:pPr>
        <w:pStyle w:val="Heading2"/>
      </w:pPr>
      <w:bookmarkStart w:id="16" w:name="_Toc403144138"/>
      <w:bookmarkStart w:id="17" w:name="_Toc414446281"/>
      <w:r w:rsidRPr="001754EE">
        <w:t>AER’s</w:t>
      </w:r>
      <w:r>
        <w:t xml:space="preserve"> assessment approach</w:t>
      </w:r>
      <w:bookmarkEnd w:id="16"/>
      <w:bookmarkEnd w:id="17"/>
    </w:p>
    <w:p w:rsidR="0039078C" w:rsidRDefault="00ED1D97" w:rsidP="00BB28F2">
      <w:r>
        <w:t xml:space="preserve">Our approach to assessing cost pass through events was described in detail in </w:t>
      </w:r>
      <w:r w:rsidR="00523128">
        <w:t>attachment 13 of our</w:t>
      </w:r>
      <w:r>
        <w:t xml:space="preserve"> draft decision for TransGrid.</w:t>
      </w:r>
      <w:r w:rsidR="0015612F">
        <w:rPr>
          <w:rStyle w:val="FootnoteReference"/>
        </w:rPr>
        <w:footnoteReference w:id="2"/>
      </w:r>
      <w:r>
        <w:t xml:space="preserve"> </w:t>
      </w:r>
    </w:p>
    <w:p w:rsidR="0039078C" w:rsidRDefault="0039078C" w:rsidP="00BB28F2">
      <w:r w:rsidRPr="002B285B">
        <w:t xml:space="preserve">Our approach has been guided by the NEO and the </w:t>
      </w:r>
      <w:r>
        <w:t xml:space="preserve">RPP. </w:t>
      </w:r>
      <w:r w:rsidRPr="002B285B">
        <w:t xml:space="preserve">It provides the </w:t>
      </w:r>
      <w:r w:rsidR="00F33255">
        <w:t>T</w:t>
      </w:r>
      <w:r w:rsidRPr="002B285B">
        <w:t>NSP with a reasonable opportunity to recover at least the effi</w:t>
      </w:r>
      <w:r>
        <w:t>cient costs the operator incurs</w:t>
      </w:r>
      <w:r w:rsidRPr="002B285B">
        <w:rPr>
          <w:rStyle w:val="AERsuperscript"/>
        </w:rPr>
        <w:footnoteReference w:id="3"/>
      </w:r>
      <w:r>
        <w:t>,</w:t>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p>
    <w:p w:rsidR="00BB28F2" w:rsidRDefault="00ED1D97" w:rsidP="00BB28F2">
      <w:r>
        <w:t>We maintain</w:t>
      </w:r>
      <w:r w:rsidR="0039078C">
        <w:t>ed</w:t>
      </w:r>
      <w:r>
        <w:t xml:space="preserve"> this approach for the final decision.  </w:t>
      </w:r>
      <w:bookmarkStart w:id="18" w:name="_Toc403144140"/>
    </w:p>
    <w:p w:rsidR="00C47648" w:rsidRDefault="00C47648" w:rsidP="00C47648">
      <w:pPr>
        <w:pStyle w:val="Heading3"/>
      </w:pPr>
      <w:bookmarkStart w:id="19" w:name="_Toc414446282"/>
      <w:r>
        <w:t>Interrelationships</w:t>
      </w:r>
      <w:bookmarkEnd w:id="19"/>
    </w:p>
    <w:p w:rsidR="00C47648" w:rsidRPr="00F551EF" w:rsidRDefault="00C47648" w:rsidP="00C47648">
      <w:pPr>
        <w:numPr>
          <w:ilvl w:val="0"/>
          <w:numId w:val="25"/>
        </w:numPr>
      </w:pPr>
      <w:r>
        <w:t>As we discussed in the draft decision, t</w:t>
      </w:r>
      <w:r w:rsidRPr="00F551EF">
        <w:t xml:space="preserve">he nominated pass through events are interrelated with other parts of this determination, in particular with </w:t>
      </w:r>
      <w:r>
        <w:t>TransGrid's</w:t>
      </w:r>
      <w:r w:rsidRPr="00F551EF">
        <w:t xml:space="preserve"> proposed opex and capex allowances and the rate of return</w:t>
      </w:r>
      <w:r>
        <w:t>.</w:t>
      </w:r>
      <w:r>
        <w:rPr>
          <w:rStyle w:val="FootnoteReference"/>
        </w:rPr>
        <w:footnoteReference w:id="6"/>
      </w:r>
      <w:r w:rsidRPr="00F551EF">
        <w:t xml:space="preserve"> These interrelationships require the AER to balance the incentives </w:t>
      </w:r>
      <w:r>
        <w:t xml:space="preserve">to TransGrid </w:t>
      </w:r>
      <w:r w:rsidRPr="00F551EF">
        <w:t xml:space="preserve">in the various parts of </w:t>
      </w:r>
      <w:r w:rsidR="00FF250C">
        <w:t>our d</w:t>
      </w:r>
      <w:r w:rsidRPr="00F551EF">
        <w:t xml:space="preserve">ecision. </w:t>
      </w:r>
    </w:p>
    <w:p w:rsidR="00DE563D" w:rsidRDefault="00DE563D" w:rsidP="001754EE">
      <w:pPr>
        <w:pStyle w:val="Heading2"/>
      </w:pPr>
      <w:bookmarkStart w:id="20" w:name="_Toc414446283"/>
      <w:r w:rsidRPr="001754EE">
        <w:t>Reasons</w:t>
      </w:r>
      <w:r>
        <w:t xml:space="preserve"> for </w:t>
      </w:r>
      <w:r w:rsidR="002016E7">
        <w:t>final</w:t>
      </w:r>
      <w:r>
        <w:t xml:space="preserve"> decision</w:t>
      </w:r>
      <w:bookmarkEnd w:id="18"/>
      <w:bookmarkEnd w:id="20"/>
      <w:r>
        <w:t xml:space="preserve"> </w:t>
      </w:r>
    </w:p>
    <w:p w:rsidR="00B73AA0" w:rsidRDefault="00C764CB" w:rsidP="00BB28F2">
      <w:r>
        <w:t>This section sets out our reasons for the final decision on each pass through event. We discuss the arguments in TransGrid's revised proposal and how we have addressed them in this final decision.</w:t>
      </w:r>
      <w:r w:rsidR="00B73AA0">
        <w:t xml:space="preserve"> </w:t>
      </w:r>
    </w:p>
    <w:p w:rsidR="00C764CB" w:rsidRPr="00C764CB" w:rsidRDefault="00C764CB" w:rsidP="00C764CB">
      <w:r w:rsidRPr="00C764CB">
        <w:t xml:space="preserve">For clarity, we have made two minor drafting changes to the definitions of all of </w:t>
      </w:r>
      <w:r>
        <w:t xml:space="preserve">TransGrid's pass through events. </w:t>
      </w:r>
      <w:r w:rsidR="00A21632" w:rsidRPr="00C764CB">
        <w:t>Speci</w:t>
      </w:r>
      <w:r w:rsidR="00A21632">
        <w:t>fi</w:t>
      </w:r>
      <w:r w:rsidR="00A21632" w:rsidRPr="00C764CB">
        <w:t>cally</w:t>
      </w:r>
      <w:r w:rsidRPr="00C764CB">
        <w:t>, we have removed the following final sentence</w:t>
      </w:r>
      <w:r>
        <w:t xml:space="preserve"> </w:t>
      </w:r>
      <w:r w:rsidRPr="00C764CB">
        <w:t>from the factors we will consider when assessing a pass through application:</w:t>
      </w:r>
    </w:p>
    <w:p w:rsidR="00C764CB" w:rsidRPr="00C764CB" w:rsidRDefault="00C764CB" w:rsidP="00EF1646">
      <w:pPr>
        <w:pStyle w:val="AERquote"/>
        <w:rPr>
          <w:rStyle w:val="AERbody"/>
        </w:rPr>
      </w:pPr>
      <w:r w:rsidRPr="00C764CB">
        <w:t>the extent to which a prudent provider could reasonably mitigate the impact of the event.</w:t>
      </w:r>
      <w:r w:rsidR="00EF1646">
        <w:rPr>
          <w:rStyle w:val="FootnoteReference"/>
        </w:rPr>
        <w:footnoteReference w:id="7"/>
      </w:r>
    </w:p>
    <w:p w:rsidR="00C764CB" w:rsidRPr="00C764CB" w:rsidRDefault="00C764CB" w:rsidP="00EF1646">
      <w:r w:rsidRPr="00C764CB">
        <w:t xml:space="preserve">This is because after further review we consider that it is unnecessary to include this in the definition as it is already a specified requirement in clause 6A7.3(j)(3) of the NER.  </w:t>
      </w:r>
      <w:r w:rsidRPr="00C764CB">
        <w:lastRenderedPageBreak/>
        <w:t>That clause provides that we must take into account the efficiency of the</w:t>
      </w:r>
      <w:r w:rsidR="00FF250C">
        <w:t xml:space="preserve"> NSP</w:t>
      </w:r>
      <w:r w:rsidRPr="00C764CB">
        <w:t xml:space="preserve">'s decisions and actions when assessing cost pass through applications. </w:t>
      </w:r>
    </w:p>
    <w:p w:rsidR="00C764CB" w:rsidRDefault="00C764CB" w:rsidP="00C764CB">
      <w:r w:rsidRPr="00C764CB">
        <w:t xml:space="preserve">We have also consistently adopted the term "prescribed transmission services" as used in the NER across all </w:t>
      </w:r>
      <w:r w:rsidR="00A21632">
        <w:t>of TransGrid's</w:t>
      </w:r>
      <w:r w:rsidRPr="00C764CB">
        <w:t xml:space="preserve"> nominated pass through events</w:t>
      </w:r>
      <w:r w:rsidR="00A21632">
        <w:t>.</w:t>
      </w:r>
    </w:p>
    <w:p w:rsidR="007B186E" w:rsidRDefault="00202891" w:rsidP="001754EE">
      <w:pPr>
        <w:pStyle w:val="Heading3"/>
      </w:pPr>
      <w:bookmarkStart w:id="21" w:name="_Toc414446284"/>
      <w:r>
        <w:t>Insurance cap event</w:t>
      </w:r>
      <w:bookmarkEnd w:id="21"/>
      <w:r w:rsidR="007D456E">
        <w:t xml:space="preserve"> </w:t>
      </w:r>
    </w:p>
    <w:p w:rsidR="00565D43" w:rsidRDefault="00796E2B" w:rsidP="00565D43">
      <w:r>
        <w:t xml:space="preserve">In its initial proposal TransGrid proposed an insurance cap event. </w:t>
      </w:r>
      <w:r w:rsidR="00FB0DD7">
        <w:t>The insurance cap event allows businesses to make a pass through application if the business makes a claim under an insurance policy, and the actual costs to the business materially exceed</w:t>
      </w:r>
      <w:r w:rsidR="00285C68">
        <w:t>s</w:t>
      </w:r>
      <w:r w:rsidR="00FB0DD7">
        <w:t xml:space="preserve"> the policy limit. </w:t>
      </w:r>
    </w:p>
    <w:p w:rsidR="00FB0DD7" w:rsidRDefault="00FB0DD7" w:rsidP="00565D43">
      <w:r>
        <w:t>In our draft decision for TransGrid we rejected TransGrid's definition of this event, and substituted it with our own.</w:t>
      </w:r>
      <w:r w:rsidR="00253C17">
        <w:rPr>
          <w:rStyle w:val="FootnoteReference"/>
        </w:rPr>
        <w:footnoteReference w:id="8"/>
      </w:r>
      <w:r>
        <w:t xml:space="preserve"> Our amended definition include</w:t>
      </w:r>
      <w:r w:rsidR="00285C68">
        <w:t>d</w:t>
      </w:r>
      <w:r>
        <w:t xml:space="preserve"> a definition for the relevant policy limit which requires the policy limit to be the greater of either the cap in TransGrid's policy at the time of the event</w:t>
      </w:r>
      <w:r w:rsidR="00285C68">
        <w:t>,</w:t>
      </w:r>
      <w:r>
        <w:t xml:space="preserve"> or </w:t>
      </w:r>
      <w:r w:rsidR="00285C68">
        <w:t xml:space="preserve">that reflected in </w:t>
      </w:r>
      <w:r>
        <w:t xml:space="preserve">the </w:t>
      </w:r>
      <w:r w:rsidR="00285C68">
        <w:t xml:space="preserve">insurance costs implicitly contemplated </w:t>
      </w:r>
      <w:r>
        <w:t xml:space="preserve">when we set TransGrid's forecast opex. </w:t>
      </w:r>
    </w:p>
    <w:p w:rsidR="00111D81" w:rsidRDefault="00285C68" w:rsidP="00565D43">
      <w:r>
        <w:t>I</w:t>
      </w:r>
      <w:r w:rsidR="00FB0DD7">
        <w:t>n its revised pr</w:t>
      </w:r>
      <w:r w:rsidR="008C10A3">
        <w:t xml:space="preserve">oposal TransGrid </w:t>
      </w:r>
      <w:r>
        <w:t xml:space="preserve">submitted </w:t>
      </w:r>
      <w:r w:rsidR="008C10A3">
        <w:t>that the</w:t>
      </w:r>
      <w:r w:rsidR="00FB0DD7">
        <w:t xml:space="preserve"> AER's definition of the insurance cap event would unfairly limit TransGrid's ability to access this pass through event.</w:t>
      </w:r>
      <w:r w:rsidR="00A74737">
        <w:rPr>
          <w:rStyle w:val="FootnoteReference"/>
        </w:rPr>
        <w:footnoteReference w:id="9"/>
      </w:r>
      <w:r w:rsidR="00FB0DD7">
        <w:t xml:space="preserve"> </w:t>
      </w:r>
      <w:r w:rsidR="008C10A3">
        <w:t>TransGrid stated that it is currently able to access the NSW Government's self-insurer, SICorp, which provides uncapped insurance coverage.</w:t>
      </w:r>
      <w:r w:rsidR="008C10A3">
        <w:rPr>
          <w:rStyle w:val="FootnoteReference"/>
        </w:rPr>
        <w:footnoteReference w:id="10"/>
      </w:r>
      <w:r w:rsidR="008C10A3">
        <w:t xml:space="preserve"> </w:t>
      </w:r>
      <w:r w:rsidR="00111D81">
        <w:t>However, should TransGrid need to revert to the general insurance market during the regulatory control period</w:t>
      </w:r>
      <w:r w:rsidR="002B65C5">
        <w:t xml:space="preserve"> (e.g. if it is privatised)</w:t>
      </w:r>
      <w:r w:rsidR="00A74737">
        <w:t>,</w:t>
      </w:r>
      <w:r w:rsidR="00111D81">
        <w:t xml:space="preserve"> the policy limit contemplated in our determination (which reflects its current arrangements) will </w:t>
      </w:r>
      <w:r w:rsidR="002B65C5">
        <w:t xml:space="preserve">likely </w:t>
      </w:r>
      <w:r w:rsidR="00111D81">
        <w:t xml:space="preserve">be greater </w:t>
      </w:r>
      <w:r w:rsidR="00A74737">
        <w:t xml:space="preserve">than </w:t>
      </w:r>
      <w:r w:rsidR="002B65C5">
        <w:t xml:space="preserve">any </w:t>
      </w:r>
      <w:r w:rsidR="00A74737">
        <w:t>new, actual policy limit</w:t>
      </w:r>
      <w:r w:rsidR="00111D81">
        <w:t xml:space="preserve">. </w:t>
      </w:r>
    </w:p>
    <w:p w:rsidR="00111D81" w:rsidRDefault="00B27195" w:rsidP="00565D43">
      <w:r>
        <w:t>We consider that given TransGrid's circumstances, it would only need to access this event should it be required to change its policy and obtain a policy with a limit.  W</w:t>
      </w:r>
      <w:r w:rsidR="00796E2B">
        <w:t>e</w:t>
      </w:r>
      <w:r>
        <w:t xml:space="preserve"> therefore have amended </w:t>
      </w:r>
      <w:r w:rsidR="00111D81">
        <w:t>the</w:t>
      </w:r>
      <w:r w:rsidR="002B65C5">
        <w:t xml:space="preserve"> definition of the</w:t>
      </w:r>
      <w:r w:rsidR="004002A6">
        <w:t xml:space="preserve"> insurance cap event</w:t>
      </w:r>
      <w:r w:rsidR="00111D81">
        <w:t xml:space="preserve"> </w:t>
      </w:r>
      <w:r>
        <w:t xml:space="preserve">to ensure that in those circumstances TransGrid is not </w:t>
      </w:r>
      <w:r w:rsidR="00111D81">
        <w:t>exclude</w:t>
      </w:r>
      <w:r>
        <w:t>d</w:t>
      </w:r>
      <w:r w:rsidR="00111D81">
        <w:t xml:space="preserve"> </w:t>
      </w:r>
      <w:r>
        <w:t>from accessing this event</w:t>
      </w:r>
      <w:r w:rsidR="00111D81">
        <w:t xml:space="preserve"> should its insurance arrangements change </w:t>
      </w:r>
      <w:r w:rsidR="002B65C5">
        <w:t>for reasons beyond its control</w:t>
      </w:r>
      <w:r w:rsidR="00111D81">
        <w:t xml:space="preserve">.  </w:t>
      </w:r>
    </w:p>
    <w:p w:rsidR="006C0FE3" w:rsidRDefault="006C0FE3" w:rsidP="00565D43">
      <w:r>
        <w:t>TransGrid also proposed changes to clause 5 in the definition which describes what a relevant policy limit would be.</w:t>
      </w:r>
      <w:r w:rsidR="00A74737">
        <w:rPr>
          <w:rStyle w:val="FootnoteReference"/>
        </w:rPr>
        <w:footnoteReference w:id="11"/>
      </w:r>
      <w:r>
        <w:t xml:space="preserve"> </w:t>
      </w:r>
      <w:r w:rsidR="00A74737">
        <w:t>Clause 5 of the insurance cap definition in the draft decision stated:</w:t>
      </w:r>
    </w:p>
    <w:p w:rsidR="006C0FE3" w:rsidRDefault="006C0FE3" w:rsidP="007828C6">
      <w:pPr>
        <w:pStyle w:val="AERquote"/>
      </w:pPr>
      <w:r>
        <w:t>A relevant insurance policy is an insurance policy held during the 2015–19 regulatory control period or a previous regulatory control period in which TransGrid was regulated.</w:t>
      </w:r>
      <w:r w:rsidR="00D04ADB">
        <w:rPr>
          <w:rStyle w:val="FootnoteReference"/>
        </w:rPr>
        <w:footnoteReference w:id="12"/>
      </w:r>
      <w:r>
        <w:t xml:space="preserve"> </w:t>
      </w:r>
    </w:p>
    <w:p w:rsidR="006C0FE3" w:rsidRDefault="006C0FE3" w:rsidP="00565D43">
      <w:r>
        <w:lastRenderedPageBreak/>
        <w:t>TransGrid considers our definition is unreasonable as it would restrict the ability to claim if TransGrid were to change its insurance arrangement with limits applying.</w:t>
      </w:r>
      <w:r w:rsidR="00253C17">
        <w:rPr>
          <w:rStyle w:val="FootnoteReference"/>
        </w:rPr>
        <w:footnoteReference w:id="13"/>
      </w:r>
    </w:p>
    <w:p w:rsidR="006C0FE3" w:rsidRDefault="00796E2B" w:rsidP="00565D43">
      <w:r>
        <w:t xml:space="preserve">We consider that TransGrid's concerns are related to the drafting of clause 4 and once our amendment is included (with the inclusion of clause 4c.) then no issue arises as to TransGrid's ability to apply for a pass through under this event should it no longer be able to obtain unlimited cover. </w:t>
      </w:r>
      <w:r w:rsidR="00B27195">
        <w:t xml:space="preserve">Further, the </w:t>
      </w:r>
      <w:r w:rsidR="006C0FE3">
        <w:t xml:space="preserve">definition </w:t>
      </w:r>
      <w:r w:rsidR="00B27195">
        <w:t xml:space="preserve">does not restrict </w:t>
      </w:r>
      <w:r w:rsidR="006C0FE3">
        <w:t>TransGrid to the insurance arrangement it had at the time of the determination. The definition is stating that a relevant policy has to be one that is held during the 2015–1</w:t>
      </w:r>
      <w:r w:rsidR="00F33255">
        <w:t>8</w:t>
      </w:r>
      <w:r w:rsidR="006C0FE3">
        <w:t xml:space="preserve"> regulatory period, which could be </w:t>
      </w:r>
      <w:r w:rsidR="006C0FE3" w:rsidRPr="00A570B8">
        <w:rPr>
          <w:rStyle w:val="Emphasis"/>
        </w:rPr>
        <w:t>either</w:t>
      </w:r>
      <w:r w:rsidR="006C0FE3">
        <w:t xml:space="preserve"> one held </w:t>
      </w:r>
      <w:r w:rsidR="00A570B8">
        <w:t>when</w:t>
      </w:r>
      <w:r w:rsidR="006C0FE3">
        <w:t xml:space="preserve"> the determination is made or a policy purchased later during the regulatory control</w:t>
      </w:r>
      <w:r w:rsidR="00253C17">
        <w:t xml:space="preserve"> period</w:t>
      </w:r>
      <w:r w:rsidR="006C0FE3">
        <w:t xml:space="preserve">. It could also be a policy that was held in a previous period.   </w:t>
      </w:r>
    </w:p>
    <w:p w:rsidR="00A570B8" w:rsidRDefault="00A570B8" w:rsidP="00565D43">
      <w:r>
        <w:t xml:space="preserve">TransGrid also </w:t>
      </w:r>
      <w:r w:rsidR="00B17F92">
        <w:t>considered that 'direct control'</w:t>
      </w:r>
      <w:r>
        <w:t xml:space="preserve"> in clause 3 in the definition should be replaced with </w:t>
      </w:r>
      <w:r w:rsidR="00B17F92">
        <w:t>'</w:t>
      </w:r>
      <w:r>
        <w:t>prescribed transmission services</w:t>
      </w:r>
      <w:r w:rsidR="00B17F92">
        <w:t>'</w:t>
      </w:r>
      <w:r>
        <w:t>.</w:t>
      </w:r>
      <w:r w:rsidR="00B17F92">
        <w:rPr>
          <w:rStyle w:val="FootnoteReference"/>
        </w:rPr>
        <w:footnoteReference w:id="14"/>
      </w:r>
      <w:r>
        <w:t xml:space="preserve"> We agree that this wording is more rel</w:t>
      </w:r>
      <w:r w:rsidR="00F33255">
        <w:t>evant to a TNSP</w:t>
      </w:r>
      <w:r>
        <w:t xml:space="preserve">, and have amended the definition to reflect this.   </w:t>
      </w:r>
    </w:p>
    <w:p w:rsidR="009701F8" w:rsidRPr="00565D43" w:rsidRDefault="009701F8" w:rsidP="00565D43">
      <w:r>
        <w:t>Our revised definition for TransGrid</w:t>
      </w:r>
      <w:r w:rsidR="004B63CF">
        <w:t>'s</w:t>
      </w:r>
      <w:r>
        <w:t xml:space="preserve"> insurance cap event is in </w:t>
      </w:r>
      <w:r>
        <w:fldChar w:fldCharType="begin"/>
      </w:r>
      <w:r>
        <w:instrText xml:space="preserve"> REF _Ref414014049 \h </w:instrText>
      </w:r>
      <w:r>
        <w:fldChar w:fldCharType="separate"/>
      </w:r>
      <w:r w:rsidR="00A60CA9">
        <w:t xml:space="preserve">Table </w:t>
      </w:r>
      <w:r w:rsidR="00A60CA9">
        <w:rPr>
          <w:noProof/>
        </w:rPr>
        <w:t>13</w:t>
      </w:r>
      <w:r w:rsidR="00A60CA9">
        <w:t>.</w:t>
      </w:r>
      <w:r w:rsidR="00A60CA9">
        <w:rPr>
          <w:noProof/>
        </w:rPr>
        <w:t>1</w:t>
      </w:r>
      <w:r>
        <w:fldChar w:fldCharType="end"/>
      </w:r>
      <w:r>
        <w:t>.</w:t>
      </w:r>
    </w:p>
    <w:p w:rsidR="007B186E" w:rsidRDefault="00A65E87" w:rsidP="001754EE">
      <w:pPr>
        <w:pStyle w:val="Heading3"/>
      </w:pPr>
      <w:bookmarkStart w:id="22" w:name="_Toc414446285"/>
      <w:r>
        <w:t xml:space="preserve">Insurer's credit risk </w:t>
      </w:r>
      <w:r w:rsidR="00202891">
        <w:t>event</w:t>
      </w:r>
      <w:bookmarkEnd w:id="22"/>
      <w:r w:rsidR="007D456E">
        <w:t xml:space="preserve"> </w:t>
      </w:r>
    </w:p>
    <w:p w:rsidR="00365A25" w:rsidRDefault="00A65E87" w:rsidP="00F027EC">
      <w:r>
        <w:t xml:space="preserve">In its </w:t>
      </w:r>
      <w:r w:rsidR="00C8156F">
        <w:t xml:space="preserve">initial </w:t>
      </w:r>
      <w:r>
        <w:t xml:space="preserve">proposal TransGrid proposed an insurer default event. This event </w:t>
      </w:r>
      <w:r w:rsidR="002B65C5">
        <w:t xml:space="preserve">would arise </w:t>
      </w:r>
      <w:r>
        <w:t>when</w:t>
      </w:r>
      <w:r w:rsidR="00365A25">
        <w:t xml:space="preserve"> an insurance allowance is provided</w:t>
      </w:r>
      <w:r>
        <w:t>,</w:t>
      </w:r>
      <w:r w:rsidR="00365A25">
        <w:t xml:space="preserve"> but as a result of the insolvency of an insurance provider, TransGrid is unable to recover outstanding insurance claims.</w:t>
      </w:r>
      <w:r w:rsidR="00365A25">
        <w:rPr>
          <w:rStyle w:val="FootnoteReference"/>
        </w:rPr>
        <w:footnoteReference w:id="15"/>
      </w:r>
      <w:r w:rsidR="00365A25">
        <w:t xml:space="preserve"> </w:t>
      </w:r>
      <w:r w:rsidR="002B65C5">
        <w:t>Other businesses have proposed similar events, and for simplicity we will refer to all of them as 'insurer's credit risk event'.</w:t>
      </w:r>
    </w:p>
    <w:p w:rsidR="005B5F3A" w:rsidRDefault="005B5F3A" w:rsidP="005B5F3A">
      <w:r>
        <w:t xml:space="preserve">In our draft decision, we rejected this event and stated that TransGrid may be able to </w:t>
      </w:r>
      <w:r w:rsidRPr="00D42DA4">
        <w:t xml:space="preserve">prevent this event occurring by </w:t>
      </w:r>
      <w:r>
        <w:t>purchasing</w:t>
      </w:r>
      <w:r w:rsidRPr="00D42DA4">
        <w:t xml:space="preserve"> insurance from </w:t>
      </w:r>
      <w:r>
        <w:t>reputable providers who have the capacity to satisfy any claims.</w:t>
      </w:r>
      <w:r>
        <w:rPr>
          <w:rStyle w:val="FootnoteReference"/>
        </w:rPr>
        <w:footnoteReference w:id="16"/>
      </w:r>
      <w:r>
        <w:t xml:space="preserve"> We </w:t>
      </w:r>
      <w:r w:rsidR="002B65C5">
        <w:t xml:space="preserve">also suggested that </w:t>
      </w:r>
      <w:r>
        <w:t>'NSPs can assess the viability of an insurer by reviewing its track record, size credit rating and reputation.'</w:t>
      </w:r>
      <w:r>
        <w:rPr>
          <w:rStyle w:val="FootnoteReference"/>
        </w:rPr>
        <w:footnoteReference w:id="17"/>
      </w:r>
    </w:p>
    <w:p w:rsidR="00F027EC" w:rsidRPr="00D42DA4" w:rsidRDefault="00F027EC" w:rsidP="00F027EC">
      <w:r>
        <w:t xml:space="preserve">TransGrid rejected our </w:t>
      </w:r>
      <w:r w:rsidR="00774BDB">
        <w:t xml:space="preserve">draft decision to </w:t>
      </w:r>
      <w:r w:rsidR="002B65C5">
        <w:t>reject</w:t>
      </w:r>
      <w:r w:rsidR="00774BDB">
        <w:t xml:space="preserve"> its</w:t>
      </w:r>
      <w:r>
        <w:t xml:space="preserve"> insurer default event.</w:t>
      </w:r>
      <w:r w:rsidR="007828C6">
        <w:rPr>
          <w:rStyle w:val="FootnoteReference"/>
        </w:rPr>
        <w:footnoteReference w:id="18"/>
      </w:r>
      <w:r>
        <w:t xml:space="preserve"> </w:t>
      </w:r>
    </w:p>
    <w:p w:rsidR="00F027EC" w:rsidRPr="00D42DA4" w:rsidRDefault="00F027EC" w:rsidP="00F027EC">
      <w:r w:rsidRPr="00D42DA4">
        <w:t xml:space="preserve">In </w:t>
      </w:r>
      <w:r>
        <w:t>its</w:t>
      </w:r>
      <w:r w:rsidRPr="00D42DA4">
        <w:t xml:space="preserve"> revised </w:t>
      </w:r>
      <w:r>
        <w:t xml:space="preserve">regulatory </w:t>
      </w:r>
      <w:r w:rsidRPr="00D42DA4">
        <w:t xml:space="preserve">proposal, </w:t>
      </w:r>
      <w:r>
        <w:t xml:space="preserve">TransGrid </w:t>
      </w:r>
      <w:r w:rsidR="00B27195">
        <w:t xml:space="preserve">submitted </w:t>
      </w:r>
      <w:r>
        <w:t>that t</w:t>
      </w:r>
      <w:r w:rsidRPr="00D42DA4">
        <w:t xml:space="preserve">he collapse of HIH </w:t>
      </w:r>
      <w:r>
        <w:t>Insurance was</w:t>
      </w:r>
      <w:r w:rsidRPr="00D42DA4">
        <w:t xml:space="preserve"> not foreseen by the market and that in the weeks prior to its collapse HIH still had an investment-grade rating</w:t>
      </w:r>
      <w:r>
        <w:t>.</w:t>
      </w:r>
      <w:r>
        <w:rPr>
          <w:rStyle w:val="FootnoteReference"/>
        </w:rPr>
        <w:footnoteReference w:id="19"/>
      </w:r>
      <w:r w:rsidRPr="00D42DA4">
        <w:t xml:space="preserve"> </w:t>
      </w:r>
    </w:p>
    <w:p w:rsidR="00F027EC" w:rsidRDefault="00F027EC" w:rsidP="00F027EC">
      <w:r>
        <w:lastRenderedPageBreak/>
        <w:t xml:space="preserve">We have considered the </w:t>
      </w:r>
      <w:r w:rsidRPr="00D42DA4">
        <w:t xml:space="preserve">example of </w:t>
      </w:r>
      <w:r>
        <w:t xml:space="preserve">HIH and how a similar event would impact </w:t>
      </w:r>
      <w:r w:rsidR="00A65E87">
        <w:t>TN</w:t>
      </w:r>
      <w:r>
        <w:t>SPs</w:t>
      </w:r>
      <w:r w:rsidRPr="00D42DA4">
        <w:t xml:space="preserve">. If </w:t>
      </w:r>
      <w:r>
        <w:t>a similar event</w:t>
      </w:r>
      <w:r w:rsidRPr="00D42DA4">
        <w:t xml:space="preserve"> were to occur </w:t>
      </w:r>
      <w:r>
        <w:t>in the 2015–1</w:t>
      </w:r>
      <w:r w:rsidR="000035F0">
        <w:t>8</w:t>
      </w:r>
      <w:r>
        <w:t xml:space="preserve"> regulatory control period</w:t>
      </w:r>
      <w:r w:rsidR="002B65C5">
        <w:t>,</w:t>
      </w:r>
      <w:r>
        <w:t xml:space="preserve"> the insurer may potentially still be unable to satisfy all insurance claims</w:t>
      </w:r>
      <w:r w:rsidR="002B65C5">
        <w:t xml:space="preserve"> even where a </w:t>
      </w:r>
      <w:r w:rsidR="002B65C5" w:rsidRPr="00A65E87">
        <w:t>TNSP</w:t>
      </w:r>
      <w:r w:rsidR="002B65C5">
        <w:t xml:space="preserve"> had adopted the mitigation strategies</w:t>
      </w:r>
      <w:r w:rsidR="002B65C5" w:rsidRPr="00D42DA4">
        <w:t xml:space="preserve"> we set out in our draft decision</w:t>
      </w:r>
      <w:r>
        <w:t xml:space="preserve">. The </w:t>
      </w:r>
      <w:r w:rsidR="00A65E87" w:rsidRPr="00A65E87">
        <w:t>TNSP</w:t>
      </w:r>
      <w:r>
        <w:t xml:space="preserve"> may therefore</w:t>
      </w:r>
      <w:r w:rsidRPr="00D42DA4">
        <w:t xml:space="preserve"> still </w:t>
      </w:r>
      <w:r>
        <w:t>potentially suffer</w:t>
      </w:r>
      <w:r w:rsidRPr="00D42DA4">
        <w:t xml:space="preserve"> a significant loss</w:t>
      </w:r>
      <w:r w:rsidR="00D858C6" w:rsidRPr="00D858C6">
        <w:t xml:space="preserve"> </w:t>
      </w:r>
      <w:r w:rsidR="00D858C6">
        <w:t>as a consequence of an insurer becoming insolvent and thereby unable to satisfy all insurance claims</w:t>
      </w:r>
      <w:r w:rsidR="00D858C6" w:rsidRPr="00D42DA4">
        <w:t>.</w:t>
      </w:r>
      <w:r w:rsidR="00D858C6">
        <w:t xml:space="preserve"> </w:t>
      </w:r>
      <w:r w:rsidRPr="00D42DA4">
        <w:t xml:space="preserve"> </w:t>
      </w:r>
      <w:r w:rsidR="00A65E87" w:rsidRPr="00A65E87">
        <w:t>TNSP</w:t>
      </w:r>
      <w:r>
        <w:t xml:space="preserve">s are also limited </w:t>
      </w:r>
      <w:r w:rsidR="003D2DED">
        <w:t xml:space="preserve">in the extent to which they can avoid such losses, short of taking out multiple insurance policies to cover the same risks. We accept that the options available to </w:t>
      </w:r>
      <w:r w:rsidR="005B0836">
        <w:t>T</w:t>
      </w:r>
      <w:r w:rsidR="003D2DED">
        <w:t>NSPs to manage these risks are limited and, given the rarity of such events, may in fact result in greater expenditure than is prudent or efficient.</w:t>
      </w:r>
    </w:p>
    <w:p w:rsidR="00301C0B" w:rsidRDefault="00301C0B" w:rsidP="00F027EC">
      <w:r>
        <w:t xml:space="preserve">We therefore agree that, subject to the comments below, an 'insurer's credit risk event' can be consistent with the nominated pass through considerations. </w:t>
      </w:r>
    </w:p>
    <w:p w:rsidR="00F027EC" w:rsidRDefault="00EC52F7" w:rsidP="00F027EC">
      <w:r>
        <w:t xml:space="preserve">We also do not consider that this pass through will weaken incentives for TNSPs to take out prudent insurance if appropriate balances are included in its definition. </w:t>
      </w:r>
      <w:r w:rsidR="00F027EC">
        <w:t xml:space="preserve">We consider a targeted </w:t>
      </w:r>
      <w:r w:rsidR="001C38CC">
        <w:t xml:space="preserve">definition </w:t>
      </w:r>
      <w:r w:rsidR="00F027EC">
        <w:t>of this event</w:t>
      </w:r>
      <w:r w:rsidR="00301C0B">
        <w:t xml:space="preserve"> that</w:t>
      </w:r>
      <w:r>
        <w:t xml:space="preserve"> highlights the importance of TransGrid reviewing and considering the viability of its selected insurer will maintain incentives on TransGrid to take prudent and efficient actions in relation to insurance. </w:t>
      </w:r>
    </w:p>
    <w:p w:rsidR="00F33255" w:rsidRDefault="00AC1931" w:rsidP="00AC1931">
      <w:r w:rsidRPr="00AC1931">
        <w:t xml:space="preserve">We consulted with </w:t>
      </w:r>
      <w:r>
        <w:t>TransGrid</w:t>
      </w:r>
      <w:r w:rsidRPr="00AC1931">
        <w:t xml:space="preserve"> on an appropriate definition for this event.</w:t>
      </w:r>
      <w:r>
        <w:rPr>
          <w:rStyle w:val="FootnoteReference"/>
        </w:rPr>
        <w:footnoteReference w:id="20"/>
      </w:r>
      <w:r w:rsidRPr="00AC1931">
        <w:t xml:space="preserve"> </w:t>
      </w:r>
      <w:r>
        <w:t xml:space="preserve">TransGrid stated that the proposed rewording of the event was reasonable except for the words "amongst other things" included in the Note. </w:t>
      </w:r>
      <w:r w:rsidR="007D0492">
        <w:t xml:space="preserve">TransGrid </w:t>
      </w:r>
      <w:r w:rsidR="00B27195">
        <w:t xml:space="preserve">submitted </w:t>
      </w:r>
      <w:r w:rsidR="007D0492">
        <w:t xml:space="preserve">that these words are too broad and do not provide sufficient guidance in the factors that will be considered by us in the event of a pass through application. </w:t>
      </w:r>
    </w:p>
    <w:p w:rsidR="007D0492" w:rsidRDefault="00F33255" w:rsidP="00AC1931">
      <w:r>
        <w:t>W</w:t>
      </w:r>
      <w:r w:rsidR="007D0492">
        <w:t xml:space="preserve">e do not </w:t>
      </w:r>
      <w:r w:rsidR="00B27195">
        <w:t>accept TransGrid's submission</w:t>
      </w:r>
      <w:r w:rsidR="007D0492">
        <w:t xml:space="preserve">. Clause 6A.7.3(j) details the relevant factors that we must take into account when considering a pass through application, and clause 6A.7.3(j)(7) </w:t>
      </w:r>
      <w:r w:rsidR="00B27195">
        <w:t>expressly provides</w:t>
      </w:r>
      <w:r w:rsidR="007D0492">
        <w:t xml:space="preserve"> that we must take into account any other factors the AER considers relevant. </w:t>
      </w:r>
      <w:r w:rsidR="000F24CD">
        <w:t>The notes detailed</w:t>
      </w:r>
      <w:r w:rsidR="007D0492">
        <w:t xml:space="preserve"> in the definition are to provide further clarity to all parties</w:t>
      </w:r>
      <w:r w:rsidR="000F24CD">
        <w:t>, but are</w:t>
      </w:r>
      <w:r w:rsidR="007D0492">
        <w:t xml:space="preserve"> not intended to limit clause </w:t>
      </w:r>
      <w:r w:rsidR="007D0492" w:rsidRPr="007D0492">
        <w:t>6A.7.3(j)(7)</w:t>
      </w:r>
      <w:r w:rsidR="007D0492">
        <w:t>.</w:t>
      </w:r>
    </w:p>
    <w:p w:rsidR="00AC1931" w:rsidRPr="00AC1931" w:rsidRDefault="007D0492" w:rsidP="00AC1931">
      <w:r>
        <w:t>W</w:t>
      </w:r>
      <w:r w:rsidR="00AC1931" w:rsidRPr="00AC1931">
        <w:t xml:space="preserve">e have </w:t>
      </w:r>
      <w:r>
        <w:t xml:space="preserve">also </w:t>
      </w:r>
      <w:r w:rsidR="00AC1931" w:rsidRPr="00AC1931">
        <w:t>clarified</w:t>
      </w:r>
      <w:r>
        <w:t xml:space="preserve"> that the definition </w:t>
      </w:r>
      <w:r w:rsidR="00AC1931" w:rsidRPr="00AC1931">
        <w:t xml:space="preserve">may allow </w:t>
      </w:r>
      <w:r w:rsidR="00AC1931">
        <w:t>TransGrid</w:t>
      </w:r>
      <w:r w:rsidR="00AC1931" w:rsidRPr="00AC1931">
        <w:t xml:space="preserve"> to pass through claims that would have been made immediately after the insurer became insolvent and</w:t>
      </w:r>
      <w:r w:rsidR="00AC1931">
        <w:t xml:space="preserve"> prior to TransGrid having</w:t>
      </w:r>
      <w:r w:rsidR="00AC1931" w:rsidRPr="00AC1931">
        <w:t xml:space="preserve"> had a reasonable opportunity to acquire new insurance for those risks. This amendment maintains an incentive on </w:t>
      </w:r>
      <w:r w:rsidR="00AC1931">
        <w:t>TransGrid</w:t>
      </w:r>
      <w:r w:rsidR="00AC1931" w:rsidRPr="00AC1931">
        <w:t xml:space="preserve"> to acquire new insurance as soon as reasonably possible after an insurance provider becomes insolvent.</w:t>
      </w:r>
    </w:p>
    <w:p w:rsidR="00F027EC" w:rsidRDefault="00F027EC" w:rsidP="00F027EC">
      <w:r>
        <w:t>The definition of this event is in</w:t>
      </w:r>
      <w:r w:rsidR="009701F8">
        <w:t xml:space="preserve"> </w:t>
      </w:r>
      <w:r w:rsidR="009701F8">
        <w:fldChar w:fldCharType="begin"/>
      </w:r>
      <w:r w:rsidR="009701F8">
        <w:instrText xml:space="preserve"> REF _Ref414014049 \h </w:instrText>
      </w:r>
      <w:r w:rsidR="009701F8">
        <w:fldChar w:fldCharType="separate"/>
      </w:r>
      <w:r w:rsidR="00A60CA9">
        <w:t xml:space="preserve">Table </w:t>
      </w:r>
      <w:r w:rsidR="00A60CA9">
        <w:rPr>
          <w:noProof/>
        </w:rPr>
        <w:t>13</w:t>
      </w:r>
      <w:r w:rsidR="00A60CA9">
        <w:t>.</w:t>
      </w:r>
      <w:r w:rsidR="00A60CA9">
        <w:rPr>
          <w:noProof/>
        </w:rPr>
        <w:t>1</w:t>
      </w:r>
      <w:r w:rsidR="009701F8">
        <w:fldChar w:fldCharType="end"/>
      </w:r>
      <w:r>
        <w:t xml:space="preserve">. </w:t>
      </w:r>
    </w:p>
    <w:p w:rsidR="00BB28F2" w:rsidRDefault="00202891" w:rsidP="00202891">
      <w:pPr>
        <w:pStyle w:val="Heading3"/>
      </w:pPr>
      <w:bookmarkStart w:id="23" w:name="_Toc414446286"/>
      <w:r>
        <w:t>Terrorism event</w:t>
      </w:r>
      <w:bookmarkEnd w:id="23"/>
    </w:p>
    <w:p w:rsidR="002E1D91" w:rsidRDefault="00796E2B" w:rsidP="00565D43">
      <w:r>
        <w:lastRenderedPageBreak/>
        <w:t xml:space="preserve">In its initial proposal TransGrid proposed a terrorism event. </w:t>
      </w:r>
      <w:r w:rsidR="002E1D91">
        <w:t>This pass through event</w:t>
      </w:r>
      <w:r w:rsidR="003679F7">
        <w:t xml:space="preserve"> would</w:t>
      </w:r>
      <w:r w:rsidR="002E1D91">
        <w:t xml:space="preserve"> </w:t>
      </w:r>
      <w:r w:rsidR="003679F7">
        <w:t>allow</w:t>
      </w:r>
      <w:r w:rsidR="002E1D91">
        <w:t xml:space="preserve"> TransGrid to apply to pass through costs associated with terrorism events</w:t>
      </w:r>
      <w:r w:rsidR="005E0372">
        <w:t xml:space="preserve"> to consumers</w:t>
      </w:r>
      <w:r w:rsidR="002E1D91">
        <w:t xml:space="preserve">. </w:t>
      </w:r>
    </w:p>
    <w:p w:rsidR="003679F7" w:rsidRDefault="003679F7" w:rsidP="00565D43">
      <w:r>
        <w:t>In our draft decision we rejected TransGrid's definition of this event, and substituted</w:t>
      </w:r>
      <w:r w:rsidR="00796E2B">
        <w:t xml:space="preserve"> it with</w:t>
      </w:r>
      <w:r>
        <w:t xml:space="preserve"> our own. </w:t>
      </w:r>
    </w:p>
    <w:p w:rsidR="007828C6" w:rsidRDefault="000C4F46" w:rsidP="00565D43">
      <w:r>
        <w:t>TransGrid</w:t>
      </w:r>
      <w:r w:rsidR="007828C6">
        <w:t>'s revised proposal adopted our definition, and asked that we also</w:t>
      </w:r>
      <w:r>
        <w:t xml:space="preserve"> expressly state in the definition of the terrorism event, that the Australian Reinsurance Pool under the </w:t>
      </w:r>
      <w:r w:rsidR="00966B83" w:rsidRPr="00966B83">
        <w:rPr>
          <w:rStyle w:val="AERtextitalic"/>
        </w:rPr>
        <w:t>Terrorism</w:t>
      </w:r>
      <w:r w:rsidRPr="00966B83">
        <w:rPr>
          <w:rStyle w:val="AERtextitalic"/>
        </w:rPr>
        <w:t xml:space="preserve"> Insurance Act 2003</w:t>
      </w:r>
      <w:r>
        <w:t xml:space="preserve"> is insurance against the event.</w:t>
      </w:r>
      <w:r w:rsidR="007828C6">
        <w:t xml:space="preserve"> This is consistent with the intent of our draft decision.</w:t>
      </w:r>
      <w:r w:rsidR="007828C6">
        <w:rPr>
          <w:rStyle w:val="FootnoteReference"/>
        </w:rPr>
        <w:footnoteReference w:id="21"/>
      </w:r>
      <w:r w:rsidR="007828C6">
        <w:t xml:space="preserve"> </w:t>
      </w:r>
    </w:p>
    <w:p w:rsidR="00966B83" w:rsidRPr="00565D43" w:rsidRDefault="00966B83" w:rsidP="00565D43">
      <w:r>
        <w:t xml:space="preserve">We accept TransGrid's proposal and have expressly referred to the Australian Reinsurance Pool in the definition of the terrorism event. </w:t>
      </w:r>
      <w:r w:rsidR="009701F8">
        <w:t xml:space="preserve">The definition of this event is in </w:t>
      </w:r>
      <w:r w:rsidR="009701F8">
        <w:fldChar w:fldCharType="begin"/>
      </w:r>
      <w:r w:rsidR="009701F8">
        <w:instrText xml:space="preserve"> REF _Ref414014049 \h </w:instrText>
      </w:r>
      <w:r w:rsidR="009701F8">
        <w:fldChar w:fldCharType="separate"/>
      </w:r>
      <w:r w:rsidR="00A60CA9">
        <w:t xml:space="preserve">Table </w:t>
      </w:r>
      <w:r w:rsidR="00A60CA9">
        <w:rPr>
          <w:noProof/>
        </w:rPr>
        <w:t>13</w:t>
      </w:r>
      <w:r w:rsidR="00A60CA9">
        <w:t>.</w:t>
      </w:r>
      <w:r w:rsidR="00A60CA9">
        <w:rPr>
          <w:noProof/>
        </w:rPr>
        <w:t>1</w:t>
      </w:r>
      <w:r w:rsidR="009701F8">
        <w:fldChar w:fldCharType="end"/>
      </w:r>
      <w:r w:rsidR="009701F8">
        <w:t>.</w:t>
      </w:r>
    </w:p>
    <w:p w:rsidR="00202891" w:rsidRDefault="00202891" w:rsidP="00202891">
      <w:pPr>
        <w:pStyle w:val="Heading3"/>
      </w:pPr>
      <w:bookmarkStart w:id="24" w:name="_Toc414446287"/>
      <w:r>
        <w:t>Cyber-related</w:t>
      </w:r>
      <w:r w:rsidR="009514FB">
        <w:t xml:space="preserve"> external</w:t>
      </w:r>
      <w:r>
        <w:t xml:space="preserve"> attack event</w:t>
      </w:r>
      <w:bookmarkEnd w:id="24"/>
    </w:p>
    <w:p w:rsidR="003679F7" w:rsidRDefault="00C8156F" w:rsidP="003679F7">
      <w:r>
        <w:t xml:space="preserve">TransGrid proposed this </w:t>
      </w:r>
      <w:r w:rsidR="003679F7">
        <w:t xml:space="preserve">pass through event </w:t>
      </w:r>
      <w:r>
        <w:t xml:space="preserve">which </w:t>
      </w:r>
      <w:r w:rsidR="003679F7">
        <w:t xml:space="preserve">would allow </w:t>
      </w:r>
      <w:r w:rsidR="004B63CF">
        <w:t xml:space="preserve">it </w:t>
      </w:r>
      <w:r w:rsidR="003679F7">
        <w:t>to apply to pass through costs to consumers associated with cyber-related external attacks.</w:t>
      </w:r>
      <w:r w:rsidR="002F3E2D">
        <w:rPr>
          <w:rStyle w:val="FootnoteReference"/>
        </w:rPr>
        <w:footnoteReference w:id="22"/>
      </w:r>
      <w:r w:rsidR="003679F7">
        <w:t xml:space="preserve"> </w:t>
      </w:r>
      <w:r w:rsidR="00333AC3">
        <w:t>Cyber-related attacks that are as a result of a terrorist act could possibly be passed through to consumers through the terrorism event.</w:t>
      </w:r>
    </w:p>
    <w:p w:rsidR="00A6124A" w:rsidRDefault="00780E7B" w:rsidP="00565D43">
      <w:r>
        <w:t xml:space="preserve">In our draft decision we rejected the cyber-related </w:t>
      </w:r>
      <w:r w:rsidR="00FA46A3">
        <w:t xml:space="preserve">external </w:t>
      </w:r>
      <w:r>
        <w:t>attac</w:t>
      </w:r>
      <w:r w:rsidR="00FA46A3">
        <w:t>k</w:t>
      </w:r>
      <w:r>
        <w:t xml:space="preserve"> event</w:t>
      </w:r>
      <w:r w:rsidR="00F5552B">
        <w:t xml:space="preserve"> because</w:t>
      </w:r>
      <w:r w:rsidR="00A6124A">
        <w:t>:</w:t>
      </w:r>
    </w:p>
    <w:p w:rsidR="00A6124A" w:rsidRDefault="00A6124A" w:rsidP="00A6124A">
      <w:pPr>
        <w:pStyle w:val="AERbulletlistfirststyle"/>
      </w:pPr>
      <w:r>
        <w:t>we d</w:t>
      </w:r>
      <w:r w:rsidR="00301C0B">
        <w:t>id</w:t>
      </w:r>
      <w:r>
        <w:t xml:space="preserve"> not consider the event is clearly defined</w:t>
      </w:r>
    </w:p>
    <w:p w:rsidR="00A6124A" w:rsidRDefault="00A6124A" w:rsidP="00A6124A">
      <w:pPr>
        <w:pStyle w:val="AERbulletlistfirststyle"/>
      </w:pPr>
      <w:r>
        <w:t>TransGrid did not provide detailed explanation of steps it has taken to prevent or mitigate such an attack from occurring, and</w:t>
      </w:r>
    </w:p>
    <w:p w:rsidR="00A6124A" w:rsidRDefault="00A6124A" w:rsidP="00A6124A">
      <w:pPr>
        <w:pStyle w:val="AERbulletlistfirststyle"/>
      </w:pPr>
      <w:r>
        <w:t>TransGrid did not satisfactorily explain why insurance would not be available.</w:t>
      </w:r>
      <w:r>
        <w:rPr>
          <w:rStyle w:val="FootnoteReference"/>
        </w:rPr>
        <w:footnoteReference w:id="23"/>
      </w:r>
      <w:r>
        <w:t xml:space="preserve"> </w:t>
      </w:r>
    </w:p>
    <w:p w:rsidR="00565D43" w:rsidRDefault="00F5552B" w:rsidP="00A6124A">
      <w:r>
        <w:t>TransGrid did not accept this in its revised proposal.</w:t>
      </w:r>
    </w:p>
    <w:p w:rsidR="00333AC3" w:rsidRDefault="009514FB" w:rsidP="00565D43">
      <w:r>
        <w:t>In its revised proposal TransGrid stated</w:t>
      </w:r>
      <w:r w:rsidR="005E0372">
        <w:t xml:space="preserve"> that</w:t>
      </w:r>
      <w:r>
        <w:t xml:space="preserve"> the main cyber-related risk</w:t>
      </w:r>
      <w:r w:rsidR="00825B33">
        <w:t>s</w:t>
      </w:r>
      <w:r>
        <w:t xml:space="preserve"> it is referring to are those that may impact the high voltage electricity network.</w:t>
      </w:r>
      <w:r w:rsidR="00F5552B">
        <w:rPr>
          <w:rStyle w:val="FootnoteReference"/>
        </w:rPr>
        <w:footnoteReference w:id="24"/>
      </w:r>
      <w:r w:rsidR="00825B33">
        <w:t xml:space="preserve"> </w:t>
      </w:r>
      <w:r w:rsidR="00F5552B">
        <w:t>However, t</w:t>
      </w:r>
      <w:r w:rsidR="00825B33">
        <w:t>his additional information does not provide detailed explanation of the specific risk that TransGrid is referring to</w:t>
      </w:r>
      <w:r w:rsidR="005E0372">
        <w:t>, why it is a high cost risk</w:t>
      </w:r>
      <w:r w:rsidR="00825B33">
        <w:t xml:space="preserve"> and why it cannot take actions to prevent and mitigate the risk.</w:t>
      </w:r>
      <w:r w:rsidR="00333AC3">
        <w:rPr>
          <w:rStyle w:val="FootnoteReference"/>
        </w:rPr>
        <w:footnoteReference w:id="25"/>
      </w:r>
      <w:r w:rsidR="00825B33">
        <w:t xml:space="preserve"> A broad range of events could </w:t>
      </w:r>
      <w:r w:rsidR="00301C0B">
        <w:t xml:space="preserve">still </w:t>
      </w:r>
      <w:r w:rsidR="00825B33">
        <w:t xml:space="preserve">fall within this description. </w:t>
      </w:r>
    </w:p>
    <w:p w:rsidR="00825B33" w:rsidRDefault="00FA46A3" w:rsidP="00565D43">
      <w:r>
        <w:t>TransGrid</w:t>
      </w:r>
      <w:r w:rsidR="00825B33">
        <w:t xml:space="preserve"> also</w:t>
      </w:r>
      <w:r>
        <w:t xml:space="preserve"> states in its revised proposal that it continues to explore the possible relevant insurance covers available.</w:t>
      </w:r>
      <w:r w:rsidR="00F5552B">
        <w:rPr>
          <w:rStyle w:val="FootnoteReference"/>
        </w:rPr>
        <w:footnoteReference w:id="26"/>
      </w:r>
      <w:r>
        <w:t xml:space="preserve"> However, we do not consider this provides </w:t>
      </w:r>
      <w:r>
        <w:lastRenderedPageBreak/>
        <w:t>sufficient information to address why insurance is not available. We consider that insurance is an important consideration to limit the impact of the event.</w:t>
      </w:r>
      <w:r w:rsidR="00333AC3">
        <w:rPr>
          <w:rStyle w:val="FootnoteReference"/>
        </w:rPr>
        <w:footnoteReference w:id="27"/>
      </w:r>
      <w:r>
        <w:t xml:space="preserve"> </w:t>
      </w:r>
    </w:p>
    <w:p w:rsidR="00825B33" w:rsidRDefault="00825B33" w:rsidP="00825B33">
      <w:r>
        <w:t xml:space="preserve">TransGrid is also provided an allowance for IT expenditure that should be used, in part, for securing its assets from such an event. </w:t>
      </w:r>
    </w:p>
    <w:p w:rsidR="009514FB" w:rsidRDefault="00C8156F" w:rsidP="00565D43">
      <w:r>
        <w:t>Consistent with the regulatory incentive framework, we consider that i</w:t>
      </w:r>
      <w:r w:rsidR="00FA46A3">
        <w:t xml:space="preserve">f there is too much reliance on ex-post measures TransGrid has disincentives to take prudent actions to manage the risk in the first place. The potential to recover costs by way of a pass through should not form the basis of any risk management decision by TransGrid. </w:t>
      </w:r>
    </w:p>
    <w:p w:rsidR="00FA46A3" w:rsidRPr="00565D43" w:rsidRDefault="00825B33" w:rsidP="00565D43">
      <w:r>
        <w:t xml:space="preserve">We maintain our view that TransGrid is in a better position </w:t>
      </w:r>
      <w:r w:rsidR="00577BD0">
        <w:t xml:space="preserve">than consumers </w:t>
      </w:r>
      <w:r>
        <w:t>to prevent and mitigate the costs associated with such an event.</w:t>
      </w:r>
      <w:r w:rsidR="00333AC3">
        <w:rPr>
          <w:rStyle w:val="FootnoteReference"/>
        </w:rPr>
        <w:footnoteReference w:id="28"/>
      </w:r>
      <w:r>
        <w:t xml:space="preserve"> </w:t>
      </w:r>
      <w:r w:rsidR="00FA46A3">
        <w:t xml:space="preserve">We therefore reject TransGrid's proposed cyber-related external attack event. </w:t>
      </w:r>
    </w:p>
    <w:p w:rsidR="00202891" w:rsidRDefault="00202891" w:rsidP="00202891">
      <w:pPr>
        <w:pStyle w:val="Heading3"/>
      </w:pPr>
      <w:bookmarkStart w:id="25" w:name="_Toc414446288"/>
      <w:r>
        <w:t>Gradual environmental contamination event</w:t>
      </w:r>
      <w:bookmarkEnd w:id="25"/>
    </w:p>
    <w:p w:rsidR="00BB28F2" w:rsidRDefault="00C8156F" w:rsidP="00BB28F2">
      <w:r>
        <w:t>TransGrid proposed t</w:t>
      </w:r>
      <w:r w:rsidR="005E0372">
        <w:t xml:space="preserve">his event </w:t>
      </w:r>
      <w:r>
        <w:t xml:space="preserve">which </w:t>
      </w:r>
      <w:r w:rsidR="005E0372">
        <w:t>would allow TransGrid to recover the costs associated with gradual environmental damage.</w:t>
      </w:r>
      <w:r w:rsidR="00F5552B">
        <w:rPr>
          <w:rStyle w:val="FootnoteReference"/>
        </w:rPr>
        <w:footnoteReference w:id="29"/>
      </w:r>
      <w:r w:rsidR="005E0372">
        <w:t xml:space="preserve"> </w:t>
      </w:r>
    </w:p>
    <w:p w:rsidR="00A6124A" w:rsidRDefault="00247824" w:rsidP="00BB28F2">
      <w:r>
        <w:t>In our draft decision we rejected this event</w:t>
      </w:r>
      <w:r w:rsidR="00F5552B">
        <w:t xml:space="preserve"> because</w:t>
      </w:r>
      <w:r w:rsidR="00A6124A">
        <w:t>:</w:t>
      </w:r>
    </w:p>
    <w:p w:rsidR="00A6124A" w:rsidRDefault="009131A1" w:rsidP="00A6124A">
      <w:pPr>
        <w:pStyle w:val="AERbulletlistfirststyle"/>
      </w:pPr>
      <w:r>
        <w:t>t</w:t>
      </w:r>
      <w:r w:rsidR="00A6124A">
        <w:t>he event is not clearly defined</w:t>
      </w:r>
    </w:p>
    <w:p w:rsidR="00A6124A" w:rsidRDefault="00A6124A" w:rsidP="00A6124A">
      <w:pPr>
        <w:pStyle w:val="AERbulletlistfirststyle"/>
      </w:pPr>
      <w:r>
        <w:t xml:space="preserve">TransGrid did not provide detailed explanation of steps it has taken to prevent or mitigate such an attack from occurring, nor has it demonstrated any processes it has implemented to make itself aware of the </w:t>
      </w:r>
      <w:r w:rsidR="00FF250C">
        <w:t>risks</w:t>
      </w:r>
      <w:r>
        <w:t xml:space="preserve"> and therefore better able to mitigate the risks of the event occurring </w:t>
      </w:r>
    </w:p>
    <w:p w:rsidR="00A6124A" w:rsidRDefault="009131A1" w:rsidP="00A6124A">
      <w:pPr>
        <w:pStyle w:val="AERbulletlistfirststyle"/>
      </w:pPr>
      <w:r>
        <w:t>t</w:t>
      </w:r>
      <w:r w:rsidR="00A6124A">
        <w:t xml:space="preserve">he proposed event would allow TransGrid to recover costs of events caused by TransGrid and could allow </w:t>
      </w:r>
      <w:r w:rsidR="004B63CF">
        <w:t xml:space="preserve">it </w:t>
      </w:r>
      <w:r w:rsidR="00A6124A">
        <w:t>to have disregard for the consequences of its actions today, and</w:t>
      </w:r>
    </w:p>
    <w:p w:rsidR="00247824" w:rsidRDefault="00A6124A" w:rsidP="00A6124A">
      <w:pPr>
        <w:pStyle w:val="AERbulletlistfirststyle"/>
      </w:pPr>
      <w:r>
        <w:t>TransGrid has not explained why it cannot obtain insurance for the event</w:t>
      </w:r>
      <w:r w:rsidR="00247824">
        <w:t>.</w:t>
      </w:r>
      <w:r>
        <w:rPr>
          <w:rStyle w:val="FootnoteReference"/>
        </w:rPr>
        <w:footnoteReference w:id="30"/>
      </w:r>
      <w:r w:rsidR="00247824">
        <w:t xml:space="preserve"> </w:t>
      </w:r>
    </w:p>
    <w:p w:rsidR="00247824" w:rsidRDefault="00247824" w:rsidP="00BB28F2">
      <w:r>
        <w:t xml:space="preserve">In its revised proposal TransGrid has confirmed that </w:t>
      </w:r>
      <w:r w:rsidR="00F5552B">
        <w:t>its</w:t>
      </w:r>
      <w:r>
        <w:t xml:space="preserve"> current, and previous, insurance arrangements do not cover gradual environmental damage.</w:t>
      </w:r>
      <w:r w:rsidR="00F5552B">
        <w:rPr>
          <w:rStyle w:val="FootnoteReference"/>
        </w:rPr>
        <w:footnoteReference w:id="31"/>
      </w:r>
      <w:r>
        <w:t xml:space="preserve"> It also states that while some forms of environmental pollution coverage are available, TransGrid has not taken this cover as it has been relatively narrow and at a high premium.</w:t>
      </w:r>
      <w:r w:rsidR="00A567B1">
        <w:rPr>
          <w:rStyle w:val="FootnoteReference"/>
        </w:rPr>
        <w:footnoteReference w:id="32"/>
      </w:r>
      <w:r>
        <w:t xml:space="preserve"> </w:t>
      </w:r>
    </w:p>
    <w:p w:rsidR="00247824" w:rsidRDefault="00301C0B" w:rsidP="00BB28F2">
      <w:r>
        <w:t>Nonetheless, i</w:t>
      </w:r>
      <w:r w:rsidR="00247824">
        <w:t>n its revised proposal TransGrid has not been able to clearly define the event</w:t>
      </w:r>
      <w:r w:rsidR="003E782E">
        <w:t>. N</w:t>
      </w:r>
      <w:r w:rsidR="00247824">
        <w:t xml:space="preserve">or has it demonstrated that it has implemented any processes to make itself </w:t>
      </w:r>
      <w:r w:rsidR="00247824">
        <w:lastRenderedPageBreak/>
        <w:t>aware of environmental concerns and therefore prevent or mitigate the risk from occurring.</w:t>
      </w:r>
      <w:r w:rsidR="00A567B1">
        <w:rPr>
          <w:rStyle w:val="FootnoteReference"/>
        </w:rPr>
        <w:footnoteReference w:id="33"/>
      </w:r>
      <w:r w:rsidR="00247824">
        <w:t xml:space="preserve"> </w:t>
      </w:r>
    </w:p>
    <w:p w:rsidR="003E782E" w:rsidRDefault="003E782E" w:rsidP="00BB28F2">
      <w:r>
        <w:t xml:space="preserve">Therefore we do not consider transferring the risk of a gradual environmental contamination event to consumers is appropriate, or the most efficient outcome. We consider TransGrid should face incentives to actively prevent, manage and mitigate such an event from occurring. </w:t>
      </w:r>
    </w:p>
    <w:p w:rsidR="003E782E" w:rsidRDefault="003E782E" w:rsidP="00BB28F2">
      <w:r>
        <w:t>Our final decision is therefore to reject this event.</w:t>
      </w:r>
    </w:p>
    <w:p w:rsidR="00247824" w:rsidRDefault="00247824" w:rsidP="00BB28F2"/>
    <w:sectPr w:rsidR="00247824"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C0B" w:rsidRPr="00290C63" w:rsidRDefault="00301C0B" w:rsidP="00290C63">
      <w:r>
        <w:separator/>
      </w:r>
    </w:p>
    <w:p w:rsidR="00301C0B" w:rsidRDefault="00301C0B"/>
  </w:endnote>
  <w:endnote w:type="continuationSeparator" w:id="0">
    <w:p w:rsidR="00301C0B" w:rsidRPr="00290C63" w:rsidRDefault="00301C0B" w:rsidP="00290C63">
      <w:r>
        <w:continuationSeparator/>
      </w:r>
    </w:p>
    <w:p w:rsidR="00301C0B" w:rsidRDefault="00301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B" w:rsidRPr="00290C63" w:rsidRDefault="00301C0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01C0B" w:rsidRDefault="00301C0B"/>
  <w:p w:rsidR="00301C0B" w:rsidRDefault="00301C0B"/>
  <w:p w:rsidR="00301C0B" w:rsidRDefault="00301C0B"/>
  <w:p w:rsidR="00301C0B" w:rsidRDefault="00301C0B"/>
  <w:p w:rsidR="00301C0B" w:rsidRDefault="00301C0B"/>
  <w:p w:rsidR="00301C0B" w:rsidRDefault="00301C0B"/>
  <w:p w:rsidR="00301C0B" w:rsidRDefault="00301C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03327"/>
      <w:docPartObj>
        <w:docPartGallery w:val="Page Numbers (Bottom of Page)"/>
        <w:docPartUnique/>
      </w:docPartObj>
    </w:sdtPr>
    <w:sdtEndPr>
      <w:rPr>
        <w:noProof/>
        <w:sz w:val="16"/>
        <w:szCs w:val="16"/>
      </w:rPr>
    </w:sdtEndPr>
    <w:sdtContent>
      <w:p w:rsidR="00301C0B" w:rsidRDefault="00301C0B">
        <w:pPr>
          <w:pStyle w:val="Footer"/>
        </w:pPr>
        <w:r>
          <w:fldChar w:fldCharType="begin"/>
        </w:r>
        <w:r>
          <w:instrText xml:space="preserve"> PAGE   \* MERGEFORMAT </w:instrText>
        </w:r>
        <w:r>
          <w:fldChar w:fldCharType="separate"/>
        </w:r>
        <w:r w:rsidR="00A60CA9">
          <w:rPr>
            <w:noProof/>
          </w:rPr>
          <w:t>13-6</w:t>
        </w:r>
        <w:r>
          <w:rPr>
            <w:noProof/>
          </w:rPr>
          <w:fldChar w:fldCharType="end"/>
        </w:r>
        <w:r>
          <w:rPr>
            <w:noProof/>
          </w:rPr>
          <w:t xml:space="preserve">          </w:t>
        </w:r>
        <w:r w:rsidRPr="00FD5E78">
          <w:rPr>
            <w:noProof/>
            <w:sz w:val="16"/>
            <w:szCs w:val="16"/>
          </w:rPr>
          <w:t xml:space="preserve">Attachment </w:t>
        </w:r>
        <w:r>
          <w:rPr>
            <w:noProof/>
            <w:sz w:val="16"/>
            <w:szCs w:val="16"/>
          </w:rPr>
          <w:t>13</w:t>
        </w:r>
        <w:r w:rsidRPr="00FD5E78">
          <w:rPr>
            <w:noProof/>
            <w:sz w:val="16"/>
            <w:szCs w:val="16"/>
          </w:rPr>
          <w:t xml:space="preserve"> </w:t>
        </w:r>
        <w:r w:rsidRPr="00FD5E78">
          <w:rPr>
            <w:rFonts w:cs="Gautami"/>
            <w:noProof/>
            <w:sz w:val="16"/>
            <w:szCs w:val="16"/>
          </w:rPr>
          <w:t xml:space="preserve">– </w:t>
        </w:r>
        <w:r>
          <w:rPr>
            <w:sz w:val="16"/>
            <w:szCs w:val="16"/>
          </w:rPr>
          <w:t>Pass through events</w:t>
        </w:r>
        <w:r w:rsidRPr="00FD5E78">
          <w:rPr>
            <w:rFonts w:cs="Gautami"/>
            <w:noProof/>
            <w:sz w:val="16"/>
            <w:szCs w:val="16"/>
          </w:rPr>
          <w:t xml:space="preserve"> | Final decision </w:t>
        </w:r>
        <w:r w:rsidRPr="00FD5E78">
          <w:rPr>
            <w:sz w:val="16"/>
            <w:szCs w:val="16"/>
          </w:rPr>
          <w:t>TransGrid transmission</w:t>
        </w:r>
        <w:r w:rsidRPr="00FD5E78">
          <w:rPr>
            <w:rFonts w:cs="Gautami"/>
            <w:noProof/>
            <w:sz w:val="16"/>
            <w:szCs w:val="16"/>
          </w:rPr>
          <w:t xml:space="preserve"> determination 2015–18</w:t>
        </w:r>
      </w:p>
    </w:sdtContent>
  </w:sdt>
  <w:p w:rsidR="00301C0B" w:rsidRDefault="00301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C0B" w:rsidRPr="00290C63" w:rsidRDefault="00301C0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01C0B" w:rsidRDefault="00301C0B">
    <w:pPr>
      <w:pStyle w:val="Footer"/>
    </w:pPr>
  </w:p>
  <w:p w:rsidR="00301C0B" w:rsidRDefault="00301C0B"/>
  <w:p w:rsidR="00301C0B" w:rsidRDefault="00301C0B"/>
  <w:p w:rsidR="00301C0B" w:rsidRDefault="00301C0B"/>
  <w:p w:rsidR="00301C0B" w:rsidRDefault="00301C0B"/>
  <w:p w:rsidR="00301C0B" w:rsidRDefault="00301C0B"/>
  <w:p w:rsidR="00301C0B" w:rsidRDefault="00301C0B"/>
  <w:p w:rsidR="00301C0B" w:rsidRDefault="00301C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C0B" w:rsidRPr="00290C63" w:rsidRDefault="00301C0B" w:rsidP="00290C63">
      <w:r>
        <w:separator/>
      </w:r>
    </w:p>
    <w:p w:rsidR="00301C0B" w:rsidRDefault="00301C0B"/>
  </w:footnote>
  <w:footnote w:type="continuationSeparator" w:id="0">
    <w:p w:rsidR="00301C0B" w:rsidRPr="00290C63" w:rsidRDefault="00301C0B" w:rsidP="00290C63">
      <w:r>
        <w:continuationSeparator/>
      </w:r>
    </w:p>
    <w:p w:rsidR="00301C0B" w:rsidRDefault="00301C0B"/>
  </w:footnote>
  <w:footnote w:id="1">
    <w:p w:rsidR="00301C0B" w:rsidRDefault="00301C0B">
      <w:pPr>
        <w:pStyle w:val="FootnoteText"/>
      </w:pPr>
      <w:r>
        <w:rPr>
          <w:rStyle w:val="FootnoteReference"/>
        </w:rPr>
        <w:footnoteRef/>
      </w:r>
      <w:r>
        <w:t xml:space="preserve"> </w:t>
      </w:r>
      <w:r>
        <w:tab/>
        <w:t>NER, clause 6A.7.3(a1).</w:t>
      </w:r>
    </w:p>
  </w:footnote>
  <w:footnote w:id="2">
    <w:p w:rsidR="00301C0B" w:rsidRDefault="00301C0B">
      <w:pPr>
        <w:pStyle w:val="FootnoteText"/>
      </w:pPr>
      <w:r>
        <w:rPr>
          <w:rStyle w:val="FootnoteReference"/>
        </w:rPr>
        <w:footnoteRef/>
      </w:r>
      <w:r>
        <w:t xml:space="preserve"> </w:t>
      </w:r>
      <w:r>
        <w:tab/>
        <w:t xml:space="preserve">AER, </w:t>
      </w:r>
      <w:r w:rsidRPr="00C47648">
        <w:rPr>
          <w:rStyle w:val="AERtextitalic"/>
        </w:rPr>
        <w:t>Draft decision, TransGrid transmission determination 2015–16</w:t>
      </w:r>
      <w:r w:rsidR="00F33255">
        <w:rPr>
          <w:rStyle w:val="AERtextitalic"/>
        </w:rPr>
        <w:t>: attachment 13</w:t>
      </w:r>
      <w:r>
        <w:t>, November 2014, p. 8, 9.</w:t>
      </w:r>
    </w:p>
  </w:footnote>
  <w:footnote w:id="3">
    <w:p w:rsidR="00301C0B" w:rsidRDefault="00301C0B" w:rsidP="0039078C">
      <w:pPr>
        <w:pStyle w:val="FootnoteText"/>
      </w:pPr>
      <w:r>
        <w:rPr>
          <w:rStyle w:val="FootnoteReference"/>
        </w:rPr>
        <w:footnoteRef/>
      </w:r>
      <w:r>
        <w:t xml:space="preserve"> </w:t>
      </w:r>
      <w:r>
        <w:tab/>
        <w:t>NEL, s</w:t>
      </w:r>
      <w:r w:rsidRPr="00CE34CA">
        <w:t>.</w:t>
      </w:r>
      <w:r>
        <w:t xml:space="preserve"> </w:t>
      </w:r>
      <w:r w:rsidRPr="00CE34CA">
        <w:t>7A(2).</w:t>
      </w:r>
    </w:p>
  </w:footnote>
  <w:footnote w:id="4">
    <w:p w:rsidR="00301C0B" w:rsidRDefault="00301C0B" w:rsidP="0039078C">
      <w:pPr>
        <w:pStyle w:val="FootnoteText"/>
      </w:pPr>
      <w:r>
        <w:rPr>
          <w:rStyle w:val="FootnoteReference"/>
        </w:rPr>
        <w:footnoteRef/>
      </w:r>
      <w:r>
        <w:t xml:space="preserve"> </w:t>
      </w:r>
      <w:r>
        <w:tab/>
        <w:t>NEL, s</w:t>
      </w:r>
      <w:r w:rsidRPr="00CE34CA">
        <w:t>.</w:t>
      </w:r>
      <w:r>
        <w:t xml:space="preserve"> </w:t>
      </w:r>
      <w:r w:rsidRPr="00CE34CA">
        <w:t>7A(3)</w:t>
      </w:r>
      <w:r>
        <w:t>.</w:t>
      </w:r>
    </w:p>
  </w:footnote>
  <w:footnote w:id="5">
    <w:p w:rsidR="00301C0B" w:rsidRDefault="00301C0B" w:rsidP="0039078C">
      <w:pPr>
        <w:pStyle w:val="FootnoteText"/>
      </w:pPr>
      <w:r>
        <w:rPr>
          <w:rStyle w:val="FootnoteReference"/>
        </w:rPr>
        <w:footnoteRef/>
      </w:r>
      <w:r>
        <w:t xml:space="preserve"> </w:t>
      </w:r>
      <w:r>
        <w:tab/>
        <w:t>NEL, s</w:t>
      </w:r>
      <w:r w:rsidRPr="005D0FD3">
        <w:t>.</w:t>
      </w:r>
      <w:r>
        <w:t xml:space="preserve"> </w:t>
      </w:r>
      <w:r w:rsidRPr="005D0FD3">
        <w:t>7A(6)</w:t>
      </w:r>
      <w:r>
        <w:t>.</w:t>
      </w:r>
    </w:p>
  </w:footnote>
  <w:footnote w:id="6">
    <w:p w:rsidR="00301C0B" w:rsidRDefault="00301C0B" w:rsidP="00C47648">
      <w:pPr>
        <w:pStyle w:val="FootnoteText"/>
      </w:pPr>
      <w:r>
        <w:rPr>
          <w:rStyle w:val="FootnoteReference"/>
        </w:rPr>
        <w:footnoteRef/>
      </w:r>
      <w:r>
        <w:t xml:space="preserve"> </w:t>
      </w:r>
      <w:r>
        <w:tab/>
        <w:t xml:space="preserve">AER, </w:t>
      </w:r>
      <w:r w:rsidRPr="00DE39C6">
        <w:rPr>
          <w:rStyle w:val="AERtextitalic"/>
        </w:rPr>
        <w:t xml:space="preserve">Draft Decision, </w:t>
      </w:r>
      <w:r w:rsidRPr="00C47648">
        <w:rPr>
          <w:rStyle w:val="AERtextitalic"/>
        </w:rPr>
        <w:t>TransGrid transmission determination 2015–16</w:t>
      </w:r>
      <w:r w:rsidR="00F33255">
        <w:t xml:space="preserve">: </w:t>
      </w:r>
      <w:r w:rsidR="00F33255">
        <w:rPr>
          <w:rStyle w:val="AERtextitalic"/>
        </w:rPr>
        <w:t>attachment 13</w:t>
      </w:r>
      <w:r w:rsidR="00F33255">
        <w:t xml:space="preserve">, </w:t>
      </w:r>
      <w:r>
        <w:t>November 2014, p. 10.</w:t>
      </w:r>
    </w:p>
  </w:footnote>
  <w:footnote w:id="7">
    <w:p w:rsidR="00EF1646" w:rsidRDefault="00EF1646">
      <w:pPr>
        <w:pStyle w:val="FootnoteText"/>
      </w:pPr>
      <w:r>
        <w:rPr>
          <w:rStyle w:val="FootnoteReference"/>
        </w:rPr>
        <w:footnoteRef/>
      </w:r>
      <w:r>
        <w:t xml:space="preserve"> </w:t>
      </w:r>
      <w:r>
        <w:tab/>
      </w:r>
      <w:r w:rsidR="00A21632" w:rsidRPr="00A21632">
        <w:t xml:space="preserve">AER, </w:t>
      </w:r>
      <w:r w:rsidR="00A21632" w:rsidRPr="00A21632">
        <w:rPr>
          <w:rStyle w:val="AERtextitalic"/>
        </w:rPr>
        <w:t>Draft Decision, TransGrid transmission determination 2015–16</w:t>
      </w:r>
      <w:r w:rsidR="00F33255">
        <w:rPr>
          <w:rStyle w:val="AERtextitalic"/>
        </w:rPr>
        <w:t xml:space="preserve">; attachment 13, </w:t>
      </w:r>
      <w:r w:rsidR="00A21632" w:rsidRPr="00A21632">
        <w:t>November 2014, p</w:t>
      </w:r>
      <w:r w:rsidR="00A21632">
        <w:t>p</w:t>
      </w:r>
      <w:r w:rsidR="00A21632" w:rsidRPr="00A21632">
        <w:t>. 1</w:t>
      </w:r>
      <w:r w:rsidR="00A21632">
        <w:t>4,</w:t>
      </w:r>
      <w:r w:rsidR="00FF250C">
        <w:t xml:space="preserve"> </w:t>
      </w:r>
      <w:r w:rsidR="00A21632">
        <w:t>15</w:t>
      </w:r>
      <w:r w:rsidR="00A21632" w:rsidRPr="00A21632">
        <w:t>.</w:t>
      </w:r>
    </w:p>
  </w:footnote>
  <w:footnote w:id="8">
    <w:p w:rsidR="00301C0B" w:rsidRDefault="00301C0B">
      <w:pPr>
        <w:pStyle w:val="FootnoteText"/>
      </w:pPr>
      <w:r>
        <w:rPr>
          <w:rStyle w:val="FootnoteReference"/>
        </w:rPr>
        <w:footnoteRef/>
      </w:r>
      <w:r>
        <w:t xml:space="preserve"> </w:t>
      </w:r>
      <w:r>
        <w:tab/>
        <w:t xml:space="preserve">AER, </w:t>
      </w:r>
      <w:r w:rsidRPr="00774BDB">
        <w:rPr>
          <w:rStyle w:val="AERtextitalic"/>
        </w:rPr>
        <w:t>Draft decision, TransGrid transmission determination 2015–16</w:t>
      </w:r>
      <w:r w:rsidR="00F33255">
        <w:rPr>
          <w:rStyle w:val="AERtextitalic"/>
        </w:rPr>
        <w:t>; attachment 13</w:t>
      </w:r>
      <w:r>
        <w:t>, November 2014, p. 14.</w:t>
      </w:r>
    </w:p>
  </w:footnote>
  <w:footnote w:id="9">
    <w:p w:rsidR="00301C0B" w:rsidRDefault="00301C0B">
      <w:pPr>
        <w:pStyle w:val="FootnoteText"/>
      </w:pPr>
      <w:r>
        <w:rPr>
          <w:rStyle w:val="FootnoteReference"/>
        </w:rPr>
        <w:footnoteRef/>
      </w:r>
      <w:r>
        <w:t xml:space="preserve"> </w:t>
      </w:r>
      <w:r>
        <w:tab/>
        <w:t xml:space="preserve">TransGrid, </w:t>
      </w:r>
      <w:r w:rsidRPr="00774BDB">
        <w:rPr>
          <w:rStyle w:val="AERtextitalic"/>
        </w:rPr>
        <w:t>Revised revenue proposal 2014/15-2017/18</w:t>
      </w:r>
      <w:r>
        <w:t>, January 2015, page 152.</w:t>
      </w:r>
    </w:p>
  </w:footnote>
  <w:footnote w:id="10">
    <w:p w:rsidR="00301C0B" w:rsidRDefault="00301C0B">
      <w:pPr>
        <w:pStyle w:val="FootnoteText"/>
      </w:pPr>
      <w:r>
        <w:rPr>
          <w:rStyle w:val="FootnoteReference"/>
        </w:rPr>
        <w:footnoteRef/>
      </w:r>
      <w:r>
        <w:t xml:space="preserve"> </w:t>
      </w:r>
      <w:r>
        <w:tab/>
        <w:t xml:space="preserve">TransGrid, </w:t>
      </w:r>
      <w:r w:rsidRPr="00774BDB">
        <w:rPr>
          <w:rStyle w:val="AERtextitalic"/>
        </w:rPr>
        <w:t>Revised revenue proposal 2014/15-2017/18</w:t>
      </w:r>
      <w:r>
        <w:t xml:space="preserve">, January 2015, page 152. </w:t>
      </w:r>
    </w:p>
  </w:footnote>
  <w:footnote w:id="11">
    <w:p w:rsidR="00301C0B" w:rsidRDefault="00301C0B">
      <w:pPr>
        <w:pStyle w:val="FootnoteText"/>
      </w:pPr>
      <w:r>
        <w:rPr>
          <w:rStyle w:val="FootnoteReference"/>
        </w:rPr>
        <w:footnoteRef/>
      </w:r>
      <w:r>
        <w:t xml:space="preserve"> </w:t>
      </w:r>
      <w:r>
        <w:tab/>
        <w:t xml:space="preserve">TransGrid, </w:t>
      </w:r>
      <w:r w:rsidRPr="00774BDB">
        <w:rPr>
          <w:rStyle w:val="AERtextitalic"/>
        </w:rPr>
        <w:t>Revised revenue proposal 2014/15-2017/18</w:t>
      </w:r>
      <w:r>
        <w:t>, January 2015, page 153.</w:t>
      </w:r>
    </w:p>
  </w:footnote>
  <w:footnote w:id="12">
    <w:p w:rsidR="00D04ADB" w:rsidRDefault="00D04ADB">
      <w:pPr>
        <w:pStyle w:val="FootnoteText"/>
      </w:pPr>
      <w:r>
        <w:rPr>
          <w:rStyle w:val="FootnoteReference"/>
        </w:rPr>
        <w:footnoteRef/>
      </w:r>
      <w:r>
        <w:t xml:space="preserve"> </w:t>
      </w:r>
      <w:r>
        <w:tab/>
        <w:t xml:space="preserve">AER, </w:t>
      </w:r>
      <w:r w:rsidRPr="00774BDB">
        <w:rPr>
          <w:rStyle w:val="AERtextitalic"/>
        </w:rPr>
        <w:t>Draft decision, TransGrid transmission determination 2015–16</w:t>
      </w:r>
      <w:r w:rsidR="00F33255">
        <w:rPr>
          <w:rStyle w:val="AERtextitalic"/>
        </w:rPr>
        <w:t>; attachment 13</w:t>
      </w:r>
      <w:r>
        <w:t>, November 2014, p. 14.</w:t>
      </w:r>
    </w:p>
  </w:footnote>
  <w:footnote w:id="13">
    <w:p w:rsidR="00301C0B" w:rsidRDefault="00301C0B">
      <w:pPr>
        <w:pStyle w:val="FootnoteText"/>
      </w:pPr>
      <w:r>
        <w:rPr>
          <w:rStyle w:val="FootnoteReference"/>
        </w:rPr>
        <w:footnoteRef/>
      </w:r>
      <w:r>
        <w:t xml:space="preserve"> </w:t>
      </w:r>
      <w:r>
        <w:tab/>
        <w:t xml:space="preserve">TransGrid, </w:t>
      </w:r>
      <w:r w:rsidRPr="00365A25">
        <w:rPr>
          <w:rStyle w:val="AERtextitalic"/>
        </w:rPr>
        <w:t>Revised revenue proposal</w:t>
      </w:r>
      <w:r>
        <w:rPr>
          <w:rStyle w:val="AERtextitalic"/>
        </w:rPr>
        <w:t xml:space="preserve"> </w:t>
      </w:r>
      <w:r w:rsidRPr="00774BDB">
        <w:rPr>
          <w:rStyle w:val="AERtextitalic"/>
        </w:rPr>
        <w:t>2014/15-2017/18</w:t>
      </w:r>
      <w:r>
        <w:t>, January 2015, p. 153.</w:t>
      </w:r>
    </w:p>
  </w:footnote>
  <w:footnote w:id="14">
    <w:p w:rsidR="00301C0B" w:rsidRDefault="00301C0B">
      <w:pPr>
        <w:pStyle w:val="FootnoteText"/>
      </w:pPr>
      <w:r>
        <w:rPr>
          <w:rStyle w:val="FootnoteReference"/>
        </w:rPr>
        <w:footnoteRef/>
      </w:r>
      <w:r>
        <w:t xml:space="preserve"> </w:t>
      </w:r>
      <w:r>
        <w:tab/>
        <w:t xml:space="preserve">TransGrid, </w:t>
      </w:r>
      <w:r w:rsidRPr="00365A25">
        <w:rPr>
          <w:rStyle w:val="AERtextitalic"/>
        </w:rPr>
        <w:t>Revised revenue proposal</w:t>
      </w:r>
      <w:r>
        <w:rPr>
          <w:rStyle w:val="AERtextitalic"/>
        </w:rPr>
        <w:t xml:space="preserve"> </w:t>
      </w:r>
      <w:r w:rsidRPr="00774BDB">
        <w:rPr>
          <w:rStyle w:val="AERtextitalic"/>
        </w:rPr>
        <w:t>2014/15-2017/18</w:t>
      </w:r>
      <w:r>
        <w:t>, January 2015, p. 152.</w:t>
      </w:r>
    </w:p>
  </w:footnote>
  <w:footnote w:id="15">
    <w:p w:rsidR="00301C0B" w:rsidRDefault="00301C0B">
      <w:pPr>
        <w:pStyle w:val="FootnoteText"/>
      </w:pPr>
      <w:r>
        <w:rPr>
          <w:rStyle w:val="FootnoteReference"/>
        </w:rPr>
        <w:footnoteRef/>
      </w:r>
      <w:r>
        <w:t xml:space="preserve"> </w:t>
      </w:r>
      <w:r>
        <w:tab/>
        <w:t xml:space="preserve">TransGrid, </w:t>
      </w:r>
      <w:r w:rsidRPr="00365A25">
        <w:rPr>
          <w:rStyle w:val="AERtextitalic"/>
        </w:rPr>
        <w:t>Revenue proposal</w:t>
      </w:r>
      <w:r>
        <w:t>, June 2014, p.230.</w:t>
      </w:r>
    </w:p>
  </w:footnote>
  <w:footnote w:id="16">
    <w:p w:rsidR="00301C0B" w:rsidRDefault="00301C0B" w:rsidP="00F33255">
      <w:pPr>
        <w:pStyle w:val="FootnoteText"/>
      </w:pPr>
      <w:r>
        <w:rPr>
          <w:rStyle w:val="FootnoteReference"/>
        </w:rPr>
        <w:footnoteRef/>
      </w:r>
      <w:r>
        <w:t xml:space="preserve"> </w:t>
      </w:r>
      <w:r>
        <w:tab/>
        <w:t xml:space="preserve">AER, </w:t>
      </w:r>
      <w:r w:rsidRPr="00365A25">
        <w:rPr>
          <w:rStyle w:val="AERtextitalic"/>
        </w:rPr>
        <w:t>Draft decision</w:t>
      </w:r>
      <w:r>
        <w:rPr>
          <w:rStyle w:val="AERtextitalic"/>
        </w:rPr>
        <w:t>, TransGrid transmission determination 2015–18</w:t>
      </w:r>
      <w:r w:rsidR="00F33255">
        <w:rPr>
          <w:rStyle w:val="AERtextitalic"/>
        </w:rPr>
        <w:t xml:space="preserve">: attachment 13, </w:t>
      </w:r>
      <w:r w:rsidR="00F33255" w:rsidRPr="00F33255">
        <w:rPr>
          <w:rStyle w:val="AERtextitalic"/>
          <w:i w:val="0"/>
        </w:rPr>
        <w:t>November 2014</w:t>
      </w:r>
      <w:r w:rsidRPr="00F33255">
        <w:t>,</w:t>
      </w:r>
      <w:r w:rsidR="00FF250C">
        <w:t xml:space="preserve"> p. </w:t>
      </w:r>
      <w:r>
        <w:t>12.</w:t>
      </w:r>
    </w:p>
  </w:footnote>
  <w:footnote w:id="17">
    <w:p w:rsidR="00301C0B" w:rsidRDefault="00301C0B" w:rsidP="005B5F3A">
      <w:pPr>
        <w:pStyle w:val="FootnoteText"/>
      </w:pPr>
      <w:r>
        <w:rPr>
          <w:rStyle w:val="FootnoteReference"/>
        </w:rPr>
        <w:footnoteRef/>
      </w:r>
      <w:r>
        <w:t xml:space="preserve"> </w:t>
      </w:r>
      <w:r>
        <w:tab/>
        <w:t xml:space="preserve">AER, </w:t>
      </w:r>
      <w:r w:rsidRPr="00365A25">
        <w:rPr>
          <w:rStyle w:val="AERtextitalic"/>
        </w:rPr>
        <w:t>Draft decision</w:t>
      </w:r>
      <w:r>
        <w:t>,</w:t>
      </w:r>
      <w:r w:rsidRPr="00365A25">
        <w:rPr>
          <w:rStyle w:val="AERtextitalic"/>
        </w:rPr>
        <w:t xml:space="preserve"> </w:t>
      </w:r>
      <w:r>
        <w:rPr>
          <w:rStyle w:val="AERtextitalic"/>
        </w:rPr>
        <w:t xml:space="preserve">TransGrid transmission determination </w:t>
      </w:r>
      <w:r w:rsidR="00F33255">
        <w:rPr>
          <w:rStyle w:val="AERtextitalic"/>
        </w:rPr>
        <w:t xml:space="preserve">2015–18: attachment 13, </w:t>
      </w:r>
      <w:r w:rsidR="00F33255" w:rsidRPr="00F33255">
        <w:rPr>
          <w:rStyle w:val="AERtextitalic"/>
        </w:rPr>
        <w:t>November 2014</w:t>
      </w:r>
      <w:r w:rsidR="00F33255" w:rsidRPr="00F33255">
        <w:t>,</w:t>
      </w:r>
      <w:r w:rsidR="00F33255">
        <w:t xml:space="preserve"> </w:t>
      </w:r>
      <w:r>
        <w:t>p.</w:t>
      </w:r>
      <w:r w:rsidR="00FF250C">
        <w:t xml:space="preserve"> </w:t>
      </w:r>
      <w:r>
        <w:t>13.</w:t>
      </w:r>
    </w:p>
  </w:footnote>
  <w:footnote w:id="18">
    <w:p w:rsidR="00301C0B" w:rsidRDefault="00301C0B">
      <w:pPr>
        <w:pStyle w:val="FootnoteText"/>
      </w:pPr>
      <w:r>
        <w:rPr>
          <w:rStyle w:val="FootnoteReference"/>
        </w:rPr>
        <w:footnoteRef/>
      </w:r>
      <w:r>
        <w:t xml:space="preserve"> </w:t>
      </w:r>
      <w:r>
        <w:tab/>
        <w:t>TransGr</w:t>
      </w:r>
      <w:r w:rsidRPr="00AB0949">
        <w:t xml:space="preserve">id, </w:t>
      </w:r>
      <w:r w:rsidRPr="00365A25">
        <w:rPr>
          <w:rStyle w:val="AERtextitalic"/>
        </w:rPr>
        <w:t>Revised revenue proposal</w:t>
      </w:r>
      <w:r>
        <w:rPr>
          <w:rStyle w:val="AERtextitalic"/>
        </w:rPr>
        <w:t xml:space="preserve"> </w:t>
      </w:r>
      <w:r w:rsidRPr="00774BDB">
        <w:rPr>
          <w:rStyle w:val="AERtextitalic"/>
        </w:rPr>
        <w:t>2014/15-2017/18</w:t>
      </w:r>
      <w:r>
        <w:t>, January 2015,</w:t>
      </w:r>
      <w:r w:rsidRPr="00AB0949">
        <w:t xml:space="preserve"> p. </w:t>
      </w:r>
      <w:r>
        <w:t>155.</w:t>
      </w:r>
    </w:p>
  </w:footnote>
  <w:footnote w:id="19">
    <w:p w:rsidR="00301C0B" w:rsidRDefault="00301C0B" w:rsidP="00F027EC">
      <w:pPr>
        <w:pStyle w:val="FootnoteText"/>
      </w:pPr>
      <w:r>
        <w:rPr>
          <w:rStyle w:val="FootnoteReference"/>
        </w:rPr>
        <w:footnoteRef/>
      </w:r>
      <w:r>
        <w:t xml:space="preserve"> </w:t>
      </w:r>
      <w:r>
        <w:tab/>
        <w:t>TransGr</w:t>
      </w:r>
      <w:r w:rsidRPr="00AB0949">
        <w:t xml:space="preserve">id, </w:t>
      </w:r>
      <w:r w:rsidRPr="00365A25">
        <w:rPr>
          <w:rStyle w:val="AERtextitalic"/>
        </w:rPr>
        <w:t>Revised revenue proposal</w:t>
      </w:r>
      <w:r>
        <w:rPr>
          <w:rStyle w:val="AERtextitalic"/>
        </w:rPr>
        <w:t xml:space="preserve"> </w:t>
      </w:r>
      <w:r w:rsidRPr="00774BDB">
        <w:rPr>
          <w:rStyle w:val="AERtextitalic"/>
        </w:rPr>
        <w:t>2014/15-2017/18</w:t>
      </w:r>
      <w:r>
        <w:t>, January 2015</w:t>
      </w:r>
      <w:r w:rsidRPr="00AB0949">
        <w:t xml:space="preserve">, p. </w:t>
      </w:r>
      <w:r>
        <w:t>155.</w:t>
      </w:r>
    </w:p>
  </w:footnote>
  <w:footnote w:id="20">
    <w:p w:rsidR="00AC1931" w:rsidRDefault="00AC1931">
      <w:pPr>
        <w:pStyle w:val="FootnoteText"/>
      </w:pPr>
      <w:r>
        <w:rPr>
          <w:rStyle w:val="FootnoteReference"/>
        </w:rPr>
        <w:footnoteRef/>
      </w:r>
      <w:r>
        <w:t xml:space="preserve"> </w:t>
      </w:r>
      <w:r>
        <w:tab/>
        <w:t xml:space="preserve">TransGrid, </w:t>
      </w:r>
      <w:r w:rsidRPr="00AC1931">
        <w:rPr>
          <w:rStyle w:val="AERtextitalic"/>
        </w:rPr>
        <w:t>AER Information request - TransGrid - opex R4 - Pass through - Insurer's credit risk event</w:t>
      </w:r>
      <w:r>
        <w:t>, 27 March 2015.</w:t>
      </w:r>
    </w:p>
  </w:footnote>
  <w:footnote w:id="21">
    <w:p w:rsidR="00301C0B" w:rsidRDefault="00301C0B">
      <w:pPr>
        <w:pStyle w:val="FootnoteText"/>
      </w:pPr>
      <w:r>
        <w:rPr>
          <w:rStyle w:val="FootnoteReference"/>
        </w:rPr>
        <w:footnoteRef/>
      </w:r>
      <w:r>
        <w:t xml:space="preserve"> </w:t>
      </w:r>
      <w:r>
        <w:tab/>
        <w:t xml:space="preserve">AER, </w:t>
      </w:r>
      <w:r w:rsidRPr="00365A25">
        <w:rPr>
          <w:rStyle w:val="AERtextitalic"/>
        </w:rPr>
        <w:t>Draft decision</w:t>
      </w:r>
      <w:r>
        <w:rPr>
          <w:rStyle w:val="AERtextitalic"/>
        </w:rPr>
        <w:t>, TransGrid transmission determination 2015–18</w:t>
      </w:r>
      <w:r w:rsidR="00F33255">
        <w:rPr>
          <w:rStyle w:val="AERtextitalic"/>
        </w:rPr>
        <w:t>: attachment 13</w:t>
      </w:r>
      <w:r>
        <w:t>, November 2014, p. 12.</w:t>
      </w:r>
    </w:p>
  </w:footnote>
  <w:footnote w:id="22">
    <w:p w:rsidR="00301C0B" w:rsidRDefault="00301C0B">
      <w:pPr>
        <w:pStyle w:val="FootnoteText"/>
      </w:pPr>
      <w:r>
        <w:rPr>
          <w:rStyle w:val="FootnoteReference"/>
        </w:rPr>
        <w:footnoteRef/>
      </w:r>
      <w:r>
        <w:t xml:space="preserve"> </w:t>
      </w:r>
      <w:r>
        <w:tab/>
        <w:t xml:space="preserve">TransGrid, </w:t>
      </w:r>
      <w:r>
        <w:rPr>
          <w:rStyle w:val="AERtextitalic"/>
        </w:rPr>
        <w:t xml:space="preserve">Revised revenue proposal </w:t>
      </w:r>
      <w:r w:rsidRPr="00774BDB">
        <w:rPr>
          <w:rStyle w:val="AERtextitalic"/>
        </w:rPr>
        <w:t>2014/15-2017/18</w:t>
      </w:r>
      <w:r>
        <w:t>, January 2015, p. 156.</w:t>
      </w:r>
    </w:p>
  </w:footnote>
  <w:footnote w:id="23">
    <w:p w:rsidR="00301C0B" w:rsidRDefault="00301C0B">
      <w:pPr>
        <w:pStyle w:val="FootnoteText"/>
      </w:pPr>
      <w:r>
        <w:rPr>
          <w:rStyle w:val="FootnoteReference"/>
        </w:rPr>
        <w:footnoteRef/>
      </w:r>
      <w:r>
        <w:t xml:space="preserve"> </w:t>
      </w:r>
      <w:r>
        <w:tab/>
        <w:t xml:space="preserve">AER, </w:t>
      </w:r>
      <w:r w:rsidRPr="00365A25">
        <w:rPr>
          <w:rStyle w:val="AERtextitalic"/>
        </w:rPr>
        <w:t>Draft decision</w:t>
      </w:r>
      <w:r>
        <w:t>,</w:t>
      </w:r>
      <w:r w:rsidRPr="00365A25">
        <w:rPr>
          <w:rStyle w:val="AERtextitalic"/>
        </w:rPr>
        <w:t xml:space="preserve"> </w:t>
      </w:r>
      <w:r>
        <w:rPr>
          <w:rStyle w:val="AERtextitalic"/>
        </w:rPr>
        <w:t xml:space="preserve">TransGrid transmission determination </w:t>
      </w:r>
      <w:r w:rsidR="00F33255">
        <w:rPr>
          <w:rStyle w:val="AERtextitalic"/>
        </w:rPr>
        <w:t>2015–18: attachment 13</w:t>
      </w:r>
      <w:r w:rsidR="00F33255">
        <w:t xml:space="preserve">, </w:t>
      </w:r>
      <w:r>
        <w:t>November 2014, p. 13.</w:t>
      </w:r>
    </w:p>
  </w:footnote>
  <w:footnote w:id="24">
    <w:p w:rsidR="00301C0B" w:rsidRDefault="00301C0B">
      <w:pPr>
        <w:pStyle w:val="FootnoteText"/>
      </w:pPr>
      <w:r>
        <w:rPr>
          <w:rStyle w:val="FootnoteReference"/>
        </w:rPr>
        <w:footnoteRef/>
      </w:r>
      <w:r>
        <w:t xml:space="preserve"> </w:t>
      </w:r>
      <w:r>
        <w:tab/>
        <w:t xml:space="preserve">TransGrid, </w:t>
      </w:r>
      <w:r>
        <w:rPr>
          <w:rStyle w:val="AERtextitalic"/>
        </w:rPr>
        <w:t xml:space="preserve">Revised revenue proposal </w:t>
      </w:r>
      <w:r w:rsidRPr="00774BDB">
        <w:rPr>
          <w:rStyle w:val="AERtextitalic"/>
        </w:rPr>
        <w:t>2014/15-2017/18</w:t>
      </w:r>
      <w:r>
        <w:t>, January 2015, p. 156.</w:t>
      </w:r>
    </w:p>
  </w:footnote>
  <w:footnote w:id="25">
    <w:p w:rsidR="00301C0B" w:rsidRDefault="00301C0B" w:rsidP="00333AC3">
      <w:pPr>
        <w:pStyle w:val="FootnoteText"/>
      </w:pPr>
      <w:r>
        <w:rPr>
          <w:rStyle w:val="FootnoteReference"/>
        </w:rPr>
        <w:footnoteRef/>
      </w:r>
      <w:r>
        <w:t xml:space="preserve"> </w:t>
      </w:r>
      <w:r>
        <w:tab/>
        <w:t>NER, cl. 6A.6.9; NER glossary, definition of 'nominated pass through event considerations'.</w:t>
      </w:r>
    </w:p>
  </w:footnote>
  <w:footnote w:id="26">
    <w:p w:rsidR="00301C0B" w:rsidRDefault="00301C0B">
      <w:pPr>
        <w:pStyle w:val="FootnoteText"/>
      </w:pPr>
      <w:r>
        <w:rPr>
          <w:rStyle w:val="FootnoteReference"/>
        </w:rPr>
        <w:footnoteRef/>
      </w:r>
      <w:r>
        <w:t xml:space="preserve"> </w:t>
      </w:r>
      <w:r>
        <w:tab/>
        <w:t xml:space="preserve">TransGrid, </w:t>
      </w:r>
      <w:r w:rsidRPr="00365A25">
        <w:rPr>
          <w:rStyle w:val="AERtextitalic"/>
        </w:rPr>
        <w:t>Revised revenue proposal</w:t>
      </w:r>
      <w:r>
        <w:t xml:space="preserve">, </w:t>
      </w:r>
      <w:r w:rsidRPr="00774BDB">
        <w:rPr>
          <w:rStyle w:val="AERtextitalic"/>
        </w:rPr>
        <w:t>2014/15-2017/18</w:t>
      </w:r>
      <w:r>
        <w:t>, January 2015, p. 156.</w:t>
      </w:r>
    </w:p>
  </w:footnote>
  <w:footnote w:id="27">
    <w:p w:rsidR="00301C0B" w:rsidRDefault="00301C0B" w:rsidP="00333AC3">
      <w:pPr>
        <w:pStyle w:val="FootnoteText"/>
      </w:pPr>
      <w:r>
        <w:rPr>
          <w:rStyle w:val="FootnoteReference"/>
        </w:rPr>
        <w:footnoteRef/>
      </w:r>
      <w:r>
        <w:t xml:space="preserve"> </w:t>
      </w:r>
      <w:r>
        <w:tab/>
        <w:t>NER, cl. 6A.6.9; NER glossary, definition of 'nominated pass through event considerations'.</w:t>
      </w:r>
    </w:p>
  </w:footnote>
  <w:footnote w:id="28">
    <w:p w:rsidR="00301C0B" w:rsidRDefault="00301C0B" w:rsidP="00333AC3">
      <w:pPr>
        <w:pStyle w:val="FootnoteText"/>
      </w:pPr>
      <w:r>
        <w:rPr>
          <w:rStyle w:val="FootnoteReference"/>
        </w:rPr>
        <w:footnoteRef/>
      </w:r>
      <w:r>
        <w:t xml:space="preserve"> </w:t>
      </w:r>
      <w:r>
        <w:tab/>
        <w:t>NER, cl. 6A.6.9; NER glossary, definition of 'nominated pass through event considerations'.</w:t>
      </w:r>
    </w:p>
  </w:footnote>
  <w:footnote w:id="29">
    <w:p w:rsidR="00301C0B" w:rsidRDefault="00301C0B">
      <w:pPr>
        <w:pStyle w:val="FootnoteText"/>
      </w:pPr>
      <w:r>
        <w:rPr>
          <w:rStyle w:val="FootnoteReference"/>
        </w:rPr>
        <w:footnoteRef/>
      </w:r>
      <w:r>
        <w:t xml:space="preserve"> </w:t>
      </w:r>
      <w:r>
        <w:tab/>
        <w:t xml:space="preserve">TransGrid, </w:t>
      </w:r>
      <w:r w:rsidRPr="00365A25">
        <w:rPr>
          <w:rStyle w:val="AERtextitalic"/>
        </w:rPr>
        <w:t>Revised revenue proposal</w:t>
      </w:r>
      <w:r>
        <w:rPr>
          <w:rStyle w:val="AERtextitalic"/>
        </w:rPr>
        <w:t xml:space="preserve"> </w:t>
      </w:r>
      <w:r w:rsidRPr="00774BDB">
        <w:rPr>
          <w:rStyle w:val="AERtextitalic"/>
        </w:rPr>
        <w:t>2014/15-2017/18</w:t>
      </w:r>
      <w:r>
        <w:t>, January 2015, p. 157.</w:t>
      </w:r>
    </w:p>
  </w:footnote>
  <w:footnote w:id="30">
    <w:p w:rsidR="00301C0B" w:rsidRDefault="00301C0B">
      <w:pPr>
        <w:pStyle w:val="FootnoteText"/>
      </w:pPr>
      <w:r>
        <w:rPr>
          <w:rStyle w:val="FootnoteReference"/>
        </w:rPr>
        <w:footnoteRef/>
      </w:r>
      <w:r>
        <w:t xml:space="preserve"> </w:t>
      </w:r>
      <w:r>
        <w:tab/>
        <w:t xml:space="preserve">AER, </w:t>
      </w:r>
      <w:r w:rsidRPr="00365A25">
        <w:rPr>
          <w:rStyle w:val="AERtextitalic"/>
        </w:rPr>
        <w:t>Draft decision</w:t>
      </w:r>
      <w:r>
        <w:t>,</w:t>
      </w:r>
      <w:r w:rsidRPr="00365A25">
        <w:rPr>
          <w:rStyle w:val="AERtextitalic"/>
        </w:rPr>
        <w:t xml:space="preserve"> </w:t>
      </w:r>
      <w:r>
        <w:rPr>
          <w:rStyle w:val="AERtextitalic"/>
        </w:rPr>
        <w:t xml:space="preserve">TransGrid transmission determination </w:t>
      </w:r>
      <w:r w:rsidR="00F33255">
        <w:rPr>
          <w:rStyle w:val="AERtextitalic"/>
        </w:rPr>
        <w:t>2015–18: attachment 13</w:t>
      </w:r>
      <w:r w:rsidR="00F33255">
        <w:t xml:space="preserve">, </w:t>
      </w:r>
      <w:r>
        <w:t>November 2014, p. 14.</w:t>
      </w:r>
    </w:p>
  </w:footnote>
  <w:footnote w:id="31">
    <w:p w:rsidR="00301C0B" w:rsidRDefault="00301C0B">
      <w:pPr>
        <w:pStyle w:val="FootnoteText"/>
      </w:pPr>
      <w:r>
        <w:rPr>
          <w:rStyle w:val="FootnoteReference"/>
        </w:rPr>
        <w:footnoteRef/>
      </w:r>
      <w:r>
        <w:t xml:space="preserve"> </w:t>
      </w:r>
      <w:r>
        <w:tab/>
        <w:t xml:space="preserve">TransGrid, </w:t>
      </w:r>
      <w:r w:rsidRPr="00365A25">
        <w:rPr>
          <w:rStyle w:val="AERtextitalic"/>
        </w:rPr>
        <w:t>Revised revenue proposal</w:t>
      </w:r>
      <w:r>
        <w:rPr>
          <w:rStyle w:val="AERtextitalic"/>
        </w:rPr>
        <w:t xml:space="preserve"> </w:t>
      </w:r>
      <w:r w:rsidRPr="00774BDB">
        <w:rPr>
          <w:rStyle w:val="AERtextitalic"/>
        </w:rPr>
        <w:t>2014/15-2017/18</w:t>
      </w:r>
      <w:r w:rsidR="00415D93">
        <w:t>, January 2015,</w:t>
      </w:r>
      <w:r>
        <w:t xml:space="preserve"> p. 158.</w:t>
      </w:r>
    </w:p>
  </w:footnote>
  <w:footnote w:id="32">
    <w:p w:rsidR="00301C0B" w:rsidRDefault="00301C0B">
      <w:pPr>
        <w:pStyle w:val="FootnoteText"/>
      </w:pPr>
      <w:r>
        <w:rPr>
          <w:rStyle w:val="FootnoteReference"/>
        </w:rPr>
        <w:footnoteRef/>
      </w:r>
      <w:r>
        <w:t xml:space="preserve"> </w:t>
      </w:r>
      <w:r>
        <w:tab/>
        <w:t xml:space="preserve">TransGrid, </w:t>
      </w:r>
      <w:r w:rsidRPr="00365A25">
        <w:rPr>
          <w:rStyle w:val="AERtextitalic"/>
        </w:rPr>
        <w:t>Revised revenue proposal</w:t>
      </w:r>
      <w:r>
        <w:rPr>
          <w:rStyle w:val="AERtextitalic"/>
        </w:rPr>
        <w:t xml:space="preserve"> </w:t>
      </w:r>
      <w:r w:rsidRPr="00774BDB">
        <w:rPr>
          <w:rStyle w:val="AERtextitalic"/>
        </w:rPr>
        <w:t>2014/15-2017/18</w:t>
      </w:r>
      <w:r w:rsidR="00415D93">
        <w:t>, January 2015</w:t>
      </w:r>
      <w:r>
        <w:t>, p. 159.</w:t>
      </w:r>
    </w:p>
  </w:footnote>
  <w:footnote w:id="33">
    <w:p w:rsidR="00301C0B" w:rsidRDefault="00301C0B">
      <w:pPr>
        <w:pStyle w:val="FootnoteText"/>
      </w:pPr>
      <w:r>
        <w:rPr>
          <w:rStyle w:val="FootnoteReference"/>
        </w:rPr>
        <w:footnoteRef/>
      </w:r>
      <w:r>
        <w:t xml:space="preserve"> </w:t>
      </w:r>
      <w:r>
        <w:tab/>
        <w:t>NER, cl. 6A.6.9; NER glossary, definition of 'nominated pass through event considerations'.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9B6E33"/>
    <w:multiLevelType w:val="hybridMultilevel"/>
    <w:tmpl w:val="ADD44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E45C2C9E"/>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1"/>
  </w:num>
  <w:num w:numId="28">
    <w:abstractNumId w:val="19"/>
  </w:num>
  <w:num w:numId="29">
    <w:abstractNumId w:val="17"/>
  </w:num>
  <w:num w:numId="30">
    <w:abstractNumId w:val="37"/>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6"/>
  </w:num>
  <w:num w:numId="38">
    <w:abstractNumId w:val="23"/>
  </w:num>
  <w:num w:numId="39">
    <w:abstractNumId w:val="12"/>
  </w:num>
  <w:num w:numId="40">
    <w:abstractNumId w:val="33"/>
  </w:num>
  <w:num w:numId="41">
    <w:abstractNumId w:val="33"/>
  </w:num>
  <w:num w:numId="42">
    <w:abstractNumId w:val="25"/>
  </w:num>
  <w:num w:numId="43">
    <w:abstractNumId w:val="16"/>
  </w:num>
  <w:num w:numId="44">
    <w:abstractNumId w:val="3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4KzjC/BaPhjtpl5mITsToikqQGO2WabBclZ/AlULB08=" w:saltValue="UW2AcjlmFUiFxnIuKXTBkA==" w:algorithmName="SHA-256"/>
  <w:defaultTabStop w:val="34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13 - pass through events - April 2015 fixed.docx"/>
  </w:docVars>
  <w:rsids>
    <w:rsidRoot w:val="00961A4A"/>
    <w:rsid w:val="000035F0"/>
    <w:rsid w:val="00021202"/>
    <w:rsid w:val="00021C2B"/>
    <w:rsid w:val="0002517F"/>
    <w:rsid w:val="0003578C"/>
    <w:rsid w:val="000457BC"/>
    <w:rsid w:val="000617B3"/>
    <w:rsid w:val="00063247"/>
    <w:rsid w:val="00070F9F"/>
    <w:rsid w:val="0007137B"/>
    <w:rsid w:val="00077B79"/>
    <w:rsid w:val="00085663"/>
    <w:rsid w:val="00085EBF"/>
    <w:rsid w:val="000A3020"/>
    <w:rsid w:val="000A6C7B"/>
    <w:rsid w:val="000B6DE8"/>
    <w:rsid w:val="000C2B40"/>
    <w:rsid w:val="000C4F46"/>
    <w:rsid w:val="000D122C"/>
    <w:rsid w:val="000D6EFC"/>
    <w:rsid w:val="000E1819"/>
    <w:rsid w:val="000E4821"/>
    <w:rsid w:val="000E6C72"/>
    <w:rsid w:val="000F24CD"/>
    <w:rsid w:val="00111D81"/>
    <w:rsid w:val="00116EB2"/>
    <w:rsid w:val="00124609"/>
    <w:rsid w:val="00126A4C"/>
    <w:rsid w:val="0014573B"/>
    <w:rsid w:val="0015612F"/>
    <w:rsid w:val="001573E4"/>
    <w:rsid w:val="00160756"/>
    <w:rsid w:val="0017232E"/>
    <w:rsid w:val="00174102"/>
    <w:rsid w:val="001754EE"/>
    <w:rsid w:val="00180157"/>
    <w:rsid w:val="00185CB9"/>
    <w:rsid w:val="00186F77"/>
    <w:rsid w:val="001926A4"/>
    <w:rsid w:val="00192AD5"/>
    <w:rsid w:val="001B45A0"/>
    <w:rsid w:val="001C38CC"/>
    <w:rsid w:val="001D055E"/>
    <w:rsid w:val="001F492E"/>
    <w:rsid w:val="001F6DA3"/>
    <w:rsid w:val="002010BC"/>
    <w:rsid w:val="002016E7"/>
    <w:rsid w:val="00202891"/>
    <w:rsid w:val="00202E03"/>
    <w:rsid w:val="0020492C"/>
    <w:rsid w:val="00211476"/>
    <w:rsid w:val="00224DB9"/>
    <w:rsid w:val="00233775"/>
    <w:rsid w:val="00247162"/>
    <w:rsid w:val="00247824"/>
    <w:rsid w:val="00251745"/>
    <w:rsid w:val="00253C17"/>
    <w:rsid w:val="00263AC0"/>
    <w:rsid w:val="00264264"/>
    <w:rsid w:val="0026772D"/>
    <w:rsid w:val="00276607"/>
    <w:rsid w:val="00285C68"/>
    <w:rsid w:val="00286874"/>
    <w:rsid w:val="00290C63"/>
    <w:rsid w:val="00296B65"/>
    <w:rsid w:val="002A7DEF"/>
    <w:rsid w:val="002B65C5"/>
    <w:rsid w:val="002C585C"/>
    <w:rsid w:val="002D72E8"/>
    <w:rsid w:val="002E1D91"/>
    <w:rsid w:val="002E62A3"/>
    <w:rsid w:val="002E7B22"/>
    <w:rsid w:val="002F3E2D"/>
    <w:rsid w:val="002F7986"/>
    <w:rsid w:val="00301B40"/>
    <w:rsid w:val="00301C0B"/>
    <w:rsid w:val="003029EE"/>
    <w:rsid w:val="00305CC8"/>
    <w:rsid w:val="00307F6D"/>
    <w:rsid w:val="003177A2"/>
    <w:rsid w:val="003271B5"/>
    <w:rsid w:val="00327A1E"/>
    <w:rsid w:val="00331264"/>
    <w:rsid w:val="00333AC3"/>
    <w:rsid w:val="00334C8D"/>
    <w:rsid w:val="00343A18"/>
    <w:rsid w:val="003518B3"/>
    <w:rsid w:val="00365A25"/>
    <w:rsid w:val="003679F7"/>
    <w:rsid w:val="003703F7"/>
    <w:rsid w:val="003846F1"/>
    <w:rsid w:val="0039078C"/>
    <w:rsid w:val="003B484F"/>
    <w:rsid w:val="003B7FBA"/>
    <w:rsid w:val="003D2DED"/>
    <w:rsid w:val="003E782E"/>
    <w:rsid w:val="003F174D"/>
    <w:rsid w:val="004002A6"/>
    <w:rsid w:val="00415D93"/>
    <w:rsid w:val="00415F31"/>
    <w:rsid w:val="00423A77"/>
    <w:rsid w:val="0045777E"/>
    <w:rsid w:val="004709C9"/>
    <w:rsid w:val="00480B4B"/>
    <w:rsid w:val="00482639"/>
    <w:rsid w:val="00485DC4"/>
    <w:rsid w:val="004A43D1"/>
    <w:rsid w:val="004A7D65"/>
    <w:rsid w:val="004B4412"/>
    <w:rsid w:val="004B63CF"/>
    <w:rsid w:val="004C348C"/>
    <w:rsid w:val="004D55BA"/>
    <w:rsid w:val="004E22EC"/>
    <w:rsid w:val="00523128"/>
    <w:rsid w:val="00530128"/>
    <w:rsid w:val="00532467"/>
    <w:rsid w:val="00564A4D"/>
    <w:rsid w:val="00565D43"/>
    <w:rsid w:val="00567BA5"/>
    <w:rsid w:val="00571B35"/>
    <w:rsid w:val="00571D57"/>
    <w:rsid w:val="00577A09"/>
    <w:rsid w:val="00577BD0"/>
    <w:rsid w:val="005829C2"/>
    <w:rsid w:val="00584D8F"/>
    <w:rsid w:val="005A404D"/>
    <w:rsid w:val="005B0836"/>
    <w:rsid w:val="005B1E3C"/>
    <w:rsid w:val="005B5F3A"/>
    <w:rsid w:val="005B704A"/>
    <w:rsid w:val="005C26CC"/>
    <w:rsid w:val="005D7BA2"/>
    <w:rsid w:val="005E0372"/>
    <w:rsid w:val="005E36C2"/>
    <w:rsid w:val="00612F4F"/>
    <w:rsid w:val="00615C6B"/>
    <w:rsid w:val="00621DCE"/>
    <w:rsid w:val="00632D6D"/>
    <w:rsid w:val="00642C3E"/>
    <w:rsid w:val="0066104A"/>
    <w:rsid w:val="00663DAD"/>
    <w:rsid w:val="00675E20"/>
    <w:rsid w:val="00676679"/>
    <w:rsid w:val="00683C89"/>
    <w:rsid w:val="00693198"/>
    <w:rsid w:val="006B2395"/>
    <w:rsid w:val="006B4CF9"/>
    <w:rsid w:val="006B7AC8"/>
    <w:rsid w:val="006C0FE3"/>
    <w:rsid w:val="006D550F"/>
    <w:rsid w:val="00701CAB"/>
    <w:rsid w:val="00707563"/>
    <w:rsid w:val="0072348C"/>
    <w:rsid w:val="00724A37"/>
    <w:rsid w:val="00727295"/>
    <w:rsid w:val="007303C3"/>
    <w:rsid w:val="007429BE"/>
    <w:rsid w:val="00743223"/>
    <w:rsid w:val="00746E01"/>
    <w:rsid w:val="00757BDF"/>
    <w:rsid w:val="00763E5D"/>
    <w:rsid w:val="00767740"/>
    <w:rsid w:val="00774BDB"/>
    <w:rsid w:val="00777EE6"/>
    <w:rsid w:val="00780E7B"/>
    <w:rsid w:val="007828C6"/>
    <w:rsid w:val="00782EEA"/>
    <w:rsid w:val="00796E2B"/>
    <w:rsid w:val="007A236B"/>
    <w:rsid w:val="007B186E"/>
    <w:rsid w:val="007B2C72"/>
    <w:rsid w:val="007C1C53"/>
    <w:rsid w:val="007C74BB"/>
    <w:rsid w:val="007D0492"/>
    <w:rsid w:val="007D456E"/>
    <w:rsid w:val="007E4904"/>
    <w:rsid w:val="007E4CB5"/>
    <w:rsid w:val="007F066B"/>
    <w:rsid w:val="008033C4"/>
    <w:rsid w:val="00806C88"/>
    <w:rsid w:val="0081034E"/>
    <w:rsid w:val="00825B33"/>
    <w:rsid w:val="008344F6"/>
    <w:rsid w:val="0083510F"/>
    <w:rsid w:val="00851209"/>
    <w:rsid w:val="008806F8"/>
    <w:rsid w:val="008837AC"/>
    <w:rsid w:val="00885771"/>
    <w:rsid w:val="008A587D"/>
    <w:rsid w:val="008B35CD"/>
    <w:rsid w:val="008B54EF"/>
    <w:rsid w:val="008B5FCC"/>
    <w:rsid w:val="008C10A3"/>
    <w:rsid w:val="008C5486"/>
    <w:rsid w:val="008D1661"/>
    <w:rsid w:val="008D2F60"/>
    <w:rsid w:val="008D57DF"/>
    <w:rsid w:val="008E7031"/>
    <w:rsid w:val="008E77DE"/>
    <w:rsid w:val="008F07A3"/>
    <w:rsid w:val="009001B6"/>
    <w:rsid w:val="00900E1B"/>
    <w:rsid w:val="009131A1"/>
    <w:rsid w:val="009233EE"/>
    <w:rsid w:val="00942297"/>
    <w:rsid w:val="009460AA"/>
    <w:rsid w:val="009514FB"/>
    <w:rsid w:val="00951978"/>
    <w:rsid w:val="00961A4A"/>
    <w:rsid w:val="009661DE"/>
    <w:rsid w:val="00966B83"/>
    <w:rsid w:val="009701F8"/>
    <w:rsid w:val="00980F9C"/>
    <w:rsid w:val="00983C25"/>
    <w:rsid w:val="009856B7"/>
    <w:rsid w:val="00985C86"/>
    <w:rsid w:val="009A0F70"/>
    <w:rsid w:val="009A5FC3"/>
    <w:rsid w:val="009B74B0"/>
    <w:rsid w:val="009D24C8"/>
    <w:rsid w:val="009D3906"/>
    <w:rsid w:val="009D6B46"/>
    <w:rsid w:val="009F4940"/>
    <w:rsid w:val="009F5BA1"/>
    <w:rsid w:val="00A02A88"/>
    <w:rsid w:val="00A0562E"/>
    <w:rsid w:val="00A0726D"/>
    <w:rsid w:val="00A21632"/>
    <w:rsid w:val="00A32FBB"/>
    <w:rsid w:val="00A37C21"/>
    <w:rsid w:val="00A428EE"/>
    <w:rsid w:val="00A4478A"/>
    <w:rsid w:val="00A44852"/>
    <w:rsid w:val="00A567B1"/>
    <w:rsid w:val="00A570B8"/>
    <w:rsid w:val="00A57D04"/>
    <w:rsid w:val="00A60A26"/>
    <w:rsid w:val="00A60CA9"/>
    <w:rsid w:val="00A6124A"/>
    <w:rsid w:val="00A61598"/>
    <w:rsid w:val="00A65E87"/>
    <w:rsid w:val="00A74737"/>
    <w:rsid w:val="00A84A99"/>
    <w:rsid w:val="00A84F46"/>
    <w:rsid w:val="00A871F4"/>
    <w:rsid w:val="00AB4C31"/>
    <w:rsid w:val="00AC1931"/>
    <w:rsid w:val="00AC1B2C"/>
    <w:rsid w:val="00AC3264"/>
    <w:rsid w:val="00AE0952"/>
    <w:rsid w:val="00AE1BF1"/>
    <w:rsid w:val="00AF0DD2"/>
    <w:rsid w:val="00B00DB7"/>
    <w:rsid w:val="00B012EC"/>
    <w:rsid w:val="00B13048"/>
    <w:rsid w:val="00B1716D"/>
    <w:rsid w:val="00B17A1D"/>
    <w:rsid w:val="00B17F92"/>
    <w:rsid w:val="00B207A0"/>
    <w:rsid w:val="00B27195"/>
    <w:rsid w:val="00B3308D"/>
    <w:rsid w:val="00B514DD"/>
    <w:rsid w:val="00B52AF0"/>
    <w:rsid w:val="00B561BD"/>
    <w:rsid w:val="00B56E03"/>
    <w:rsid w:val="00B70994"/>
    <w:rsid w:val="00B73AA0"/>
    <w:rsid w:val="00B8080B"/>
    <w:rsid w:val="00B82223"/>
    <w:rsid w:val="00B87BA5"/>
    <w:rsid w:val="00B87C39"/>
    <w:rsid w:val="00B9562D"/>
    <w:rsid w:val="00BA4665"/>
    <w:rsid w:val="00BA6002"/>
    <w:rsid w:val="00BB28F2"/>
    <w:rsid w:val="00BB2FB2"/>
    <w:rsid w:val="00BB3304"/>
    <w:rsid w:val="00BD3446"/>
    <w:rsid w:val="00BE06C9"/>
    <w:rsid w:val="00BE1F1B"/>
    <w:rsid w:val="00BE47B5"/>
    <w:rsid w:val="00C25FA6"/>
    <w:rsid w:val="00C47648"/>
    <w:rsid w:val="00C538A9"/>
    <w:rsid w:val="00C53B5A"/>
    <w:rsid w:val="00C54F5A"/>
    <w:rsid w:val="00C569B4"/>
    <w:rsid w:val="00C67A92"/>
    <w:rsid w:val="00C764CB"/>
    <w:rsid w:val="00C8156F"/>
    <w:rsid w:val="00C84560"/>
    <w:rsid w:val="00C86679"/>
    <w:rsid w:val="00CA1ABA"/>
    <w:rsid w:val="00CA489E"/>
    <w:rsid w:val="00CB0279"/>
    <w:rsid w:val="00CB666B"/>
    <w:rsid w:val="00CC425F"/>
    <w:rsid w:val="00CC7F1D"/>
    <w:rsid w:val="00CD5D0C"/>
    <w:rsid w:val="00CE1BDD"/>
    <w:rsid w:val="00D006AE"/>
    <w:rsid w:val="00D01CF0"/>
    <w:rsid w:val="00D0442A"/>
    <w:rsid w:val="00D04ADB"/>
    <w:rsid w:val="00D60243"/>
    <w:rsid w:val="00D61388"/>
    <w:rsid w:val="00D61A54"/>
    <w:rsid w:val="00D64DEA"/>
    <w:rsid w:val="00D7168E"/>
    <w:rsid w:val="00D71E57"/>
    <w:rsid w:val="00D76276"/>
    <w:rsid w:val="00D80893"/>
    <w:rsid w:val="00D84854"/>
    <w:rsid w:val="00D84A7A"/>
    <w:rsid w:val="00D858C6"/>
    <w:rsid w:val="00D92CF1"/>
    <w:rsid w:val="00D92D38"/>
    <w:rsid w:val="00D950F5"/>
    <w:rsid w:val="00DA4752"/>
    <w:rsid w:val="00DA61F3"/>
    <w:rsid w:val="00DB0F93"/>
    <w:rsid w:val="00DB1A67"/>
    <w:rsid w:val="00DB5074"/>
    <w:rsid w:val="00DC7981"/>
    <w:rsid w:val="00DD5ADF"/>
    <w:rsid w:val="00DD6344"/>
    <w:rsid w:val="00DE1093"/>
    <w:rsid w:val="00DE386B"/>
    <w:rsid w:val="00DE4EFA"/>
    <w:rsid w:val="00DE5520"/>
    <w:rsid w:val="00DE563D"/>
    <w:rsid w:val="00E04818"/>
    <w:rsid w:val="00E06442"/>
    <w:rsid w:val="00E15B84"/>
    <w:rsid w:val="00E2115B"/>
    <w:rsid w:val="00E23993"/>
    <w:rsid w:val="00E25B8C"/>
    <w:rsid w:val="00E630F5"/>
    <w:rsid w:val="00E65C85"/>
    <w:rsid w:val="00E66199"/>
    <w:rsid w:val="00E755EC"/>
    <w:rsid w:val="00E7624D"/>
    <w:rsid w:val="00EA3825"/>
    <w:rsid w:val="00EA3D42"/>
    <w:rsid w:val="00EA6B1B"/>
    <w:rsid w:val="00EC04F1"/>
    <w:rsid w:val="00EC52F7"/>
    <w:rsid w:val="00ED1D97"/>
    <w:rsid w:val="00ED7323"/>
    <w:rsid w:val="00EE28F3"/>
    <w:rsid w:val="00EE50D1"/>
    <w:rsid w:val="00EF1646"/>
    <w:rsid w:val="00EF5110"/>
    <w:rsid w:val="00F027EC"/>
    <w:rsid w:val="00F04D2F"/>
    <w:rsid w:val="00F10411"/>
    <w:rsid w:val="00F15882"/>
    <w:rsid w:val="00F171E0"/>
    <w:rsid w:val="00F20BD3"/>
    <w:rsid w:val="00F33255"/>
    <w:rsid w:val="00F373A5"/>
    <w:rsid w:val="00F47559"/>
    <w:rsid w:val="00F52E4B"/>
    <w:rsid w:val="00F5552B"/>
    <w:rsid w:val="00F64C7B"/>
    <w:rsid w:val="00F676DD"/>
    <w:rsid w:val="00F75A26"/>
    <w:rsid w:val="00F76706"/>
    <w:rsid w:val="00F83FAD"/>
    <w:rsid w:val="00F952A0"/>
    <w:rsid w:val="00FA3C7F"/>
    <w:rsid w:val="00FA462E"/>
    <w:rsid w:val="00FA46A3"/>
    <w:rsid w:val="00FB0DD7"/>
    <w:rsid w:val="00FB60FE"/>
    <w:rsid w:val="00FB74E2"/>
    <w:rsid w:val="00FD5614"/>
    <w:rsid w:val="00FD5E78"/>
    <w:rsid w:val="00FE0BE1"/>
    <w:rsid w:val="00FE1DE9"/>
    <w:rsid w:val="00FE36AF"/>
    <w:rsid w:val="00FE39C2"/>
    <w:rsid w:val="00FE3C32"/>
    <w:rsid w:val="00FE64AE"/>
    <w:rsid w:val="00FF2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27268811">
      <w:bodyDiv w:val="1"/>
      <w:marLeft w:val="0"/>
      <w:marRight w:val="0"/>
      <w:marTop w:val="0"/>
      <w:marBottom w:val="0"/>
      <w:divBdr>
        <w:top w:val="none" w:sz="0" w:space="0" w:color="auto"/>
        <w:left w:val="none" w:sz="0" w:space="0" w:color="auto"/>
        <w:bottom w:val="none" w:sz="0" w:space="0" w:color="auto"/>
        <w:right w:val="none" w:sz="0" w:space="0" w:color="auto"/>
      </w:divBdr>
    </w:div>
    <w:div w:id="1950892978">
      <w:bodyDiv w:val="1"/>
      <w:marLeft w:val="0"/>
      <w:marRight w:val="0"/>
      <w:marTop w:val="0"/>
      <w:marBottom w:val="0"/>
      <w:divBdr>
        <w:top w:val="none" w:sz="0" w:space="0" w:color="auto"/>
        <w:left w:val="none" w:sz="0" w:space="0" w:color="auto"/>
        <w:bottom w:val="none" w:sz="0" w:space="0" w:color="auto"/>
        <w:right w:val="none" w:sz="0" w:space="0" w:color="auto"/>
      </w:divBdr>
    </w:div>
    <w:div w:id="2036271017">
      <w:bodyDiv w:val="1"/>
      <w:marLeft w:val="0"/>
      <w:marRight w:val="0"/>
      <w:marTop w:val="0"/>
      <w:marBottom w:val="0"/>
      <w:divBdr>
        <w:top w:val="none" w:sz="0" w:space="0" w:color="auto"/>
        <w:left w:val="none" w:sz="0" w:space="0" w:color="auto"/>
        <w:bottom w:val="none" w:sz="0" w:space="0" w:color="auto"/>
        <w:right w:val="none" w:sz="0" w:space="0" w:color="auto"/>
      </w:divBdr>
    </w:div>
    <w:div w:id="21057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C7EC8D8E</Template>
  <TotalTime>0</TotalTime>
  <Pages>16</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2015-04-29T04:28:00Z</dcterms:created>
  <dcterms:modified xsi:type="dcterms:W3CDTF">2015-04-29T04:28:00Z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