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1C51551" wp14:editId="20CF8EF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415F31" w:rsidP="008F07A3">
          <w:pPr>
            <w:pStyle w:val="ReportSubtitle"/>
          </w:pPr>
          <w:r>
            <w:t xml:space="preserve">TransGrid transmission </w:t>
          </w:r>
          <w:r w:rsidR="00DA4752">
            <w:t>determination</w:t>
          </w:r>
        </w:p>
        <w:p w:rsidR="000A6C7B" w:rsidRDefault="00DA4752" w:rsidP="008F07A3">
          <w:pPr>
            <w:pStyle w:val="ReportSubtitle"/>
          </w:pPr>
          <w:r>
            <w:t xml:space="preserve"> 2015</w:t>
          </w:r>
          <w:r>
            <w:rPr>
              <w:rFonts w:cs="Arial"/>
            </w:rPr>
            <w:t>−</w:t>
          </w:r>
          <w:r>
            <w:t>16 to 201</w:t>
          </w:r>
          <w:r w:rsidR="00415F31">
            <w:t>7</w:t>
          </w:r>
          <w:r>
            <w:rPr>
              <w:rFonts w:cs="Arial"/>
            </w:rPr>
            <w:t>−</w:t>
          </w:r>
          <w:r w:rsidR="00415F31">
            <w:t>18</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D60243">
            <w:t>1</w:t>
          </w:r>
          <w:r w:rsidR="007E3C2A">
            <w:t>4</w:t>
          </w:r>
          <w:r>
            <w:t xml:space="preserve"> </w:t>
          </w:r>
          <w:r w:rsidR="00415F31">
            <w:rPr>
              <w:rFonts w:cs="Arial"/>
            </w:rPr>
            <w:t>–</w:t>
          </w:r>
          <w:r>
            <w:t xml:space="preserve"> </w:t>
          </w:r>
          <w:r w:rsidR="007E3C2A">
            <w:t>Negotiated services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561223"/>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attachment forms part of the AER's final decision on TransGrid’s revenue proposal 2015</w:t>
      </w:r>
      <w:r w:rsidR="00415F31" w:rsidRPr="00D904FA">
        <w:t>–</w:t>
      </w:r>
      <w:r w:rsidR="00415F31">
        <w:t>18.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561224"/>
      <w:r>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B13E3" w:rsidRDefault="00D7627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17561223" w:history="1">
            <w:r w:rsidR="00BB13E3" w:rsidRPr="00EF10C0">
              <w:rPr>
                <w:rStyle w:val="Hyperlink"/>
              </w:rPr>
              <w:t>Note</w:t>
            </w:r>
            <w:r w:rsidR="00BB13E3">
              <w:rPr>
                <w:webHidden/>
              </w:rPr>
              <w:tab/>
            </w:r>
            <w:r w:rsidR="00BB13E3">
              <w:rPr>
                <w:webHidden/>
              </w:rPr>
              <w:fldChar w:fldCharType="begin"/>
            </w:r>
            <w:r w:rsidR="00BB13E3">
              <w:rPr>
                <w:webHidden/>
              </w:rPr>
              <w:instrText xml:space="preserve"> PAGEREF _Toc417561223 \h </w:instrText>
            </w:r>
            <w:r w:rsidR="00BB13E3">
              <w:rPr>
                <w:webHidden/>
              </w:rPr>
            </w:r>
            <w:r w:rsidR="00BB13E3">
              <w:rPr>
                <w:webHidden/>
              </w:rPr>
              <w:fldChar w:fldCharType="separate"/>
            </w:r>
            <w:r w:rsidR="00C8098B">
              <w:rPr>
                <w:webHidden/>
              </w:rPr>
              <w:t>14-2</w:t>
            </w:r>
            <w:r w:rsidR="00BB13E3">
              <w:rPr>
                <w:webHidden/>
              </w:rPr>
              <w:fldChar w:fldCharType="end"/>
            </w:r>
          </w:hyperlink>
        </w:p>
        <w:p w:rsidR="00BB13E3" w:rsidRDefault="00BB13E3">
          <w:pPr>
            <w:pStyle w:val="TOC1"/>
            <w:rPr>
              <w:rFonts w:asciiTheme="minorHAnsi" w:eastAsiaTheme="minorEastAsia" w:hAnsiTheme="minorHAnsi"/>
              <w:b w:val="0"/>
              <w:color w:val="auto"/>
              <w:sz w:val="22"/>
              <w:lang w:val="en-AU" w:eastAsia="en-AU"/>
            </w:rPr>
          </w:pPr>
          <w:hyperlink w:anchor="_Toc417561224" w:history="1">
            <w:r w:rsidRPr="00EF10C0">
              <w:rPr>
                <w:rStyle w:val="Hyperlink"/>
              </w:rPr>
              <w:t>Contents</w:t>
            </w:r>
            <w:r>
              <w:rPr>
                <w:webHidden/>
              </w:rPr>
              <w:tab/>
            </w:r>
            <w:r>
              <w:rPr>
                <w:webHidden/>
              </w:rPr>
              <w:fldChar w:fldCharType="begin"/>
            </w:r>
            <w:r>
              <w:rPr>
                <w:webHidden/>
              </w:rPr>
              <w:instrText xml:space="preserve"> PAGEREF _Toc417561224 \h </w:instrText>
            </w:r>
            <w:r>
              <w:rPr>
                <w:webHidden/>
              </w:rPr>
            </w:r>
            <w:r>
              <w:rPr>
                <w:webHidden/>
              </w:rPr>
              <w:fldChar w:fldCharType="separate"/>
            </w:r>
            <w:r w:rsidR="00C8098B">
              <w:rPr>
                <w:webHidden/>
              </w:rPr>
              <w:t>14-3</w:t>
            </w:r>
            <w:r>
              <w:rPr>
                <w:webHidden/>
              </w:rPr>
              <w:fldChar w:fldCharType="end"/>
            </w:r>
          </w:hyperlink>
        </w:p>
        <w:p w:rsidR="00BB13E3" w:rsidRDefault="00BB13E3">
          <w:pPr>
            <w:pStyle w:val="TOC1"/>
            <w:rPr>
              <w:rFonts w:asciiTheme="minorHAnsi" w:eastAsiaTheme="minorEastAsia" w:hAnsiTheme="minorHAnsi"/>
              <w:b w:val="0"/>
              <w:color w:val="auto"/>
              <w:sz w:val="22"/>
              <w:lang w:val="en-AU" w:eastAsia="en-AU"/>
            </w:rPr>
          </w:pPr>
          <w:hyperlink w:anchor="_Toc417561225" w:history="1">
            <w:r w:rsidRPr="00EF10C0">
              <w:rPr>
                <w:rStyle w:val="Hyperlink"/>
              </w:rPr>
              <w:t>Shortened forms</w:t>
            </w:r>
            <w:r>
              <w:rPr>
                <w:webHidden/>
              </w:rPr>
              <w:tab/>
            </w:r>
            <w:r>
              <w:rPr>
                <w:webHidden/>
              </w:rPr>
              <w:fldChar w:fldCharType="begin"/>
            </w:r>
            <w:r>
              <w:rPr>
                <w:webHidden/>
              </w:rPr>
              <w:instrText xml:space="preserve"> PAGEREF _Toc417561225 \h </w:instrText>
            </w:r>
            <w:r>
              <w:rPr>
                <w:webHidden/>
              </w:rPr>
            </w:r>
            <w:r>
              <w:rPr>
                <w:webHidden/>
              </w:rPr>
              <w:fldChar w:fldCharType="separate"/>
            </w:r>
            <w:r w:rsidR="00C8098B">
              <w:rPr>
                <w:webHidden/>
              </w:rPr>
              <w:t>14-4</w:t>
            </w:r>
            <w:r>
              <w:rPr>
                <w:webHidden/>
              </w:rPr>
              <w:fldChar w:fldCharType="end"/>
            </w:r>
          </w:hyperlink>
        </w:p>
        <w:p w:rsidR="00BB13E3" w:rsidRDefault="00BB13E3">
          <w:pPr>
            <w:pStyle w:val="TOC1"/>
            <w:rPr>
              <w:rFonts w:asciiTheme="minorHAnsi" w:eastAsiaTheme="minorEastAsia" w:hAnsiTheme="minorHAnsi"/>
              <w:b w:val="0"/>
              <w:color w:val="auto"/>
              <w:sz w:val="22"/>
              <w:lang w:val="en-AU" w:eastAsia="en-AU"/>
            </w:rPr>
          </w:pPr>
          <w:hyperlink w:anchor="_Toc417561226" w:history="1">
            <w:r w:rsidRPr="00EF10C0">
              <w:rPr>
                <w:rStyle w:val="Hyperlink"/>
              </w:rPr>
              <w:t>14</w:t>
            </w:r>
            <w:r>
              <w:rPr>
                <w:rFonts w:asciiTheme="minorHAnsi" w:eastAsiaTheme="minorEastAsia" w:hAnsiTheme="minorHAnsi"/>
                <w:b w:val="0"/>
                <w:color w:val="auto"/>
                <w:sz w:val="22"/>
                <w:lang w:val="en-AU" w:eastAsia="en-AU"/>
              </w:rPr>
              <w:tab/>
            </w:r>
            <w:r w:rsidRPr="00EF10C0">
              <w:rPr>
                <w:rStyle w:val="Hyperlink"/>
              </w:rPr>
              <w:t>Negotiated services</w:t>
            </w:r>
            <w:r>
              <w:rPr>
                <w:webHidden/>
              </w:rPr>
              <w:tab/>
            </w:r>
            <w:r>
              <w:rPr>
                <w:webHidden/>
              </w:rPr>
              <w:fldChar w:fldCharType="begin"/>
            </w:r>
            <w:r>
              <w:rPr>
                <w:webHidden/>
              </w:rPr>
              <w:instrText xml:space="preserve"> PAGEREF _Toc417561226 \h </w:instrText>
            </w:r>
            <w:r>
              <w:rPr>
                <w:webHidden/>
              </w:rPr>
            </w:r>
            <w:r>
              <w:rPr>
                <w:webHidden/>
              </w:rPr>
              <w:fldChar w:fldCharType="separate"/>
            </w:r>
            <w:r w:rsidR="00C8098B">
              <w:rPr>
                <w:webHidden/>
              </w:rPr>
              <w:t>14-6</w:t>
            </w:r>
            <w:r>
              <w:rPr>
                <w:webHidden/>
              </w:rPr>
              <w:fldChar w:fldCharType="end"/>
            </w:r>
          </w:hyperlink>
        </w:p>
        <w:p w:rsidR="00BB13E3" w:rsidRDefault="00BB13E3">
          <w:pPr>
            <w:pStyle w:val="TOC2"/>
            <w:tabs>
              <w:tab w:val="left" w:pos="1276"/>
            </w:tabs>
            <w:rPr>
              <w:rFonts w:asciiTheme="minorHAnsi" w:eastAsiaTheme="minorEastAsia" w:hAnsiTheme="minorHAnsi"/>
              <w:b w:val="0"/>
              <w:color w:val="auto"/>
              <w:sz w:val="22"/>
              <w:lang w:eastAsia="en-AU"/>
            </w:rPr>
          </w:pPr>
          <w:hyperlink w:anchor="_Toc417561227" w:history="1">
            <w:r w:rsidRPr="00EF10C0">
              <w:rPr>
                <w:rStyle w:val="Hyperlink"/>
              </w:rPr>
              <w:t>14.1</w:t>
            </w:r>
            <w:r>
              <w:rPr>
                <w:rFonts w:asciiTheme="minorHAnsi" w:eastAsiaTheme="minorEastAsia" w:hAnsiTheme="minorHAnsi"/>
                <w:b w:val="0"/>
                <w:color w:val="auto"/>
                <w:sz w:val="22"/>
                <w:lang w:eastAsia="en-AU"/>
              </w:rPr>
              <w:tab/>
            </w:r>
            <w:r w:rsidRPr="00EF10C0">
              <w:rPr>
                <w:rStyle w:val="Hyperlink"/>
              </w:rPr>
              <w:t>Final decision</w:t>
            </w:r>
            <w:r>
              <w:rPr>
                <w:webHidden/>
              </w:rPr>
              <w:tab/>
            </w:r>
            <w:r>
              <w:rPr>
                <w:webHidden/>
              </w:rPr>
              <w:fldChar w:fldCharType="begin"/>
            </w:r>
            <w:r>
              <w:rPr>
                <w:webHidden/>
              </w:rPr>
              <w:instrText xml:space="preserve"> PAGEREF _Toc417561227 \h </w:instrText>
            </w:r>
            <w:r>
              <w:rPr>
                <w:webHidden/>
              </w:rPr>
            </w:r>
            <w:r>
              <w:rPr>
                <w:webHidden/>
              </w:rPr>
              <w:fldChar w:fldCharType="separate"/>
            </w:r>
            <w:r w:rsidR="00C8098B">
              <w:rPr>
                <w:webHidden/>
              </w:rPr>
              <w:t>14-6</w:t>
            </w:r>
            <w:r>
              <w:rPr>
                <w:webHidden/>
              </w:rPr>
              <w:fldChar w:fldCharType="end"/>
            </w:r>
          </w:hyperlink>
        </w:p>
        <w:p w:rsidR="00BB13E3" w:rsidRDefault="00BB13E3">
          <w:pPr>
            <w:pStyle w:val="TOC2"/>
            <w:tabs>
              <w:tab w:val="left" w:pos="1276"/>
            </w:tabs>
            <w:rPr>
              <w:rFonts w:asciiTheme="minorHAnsi" w:eastAsiaTheme="minorEastAsia" w:hAnsiTheme="minorHAnsi"/>
              <w:b w:val="0"/>
              <w:color w:val="auto"/>
              <w:sz w:val="22"/>
              <w:lang w:eastAsia="en-AU"/>
            </w:rPr>
          </w:pPr>
          <w:hyperlink w:anchor="_Toc417561228" w:history="1">
            <w:r w:rsidRPr="00EF10C0">
              <w:rPr>
                <w:rStyle w:val="Hyperlink"/>
              </w:rPr>
              <w:t>14.2</w:t>
            </w:r>
            <w:r>
              <w:rPr>
                <w:rFonts w:asciiTheme="minorHAnsi" w:eastAsiaTheme="minorEastAsia" w:hAnsiTheme="minorHAnsi"/>
                <w:b w:val="0"/>
                <w:color w:val="auto"/>
                <w:sz w:val="22"/>
                <w:lang w:eastAsia="en-AU"/>
              </w:rPr>
              <w:tab/>
            </w:r>
            <w:r w:rsidRPr="00EF10C0">
              <w:rPr>
                <w:rStyle w:val="Hyperlink"/>
              </w:rPr>
              <w:t>TransGrid’s revised proposal</w:t>
            </w:r>
            <w:r>
              <w:rPr>
                <w:webHidden/>
              </w:rPr>
              <w:tab/>
            </w:r>
            <w:r>
              <w:rPr>
                <w:webHidden/>
              </w:rPr>
              <w:fldChar w:fldCharType="begin"/>
            </w:r>
            <w:r>
              <w:rPr>
                <w:webHidden/>
              </w:rPr>
              <w:instrText xml:space="preserve"> PAGEREF _Toc417561228 \h </w:instrText>
            </w:r>
            <w:r>
              <w:rPr>
                <w:webHidden/>
              </w:rPr>
            </w:r>
            <w:r>
              <w:rPr>
                <w:webHidden/>
              </w:rPr>
              <w:fldChar w:fldCharType="separate"/>
            </w:r>
            <w:r w:rsidR="00C8098B">
              <w:rPr>
                <w:webHidden/>
              </w:rPr>
              <w:t>14-6</w:t>
            </w:r>
            <w:r>
              <w:rPr>
                <w:webHidden/>
              </w:rPr>
              <w:fldChar w:fldCharType="end"/>
            </w:r>
          </w:hyperlink>
        </w:p>
        <w:p w:rsidR="00BB13E3" w:rsidRDefault="00BB13E3">
          <w:pPr>
            <w:pStyle w:val="TOC2"/>
            <w:tabs>
              <w:tab w:val="left" w:pos="1276"/>
            </w:tabs>
            <w:rPr>
              <w:rFonts w:asciiTheme="minorHAnsi" w:eastAsiaTheme="minorEastAsia" w:hAnsiTheme="minorHAnsi"/>
              <w:b w:val="0"/>
              <w:color w:val="auto"/>
              <w:sz w:val="22"/>
              <w:lang w:eastAsia="en-AU"/>
            </w:rPr>
          </w:pPr>
          <w:hyperlink w:anchor="_Toc417561229" w:history="1">
            <w:r w:rsidRPr="00EF10C0">
              <w:rPr>
                <w:rStyle w:val="Hyperlink"/>
              </w:rPr>
              <w:t>14.3</w:t>
            </w:r>
            <w:r>
              <w:rPr>
                <w:rFonts w:asciiTheme="minorHAnsi" w:eastAsiaTheme="minorEastAsia" w:hAnsiTheme="minorHAnsi"/>
                <w:b w:val="0"/>
                <w:color w:val="auto"/>
                <w:sz w:val="22"/>
                <w:lang w:eastAsia="en-AU"/>
              </w:rPr>
              <w:tab/>
            </w:r>
            <w:r w:rsidRPr="00EF10C0">
              <w:rPr>
                <w:rStyle w:val="Hyperlink"/>
              </w:rPr>
              <w:t>AER’s assessment approach</w:t>
            </w:r>
            <w:r>
              <w:rPr>
                <w:webHidden/>
              </w:rPr>
              <w:tab/>
            </w:r>
            <w:r>
              <w:rPr>
                <w:webHidden/>
              </w:rPr>
              <w:fldChar w:fldCharType="begin"/>
            </w:r>
            <w:r>
              <w:rPr>
                <w:webHidden/>
              </w:rPr>
              <w:instrText xml:space="preserve"> PAGEREF _Toc417561229 \h </w:instrText>
            </w:r>
            <w:r>
              <w:rPr>
                <w:webHidden/>
              </w:rPr>
            </w:r>
            <w:r>
              <w:rPr>
                <w:webHidden/>
              </w:rPr>
              <w:fldChar w:fldCharType="separate"/>
            </w:r>
            <w:r w:rsidR="00C8098B">
              <w:rPr>
                <w:webHidden/>
              </w:rPr>
              <w:t>14-6</w:t>
            </w:r>
            <w:r>
              <w:rPr>
                <w:webHidden/>
              </w:rPr>
              <w:fldChar w:fldCharType="end"/>
            </w:r>
          </w:hyperlink>
        </w:p>
        <w:p w:rsidR="00BB13E3" w:rsidRDefault="00BB13E3">
          <w:pPr>
            <w:pStyle w:val="TOC2"/>
            <w:tabs>
              <w:tab w:val="left" w:pos="1276"/>
            </w:tabs>
            <w:rPr>
              <w:rFonts w:asciiTheme="minorHAnsi" w:eastAsiaTheme="minorEastAsia" w:hAnsiTheme="minorHAnsi"/>
              <w:b w:val="0"/>
              <w:color w:val="auto"/>
              <w:sz w:val="22"/>
              <w:lang w:eastAsia="en-AU"/>
            </w:rPr>
          </w:pPr>
          <w:hyperlink w:anchor="_Toc417561230" w:history="1">
            <w:r w:rsidRPr="00EF10C0">
              <w:rPr>
                <w:rStyle w:val="Hyperlink"/>
              </w:rPr>
              <w:t>14.4</w:t>
            </w:r>
            <w:r>
              <w:rPr>
                <w:rFonts w:asciiTheme="minorHAnsi" w:eastAsiaTheme="minorEastAsia" w:hAnsiTheme="minorHAnsi"/>
                <w:b w:val="0"/>
                <w:color w:val="auto"/>
                <w:sz w:val="22"/>
                <w:lang w:eastAsia="en-AU"/>
              </w:rPr>
              <w:tab/>
            </w:r>
            <w:r w:rsidRPr="00EF10C0">
              <w:rPr>
                <w:rStyle w:val="Hyperlink"/>
              </w:rPr>
              <w:t>Reasons for final decision</w:t>
            </w:r>
            <w:r>
              <w:rPr>
                <w:webHidden/>
              </w:rPr>
              <w:tab/>
            </w:r>
            <w:r>
              <w:rPr>
                <w:webHidden/>
              </w:rPr>
              <w:fldChar w:fldCharType="begin"/>
            </w:r>
            <w:r>
              <w:rPr>
                <w:webHidden/>
              </w:rPr>
              <w:instrText xml:space="preserve"> PAGEREF _Toc417561230 \h </w:instrText>
            </w:r>
            <w:r>
              <w:rPr>
                <w:webHidden/>
              </w:rPr>
            </w:r>
            <w:r>
              <w:rPr>
                <w:webHidden/>
              </w:rPr>
              <w:fldChar w:fldCharType="separate"/>
            </w:r>
            <w:r w:rsidR="00C8098B">
              <w:rPr>
                <w:webHidden/>
              </w:rPr>
              <w:t>14-7</w:t>
            </w:r>
            <w:r>
              <w:rPr>
                <w:webHidden/>
              </w:rPr>
              <w:fldChar w:fldCharType="end"/>
            </w:r>
          </w:hyperlink>
        </w:p>
        <w:p w:rsidR="00DE563D" w:rsidRDefault="00D76276" w:rsidP="00D76276">
          <w:pPr>
            <w:pStyle w:val="TOC1"/>
          </w:pPr>
          <w:r>
            <w:rPr>
              <w:color w:val="auto"/>
              <w:sz w:val="22"/>
            </w:rP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17561225"/>
      <w:r>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368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7E3C2A" w:rsidP="007E3C2A">
      <w:pPr>
        <w:pStyle w:val="Heading1"/>
      </w:pPr>
      <w:bookmarkStart w:id="10" w:name="_Toc417561226"/>
      <w:r>
        <w:t>Negotiated services</w:t>
      </w:r>
      <w:bookmarkEnd w:id="10"/>
    </w:p>
    <w:p w:rsidR="00BB28F2" w:rsidRDefault="00CA20F5" w:rsidP="00BB28F2">
      <w:bookmarkStart w:id="11" w:name="_Toc403144136"/>
      <w:r>
        <w:t xml:space="preserve">We must approve a </w:t>
      </w:r>
      <w:r w:rsidR="0059386B">
        <w:t xml:space="preserve">transmission </w:t>
      </w:r>
      <w:r>
        <w:t xml:space="preserve">negotiating framework and specify the negotiated transmission service criteria for TransGrid. </w:t>
      </w:r>
    </w:p>
    <w:p w:rsidR="00CA20F5" w:rsidRPr="00841FE0" w:rsidRDefault="00CA20F5" w:rsidP="00CA20F5">
      <w:r>
        <w:t>In contrast to our regulation of prescribed transmission services</w:t>
      </w:r>
      <w:r w:rsidRPr="00841FE0">
        <w:t xml:space="preserve">, the provision of negotiated transmission services is less directly regulated by the AER. Instead, under the National Electricity Rules (NER), these services are subject to negotiation between parties, or alternatively arbitration and dispute resolution by a commercial arbitrator. </w:t>
      </w:r>
    </w:p>
    <w:p w:rsidR="00CA20F5" w:rsidRDefault="00CA20F5" w:rsidP="00BB28F2">
      <w:r w:rsidRPr="00841FE0">
        <w:t xml:space="preserve">For the purpose of facilitating such negotiation and arbitration, a </w:t>
      </w:r>
      <w:r>
        <w:t>transmission business</w:t>
      </w:r>
      <w:r w:rsidRPr="00841FE0">
        <w:t xml:space="preserve"> must prepare, for </w:t>
      </w:r>
      <w:r>
        <w:t>our</w:t>
      </w:r>
      <w:r w:rsidRPr="00841FE0">
        <w:t xml:space="preserve"> approval, a negotiating framework which sets out procedures for negotiating the terms and conditions of access to a negotiated transmission service.</w:t>
      </w:r>
      <w:r>
        <w:rPr>
          <w:rStyle w:val="FootnoteReference"/>
        </w:rPr>
        <w:footnoteReference w:id="1"/>
      </w:r>
      <w:r w:rsidRPr="00841FE0">
        <w:t xml:space="preserve"> In addition, </w:t>
      </w:r>
      <w:r>
        <w:t>we</w:t>
      </w:r>
      <w:r w:rsidRPr="00841FE0">
        <w:t xml:space="preserve"> specif</w:t>
      </w:r>
      <w:r>
        <w:t>y</w:t>
      </w:r>
      <w:r w:rsidRPr="00841FE0">
        <w:t xml:space="preserve"> for each </w:t>
      </w:r>
      <w:r>
        <w:t xml:space="preserve">transmission business the </w:t>
      </w:r>
      <w:r w:rsidRPr="00841FE0">
        <w:t xml:space="preserve">negotiated transmission service criteria (NTSC) that </w:t>
      </w:r>
      <w:r>
        <w:t>it</w:t>
      </w:r>
      <w:r w:rsidRPr="00841FE0">
        <w:t xml:space="preserve"> must apply in negotiating terms and conditions of access, including the prices and access charges for negotiated transmission services.</w:t>
      </w:r>
      <w:r>
        <w:rPr>
          <w:rStyle w:val="FootnoteReference"/>
        </w:rPr>
        <w:footnoteReference w:id="2"/>
      </w:r>
      <w:r w:rsidRPr="00841FE0">
        <w:t xml:space="preserve"> They also contain the criteria that a commercial arbitrator must apply to resolve disputes about such terms and conditions and/or access charges.</w:t>
      </w:r>
      <w:r>
        <w:rPr>
          <w:rStyle w:val="FootnoteReference"/>
        </w:rPr>
        <w:footnoteReference w:id="3"/>
      </w:r>
      <w:r w:rsidRPr="00841FE0">
        <w:t xml:space="preserve"> </w:t>
      </w:r>
    </w:p>
    <w:p w:rsidR="00DE563D" w:rsidRPr="001754EE" w:rsidRDefault="00415F31" w:rsidP="001754EE">
      <w:pPr>
        <w:pStyle w:val="Heading2"/>
      </w:pPr>
      <w:bookmarkStart w:id="12" w:name="_Toc417561227"/>
      <w:r w:rsidRPr="001754EE">
        <w:t>Final</w:t>
      </w:r>
      <w:r w:rsidR="00DE563D" w:rsidRPr="001754EE">
        <w:t xml:space="preserve"> decision</w:t>
      </w:r>
      <w:bookmarkEnd w:id="11"/>
      <w:bookmarkEnd w:id="12"/>
    </w:p>
    <w:p w:rsidR="00BB28F2" w:rsidRDefault="00CA20F5" w:rsidP="00BB28F2">
      <w:bookmarkStart w:id="13" w:name="_Toc403144137"/>
      <w:r>
        <w:t>We affirm our draft decision approving TransGrid's proposed negotiating framework.</w:t>
      </w:r>
    </w:p>
    <w:p w:rsidR="00CA20F5" w:rsidRDefault="00CA20F5" w:rsidP="00BB28F2">
      <w:r>
        <w:t>We will apply to TransGrid the NTSC we published in May 2014.</w:t>
      </w:r>
      <w:r w:rsidR="00306379">
        <w:rPr>
          <w:rStyle w:val="FootnoteReference"/>
        </w:rPr>
        <w:footnoteReference w:id="4"/>
      </w:r>
    </w:p>
    <w:p w:rsidR="00DE563D" w:rsidRPr="001754EE" w:rsidRDefault="00415F31" w:rsidP="001754EE">
      <w:pPr>
        <w:pStyle w:val="Heading2"/>
      </w:pPr>
      <w:bookmarkStart w:id="14" w:name="_Toc417561228"/>
      <w:r w:rsidRPr="001754EE">
        <w:t>TransGrid’s revised</w:t>
      </w:r>
      <w:r w:rsidR="00DE563D" w:rsidRPr="001754EE">
        <w:t xml:space="preserve"> proposal</w:t>
      </w:r>
      <w:bookmarkEnd w:id="13"/>
      <w:bookmarkEnd w:id="14"/>
    </w:p>
    <w:p w:rsidR="00BB28F2" w:rsidRDefault="00CA20F5" w:rsidP="00BB28F2">
      <w:r>
        <w:t xml:space="preserve">TransGrid did not submit a revised negotiating framework. </w:t>
      </w:r>
      <w:r w:rsidR="00720FF1">
        <w:t xml:space="preserve">Instead, it </w:t>
      </w:r>
      <w:r>
        <w:t xml:space="preserve">accepted the AER's draft decision approving the negotiating framework submitted with </w:t>
      </w:r>
      <w:r w:rsidR="00720FF1">
        <w:t>TransGrid's</w:t>
      </w:r>
      <w:r>
        <w:t xml:space="preserve"> initial revenue proposal.</w:t>
      </w:r>
      <w:r w:rsidR="00DC5713">
        <w:rPr>
          <w:rStyle w:val="FootnoteReference"/>
        </w:rPr>
        <w:footnoteReference w:id="5"/>
      </w:r>
      <w:r>
        <w:t xml:space="preserve"> </w:t>
      </w:r>
    </w:p>
    <w:p w:rsidR="00DE563D" w:rsidRDefault="00DE563D" w:rsidP="001754EE">
      <w:pPr>
        <w:pStyle w:val="Heading2"/>
      </w:pPr>
      <w:bookmarkStart w:id="15" w:name="_Toc403144138"/>
      <w:bookmarkStart w:id="16" w:name="_Toc417561229"/>
      <w:r w:rsidRPr="001754EE">
        <w:t>AER’s</w:t>
      </w:r>
      <w:r>
        <w:t xml:space="preserve"> assessment approach</w:t>
      </w:r>
      <w:bookmarkEnd w:id="15"/>
      <w:bookmarkEnd w:id="16"/>
    </w:p>
    <w:p w:rsidR="00720FF1" w:rsidRPr="00720FF1" w:rsidRDefault="00720FF1" w:rsidP="00720FF1">
      <w:pPr>
        <w:pStyle w:val="AERbulletlistfirststyle"/>
        <w:numPr>
          <w:ilvl w:val="0"/>
          <w:numId w:val="0"/>
        </w:numPr>
        <w:ind w:left="357" w:hanging="357"/>
      </w:pPr>
      <w:r>
        <w:t>In reaching our draft decision, we</w:t>
      </w:r>
      <w:r w:rsidRPr="00720FF1">
        <w:t xml:space="preserve"> considered whether:</w:t>
      </w:r>
    </w:p>
    <w:p w:rsidR="00720FF1" w:rsidRPr="00720FF1" w:rsidRDefault="00720FF1" w:rsidP="00720FF1">
      <w:pPr>
        <w:pStyle w:val="AERbulletlistfirststyle"/>
      </w:pPr>
      <w:r w:rsidRPr="00E00493">
        <w:t>the proposed negotiating framework specified the minimum requirements in clause 6A.9.5(c) of the NER</w:t>
      </w:r>
      <w:r w:rsidRPr="00720FF1">
        <w:rPr>
          <w:rStyle w:val="FootnoteReference"/>
        </w:rPr>
        <w:footnoteReference w:id="6"/>
      </w:r>
      <w:r w:rsidRPr="00720FF1">
        <w:t xml:space="preserve"> </w:t>
      </w:r>
    </w:p>
    <w:p w:rsidR="00720FF1" w:rsidRDefault="00720FF1" w:rsidP="00720FF1">
      <w:pPr>
        <w:pStyle w:val="AERbulletlistfirststyle"/>
      </w:pPr>
      <w:r>
        <w:t xml:space="preserve">the NTSC sets out </w:t>
      </w:r>
      <w:r w:rsidRPr="00E00493">
        <w:t>c</w:t>
      </w:r>
      <w:r>
        <w:t>riteria reflecting</w:t>
      </w:r>
      <w:r w:rsidRPr="00E00493">
        <w:t xml:space="preserve"> the negotiated transmission service principles in clause 6A.9.1 of the NER</w:t>
      </w:r>
      <w:r w:rsidRPr="00720FF1">
        <w:rPr>
          <w:rStyle w:val="FootnoteReference"/>
        </w:rPr>
        <w:footnoteReference w:id="7"/>
      </w:r>
    </w:p>
    <w:p w:rsidR="00DE563D" w:rsidRDefault="00DE563D" w:rsidP="001754EE">
      <w:pPr>
        <w:pStyle w:val="Heading2"/>
      </w:pPr>
      <w:bookmarkStart w:id="17" w:name="_Toc403144140"/>
      <w:bookmarkStart w:id="18" w:name="_Toc417561230"/>
      <w:r w:rsidRPr="001754EE">
        <w:t>Reasons</w:t>
      </w:r>
      <w:r>
        <w:t xml:space="preserve"> for </w:t>
      </w:r>
      <w:r w:rsidR="002016E7">
        <w:t>final</w:t>
      </w:r>
      <w:r>
        <w:t xml:space="preserve"> decision</w:t>
      </w:r>
      <w:bookmarkEnd w:id="17"/>
      <w:bookmarkEnd w:id="18"/>
      <w:r>
        <w:t xml:space="preserve"> </w:t>
      </w:r>
    </w:p>
    <w:p w:rsidR="00720FF1" w:rsidRDefault="00720FF1" w:rsidP="00720FF1">
      <w:pPr>
        <w:numPr>
          <w:ilvl w:val="0"/>
          <w:numId w:val="25"/>
        </w:numPr>
      </w:pPr>
      <w:r w:rsidRPr="007318BF">
        <w:t xml:space="preserve">We </w:t>
      </w:r>
      <w:r>
        <w:t>affirm our draft decision approving</w:t>
      </w:r>
      <w:r w:rsidRPr="007318BF">
        <w:t xml:space="preserve"> </w:t>
      </w:r>
      <w:r>
        <w:t>TransGrid's</w:t>
      </w:r>
      <w:r w:rsidRPr="007318BF">
        <w:t xml:space="preserve"> proposed negotiating framework because it specifies</w:t>
      </w:r>
      <w:r>
        <w:t xml:space="preserve"> and meets</w:t>
      </w:r>
      <w:r w:rsidRPr="007318BF">
        <w:t xml:space="preserve"> the minimum NER requirements</w:t>
      </w:r>
      <w:r>
        <w:t>.</w:t>
      </w:r>
      <w:r>
        <w:rPr>
          <w:rStyle w:val="FootnoteReference"/>
        </w:rPr>
        <w:footnoteReference w:id="8"/>
      </w:r>
      <w:r w:rsidRPr="007318BF">
        <w:t xml:space="preserve">  Th</w:t>
      </w:r>
      <w:r>
        <w:t>e</w:t>
      </w:r>
      <w:r w:rsidRPr="007318BF">
        <w:t xml:space="preserve">se include, among other things, a statement that </w:t>
      </w:r>
      <w:r>
        <w:t xml:space="preserve">TransGrid </w:t>
      </w:r>
      <w:r w:rsidRPr="007318BF">
        <w:t>will negotiate in good faith and a description of procedures for dealing with disputes.</w:t>
      </w:r>
      <w:r>
        <w:t xml:space="preserve"> For our full reasons for approving TransGrid's proposed negotiating fra</w:t>
      </w:r>
      <w:r w:rsidR="00306379">
        <w:t>mework, refer to attachment 14</w:t>
      </w:r>
      <w:r>
        <w:t xml:space="preserve"> of our draft decision: </w:t>
      </w:r>
      <w:hyperlink r:id="rId14" w:history="1">
        <w:r w:rsidRPr="00C63275">
          <w:rPr>
            <w:rStyle w:val="Hyperlink"/>
          </w:rPr>
          <w:t>http://www.aer.gov.au/node/23137</w:t>
        </w:r>
      </w:hyperlink>
      <w:r>
        <w:t>.</w:t>
      </w:r>
    </w:p>
    <w:p w:rsidR="00CB0279" w:rsidRPr="00290C63" w:rsidRDefault="00720FF1" w:rsidP="00BB28F2">
      <w:r>
        <w:t>The NTSC we published in May 2014 sets out criteria reflecting the negotiated transmission service principles in clause 6A.9.1 of the NER.</w:t>
      </w:r>
      <w:r w:rsidR="00306379">
        <w:rPr>
          <w:rStyle w:val="FootnoteReference"/>
        </w:rPr>
        <w:footnoteReference w:id="9"/>
      </w:r>
      <w:r>
        <w:t xml:space="preserve"> We therefore </w:t>
      </w:r>
      <w:r w:rsidR="00B80571">
        <w:t>confirm</w:t>
      </w:r>
      <w:r>
        <w:t xml:space="preserve"> that it will apply to TransGrid in the 2015–18 regulatory control period.</w:t>
      </w:r>
    </w:p>
    <w:sectPr w:rsidR="00CB0279" w:rsidRPr="00290C63"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603327"/>
      <w:docPartObj>
        <w:docPartGallery w:val="Page Numbers (Bottom of Page)"/>
        <w:docPartUnique/>
      </w:docPartObj>
    </w:sdtPr>
    <w:sdtEndPr>
      <w:rPr>
        <w:noProof/>
        <w:sz w:val="16"/>
        <w:szCs w:val="16"/>
      </w:rPr>
    </w:sdtEndPr>
    <w:sdtContent>
      <w:p w:rsidR="00DE563D" w:rsidRDefault="00423A77">
        <w:pPr>
          <w:pStyle w:val="Footer"/>
        </w:pPr>
        <w:r>
          <w:fldChar w:fldCharType="begin"/>
        </w:r>
        <w:r>
          <w:instrText xml:space="preserve"> PAGE   \* MERGEFORMAT </w:instrText>
        </w:r>
        <w:r>
          <w:fldChar w:fldCharType="separate"/>
        </w:r>
        <w:r w:rsidR="00C8098B">
          <w:rPr>
            <w:noProof/>
          </w:rPr>
          <w:t>14-3</w:t>
        </w:r>
        <w:r>
          <w:rPr>
            <w:noProof/>
          </w:rPr>
          <w:fldChar w:fldCharType="end"/>
        </w:r>
        <w:r w:rsidR="00FD5E78">
          <w:rPr>
            <w:noProof/>
          </w:rPr>
          <w:t xml:space="preserve">          </w:t>
        </w:r>
        <w:r w:rsidR="00DE563D" w:rsidRPr="00FD5E78">
          <w:rPr>
            <w:noProof/>
            <w:sz w:val="16"/>
            <w:szCs w:val="16"/>
          </w:rPr>
          <w:t xml:space="preserve">Attachment </w:t>
        </w:r>
        <w:r w:rsidR="00EA3825">
          <w:rPr>
            <w:noProof/>
            <w:sz w:val="16"/>
            <w:szCs w:val="16"/>
          </w:rPr>
          <w:t>1</w:t>
        </w:r>
        <w:r w:rsidR="007E3C2A">
          <w:rPr>
            <w:noProof/>
            <w:sz w:val="16"/>
            <w:szCs w:val="16"/>
          </w:rPr>
          <w:t>4</w:t>
        </w:r>
        <w:r w:rsidR="00DE563D" w:rsidRPr="00FD5E78">
          <w:rPr>
            <w:noProof/>
            <w:sz w:val="16"/>
            <w:szCs w:val="16"/>
          </w:rPr>
          <w:t xml:space="preserve"> </w:t>
        </w:r>
        <w:r w:rsidR="00DE563D" w:rsidRPr="00FD5E78">
          <w:rPr>
            <w:rFonts w:cs="Gautami"/>
            <w:noProof/>
            <w:sz w:val="16"/>
            <w:szCs w:val="16"/>
          </w:rPr>
          <w:t xml:space="preserve">– </w:t>
        </w:r>
        <w:r w:rsidR="007E3C2A">
          <w:rPr>
            <w:sz w:val="16"/>
            <w:szCs w:val="16"/>
          </w:rPr>
          <w:t>Negotiated services</w:t>
        </w:r>
        <w:r w:rsidR="00DE563D" w:rsidRPr="00FD5E78">
          <w:rPr>
            <w:rFonts w:cs="Gautami"/>
            <w:noProof/>
            <w:sz w:val="16"/>
            <w:szCs w:val="16"/>
          </w:rPr>
          <w:t xml:space="preserve"> | </w:t>
        </w:r>
        <w:r w:rsidR="00FD5E78" w:rsidRPr="00FD5E78">
          <w:rPr>
            <w:rFonts w:cs="Gautami"/>
            <w:noProof/>
            <w:sz w:val="16"/>
            <w:szCs w:val="16"/>
          </w:rPr>
          <w:t xml:space="preserve">Final decision </w:t>
        </w:r>
        <w:r w:rsidR="002016E7" w:rsidRPr="00FD5E78">
          <w:rPr>
            <w:sz w:val="16"/>
            <w:szCs w:val="16"/>
          </w:rPr>
          <w:t>TransGrid transmission</w:t>
        </w:r>
        <w:r w:rsidR="00DE563D" w:rsidRPr="00FD5E78">
          <w:rPr>
            <w:rFonts w:cs="Gautami"/>
            <w:noProof/>
            <w:sz w:val="16"/>
            <w:szCs w:val="16"/>
          </w:rPr>
          <w:t xml:space="preserve"> determination 2015–</w:t>
        </w:r>
        <w:r w:rsidR="002016E7" w:rsidRPr="00FD5E78">
          <w:rPr>
            <w:rFonts w:cs="Gautami"/>
            <w:noProof/>
            <w:sz w:val="16"/>
            <w:szCs w:val="16"/>
          </w:rPr>
          <w:t>18</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CA20F5" w:rsidRDefault="00CA20F5" w:rsidP="00CA20F5">
      <w:pPr>
        <w:pStyle w:val="FootnoteText"/>
      </w:pPr>
      <w:r>
        <w:rPr>
          <w:rStyle w:val="FootnoteReference"/>
        </w:rPr>
        <w:footnoteRef/>
      </w:r>
      <w:r>
        <w:t xml:space="preserve"> </w:t>
      </w:r>
      <w:r>
        <w:tab/>
        <w:t>NER, cl. 6A.9.5(a).</w:t>
      </w:r>
    </w:p>
  </w:footnote>
  <w:footnote w:id="2">
    <w:p w:rsidR="00CA20F5" w:rsidRDefault="00CA20F5" w:rsidP="00CA20F5">
      <w:pPr>
        <w:pStyle w:val="FootnoteText"/>
      </w:pPr>
      <w:r>
        <w:rPr>
          <w:rStyle w:val="FootnoteReference"/>
        </w:rPr>
        <w:footnoteRef/>
      </w:r>
      <w:r>
        <w:t xml:space="preserve"> </w:t>
      </w:r>
      <w:r>
        <w:tab/>
        <w:t>NER, cl. 6A.9.4(a)(1).</w:t>
      </w:r>
    </w:p>
  </w:footnote>
  <w:footnote w:id="3">
    <w:p w:rsidR="00CA20F5" w:rsidRDefault="00CA20F5" w:rsidP="00CA20F5">
      <w:pPr>
        <w:pStyle w:val="FootnoteText"/>
      </w:pPr>
      <w:r>
        <w:rPr>
          <w:rStyle w:val="FootnoteReference"/>
        </w:rPr>
        <w:footnoteRef/>
      </w:r>
      <w:r>
        <w:t xml:space="preserve"> </w:t>
      </w:r>
      <w:r>
        <w:tab/>
        <w:t>NER, cl. 6A.9.4(a)(2).</w:t>
      </w:r>
    </w:p>
  </w:footnote>
  <w:footnote w:id="4">
    <w:p w:rsidR="00306379" w:rsidRDefault="00306379">
      <w:pPr>
        <w:pStyle w:val="FootnoteText"/>
      </w:pPr>
      <w:r>
        <w:rPr>
          <w:rStyle w:val="FootnoteReference"/>
        </w:rPr>
        <w:footnoteRef/>
      </w:r>
      <w:r>
        <w:t xml:space="preserve"> </w:t>
      </w:r>
      <w:r>
        <w:tab/>
        <w:t>The NTSC can be accessed via this link:</w:t>
      </w:r>
      <w:r w:rsidR="0030512A">
        <w:t xml:space="preserve"> http://www.aer.gov.au/node.23137.</w:t>
      </w:r>
    </w:p>
  </w:footnote>
  <w:footnote w:id="5">
    <w:p w:rsidR="00DC5713" w:rsidRDefault="00DC5713">
      <w:pPr>
        <w:pStyle w:val="FootnoteText"/>
      </w:pPr>
      <w:r>
        <w:rPr>
          <w:rStyle w:val="FootnoteReference"/>
        </w:rPr>
        <w:footnoteRef/>
      </w:r>
      <w:r>
        <w:t xml:space="preserve"> </w:t>
      </w:r>
      <w:r>
        <w:tab/>
        <w:t xml:space="preserve">TransGrid, </w:t>
      </w:r>
      <w:r w:rsidRPr="00B80571">
        <w:rPr>
          <w:rStyle w:val="AERtextitalic"/>
        </w:rPr>
        <w:t>Revised revenue proposal: 2014–15 to 2017–18</w:t>
      </w:r>
      <w:r>
        <w:t>, January 2015, p. 14.</w:t>
      </w:r>
    </w:p>
  </w:footnote>
  <w:footnote w:id="6">
    <w:p w:rsidR="00720FF1" w:rsidRDefault="00720FF1" w:rsidP="00720FF1">
      <w:pPr>
        <w:pStyle w:val="FootnoteText"/>
      </w:pPr>
      <w:r>
        <w:rPr>
          <w:rStyle w:val="FootnoteReference"/>
        </w:rPr>
        <w:footnoteRef/>
      </w:r>
      <w:r>
        <w:t xml:space="preserve"> </w:t>
      </w:r>
      <w:r>
        <w:tab/>
        <w:t>NER, cll. 6A.9.5(b)(2); 6A.14.3(f).</w:t>
      </w:r>
    </w:p>
  </w:footnote>
  <w:footnote w:id="7">
    <w:p w:rsidR="00720FF1" w:rsidRDefault="00720FF1" w:rsidP="00720FF1">
      <w:pPr>
        <w:pStyle w:val="FootnoteText"/>
      </w:pPr>
      <w:r>
        <w:rPr>
          <w:rStyle w:val="FootnoteReference"/>
        </w:rPr>
        <w:footnoteRef/>
      </w:r>
      <w:r>
        <w:t xml:space="preserve"> </w:t>
      </w:r>
      <w:r>
        <w:tab/>
        <w:t>NER, cll. 6A.9.4(a) and (b); 6A.14.1(i)`</w:t>
      </w:r>
    </w:p>
  </w:footnote>
  <w:footnote w:id="8">
    <w:p w:rsidR="00720FF1" w:rsidRDefault="00720FF1" w:rsidP="00720FF1">
      <w:pPr>
        <w:pStyle w:val="FootnoteText"/>
      </w:pPr>
      <w:r>
        <w:rPr>
          <w:rStyle w:val="FootnoteReference"/>
        </w:rPr>
        <w:footnoteRef/>
      </w:r>
      <w:r>
        <w:t xml:space="preserve"> </w:t>
      </w:r>
      <w:r>
        <w:tab/>
        <w:t>NER, cl. 6A.9.5(c).</w:t>
      </w:r>
    </w:p>
  </w:footnote>
  <w:footnote w:id="9">
    <w:p w:rsidR="00306379" w:rsidRDefault="00306379">
      <w:pPr>
        <w:pStyle w:val="FootnoteText"/>
      </w:pPr>
      <w:r>
        <w:rPr>
          <w:rStyle w:val="FootnoteReference"/>
        </w:rPr>
        <w:footnoteRef/>
      </w:r>
      <w:r>
        <w:t xml:space="preserve"> </w:t>
      </w:r>
      <w:r>
        <w:tab/>
      </w:r>
      <w:r w:rsidR="0030512A">
        <w:t>The NTSC can be accessed via this link: http://www.aer.gov.au/node.23137.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87C7731"/>
    <w:multiLevelType w:val="multilevel"/>
    <w:tmpl w:val="950A1C52"/>
    <w:numStyleLink w:val="AERHeadings"/>
  </w:abstractNum>
  <w:abstractNum w:abstractNumId="2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4">
    <w:nsid w:val="5ECE4384"/>
    <w:multiLevelType w:val="multilevel"/>
    <w:tmpl w:val="D612F74C"/>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6">
    <w:nsid w:val="6DE36827"/>
    <w:multiLevelType w:val="multilevel"/>
    <w:tmpl w:val="950A1C52"/>
    <w:numStyleLink w:val="AERHeadings"/>
  </w:abstractNum>
  <w:abstractNum w:abstractNumId="3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23"/>
  </w:num>
  <w:num w:numId="14">
    <w:abstractNumId w:val="10"/>
  </w:num>
  <w:num w:numId="15">
    <w:abstractNumId w:val="13"/>
  </w:num>
  <w:num w:numId="16">
    <w:abstractNumId w:val="29"/>
  </w:num>
  <w:num w:numId="17">
    <w:abstractNumId w:val="9"/>
  </w:num>
  <w:num w:numId="18">
    <w:abstractNumId w:val="18"/>
  </w:num>
  <w:num w:numId="19">
    <w:abstractNumId w:val="30"/>
  </w:num>
  <w:num w:numId="20">
    <w:abstractNumId w:val="37"/>
  </w:num>
  <w:num w:numId="21">
    <w:abstractNumId w:val="14"/>
  </w:num>
  <w:num w:numId="22">
    <w:abstractNumId w:val="33"/>
  </w:num>
  <w:num w:numId="23">
    <w:abstractNumId w:val="31"/>
  </w:num>
  <w:num w:numId="24">
    <w:abstractNumId w:val="20"/>
  </w:num>
  <w:num w:numId="25">
    <w:abstractNumId w:val="32"/>
  </w:num>
  <w:num w:numId="26">
    <w:abstractNumId w:val="34"/>
  </w:num>
  <w:num w:numId="27">
    <w:abstractNumId w:val="22"/>
  </w:num>
  <w:num w:numId="28">
    <w:abstractNumId w:val="19"/>
  </w:num>
  <w:num w:numId="29">
    <w:abstractNumId w:val="17"/>
  </w:num>
  <w:num w:numId="30">
    <w:abstractNumId w:val="38"/>
  </w:num>
  <w:num w:numId="31">
    <w:abstractNumId w:val="15"/>
  </w:num>
  <w:num w:numId="32">
    <w:abstractNumId w:val="26"/>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6"/>
  </w:num>
  <w:num w:numId="37">
    <w:abstractNumId w:val="28"/>
  </w:num>
  <w:num w:numId="38">
    <w:abstractNumId w:val="25"/>
  </w:num>
  <w:num w:numId="39">
    <w:abstractNumId w:val="12"/>
  </w:num>
  <w:num w:numId="40">
    <w:abstractNumId w:val="34"/>
  </w:num>
  <w:num w:numId="41">
    <w:abstractNumId w:val="34"/>
  </w:num>
  <w:num w:numId="42">
    <w:abstractNumId w:val="27"/>
  </w:num>
  <w:num w:numId="43">
    <w:abstractNumId w:val="16"/>
  </w:num>
  <w:num w:numId="44">
    <w:abstractNumId w:val="21"/>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693A4xll3BKUYKiIrS1ERPTue1jiMd0rERXSujFm5Ek=" w:saltValue="CAFE+CANRzc6IMxooIh8cw==" w:algorithmName="SHA-256"/>
  <w:defaultTabStop w:val="34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Overview and attachments - Public\AER - Final Decision TransGrid transmission determination - Attachment 14 - negotiated services - April 2015 fixed.docx"/>
  </w:docVars>
  <w:rsids>
    <w:rsidRoot w:val="00961A4A"/>
    <w:rsid w:val="00021202"/>
    <w:rsid w:val="00021C2B"/>
    <w:rsid w:val="0002517F"/>
    <w:rsid w:val="0003578C"/>
    <w:rsid w:val="000457BC"/>
    <w:rsid w:val="00063247"/>
    <w:rsid w:val="00070F9F"/>
    <w:rsid w:val="0007137B"/>
    <w:rsid w:val="00085663"/>
    <w:rsid w:val="00085EBF"/>
    <w:rsid w:val="000A3020"/>
    <w:rsid w:val="000A6C7B"/>
    <w:rsid w:val="000C2B40"/>
    <w:rsid w:val="000D122C"/>
    <w:rsid w:val="000D6EFC"/>
    <w:rsid w:val="000E1819"/>
    <w:rsid w:val="000E4821"/>
    <w:rsid w:val="000E6C72"/>
    <w:rsid w:val="001043EB"/>
    <w:rsid w:val="00116EB2"/>
    <w:rsid w:val="00124609"/>
    <w:rsid w:val="00126A4C"/>
    <w:rsid w:val="0014573B"/>
    <w:rsid w:val="001573E4"/>
    <w:rsid w:val="00160756"/>
    <w:rsid w:val="0017232E"/>
    <w:rsid w:val="00174102"/>
    <w:rsid w:val="001754EE"/>
    <w:rsid w:val="00180157"/>
    <w:rsid w:val="00185CB9"/>
    <w:rsid w:val="00186F77"/>
    <w:rsid w:val="001926A4"/>
    <w:rsid w:val="00192AD5"/>
    <w:rsid w:val="001B45A0"/>
    <w:rsid w:val="001D055E"/>
    <w:rsid w:val="001F492E"/>
    <w:rsid w:val="001F6DA3"/>
    <w:rsid w:val="002010BC"/>
    <w:rsid w:val="002016E7"/>
    <w:rsid w:val="00202E03"/>
    <w:rsid w:val="0020492C"/>
    <w:rsid w:val="00224DB9"/>
    <w:rsid w:val="00233775"/>
    <w:rsid w:val="00251745"/>
    <w:rsid w:val="00263AC0"/>
    <w:rsid w:val="00264264"/>
    <w:rsid w:val="0026772D"/>
    <w:rsid w:val="00286874"/>
    <w:rsid w:val="00290C63"/>
    <w:rsid w:val="00296B65"/>
    <w:rsid w:val="002A7DEF"/>
    <w:rsid w:val="002C585C"/>
    <w:rsid w:val="002D72E8"/>
    <w:rsid w:val="002E7B22"/>
    <w:rsid w:val="002F7986"/>
    <w:rsid w:val="00301B40"/>
    <w:rsid w:val="003029EE"/>
    <w:rsid w:val="0030512A"/>
    <w:rsid w:val="00305CC8"/>
    <w:rsid w:val="00306379"/>
    <w:rsid w:val="00307F6D"/>
    <w:rsid w:val="003177A2"/>
    <w:rsid w:val="003271B5"/>
    <w:rsid w:val="00327A1E"/>
    <w:rsid w:val="00330F7E"/>
    <w:rsid w:val="00331264"/>
    <w:rsid w:val="00334C8D"/>
    <w:rsid w:val="00343A18"/>
    <w:rsid w:val="003518B3"/>
    <w:rsid w:val="003844EC"/>
    <w:rsid w:val="003846F1"/>
    <w:rsid w:val="003B484F"/>
    <w:rsid w:val="003B7FBA"/>
    <w:rsid w:val="003F174D"/>
    <w:rsid w:val="00415F31"/>
    <w:rsid w:val="00423A77"/>
    <w:rsid w:val="0045777E"/>
    <w:rsid w:val="00480B4B"/>
    <w:rsid w:val="00485DC4"/>
    <w:rsid w:val="004A43D1"/>
    <w:rsid w:val="004B4412"/>
    <w:rsid w:val="004C348C"/>
    <w:rsid w:val="004D55BA"/>
    <w:rsid w:val="004E22EC"/>
    <w:rsid w:val="00530128"/>
    <w:rsid w:val="00532467"/>
    <w:rsid w:val="00564A4D"/>
    <w:rsid w:val="00567BA5"/>
    <w:rsid w:val="00571B35"/>
    <w:rsid w:val="00571D57"/>
    <w:rsid w:val="00577A09"/>
    <w:rsid w:val="005829C2"/>
    <w:rsid w:val="00584D8F"/>
    <w:rsid w:val="0059386B"/>
    <w:rsid w:val="005A404D"/>
    <w:rsid w:val="005B1E3C"/>
    <w:rsid w:val="005B704A"/>
    <w:rsid w:val="005C26CC"/>
    <w:rsid w:val="005D7BA2"/>
    <w:rsid w:val="005E36C2"/>
    <w:rsid w:val="00612F4F"/>
    <w:rsid w:val="00615C6B"/>
    <w:rsid w:val="00621DCE"/>
    <w:rsid w:val="00632D6D"/>
    <w:rsid w:val="00642C3E"/>
    <w:rsid w:val="0066104A"/>
    <w:rsid w:val="00663DAD"/>
    <w:rsid w:val="00675E20"/>
    <w:rsid w:val="00676679"/>
    <w:rsid w:val="00683C89"/>
    <w:rsid w:val="00693198"/>
    <w:rsid w:val="006B2395"/>
    <w:rsid w:val="006B4CF9"/>
    <w:rsid w:val="006B7AC8"/>
    <w:rsid w:val="006D550F"/>
    <w:rsid w:val="00701CAB"/>
    <w:rsid w:val="00707563"/>
    <w:rsid w:val="00720FF1"/>
    <w:rsid w:val="0072348C"/>
    <w:rsid w:val="00724A37"/>
    <w:rsid w:val="007303C3"/>
    <w:rsid w:val="007429BE"/>
    <w:rsid w:val="00743223"/>
    <w:rsid w:val="00746E01"/>
    <w:rsid w:val="00757BDF"/>
    <w:rsid w:val="00763E5D"/>
    <w:rsid w:val="00767740"/>
    <w:rsid w:val="00777EE6"/>
    <w:rsid w:val="00782EEA"/>
    <w:rsid w:val="007A236B"/>
    <w:rsid w:val="007B186E"/>
    <w:rsid w:val="007B2C72"/>
    <w:rsid w:val="007C1C53"/>
    <w:rsid w:val="007C74BB"/>
    <w:rsid w:val="007D456E"/>
    <w:rsid w:val="007E3C2A"/>
    <w:rsid w:val="007E4904"/>
    <w:rsid w:val="007E4CB5"/>
    <w:rsid w:val="007F066B"/>
    <w:rsid w:val="008033C4"/>
    <w:rsid w:val="00806C88"/>
    <w:rsid w:val="0081034E"/>
    <w:rsid w:val="008344F6"/>
    <w:rsid w:val="0083510F"/>
    <w:rsid w:val="00851209"/>
    <w:rsid w:val="00852163"/>
    <w:rsid w:val="008837AC"/>
    <w:rsid w:val="00885771"/>
    <w:rsid w:val="008A587D"/>
    <w:rsid w:val="008B35CD"/>
    <w:rsid w:val="008B54EF"/>
    <w:rsid w:val="008B5FCC"/>
    <w:rsid w:val="008C5486"/>
    <w:rsid w:val="008D1661"/>
    <w:rsid w:val="008D2F60"/>
    <w:rsid w:val="008D57DF"/>
    <w:rsid w:val="008E7031"/>
    <w:rsid w:val="008E77DE"/>
    <w:rsid w:val="008F07A3"/>
    <w:rsid w:val="008F72DF"/>
    <w:rsid w:val="009001B6"/>
    <w:rsid w:val="00900E1B"/>
    <w:rsid w:val="009233EE"/>
    <w:rsid w:val="00942297"/>
    <w:rsid w:val="009460AA"/>
    <w:rsid w:val="00951978"/>
    <w:rsid w:val="00961A4A"/>
    <w:rsid w:val="009661DE"/>
    <w:rsid w:val="00983C25"/>
    <w:rsid w:val="009856B7"/>
    <w:rsid w:val="00985C86"/>
    <w:rsid w:val="009A5FC3"/>
    <w:rsid w:val="009B74B0"/>
    <w:rsid w:val="009D3906"/>
    <w:rsid w:val="009D6B46"/>
    <w:rsid w:val="009F4940"/>
    <w:rsid w:val="009F5BA1"/>
    <w:rsid w:val="00A02A88"/>
    <w:rsid w:val="00A0562E"/>
    <w:rsid w:val="00A0726D"/>
    <w:rsid w:val="00A32FBB"/>
    <w:rsid w:val="00A37C21"/>
    <w:rsid w:val="00A428EE"/>
    <w:rsid w:val="00A4478A"/>
    <w:rsid w:val="00A44852"/>
    <w:rsid w:val="00A57D04"/>
    <w:rsid w:val="00A60A26"/>
    <w:rsid w:val="00A61598"/>
    <w:rsid w:val="00A84A99"/>
    <w:rsid w:val="00A84F46"/>
    <w:rsid w:val="00A871F4"/>
    <w:rsid w:val="00AC1B2C"/>
    <w:rsid w:val="00AC3264"/>
    <w:rsid w:val="00AE0952"/>
    <w:rsid w:val="00AE1BF1"/>
    <w:rsid w:val="00AF0DD2"/>
    <w:rsid w:val="00B012EC"/>
    <w:rsid w:val="00B13048"/>
    <w:rsid w:val="00B1716D"/>
    <w:rsid w:val="00B17A1D"/>
    <w:rsid w:val="00B207A0"/>
    <w:rsid w:val="00B31AEB"/>
    <w:rsid w:val="00B3308D"/>
    <w:rsid w:val="00B514DD"/>
    <w:rsid w:val="00B52AF0"/>
    <w:rsid w:val="00B561BD"/>
    <w:rsid w:val="00B56E03"/>
    <w:rsid w:val="00B80571"/>
    <w:rsid w:val="00B8080B"/>
    <w:rsid w:val="00B82223"/>
    <w:rsid w:val="00B87BA5"/>
    <w:rsid w:val="00B87C39"/>
    <w:rsid w:val="00B9562D"/>
    <w:rsid w:val="00BA4665"/>
    <w:rsid w:val="00BA6002"/>
    <w:rsid w:val="00BB13E3"/>
    <w:rsid w:val="00BB28F2"/>
    <w:rsid w:val="00BB2FB2"/>
    <w:rsid w:val="00BB3304"/>
    <w:rsid w:val="00BD3446"/>
    <w:rsid w:val="00BE1F1B"/>
    <w:rsid w:val="00BE47B5"/>
    <w:rsid w:val="00C25FA6"/>
    <w:rsid w:val="00C538A9"/>
    <w:rsid w:val="00C53B5A"/>
    <w:rsid w:val="00C54F5A"/>
    <w:rsid w:val="00C569B4"/>
    <w:rsid w:val="00C67A92"/>
    <w:rsid w:val="00C8098B"/>
    <w:rsid w:val="00C84560"/>
    <w:rsid w:val="00C86679"/>
    <w:rsid w:val="00CA20F5"/>
    <w:rsid w:val="00CA489E"/>
    <w:rsid w:val="00CB0279"/>
    <w:rsid w:val="00CB666B"/>
    <w:rsid w:val="00CC7F1D"/>
    <w:rsid w:val="00CE1BDD"/>
    <w:rsid w:val="00D006AE"/>
    <w:rsid w:val="00D01CF0"/>
    <w:rsid w:val="00D0442A"/>
    <w:rsid w:val="00D60243"/>
    <w:rsid w:val="00D61388"/>
    <w:rsid w:val="00D61A54"/>
    <w:rsid w:val="00D64DEA"/>
    <w:rsid w:val="00D7168E"/>
    <w:rsid w:val="00D71E57"/>
    <w:rsid w:val="00D76276"/>
    <w:rsid w:val="00D80893"/>
    <w:rsid w:val="00D84854"/>
    <w:rsid w:val="00D84A7A"/>
    <w:rsid w:val="00D92CF1"/>
    <w:rsid w:val="00D92D38"/>
    <w:rsid w:val="00D950F5"/>
    <w:rsid w:val="00DA4752"/>
    <w:rsid w:val="00DA61F3"/>
    <w:rsid w:val="00DB0F93"/>
    <w:rsid w:val="00DB1A67"/>
    <w:rsid w:val="00DB5074"/>
    <w:rsid w:val="00DC5713"/>
    <w:rsid w:val="00DC7981"/>
    <w:rsid w:val="00DE1093"/>
    <w:rsid w:val="00DE4EFA"/>
    <w:rsid w:val="00DE5520"/>
    <w:rsid w:val="00DE563D"/>
    <w:rsid w:val="00E04818"/>
    <w:rsid w:val="00E06442"/>
    <w:rsid w:val="00E23993"/>
    <w:rsid w:val="00E25B8C"/>
    <w:rsid w:val="00E65C85"/>
    <w:rsid w:val="00E66199"/>
    <w:rsid w:val="00E755EC"/>
    <w:rsid w:val="00E7624D"/>
    <w:rsid w:val="00EA3825"/>
    <w:rsid w:val="00EA3D42"/>
    <w:rsid w:val="00EA6B1B"/>
    <w:rsid w:val="00EC04F1"/>
    <w:rsid w:val="00ED7323"/>
    <w:rsid w:val="00EE28F3"/>
    <w:rsid w:val="00EE50D1"/>
    <w:rsid w:val="00EF5110"/>
    <w:rsid w:val="00F10411"/>
    <w:rsid w:val="00F15882"/>
    <w:rsid w:val="00F171E0"/>
    <w:rsid w:val="00F20BD3"/>
    <w:rsid w:val="00F373A5"/>
    <w:rsid w:val="00F47559"/>
    <w:rsid w:val="00F64C7B"/>
    <w:rsid w:val="00F676DD"/>
    <w:rsid w:val="00F75A26"/>
    <w:rsid w:val="00F76706"/>
    <w:rsid w:val="00F83FAD"/>
    <w:rsid w:val="00F952A0"/>
    <w:rsid w:val="00FA3C7F"/>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gov.au/node/23137"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CF333E4B</Template>
  <TotalTime>0</TotalTime>
  <Pages>8</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2015-04-29T04:29:00Z</dcterms:created>
  <dcterms:modified xsi:type="dcterms:W3CDTF">2015-04-29T04:29:00Z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