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26" w:rsidRDefault="004B2026" w:rsidP="00290C63">
      <w:pPr>
        <w:rPr>
          <w:rFonts w:eastAsiaTheme="majorEastAsia" w:cstheme="majorBidi"/>
          <w:noProof/>
          <w:sz w:val="36"/>
          <w:szCs w:val="36"/>
          <w:lang w:eastAsia="en-AU"/>
        </w:rPr>
      </w:pPr>
      <w:bookmarkStart w:id="0" w:name="_GoBack"/>
      <w:bookmarkEnd w:id="0"/>
      <w:r>
        <w:t>f</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F17D1F0" wp14:editId="2FDDD10F">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415F31" w:rsidP="008F07A3">
          <w:pPr>
            <w:pStyle w:val="ReportSubtitle"/>
          </w:pPr>
          <w:r>
            <w:t xml:space="preserve">TransGrid transmission </w:t>
          </w:r>
          <w:r w:rsidR="00DA4752">
            <w:t>determination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8D57DF">
            <w:t>2</w:t>
          </w:r>
          <w:r>
            <w:t xml:space="preserve"> </w:t>
          </w:r>
          <w:r w:rsidR="00415F31">
            <w:rPr>
              <w:rFonts w:cs="Arial"/>
            </w:rPr>
            <w:t>–</w:t>
          </w:r>
          <w:r>
            <w:t xml:space="preserve"> </w:t>
          </w:r>
          <w:r w:rsidR="00CE1BDD">
            <w:t>R</w:t>
          </w:r>
          <w:r w:rsidR="008D57DF">
            <w:t>egulatory asset base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2617466"/>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attachment forms part of the AER's final decision on TransGrid’s revenue proposal 2015</w:t>
      </w:r>
      <w:r w:rsidR="00415F31" w:rsidRPr="00D904FA">
        <w:t>–</w:t>
      </w:r>
      <w:r w:rsidR="00415F31">
        <w:t>18.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261746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687952" w:rsidRDefault="00093EAB">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12617466" w:history="1">
            <w:r w:rsidR="00687952" w:rsidRPr="00242524">
              <w:rPr>
                <w:rStyle w:val="Hyperlink"/>
              </w:rPr>
              <w:t>Note</w:t>
            </w:r>
            <w:r w:rsidR="00687952">
              <w:rPr>
                <w:webHidden/>
              </w:rPr>
              <w:tab/>
            </w:r>
            <w:r w:rsidR="00687952">
              <w:rPr>
                <w:webHidden/>
              </w:rPr>
              <w:fldChar w:fldCharType="begin"/>
            </w:r>
            <w:r w:rsidR="00687952">
              <w:rPr>
                <w:webHidden/>
              </w:rPr>
              <w:instrText xml:space="preserve"> PAGEREF _Toc412617466 \h </w:instrText>
            </w:r>
            <w:r w:rsidR="00687952">
              <w:rPr>
                <w:webHidden/>
              </w:rPr>
            </w:r>
            <w:r w:rsidR="00687952">
              <w:rPr>
                <w:webHidden/>
              </w:rPr>
              <w:fldChar w:fldCharType="separate"/>
            </w:r>
            <w:r w:rsidR="00A03C1F">
              <w:rPr>
                <w:webHidden/>
              </w:rPr>
              <w:t>2-2</w:t>
            </w:r>
            <w:r w:rsidR="00687952">
              <w:rPr>
                <w:webHidden/>
              </w:rPr>
              <w:fldChar w:fldCharType="end"/>
            </w:r>
          </w:hyperlink>
        </w:p>
        <w:p w:rsidR="00687952" w:rsidRDefault="00A03C1F">
          <w:pPr>
            <w:pStyle w:val="TOC1"/>
            <w:rPr>
              <w:rFonts w:asciiTheme="minorHAnsi" w:eastAsiaTheme="minorEastAsia" w:hAnsiTheme="minorHAnsi"/>
              <w:b w:val="0"/>
              <w:color w:val="auto"/>
              <w:sz w:val="22"/>
              <w:lang w:val="en-AU" w:eastAsia="en-AU"/>
            </w:rPr>
          </w:pPr>
          <w:hyperlink w:anchor="_Toc412617467" w:history="1">
            <w:r w:rsidR="00687952" w:rsidRPr="00242524">
              <w:rPr>
                <w:rStyle w:val="Hyperlink"/>
              </w:rPr>
              <w:t>Contents</w:t>
            </w:r>
            <w:r w:rsidR="00687952">
              <w:rPr>
                <w:webHidden/>
              </w:rPr>
              <w:tab/>
            </w:r>
            <w:r w:rsidR="00687952">
              <w:rPr>
                <w:webHidden/>
              </w:rPr>
              <w:fldChar w:fldCharType="begin"/>
            </w:r>
            <w:r w:rsidR="00687952">
              <w:rPr>
                <w:webHidden/>
              </w:rPr>
              <w:instrText xml:space="preserve"> PAGEREF _Toc412617467 \h </w:instrText>
            </w:r>
            <w:r w:rsidR="00687952">
              <w:rPr>
                <w:webHidden/>
              </w:rPr>
            </w:r>
            <w:r w:rsidR="00687952">
              <w:rPr>
                <w:webHidden/>
              </w:rPr>
              <w:fldChar w:fldCharType="separate"/>
            </w:r>
            <w:r>
              <w:rPr>
                <w:webHidden/>
              </w:rPr>
              <w:t>2-3</w:t>
            </w:r>
            <w:r w:rsidR="00687952">
              <w:rPr>
                <w:webHidden/>
              </w:rPr>
              <w:fldChar w:fldCharType="end"/>
            </w:r>
          </w:hyperlink>
        </w:p>
        <w:p w:rsidR="00687952" w:rsidRDefault="00A03C1F">
          <w:pPr>
            <w:pStyle w:val="TOC1"/>
            <w:rPr>
              <w:rFonts w:asciiTheme="minorHAnsi" w:eastAsiaTheme="minorEastAsia" w:hAnsiTheme="minorHAnsi"/>
              <w:b w:val="0"/>
              <w:color w:val="auto"/>
              <w:sz w:val="22"/>
              <w:lang w:val="en-AU" w:eastAsia="en-AU"/>
            </w:rPr>
          </w:pPr>
          <w:hyperlink w:anchor="_Toc412617468" w:history="1">
            <w:r w:rsidR="00687952" w:rsidRPr="00242524">
              <w:rPr>
                <w:rStyle w:val="Hyperlink"/>
              </w:rPr>
              <w:t>Shortened forms</w:t>
            </w:r>
            <w:r w:rsidR="00687952">
              <w:rPr>
                <w:webHidden/>
              </w:rPr>
              <w:tab/>
            </w:r>
            <w:r w:rsidR="00687952">
              <w:rPr>
                <w:webHidden/>
              </w:rPr>
              <w:fldChar w:fldCharType="begin"/>
            </w:r>
            <w:r w:rsidR="00687952">
              <w:rPr>
                <w:webHidden/>
              </w:rPr>
              <w:instrText xml:space="preserve"> PAGEREF _Toc412617468 \h </w:instrText>
            </w:r>
            <w:r w:rsidR="00687952">
              <w:rPr>
                <w:webHidden/>
              </w:rPr>
            </w:r>
            <w:r w:rsidR="00687952">
              <w:rPr>
                <w:webHidden/>
              </w:rPr>
              <w:fldChar w:fldCharType="separate"/>
            </w:r>
            <w:r>
              <w:rPr>
                <w:webHidden/>
              </w:rPr>
              <w:t>2-4</w:t>
            </w:r>
            <w:r w:rsidR="00687952">
              <w:rPr>
                <w:webHidden/>
              </w:rPr>
              <w:fldChar w:fldCharType="end"/>
            </w:r>
          </w:hyperlink>
        </w:p>
        <w:p w:rsidR="00687952" w:rsidRDefault="00A03C1F">
          <w:pPr>
            <w:pStyle w:val="TOC1"/>
            <w:rPr>
              <w:rFonts w:asciiTheme="minorHAnsi" w:eastAsiaTheme="minorEastAsia" w:hAnsiTheme="minorHAnsi"/>
              <w:b w:val="0"/>
              <w:color w:val="auto"/>
              <w:sz w:val="22"/>
              <w:lang w:val="en-AU" w:eastAsia="en-AU"/>
            </w:rPr>
          </w:pPr>
          <w:hyperlink w:anchor="_Toc412617469" w:history="1">
            <w:r w:rsidR="00687952" w:rsidRPr="00242524">
              <w:rPr>
                <w:rStyle w:val="Hyperlink"/>
              </w:rPr>
              <w:t>2</w:t>
            </w:r>
            <w:r w:rsidR="00687952">
              <w:rPr>
                <w:rFonts w:asciiTheme="minorHAnsi" w:eastAsiaTheme="minorEastAsia" w:hAnsiTheme="minorHAnsi"/>
                <w:b w:val="0"/>
                <w:color w:val="auto"/>
                <w:sz w:val="22"/>
                <w:lang w:val="en-AU" w:eastAsia="en-AU"/>
              </w:rPr>
              <w:tab/>
            </w:r>
            <w:r w:rsidR="00687952" w:rsidRPr="00242524">
              <w:rPr>
                <w:rStyle w:val="Hyperlink"/>
              </w:rPr>
              <w:t>Regulatory asset base</w:t>
            </w:r>
            <w:r w:rsidR="00687952">
              <w:rPr>
                <w:webHidden/>
              </w:rPr>
              <w:tab/>
            </w:r>
            <w:r w:rsidR="00687952">
              <w:rPr>
                <w:webHidden/>
              </w:rPr>
              <w:fldChar w:fldCharType="begin"/>
            </w:r>
            <w:r w:rsidR="00687952">
              <w:rPr>
                <w:webHidden/>
              </w:rPr>
              <w:instrText xml:space="preserve"> PAGEREF _Toc412617469 \h </w:instrText>
            </w:r>
            <w:r w:rsidR="00687952">
              <w:rPr>
                <w:webHidden/>
              </w:rPr>
            </w:r>
            <w:r w:rsidR="00687952">
              <w:rPr>
                <w:webHidden/>
              </w:rPr>
              <w:fldChar w:fldCharType="separate"/>
            </w:r>
            <w:r>
              <w:rPr>
                <w:webHidden/>
              </w:rPr>
              <w:t>2-6</w:t>
            </w:r>
            <w:r w:rsidR="00687952">
              <w:rPr>
                <w:webHidden/>
              </w:rPr>
              <w:fldChar w:fldCharType="end"/>
            </w:r>
          </w:hyperlink>
        </w:p>
        <w:p w:rsidR="00687952" w:rsidRDefault="00A03C1F">
          <w:pPr>
            <w:pStyle w:val="TOC2"/>
            <w:rPr>
              <w:rFonts w:asciiTheme="minorHAnsi" w:eastAsiaTheme="minorEastAsia" w:hAnsiTheme="minorHAnsi"/>
              <w:b w:val="0"/>
              <w:color w:val="auto"/>
              <w:sz w:val="22"/>
              <w:lang w:eastAsia="en-AU"/>
            </w:rPr>
          </w:pPr>
          <w:hyperlink w:anchor="_Toc412617470" w:history="1">
            <w:r w:rsidR="00687952" w:rsidRPr="00242524">
              <w:rPr>
                <w:rStyle w:val="Hyperlink"/>
              </w:rPr>
              <w:t>2.1</w:t>
            </w:r>
            <w:r w:rsidR="00687952">
              <w:rPr>
                <w:rFonts w:asciiTheme="minorHAnsi" w:eastAsiaTheme="minorEastAsia" w:hAnsiTheme="minorHAnsi"/>
                <w:b w:val="0"/>
                <w:color w:val="auto"/>
                <w:sz w:val="22"/>
                <w:lang w:eastAsia="en-AU"/>
              </w:rPr>
              <w:tab/>
            </w:r>
            <w:r w:rsidR="00687952" w:rsidRPr="00242524">
              <w:rPr>
                <w:rStyle w:val="Hyperlink"/>
              </w:rPr>
              <w:t>Final decision</w:t>
            </w:r>
            <w:r w:rsidR="00687952">
              <w:rPr>
                <w:webHidden/>
              </w:rPr>
              <w:tab/>
            </w:r>
            <w:r w:rsidR="00687952">
              <w:rPr>
                <w:webHidden/>
              </w:rPr>
              <w:fldChar w:fldCharType="begin"/>
            </w:r>
            <w:r w:rsidR="00687952">
              <w:rPr>
                <w:webHidden/>
              </w:rPr>
              <w:instrText xml:space="preserve"> PAGEREF _Toc412617470 \h </w:instrText>
            </w:r>
            <w:r w:rsidR="00687952">
              <w:rPr>
                <w:webHidden/>
              </w:rPr>
            </w:r>
            <w:r w:rsidR="00687952">
              <w:rPr>
                <w:webHidden/>
              </w:rPr>
              <w:fldChar w:fldCharType="separate"/>
            </w:r>
            <w:r>
              <w:rPr>
                <w:webHidden/>
              </w:rPr>
              <w:t>2-6</w:t>
            </w:r>
            <w:r w:rsidR="00687952">
              <w:rPr>
                <w:webHidden/>
              </w:rPr>
              <w:fldChar w:fldCharType="end"/>
            </w:r>
          </w:hyperlink>
        </w:p>
        <w:p w:rsidR="00687952" w:rsidRDefault="00A03C1F">
          <w:pPr>
            <w:pStyle w:val="TOC2"/>
            <w:rPr>
              <w:rFonts w:asciiTheme="minorHAnsi" w:eastAsiaTheme="minorEastAsia" w:hAnsiTheme="minorHAnsi"/>
              <w:b w:val="0"/>
              <w:color w:val="auto"/>
              <w:sz w:val="22"/>
              <w:lang w:eastAsia="en-AU"/>
            </w:rPr>
          </w:pPr>
          <w:hyperlink w:anchor="_Toc412617471" w:history="1">
            <w:r w:rsidR="00687952" w:rsidRPr="00242524">
              <w:rPr>
                <w:rStyle w:val="Hyperlink"/>
              </w:rPr>
              <w:t>2.2</w:t>
            </w:r>
            <w:r w:rsidR="00687952">
              <w:rPr>
                <w:rFonts w:asciiTheme="minorHAnsi" w:eastAsiaTheme="minorEastAsia" w:hAnsiTheme="minorHAnsi"/>
                <w:b w:val="0"/>
                <w:color w:val="auto"/>
                <w:sz w:val="22"/>
                <w:lang w:eastAsia="en-AU"/>
              </w:rPr>
              <w:tab/>
            </w:r>
            <w:r w:rsidR="00687952" w:rsidRPr="00242524">
              <w:rPr>
                <w:rStyle w:val="Hyperlink"/>
              </w:rPr>
              <w:t>TransGrid’s revised proposal</w:t>
            </w:r>
            <w:r w:rsidR="00687952">
              <w:rPr>
                <w:webHidden/>
              </w:rPr>
              <w:tab/>
            </w:r>
            <w:r w:rsidR="00687952">
              <w:rPr>
                <w:webHidden/>
              </w:rPr>
              <w:fldChar w:fldCharType="begin"/>
            </w:r>
            <w:r w:rsidR="00687952">
              <w:rPr>
                <w:webHidden/>
              </w:rPr>
              <w:instrText xml:space="preserve"> PAGEREF _Toc412617471 \h </w:instrText>
            </w:r>
            <w:r w:rsidR="00687952">
              <w:rPr>
                <w:webHidden/>
              </w:rPr>
            </w:r>
            <w:r w:rsidR="00687952">
              <w:rPr>
                <w:webHidden/>
              </w:rPr>
              <w:fldChar w:fldCharType="separate"/>
            </w:r>
            <w:r>
              <w:rPr>
                <w:webHidden/>
              </w:rPr>
              <w:t>2-7</w:t>
            </w:r>
            <w:r w:rsidR="00687952">
              <w:rPr>
                <w:webHidden/>
              </w:rPr>
              <w:fldChar w:fldCharType="end"/>
            </w:r>
          </w:hyperlink>
        </w:p>
        <w:p w:rsidR="00687952" w:rsidRDefault="00A03C1F">
          <w:pPr>
            <w:pStyle w:val="TOC2"/>
            <w:rPr>
              <w:rFonts w:asciiTheme="minorHAnsi" w:eastAsiaTheme="minorEastAsia" w:hAnsiTheme="minorHAnsi"/>
              <w:b w:val="0"/>
              <w:color w:val="auto"/>
              <w:sz w:val="22"/>
              <w:lang w:eastAsia="en-AU"/>
            </w:rPr>
          </w:pPr>
          <w:hyperlink w:anchor="_Toc412617472" w:history="1">
            <w:r w:rsidR="00687952" w:rsidRPr="00242524">
              <w:rPr>
                <w:rStyle w:val="Hyperlink"/>
              </w:rPr>
              <w:t>2.3</w:t>
            </w:r>
            <w:r w:rsidR="00687952">
              <w:rPr>
                <w:rFonts w:asciiTheme="minorHAnsi" w:eastAsiaTheme="minorEastAsia" w:hAnsiTheme="minorHAnsi"/>
                <w:b w:val="0"/>
                <w:color w:val="auto"/>
                <w:sz w:val="22"/>
                <w:lang w:eastAsia="en-AU"/>
              </w:rPr>
              <w:tab/>
            </w:r>
            <w:r w:rsidR="00687952" w:rsidRPr="00242524">
              <w:rPr>
                <w:rStyle w:val="Hyperlink"/>
              </w:rPr>
              <w:t>AER’s assessment approach</w:t>
            </w:r>
            <w:r w:rsidR="00687952">
              <w:rPr>
                <w:webHidden/>
              </w:rPr>
              <w:tab/>
            </w:r>
            <w:r w:rsidR="00687952">
              <w:rPr>
                <w:webHidden/>
              </w:rPr>
              <w:fldChar w:fldCharType="begin"/>
            </w:r>
            <w:r w:rsidR="00687952">
              <w:rPr>
                <w:webHidden/>
              </w:rPr>
              <w:instrText xml:space="preserve"> PAGEREF _Toc412617472 \h </w:instrText>
            </w:r>
            <w:r w:rsidR="00687952">
              <w:rPr>
                <w:webHidden/>
              </w:rPr>
            </w:r>
            <w:r w:rsidR="00687952">
              <w:rPr>
                <w:webHidden/>
              </w:rPr>
              <w:fldChar w:fldCharType="separate"/>
            </w:r>
            <w:r>
              <w:rPr>
                <w:webHidden/>
              </w:rPr>
              <w:t>2-9</w:t>
            </w:r>
            <w:r w:rsidR="00687952">
              <w:rPr>
                <w:webHidden/>
              </w:rPr>
              <w:fldChar w:fldCharType="end"/>
            </w:r>
          </w:hyperlink>
        </w:p>
        <w:p w:rsidR="00687952" w:rsidRDefault="00A03C1F">
          <w:pPr>
            <w:pStyle w:val="TOC2"/>
            <w:rPr>
              <w:rFonts w:asciiTheme="minorHAnsi" w:eastAsiaTheme="minorEastAsia" w:hAnsiTheme="minorHAnsi"/>
              <w:b w:val="0"/>
              <w:color w:val="auto"/>
              <w:sz w:val="22"/>
              <w:lang w:eastAsia="en-AU"/>
            </w:rPr>
          </w:pPr>
          <w:hyperlink w:anchor="_Toc412617473" w:history="1">
            <w:r w:rsidR="00687952" w:rsidRPr="00242524">
              <w:rPr>
                <w:rStyle w:val="Hyperlink"/>
              </w:rPr>
              <w:t>2.4</w:t>
            </w:r>
            <w:r w:rsidR="00687952">
              <w:rPr>
                <w:rFonts w:asciiTheme="minorHAnsi" w:eastAsiaTheme="minorEastAsia" w:hAnsiTheme="minorHAnsi"/>
                <w:b w:val="0"/>
                <w:color w:val="auto"/>
                <w:sz w:val="22"/>
                <w:lang w:eastAsia="en-AU"/>
              </w:rPr>
              <w:tab/>
            </w:r>
            <w:r w:rsidR="00687952" w:rsidRPr="00242524">
              <w:rPr>
                <w:rStyle w:val="Hyperlink"/>
              </w:rPr>
              <w:t>Reasons for final decision</w:t>
            </w:r>
            <w:r w:rsidR="00687952">
              <w:rPr>
                <w:webHidden/>
              </w:rPr>
              <w:tab/>
            </w:r>
            <w:r w:rsidR="00687952">
              <w:rPr>
                <w:webHidden/>
              </w:rPr>
              <w:fldChar w:fldCharType="begin"/>
            </w:r>
            <w:r w:rsidR="00687952">
              <w:rPr>
                <w:webHidden/>
              </w:rPr>
              <w:instrText xml:space="preserve"> PAGEREF _Toc412617473 \h </w:instrText>
            </w:r>
            <w:r w:rsidR="00687952">
              <w:rPr>
                <w:webHidden/>
              </w:rPr>
            </w:r>
            <w:r w:rsidR="00687952">
              <w:rPr>
                <w:webHidden/>
              </w:rPr>
              <w:fldChar w:fldCharType="separate"/>
            </w:r>
            <w:r>
              <w:rPr>
                <w:webHidden/>
              </w:rPr>
              <w:t>2-9</w:t>
            </w:r>
            <w:r w:rsidR="00687952">
              <w:rPr>
                <w:webHidden/>
              </w:rPr>
              <w:fldChar w:fldCharType="end"/>
            </w:r>
          </w:hyperlink>
        </w:p>
        <w:p w:rsidR="00687952" w:rsidRDefault="00A03C1F">
          <w:pPr>
            <w:pStyle w:val="TOC3"/>
            <w:rPr>
              <w:rFonts w:asciiTheme="minorHAnsi" w:eastAsiaTheme="minorEastAsia" w:hAnsiTheme="minorHAnsi"/>
              <w:lang w:eastAsia="en-AU"/>
            </w:rPr>
          </w:pPr>
          <w:hyperlink w:anchor="_Toc412617474" w:history="1">
            <w:r w:rsidR="00687952" w:rsidRPr="00242524">
              <w:rPr>
                <w:rStyle w:val="Hyperlink"/>
              </w:rPr>
              <w:t>2.4.1</w:t>
            </w:r>
            <w:r w:rsidR="00687952">
              <w:rPr>
                <w:rFonts w:asciiTheme="minorHAnsi" w:eastAsiaTheme="minorEastAsia" w:hAnsiTheme="minorHAnsi"/>
                <w:lang w:eastAsia="en-AU"/>
              </w:rPr>
              <w:tab/>
            </w:r>
            <w:r w:rsidR="00687952" w:rsidRPr="00242524">
              <w:rPr>
                <w:rStyle w:val="Hyperlink"/>
              </w:rPr>
              <w:t>Opening RAB at 1 July 2014</w:t>
            </w:r>
            <w:r w:rsidR="00687952">
              <w:rPr>
                <w:webHidden/>
              </w:rPr>
              <w:tab/>
            </w:r>
            <w:r w:rsidR="00687952">
              <w:rPr>
                <w:webHidden/>
              </w:rPr>
              <w:fldChar w:fldCharType="begin"/>
            </w:r>
            <w:r w:rsidR="00687952">
              <w:rPr>
                <w:webHidden/>
              </w:rPr>
              <w:instrText xml:space="preserve"> PAGEREF _Toc412617474 \h </w:instrText>
            </w:r>
            <w:r w:rsidR="00687952">
              <w:rPr>
                <w:webHidden/>
              </w:rPr>
            </w:r>
            <w:r w:rsidR="00687952">
              <w:rPr>
                <w:webHidden/>
              </w:rPr>
              <w:fldChar w:fldCharType="separate"/>
            </w:r>
            <w:r>
              <w:rPr>
                <w:webHidden/>
              </w:rPr>
              <w:t>2-9</w:t>
            </w:r>
            <w:r w:rsidR="00687952">
              <w:rPr>
                <w:webHidden/>
              </w:rPr>
              <w:fldChar w:fldCharType="end"/>
            </w:r>
          </w:hyperlink>
        </w:p>
        <w:p w:rsidR="00687952" w:rsidRDefault="00A03C1F">
          <w:pPr>
            <w:pStyle w:val="TOC3"/>
            <w:rPr>
              <w:rFonts w:asciiTheme="minorHAnsi" w:eastAsiaTheme="minorEastAsia" w:hAnsiTheme="minorHAnsi"/>
              <w:lang w:eastAsia="en-AU"/>
            </w:rPr>
          </w:pPr>
          <w:hyperlink w:anchor="_Toc412617475" w:history="1">
            <w:r w:rsidR="00687952" w:rsidRPr="00242524">
              <w:rPr>
                <w:rStyle w:val="Hyperlink"/>
              </w:rPr>
              <w:t>2.4.2</w:t>
            </w:r>
            <w:r w:rsidR="00687952">
              <w:rPr>
                <w:rFonts w:asciiTheme="minorHAnsi" w:eastAsiaTheme="minorEastAsia" w:hAnsiTheme="minorHAnsi"/>
                <w:lang w:eastAsia="en-AU"/>
              </w:rPr>
              <w:tab/>
            </w:r>
            <w:r w:rsidR="00687952" w:rsidRPr="00242524">
              <w:rPr>
                <w:rStyle w:val="Hyperlink"/>
              </w:rPr>
              <w:t>Closing RAB at 30 June 2018</w:t>
            </w:r>
            <w:r w:rsidR="00687952">
              <w:rPr>
                <w:webHidden/>
              </w:rPr>
              <w:tab/>
            </w:r>
            <w:r w:rsidR="00687952">
              <w:rPr>
                <w:webHidden/>
              </w:rPr>
              <w:fldChar w:fldCharType="begin"/>
            </w:r>
            <w:r w:rsidR="00687952">
              <w:rPr>
                <w:webHidden/>
              </w:rPr>
              <w:instrText xml:space="preserve"> PAGEREF _Toc412617475 \h </w:instrText>
            </w:r>
            <w:r w:rsidR="00687952">
              <w:rPr>
                <w:webHidden/>
              </w:rPr>
            </w:r>
            <w:r w:rsidR="00687952">
              <w:rPr>
                <w:webHidden/>
              </w:rPr>
              <w:fldChar w:fldCharType="separate"/>
            </w:r>
            <w:r>
              <w:rPr>
                <w:webHidden/>
              </w:rPr>
              <w:t>2-10</w:t>
            </w:r>
            <w:r w:rsidR="00687952">
              <w:rPr>
                <w:webHidden/>
              </w:rPr>
              <w:fldChar w:fldCharType="end"/>
            </w:r>
          </w:hyperlink>
        </w:p>
        <w:p w:rsidR="00DE563D" w:rsidRDefault="00093EAB" w:rsidP="00093EAB">
          <w:pPr>
            <w:pStyle w:val="TOC1"/>
          </w:pPr>
          <w:r>
            <w:rPr>
              <w:color w:val="auto"/>
              <w:sz w:val="22"/>
            </w:rP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12617468"/>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3962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39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3962B3">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8D57DF" w:rsidP="008D57DF">
      <w:pPr>
        <w:pStyle w:val="Heading1"/>
      </w:pPr>
      <w:bookmarkStart w:id="10" w:name="_Toc412617469"/>
      <w:r>
        <w:lastRenderedPageBreak/>
        <w:t>Regulatory asset base</w:t>
      </w:r>
      <w:bookmarkEnd w:id="10"/>
    </w:p>
    <w:p w:rsidR="005D3335" w:rsidRDefault="005D3335" w:rsidP="005D3335">
      <w:bookmarkStart w:id="11" w:name="_Toc403144136"/>
      <w:r w:rsidRPr="00374F8A">
        <w:t>The regulatory asset base (RAB) is the value of the assets used by TransGrid to provide prescribed transmission services.</w:t>
      </w:r>
      <w:r>
        <w:rPr>
          <w:rStyle w:val="FootnoteReference"/>
        </w:rPr>
        <w:footnoteReference w:id="1"/>
      </w:r>
      <w:r w:rsidRPr="00374F8A">
        <w:t xml:space="preserve"> </w:t>
      </w:r>
      <w:r w:rsidRPr="004645F0">
        <w:t xml:space="preserve">These include transmission lines, substations, IT systems, land and easements, motor vehicles and buildings. </w:t>
      </w:r>
      <w:r w:rsidRPr="00374F8A">
        <w:t>The AER's revenue determination is to specify the RAB as at the commencement of the regulatory control period and the appropriate method for the indexation of the RAB.</w:t>
      </w:r>
      <w:r>
        <w:rPr>
          <w:rStyle w:val="FootnoteReference"/>
        </w:rPr>
        <w:footnoteReference w:id="2"/>
      </w:r>
      <w:r w:rsidRPr="00374F8A">
        <w:t xml:space="preserve"> The indexation of the RAB is one of the building blocks that form the annual building block revenue requirement for each year of the 2014–18 period.</w:t>
      </w:r>
      <w:r w:rsidRPr="00374F8A">
        <w:rPr>
          <w:rStyle w:val="FootnoteReference"/>
        </w:rPr>
        <w:footnoteReference w:id="3"/>
      </w:r>
      <w:r w:rsidRPr="00374F8A">
        <w:t xml:space="preserve"> We set the RAB as the foundation for determining a TNSP's revenue requirements, and use the opening RAB for each regulatory year to determine the return on capital and return of capital (regulatory depreciation) building block allowances.</w:t>
      </w:r>
      <w:r w:rsidRPr="00374F8A">
        <w:rPr>
          <w:rStyle w:val="FootnoteReference"/>
        </w:rPr>
        <w:footnoteReference w:id="4"/>
      </w:r>
    </w:p>
    <w:p w:rsidR="006A69EB" w:rsidRPr="006A69EB" w:rsidRDefault="006A69EB" w:rsidP="003425E5">
      <w:r w:rsidRPr="006A69EB">
        <w:t xml:space="preserve">This attachment presents our </w:t>
      </w:r>
      <w:r>
        <w:t>final</w:t>
      </w:r>
      <w:r w:rsidRPr="006A69EB">
        <w:t xml:space="preserve"> decision on the opening RAB value as at </w:t>
      </w:r>
      <w:r w:rsidRPr="003425E5">
        <w:t>1 July 2014</w:t>
      </w:r>
      <w:r w:rsidRPr="006A69EB">
        <w:t xml:space="preserve"> for TransGrid. It also presents our forecast RAB values for TransGrid over the </w:t>
      </w:r>
      <w:r w:rsidRPr="003425E5">
        <w:t>2014–18</w:t>
      </w:r>
      <w:r w:rsidRPr="006A69EB">
        <w:t xml:space="preserve"> period.</w:t>
      </w:r>
    </w:p>
    <w:p w:rsidR="00DE563D" w:rsidRPr="001754EE" w:rsidRDefault="00415F31" w:rsidP="001754EE">
      <w:pPr>
        <w:pStyle w:val="Heading2"/>
      </w:pPr>
      <w:bookmarkStart w:id="12" w:name="_Toc412617470"/>
      <w:r w:rsidRPr="001754EE">
        <w:t>Final</w:t>
      </w:r>
      <w:r w:rsidR="00DE563D" w:rsidRPr="001754EE">
        <w:t xml:space="preserve"> decision</w:t>
      </w:r>
      <w:bookmarkEnd w:id="11"/>
      <w:bookmarkEnd w:id="12"/>
    </w:p>
    <w:p w:rsidR="005D3335" w:rsidRDefault="005D3335" w:rsidP="005D3335">
      <w:bookmarkStart w:id="13" w:name="_Toc403144137"/>
      <w:r w:rsidRPr="005C19A1">
        <w:t xml:space="preserve">We </w:t>
      </w:r>
      <w:r>
        <w:t>determine</w:t>
      </w:r>
      <w:r w:rsidRPr="005C19A1">
        <w:t xml:space="preserve"> </w:t>
      </w:r>
      <w:r>
        <w:t>TransGrid's</w:t>
      </w:r>
      <w:r w:rsidRPr="005C19A1">
        <w:t xml:space="preserve"> </w:t>
      </w:r>
      <w:r>
        <w:t>opening RAB to be $</w:t>
      </w:r>
      <w:r w:rsidR="008D6001">
        <w:t>6075.8</w:t>
      </w:r>
      <w:r>
        <w:t xml:space="preserve"> million </w:t>
      </w:r>
      <w:r w:rsidR="009548A9">
        <w:t xml:space="preserve">($ nominal) </w:t>
      </w:r>
      <w:r w:rsidRPr="005C19A1">
        <w:t>as at 1</w:t>
      </w:r>
      <w:r w:rsidR="006A69EB">
        <w:t> </w:t>
      </w:r>
      <w:r>
        <w:t>July</w:t>
      </w:r>
      <w:r w:rsidR="006A69EB">
        <w:t> </w:t>
      </w:r>
      <w:r w:rsidRPr="005C19A1">
        <w:t>2014</w:t>
      </w:r>
      <w:r>
        <w:t xml:space="preserve">. The difference </w:t>
      </w:r>
      <w:r w:rsidR="006A69EB">
        <w:t xml:space="preserve">of $0.5 million </w:t>
      </w:r>
      <w:r>
        <w:t>between this</w:t>
      </w:r>
      <w:r w:rsidR="006A69EB">
        <w:t xml:space="preserve"> amount</w:t>
      </w:r>
      <w:r>
        <w:t xml:space="preserve"> and </w:t>
      </w:r>
      <w:r w:rsidR="003A6191">
        <w:t>TransGrid's</w:t>
      </w:r>
      <w:r w:rsidR="00687952">
        <w:t xml:space="preserve"> revised proposal reflects a</w:t>
      </w:r>
      <w:r w:rsidR="006A69EB">
        <w:t>n</w:t>
      </w:r>
      <w:r>
        <w:t xml:space="preserve"> adjustment to</w:t>
      </w:r>
      <w:r w:rsidR="003A6191">
        <w:t xml:space="preserve"> </w:t>
      </w:r>
      <w:r w:rsidR="006A69EB">
        <w:t xml:space="preserve">correct for an indexation error applied to </w:t>
      </w:r>
      <w:r w:rsidR="003A6191">
        <w:t>the</w:t>
      </w:r>
      <w:r>
        <w:t xml:space="preserve"> 20</w:t>
      </w:r>
      <w:r w:rsidR="008D6001">
        <w:t>13</w:t>
      </w:r>
      <w:r w:rsidR="006A69EB">
        <w:t>–</w:t>
      </w:r>
      <w:r w:rsidR="008D6001">
        <w:t>14</w:t>
      </w:r>
      <w:r>
        <w:t xml:space="preserve"> actual capex</w:t>
      </w:r>
      <w:r w:rsidR="00687952">
        <w:t xml:space="preserve"> value</w:t>
      </w:r>
      <w:r>
        <w:t xml:space="preserve">.  </w:t>
      </w:r>
    </w:p>
    <w:p w:rsidR="005D3335" w:rsidRDefault="006A69EB" w:rsidP="005D3335">
      <w:r>
        <w:t>W</w:t>
      </w:r>
      <w:r w:rsidR="005D3335">
        <w:t xml:space="preserve">e do not accept TransGrid's </w:t>
      </w:r>
      <w:r>
        <w:t xml:space="preserve">revised </w:t>
      </w:r>
      <w:r w:rsidR="005D3335">
        <w:t xml:space="preserve">proposed </w:t>
      </w:r>
      <w:r w:rsidR="00A75EE5">
        <w:t xml:space="preserve">forecast </w:t>
      </w:r>
      <w:r w:rsidR="005D3335">
        <w:t>closing RAB as at 30 June 2018</w:t>
      </w:r>
      <w:r w:rsidR="00A75EE5">
        <w:t xml:space="preserve"> of $</w:t>
      </w:r>
      <w:r w:rsidR="00BD362B">
        <w:t>7113.5</w:t>
      </w:r>
      <w:r w:rsidR="00A75EE5">
        <w:t xml:space="preserve"> million</w:t>
      </w:r>
      <w:r w:rsidR="005D3335">
        <w:t xml:space="preserve">. We instead determine the </w:t>
      </w:r>
      <w:r w:rsidR="00A75EE5">
        <w:t xml:space="preserve">forecast </w:t>
      </w:r>
      <w:r w:rsidR="005D3335">
        <w:t>closing RAB to be $</w:t>
      </w:r>
      <w:r w:rsidR="004E746D">
        <w:t>6710.5</w:t>
      </w:r>
      <w:r w:rsidR="009548A9">
        <w:t xml:space="preserve"> </w:t>
      </w:r>
      <w:r w:rsidR="003A6191">
        <w:t xml:space="preserve">million. </w:t>
      </w:r>
      <w:r w:rsidR="00A75EE5">
        <w:t>This is $</w:t>
      </w:r>
      <w:r w:rsidR="009548A9">
        <w:t>40</w:t>
      </w:r>
      <w:r w:rsidR="004E746D">
        <w:t>3</w:t>
      </w:r>
      <w:r w:rsidR="009548A9">
        <w:t>.</w:t>
      </w:r>
      <w:r w:rsidR="004E746D">
        <w:t>0</w:t>
      </w:r>
      <w:r w:rsidR="00A75EE5">
        <w:t xml:space="preserve"> million (or </w:t>
      </w:r>
      <w:r w:rsidR="009548A9">
        <w:t>5.7</w:t>
      </w:r>
      <w:r w:rsidR="00A75EE5">
        <w:t xml:space="preserve"> per cent) lower than TransGrid's revised proposal. Our final decision on the forecast closing RAB reflects </w:t>
      </w:r>
      <w:r w:rsidR="003A6191">
        <w:t xml:space="preserve">our adjustments to </w:t>
      </w:r>
      <w:r w:rsidR="00A75EE5">
        <w:t>TransGrid's</w:t>
      </w:r>
      <w:r w:rsidR="003A6191">
        <w:t xml:space="preserve"> forecast capex (attachment 6)</w:t>
      </w:r>
      <w:r w:rsidR="008B3AF2">
        <w:t>,</w:t>
      </w:r>
      <w:r w:rsidR="005038DF">
        <w:t xml:space="preserve"> </w:t>
      </w:r>
      <w:r w:rsidR="00A75EE5">
        <w:t>forecast</w:t>
      </w:r>
      <w:r w:rsidR="005038DF">
        <w:t xml:space="preserve"> regulatory depreciation (attachment 5)</w:t>
      </w:r>
      <w:r w:rsidR="008B3AF2">
        <w:t xml:space="preserve"> and the forecast inflation rate (attachment 3)</w:t>
      </w:r>
      <w:r w:rsidR="003A6191">
        <w:t xml:space="preserve">. </w:t>
      </w:r>
    </w:p>
    <w:p w:rsidR="006A69EB" w:rsidRDefault="006A69EB" w:rsidP="006A69EB">
      <w:r>
        <w:t xml:space="preserve">We </w:t>
      </w:r>
      <w:r w:rsidR="00A75EE5">
        <w:t>note</w:t>
      </w:r>
      <w:r>
        <w:t xml:space="preserve"> </w:t>
      </w:r>
      <w:r w:rsidR="00BD362B">
        <w:t xml:space="preserve">that </w:t>
      </w:r>
      <w:r>
        <w:t>TransGrid's</w:t>
      </w:r>
      <w:r w:rsidR="00A75EE5">
        <w:t xml:space="preserve"> revised proposal adopted our draft decision on the use of forecast depreciation for establishing the RAB at the commencement of</w:t>
      </w:r>
      <w:r>
        <w:t xml:space="preserve"> the regulatory control period </w:t>
      </w:r>
      <w:r w:rsidR="00A75EE5">
        <w:t>from 1 July 2018.</w:t>
      </w:r>
      <w:r w:rsidR="00A75EE5">
        <w:rPr>
          <w:rStyle w:val="FootnoteReference"/>
        </w:rPr>
        <w:footnoteReference w:id="5"/>
      </w:r>
      <w:r w:rsidR="00A75EE5">
        <w:t xml:space="preserve"> </w:t>
      </w:r>
      <w:r w:rsidR="00AD53A4">
        <w:t xml:space="preserve">We therefore </w:t>
      </w:r>
      <w:r w:rsidR="00334AC9">
        <w:t xml:space="preserve">maintain </w:t>
      </w:r>
      <w:r w:rsidR="00AD53A4">
        <w:t xml:space="preserve">our </w:t>
      </w:r>
      <w:r w:rsidR="00334AC9">
        <w:t xml:space="preserve">draft decision position </w:t>
      </w:r>
      <w:r w:rsidR="00AD53A4">
        <w:t xml:space="preserve">on this </w:t>
      </w:r>
      <w:r w:rsidR="00334AC9">
        <w:t xml:space="preserve">issue </w:t>
      </w:r>
      <w:r w:rsidR="00AD53A4">
        <w:t>for th</w:t>
      </w:r>
      <w:r w:rsidR="004E6572">
        <w:t>is</w:t>
      </w:r>
      <w:r w:rsidR="00AD53A4">
        <w:t xml:space="preserve"> final </w:t>
      </w:r>
      <w:r>
        <w:t xml:space="preserve">decision. </w:t>
      </w:r>
    </w:p>
    <w:p w:rsidR="005D3335" w:rsidRDefault="005D3335" w:rsidP="005D3335">
      <w:r>
        <w:fldChar w:fldCharType="begin"/>
      </w:r>
      <w:r>
        <w:instrText xml:space="preserve"> REF _Ref402185343 \h </w:instrText>
      </w:r>
      <w:r>
        <w:fldChar w:fldCharType="separate"/>
      </w:r>
      <w:r w:rsidR="00A03C1F" w:rsidRPr="00D04795">
        <w:t>Table 2</w:t>
      </w:r>
      <w:r w:rsidR="00A03C1F" w:rsidRPr="00D04795">
        <w:noBreakHyphen/>
      </w:r>
      <w:r w:rsidR="00A03C1F">
        <w:rPr>
          <w:noProof/>
        </w:rPr>
        <w:t>1</w:t>
      </w:r>
      <w:r>
        <w:fldChar w:fldCharType="end"/>
      </w:r>
      <w:r>
        <w:t xml:space="preserve"> and </w:t>
      </w:r>
      <w:r>
        <w:fldChar w:fldCharType="begin"/>
      </w:r>
      <w:r>
        <w:instrText xml:space="preserve"> REF _Ref402185350 \h </w:instrText>
      </w:r>
      <w:r>
        <w:fldChar w:fldCharType="separate"/>
      </w:r>
      <w:r w:rsidR="00A03C1F" w:rsidRPr="002B7734">
        <w:t>Table 2</w:t>
      </w:r>
      <w:r w:rsidR="00A03C1F" w:rsidRPr="002B7734">
        <w:noBreakHyphen/>
      </w:r>
      <w:r w:rsidR="00A03C1F">
        <w:rPr>
          <w:noProof/>
        </w:rPr>
        <w:t>2</w:t>
      </w:r>
      <w:r>
        <w:fldChar w:fldCharType="end"/>
      </w:r>
      <w:r>
        <w:t xml:space="preserve"> </w:t>
      </w:r>
      <w:r w:rsidRPr="005C19A1">
        <w:t xml:space="preserve">set out our final decisions on the roll forward of </w:t>
      </w:r>
      <w:r>
        <w:t>TransGrid's</w:t>
      </w:r>
      <w:r w:rsidRPr="005C19A1">
        <w:t xml:space="preserve"> RAB during th</w:t>
      </w:r>
      <w:r>
        <w:t>e 2009</w:t>
      </w:r>
      <w:r w:rsidRPr="005C19A1">
        <w:t xml:space="preserve">–14 regulatory control period and </w:t>
      </w:r>
      <w:r w:rsidR="00AD53A4">
        <w:t>its</w:t>
      </w:r>
      <w:r>
        <w:t xml:space="preserve"> forecast RAB for the </w:t>
      </w:r>
      <w:r w:rsidR="004E6572">
        <w:br/>
      </w:r>
      <w:r w:rsidR="003B0057">
        <w:t xml:space="preserve"> </w:t>
      </w:r>
      <w:r>
        <w:t>2014–18</w:t>
      </w:r>
      <w:r w:rsidRPr="005C19A1">
        <w:t xml:space="preserve"> period respectively. </w:t>
      </w:r>
    </w:p>
    <w:p w:rsidR="005D3335" w:rsidRPr="00D04795" w:rsidRDefault="005D3335" w:rsidP="002B7734">
      <w:pPr>
        <w:pStyle w:val="Caption"/>
      </w:pPr>
      <w:bookmarkStart w:id="14" w:name="_Ref402185343"/>
      <w:r w:rsidRPr="00D04795">
        <w:lastRenderedPageBreak/>
        <w:t>Table 2</w:t>
      </w:r>
      <w:r w:rsidRPr="00D04795">
        <w:noBreakHyphen/>
      </w:r>
      <w:r w:rsidR="00A03C1F">
        <w:fldChar w:fldCharType="begin"/>
      </w:r>
      <w:r w:rsidR="00A03C1F">
        <w:instrText xml:space="preserve"> SEQ Table \* ARABIC \s 1 </w:instrText>
      </w:r>
      <w:r w:rsidR="00A03C1F">
        <w:fldChar w:fldCharType="separate"/>
      </w:r>
      <w:r w:rsidR="00A03C1F">
        <w:rPr>
          <w:noProof/>
        </w:rPr>
        <w:t>1</w:t>
      </w:r>
      <w:r w:rsidR="00A03C1F">
        <w:fldChar w:fldCharType="end"/>
      </w:r>
      <w:bookmarkEnd w:id="14"/>
      <w:r w:rsidRPr="00D04795">
        <w:tab/>
        <w:t xml:space="preserve">AER's </w:t>
      </w:r>
      <w:r w:rsidR="003A6191" w:rsidRPr="00D04795">
        <w:t xml:space="preserve">final </w:t>
      </w:r>
      <w:r w:rsidRPr="00D04795">
        <w:t>decision on TransGrid's RAB for the 2009–14 regulatory control period ($ million, nominal)</w:t>
      </w:r>
    </w:p>
    <w:tbl>
      <w:tblPr>
        <w:tblStyle w:val="AERtable-numbers"/>
        <w:tblW w:w="5000" w:type="pct"/>
        <w:tblLook w:val="01E0" w:firstRow="1" w:lastRow="1" w:firstColumn="1" w:lastColumn="1" w:noHBand="0" w:noVBand="0"/>
      </w:tblPr>
      <w:tblGrid>
        <w:gridCol w:w="3435"/>
        <w:gridCol w:w="1049"/>
        <w:gridCol w:w="1048"/>
        <w:gridCol w:w="1048"/>
        <w:gridCol w:w="1047"/>
        <w:gridCol w:w="1066"/>
      </w:tblGrid>
      <w:tr w:rsidR="005D3335" w:rsidRPr="00D04795" w:rsidTr="003962B3">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tc>
        <w:tc>
          <w:tcPr>
            <w:tcW w:w="603" w:type="pct"/>
          </w:tcPr>
          <w:p w:rsidR="005D3335" w:rsidRPr="00D04795" w:rsidRDefault="005D3335" w:rsidP="00D04795">
            <w:pPr>
              <w:cnfStyle w:val="100000000000" w:firstRow="1" w:lastRow="0" w:firstColumn="0" w:lastColumn="0" w:oddVBand="0" w:evenVBand="0" w:oddHBand="0" w:evenHBand="0" w:firstRowFirstColumn="0" w:firstRowLastColumn="0" w:lastRowFirstColumn="0" w:lastRowLastColumn="0"/>
            </w:pPr>
            <w:r w:rsidRPr="00D04795">
              <w:t>2009–10</w:t>
            </w:r>
          </w:p>
        </w:tc>
        <w:tc>
          <w:tcPr>
            <w:tcW w:w="603" w:type="pct"/>
          </w:tcPr>
          <w:p w:rsidR="005D3335" w:rsidRPr="00D04795" w:rsidRDefault="005D3335" w:rsidP="00D04795">
            <w:pPr>
              <w:cnfStyle w:val="100000000000" w:firstRow="1" w:lastRow="0" w:firstColumn="0" w:lastColumn="0" w:oddVBand="0" w:evenVBand="0" w:oddHBand="0" w:evenHBand="0" w:firstRowFirstColumn="0" w:firstRowLastColumn="0" w:lastRowFirstColumn="0" w:lastRowLastColumn="0"/>
            </w:pPr>
            <w:r w:rsidRPr="00D04795">
              <w:t>2010–11</w:t>
            </w:r>
          </w:p>
        </w:tc>
        <w:tc>
          <w:tcPr>
            <w:tcW w:w="603" w:type="pct"/>
          </w:tcPr>
          <w:p w:rsidR="005D3335" w:rsidRPr="00D04795" w:rsidRDefault="005D3335" w:rsidP="00D04795">
            <w:pPr>
              <w:cnfStyle w:val="100000000000" w:firstRow="1" w:lastRow="0" w:firstColumn="0" w:lastColumn="0" w:oddVBand="0" w:evenVBand="0" w:oddHBand="0" w:evenHBand="0" w:firstRowFirstColumn="0" w:firstRowLastColumn="0" w:lastRowFirstColumn="0" w:lastRowLastColumn="0"/>
            </w:pPr>
            <w:r w:rsidRPr="00D04795">
              <w:t>2011–12</w:t>
            </w:r>
          </w:p>
        </w:tc>
        <w:tc>
          <w:tcPr>
            <w:tcW w:w="602" w:type="pct"/>
          </w:tcPr>
          <w:p w:rsidR="005D3335" w:rsidRPr="00D04795" w:rsidRDefault="005D3335" w:rsidP="00D04795">
            <w:pPr>
              <w:cnfStyle w:val="100000000000" w:firstRow="1" w:lastRow="0" w:firstColumn="0" w:lastColumn="0" w:oddVBand="0" w:evenVBand="0" w:oddHBand="0" w:evenHBand="0" w:firstRowFirstColumn="0" w:firstRowLastColumn="0" w:lastRowFirstColumn="0" w:lastRowLastColumn="0"/>
            </w:pPr>
            <w:r w:rsidRPr="00D04795">
              <w:t>2012–13</w:t>
            </w:r>
          </w:p>
        </w:tc>
        <w:tc>
          <w:tcPr>
            <w:tcW w:w="613" w:type="pct"/>
          </w:tcPr>
          <w:p w:rsidR="005D3335" w:rsidRPr="00D04795" w:rsidRDefault="005D3335" w:rsidP="00AD53A4">
            <w:pPr>
              <w:cnfStyle w:val="100000000000" w:firstRow="1" w:lastRow="0" w:firstColumn="0" w:lastColumn="0" w:oddVBand="0" w:evenVBand="0" w:oddHBand="0" w:evenHBand="0" w:firstRowFirstColumn="0" w:firstRowLastColumn="0" w:lastRowFirstColumn="0" w:lastRowLastColumn="0"/>
            </w:pPr>
            <w:r w:rsidRPr="00D04795">
              <w:t>2013–14</w:t>
            </w:r>
          </w:p>
        </w:tc>
      </w:tr>
      <w:tr w:rsidR="005D3335" w:rsidRPr="00D04795" w:rsidTr="003962B3">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r w:rsidRPr="00D04795">
              <w:t>Opening RAB</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4217.5</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4578.8</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4926.0</w:t>
            </w:r>
          </w:p>
        </w:tc>
        <w:tc>
          <w:tcPr>
            <w:tcW w:w="602"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5174.6</w:t>
            </w:r>
          </w:p>
        </w:tc>
        <w:tc>
          <w:tcPr>
            <w:tcW w:w="61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5607.2</w:t>
            </w:r>
          </w:p>
        </w:tc>
      </w:tr>
      <w:tr w:rsidR="005D3335" w:rsidRPr="00D04795" w:rsidTr="003962B3">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r w:rsidRPr="00D04795">
              <w:t>Capital expenditure</w:t>
            </w:r>
            <w:r w:rsidR="00AD53A4">
              <w:rPr>
                <w:rStyle w:val="AERsuperscript"/>
              </w:rPr>
              <w:t>a</w:t>
            </w:r>
            <w:r w:rsidRPr="00D04795">
              <w:rPr>
                <w:rStyle w:val="AERsuperscript"/>
              </w:rPr>
              <w:t xml:space="preserve"> </w:t>
            </w: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418.5</w:t>
            </w: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376.2</w:t>
            </w: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354.8</w:t>
            </w:r>
          </w:p>
        </w:tc>
        <w:tc>
          <w:tcPr>
            <w:tcW w:w="602"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502.2</w:t>
            </w:r>
          </w:p>
        </w:tc>
        <w:tc>
          <w:tcPr>
            <w:tcW w:w="613" w:type="pct"/>
          </w:tcPr>
          <w:p w:rsidR="005D3335" w:rsidRPr="00D04795" w:rsidRDefault="0085041F" w:rsidP="00D04795">
            <w:pPr>
              <w:cnfStyle w:val="000000010000" w:firstRow="0" w:lastRow="0" w:firstColumn="0" w:lastColumn="0" w:oddVBand="0" w:evenVBand="0" w:oddHBand="0" w:evenHBand="1" w:firstRowFirstColumn="0" w:firstRowLastColumn="0" w:lastRowFirstColumn="0" w:lastRowLastColumn="0"/>
            </w:pPr>
            <w:r>
              <w:t>485.6</w:t>
            </w:r>
          </w:p>
        </w:tc>
      </w:tr>
      <w:tr w:rsidR="005D3335" w:rsidRPr="00D04795" w:rsidTr="003962B3">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D04795" w:rsidP="00D04795">
            <w:r>
              <w:t xml:space="preserve">CPI indexation on opening </w:t>
            </w:r>
            <w:r w:rsidR="005D3335" w:rsidRPr="00D04795">
              <w:t>RAB</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121.8</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152.6</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78.1</w:t>
            </w:r>
          </w:p>
        </w:tc>
        <w:tc>
          <w:tcPr>
            <w:tcW w:w="602"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129.5</w:t>
            </w:r>
          </w:p>
        </w:tc>
        <w:tc>
          <w:tcPr>
            <w:tcW w:w="61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164.3</w:t>
            </w:r>
          </w:p>
        </w:tc>
      </w:tr>
      <w:tr w:rsidR="005D3335" w:rsidRPr="00D04795" w:rsidTr="003962B3">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r w:rsidRPr="00D04795">
              <w:t>Straight-line depreciation</w:t>
            </w:r>
            <w:r w:rsidR="00AD53A4">
              <w:rPr>
                <w:rStyle w:val="AERsuperscript"/>
              </w:rPr>
              <w:t>b</w:t>
            </w: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–179.0</w:t>
            </w: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–181.7</w:t>
            </w: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–184.2</w:t>
            </w:r>
          </w:p>
        </w:tc>
        <w:tc>
          <w:tcPr>
            <w:tcW w:w="602"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–199.1</w:t>
            </w:r>
          </w:p>
        </w:tc>
        <w:tc>
          <w:tcPr>
            <w:tcW w:w="61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–222.3</w:t>
            </w:r>
          </w:p>
        </w:tc>
      </w:tr>
      <w:tr w:rsidR="005D3335" w:rsidRPr="00D04795" w:rsidTr="003962B3">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r w:rsidRPr="00D04795">
              <w:t>Closing RAB</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4578.8</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4926.0</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5174.6</w:t>
            </w:r>
          </w:p>
        </w:tc>
        <w:tc>
          <w:tcPr>
            <w:tcW w:w="602"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5607.2</w:t>
            </w:r>
          </w:p>
        </w:tc>
        <w:tc>
          <w:tcPr>
            <w:tcW w:w="613" w:type="pct"/>
          </w:tcPr>
          <w:p w:rsidR="005D3335" w:rsidRPr="00D04795" w:rsidRDefault="003962B3" w:rsidP="00AD53A4">
            <w:pPr>
              <w:cnfStyle w:val="000000000000" w:firstRow="0" w:lastRow="0" w:firstColumn="0" w:lastColumn="0" w:oddVBand="0" w:evenVBand="0" w:oddHBand="0" w:evenHBand="0" w:firstRowFirstColumn="0" w:firstRowLastColumn="0" w:lastRowFirstColumn="0" w:lastRowLastColumn="0"/>
            </w:pPr>
            <w:r>
              <w:t>603</w:t>
            </w:r>
            <w:r w:rsidR="00AD53A4">
              <w:t>4</w:t>
            </w:r>
            <w:r>
              <w:t>.</w:t>
            </w:r>
            <w:r w:rsidR="00AD53A4">
              <w:t>8</w:t>
            </w:r>
          </w:p>
        </w:tc>
      </w:tr>
      <w:tr w:rsidR="005D3335" w:rsidRPr="00D04795" w:rsidTr="003962B3">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r w:rsidRPr="00D04795">
              <w:t>Difference between estimated and actual capex (1 July  2008 to 30 June 2009)</w:t>
            </w: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p>
        </w:tc>
        <w:tc>
          <w:tcPr>
            <w:tcW w:w="60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p>
        </w:tc>
        <w:tc>
          <w:tcPr>
            <w:tcW w:w="602"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p>
        </w:tc>
        <w:tc>
          <w:tcPr>
            <w:tcW w:w="613" w:type="pct"/>
          </w:tcPr>
          <w:p w:rsidR="005D3335" w:rsidRPr="00D04795" w:rsidRDefault="005D3335" w:rsidP="00D04795">
            <w:pPr>
              <w:cnfStyle w:val="000000010000" w:firstRow="0" w:lastRow="0" w:firstColumn="0" w:lastColumn="0" w:oddVBand="0" w:evenVBand="0" w:oddHBand="0" w:evenHBand="1" w:firstRowFirstColumn="0" w:firstRowLastColumn="0" w:lastRowFirstColumn="0" w:lastRowLastColumn="0"/>
            </w:pPr>
            <w:r w:rsidRPr="00D04795">
              <w:t>25.2</w:t>
            </w:r>
          </w:p>
        </w:tc>
      </w:tr>
      <w:tr w:rsidR="005D3335" w:rsidRPr="00D04795" w:rsidTr="003962B3">
        <w:trPr>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D04795" w:rsidRDefault="005D3335" w:rsidP="00D04795">
            <w:r w:rsidRPr="00D04795">
              <w:t>Return on difference for 2008–09 capex</w:t>
            </w: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p>
        </w:tc>
        <w:tc>
          <w:tcPr>
            <w:tcW w:w="60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p>
        </w:tc>
        <w:tc>
          <w:tcPr>
            <w:tcW w:w="602"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p>
        </w:tc>
        <w:tc>
          <w:tcPr>
            <w:tcW w:w="613" w:type="pct"/>
          </w:tcPr>
          <w:p w:rsidR="005D3335" w:rsidRPr="00D04795" w:rsidRDefault="005D3335" w:rsidP="00D04795">
            <w:pPr>
              <w:cnfStyle w:val="000000000000" w:firstRow="0" w:lastRow="0" w:firstColumn="0" w:lastColumn="0" w:oddVBand="0" w:evenVBand="0" w:oddHBand="0" w:evenHBand="0" w:firstRowFirstColumn="0" w:firstRowLastColumn="0" w:lastRowFirstColumn="0" w:lastRowLastColumn="0"/>
            </w:pPr>
            <w:r w:rsidRPr="00D04795">
              <w:t>15.8</w:t>
            </w:r>
          </w:p>
        </w:tc>
      </w:tr>
      <w:tr w:rsidR="005D3335" w:rsidRPr="00D04795" w:rsidTr="003962B3">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5" w:type="pct"/>
          </w:tcPr>
          <w:p w:rsidR="005D3335" w:rsidRPr="003962B3" w:rsidRDefault="005D3335" w:rsidP="00D04795">
            <w:pPr>
              <w:rPr>
                <w:rStyle w:val="Strong"/>
              </w:rPr>
            </w:pPr>
            <w:r w:rsidRPr="003962B3">
              <w:rPr>
                <w:rStyle w:val="Strong"/>
              </w:rPr>
              <w:t>Opening RAB as at 1 July 2014</w:t>
            </w:r>
          </w:p>
        </w:tc>
        <w:tc>
          <w:tcPr>
            <w:tcW w:w="603" w:type="pct"/>
          </w:tcPr>
          <w:p w:rsidR="005D3335" w:rsidRPr="003962B3" w:rsidRDefault="005D3335" w:rsidP="00D04795">
            <w:pPr>
              <w:cnfStyle w:val="000000010000" w:firstRow="0" w:lastRow="0" w:firstColumn="0" w:lastColumn="0" w:oddVBand="0" w:evenVBand="0" w:oddHBand="0" w:evenHBand="1" w:firstRowFirstColumn="0" w:firstRowLastColumn="0" w:lastRowFirstColumn="0" w:lastRowLastColumn="0"/>
              <w:rPr>
                <w:rStyle w:val="Strong"/>
              </w:rPr>
            </w:pPr>
          </w:p>
        </w:tc>
        <w:tc>
          <w:tcPr>
            <w:tcW w:w="603" w:type="pct"/>
          </w:tcPr>
          <w:p w:rsidR="005D3335" w:rsidRPr="003962B3" w:rsidRDefault="005D3335" w:rsidP="00D04795">
            <w:pPr>
              <w:cnfStyle w:val="000000010000" w:firstRow="0" w:lastRow="0" w:firstColumn="0" w:lastColumn="0" w:oddVBand="0" w:evenVBand="0" w:oddHBand="0" w:evenHBand="1" w:firstRowFirstColumn="0" w:firstRowLastColumn="0" w:lastRowFirstColumn="0" w:lastRowLastColumn="0"/>
              <w:rPr>
                <w:rStyle w:val="Strong"/>
              </w:rPr>
            </w:pPr>
          </w:p>
        </w:tc>
        <w:tc>
          <w:tcPr>
            <w:tcW w:w="603" w:type="pct"/>
          </w:tcPr>
          <w:p w:rsidR="005D3335" w:rsidRPr="003962B3" w:rsidRDefault="005D3335" w:rsidP="00D04795">
            <w:pPr>
              <w:cnfStyle w:val="000000010000" w:firstRow="0" w:lastRow="0" w:firstColumn="0" w:lastColumn="0" w:oddVBand="0" w:evenVBand="0" w:oddHBand="0" w:evenHBand="1" w:firstRowFirstColumn="0" w:firstRowLastColumn="0" w:lastRowFirstColumn="0" w:lastRowLastColumn="0"/>
              <w:rPr>
                <w:rStyle w:val="Strong"/>
              </w:rPr>
            </w:pPr>
          </w:p>
        </w:tc>
        <w:tc>
          <w:tcPr>
            <w:tcW w:w="602" w:type="pct"/>
          </w:tcPr>
          <w:p w:rsidR="005D3335" w:rsidRPr="003962B3" w:rsidRDefault="005D3335" w:rsidP="00D04795">
            <w:pPr>
              <w:cnfStyle w:val="000000010000" w:firstRow="0" w:lastRow="0" w:firstColumn="0" w:lastColumn="0" w:oddVBand="0" w:evenVBand="0" w:oddHBand="0" w:evenHBand="1" w:firstRowFirstColumn="0" w:firstRowLastColumn="0" w:lastRowFirstColumn="0" w:lastRowLastColumn="0"/>
              <w:rPr>
                <w:rStyle w:val="Strong"/>
              </w:rPr>
            </w:pPr>
          </w:p>
        </w:tc>
        <w:tc>
          <w:tcPr>
            <w:tcW w:w="613" w:type="pct"/>
          </w:tcPr>
          <w:p w:rsidR="005D3335" w:rsidRPr="003962B3" w:rsidRDefault="003962B3" w:rsidP="0085041F">
            <w:pPr>
              <w:cnfStyle w:val="000000010000" w:firstRow="0" w:lastRow="0" w:firstColumn="0" w:lastColumn="0" w:oddVBand="0" w:evenVBand="0" w:oddHBand="0" w:evenHBand="1" w:firstRowFirstColumn="0" w:firstRowLastColumn="0" w:lastRowFirstColumn="0" w:lastRowLastColumn="0"/>
              <w:rPr>
                <w:rStyle w:val="Strong"/>
              </w:rPr>
            </w:pPr>
            <w:r w:rsidRPr="003962B3">
              <w:rPr>
                <w:rStyle w:val="Strong"/>
              </w:rPr>
              <w:t>607</w:t>
            </w:r>
            <w:r w:rsidR="0085041F">
              <w:rPr>
                <w:rStyle w:val="Strong"/>
              </w:rPr>
              <w:t>5.8</w:t>
            </w:r>
          </w:p>
        </w:tc>
      </w:tr>
    </w:tbl>
    <w:p w:rsidR="005D3335" w:rsidRPr="00D04795" w:rsidRDefault="005D3335" w:rsidP="002B7734">
      <w:pPr>
        <w:pStyle w:val="AERtablesource"/>
        <w:rPr>
          <w:rStyle w:val="AERtextsize8"/>
        </w:rPr>
      </w:pPr>
      <w:r w:rsidRPr="00D04795">
        <w:rPr>
          <w:rStyle w:val="AERtextsize8"/>
        </w:rPr>
        <w:t>Source:</w:t>
      </w:r>
      <w:r w:rsidRPr="00D04795">
        <w:rPr>
          <w:rStyle w:val="AERtextsize8"/>
        </w:rPr>
        <w:tab/>
        <w:t>AER analysis.</w:t>
      </w:r>
    </w:p>
    <w:p w:rsidR="005D3335" w:rsidRPr="00D04795" w:rsidRDefault="005D3335" w:rsidP="002B7734">
      <w:pPr>
        <w:pStyle w:val="AERtablesource"/>
        <w:rPr>
          <w:rStyle w:val="AERtextsize8"/>
        </w:rPr>
      </w:pPr>
      <w:r w:rsidRPr="00D04795">
        <w:rPr>
          <w:rStyle w:val="AERtextsize8"/>
        </w:rPr>
        <w:t>(</w:t>
      </w:r>
      <w:r w:rsidR="00AD53A4">
        <w:rPr>
          <w:rStyle w:val="AERtextsize8"/>
        </w:rPr>
        <w:t>a</w:t>
      </w:r>
      <w:r w:rsidRPr="00D04795">
        <w:rPr>
          <w:rStyle w:val="AERtextsize8"/>
        </w:rPr>
        <w:t xml:space="preserve">) </w:t>
      </w:r>
      <w:r w:rsidRPr="00D04795">
        <w:rPr>
          <w:rStyle w:val="AERtextsize8"/>
        </w:rPr>
        <w:tab/>
        <w:t xml:space="preserve">As incurred, net of disposals, and adjusted for actual CPI. </w:t>
      </w:r>
    </w:p>
    <w:p w:rsidR="005D3335" w:rsidRPr="00D04795" w:rsidRDefault="005D3335" w:rsidP="002B7734">
      <w:pPr>
        <w:pStyle w:val="AERtablesource"/>
        <w:rPr>
          <w:rStyle w:val="AERtextsize8"/>
        </w:rPr>
      </w:pPr>
      <w:r w:rsidRPr="00D04795">
        <w:rPr>
          <w:rStyle w:val="AERtextsize8"/>
        </w:rPr>
        <w:t>(</w:t>
      </w:r>
      <w:r w:rsidR="00AD53A4">
        <w:rPr>
          <w:rStyle w:val="AERtextsize8"/>
        </w:rPr>
        <w:t>b</w:t>
      </w:r>
      <w:r w:rsidRPr="00D04795">
        <w:rPr>
          <w:rStyle w:val="AERtextsize8"/>
        </w:rPr>
        <w:t>)</w:t>
      </w:r>
      <w:r w:rsidRPr="00D04795">
        <w:rPr>
          <w:rStyle w:val="AERtextsize8"/>
        </w:rPr>
        <w:tab/>
        <w:t>Adjusted for actual CPI. Based on as-commissioned capex.</w:t>
      </w:r>
    </w:p>
    <w:p w:rsidR="005D3335" w:rsidRPr="002B7734" w:rsidRDefault="005D3335" w:rsidP="002B7734">
      <w:pPr>
        <w:pStyle w:val="Caption"/>
      </w:pPr>
      <w:bookmarkStart w:id="15" w:name="_Ref402185350"/>
      <w:r w:rsidRPr="002B7734">
        <w:t>Table 2</w:t>
      </w:r>
      <w:r w:rsidRPr="002B7734">
        <w:noBreakHyphen/>
      </w:r>
      <w:r w:rsidR="00A03C1F">
        <w:fldChar w:fldCharType="begin"/>
      </w:r>
      <w:r w:rsidR="00A03C1F">
        <w:instrText xml:space="preserve"> SEQ Table \* ARABIC \s 1 </w:instrText>
      </w:r>
      <w:r w:rsidR="00A03C1F">
        <w:fldChar w:fldCharType="separate"/>
      </w:r>
      <w:r w:rsidR="00A03C1F">
        <w:rPr>
          <w:noProof/>
        </w:rPr>
        <w:t>2</w:t>
      </w:r>
      <w:r w:rsidR="00A03C1F">
        <w:fldChar w:fldCharType="end"/>
      </w:r>
      <w:bookmarkEnd w:id="15"/>
      <w:r w:rsidRPr="002B7734">
        <w:tab/>
        <w:t>AER's</w:t>
      </w:r>
      <w:r w:rsidR="003A6191" w:rsidRPr="002B7734">
        <w:t xml:space="preserve"> final</w:t>
      </w:r>
      <w:r w:rsidRPr="002B7734">
        <w:t xml:space="preserve"> decision on TransGrid's RAB for the 2014–18 period ($ million, nominal)</w:t>
      </w:r>
    </w:p>
    <w:tbl>
      <w:tblPr>
        <w:tblStyle w:val="AERtable-numbers"/>
        <w:tblW w:w="4944" w:type="pct"/>
        <w:tblLook w:val="01E0" w:firstRow="1" w:lastRow="1" w:firstColumn="1" w:lastColumn="1" w:noHBand="0" w:noVBand="0"/>
      </w:tblPr>
      <w:tblGrid>
        <w:gridCol w:w="3868"/>
        <w:gridCol w:w="1185"/>
        <w:gridCol w:w="1183"/>
        <w:gridCol w:w="1181"/>
        <w:gridCol w:w="1179"/>
      </w:tblGrid>
      <w:tr w:rsidR="005D3335" w:rsidRPr="002B7734" w:rsidTr="003962B3">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50" w:type="pct"/>
          </w:tcPr>
          <w:p w:rsidR="005D3335" w:rsidRPr="002B7734" w:rsidRDefault="005D3335" w:rsidP="002B7734"/>
        </w:tc>
        <w:tc>
          <w:tcPr>
            <w:tcW w:w="689" w:type="pct"/>
          </w:tcPr>
          <w:p w:rsidR="005D3335" w:rsidRPr="002B7734" w:rsidRDefault="005D3335" w:rsidP="002B7734">
            <w:pPr>
              <w:cnfStyle w:val="100000000000" w:firstRow="1" w:lastRow="0" w:firstColumn="0" w:lastColumn="0" w:oddVBand="0" w:evenVBand="0" w:oddHBand="0" w:evenHBand="0" w:firstRowFirstColumn="0" w:firstRowLastColumn="0" w:lastRowFirstColumn="0" w:lastRowLastColumn="0"/>
            </w:pPr>
            <w:r w:rsidRPr="002B7734">
              <w:t>2014–15</w:t>
            </w:r>
          </w:p>
        </w:tc>
        <w:tc>
          <w:tcPr>
            <w:tcW w:w="688" w:type="pct"/>
          </w:tcPr>
          <w:p w:rsidR="005D3335" w:rsidRPr="002B7734" w:rsidRDefault="005D3335" w:rsidP="002B7734">
            <w:pPr>
              <w:cnfStyle w:val="100000000000" w:firstRow="1" w:lastRow="0" w:firstColumn="0" w:lastColumn="0" w:oddVBand="0" w:evenVBand="0" w:oddHBand="0" w:evenHBand="0" w:firstRowFirstColumn="0" w:firstRowLastColumn="0" w:lastRowFirstColumn="0" w:lastRowLastColumn="0"/>
            </w:pPr>
            <w:r w:rsidRPr="002B7734">
              <w:t>2015–16</w:t>
            </w:r>
          </w:p>
        </w:tc>
        <w:tc>
          <w:tcPr>
            <w:tcW w:w="687" w:type="pct"/>
          </w:tcPr>
          <w:p w:rsidR="005D3335" w:rsidRPr="002B7734" w:rsidRDefault="005D3335" w:rsidP="002B7734">
            <w:pPr>
              <w:cnfStyle w:val="100000000000" w:firstRow="1" w:lastRow="0" w:firstColumn="0" w:lastColumn="0" w:oddVBand="0" w:evenVBand="0" w:oddHBand="0" w:evenHBand="0" w:firstRowFirstColumn="0" w:firstRowLastColumn="0" w:lastRowFirstColumn="0" w:lastRowLastColumn="0"/>
            </w:pPr>
            <w:r w:rsidRPr="002B7734">
              <w:t>2016–17</w:t>
            </w:r>
          </w:p>
        </w:tc>
        <w:tc>
          <w:tcPr>
            <w:tcW w:w="686" w:type="pct"/>
          </w:tcPr>
          <w:p w:rsidR="005D3335" w:rsidRPr="002B7734" w:rsidRDefault="005D3335" w:rsidP="002B7734">
            <w:pPr>
              <w:cnfStyle w:val="100000000000" w:firstRow="1" w:lastRow="0" w:firstColumn="0" w:lastColumn="0" w:oddVBand="0" w:evenVBand="0" w:oddHBand="0" w:evenHBand="0" w:firstRowFirstColumn="0" w:firstRowLastColumn="0" w:lastRowFirstColumn="0" w:lastRowLastColumn="0"/>
            </w:pPr>
            <w:r w:rsidRPr="002B7734">
              <w:t>2017–18</w:t>
            </w:r>
          </w:p>
        </w:tc>
      </w:tr>
      <w:tr w:rsidR="005D3335" w:rsidRPr="002B7734" w:rsidTr="003962B3">
        <w:trPr>
          <w:trHeight w:val="441"/>
        </w:trPr>
        <w:tc>
          <w:tcPr>
            <w:cnfStyle w:val="001000000000" w:firstRow="0" w:lastRow="0" w:firstColumn="1" w:lastColumn="0" w:oddVBand="0" w:evenVBand="0" w:oddHBand="0" w:evenHBand="0" w:firstRowFirstColumn="0" w:firstRowLastColumn="0" w:lastRowFirstColumn="0" w:lastRowLastColumn="0"/>
            <w:tcW w:w="2250" w:type="pct"/>
          </w:tcPr>
          <w:p w:rsidR="005D3335" w:rsidRPr="002B7734" w:rsidRDefault="005D3335" w:rsidP="002B7734">
            <w:r w:rsidRPr="002B7734">
              <w:t>Opening RAB</w:t>
            </w:r>
          </w:p>
        </w:tc>
        <w:tc>
          <w:tcPr>
            <w:tcW w:w="689" w:type="pct"/>
          </w:tcPr>
          <w:p w:rsidR="005D3335" w:rsidRPr="002B7734" w:rsidRDefault="00687952" w:rsidP="002B7734">
            <w:pPr>
              <w:cnfStyle w:val="000000000000" w:firstRow="0" w:lastRow="0" w:firstColumn="0" w:lastColumn="0" w:oddVBand="0" w:evenVBand="0" w:oddHBand="0" w:evenHBand="0" w:firstRowFirstColumn="0" w:firstRowLastColumn="0" w:lastRowFirstColumn="0" w:lastRowLastColumn="0"/>
            </w:pPr>
            <w:r>
              <w:t>6075</w:t>
            </w:r>
            <w:r w:rsidR="003962B3">
              <w:t>.</w:t>
            </w:r>
            <w:r>
              <w:t>8</w:t>
            </w:r>
          </w:p>
        </w:tc>
        <w:tc>
          <w:tcPr>
            <w:tcW w:w="688" w:type="pct"/>
          </w:tcPr>
          <w:p w:rsidR="005D3335" w:rsidRPr="002B7734" w:rsidRDefault="004347CB" w:rsidP="004E746D">
            <w:pPr>
              <w:cnfStyle w:val="000000000000" w:firstRow="0" w:lastRow="0" w:firstColumn="0" w:lastColumn="0" w:oddVBand="0" w:evenVBand="0" w:oddHBand="0" w:evenHBand="0" w:firstRowFirstColumn="0" w:firstRowLastColumn="0" w:lastRowFirstColumn="0" w:lastRowLastColumn="0"/>
            </w:pPr>
            <w:r>
              <w:t>624</w:t>
            </w:r>
            <w:r w:rsidR="004E746D">
              <w:t>1.5</w:t>
            </w:r>
          </w:p>
        </w:tc>
        <w:tc>
          <w:tcPr>
            <w:tcW w:w="687" w:type="pct"/>
          </w:tcPr>
          <w:p w:rsidR="005D3335" w:rsidRPr="002B7734" w:rsidRDefault="009548A9" w:rsidP="004E746D">
            <w:pPr>
              <w:cnfStyle w:val="000000000000" w:firstRow="0" w:lastRow="0" w:firstColumn="0" w:lastColumn="0" w:oddVBand="0" w:evenVBand="0" w:oddHBand="0" w:evenHBand="0" w:firstRowFirstColumn="0" w:firstRowLastColumn="0" w:lastRowFirstColumn="0" w:lastRowLastColumn="0"/>
            </w:pPr>
            <w:r>
              <w:t>645</w:t>
            </w:r>
            <w:r w:rsidR="004E746D">
              <w:t>1</w:t>
            </w:r>
            <w:r w:rsidR="004347CB">
              <w:t>.</w:t>
            </w:r>
            <w:r w:rsidR="004E746D">
              <w:t>4</w:t>
            </w:r>
          </w:p>
        </w:tc>
        <w:tc>
          <w:tcPr>
            <w:tcW w:w="686" w:type="pct"/>
          </w:tcPr>
          <w:p w:rsidR="005D3335" w:rsidRPr="002B7734" w:rsidRDefault="009548A9" w:rsidP="004E746D">
            <w:pPr>
              <w:cnfStyle w:val="000000000000" w:firstRow="0" w:lastRow="0" w:firstColumn="0" w:lastColumn="0" w:oddVBand="0" w:evenVBand="0" w:oddHBand="0" w:evenHBand="0" w:firstRowFirstColumn="0" w:firstRowLastColumn="0" w:lastRowFirstColumn="0" w:lastRowLastColumn="0"/>
            </w:pPr>
            <w:r>
              <w:t>657</w:t>
            </w:r>
            <w:r w:rsidR="004E746D">
              <w:t>8.7</w:t>
            </w:r>
          </w:p>
        </w:tc>
      </w:tr>
      <w:tr w:rsidR="005D3335" w:rsidRPr="002B7734" w:rsidTr="003962B3">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50" w:type="pct"/>
          </w:tcPr>
          <w:p w:rsidR="005D3335" w:rsidRPr="002B7734" w:rsidRDefault="005D3335" w:rsidP="002B7734">
            <w:r w:rsidRPr="002B7734">
              <w:t>Capital expenditure</w:t>
            </w:r>
            <w:r w:rsidRPr="002B7734">
              <w:rPr>
                <w:rStyle w:val="AERsuperscript"/>
              </w:rPr>
              <w:t xml:space="preserve">a </w:t>
            </w:r>
          </w:p>
        </w:tc>
        <w:tc>
          <w:tcPr>
            <w:tcW w:w="689" w:type="pct"/>
          </w:tcPr>
          <w:p w:rsidR="005D3335" w:rsidRPr="002B7734" w:rsidRDefault="009548A9" w:rsidP="004E746D">
            <w:pPr>
              <w:cnfStyle w:val="000000010000" w:firstRow="0" w:lastRow="0" w:firstColumn="0" w:lastColumn="0" w:oddVBand="0" w:evenVBand="0" w:oddHBand="0" w:evenHBand="1" w:firstRowFirstColumn="0" w:firstRowLastColumn="0" w:lastRowFirstColumn="0" w:lastRowLastColumn="0"/>
            </w:pPr>
            <w:r>
              <w:t>26</w:t>
            </w:r>
            <w:r w:rsidR="004E746D">
              <w:t>4.0</w:t>
            </w:r>
          </w:p>
        </w:tc>
        <w:tc>
          <w:tcPr>
            <w:tcW w:w="688" w:type="pct"/>
          </w:tcPr>
          <w:p w:rsidR="005D3335" w:rsidRPr="002B7734" w:rsidRDefault="009548A9" w:rsidP="004E746D">
            <w:pPr>
              <w:cnfStyle w:val="000000010000" w:firstRow="0" w:lastRow="0" w:firstColumn="0" w:lastColumn="0" w:oddVBand="0" w:evenVBand="0" w:oddHBand="0" w:evenHBand="1" w:firstRowFirstColumn="0" w:firstRowLastColumn="0" w:lastRowFirstColumn="0" w:lastRowLastColumn="0"/>
            </w:pPr>
            <w:r>
              <w:t>32</w:t>
            </w:r>
            <w:r w:rsidR="004E746D">
              <w:t>3.2</w:t>
            </w:r>
          </w:p>
        </w:tc>
        <w:tc>
          <w:tcPr>
            <w:tcW w:w="687" w:type="pct"/>
          </w:tcPr>
          <w:p w:rsidR="005D3335" w:rsidRPr="002B7734" w:rsidRDefault="009548A9" w:rsidP="004E746D">
            <w:pPr>
              <w:cnfStyle w:val="000000010000" w:firstRow="0" w:lastRow="0" w:firstColumn="0" w:lastColumn="0" w:oddVBand="0" w:evenVBand="0" w:oddHBand="0" w:evenHBand="1" w:firstRowFirstColumn="0" w:firstRowLastColumn="0" w:lastRowFirstColumn="0" w:lastRowLastColumn="0"/>
            </w:pPr>
            <w:r>
              <w:t>25</w:t>
            </w:r>
            <w:r w:rsidR="004E746D">
              <w:t>5.0</w:t>
            </w:r>
          </w:p>
        </w:tc>
        <w:tc>
          <w:tcPr>
            <w:tcW w:w="686" w:type="pct"/>
          </w:tcPr>
          <w:p w:rsidR="005D3335" w:rsidRPr="002B7734" w:rsidRDefault="009548A9" w:rsidP="004E746D">
            <w:pPr>
              <w:cnfStyle w:val="000000010000" w:firstRow="0" w:lastRow="0" w:firstColumn="0" w:lastColumn="0" w:oddVBand="0" w:evenVBand="0" w:oddHBand="0" w:evenHBand="1" w:firstRowFirstColumn="0" w:firstRowLastColumn="0" w:lastRowFirstColumn="0" w:lastRowLastColumn="0"/>
            </w:pPr>
            <w:r>
              <w:t>243</w:t>
            </w:r>
            <w:r w:rsidR="004347CB">
              <w:t>.</w:t>
            </w:r>
            <w:r w:rsidR="004E746D">
              <w:t>6</w:t>
            </w:r>
          </w:p>
        </w:tc>
      </w:tr>
      <w:tr w:rsidR="005D3335" w:rsidRPr="002B7734" w:rsidTr="003962B3">
        <w:trPr>
          <w:trHeight w:val="441"/>
        </w:trPr>
        <w:tc>
          <w:tcPr>
            <w:cnfStyle w:val="001000000000" w:firstRow="0" w:lastRow="0" w:firstColumn="1" w:lastColumn="0" w:oddVBand="0" w:evenVBand="0" w:oddHBand="0" w:evenHBand="0" w:firstRowFirstColumn="0" w:firstRowLastColumn="0" w:lastRowFirstColumn="0" w:lastRowLastColumn="0"/>
            <w:tcW w:w="2250" w:type="pct"/>
          </w:tcPr>
          <w:p w:rsidR="005D3335" w:rsidRPr="002B7734" w:rsidRDefault="002B7734" w:rsidP="002B7734">
            <w:r w:rsidRPr="002B7734">
              <w:t>CPI indexation on opening RAB</w:t>
            </w:r>
          </w:p>
        </w:tc>
        <w:tc>
          <w:tcPr>
            <w:tcW w:w="689" w:type="pct"/>
          </w:tcPr>
          <w:p w:rsidR="005D3335" w:rsidRPr="002B7734" w:rsidRDefault="004347CB" w:rsidP="002B7734">
            <w:pPr>
              <w:cnfStyle w:val="000000000000" w:firstRow="0" w:lastRow="0" w:firstColumn="0" w:lastColumn="0" w:oddVBand="0" w:evenVBand="0" w:oddHBand="0" w:evenHBand="0" w:firstRowFirstColumn="0" w:firstRowLastColumn="0" w:lastRowFirstColumn="0" w:lastRowLastColumn="0"/>
            </w:pPr>
            <w:r>
              <w:t>144.6</w:t>
            </w:r>
          </w:p>
        </w:tc>
        <w:tc>
          <w:tcPr>
            <w:tcW w:w="688" w:type="pct"/>
          </w:tcPr>
          <w:p w:rsidR="005D3335" w:rsidRPr="002B7734" w:rsidRDefault="004347CB" w:rsidP="002B7734">
            <w:pPr>
              <w:cnfStyle w:val="000000000000" w:firstRow="0" w:lastRow="0" w:firstColumn="0" w:lastColumn="0" w:oddVBand="0" w:evenVBand="0" w:oddHBand="0" w:evenHBand="0" w:firstRowFirstColumn="0" w:firstRowLastColumn="0" w:lastRowFirstColumn="0" w:lastRowLastColumn="0"/>
            </w:pPr>
            <w:r>
              <w:t>148.</w:t>
            </w:r>
            <w:r w:rsidR="009548A9">
              <w:t>5</w:t>
            </w:r>
          </w:p>
        </w:tc>
        <w:tc>
          <w:tcPr>
            <w:tcW w:w="687" w:type="pct"/>
          </w:tcPr>
          <w:p w:rsidR="005D3335" w:rsidRPr="002B7734" w:rsidRDefault="004347CB" w:rsidP="002B7734">
            <w:pPr>
              <w:cnfStyle w:val="000000000000" w:firstRow="0" w:lastRow="0" w:firstColumn="0" w:lastColumn="0" w:oddVBand="0" w:evenVBand="0" w:oddHBand="0" w:evenHBand="0" w:firstRowFirstColumn="0" w:firstRowLastColumn="0" w:lastRowFirstColumn="0" w:lastRowLastColumn="0"/>
            </w:pPr>
            <w:r>
              <w:t>153.</w:t>
            </w:r>
            <w:r w:rsidR="009548A9">
              <w:t>5</w:t>
            </w:r>
          </w:p>
        </w:tc>
        <w:tc>
          <w:tcPr>
            <w:tcW w:w="686" w:type="pct"/>
          </w:tcPr>
          <w:p w:rsidR="005D3335" w:rsidRPr="002B7734" w:rsidRDefault="009548A9" w:rsidP="004E746D">
            <w:pPr>
              <w:cnfStyle w:val="000000000000" w:firstRow="0" w:lastRow="0" w:firstColumn="0" w:lastColumn="0" w:oddVBand="0" w:evenVBand="0" w:oddHBand="0" w:evenHBand="0" w:firstRowFirstColumn="0" w:firstRowLastColumn="0" w:lastRowFirstColumn="0" w:lastRowLastColumn="0"/>
            </w:pPr>
            <w:r>
              <w:t>156</w:t>
            </w:r>
            <w:r w:rsidR="004347CB">
              <w:t>.</w:t>
            </w:r>
            <w:r w:rsidR="004E746D">
              <w:t>6</w:t>
            </w:r>
          </w:p>
        </w:tc>
      </w:tr>
      <w:tr w:rsidR="005D3335" w:rsidRPr="002B7734" w:rsidTr="003962B3">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50" w:type="pct"/>
          </w:tcPr>
          <w:p w:rsidR="005D3335" w:rsidRPr="002B7734" w:rsidRDefault="005D3335" w:rsidP="002B7734">
            <w:r w:rsidRPr="002B7734">
              <w:t>Straight-line depreciation</w:t>
            </w:r>
            <w:r w:rsidRPr="002B7734">
              <w:rPr>
                <w:rStyle w:val="AERsuperscript"/>
              </w:rPr>
              <w:t>b</w:t>
            </w:r>
          </w:p>
        </w:tc>
        <w:tc>
          <w:tcPr>
            <w:tcW w:w="689" w:type="pct"/>
          </w:tcPr>
          <w:p w:rsidR="005D3335" w:rsidRPr="002B7734" w:rsidRDefault="004347CB" w:rsidP="002B7734">
            <w:pPr>
              <w:cnfStyle w:val="000000010000" w:firstRow="0" w:lastRow="0" w:firstColumn="0" w:lastColumn="0" w:oddVBand="0" w:evenVBand="0" w:oddHBand="0" w:evenHBand="1" w:firstRowFirstColumn="0" w:firstRowLastColumn="0" w:lastRowFirstColumn="0" w:lastRowLastColumn="0"/>
            </w:pPr>
            <w:r w:rsidRPr="00D04795">
              <w:t>–</w:t>
            </w:r>
            <w:r>
              <w:t>242.9</w:t>
            </w:r>
          </w:p>
        </w:tc>
        <w:tc>
          <w:tcPr>
            <w:tcW w:w="688" w:type="pct"/>
          </w:tcPr>
          <w:p w:rsidR="005D3335" w:rsidRPr="002B7734" w:rsidRDefault="004347CB" w:rsidP="004E746D">
            <w:pPr>
              <w:cnfStyle w:val="000000010000" w:firstRow="0" w:lastRow="0" w:firstColumn="0" w:lastColumn="0" w:oddVBand="0" w:evenVBand="0" w:oddHBand="0" w:evenHBand="1" w:firstRowFirstColumn="0" w:firstRowLastColumn="0" w:lastRowFirstColumn="0" w:lastRowLastColumn="0"/>
            </w:pPr>
            <w:r w:rsidRPr="00D04795">
              <w:t>–</w:t>
            </w:r>
            <w:r>
              <w:t>261.</w:t>
            </w:r>
            <w:r w:rsidR="004E746D">
              <w:t>8</w:t>
            </w:r>
          </w:p>
        </w:tc>
        <w:tc>
          <w:tcPr>
            <w:tcW w:w="687" w:type="pct"/>
          </w:tcPr>
          <w:p w:rsidR="005D3335" w:rsidRPr="002B7734" w:rsidRDefault="004347CB" w:rsidP="004E746D">
            <w:pPr>
              <w:cnfStyle w:val="000000010000" w:firstRow="0" w:lastRow="0" w:firstColumn="0" w:lastColumn="0" w:oddVBand="0" w:evenVBand="0" w:oddHBand="0" w:evenHBand="1" w:firstRowFirstColumn="0" w:firstRowLastColumn="0" w:lastRowFirstColumn="0" w:lastRowLastColumn="0"/>
            </w:pPr>
            <w:r w:rsidRPr="00D04795">
              <w:t>–</w:t>
            </w:r>
            <w:r>
              <w:t>281.</w:t>
            </w:r>
            <w:r w:rsidR="004E746D">
              <w:t>2</w:t>
            </w:r>
          </w:p>
        </w:tc>
        <w:tc>
          <w:tcPr>
            <w:tcW w:w="686" w:type="pct"/>
          </w:tcPr>
          <w:p w:rsidR="005D3335" w:rsidRPr="002B7734" w:rsidRDefault="004347CB" w:rsidP="004E746D">
            <w:pPr>
              <w:cnfStyle w:val="000000010000" w:firstRow="0" w:lastRow="0" w:firstColumn="0" w:lastColumn="0" w:oddVBand="0" w:evenVBand="0" w:oddHBand="0" w:evenHBand="1" w:firstRowFirstColumn="0" w:firstRowLastColumn="0" w:lastRowFirstColumn="0" w:lastRowLastColumn="0"/>
            </w:pPr>
            <w:r w:rsidRPr="00D04795">
              <w:t>–</w:t>
            </w:r>
            <w:r>
              <w:t>268.</w:t>
            </w:r>
            <w:r w:rsidR="004E746D">
              <w:t>4</w:t>
            </w:r>
          </w:p>
        </w:tc>
      </w:tr>
      <w:tr w:rsidR="005D3335" w:rsidRPr="00C347A5" w:rsidTr="003962B3">
        <w:trPr>
          <w:trHeight w:val="441"/>
        </w:trPr>
        <w:tc>
          <w:tcPr>
            <w:cnfStyle w:val="001000000000" w:firstRow="0" w:lastRow="0" w:firstColumn="1" w:lastColumn="0" w:oddVBand="0" w:evenVBand="0" w:oddHBand="0" w:evenHBand="0" w:firstRowFirstColumn="0" w:firstRowLastColumn="0" w:lastRowFirstColumn="0" w:lastRowLastColumn="0"/>
            <w:tcW w:w="2250" w:type="pct"/>
          </w:tcPr>
          <w:p w:rsidR="005D3335" w:rsidRPr="00C347A5" w:rsidRDefault="005D3335" w:rsidP="00C347A5">
            <w:r w:rsidRPr="00C347A5">
              <w:t xml:space="preserve">Closing RAB </w:t>
            </w:r>
          </w:p>
        </w:tc>
        <w:tc>
          <w:tcPr>
            <w:tcW w:w="689" w:type="pct"/>
          </w:tcPr>
          <w:p w:rsidR="005D3335" w:rsidRPr="00C347A5" w:rsidRDefault="009548A9" w:rsidP="004E746D">
            <w:pPr>
              <w:cnfStyle w:val="000000000000" w:firstRow="0" w:lastRow="0" w:firstColumn="0" w:lastColumn="0" w:oddVBand="0" w:evenVBand="0" w:oddHBand="0" w:evenHBand="0" w:firstRowFirstColumn="0" w:firstRowLastColumn="0" w:lastRowFirstColumn="0" w:lastRowLastColumn="0"/>
            </w:pPr>
            <w:r>
              <w:t>624</w:t>
            </w:r>
            <w:r w:rsidR="004E746D">
              <w:t>1.5</w:t>
            </w:r>
          </w:p>
        </w:tc>
        <w:tc>
          <w:tcPr>
            <w:tcW w:w="688" w:type="pct"/>
          </w:tcPr>
          <w:p w:rsidR="005D3335" w:rsidRPr="00C347A5" w:rsidRDefault="009548A9" w:rsidP="004E746D">
            <w:pPr>
              <w:cnfStyle w:val="000000000000" w:firstRow="0" w:lastRow="0" w:firstColumn="0" w:lastColumn="0" w:oddVBand="0" w:evenVBand="0" w:oddHBand="0" w:evenHBand="0" w:firstRowFirstColumn="0" w:firstRowLastColumn="0" w:lastRowFirstColumn="0" w:lastRowLastColumn="0"/>
            </w:pPr>
            <w:r>
              <w:t>645</w:t>
            </w:r>
            <w:r w:rsidR="004E746D">
              <w:t>1</w:t>
            </w:r>
            <w:r w:rsidR="004347CB">
              <w:t>.</w:t>
            </w:r>
            <w:r w:rsidR="004E746D">
              <w:t>4</w:t>
            </w:r>
          </w:p>
        </w:tc>
        <w:tc>
          <w:tcPr>
            <w:tcW w:w="687" w:type="pct"/>
          </w:tcPr>
          <w:p w:rsidR="005D3335" w:rsidRPr="00C347A5" w:rsidRDefault="009548A9" w:rsidP="004E746D">
            <w:pPr>
              <w:cnfStyle w:val="000000000000" w:firstRow="0" w:lastRow="0" w:firstColumn="0" w:lastColumn="0" w:oddVBand="0" w:evenVBand="0" w:oddHBand="0" w:evenHBand="0" w:firstRowFirstColumn="0" w:firstRowLastColumn="0" w:lastRowFirstColumn="0" w:lastRowLastColumn="0"/>
            </w:pPr>
            <w:r>
              <w:t>657</w:t>
            </w:r>
            <w:r w:rsidR="004E746D">
              <w:t>8.7</w:t>
            </w:r>
          </w:p>
        </w:tc>
        <w:tc>
          <w:tcPr>
            <w:tcW w:w="686" w:type="pct"/>
          </w:tcPr>
          <w:p w:rsidR="005D3335" w:rsidRPr="00C347A5" w:rsidRDefault="009548A9" w:rsidP="004E746D">
            <w:pPr>
              <w:cnfStyle w:val="000000000000" w:firstRow="0" w:lastRow="0" w:firstColumn="0" w:lastColumn="0" w:oddVBand="0" w:evenVBand="0" w:oddHBand="0" w:evenHBand="0" w:firstRowFirstColumn="0" w:firstRowLastColumn="0" w:lastRowFirstColumn="0" w:lastRowLastColumn="0"/>
            </w:pPr>
            <w:r>
              <w:t>67</w:t>
            </w:r>
            <w:r w:rsidR="004E746D">
              <w:t>10.5</w:t>
            </w:r>
          </w:p>
        </w:tc>
      </w:tr>
    </w:tbl>
    <w:p w:rsidR="005D3335" w:rsidRPr="002B7734" w:rsidRDefault="005D3335" w:rsidP="002B7734">
      <w:pPr>
        <w:pStyle w:val="AERtablesource"/>
      </w:pPr>
      <w:r w:rsidRPr="002B7734">
        <w:t xml:space="preserve">Source: </w:t>
      </w:r>
      <w:r w:rsidRPr="002B7734">
        <w:tab/>
        <w:t>AER analysis.</w:t>
      </w:r>
    </w:p>
    <w:p w:rsidR="005D3335" w:rsidRPr="002B7734" w:rsidRDefault="005D3335" w:rsidP="002B7734">
      <w:pPr>
        <w:pStyle w:val="AERtablesource"/>
      </w:pPr>
      <w:r w:rsidRPr="002B7734">
        <w:t xml:space="preserve">(a) </w:t>
      </w:r>
      <w:r w:rsidRPr="002B7734">
        <w:tab/>
        <w:t xml:space="preserve">As incurred, and net of disposals. In accordance with the timing assumptions of the </w:t>
      </w:r>
      <w:r w:rsidR="002B7734" w:rsidRPr="002B7734">
        <w:t>PTRM</w:t>
      </w:r>
      <w:r w:rsidRPr="002B7734">
        <w:t xml:space="preserve">, the capex includes a half-WACC allowance to compensate for the six month period before </w:t>
      </w:r>
      <w:r w:rsidRPr="002B7734">
        <w:tab/>
        <w:t>capex is added to the RAB for revenue modelling.</w:t>
      </w:r>
    </w:p>
    <w:p w:rsidR="005D3335" w:rsidRPr="002B7734" w:rsidRDefault="005D3335" w:rsidP="002B7734">
      <w:pPr>
        <w:pStyle w:val="AERtablesource"/>
      </w:pPr>
      <w:r w:rsidRPr="002B7734">
        <w:t>(b)</w:t>
      </w:r>
      <w:r w:rsidRPr="002B7734">
        <w:tab/>
        <w:t>Based on as-commissioned capex.</w:t>
      </w:r>
    </w:p>
    <w:p w:rsidR="00DE563D" w:rsidRPr="001754EE" w:rsidRDefault="00415F31" w:rsidP="001754EE">
      <w:pPr>
        <w:pStyle w:val="Heading2"/>
      </w:pPr>
      <w:bookmarkStart w:id="16" w:name="_Toc412617471"/>
      <w:r w:rsidRPr="001754EE">
        <w:t>TransGrid’s revised</w:t>
      </w:r>
      <w:r w:rsidR="00DE563D" w:rsidRPr="001754EE">
        <w:t xml:space="preserve"> proposal</w:t>
      </w:r>
      <w:bookmarkEnd w:id="13"/>
      <w:bookmarkEnd w:id="16"/>
    </w:p>
    <w:p w:rsidR="003A6191" w:rsidRDefault="008A17D5" w:rsidP="003A6191">
      <w:bookmarkStart w:id="17" w:name="_Ref402185418"/>
      <w:r>
        <w:t xml:space="preserve">TransGrid's methodology for determining the opening RAB value is unchanged from its </w:t>
      </w:r>
      <w:r w:rsidR="003517AA">
        <w:t xml:space="preserve">initial </w:t>
      </w:r>
      <w:r>
        <w:t xml:space="preserve">proposal, due to our acceptance of this approach in the draft decision. </w:t>
      </w:r>
      <w:r w:rsidR="002B7734">
        <w:t xml:space="preserve">TransGrid's </w:t>
      </w:r>
      <w:r w:rsidR="00266CC1">
        <w:t xml:space="preserve">revised </w:t>
      </w:r>
      <w:r w:rsidR="002B7734">
        <w:t xml:space="preserve">proposed opening RAB was $6076.3 million ($ nominal) as at </w:t>
      </w:r>
      <w:r w:rsidR="002B7734">
        <w:lastRenderedPageBreak/>
        <w:t>1</w:t>
      </w:r>
      <w:r w:rsidR="00C44067">
        <w:t> </w:t>
      </w:r>
      <w:r w:rsidR="002B7734">
        <w:t>July 2014.</w:t>
      </w:r>
      <w:r w:rsidR="00266CC1">
        <w:rPr>
          <w:rStyle w:val="FootnoteReference"/>
        </w:rPr>
        <w:footnoteReference w:id="6"/>
      </w:r>
      <w:r>
        <w:t xml:space="preserve"> As TransGr</w:t>
      </w:r>
      <w:r w:rsidR="00DE2905">
        <w:t xml:space="preserve">id has updated the </w:t>
      </w:r>
      <w:r w:rsidR="00FC1850">
        <w:t>roll forward model (</w:t>
      </w:r>
      <w:r w:rsidR="00DE2905">
        <w:t>RFM</w:t>
      </w:r>
      <w:r w:rsidR="00FC1850">
        <w:t>)</w:t>
      </w:r>
      <w:r w:rsidR="00DE2905">
        <w:t xml:space="preserve"> with actual capex</w:t>
      </w:r>
      <w:r w:rsidR="003517AA">
        <w:t xml:space="preserve"> for 2013–14</w:t>
      </w:r>
      <w:r w:rsidR="00DE2905">
        <w:t>, th</w:t>
      </w:r>
      <w:r>
        <w:t xml:space="preserve">e opening RAB in </w:t>
      </w:r>
      <w:r w:rsidR="00DE2905">
        <w:t>its</w:t>
      </w:r>
      <w:r>
        <w:t xml:space="preserve"> revised proposal is lower than its </w:t>
      </w:r>
      <w:r w:rsidR="003517AA">
        <w:t xml:space="preserve">initial </w:t>
      </w:r>
      <w:r>
        <w:t>proposal</w:t>
      </w:r>
      <w:r w:rsidR="00DE2905">
        <w:t xml:space="preserve">. </w:t>
      </w:r>
      <w:r>
        <w:t xml:space="preserve"> </w:t>
      </w:r>
      <w:r w:rsidR="003A6191">
        <w:t xml:space="preserve">   </w:t>
      </w:r>
    </w:p>
    <w:p w:rsidR="008A17D5" w:rsidRDefault="003A6191" w:rsidP="003A6191">
      <w:r>
        <w:t>TransGrid has downwardly revised its forecast cap</w:t>
      </w:r>
      <w:r w:rsidR="003517AA">
        <w:t>ex</w:t>
      </w:r>
      <w:r>
        <w:t xml:space="preserve"> for </w:t>
      </w:r>
      <w:r w:rsidR="003517AA">
        <w:t xml:space="preserve">the </w:t>
      </w:r>
      <w:r>
        <w:t xml:space="preserve">2014–18 </w:t>
      </w:r>
      <w:r w:rsidR="003517AA">
        <w:t xml:space="preserve">period </w:t>
      </w:r>
      <w:r>
        <w:t>in its revised proposal</w:t>
      </w:r>
      <w:r w:rsidR="00DE2905">
        <w:t xml:space="preserve"> (see attachment 6). As such, </w:t>
      </w:r>
      <w:r w:rsidR="00687952">
        <w:t>TransGrid's</w:t>
      </w:r>
      <w:r w:rsidR="00DE2905">
        <w:t xml:space="preserve"> </w:t>
      </w:r>
      <w:r w:rsidR="003517AA">
        <w:t xml:space="preserve">forecast </w:t>
      </w:r>
      <w:r w:rsidR="00DE2905">
        <w:t xml:space="preserve">closing RAB of $7113.5 million ($ nominal) is </w:t>
      </w:r>
      <w:r w:rsidR="00EE6AF4">
        <w:t xml:space="preserve">$113.1 million (or 1.6 percent) </w:t>
      </w:r>
      <w:r w:rsidR="00DE2905">
        <w:t xml:space="preserve">lower than its </w:t>
      </w:r>
      <w:r w:rsidR="003517AA">
        <w:t xml:space="preserve">initial </w:t>
      </w:r>
      <w:r w:rsidR="00DE2905">
        <w:t>proposal.</w:t>
      </w:r>
      <w:r w:rsidR="00266CC1">
        <w:rPr>
          <w:rStyle w:val="FootnoteReference"/>
        </w:rPr>
        <w:footnoteReference w:id="7"/>
      </w:r>
      <w:r>
        <w:t xml:space="preserve"> </w:t>
      </w:r>
    </w:p>
    <w:p w:rsidR="00A03C1F" w:rsidRPr="00FD2861" w:rsidRDefault="00DE2905" w:rsidP="00F5632A">
      <w:pPr>
        <w:pStyle w:val="AERtablesource"/>
      </w:pPr>
      <w:r>
        <w:fldChar w:fldCharType="begin"/>
      </w:r>
      <w:r>
        <w:instrText xml:space="preserve"> REF _Ref412555941 \h </w:instrText>
      </w:r>
      <w:r>
        <w:fldChar w:fldCharType="separate"/>
      </w:r>
      <w:r w:rsidR="00A03C1F" w:rsidRPr="00FD2861">
        <w:t xml:space="preserve">Table </w:t>
      </w:r>
      <w:r w:rsidR="00A03C1F">
        <w:t>2</w:t>
      </w:r>
      <w:r w:rsidR="00A03C1F">
        <w:noBreakHyphen/>
      </w:r>
      <w:r w:rsidR="00A03C1F">
        <w:rPr>
          <w:noProof/>
        </w:rPr>
        <w:t>3</w:t>
      </w:r>
      <w:r>
        <w:fldChar w:fldCharType="end"/>
      </w:r>
      <w:r>
        <w:t xml:space="preserve"> </w:t>
      </w:r>
      <w:r w:rsidRPr="00FD2861">
        <w:t xml:space="preserve">and </w:t>
      </w:r>
      <w:r>
        <w:fldChar w:fldCharType="begin"/>
      </w:r>
      <w:r>
        <w:instrText xml:space="preserve"> REF _Ref402185421 \h </w:instrText>
      </w:r>
      <w:r>
        <w:fldChar w:fldCharType="separate"/>
      </w:r>
      <w:r w:rsidR="00A03C1F" w:rsidRPr="00FD2861">
        <w:t>Source:</w:t>
      </w:r>
      <w:r w:rsidR="00A03C1F" w:rsidRPr="00FD2861">
        <w:tab/>
      </w:r>
      <w:r w:rsidR="00A03C1F">
        <w:t>TransGrid</w:t>
      </w:r>
      <w:r w:rsidR="00A03C1F" w:rsidRPr="00FD2861">
        <w:t xml:space="preserve">, </w:t>
      </w:r>
      <w:r w:rsidR="00A03C1F">
        <w:rPr>
          <w:rStyle w:val="AERtextitalic"/>
        </w:rPr>
        <w:t>Revised revenue proposal,</w:t>
      </w:r>
      <w:r w:rsidR="00A03C1F" w:rsidRPr="00FD2861">
        <w:t xml:space="preserve"> </w:t>
      </w:r>
      <w:r w:rsidR="00A03C1F">
        <w:t>January</w:t>
      </w:r>
      <w:r w:rsidR="00A03C1F" w:rsidRPr="00FD2861">
        <w:t xml:space="preserve"> 201</w:t>
      </w:r>
      <w:r w:rsidR="00A03C1F">
        <w:t>5, p. 110</w:t>
      </w:r>
      <w:r w:rsidR="00A03C1F" w:rsidRPr="00FD2861">
        <w:t>.</w:t>
      </w:r>
    </w:p>
    <w:p w:rsidR="00A03C1F" w:rsidRPr="00FD2861" w:rsidRDefault="00A03C1F" w:rsidP="00F5632A">
      <w:pPr>
        <w:pStyle w:val="AERtablesource"/>
      </w:pPr>
      <w:r w:rsidRPr="00FD2861">
        <w:t xml:space="preserve">(a) </w:t>
      </w:r>
      <w:r w:rsidRPr="00FD2861">
        <w:tab/>
        <w:t>As incurred, net of disposals, and adjusted for actual CPI.</w:t>
      </w:r>
    </w:p>
    <w:p w:rsidR="00A03C1F" w:rsidRPr="00FD2861" w:rsidRDefault="00A03C1F" w:rsidP="00F5632A">
      <w:pPr>
        <w:pStyle w:val="AERtablesource"/>
      </w:pPr>
      <w:r w:rsidRPr="00FD2861">
        <w:t>(b)</w:t>
      </w:r>
      <w:r w:rsidRPr="00FD2861">
        <w:tab/>
        <w:t>Adjusted for actual CPI. Based on as-commissioned capex.</w:t>
      </w:r>
    </w:p>
    <w:p w:rsidR="00DE2905" w:rsidRDefault="00A03C1F" w:rsidP="003A6191">
      <w:pPr>
        <w:numPr>
          <w:ilvl w:val="0"/>
          <w:numId w:val="25"/>
        </w:numPr>
      </w:pPr>
      <w:r w:rsidRPr="001C413C">
        <w:t>Table 2</w:t>
      </w:r>
      <w:r w:rsidRPr="001C413C">
        <w:noBreakHyphen/>
      </w:r>
      <w:r>
        <w:rPr>
          <w:noProof/>
        </w:rPr>
        <w:t>4</w:t>
      </w:r>
      <w:r w:rsidR="00DE2905">
        <w:fldChar w:fldCharType="end"/>
      </w:r>
      <w:r w:rsidR="00DE2905" w:rsidRPr="00FD2861">
        <w:t xml:space="preserve"> present </w:t>
      </w:r>
      <w:r w:rsidR="00DE2905">
        <w:t>TransGrid</w:t>
      </w:r>
      <w:r w:rsidR="00DE2905" w:rsidRPr="00FD2861">
        <w:t xml:space="preserve">'s proposed roll forward of the RAB during the 2009–14 regulatory control period and </w:t>
      </w:r>
      <w:r w:rsidR="00DE2905" w:rsidRPr="00DE2905">
        <w:rPr>
          <w:rStyle w:val="AERbody"/>
        </w:rPr>
        <w:t>the 2014–18 period</w:t>
      </w:r>
      <w:r w:rsidR="00DE2905">
        <w:t>,</w:t>
      </w:r>
      <w:r w:rsidR="00DE2905" w:rsidRPr="00FD2861">
        <w:t xml:space="preserve"> respectively.</w:t>
      </w:r>
      <w:r w:rsidR="00DE2905">
        <w:t xml:space="preserve"> The RAB roll forward for the 2009–14 regulatory control period uses depreciation based on actual capex. The projected RAB roll forward for the 2014–18 period uses depreciation based on forecast capex.</w:t>
      </w:r>
    </w:p>
    <w:p w:rsidR="00D47171" w:rsidRDefault="00D47171" w:rsidP="003A6191">
      <w:pPr>
        <w:numPr>
          <w:ilvl w:val="0"/>
          <w:numId w:val="25"/>
        </w:numPr>
      </w:pPr>
      <w:r>
        <w:t>TransGrid's revised proposal adopted our draft decision to use the forecast depreciation approach for establishing the RAB at the commencement of the regulatory control period from 1 July 2018. This approach will apply to both the transitional (2014–15)</w:t>
      </w:r>
      <w:r w:rsidR="00266CC1">
        <w:t xml:space="preserve"> and subsequent (2015–18) regulatory control periods.</w:t>
      </w:r>
      <w:r w:rsidR="00266CC1">
        <w:rPr>
          <w:rStyle w:val="FootnoteReference"/>
        </w:rPr>
        <w:footnoteReference w:id="8"/>
      </w:r>
    </w:p>
    <w:p w:rsidR="003A6191" w:rsidRPr="00FD2861" w:rsidRDefault="003A6191" w:rsidP="00F5632A">
      <w:pPr>
        <w:pStyle w:val="Caption"/>
      </w:pPr>
      <w:bookmarkStart w:id="18" w:name="_Ref412555941"/>
      <w:r w:rsidRPr="00FD2861">
        <w:t xml:space="preserve">Table </w:t>
      </w:r>
      <w:r>
        <w:t>2</w:t>
      </w:r>
      <w:r>
        <w:noBreakHyphen/>
      </w:r>
      <w:r w:rsidRPr="003A6191">
        <w:fldChar w:fldCharType="begin"/>
      </w:r>
      <w:r>
        <w:instrText xml:space="preserve"> SEQ Table \* ARABIC \s 1 </w:instrText>
      </w:r>
      <w:r w:rsidRPr="003A6191">
        <w:fldChar w:fldCharType="separate"/>
      </w:r>
      <w:r w:rsidR="00A03C1F">
        <w:rPr>
          <w:noProof/>
        </w:rPr>
        <w:t>3</w:t>
      </w:r>
      <w:r w:rsidRPr="003A6191">
        <w:fldChar w:fldCharType="end"/>
      </w:r>
      <w:bookmarkEnd w:id="17"/>
      <w:bookmarkEnd w:id="18"/>
      <w:r w:rsidRPr="00FD2861">
        <w:tab/>
      </w:r>
      <w:r>
        <w:t>TransGrid</w:t>
      </w:r>
      <w:r w:rsidRPr="00FD2861">
        <w:t xml:space="preserve">'s </w:t>
      </w:r>
      <w:r>
        <w:t>revised propos</w:t>
      </w:r>
      <w:r w:rsidR="003517AA">
        <w:t>ed</w:t>
      </w:r>
      <w:r w:rsidRPr="00FD2861">
        <w:t xml:space="preserve"> RAB for the 200</w:t>
      </w:r>
      <w:r w:rsidR="00F5632A">
        <w:t xml:space="preserve">9–14 regulatory control period </w:t>
      </w:r>
      <w:r w:rsidRPr="00FD2861">
        <w:t>($ million, nominal)</w:t>
      </w:r>
    </w:p>
    <w:tbl>
      <w:tblPr>
        <w:tblStyle w:val="AERtable-numbers"/>
        <w:tblW w:w="5000" w:type="pct"/>
        <w:tblLook w:val="01E0" w:firstRow="1" w:lastRow="1" w:firstColumn="1" w:lastColumn="1" w:noHBand="0" w:noVBand="0"/>
      </w:tblPr>
      <w:tblGrid>
        <w:gridCol w:w="3440"/>
        <w:gridCol w:w="1052"/>
        <w:gridCol w:w="1052"/>
        <w:gridCol w:w="1052"/>
        <w:gridCol w:w="1050"/>
        <w:gridCol w:w="1047"/>
      </w:tblGrid>
      <w:tr w:rsidR="003A6191" w:rsidRPr="00F5632A" w:rsidTr="00F5632A">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3A6191" w:rsidRPr="00F5632A" w:rsidRDefault="003A6191" w:rsidP="00F5632A"/>
        </w:tc>
        <w:tc>
          <w:tcPr>
            <w:tcW w:w="605" w:type="pct"/>
          </w:tcPr>
          <w:p w:rsidR="003A6191" w:rsidRPr="00F5632A" w:rsidRDefault="003A6191" w:rsidP="00F5632A">
            <w:pPr>
              <w:cnfStyle w:val="100000000000" w:firstRow="1" w:lastRow="0" w:firstColumn="0" w:lastColumn="0" w:oddVBand="0" w:evenVBand="0" w:oddHBand="0" w:evenHBand="0" w:firstRowFirstColumn="0" w:firstRowLastColumn="0" w:lastRowFirstColumn="0" w:lastRowLastColumn="0"/>
            </w:pPr>
            <w:r w:rsidRPr="00F5632A">
              <w:t>2009–10</w:t>
            </w:r>
          </w:p>
        </w:tc>
        <w:tc>
          <w:tcPr>
            <w:tcW w:w="605" w:type="pct"/>
          </w:tcPr>
          <w:p w:rsidR="003A6191" w:rsidRPr="00F5632A" w:rsidRDefault="003A6191" w:rsidP="00F5632A">
            <w:pPr>
              <w:cnfStyle w:val="100000000000" w:firstRow="1" w:lastRow="0" w:firstColumn="0" w:lastColumn="0" w:oddVBand="0" w:evenVBand="0" w:oddHBand="0" w:evenHBand="0" w:firstRowFirstColumn="0" w:firstRowLastColumn="0" w:lastRowFirstColumn="0" w:lastRowLastColumn="0"/>
            </w:pPr>
            <w:r w:rsidRPr="00F5632A">
              <w:t>2010–11</w:t>
            </w:r>
          </w:p>
        </w:tc>
        <w:tc>
          <w:tcPr>
            <w:tcW w:w="605" w:type="pct"/>
          </w:tcPr>
          <w:p w:rsidR="003A6191" w:rsidRPr="00F5632A" w:rsidRDefault="003A6191" w:rsidP="00F5632A">
            <w:pPr>
              <w:cnfStyle w:val="100000000000" w:firstRow="1" w:lastRow="0" w:firstColumn="0" w:lastColumn="0" w:oddVBand="0" w:evenVBand="0" w:oddHBand="0" w:evenHBand="0" w:firstRowFirstColumn="0" w:firstRowLastColumn="0" w:lastRowFirstColumn="0" w:lastRowLastColumn="0"/>
            </w:pPr>
            <w:r w:rsidRPr="00F5632A">
              <w:t>2011–12</w:t>
            </w:r>
          </w:p>
        </w:tc>
        <w:tc>
          <w:tcPr>
            <w:tcW w:w="604" w:type="pct"/>
          </w:tcPr>
          <w:p w:rsidR="003A6191" w:rsidRPr="00F5632A" w:rsidRDefault="003A6191" w:rsidP="00F5632A">
            <w:pPr>
              <w:cnfStyle w:val="100000000000" w:firstRow="1" w:lastRow="0" w:firstColumn="0" w:lastColumn="0" w:oddVBand="0" w:evenVBand="0" w:oddHBand="0" w:evenHBand="0" w:firstRowFirstColumn="0" w:firstRowLastColumn="0" w:lastRowFirstColumn="0" w:lastRowLastColumn="0"/>
            </w:pPr>
            <w:r w:rsidRPr="00F5632A">
              <w:t>2012–13</w:t>
            </w:r>
          </w:p>
        </w:tc>
        <w:tc>
          <w:tcPr>
            <w:tcW w:w="602" w:type="pct"/>
          </w:tcPr>
          <w:p w:rsidR="003A6191" w:rsidRPr="00F5632A" w:rsidRDefault="003A6191" w:rsidP="00F5632A">
            <w:pPr>
              <w:cnfStyle w:val="100000000000" w:firstRow="1" w:lastRow="0" w:firstColumn="0" w:lastColumn="0" w:oddVBand="0" w:evenVBand="0" w:oddHBand="0" w:evenHBand="0" w:firstRowFirstColumn="0" w:firstRowLastColumn="0" w:lastRowFirstColumn="0" w:lastRowLastColumn="0"/>
            </w:pPr>
            <w:r w:rsidRPr="00F5632A">
              <w:t>2013–14</w:t>
            </w:r>
          </w:p>
        </w:tc>
      </w:tr>
      <w:tr w:rsidR="003962B3" w:rsidRPr="00F5632A" w:rsidTr="00F5632A">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Opening RAB</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4217.5</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4578.8</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4926.0</w:t>
            </w:r>
          </w:p>
        </w:tc>
        <w:tc>
          <w:tcPr>
            <w:tcW w:w="604"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5174.6</w:t>
            </w:r>
          </w:p>
        </w:tc>
        <w:tc>
          <w:tcPr>
            <w:tcW w:w="602"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5607.2</w:t>
            </w:r>
          </w:p>
        </w:tc>
      </w:tr>
      <w:tr w:rsidR="003962B3" w:rsidRPr="00F5632A" w:rsidTr="00F5632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Capital expenditure</w:t>
            </w:r>
            <w:r w:rsidRPr="003962B3">
              <w:rPr>
                <w:rStyle w:val="AERsuperscript"/>
              </w:rPr>
              <w:t>a</w:t>
            </w:r>
            <w:r w:rsidRPr="003962B3">
              <w:t xml:space="preserve"> </w:t>
            </w: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418.5</w:t>
            </w: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376.2</w:t>
            </w: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354.8</w:t>
            </w:r>
          </w:p>
        </w:tc>
        <w:tc>
          <w:tcPr>
            <w:tcW w:w="604"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502.2</w:t>
            </w:r>
          </w:p>
        </w:tc>
        <w:tc>
          <w:tcPr>
            <w:tcW w:w="602"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t>4</w:t>
            </w:r>
            <w:r w:rsidRPr="003962B3">
              <w:t>86.1</w:t>
            </w:r>
          </w:p>
        </w:tc>
      </w:tr>
      <w:tr w:rsidR="003962B3" w:rsidRPr="00F5632A" w:rsidTr="00F5632A">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CPI indexation on opening RAB</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121.8</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152.6</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78.1</w:t>
            </w:r>
          </w:p>
        </w:tc>
        <w:tc>
          <w:tcPr>
            <w:tcW w:w="604"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129.5</w:t>
            </w:r>
          </w:p>
        </w:tc>
        <w:tc>
          <w:tcPr>
            <w:tcW w:w="602"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164.3</w:t>
            </w:r>
          </w:p>
        </w:tc>
      </w:tr>
      <w:tr w:rsidR="003962B3" w:rsidRPr="00F5632A" w:rsidTr="00F5632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Straight-line depreciation</w:t>
            </w:r>
            <w:r w:rsidRPr="003962B3">
              <w:rPr>
                <w:rStyle w:val="AERsuperscript"/>
              </w:rPr>
              <w:t>b</w:t>
            </w: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w:t>
            </w:r>
            <w:r w:rsidRPr="003962B3">
              <w:t>179.0</w:t>
            </w: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w:t>
            </w:r>
            <w:r w:rsidRPr="003962B3">
              <w:t>181.7</w:t>
            </w: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w:t>
            </w:r>
            <w:r w:rsidRPr="003962B3">
              <w:t>184.2</w:t>
            </w:r>
          </w:p>
        </w:tc>
        <w:tc>
          <w:tcPr>
            <w:tcW w:w="604"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w:t>
            </w:r>
            <w:r w:rsidRPr="003962B3">
              <w:t>199.1</w:t>
            </w:r>
          </w:p>
        </w:tc>
        <w:tc>
          <w:tcPr>
            <w:tcW w:w="602"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w:t>
            </w:r>
            <w:r w:rsidRPr="003962B3">
              <w:t>222.3</w:t>
            </w:r>
          </w:p>
        </w:tc>
      </w:tr>
      <w:tr w:rsidR="003962B3" w:rsidRPr="00F5632A" w:rsidTr="00F5632A">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Closing RAB</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4578.8</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4926.0</w:t>
            </w:r>
          </w:p>
        </w:tc>
        <w:tc>
          <w:tcPr>
            <w:tcW w:w="605"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5174.6</w:t>
            </w:r>
          </w:p>
        </w:tc>
        <w:tc>
          <w:tcPr>
            <w:tcW w:w="604"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5607.2</w:t>
            </w:r>
          </w:p>
        </w:tc>
        <w:tc>
          <w:tcPr>
            <w:tcW w:w="602"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t>6</w:t>
            </w:r>
            <w:r w:rsidRPr="003962B3">
              <w:t>035.3</w:t>
            </w:r>
          </w:p>
        </w:tc>
      </w:tr>
      <w:tr w:rsidR="003962B3" w:rsidRPr="00F5632A" w:rsidTr="00F5632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Difference between estimated and actual capex (1 July  2008 to 30 June 2009)</w:t>
            </w:r>
          </w:p>
        </w:tc>
        <w:tc>
          <w:tcPr>
            <w:tcW w:w="605" w:type="pct"/>
          </w:tcPr>
          <w:p w:rsidR="003962B3" w:rsidRPr="00D04795" w:rsidRDefault="003962B3" w:rsidP="003962B3">
            <w:pPr>
              <w:cnfStyle w:val="000000010000" w:firstRow="0" w:lastRow="0" w:firstColumn="0" w:lastColumn="0" w:oddVBand="0" w:evenVBand="0" w:oddHBand="0" w:evenHBand="1" w:firstRowFirstColumn="0" w:firstRowLastColumn="0" w:lastRowFirstColumn="0" w:lastRowLastColumn="0"/>
            </w:pPr>
          </w:p>
        </w:tc>
        <w:tc>
          <w:tcPr>
            <w:tcW w:w="605" w:type="pct"/>
          </w:tcPr>
          <w:p w:rsidR="003962B3" w:rsidRPr="00D04795" w:rsidRDefault="003962B3" w:rsidP="003962B3">
            <w:pPr>
              <w:cnfStyle w:val="000000010000" w:firstRow="0" w:lastRow="0" w:firstColumn="0" w:lastColumn="0" w:oddVBand="0" w:evenVBand="0" w:oddHBand="0" w:evenHBand="1" w:firstRowFirstColumn="0" w:firstRowLastColumn="0" w:lastRowFirstColumn="0" w:lastRowLastColumn="0"/>
            </w:pPr>
          </w:p>
        </w:tc>
        <w:tc>
          <w:tcPr>
            <w:tcW w:w="605" w:type="pct"/>
          </w:tcPr>
          <w:p w:rsidR="003962B3" w:rsidRPr="00D04795" w:rsidRDefault="003962B3" w:rsidP="003962B3">
            <w:pPr>
              <w:cnfStyle w:val="000000010000" w:firstRow="0" w:lastRow="0" w:firstColumn="0" w:lastColumn="0" w:oddVBand="0" w:evenVBand="0" w:oddHBand="0" w:evenHBand="1" w:firstRowFirstColumn="0" w:firstRowLastColumn="0" w:lastRowFirstColumn="0" w:lastRowLastColumn="0"/>
            </w:pPr>
          </w:p>
        </w:tc>
        <w:tc>
          <w:tcPr>
            <w:tcW w:w="604" w:type="pct"/>
          </w:tcPr>
          <w:p w:rsidR="003962B3" w:rsidRPr="00D04795" w:rsidRDefault="003962B3" w:rsidP="003962B3">
            <w:pPr>
              <w:cnfStyle w:val="000000010000" w:firstRow="0" w:lastRow="0" w:firstColumn="0" w:lastColumn="0" w:oddVBand="0" w:evenVBand="0" w:oddHBand="0" w:evenHBand="1" w:firstRowFirstColumn="0" w:firstRowLastColumn="0" w:lastRowFirstColumn="0" w:lastRowLastColumn="0"/>
            </w:pPr>
          </w:p>
        </w:tc>
        <w:tc>
          <w:tcPr>
            <w:tcW w:w="602"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pPr>
            <w:r w:rsidRPr="00D04795">
              <w:t>25.2</w:t>
            </w:r>
          </w:p>
        </w:tc>
      </w:tr>
      <w:tr w:rsidR="003962B3" w:rsidRPr="00F5632A" w:rsidTr="00F5632A">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r w:rsidRPr="00F5632A">
              <w:t>Return on difference for 2008–09 capex</w:t>
            </w:r>
          </w:p>
        </w:tc>
        <w:tc>
          <w:tcPr>
            <w:tcW w:w="605" w:type="pct"/>
          </w:tcPr>
          <w:p w:rsidR="003962B3" w:rsidRPr="00D04795" w:rsidRDefault="003962B3" w:rsidP="003962B3">
            <w:pPr>
              <w:cnfStyle w:val="000000000000" w:firstRow="0" w:lastRow="0" w:firstColumn="0" w:lastColumn="0" w:oddVBand="0" w:evenVBand="0" w:oddHBand="0" w:evenHBand="0" w:firstRowFirstColumn="0" w:firstRowLastColumn="0" w:lastRowFirstColumn="0" w:lastRowLastColumn="0"/>
            </w:pPr>
          </w:p>
        </w:tc>
        <w:tc>
          <w:tcPr>
            <w:tcW w:w="605" w:type="pct"/>
          </w:tcPr>
          <w:p w:rsidR="003962B3" w:rsidRPr="00D04795" w:rsidRDefault="003962B3" w:rsidP="003962B3">
            <w:pPr>
              <w:cnfStyle w:val="000000000000" w:firstRow="0" w:lastRow="0" w:firstColumn="0" w:lastColumn="0" w:oddVBand="0" w:evenVBand="0" w:oddHBand="0" w:evenHBand="0" w:firstRowFirstColumn="0" w:firstRowLastColumn="0" w:lastRowFirstColumn="0" w:lastRowLastColumn="0"/>
            </w:pPr>
          </w:p>
        </w:tc>
        <w:tc>
          <w:tcPr>
            <w:tcW w:w="605" w:type="pct"/>
          </w:tcPr>
          <w:p w:rsidR="003962B3" w:rsidRPr="00D04795" w:rsidRDefault="003962B3" w:rsidP="003962B3">
            <w:pPr>
              <w:cnfStyle w:val="000000000000" w:firstRow="0" w:lastRow="0" w:firstColumn="0" w:lastColumn="0" w:oddVBand="0" w:evenVBand="0" w:oddHBand="0" w:evenHBand="0" w:firstRowFirstColumn="0" w:firstRowLastColumn="0" w:lastRowFirstColumn="0" w:lastRowLastColumn="0"/>
            </w:pPr>
          </w:p>
        </w:tc>
        <w:tc>
          <w:tcPr>
            <w:tcW w:w="604" w:type="pct"/>
          </w:tcPr>
          <w:p w:rsidR="003962B3" w:rsidRPr="00D04795" w:rsidRDefault="003962B3" w:rsidP="003962B3">
            <w:pPr>
              <w:cnfStyle w:val="000000000000" w:firstRow="0" w:lastRow="0" w:firstColumn="0" w:lastColumn="0" w:oddVBand="0" w:evenVBand="0" w:oddHBand="0" w:evenHBand="0" w:firstRowFirstColumn="0" w:firstRowLastColumn="0" w:lastRowFirstColumn="0" w:lastRowLastColumn="0"/>
            </w:pPr>
          </w:p>
        </w:tc>
        <w:tc>
          <w:tcPr>
            <w:tcW w:w="602" w:type="pct"/>
          </w:tcPr>
          <w:p w:rsidR="003962B3" w:rsidRPr="003962B3" w:rsidRDefault="003962B3" w:rsidP="003962B3">
            <w:pPr>
              <w:cnfStyle w:val="000000000000" w:firstRow="0" w:lastRow="0" w:firstColumn="0" w:lastColumn="0" w:oddVBand="0" w:evenVBand="0" w:oddHBand="0" w:evenHBand="0" w:firstRowFirstColumn="0" w:firstRowLastColumn="0" w:lastRowFirstColumn="0" w:lastRowLastColumn="0"/>
            </w:pPr>
            <w:r w:rsidRPr="00D04795">
              <w:t>15.8</w:t>
            </w:r>
          </w:p>
        </w:tc>
      </w:tr>
      <w:tr w:rsidR="003962B3" w:rsidRPr="00F5632A" w:rsidTr="00F5632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3962B3" w:rsidRPr="003962B3" w:rsidRDefault="003962B3" w:rsidP="003962B3">
            <w:pPr>
              <w:rPr>
                <w:rStyle w:val="Strong"/>
              </w:rPr>
            </w:pPr>
            <w:r w:rsidRPr="003962B3">
              <w:rPr>
                <w:rStyle w:val="Strong"/>
              </w:rPr>
              <w:lastRenderedPageBreak/>
              <w:t>Opening RAB as at 1 July 2014</w:t>
            </w: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rPr>
                <w:rStyle w:val="Strong"/>
              </w:rPr>
            </w:pP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rPr>
                <w:rStyle w:val="Strong"/>
              </w:rPr>
            </w:pPr>
          </w:p>
        </w:tc>
        <w:tc>
          <w:tcPr>
            <w:tcW w:w="605"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rPr>
                <w:rStyle w:val="Strong"/>
              </w:rPr>
            </w:pPr>
          </w:p>
        </w:tc>
        <w:tc>
          <w:tcPr>
            <w:tcW w:w="604"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rPr>
                <w:rStyle w:val="Strong"/>
              </w:rPr>
            </w:pPr>
          </w:p>
        </w:tc>
        <w:tc>
          <w:tcPr>
            <w:tcW w:w="602" w:type="pct"/>
          </w:tcPr>
          <w:p w:rsidR="003962B3" w:rsidRPr="003962B3" w:rsidRDefault="003962B3" w:rsidP="003962B3">
            <w:pPr>
              <w:cnfStyle w:val="000000010000" w:firstRow="0" w:lastRow="0" w:firstColumn="0" w:lastColumn="0" w:oddVBand="0" w:evenVBand="0" w:oddHBand="0" w:evenHBand="1" w:firstRowFirstColumn="0" w:firstRowLastColumn="0" w:lastRowFirstColumn="0" w:lastRowLastColumn="0"/>
              <w:rPr>
                <w:rStyle w:val="Strong"/>
              </w:rPr>
            </w:pPr>
            <w:r w:rsidRPr="003962B3">
              <w:rPr>
                <w:rStyle w:val="Strong"/>
              </w:rPr>
              <w:t>6076.3</w:t>
            </w:r>
          </w:p>
        </w:tc>
      </w:tr>
    </w:tbl>
    <w:p w:rsidR="00F5632A" w:rsidRPr="00FD2861" w:rsidRDefault="00F5632A" w:rsidP="00F5632A">
      <w:pPr>
        <w:pStyle w:val="AERtablesource"/>
      </w:pPr>
      <w:bookmarkStart w:id="19" w:name="_Ref402185421"/>
      <w:r w:rsidRPr="00FD2861">
        <w:t>Source:</w:t>
      </w:r>
      <w:r w:rsidRPr="00FD2861">
        <w:tab/>
      </w:r>
      <w:r>
        <w:t>TransGrid</w:t>
      </w:r>
      <w:r w:rsidRPr="00FD2861">
        <w:t xml:space="preserve">, </w:t>
      </w:r>
      <w:r w:rsidR="003962B3">
        <w:rPr>
          <w:rStyle w:val="AERtextitalic"/>
        </w:rPr>
        <w:t>Revised revenue proposal,</w:t>
      </w:r>
      <w:r w:rsidRPr="00FD2861">
        <w:t xml:space="preserve"> </w:t>
      </w:r>
      <w:r w:rsidR="003962B3">
        <w:t>J</w:t>
      </w:r>
      <w:r w:rsidR="003517AA">
        <w:t>anuary</w:t>
      </w:r>
      <w:r w:rsidRPr="00FD2861">
        <w:t xml:space="preserve"> 201</w:t>
      </w:r>
      <w:r w:rsidR="003517AA">
        <w:t xml:space="preserve">5, p. </w:t>
      </w:r>
      <w:r w:rsidR="008405FF">
        <w:t>110</w:t>
      </w:r>
      <w:r w:rsidRPr="00FD2861">
        <w:t>.</w:t>
      </w:r>
    </w:p>
    <w:p w:rsidR="00F5632A" w:rsidRPr="00FD2861" w:rsidRDefault="00F5632A" w:rsidP="00F5632A">
      <w:pPr>
        <w:pStyle w:val="AERtablesource"/>
      </w:pPr>
      <w:r w:rsidRPr="00FD2861">
        <w:t xml:space="preserve">(a) </w:t>
      </w:r>
      <w:r w:rsidRPr="00FD2861">
        <w:tab/>
        <w:t>As incurred, net of disposals, and adjusted for actual CPI.</w:t>
      </w:r>
    </w:p>
    <w:p w:rsidR="00F5632A" w:rsidRPr="00FD2861" w:rsidRDefault="00F5632A" w:rsidP="00F5632A">
      <w:pPr>
        <w:pStyle w:val="AERtablesource"/>
      </w:pPr>
      <w:r w:rsidRPr="00FD2861">
        <w:t>(b)</w:t>
      </w:r>
      <w:r w:rsidRPr="00FD2861">
        <w:tab/>
        <w:t>Adjusted for actual CPI. Based on as-commissioned capex.</w:t>
      </w:r>
    </w:p>
    <w:p w:rsidR="003A6191" w:rsidRPr="001C413C" w:rsidRDefault="003A6191" w:rsidP="001C413C">
      <w:pPr>
        <w:pStyle w:val="Caption"/>
      </w:pPr>
      <w:r w:rsidRPr="001C413C">
        <w:t>Table 2</w:t>
      </w:r>
      <w:r w:rsidRPr="001C413C">
        <w:noBreakHyphen/>
      </w:r>
      <w:r w:rsidR="00A03C1F">
        <w:fldChar w:fldCharType="begin"/>
      </w:r>
      <w:r w:rsidR="00A03C1F">
        <w:instrText xml:space="preserve"> SEQ Table \* ARABIC \s 1 </w:instrText>
      </w:r>
      <w:r w:rsidR="00A03C1F">
        <w:fldChar w:fldCharType="separate"/>
      </w:r>
      <w:r w:rsidR="00A03C1F">
        <w:rPr>
          <w:noProof/>
        </w:rPr>
        <w:t>4</w:t>
      </w:r>
      <w:r w:rsidR="00A03C1F">
        <w:fldChar w:fldCharType="end"/>
      </w:r>
      <w:bookmarkEnd w:id="19"/>
      <w:r w:rsidRPr="001C413C">
        <w:tab/>
        <w:t>TransGrid's revised propos</w:t>
      </w:r>
      <w:r w:rsidR="003517AA">
        <w:t>ed</w:t>
      </w:r>
      <w:r w:rsidRPr="001C413C">
        <w:t xml:space="preserve"> RAB for the 2014–18 period ($ million, nominal)</w:t>
      </w:r>
    </w:p>
    <w:tbl>
      <w:tblPr>
        <w:tblStyle w:val="AERtable-numbers"/>
        <w:tblW w:w="5000" w:type="pct"/>
        <w:tblLook w:val="01E0" w:firstRow="1" w:lastRow="1" w:firstColumn="1" w:lastColumn="1" w:noHBand="0" w:noVBand="0"/>
      </w:tblPr>
      <w:tblGrid>
        <w:gridCol w:w="3912"/>
        <w:gridCol w:w="1198"/>
        <w:gridCol w:w="1196"/>
        <w:gridCol w:w="1194"/>
        <w:gridCol w:w="1193"/>
      </w:tblGrid>
      <w:tr w:rsidR="003A6191" w:rsidRPr="001C413C" w:rsidTr="003962B3">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50" w:type="pct"/>
          </w:tcPr>
          <w:p w:rsidR="003A6191" w:rsidRPr="001C413C" w:rsidRDefault="003A6191" w:rsidP="001C413C"/>
        </w:tc>
        <w:tc>
          <w:tcPr>
            <w:tcW w:w="689" w:type="pct"/>
          </w:tcPr>
          <w:p w:rsidR="003A6191" w:rsidRPr="001C413C" w:rsidRDefault="003A6191" w:rsidP="001C413C">
            <w:pPr>
              <w:cnfStyle w:val="100000000000" w:firstRow="1" w:lastRow="0" w:firstColumn="0" w:lastColumn="0" w:oddVBand="0" w:evenVBand="0" w:oddHBand="0" w:evenHBand="0" w:firstRowFirstColumn="0" w:firstRowLastColumn="0" w:lastRowFirstColumn="0" w:lastRowLastColumn="0"/>
            </w:pPr>
            <w:r w:rsidRPr="001C413C">
              <w:t>2014–15</w:t>
            </w:r>
          </w:p>
        </w:tc>
        <w:tc>
          <w:tcPr>
            <w:tcW w:w="688" w:type="pct"/>
          </w:tcPr>
          <w:p w:rsidR="003A6191" w:rsidRPr="001C413C" w:rsidRDefault="003A6191" w:rsidP="001C413C">
            <w:pPr>
              <w:cnfStyle w:val="100000000000" w:firstRow="1" w:lastRow="0" w:firstColumn="0" w:lastColumn="0" w:oddVBand="0" w:evenVBand="0" w:oddHBand="0" w:evenHBand="0" w:firstRowFirstColumn="0" w:firstRowLastColumn="0" w:lastRowFirstColumn="0" w:lastRowLastColumn="0"/>
            </w:pPr>
            <w:r w:rsidRPr="001C413C">
              <w:t>2015–16</w:t>
            </w:r>
          </w:p>
        </w:tc>
        <w:tc>
          <w:tcPr>
            <w:tcW w:w="687" w:type="pct"/>
          </w:tcPr>
          <w:p w:rsidR="003A6191" w:rsidRPr="001C413C" w:rsidRDefault="003A6191" w:rsidP="001C413C">
            <w:pPr>
              <w:cnfStyle w:val="100000000000" w:firstRow="1" w:lastRow="0" w:firstColumn="0" w:lastColumn="0" w:oddVBand="0" w:evenVBand="0" w:oddHBand="0" w:evenHBand="0" w:firstRowFirstColumn="0" w:firstRowLastColumn="0" w:lastRowFirstColumn="0" w:lastRowLastColumn="0"/>
            </w:pPr>
            <w:r w:rsidRPr="001C413C">
              <w:t>2016–17</w:t>
            </w:r>
          </w:p>
        </w:tc>
        <w:tc>
          <w:tcPr>
            <w:tcW w:w="686" w:type="pct"/>
          </w:tcPr>
          <w:p w:rsidR="003A6191" w:rsidRPr="001C413C" w:rsidRDefault="003A6191" w:rsidP="001C413C">
            <w:pPr>
              <w:cnfStyle w:val="100000000000" w:firstRow="1" w:lastRow="0" w:firstColumn="0" w:lastColumn="0" w:oddVBand="0" w:evenVBand="0" w:oddHBand="0" w:evenHBand="0" w:firstRowFirstColumn="0" w:firstRowLastColumn="0" w:lastRowFirstColumn="0" w:lastRowLastColumn="0"/>
            </w:pPr>
            <w:r w:rsidRPr="001C413C">
              <w:t>2017–18</w:t>
            </w:r>
          </w:p>
        </w:tc>
      </w:tr>
      <w:tr w:rsidR="003A6191" w:rsidRPr="001C413C" w:rsidTr="003962B3">
        <w:trPr>
          <w:trHeight w:val="554"/>
        </w:trPr>
        <w:tc>
          <w:tcPr>
            <w:cnfStyle w:val="001000000000" w:firstRow="0" w:lastRow="0" w:firstColumn="1" w:lastColumn="0" w:oddVBand="0" w:evenVBand="0" w:oddHBand="0" w:evenHBand="0" w:firstRowFirstColumn="0" w:firstRowLastColumn="0" w:lastRowFirstColumn="0" w:lastRowLastColumn="0"/>
            <w:tcW w:w="2250" w:type="pct"/>
          </w:tcPr>
          <w:p w:rsidR="003A6191" w:rsidRPr="001C413C" w:rsidRDefault="003A6191" w:rsidP="001C413C">
            <w:r w:rsidRPr="001C413C">
              <w:t>Opening RAB</w:t>
            </w:r>
          </w:p>
        </w:tc>
        <w:tc>
          <w:tcPr>
            <w:tcW w:w="689" w:type="pct"/>
          </w:tcPr>
          <w:p w:rsidR="003A6191" w:rsidRPr="001C413C" w:rsidRDefault="003962B3" w:rsidP="001C413C">
            <w:pPr>
              <w:cnfStyle w:val="000000000000" w:firstRow="0" w:lastRow="0" w:firstColumn="0" w:lastColumn="0" w:oddVBand="0" w:evenVBand="0" w:oddHBand="0" w:evenHBand="0" w:firstRowFirstColumn="0" w:firstRowLastColumn="0" w:lastRowFirstColumn="0" w:lastRowLastColumn="0"/>
            </w:pPr>
            <w:r w:rsidRPr="001C413C">
              <w:t>6076.3</w:t>
            </w:r>
          </w:p>
        </w:tc>
        <w:tc>
          <w:tcPr>
            <w:tcW w:w="688" w:type="pct"/>
          </w:tcPr>
          <w:p w:rsidR="003A6191" w:rsidRPr="001C413C" w:rsidRDefault="003962B3" w:rsidP="001C413C">
            <w:pPr>
              <w:cnfStyle w:val="000000000000" w:firstRow="0" w:lastRow="0" w:firstColumn="0" w:lastColumn="0" w:oddVBand="0" w:evenVBand="0" w:oddHBand="0" w:evenHBand="0" w:firstRowFirstColumn="0" w:firstRowLastColumn="0" w:lastRowFirstColumn="0" w:lastRowLastColumn="0"/>
            </w:pPr>
            <w:r w:rsidRPr="001C413C">
              <w:t>6343.3</w:t>
            </w:r>
          </w:p>
        </w:tc>
        <w:tc>
          <w:tcPr>
            <w:tcW w:w="687" w:type="pct"/>
          </w:tcPr>
          <w:p w:rsidR="003A6191" w:rsidRPr="001C413C" w:rsidRDefault="001C413C" w:rsidP="001C413C">
            <w:pPr>
              <w:cnfStyle w:val="000000000000" w:firstRow="0" w:lastRow="0" w:firstColumn="0" w:lastColumn="0" w:oddVBand="0" w:evenVBand="0" w:oddHBand="0" w:evenHBand="0" w:firstRowFirstColumn="0" w:firstRowLastColumn="0" w:lastRowFirstColumn="0" w:lastRowLastColumn="0"/>
            </w:pPr>
            <w:r>
              <w:t>6658.5</w:t>
            </w:r>
          </w:p>
        </w:tc>
        <w:tc>
          <w:tcPr>
            <w:tcW w:w="686" w:type="pct"/>
          </w:tcPr>
          <w:p w:rsidR="003A6191" w:rsidRPr="001C413C" w:rsidRDefault="001C413C" w:rsidP="001C413C">
            <w:pPr>
              <w:cnfStyle w:val="000000000000" w:firstRow="0" w:lastRow="0" w:firstColumn="0" w:lastColumn="0" w:oddVBand="0" w:evenVBand="0" w:oddHBand="0" w:evenHBand="0" w:firstRowFirstColumn="0" w:firstRowLastColumn="0" w:lastRowFirstColumn="0" w:lastRowLastColumn="0"/>
            </w:pPr>
            <w:r>
              <w:t>6878.5</w:t>
            </w:r>
          </w:p>
        </w:tc>
      </w:tr>
      <w:tr w:rsidR="003A6191" w:rsidRPr="001C413C" w:rsidTr="003962B3">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50" w:type="pct"/>
          </w:tcPr>
          <w:p w:rsidR="003A6191" w:rsidRPr="001C413C" w:rsidRDefault="003A6191" w:rsidP="001C413C">
            <w:r w:rsidRPr="001C413C">
              <w:t>Capital expenditure</w:t>
            </w:r>
            <w:r w:rsidRPr="001C413C">
              <w:rPr>
                <w:rStyle w:val="AERsuperscript"/>
              </w:rPr>
              <w:t xml:space="preserve">a </w:t>
            </w:r>
          </w:p>
        </w:tc>
        <w:tc>
          <w:tcPr>
            <w:tcW w:w="689"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358.3</w:t>
            </w:r>
          </w:p>
        </w:tc>
        <w:tc>
          <w:tcPr>
            <w:tcW w:w="688"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421.0</w:t>
            </w:r>
          </w:p>
        </w:tc>
        <w:tc>
          <w:tcPr>
            <w:tcW w:w="687"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340.8</w:t>
            </w:r>
          </w:p>
        </w:tc>
        <w:tc>
          <w:tcPr>
            <w:tcW w:w="686"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340.8</w:t>
            </w:r>
          </w:p>
        </w:tc>
      </w:tr>
      <w:tr w:rsidR="003A6191" w:rsidRPr="001C413C" w:rsidTr="003962B3">
        <w:trPr>
          <w:trHeight w:val="554"/>
        </w:trPr>
        <w:tc>
          <w:tcPr>
            <w:cnfStyle w:val="001000000000" w:firstRow="0" w:lastRow="0" w:firstColumn="1" w:lastColumn="0" w:oddVBand="0" w:evenVBand="0" w:oddHBand="0" w:evenHBand="0" w:firstRowFirstColumn="0" w:firstRowLastColumn="0" w:lastRowFirstColumn="0" w:lastRowLastColumn="0"/>
            <w:tcW w:w="2250" w:type="pct"/>
          </w:tcPr>
          <w:p w:rsidR="003A6191" w:rsidRPr="001C413C" w:rsidRDefault="001C413C" w:rsidP="001C413C">
            <w:r w:rsidRPr="00F5632A">
              <w:t>CPI indexation on opening RAB</w:t>
            </w:r>
          </w:p>
        </w:tc>
        <w:tc>
          <w:tcPr>
            <w:tcW w:w="689" w:type="pct"/>
          </w:tcPr>
          <w:p w:rsidR="003A6191" w:rsidRPr="001C413C" w:rsidRDefault="001C413C" w:rsidP="001C413C">
            <w:pPr>
              <w:cnfStyle w:val="000000000000" w:firstRow="0" w:lastRow="0" w:firstColumn="0" w:lastColumn="0" w:oddVBand="0" w:evenVBand="0" w:oddHBand="0" w:evenHBand="0" w:firstRowFirstColumn="0" w:firstRowLastColumn="0" w:lastRowFirstColumn="0" w:lastRowLastColumn="0"/>
            </w:pPr>
            <w:r w:rsidRPr="00D04795">
              <w:t>–</w:t>
            </w:r>
            <w:r>
              <w:t>243.2</w:t>
            </w:r>
          </w:p>
        </w:tc>
        <w:tc>
          <w:tcPr>
            <w:tcW w:w="688" w:type="pct"/>
          </w:tcPr>
          <w:p w:rsidR="003A6191" w:rsidRPr="001C413C" w:rsidRDefault="001C413C" w:rsidP="001C413C">
            <w:pPr>
              <w:cnfStyle w:val="000000000000" w:firstRow="0" w:lastRow="0" w:firstColumn="0" w:lastColumn="0" w:oddVBand="0" w:evenVBand="0" w:oddHBand="0" w:evenHBand="0" w:firstRowFirstColumn="0" w:firstRowLastColumn="0" w:lastRowFirstColumn="0" w:lastRowLastColumn="0"/>
            </w:pPr>
            <w:r w:rsidRPr="00D04795">
              <w:t>–</w:t>
            </w:r>
            <w:r>
              <w:t>264.3</w:t>
            </w:r>
          </w:p>
        </w:tc>
        <w:tc>
          <w:tcPr>
            <w:tcW w:w="687" w:type="pct"/>
          </w:tcPr>
          <w:p w:rsidR="003A6191" w:rsidRPr="001C413C" w:rsidRDefault="001C413C" w:rsidP="001C413C">
            <w:pPr>
              <w:cnfStyle w:val="000000000000" w:firstRow="0" w:lastRow="0" w:firstColumn="0" w:lastColumn="0" w:oddVBand="0" w:evenVBand="0" w:oddHBand="0" w:evenHBand="0" w:firstRowFirstColumn="0" w:firstRowLastColumn="0" w:lastRowFirstColumn="0" w:lastRowLastColumn="0"/>
            </w:pPr>
            <w:r w:rsidRPr="00D04795">
              <w:t>–</w:t>
            </w:r>
            <w:r>
              <w:t>287.3</w:t>
            </w:r>
          </w:p>
        </w:tc>
        <w:tc>
          <w:tcPr>
            <w:tcW w:w="686" w:type="pct"/>
          </w:tcPr>
          <w:p w:rsidR="003A6191" w:rsidRPr="001C413C" w:rsidRDefault="001C413C" w:rsidP="001C413C">
            <w:pPr>
              <w:cnfStyle w:val="000000000000" w:firstRow="0" w:lastRow="0" w:firstColumn="0" w:lastColumn="0" w:oddVBand="0" w:evenVBand="0" w:oddHBand="0" w:evenHBand="0" w:firstRowFirstColumn="0" w:firstRowLastColumn="0" w:lastRowFirstColumn="0" w:lastRowLastColumn="0"/>
            </w:pPr>
            <w:r w:rsidRPr="00D04795">
              <w:t>–</w:t>
            </w:r>
            <w:r>
              <w:t>277.7</w:t>
            </w:r>
          </w:p>
        </w:tc>
      </w:tr>
      <w:tr w:rsidR="003A6191" w:rsidRPr="001C413C" w:rsidTr="003962B3">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50" w:type="pct"/>
          </w:tcPr>
          <w:p w:rsidR="003A6191" w:rsidRPr="001C413C" w:rsidRDefault="003A6191" w:rsidP="001C413C">
            <w:r w:rsidRPr="001C413C">
              <w:t>Straight-line depreciation</w:t>
            </w:r>
            <w:r w:rsidRPr="001C413C">
              <w:rPr>
                <w:rStyle w:val="AERsuperscript"/>
              </w:rPr>
              <w:t>b</w:t>
            </w:r>
          </w:p>
        </w:tc>
        <w:tc>
          <w:tcPr>
            <w:tcW w:w="689"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151.9</w:t>
            </w:r>
          </w:p>
        </w:tc>
        <w:tc>
          <w:tcPr>
            <w:tcW w:w="688"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158.6</w:t>
            </w:r>
          </w:p>
        </w:tc>
        <w:tc>
          <w:tcPr>
            <w:tcW w:w="687"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166.4</w:t>
            </w:r>
          </w:p>
        </w:tc>
        <w:tc>
          <w:tcPr>
            <w:tcW w:w="686" w:type="pct"/>
          </w:tcPr>
          <w:p w:rsidR="003A6191" w:rsidRPr="001C413C" w:rsidRDefault="001C413C" w:rsidP="001C413C">
            <w:pPr>
              <w:cnfStyle w:val="000000010000" w:firstRow="0" w:lastRow="0" w:firstColumn="0" w:lastColumn="0" w:oddVBand="0" w:evenVBand="0" w:oddHBand="0" w:evenHBand="1" w:firstRowFirstColumn="0" w:firstRowLastColumn="0" w:lastRowFirstColumn="0" w:lastRowLastColumn="0"/>
            </w:pPr>
            <w:r>
              <w:t>171.9</w:t>
            </w:r>
          </w:p>
        </w:tc>
      </w:tr>
      <w:tr w:rsidR="003A6191" w:rsidRPr="00C347A5" w:rsidTr="003962B3">
        <w:trPr>
          <w:trHeight w:val="554"/>
        </w:trPr>
        <w:tc>
          <w:tcPr>
            <w:cnfStyle w:val="001000000000" w:firstRow="0" w:lastRow="0" w:firstColumn="1" w:lastColumn="0" w:oddVBand="0" w:evenVBand="0" w:oddHBand="0" w:evenHBand="0" w:firstRowFirstColumn="0" w:firstRowLastColumn="0" w:lastRowFirstColumn="0" w:lastRowLastColumn="0"/>
            <w:tcW w:w="2250" w:type="pct"/>
          </w:tcPr>
          <w:p w:rsidR="003A6191" w:rsidRPr="00C347A5" w:rsidRDefault="003A6191" w:rsidP="00C347A5">
            <w:r w:rsidRPr="00C347A5">
              <w:t>Closing RAB</w:t>
            </w:r>
          </w:p>
        </w:tc>
        <w:tc>
          <w:tcPr>
            <w:tcW w:w="689" w:type="pct"/>
          </w:tcPr>
          <w:p w:rsidR="003A6191" w:rsidRPr="00C347A5" w:rsidRDefault="001C413C" w:rsidP="00C347A5">
            <w:pPr>
              <w:cnfStyle w:val="000000000000" w:firstRow="0" w:lastRow="0" w:firstColumn="0" w:lastColumn="0" w:oddVBand="0" w:evenVBand="0" w:oddHBand="0" w:evenHBand="0" w:firstRowFirstColumn="0" w:firstRowLastColumn="0" w:lastRowFirstColumn="0" w:lastRowLastColumn="0"/>
            </w:pPr>
            <w:r w:rsidRPr="00C347A5">
              <w:t>6343.3</w:t>
            </w:r>
          </w:p>
        </w:tc>
        <w:tc>
          <w:tcPr>
            <w:tcW w:w="688" w:type="pct"/>
          </w:tcPr>
          <w:p w:rsidR="003A6191" w:rsidRPr="00C347A5" w:rsidRDefault="001C413C" w:rsidP="00C347A5">
            <w:pPr>
              <w:cnfStyle w:val="000000000000" w:firstRow="0" w:lastRow="0" w:firstColumn="0" w:lastColumn="0" w:oddVBand="0" w:evenVBand="0" w:oddHBand="0" w:evenHBand="0" w:firstRowFirstColumn="0" w:firstRowLastColumn="0" w:lastRowFirstColumn="0" w:lastRowLastColumn="0"/>
            </w:pPr>
            <w:r w:rsidRPr="00C347A5">
              <w:t>6658.5</w:t>
            </w:r>
          </w:p>
        </w:tc>
        <w:tc>
          <w:tcPr>
            <w:tcW w:w="687" w:type="pct"/>
          </w:tcPr>
          <w:p w:rsidR="003A6191" w:rsidRPr="00C347A5" w:rsidRDefault="001C413C" w:rsidP="00C347A5">
            <w:pPr>
              <w:cnfStyle w:val="000000000000" w:firstRow="0" w:lastRow="0" w:firstColumn="0" w:lastColumn="0" w:oddVBand="0" w:evenVBand="0" w:oddHBand="0" w:evenHBand="0" w:firstRowFirstColumn="0" w:firstRowLastColumn="0" w:lastRowFirstColumn="0" w:lastRowLastColumn="0"/>
            </w:pPr>
            <w:r w:rsidRPr="00C347A5">
              <w:t>6878.5</w:t>
            </w:r>
          </w:p>
        </w:tc>
        <w:tc>
          <w:tcPr>
            <w:tcW w:w="686" w:type="pct"/>
          </w:tcPr>
          <w:p w:rsidR="003A6191" w:rsidRPr="00C347A5" w:rsidRDefault="001C413C" w:rsidP="00C347A5">
            <w:pPr>
              <w:cnfStyle w:val="000000000000" w:firstRow="0" w:lastRow="0" w:firstColumn="0" w:lastColumn="0" w:oddVBand="0" w:evenVBand="0" w:oddHBand="0" w:evenHBand="0" w:firstRowFirstColumn="0" w:firstRowLastColumn="0" w:lastRowFirstColumn="0" w:lastRowLastColumn="0"/>
            </w:pPr>
            <w:r w:rsidRPr="00C347A5">
              <w:t>7113.5</w:t>
            </w:r>
          </w:p>
        </w:tc>
      </w:tr>
    </w:tbl>
    <w:p w:rsidR="003A6191" w:rsidRPr="001C413C" w:rsidRDefault="003A6191" w:rsidP="001C413C">
      <w:pPr>
        <w:pStyle w:val="AERtablesource"/>
      </w:pPr>
      <w:r w:rsidRPr="001C413C">
        <w:t xml:space="preserve">Source: </w:t>
      </w:r>
      <w:r w:rsidRPr="001C413C">
        <w:tab/>
      </w:r>
      <w:r w:rsidR="003962B3" w:rsidRPr="001C413C">
        <w:t xml:space="preserve">TransGrid, </w:t>
      </w:r>
      <w:r w:rsidR="003962B3" w:rsidRPr="001C413C">
        <w:rPr>
          <w:rStyle w:val="AERtextitalic"/>
        </w:rPr>
        <w:t>Revised revenue proposal</w:t>
      </w:r>
      <w:r w:rsidR="003962B3" w:rsidRPr="001C413C">
        <w:t>, J</w:t>
      </w:r>
      <w:r w:rsidR="003517AA">
        <w:t>anuary</w:t>
      </w:r>
      <w:r w:rsidR="003962B3" w:rsidRPr="001C413C">
        <w:t xml:space="preserve"> 201</w:t>
      </w:r>
      <w:r w:rsidR="003517AA">
        <w:t>5, p.</w:t>
      </w:r>
      <w:r w:rsidR="008405FF">
        <w:t>110.</w:t>
      </w:r>
    </w:p>
    <w:p w:rsidR="003A6191" w:rsidRPr="001C413C" w:rsidRDefault="003A6191" w:rsidP="001C413C">
      <w:pPr>
        <w:pStyle w:val="AERtablesource"/>
      </w:pPr>
      <w:r w:rsidRPr="001C413C">
        <w:t>(a)</w:t>
      </w:r>
      <w:r w:rsidRPr="001C413C">
        <w:tab/>
        <w:t>As incurred, and net of disposals.</w:t>
      </w:r>
    </w:p>
    <w:p w:rsidR="003A6191" w:rsidRPr="001C413C" w:rsidRDefault="003A6191" w:rsidP="001C413C">
      <w:pPr>
        <w:pStyle w:val="AERtablesource"/>
      </w:pPr>
      <w:r w:rsidRPr="001C413C">
        <w:t>(b)</w:t>
      </w:r>
      <w:r w:rsidRPr="001C413C">
        <w:tab/>
        <w:t>Based on as-commissioned capex.</w:t>
      </w:r>
    </w:p>
    <w:p w:rsidR="00DE563D" w:rsidRDefault="00DE563D" w:rsidP="001754EE">
      <w:pPr>
        <w:pStyle w:val="Heading2"/>
      </w:pPr>
      <w:bookmarkStart w:id="20" w:name="_Toc403144138"/>
      <w:bookmarkStart w:id="21" w:name="_Toc412617472"/>
      <w:r w:rsidRPr="001754EE">
        <w:t>AER’s</w:t>
      </w:r>
      <w:r>
        <w:t xml:space="preserve"> assessment approach</w:t>
      </w:r>
      <w:bookmarkEnd w:id="20"/>
      <w:bookmarkEnd w:id="21"/>
    </w:p>
    <w:p w:rsidR="003517AA" w:rsidRDefault="003517AA" w:rsidP="003517AA">
      <w:r w:rsidRPr="00BD5D87">
        <w:t xml:space="preserve">We did not change our assessment approach for the </w:t>
      </w:r>
      <w:r>
        <w:t>RAB</w:t>
      </w:r>
      <w:r w:rsidRPr="00BD5D87">
        <w:t xml:space="preserve"> fr</w:t>
      </w:r>
      <w:r w:rsidR="00471D14">
        <w:t>om our draft decision. Section 2</w:t>
      </w:r>
      <w:r w:rsidRPr="00BD5D87">
        <w:t>.3 of our draft decision details that approach.</w:t>
      </w:r>
    </w:p>
    <w:p w:rsidR="00DE563D" w:rsidRDefault="00DE563D" w:rsidP="001754EE">
      <w:pPr>
        <w:pStyle w:val="Heading2"/>
      </w:pPr>
      <w:bookmarkStart w:id="22" w:name="_Toc403144140"/>
      <w:bookmarkStart w:id="23" w:name="_Toc412617473"/>
      <w:r w:rsidRPr="001754EE">
        <w:t>Reasons</w:t>
      </w:r>
      <w:r>
        <w:t xml:space="preserve"> for </w:t>
      </w:r>
      <w:r w:rsidR="002016E7">
        <w:t>final</w:t>
      </w:r>
      <w:r>
        <w:t xml:space="preserve"> decision</w:t>
      </w:r>
      <w:bookmarkEnd w:id="22"/>
      <w:bookmarkEnd w:id="23"/>
      <w:r>
        <w:t xml:space="preserve"> </w:t>
      </w:r>
    </w:p>
    <w:p w:rsidR="00F5632A" w:rsidRDefault="00F5632A" w:rsidP="00F5632A">
      <w:r>
        <w:t xml:space="preserve">We </w:t>
      </w:r>
      <w:r w:rsidR="001D4C03">
        <w:t>do not accept</w:t>
      </w:r>
      <w:r>
        <w:t xml:space="preserve"> TransGrid's revised proposed opening RAB value of $6</w:t>
      </w:r>
      <w:r w:rsidR="001D4C03">
        <w:t>076.3 million</w:t>
      </w:r>
      <w:r w:rsidR="00D47171">
        <w:t xml:space="preserve"> as at 1 July 2014</w:t>
      </w:r>
      <w:r w:rsidR="001D4C03">
        <w:t xml:space="preserve"> due to a small </w:t>
      </w:r>
      <w:r w:rsidR="00D47171">
        <w:t xml:space="preserve">indexation </w:t>
      </w:r>
      <w:r w:rsidR="001D4C03">
        <w:t>error in 2</w:t>
      </w:r>
      <w:r w:rsidR="0085041F">
        <w:t>013</w:t>
      </w:r>
      <w:r w:rsidR="001D4C03">
        <w:t>–</w:t>
      </w:r>
      <w:r w:rsidR="0085041F">
        <w:t>14</w:t>
      </w:r>
      <w:r w:rsidR="001D4C03">
        <w:t xml:space="preserve"> actual capex. After adjusting for this error, we determine the opening RAB </w:t>
      </w:r>
      <w:r w:rsidR="008D6001">
        <w:t xml:space="preserve">value </w:t>
      </w:r>
      <w:r w:rsidR="00687952">
        <w:t>to be</w:t>
      </w:r>
      <w:r w:rsidR="001D4C03">
        <w:t xml:space="preserve"> $</w:t>
      </w:r>
      <w:r w:rsidR="0085041F">
        <w:t xml:space="preserve">6075.8 </w:t>
      </w:r>
      <w:r w:rsidR="001D4C03">
        <w:t>million as at 1 July 2014</w:t>
      </w:r>
      <w:r w:rsidR="00D47171">
        <w:t>.</w:t>
      </w:r>
    </w:p>
    <w:p w:rsidR="00F5632A" w:rsidRDefault="001D4C03" w:rsidP="00F5632A">
      <w:r>
        <w:t>W</w:t>
      </w:r>
      <w:r w:rsidR="00F5632A">
        <w:t xml:space="preserve">e do not accept TransGrid's </w:t>
      </w:r>
      <w:r w:rsidR="00D47171">
        <w:t xml:space="preserve">revised </w:t>
      </w:r>
      <w:r w:rsidR="00F5632A">
        <w:t xml:space="preserve">proposed </w:t>
      </w:r>
      <w:r w:rsidR="00D47171">
        <w:t xml:space="preserve">forecast </w:t>
      </w:r>
      <w:r w:rsidR="00F5632A">
        <w:t>closing RAB</w:t>
      </w:r>
      <w:r>
        <w:t xml:space="preserve"> of $</w:t>
      </w:r>
      <w:r w:rsidR="0085041F">
        <w:t>7113.5</w:t>
      </w:r>
      <w:r w:rsidR="00C44067">
        <w:t> </w:t>
      </w:r>
      <w:r>
        <w:t>million</w:t>
      </w:r>
      <w:r w:rsidR="00F5632A">
        <w:t xml:space="preserve"> at the end of the 2014–18 period. </w:t>
      </w:r>
      <w:r>
        <w:t xml:space="preserve">Instead, we determine a </w:t>
      </w:r>
      <w:r w:rsidR="00D47171">
        <w:t xml:space="preserve">forecast </w:t>
      </w:r>
      <w:r>
        <w:t>closing RAB value of $</w:t>
      </w:r>
      <w:r w:rsidR="004E746D">
        <w:t>6710.5</w:t>
      </w:r>
      <w:r>
        <w:t xml:space="preserve"> million, a reduction of $</w:t>
      </w:r>
      <w:r w:rsidR="004E746D">
        <w:t>403.0</w:t>
      </w:r>
      <w:r>
        <w:t xml:space="preserve"> million (or </w:t>
      </w:r>
      <w:r w:rsidR="009548A9">
        <w:t xml:space="preserve">5.7 </w:t>
      </w:r>
      <w:r>
        <w:t>per</w:t>
      </w:r>
      <w:r w:rsidR="00492296">
        <w:t xml:space="preserve"> </w:t>
      </w:r>
      <w:r>
        <w:t xml:space="preserve">cent). </w:t>
      </w:r>
      <w:r w:rsidR="00F5632A">
        <w:t xml:space="preserve">The reasons for the reduction are our adjustments to </w:t>
      </w:r>
      <w:r>
        <w:t>TransGrid's</w:t>
      </w:r>
      <w:r w:rsidR="00F5632A">
        <w:t xml:space="preserve"> forecast capex (attachment 6)</w:t>
      </w:r>
      <w:r w:rsidR="008B3AF2">
        <w:t xml:space="preserve">, </w:t>
      </w:r>
      <w:r>
        <w:t>forecast depreciation (attachment 5)</w:t>
      </w:r>
      <w:r w:rsidR="008B3AF2">
        <w:t xml:space="preserve"> and forecast inflation rate (attachment 3)</w:t>
      </w:r>
      <w:r w:rsidR="00F5632A">
        <w:t>.</w:t>
      </w:r>
      <w:r w:rsidR="00752FCD">
        <w:t xml:space="preserve"> </w:t>
      </w:r>
    </w:p>
    <w:p w:rsidR="00F5632A" w:rsidRDefault="00F5632A" w:rsidP="00F5632A">
      <w:pPr>
        <w:pStyle w:val="Heading3"/>
      </w:pPr>
      <w:bookmarkStart w:id="24" w:name="_Toc412540211"/>
      <w:bookmarkStart w:id="25" w:name="_Ref412617131"/>
      <w:bookmarkStart w:id="26" w:name="_Ref412617137"/>
      <w:bookmarkStart w:id="27" w:name="_Toc412617474"/>
      <w:r>
        <w:t>Opening RAB at 1 July 2014</w:t>
      </w:r>
      <w:bookmarkEnd w:id="24"/>
      <w:bookmarkEnd w:id="25"/>
      <w:bookmarkEnd w:id="26"/>
      <w:bookmarkEnd w:id="27"/>
    </w:p>
    <w:p w:rsidR="00266CC1" w:rsidRDefault="00266CC1" w:rsidP="00266CC1">
      <w:r w:rsidRPr="005C19A1">
        <w:t xml:space="preserve">We </w:t>
      </w:r>
      <w:r>
        <w:t>determine</w:t>
      </w:r>
      <w:r w:rsidRPr="005C19A1">
        <w:t xml:space="preserve"> </w:t>
      </w:r>
      <w:r>
        <w:t>TransGrid's</w:t>
      </w:r>
      <w:r w:rsidRPr="005C19A1">
        <w:t xml:space="preserve"> </w:t>
      </w:r>
      <w:r w:rsidR="007D1AEE">
        <w:t>o</w:t>
      </w:r>
      <w:r>
        <w:t xml:space="preserve">pening RAB to be $6075.8 million </w:t>
      </w:r>
      <w:r w:rsidRPr="005C19A1">
        <w:t>as at 1</w:t>
      </w:r>
      <w:r>
        <w:t> July </w:t>
      </w:r>
      <w:r w:rsidRPr="005C19A1">
        <w:t>2014</w:t>
      </w:r>
      <w:r>
        <w:t>.</w:t>
      </w:r>
    </w:p>
    <w:p w:rsidR="00EE39EA" w:rsidRDefault="00F5632A" w:rsidP="008405FF">
      <w:r>
        <w:lastRenderedPageBreak/>
        <w:t xml:space="preserve">In our draft decision, we accepted TransGrid's proposed method for determining </w:t>
      </w:r>
      <w:r w:rsidR="00266CC1">
        <w:t>its</w:t>
      </w:r>
      <w:r>
        <w:t xml:space="preserve"> opening RAB value as at 1 July 2014, subject to updating for actual capex for </w:t>
      </w:r>
      <w:r w:rsidR="00AD0185">
        <w:br/>
      </w:r>
      <w:r>
        <w:t xml:space="preserve">2013–14. </w:t>
      </w:r>
    </w:p>
    <w:p w:rsidR="001D4C03" w:rsidRDefault="00F5632A" w:rsidP="00F5632A">
      <w:r>
        <w:t xml:space="preserve">In its revised proposal, TransGrid updated its </w:t>
      </w:r>
      <w:r w:rsidR="00AD0185">
        <w:t>estimated</w:t>
      </w:r>
      <w:r>
        <w:t xml:space="preserve"> capex for 2013–14 with actual capex in the </w:t>
      </w:r>
      <w:r w:rsidR="001C413C">
        <w:t xml:space="preserve">RFM. </w:t>
      </w:r>
      <w:r w:rsidR="00266CC1">
        <w:t>We reviewed t</w:t>
      </w:r>
      <w:r>
        <w:t>hese</w:t>
      </w:r>
      <w:r w:rsidR="00266CC1">
        <w:t xml:space="preserve"> capex</w:t>
      </w:r>
      <w:r>
        <w:t xml:space="preserve"> </w:t>
      </w:r>
      <w:r w:rsidR="00266CC1">
        <w:t>inputs</w:t>
      </w:r>
      <w:r>
        <w:t xml:space="preserve"> </w:t>
      </w:r>
      <w:r w:rsidR="00266CC1">
        <w:t>to see if they reconciled with</w:t>
      </w:r>
      <w:r>
        <w:t xml:space="preserve"> </w:t>
      </w:r>
      <w:r w:rsidR="00266CC1">
        <w:t xml:space="preserve">TransGrid's regulatory </w:t>
      </w:r>
      <w:r>
        <w:t>account</w:t>
      </w:r>
      <w:r w:rsidR="00266CC1">
        <w:t xml:space="preserve">s </w:t>
      </w:r>
      <w:r w:rsidR="004049A6">
        <w:t xml:space="preserve">for that year </w:t>
      </w:r>
      <w:r w:rsidR="00266CC1">
        <w:t>submitted to us and identified a</w:t>
      </w:r>
      <w:r w:rsidR="0085041F">
        <w:t xml:space="preserve"> small </w:t>
      </w:r>
      <w:r w:rsidR="00266CC1">
        <w:t>discrepancy</w:t>
      </w:r>
      <w:r>
        <w:t xml:space="preserve">. </w:t>
      </w:r>
      <w:r w:rsidR="00266CC1">
        <w:t xml:space="preserve">We </w:t>
      </w:r>
      <w:r w:rsidR="009542E6">
        <w:t>raised this discrepancy with</w:t>
      </w:r>
      <w:r w:rsidR="00133B0F">
        <w:t xml:space="preserve"> </w:t>
      </w:r>
      <w:r w:rsidR="00266CC1">
        <w:t xml:space="preserve">TransGrid </w:t>
      </w:r>
      <w:r w:rsidR="009542E6">
        <w:t xml:space="preserve">and </w:t>
      </w:r>
      <w:r w:rsidR="00494AFC">
        <w:t>it</w:t>
      </w:r>
      <w:r w:rsidR="001D4C03">
        <w:t xml:space="preserve"> acknowledged th</w:t>
      </w:r>
      <w:r w:rsidR="00266CC1">
        <w:t>at there was an indexation</w:t>
      </w:r>
      <w:r w:rsidR="001D4C03">
        <w:t xml:space="preserve"> error </w:t>
      </w:r>
      <w:r w:rsidR="007D1AEE">
        <w:t>applied to its revised proposal</w:t>
      </w:r>
      <w:r w:rsidR="009542E6">
        <w:t>. TransGrid</w:t>
      </w:r>
      <w:r w:rsidR="007D1AEE">
        <w:t xml:space="preserve"> resubmitted the corrected</w:t>
      </w:r>
      <w:r w:rsidR="001D4C03">
        <w:t xml:space="preserve"> </w:t>
      </w:r>
      <w:r w:rsidR="00EE39EA">
        <w:t xml:space="preserve">2013–14 actual capex </w:t>
      </w:r>
      <w:r w:rsidR="001D4C03">
        <w:t>value.</w:t>
      </w:r>
      <w:r w:rsidR="008D6001">
        <w:rPr>
          <w:rStyle w:val="FootnoteReference"/>
        </w:rPr>
        <w:footnoteReference w:id="9"/>
      </w:r>
      <w:r w:rsidR="001D4C03">
        <w:t xml:space="preserve"> </w:t>
      </w:r>
      <w:r w:rsidR="007D1AEE">
        <w:t>The correction results in a reduction of $0.5</w:t>
      </w:r>
      <w:r w:rsidR="00057E7A">
        <w:t> </w:t>
      </w:r>
      <w:r w:rsidR="007D1AEE">
        <w:t xml:space="preserve">million to the revised proposed </w:t>
      </w:r>
      <w:r w:rsidR="00EE39EA">
        <w:t xml:space="preserve">opening RAB value as at 1 July 2014. </w:t>
      </w:r>
      <w:r w:rsidR="000A5E2A">
        <w:t xml:space="preserve">While this adjustment is small, we have decided to require the change because it was a clear clerical error. </w:t>
      </w:r>
    </w:p>
    <w:p w:rsidR="00F5632A" w:rsidRDefault="00F5632A" w:rsidP="00F5632A">
      <w:pPr>
        <w:pStyle w:val="Heading3"/>
      </w:pPr>
      <w:bookmarkStart w:id="28" w:name="_Toc412540212"/>
      <w:bookmarkStart w:id="29" w:name="_Toc412617475"/>
      <w:r>
        <w:t>Closing RAB at 30 June 2018</w:t>
      </w:r>
      <w:bookmarkEnd w:id="28"/>
      <w:bookmarkEnd w:id="29"/>
    </w:p>
    <w:p w:rsidR="00F5632A" w:rsidRDefault="00F5632A" w:rsidP="00F5632A">
      <w:r>
        <w:t xml:space="preserve">We determine </w:t>
      </w:r>
      <w:r w:rsidR="007D1AEE">
        <w:t>TransGrid's</w:t>
      </w:r>
      <w:r>
        <w:t xml:space="preserve"> forecast </w:t>
      </w:r>
      <w:r w:rsidR="007D1AEE">
        <w:t xml:space="preserve">closing </w:t>
      </w:r>
      <w:r>
        <w:t>RAB to be $</w:t>
      </w:r>
      <w:r w:rsidR="009548A9">
        <w:t>67</w:t>
      </w:r>
      <w:r w:rsidR="00C44067">
        <w:t>10.5</w:t>
      </w:r>
      <w:r>
        <w:t xml:space="preserve"> million as at 30 June 2018. This re</w:t>
      </w:r>
      <w:r w:rsidR="00492296">
        <w:t>presents</w:t>
      </w:r>
      <w:r>
        <w:t xml:space="preserve"> a reduction in TransGrid's </w:t>
      </w:r>
      <w:r w:rsidR="00492296">
        <w:t xml:space="preserve">revised </w:t>
      </w:r>
      <w:r>
        <w:t>proposal of $</w:t>
      </w:r>
      <w:r w:rsidR="009548A9">
        <w:t>40</w:t>
      </w:r>
      <w:r w:rsidR="00C44067">
        <w:t>3.0</w:t>
      </w:r>
      <w:r w:rsidR="009548A9">
        <w:t xml:space="preserve"> </w:t>
      </w:r>
      <w:r>
        <w:t xml:space="preserve">million (or </w:t>
      </w:r>
      <w:r w:rsidR="009548A9">
        <w:t>5.7</w:t>
      </w:r>
      <w:r>
        <w:t xml:space="preserve"> per</w:t>
      </w:r>
      <w:r w:rsidR="00492296">
        <w:t xml:space="preserve"> </w:t>
      </w:r>
      <w:r>
        <w:t xml:space="preserve">cent). This reduction reflects our final decision </w:t>
      </w:r>
      <w:r w:rsidR="00492296">
        <w:t>on</w:t>
      </w:r>
      <w:r>
        <w:t xml:space="preserve"> the inputs for determining the forecast RAB in the </w:t>
      </w:r>
      <w:r w:rsidR="00492296">
        <w:t>post-tax revenue model (</w:t>
      </w:r>
      <w:r w:rsidR="001D4C03">
        <w:t>PTRM</w:t>
      </w:r>
      <w:r w:rsidR="00492296">
        <w:t>)</w:t>
      </w:r>
      <w:r>
        <w:t>. To determine the forecast RAB value for TransGrid, we amended the following PTRM inputs:</w:t>
      </w:r>
    </w:p>
    <w:p w:rsidR="00F5632A" w:rsidRDefault="00F5632A" w:rsidP="00F5632A">
      <w:pPr>
        <w:pStyle w:val="AERbulletlistfirststyle"/>
      </w:pPr>
      <w:r>
        <w:t xml:space="preserve">We </w:t>
      </w:r>
      <w:r w:rsidR="008D6001">
        <w:t>reduced</w:t>
      </w:r>
      <w:r>
        <w:t xml:space="preserve"> TransGrid's </w:t>
      </w:r>
      <w:r w:rsidR="00492296">
        <w:t xml:space="preserve">revised </w:t>
      </w:r>
      <w:r>
        <w:t xml:space="preserve">proposed opening RAB </w:t>
      </w:r>
      <w:r w:rsidR="008D6001">
        <w:t>value by $0.5</w:t>
      </w:r>
      <w:r>
        <w:t xml:space="preserve"> million as at 1 July 2014 (</w:t>
      </w:r>
      <w:r w:rsidR="008D6001">
        <w:t xml:space="preserve">section </w:t>
      </w:r>
      <w:r w:rsidR="008D6001">
        <w:fldChar w:fldCharType="begin"/>
      </w:r>
      <w:r w:rsidR="008D6001">
        <w:instrText xml:space="preserve"> REF _Ref412617137 \n \h </w:instrText>
      </w:r>
      <w:r w:rsidR="008D6001">
        <w:fldChar w:fldCharType="separate"/>
      </w:r>
      <w:r w:rsidR="00A03C1F">
        <w:t>2.4.1</w:t>
      </w:r>
      <w:r w:rsidR="008D6001">
        <w:fldChar w:fldCharType="end"/>
      </w:r>
      <w:r>
        <w:t>).</w:t>
      </w:r>
    </w:p>
    <w:p w:rsidR="00F5632A" w:rsidRDefault="00F5632A" w:rsidP="00F5632A">
      <w:pPr>
        <w:pStyle w:val="AERbulletlistfirststyle"/>
      </w:pPr>
      <w:r>
        <w:t>We reduced TransGrid's</w:t>
      </w:r>
      <w:r w:rsidR="00492296">
        <w:t xml:space="preserve"> revised</w:t>
      </w:r>
      <w:r>
        <w:t xml:space="preserve"> proposed forecast capex for the 2014</w:t>
      </w:r>
      <w:r w:rsidR="00492296">
        <w:t>–</w:t>
      </w:r>
      <w:r>
        <w:t>18 period by</w:t>
      </w:r>
      <w:r w:rsidR="00492296">
        <w:t xml:space="preserve"> $</w:t>
      </w:r>
      <w:r w:rsidR="00C44067">
        <w:t xml:space="preserve">375.3 </w:t>
      </w:r>
      <w:r w:rsidR="00492296">
        <w:t xml:space="preserve">million ($ nominal) or </w:t>
      </w:r>
      <w:r w:rsidR="00C44067">
        <w:t xml:space="preserve">25.7 </w:t>
      </w:r>
      <w:r w:rsidR="00492296">
        <w:t>per cent</w:t>
      </w:r>
      <w:r>
        <w:t xml:space="preserve"> (attachment 6).</w:t>
      </w:r>
    </w:p>
    <w:p w:rsidR="008B3AF2" w:rsidRDefault="00F5632A" w:rsidP="00F5632A">
      <w:pPr>
        <w:pStyle w:val="AERbulletlistfirststyle"/>
      </w:pPr>
      <w:r>
        <w:t xml:space="preserve">We </w:t>
      </w:r>
      <w:r w:rsidR="009548A9">
        <w:t>increased</w:t>
      </w:r>
      <w:r w:rsidR="00492296">
        <w:t xml:space="preserve"> </w:t>
      </w:r>
      <w:r>
        <w:t>TransGrid's proposed forecast regulatory depreciation allowance by</w:t>
      </w:r>
      <w:r w:rsidR="00492296">
        <w:t xml:space="preserve"> $</w:t>
      </w:r>
      <w:r w:rsidR="004E746D">
        <w:t>27.3</w:t>
      </w:r>
      <w:r>
        <w:t xml:space="preserve"> </w:t>
      </w:r>
      <w:r w:rsidR="00492296">
        <w:t xml:space="preserve">million ($ nominal) or </w:t>
      </w:r>
      <w:r w:rsidR="004E746D">
        <w:t>6.4</w:t>
      </w:r>
      <w:r w:rsidR="00492296">
        <w:t xml:space="preserve"> per cent </w:t>
      </w:r>
      <w:r>
        <w:t>(attachment 5).</w:t>
      </w:r>
    </w:p>
    <w:p w:rsidR="00F5632A" w:rsidRDefault="008B3AF2" w:rsidP="00F5632A">
      <w:pPr>
        <w:pStyle w:val="AERbulletlistfirststyle"/>
      </w:pPr>
      <w:r>
        <w:t>We reduced TransGrid's revised proposed forecast inflation rate of 2.50 per cent per annum to 2.38 per cent per annum (attachment 3).</w:t>
      </w:r>
      <w:r w:rsidR="00F5632A">
        <w:t xml:space="preserve"> </w:t>
      </w:r>
    </w:p>
    <w:p w:rsidR="00F5632A" w:rsidRDefault="00F5632A" w:rsidP="00F5632A"/>
    <w:p w:rsidR="00CB0279" w:rsidRPr="00290C63" w:rsidRDefault="00CB0279" w:rsidP="00BB28F2"/>
    <w:sectPr w:rsidR="00CB0279" w:rsidRPr="00290C63"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8A9" w:rsidRPr="00290C63" w:rsidRDefault="009548A9" w:rsidP="00290C63">
      <w:r>
        <w:separator/>
      </w:r>
    </w:p>
    <w:p w:rsidR="009548A9" w:rsidRDefault="009548A9"/>
  </w:endnote>
  <w:endnote w:type="continuationSeparator" w:id="0">
    <w:p w:rsidR="009548A9" w:rsidRPr="00290C63" w:rsidRDefault="009548A9" w:rsidP="00290C63">
      <w:r>
        <w:continuationSeparator/>
      </w:r>
    </w:p>
    <w:p w:rsidR="009548A9" w:rsidRDefault="00954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A9" w:rsidRPr="00290C63" w:rsidRDefault="009548A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548A9" w:rsidRDefault="009548A9"/>
  <w:p w:rsidR="009548A9" w:rsidRDefault="009548A9"/>
  <w:p w:rsidR="009548A9" w:rsidRDefault="009548A9"/>
  <w:p w:rsidR="009548A9" w:rsidRDefault="009548A9"/>
  <w:p w:rsidR="009548A9" w:rsidRDefault="009548A9"/>
  <w:p w:rsidR="009548A9" w:rsidRDefault="009548A9"/>
  <w:p w:rsidR="009548A9" w:rsidRDefault="009548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9548A9" w:rsidRDefault="009548A9">
        <w:pPr>
          <w:pStyle w:val="Footer"/>
        </w:pPr>
        <w:r>
          <w:fldChar w:fldCharType="begin"/>
        </w:r>
        <w:r>
          <w:instrText xml:space="preserve"> PAGE   \* MERGEFORMAT </w:instrText>
        </w:r>
        <w:r>
          <w:fldChar w:fldCharType="separate"/>
        </w:r>
        <w:r w:rsidR="00A03C1F">
          <w:rPr>
            <w:noProof/>
          </w:rPr>
          <w:t>2-10</w:t>
        </w:r>
        <w:r>
          <w:rPr>
            <w:noProof/>
          </w:rPr>
          <w:fldChar w:fldCharType="end"/>
        </w:r>
        <w:r>
          <w:rPr>
            <w:noProof/>
          </w:rPr>
          <w:t xml:space="preserve">          </w:t>
        </w:r>
        <w:r>
          <w:t xml:space="preserve">        </w:t>
        </w:r>
        <w:r w:rsidRPr="00FD5E78">
          <w:rPr>
            <w:noProof/>
            <w:sz w:val="16"/>
            <w:szCs w:val="16"/>
          </w:rPr>
          <w:t xml:space="preserve">Attachment </w:t>
        </w:r>
        <w:r>
          <w:rPr>
            <w:noProof/>
            <w:sz w:val="16"/>
            <w:szCs w:val="16"/>
          </w:rPr>
          <w:t>2</w:t>
        </w:r>
        <w:r w:rsidRPr="00FD5E78">
          <w:rPr>
            <w:noProof/>
            <w:sz w:val="16"/>
            <w:szCs w:val="16"/>
          </w:rPr>
          <w:t xml:space="preserve"> </w:t>
        </w:r>
        <w:r w:rsidRPr="00FD5E78">
          <w:rPr>
            <w:rFonts w:cs="Gautami"/>
            <w:noProof/>
            <w:sz w:val="16"/>
            <w:szCs w:val="16"/>
          </w:rPr>
          <w:t xml:space="preserve">– </w:t>
        </w:r>
        <w:r>
          <w:rPr>
            <w:sz w:val="16"/>
            <w:szCs w:val="16"/>
          </w:rPr>
          <w:t>Regulatory asset base</w:t>
        </w:r>
        <w:r w:rsidRPr="00FD5E78">
          <w:rPr>
            <w:rFonts w:cs="Gautami"/>
            <w:noProof/>
            <w:sz w:val="16"/>
            <w:szCs w:val="16"/>
          </w:rPr>
          <w:t xml:space="preserve"> | Final decision </w:t>
        </w:r>
        <w:r w:rsidRPr="00FD5E78">
          <w:rPr>
            <w:sz w:val="16"/>
            <w:szCs w:val="16"/>
          </w:rPr>
          <w:t>TransGrid transmission</w:t>
        </w:r>
        <w:r w:rsidRPr="00FD5E78">
          <w:rPr>
            <w:rFonts w:cs="Gautami"/>
            <w:noProof/>
            <w:sz w:val="16"/>
            <w:szCs w:val="16"/>
          </w:rPr>
          <w:t xml:space="preserve"> determination 2015–18</w:t>
        </w:r>
      </w:p>
    </w:sdtContent>
  </w:sdt>
  <w:p w:rsidR="009548A9" w:rsidRDefault="009548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A9" w:rsidRPr="00290C63" w:rsidRDefault="009548A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548A9" w:rsidRDefault="009548A9">
    <w:pPr>
      <w:pStyle w:val="Footer"/>
    </w:pPr>
  </w:p>
  <w:p w:rsidR="009548A9" w:rsidRDefault="009548A9"/>
  <w:p w:rsidR="009548A9" w:rsidRDefault="009548A9"/>
  <w:p w:rsidR="009548A9" w:rsidRDefault="009548A9"/>
  <w:p w:rsidR="009548A9" w:rsidRDefault="009548A9"/>
  <w:p w:rsidR="009548A9" w:rsidRDefault="009548A9"/>
  <w:p w:rsidR="009548A9" w:rsidRDefault="009548A9"/>
  <w:p w:rsidR="009548A9" w:rsidRDefault="009548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8A9" w:rsidRPr="00290C63" w:rsidRDefault="009548A9" w:rsidP="00290C63">
      <w:r>
        <w:separator/>
      </w:r>
    </w:p>
    <w:p w:rsidR="009548A9" w:rsidRDefault="009548A9"/>
  </w:footnote>
  <w:footnote w:type="continuationSeparator" w:id="0">
    <w:p w:rsidR="009548A9" w:rsidRPr="00290C63" w:rsidRDefault="009548A9" w:rsidP="00290C63">
      <w:r>
        <w:continuationSeparator/>
      </w:r>
    </w:p>
    <w:p w:rsidR="009548A9" w:rsidRDefault="009548A9"/>
  </w:footnote>
  <w:footnote w:id="1">
    <w:p w:rsidR="009548A9" w:rsidRDefault="009548A9" w:rsidP="005D3335">
      <w:pPr>
        <w:pStyle w:val="FootnoteText"/>
      </w:pPr>
      <w:r>
        <w:rPr>
          <w:rStyle w:val="FootnoteReference"/>
        </w:rPr>
        <w:footnoteRef/>
      </w:r>
      <w:r>
        <w:t xml:space="preserve"> </w:t>
      </w:r>
      <w:r>
        <w:tab/>
        <w:t>NER, cl. 6A.6.1.</w:t>
      </w:r>
    </w:p>
  </w:footnote>
  <w:footnote w:id="2">
    <w:p w:rsidR="009548A9" w:rsidRDefault="009548A9" w:rsidP="005D3335">
      <w:pPr>
        <w:pStyle w:val="FootnoteText"/>
      </w:pPr>
      <w:r>
        <w:rPr>
          <w:rStyle w:val="FootnoteReference"/>
        </w:rPr>
        <w:footnoteRef/>
      </w:r>
      <w:r>
        <w:t xml:space="preserve"> </w:t>
      </w:r>
      <w:r>
        <w:tab/>
        <w:t>NER, cl. 6A.4.2(3A) and (4).</w:t>
      </w:r>
    </w:p>
  </w:footnote>
  <w:footnote w:id="3">
    <w:p w:rsidR="009548A9" w:rsidRDefault="009548A9" w:rsidP="005D3335">
      <w:pPr>
        <w:pStyle w:val="FootnoteText"/>
      </w:pPr>
      <w:r>
        <w:rPr>
          <w:rStyle w:val="FootnoteReference"/>
        </w:rPr>
        <w:footnoteRef/>
      </w:r>
      <w:r>
        <w:t xml:space="preserve"> </w:t>
      </w:r>
      <w:r>
        <w:tab/>
        <w:t>NER, cl. 6A.5.4(a)(1) and (b)(1).</w:t>
      </w:r>
    </w:p>
  </w:footnote>
  <w:footnote w:id="4">
    <w:p w:rsidR="009548A9" w:rsidRDefault="009548A9" w:rsidP="005D3335">
      <w:pPr>
        <w:pStyle w:val="FootnoteText"/>
      </w:pPr>
      <w:r>
        <w:rPr>
          <w:rStyle w:val="FootnoteReference"/>
        </w:rPr>
        <w:footnoteRef/>
      </w:r>
      <w:r>
        <w:t xml:space="preserve"> </w:t>
      </w:r>
      <w:r>
        <w:tab/>
        <w:t>NER, cl. 6A.5.4(a)(2) and (3).</w:t>
      </w:r>
    </w:p>
  </w:footnote>
  <w:footnote w:id="5">
    <w:p w:rsidR="009548A9" w:rsidRDefault="009548A9">
      <w:pPr>
        <w:pStyle w:val="FootnoteText"/>
      </w:pPr>
      <w:r>
        <w:rPr>
          <w:rStyle w:val="FootnoteReference"/>
        </w:rPr>
        <w:footnoteRef/>
      </w:r>
      <w:r>
        <w:t xml:space="preserve"> </w:t>
      </w:r>
      <w:r>
        <w:tab/>
        <w:t xml:space="preserve">TransGrid, </w:t>
      </w:r>
      <w:r w:rsidRPr="00F86888">
        <w:rPr>
          <w:rStyle w:val="AERtextitalic"/>
        </w:rPr>
        <w:t>Re</w:t>
      </w:r>
      <w:r>
        <w:rPr>
          <w:rStyle w:val="AERtextitalic"/>
        </w:rPr>
        <w:t>vised reve</w:t>
      </w:r>
      <w:r w:rsidRPr="00F86888">
        <w:rPr>
          <w:rStyle w:val="AERtextitalic"/>
        </w:rPr>
        <w:t>nue proposal</w:t>
      </w:r>
      <w:r>
        <w:t>, January 2015, p. 111.</w:t>
      </w:r>
    </w:p>
  </w:footnote>
  <w:footnote w:id="6">
    <w:p w:rsidR="009548A9" w:rsidRDefault="009548A9">
      <w:pPr>
        <w:pStyle w:val="FootnoteText"/>
      </w:pPr>
      <w:r>
        <w:rPr>
          <w:rStyle w:val="FootnoteReference"/>
        </w:rPr>
        <w:footnoteRef/>
      </w:r>
      <w:r>
        <w:t xml:space="preserve"> </w:t>
      </w:r>
      <w:r>
        <w:tab/>
        <w:t xml:space="preserve">TransGrid, </w:t>
      </w:r>
      <w:r w:rsidRPr="00F86888">
        <w:rPr>
          <w:rStyle w:val="AERtextitalic"/>
        </w:rPr>
        <w:t>Re</w:t>
      </w:r>
      <w:r>
        <w:rPr>
          <w:rStyle w:val="AERtextitalic"/>
        </w:rPr>
        <w:t>vised reve</w:t>
      </w:r>
      <w:r w:rsidRPr="00F86888">
        <w:rPr>
          <w:rStyle w:val="AERtextitalic"/>
        </w:rPr>
        <w:t>nue proposal</w:t>
      </w:r>
      <w:r>
        <w:t>, January 2015, pp. 109–110.</w:t>
      </w:r>
    </w:p>
  </w:footnote>
  <w:footnote w:id="7">
    <w:p w:rsidR="009548A9" w:rsidRDefault="009548A9">
      <w:pPr>
        <w:pStyle w:val="FootnoteText"/>
      </w:pPr>
      <w:r>
        <w:rPr>
          <w:rStyle w:val="FootnoteReference"/>
        </w:rPr>
        <w:footnoteRef/>
      </w:r>
      <w:r>
        <w:t xml:space="preserve"> </w:t>
      </w:r>
      <w:r>
        <w:tab/>
        <w:t xml:space="preserve">TransGrid, </w:t>
      </w:r>
      <w:r w:rsidRPr="00F86888">
        <w:rPr>
          <w:rStyle w:val="AERtextitalic"/>
        </w:rPr>
        <w:t>Re</w:t>
      </w:r>
      <w:r>
        <w:rPr>
          <w:rStyle w:val="AERtextitalic"/>
        </w:rPr>
        <w:t>vised reve</w:t>
      </w:r>
      <w:r w:rsidRPr="00F86888">
        <w:rPr>
          <w:rStyle w:val="AERtextitalic"/>
        </w:rPr>
        <w:t>nue proposal</w:t>
      </w:r>
      <w:r>
        <w:t>, January 2015, p. 110.</w:t>
      </w:r>
    </w:p>
  </w:footnote>
  <w:footnote w:id="8">
    <w:p w:rsidR="009548A9" w:rsidRDefault="009548A9">
      <w:pPr>
        <w:pStyle w:val="FootnoteText"/>
      </w:pPr>
      <w:r>
        <w:rPr>
          <w:rStyle w:val="FootnoteReference"/>
        </w:rPr>
        <w:footnoteRef/>
      </w:r>
      <w:r>
        <w:t xml:space="preserve"> </w:t>
      </w:r>
      <w:r>
        <w:tab/>
        <w:t xml:space="preserve">TransGrid, </w:t>
      </w:r>
      <w:r w:rsidRPr="00F86888">
        <w:rPr>
          <w:rStyle w:val="AERtextitalic"/>
        </w:rPr>
        <w:t>Re</w:t>
      </w:r>
      <w:r>
        <w:rPr>
          <w:rStyle w:val="AERtextitalic"/>
        </w:rPr>
        <w:t>vised reve</w:t>
      </w:r>
      <w:r w:rsidRPr="00F86888">
        <w:rPr>
          <w:rStyle w:val="AERtextitalic"/>
        </w:rPr>
        <w:t>nue proposal</w:t>
      </w:r>
      <w:r>
        <w:t>, January 2015, p. 111.</w:t>
      </w:r>
    </w:p>
  </w:footnote>
  <w:footnote w:id="9">
    <w:p w:rsidR="009548A9" w:rsidRDefault="009548A9" w:rsidP="007D1AEE">
      <w:pPr>
        <w:pStyle w:val="FootnoteText"/>
      </w:pPr>
      <w:r>
        <w:rPr>
          <w:rStyle w:val="FootnoteReference"/>
        </w:rPr>
        <w:footnoteRef/>
      </w:r>
      <w:r>
        <w:t xml:space="preserve"> </w:t>
      </w:r>
      <w:r>
        <w:tab/>
        <w:t xml:space="preserve">TransGrid, </w:t>
      </w:r>
      <w:r w:rsidRPr="00954948">
        <w:rPr>
          <w:rStyle w:val="AERtextitalic"/>
        </w:rPr>
        <w:t xml:space="preserve">Email response to information request </w:t>
      </w:r>
      <w:r>
        <w:rPr>
          <w:rStyle w:val="AERtextitalic"/>
        </w:rPr>
        <w:t xml:space="preserve">by </w:t>
      </w:r>
      <w:r w:rsidRPr="00954948">
        <w:rPr>
          <w:rStyle w:val="AERtextitalic"/>
        </w:rPr>
        <w:t>AER</w:t>
      </w:r>
      <w:r>
        <w:t>, 27 January 2015.</w:t>
      </w:r>
      <w:r w:rsidRPr="00954948">
        <w:rPr>
          <w:rStyle w:val="AERtextitalic"/>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2E26E452"/>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90l95vPaoTPyHPVTWprAG7rslVDYEtaGY7xdS1TX6BI=" w:saltValue="PwDwc2KRXEaPltjreA3jMg==" w:algorithmName="SHA-256"/>
  <w:defaultTabStop w:val="34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2 - regulatory asset base - April 2015 fixed.docx"/>
  </w:docVars>
  <w:rsids>
    <w:rsidRoot w:val="00961A4A"/>
    <w:rsid w:val="00021202"/>
    <w:rsid w:val="00021C2B"/>
    <w:rsid w:val="0002517F"/>
    <w:rsid w:val="0003578C"/>
    <w:rsid w:val="00057E7A"/>
    <w:rsid w:val="00063247"/>
    <w:rsid w:val="00070F9F"/>
    <w:rsid w:val="0007137B"/>
    <w:rsid w:val="00085663"/>
    <w:rsid w:val="00085EBF"/>
    <w:rsid w:val="00093EAB"/>
    <w:rsid w:val="000A3020"/>
    <w:rsid w:val="000A5E2A"/>
    <w:rsid w:val="000A6C7B"/>
    <w:rsid w:val="000C2B40"/>
    <w:rsid w:val="000D122C"/>
    <w:rsid w:val="000E1819"/>
    <w:rsid w:val="000E4821"/>
    <w:rsid w:val="000E6C72"/>
    <w:rsid w:val="00116EB2"/>
    <w:rsid w:val="00124609"/>
    <w:rsid w:val="00126A4C"/>
    <w:rsid w:val="00133B0F"/>
    <w:rsid w:val="0014573B"/>
    <w:rsid w:val="001573E4"/>
    <w:rsid w:val="00160756"/>
    <w:rsid w:val="0017232E"/>
    <w:rsid w:val="00174102"/>
    <w:rsid w:val="001754EE"/>
    <w:rsid w:val="00180157"/>
    <w:rsid w:val="00185CB9"/>
    <w:rsid w:val="00186F77"/>
    <w:rsid w:val="001926A4"/>
    <w:rsid w:val="00192AD5"/>
    <w:rsid w:val="001B45A0"/>
    <w:rsid w:val="001C413C"/>
    <w:rsid w:val="001C7D40"/>
    <w:rsid w:val="001D055E"/>
    <w:rsid w:val="001D4C03"/>
    <w:rsid w:val="001F492E"/>
    <w:rsid w:val="001F6DA3"/>
    <w:rsid w:val="002010BC"/>
    <w:rsid w:val="002016E7"/>
    <w:rsid w:val="00202E03"/>
    <w:rsid w:val="0020492C"/>
    <w:rsid w:val="00224DB9"/>
    <w:rsid w:val="00233775"/>
    <w:rsid w:val="00251745"/>
    <w:rsid w:val="00263AC0"/>
    <w:rsid w:val="00264264"/>
    <w:rsid w:val="00266CC1"/>
    <w:rsid w:val="0026772D"/>
    <w:rsid w:val="00286874"/>
    <w:rsid w:val="00290C63"/>
    <w:rsid w:val="00292F29"/>
    <w:rsid w:val="00296B65"/>
    <w:rsid w:val="002A7DEF"/>
    <w:rsid w:val="002B7734"/>
    <w:rsid w:val="002D72E8"/>
    <w:rsid w:val="002E7B22"/>
    <w:rsid w:val="002F7986"/>
    <w:rsid w:val="00301B40"/>
    <w:rsid w:val="003029EE"/>
    <w:rsid w:val="00305CC8"/>
    <w:rsid w:val="00307F6D"/>
    <w:rsid w:val="003177A2"/>
    <w:rsid w:val="003271B5"/>
    <w:rsid w:val="00327A1E"/>
    <w:rsid w:val="00331264"/>
    <w:rsid w:val="00334AC9"/>
    <w:rsid w:val="00334C8D"/>
    <w:rsid w:val="003425E5"/>
    <w:rsid w:val="00343A18"/>
    <w:rsid w:val="003517AA"/>
    <w:rsid w:val="003518B3"/>
    <w:rsid w:val="003846F1"/>
    <w:rsid w:val="003962B3"/>
    <w:rsid w:val="003A6191"/>
    <w:rsid w:val="003B0057"/>
    <w:rsid w:val="003B484F"/>
    <w:rsid w:val="003B7FBA"/>
    <w:rsid w:val="003F174D"/>
    <w:rsid w:val="004049A6"/>
    <w:rsid w:val="00415F31"/>
    <w:rsid w:val="00423A77"/>
    <w:rsid w:val="004347CB"/>
    <w:rsid w:val="0045777E"/>
    <w:rsid w:val="00471D14"/>
    <w:rsid w:val="00480B4B"/>
    <w:rsid w:val="00485DC4"/>
    <w:rsid w:val="00492296"/>
    <w:rsid w:val="00494AFC"/>
    <w:rsid w:val="004A43D1"/>
    <w:rsid w:val="004B2026"/>
    <w:rsid w:val="004B4412"/>
    <w:rsid w:val="004C348C"/>
    <w:rsid w:val="004D55BA"/>
    <w:rsid w:val="004E22EC"/>
    <w:rsid w:val="004E6572"/>
    <w:rsid w:val="004E746D"/>
    <w:rsid w:val="005038DF"/>
    <w:rsid w:val="00530128"/>
    <w:rsid w:val="00532467"/>
    <w:rsid w:val="005642C1"/>
    <w:rsid w:val="00564A4D"/>
    <w:rsid w:val="00567BA5"/>
    <w:rsid w:val="00571B35"/>
    <w:rsid w:val="00571D57"/>
    <w:rsid w:val="00577A09"/>
    <w:rsid w:val="005829C2"/>
    <w:rsid w:val="00584D8F"/>
    <w:rsid w:val="005A404D"/>
    <w:rsid w:val="005B1E3C"/>
    <w:rsid w:val="005B704A"/>
    <w:rsid w:val="005C26CC"/>
    <w:rsid w:val="005D3335"/>
    <w:rsid w:val="005D7BA2"/>
    <w:rsid w:val="005E36C2"/>
    <w:rsid w:val="00612F4F"/>
    <w:rsid w:val="00615C6B"/>
    <w:rsid w:val="00621DCE"/>
    <w:rsid w:val="00632D6D"/>
    <w:rsid w:val="00642C3E"/>
    <w:rsid w:val="0066104A"/>
    <w:rsid w:val="00663DAD"/>
    <w:rsid w:val="00675E20"/>
    <w:rsid w:val="00676679"/>
    <w:rsid w:val="00683C89"/>
    <w:rsid w:val="00687952"/>
    <w:rsid w:val="00693198"/>
    <w:rsid w:val="006A69EB"/>
    <w:rsid w:val="006B2395"/>
    <w:rsid w:val="006B4CF9"/>
    <w:rsid w:val="006B7AC8"/>
    <w:rsid w:val="006D550F"/>
    <w:rsid w:val="00701CAB"/>
    <w:rsid w:val="00707563"/>
    <w:rsid w:val="00715404"/>
    <w:rsid w:val="0072348C"/>
    <w:rsid w:val="00724A37"/>
    <w:rsid w:val="007303C3"/>
    <w:rsid w:val="007429BE"/>
    <w:rsid w:val="00743223"/>
    <w:rsid w:val="00746E01"/>
    <w:rsid w:val="00752E16"/>
    <w:rsid w:val="00752FCD"/>
    <w:rsid w:val="00757BDF"/>
    <w:rsid w:val="00763E5D"/>
    <w:rsid w:val="00767740"/>
    <w:rsid w:val="00777EE6"/>
    <w:rsid w:val="00782EEA"/>
    <w:rsid w:val="007B186E"/>
    <w:rsid w:val="007B2C72"/>
    <w:rsid w:val="007C1C53"/>
    <w:rsid w:val="007C74BB"/>
    <w:rsid w:val="007D1AEE"/>
    <w:rsid w:val="007D456E"/>
    <w:rsid w:val="007E4904"/>
    <w:rsid w:val="007E4CB5"/>
    <w:rsid w:val="007F066B"/>
    <w:rsid w:val="008033C4"/>
    <w:rsid w:val="00806C88"/>
    <w:rsid w:val="0081034E"/>
    <w:rsid w:val="008344F6"/>
    <w:rsid w:val="0083510F"/>
    <w:rsid w:val="008405FF"/>
    <w:rsid w:val="0085041F"/>
    <w:rsid w:val="00851209"/>
    <w:rsid w:val="008837AC"/>
    <w:rsid w:val="008A17D5"/>
    <w:rsid w:val="008A587D"/>
    <w:rsid w:val="008B35CD"/>
    <w:rsid w:val="008B3AF2"/>
    <w:rsid w:val="008B5FCC"/>
    <w:rsid w:val="008C5486"/>
    <w:rsid w:val="008D1661"/>
    <w:rsid w:val="008D57DF"/>
    <w:rsid w:val="008D6001"/>
    <w:rsid w:val="008E7031"/>
    <w:rsid w:val="008E77DE"/>
    <w:rsid w:val="008F07A3"/>
    <w:rsid w:val="009001B6"/>
    <w:rsid w:val="00900E1B"/>
    <w:rsid w:val="009233EE"/>
    <w:rsid w:val="009460AA"/>
    <w:rsid w:val="00951978"/>
    <w:rsid w:val="009542E6"/>
    <w:rsid w:val="009548A9"/>
    <w:rsid w:val="00961A4A"/>
    <w:rsid w:val="009661DE"/>
    <w:rsid w:val="00983C25"/>
    <w:rsid w:val="009856B7"/>
    <w:rsid w:val="00985C86"/>
    <w:rsid w:val="009A5FC3"/>
    <w:rsid w:val="009B74B0"/>
    <w:rsid w:val="009D3906"/>
    <w:rsid w:val="009D6B46"/>
    <w:rsid w:val="009F4940"/>
    <w:rsid w:val="009F5BA1"/>
    <w:rsid w:val="00A02A88"/>
    <w:rsid w:val="00A03C1F"/>
    <w:rsid w:val="00A0562E"/>
    <w:rsid w:val="00A0726D"/>
    <w:rsid w:val="00A32FBB"/>
    <w:rsid w:val="00A3764C"/>
    <w:rsid w:val="00A428EE"/>
    <w:rsid w:val="00A4478A"/>
    <w:rsid w:val="00A44852"/>
    <w:rsid w:val="00A57D04"/>
    <w:rsid w:val="00A60A26"/>
    <w:rsid w:val="00A61598"/>
    <w:rsid w:val="00A75EE5"/>
    <w:rsid w:val="00A84A99"/>
    <w:rsid w:val="00A84F46"/>
    <w:rsid w:val="00A871F4"/>
    <w:rsid w:val="00AC1B2C"/>
    <w:rsid w:val="00AC3264"/>
    <w:rsid w:val="00AD0185"/>
    <w:rsid w:val="00AD53A4"/>
    <w:rsid w:val="00AE1BF1"/>
    <w:rsid w:val="00AF0DD2"/>
    <w:rsid w:val="00B13048"/>
    <w:rsid w:val="00B1716D"/>
    <w:rsid w:val="00B17A1D"/>
    <w:rsid w:val="00B207A0"/>
    <w:rsid w:val="00B26D48"/>
    <w:rsid w:val="00B514DD"/>
    <w:rsid w:val="00B52AF0"/>
    <w:rsid w:val="00B561BD"/>
    <w:rsid w:val="00B56E03"/>
    <w:rsid w:val="00B8080B"/>
    <w:rsid w:val="00B82223"/>
    <w:rsid w:val="00B87BA5"/>
    <w:rsid w:val="00B87C39"/>
    <w:rsid w:val="00B9562D"/>
    <w:rsid w:val="00BA4665"/>
    <w:rsid w:val="00BB28F2"/>
    <w:rsid w:val="00BB2FB2"/>
    <w:rsid w:val="00BB3304"/>
    <w:rsid w:val="00BD3446"/>
    <w:rsid w:val="00BD362B"/>
    <w:rsid w:val="00BE1F1B"/>
    <w:rsid w:val="00BE47B5"/>
    <w:rsid w:val="00C25FA6"/>
    <w:rsid w:val="00C32478"/>
    <w:rsid w:val="00C347A5"/>
    <w:rsid w:val="00C44067"/>
    <w:rsid w:val="00C538A9"/>
    <w:rsid w:val="00C53B5A"/>
    <w:rsid w:val="00C54F5A"/>
    <w:rsid w:val="00C569B4"/>
    <w:rsid w:val="00C67A92"/>
    <w:rsid w:val="00C84560"/>
    <w:rsid w:val="00C86679"/>
    <w:rsid w:val="00C93AF7"/>
    <w:rsid w:val="00CA489E"/>
    <w:rsid w:val="00CB0279"/>
    <w:rsid w:val="00CB666B"/>
    <w:rsid w:val="00CC7F1D"/>
    <w:rsid w:val="00CE1BDD"/>
    <w:rsid w:val="00CF325B"/>
    <w:rsid w:val="00D006AE"/>
    <w:rsid w:val="00D01CF0"/>
    <w:rsid w:val="00D0442A"/>
    <w:rsid w:val="00D04795"/>
    <w:rsid w:val="00D47171"/>
    <w:rsid w:val="00D61388"/>
    <w:rsid w:val="00D61A54"/>
    <w:rsid w:val="00D64DEA"/>
    <w:rsid w:val="00D7168E"/>
    <w:rsid w:val="00D71E57"/>
    <w:rsid w:val="00D80893"/>
    <w:rsid w:val="00D84179"/>
    <w:rsid w:val="00D84854"/>
    <w:rsid w:val="00D92CF1"/>
    <w:rsid w:val="00D92D38"/>
    <w:rsid w:val="00D950F5"/>
    <w:rsid w:val="00DA4752"/>
    <w:rsid w:val="00DA61F3"/>
    <w:rsid w:val="00DB0F93"/>
    <w:rsid w:val="00DB1A67"/>
    <w:rsid w:val="00DB5074"/>
    <w:rsid w:val="00DC7981"/>
    <w:rsid w:val="00DE1093"/>
    <w:rsid w:val="00DE2905"/>
    <w:rsid w:val="00DE4EFA"/>
    <w:rsid w:val="00DE5520"/>
    <w:rsid w:val="00DE563D"/>
    <w:rsid w:val="00E04818"/>
    <w:rsid w:val="00E06442"/>
    <w:rsid w:val="00E23993"/>
    <w:rsid w:val="00E25B8C"/>
    <w:rsid w:val="00E65C85"/>
    <w:rsid w:val="00E66199"/>
    <w:rsid w:val="00E755EC"/>
    <w:rsid w:val="00E7624D"/>
    <w:rsid w:val="00EA3D42"/>
    <w:rsid w:val="00EA6B1B"/>
    <w:rsid w:val="00EC04F1"/>
    <w:rsid w:val="00EC12D1"/>
    <w:rsid w:val="00ED7323"/>
    <w:rsid w:val="00EE28F3"/>
    <w:rsid w:val="00EE39EA"/>
    <w:rsid w:val="00EE50D1"/>
    <w:rsid w:val="00EE6AF4"/>
    <w:rsid w:val="00EF5110"/>
    <w:rsid w:val="00F10411"/>
    <w:rsid w:val="00F15882"/>
    <w:rsid w:val="00F171E0"/>
    <w:rsid w:val="00F20BD3"/>
    <w:rsid w:val="00F373A5"/>
    <w:rsid w:val="00F47559"/>
    <w:rsid w:val="00F5632A"/>
    <w:rsid w:val="00F64C7B"/>
    <w:rsid w:val="00F676DD"/>
    <w:rsid w:val="00F75A26"/>
    <w:rsid w:val="00F76706"/>
    <w:rsid w:val="00F83FAD"/>
    <w:rsid w:val="00F952A0"/>
    <w:rsid w:val="00FA3C7F"/>
    <w:rsid w:val="00FB60FE"/>
    <w:rsid w:val="00FB74E2"/>
    <w:rsid w:val="00FC1850"/>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B5DC2C85</Template>
  <TotalTime>0</TotalTime>
  <Pages>11</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2015-04-29T04:17:00Z</dcterms:created>
  <dcterms:modified xsi:type="dcterms:W3CDTF">2015-04-29T04:17:00Z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