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B051C41" wp14:editId="1E19D5E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BE50EB">
            <w:t>5</w:t>
          </w:r>
          <w:r>
            <w:t xml:space="preserve"> </w:t>
          </w:r>
          <w:r w:rsidR="00415F31">
            <w:rPr>
              <w:rFonts w:cs="Arial"/>
            </w:rPr>
            <w:t>–</w:t>
          </w:r>
          <w:r>
            <w:t xml:space="preserve"> </w:t>
          </w:r>
          <w:r w:rsidR="00CE1BDD">
            <w:t>R</w:t>
          </w:r>
          <w:r w:rsidR="008D57DF">
            <w:t xml:space="preserve">egulatory </w:t>
          </w:r>
          <w:r w:rsidR="00BE50EB">
            <w:t>depreciation</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3755198"/>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TransGrid’s revenue proposal </w:t>
      </w:r>
      <w:r w:rsidR="00234D75">
        <w:t xml:space="preserve">for </w:t>
      </w:r>
      <w:r w:rsidR="00415F31">
        <w:t>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375519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40DA7" w:rsidRDefault="005706D2">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3755198" w:history="1">
            <w:r w:rsidR="00F40DA7" w:rsidRPr="00A043C5">
              <w:rPr>
                <w:rStyle w:val="Hyperlink"/>
              </w:rPr>
              <w:t>Note</w:t>
            </w:r>
            <w:r w:rsidR="00F40DA7">
              <w:rPr>
                <w:webHidden/>
              </w:rPr>
              <w:tab/>
            </w:r>
            <w:r w:rsidR="00F40DA7">
              <w:rPr>
                <w:webHidden/>
              </w:rPr>
              <w:fldChar w:fldCharType="begin"/>
            </w:r>
            <w:r w:rsidR="00F40DA7">
              <w:rPr>
                <w:webHidden/>
              </w:rPr>
              <w:instrText xml:space="preserve"> PAGEREF _Toc413755198 \h </w:instrText>
            </w:r>
            <w:r w:rsidR="00F40DA7">
              <w:rPr>
                <w:webHidden/>
              </w:rPr>
            </w:r>
            <w:r w:rsidR="00F40DA7">
              <w:rPr>
                <w:webHidden/>
              </w:rPr>
              <w:fldChar w:fldCharType="separate"/>
            </w:r>
            <w:r w:rsidR="003B4BE6">
              <w:rPr>
                <w:webHidden/>
              </w:rPr>
              <w:t>5-2</w:t>
            </w:r>
            <w:r w:rsidR="00F40DA7">
              <w:rPr>
                <w:webHidden/>
              </w:rPr>
              <w:fldChar w:fldCharType="end"/>
            </w:r>
          </w:hyperlink>
        </w:p>
        <w:p w:rsidR="00F40DA7" w:rsidRDefault="003B4BE6">
          <w:pPr>
            <w:pStyle w:val="TOC1"/>
            <w:rPr>
              <w:rFonts w:asciiTheme="minorHAnsi" w:eastAsiaTheme="minorEastAsia" w:hAnsiTheme="minorHAnsi"/>
              <w:b w:val="0"/>
              <w:color w:val="auto"/>
              <w:sz w:val="22"/>
              <w:lang w:val="en-AU" w:eastAsia="en-AU"/>
            </w:rPr>
          </w:pPr>
          <w:hyperlink w:anchor="_Toc413755199" w:history="1">
            <w:r w:rsidR="00F40DA7" w:rsidRPr="00A043C5">
              <w:rPr>
                <w:rStyle w:val="Hyperlink"/>
              </w:rPr>
              <w:t>Contents</w:t>
            </w:r>
            <w:r w:rsidR="00F40DA7">
              <w:rPr>
                <w:webHidden/>
              </w:rPr>
              <w:tab/>
            </w:r>
            <w:r w:rsidR="00F40DA7">
              <w:rPr>
                <w:webHidden/>
              </w:rPr>
              <w:fldChar w:fldCharType="begin"/>
            </w:r>
            <w:r w:rsidR="00F40DA7">
              <w:rPr>
                <w:webHidden/>
              </w:rPr>
              <w:instrText xml:space="preserve"> PAGEREF _Toc413755199 \h </w:instrText>
            </w:r>
            <w:r w:rsidR="00F40DA7">
              <w:rPr>
                <w:webHidden/>
              </w:rPr>
            </w:r>
            <w:r w:rsidR="00F40DA7">
              <w:rPr>
                <w:webHidden/>
              </w:rPr>
              <w:fldChar w:fldCharType="separate"/>
            </w:r>
            <w:r>
              <w:rPr>
                <w:webHidden/>
              </w:rPr>
              <w:t>5-3</w:t>
            </w:r>
            <w:r w:rsidR="00F40DA7">
              <w:rPr>
                <w:webHidden/>
              </w:rPr>
              <w:fldChar w:fldCharType="end"/>
            </w:r>
          </w:hyperlink>
        </w:p>
        <w:p w:rsidR="00F40DA7" w:rsidRDefault="003B4BE6">
          <w:pPr>
            <w:pStyle w:val="TOC1"/>
            <w:rPr>
              <w:rFonts w:asciiTheme="minorHAnsi" w:eastAsiaTheme="minorEastAsia" w:hAnsiTheme="minorHAnsi"/>
              <w:b w:val="0"/>
              <w:color w:val="auto"/>
              <w:sz w:val="22"/>
              <w:lang w:val="en-AU" w:eastAsia="en-AU"/>
            </w:rPr>
          </w:pPr>
          <w:hyperlink w:anchor="_Toc413755200" w:history="1">
            <w:r w:rsidR="00F40DA7" w:rsidRPr="00A043C5">
              <w:rPr>
                <w:rStyle w:val="Hyperlink"/>
              </w:rPr>
              <w:t>Shortened forms</w:t>
            </w:r>
            <w:r w:rsidR="00F40DA7">
              <w:rPr>
                <w:webHidden/>
              </w:rPr>
              <w:tab/>
            </w:r>
            <w:r w:rsidR="00F40DA7">
              <w:rPr>
                <w:webHidden/>
              </w:rPr>
              <w:fldChar w:fldCharType="begin"/>
            </w:r>
            <w:r w:rsidR="00F40DA7">
              <w:rPr>
                <w:webHidden/>
              </w:rPr>
              <w:instrText xml:space="preserve"> PAGEREF _Toc413755200 \h </w:instrText>
            </w:r>
            <w:r w:rsidR="00F40DA7">
              <w:rPr>
                <w:webHidden/>
              </w:rPr>
            </w:r>
            <w:r w:rsidR="00F40DA7">
              <w:rPr>
                <w:webHidden/>
              </w:rPr>
              <w:fldChar w:fldCharType="separate"/>
            </w:r>
            <w:r>
              <w:rPr>
                <w:webHidden/>
              </w:rPr>
              <w:t>5-4</w:t>
            </w:r>
            <w:r w:rsidR="00F40DA7">
              <w:rPr>
                <w:webHidden/>
              </w:rPr>
              <w:fldChar w:fldCharType="end"/>
            </w:r>
          </w:hyperlink>
        </w:p>
        <w:p w:rsidR="00F40DA7" w:rsidRDefault="003B4BE6">
          <w:pPr>
            <w:pStyle w:val="TOC1"/>
            <w:rPr>
              <w:rFonts w:asciiTheme="minorHAnsi" w:eastAsiaTheme="minorEastAsia" w:hAnsiTheme="minorHAnsi"/>
              <w:b w:val="0"/>
              <w:color w:val="auto"/>
              <w:sz w:val="22"/>
              <w:lang w:val="en-AU" w:eastAsia="en-AU"/>
            </w:rPr>
          </w:pPr>
          <w:hyperlink w:anchor="_Toc413755201" w:history="1">
            <w:r w:rsidR="00F40DA7" w:rsidRPr="00A043C5">
              <w:rPr>
                <w:rStyle w:val="Hyperlink"/>
              </w:rPr>
              <w:t>5</w:t>
            </w:r>
            <w:r w:rsidR="00F40DA7">
              <w:rPr>
                <w:rFonts w:asciiTheme="minorHAnsi" w:eastAsiaTheme="minorEastAsia" w:hAnsiTheme="minorHAnsi"/>
                <w:b w:val="0"/>
                <w:color w:val="auto"/>
                <w:sz w:val="22"/>
                <w:lang w:val="en-AU" w:eastAsia="en-AU"/>
              </w:rPr>
              <w:tab/>
            </w:r>
            <w:r w:rsidR="00F40DA7" w:rsidRPr="00A043C5">
              <w:rPr>
                <w:rStyle w:val="Hyperlink"/>
              </w:rPr>
              <w:t>Regulatory depreciation</w:t>
            </w:r>
            <w:r w:rsidR="00F40DA7">
              <w:rPr>
                <w:webHidden/>
              </w:rPr>
              <w:tab/>
            </w:r>
            <w:r w:rsidR="00F40DA7">
              <w:rPr>
                <w:webHidden/>
              </w:rPr>
              <w:fldChar w:fldCharType="begin"/>
            </w:r>
            <w:r w:rsidR="00F40DA7">
              <w:rPr>
                <w:webHidden/>
              </w:rPr>
              <w:instrText xml:space="preserve"> PAGEREF _Toc413755201 \h </w:instrText>
            </w:r>
            <w:r w:rsidR="00F40DA7">
              <w:rPr>
                <w:webHidden/>
              </w:rPr>
            </w:r>
            <w:r w:rsidR="00F40DA7">
              <w:rPr>
                <w:webHidden/>
              </w:rPr>
              <w:fldChar w:fldCharType="separate"/>
            </w:r>
            <w:r>
              <w:rPr>
                <w:webHidden/>
              </w:rPr>
              <w:t>5-6</w:t>
            </w:r>
            <w:r w:rsidR="00F40DA7">
              <w:rPr>
                <w:webHidden/>
              </w:rPr>
              <w:fldChar w:fldCharType="end"/>
            </w:r>
          </w:hyperlink>
        </w:p>
        <w:p w:rsidR="00F40DA7" w:rsidRDefault="003B4BE6">
          <w:pPr>
            <w:pStyle w:val="TOC2"/>
            <w:rPr>
              <w:rFonts w:asciiTheme="minorHAnsi" w:eastAsiaTheme="minorEastAsia" w:hAnsiTheme="minorHAnsi"/>
              <w:b w:val="0"/>
              <w:color w:val="auto"/>
              <w:sz w:val="22"/>
              <w:lang w:eastAsia="en-AU"/>
            </w:rPr>
          </w:pPr>
          <w:hyperlink w:anchor="_Toc413755202" w:history="1">
            <w:r w:rsidR="00F40DA7" w:rsidRPr="00A043C5">
              <w:rPr>
                <w:rStyle w:val="Hyperlink"/>
              </w:rPr>
              <w:t>5.1</w:t>
            </w:r>
            <w:r w:rsidR="00F40DA7">
              <w:rPr>
                <w:rFonts w:asciiTheme="minorHAnsi" w:eastAsiaTheme="minorEastAsia" w:hAnsiTheme="minorHAnsi"/>
                <w:b w:val="0"/>
                <w:color w:val="auto"/>
                <w:sz w:val="22"/>
                <w:lang w:eastAsia="en-AU"/>
              </w:rPr>
              <w:tab/>
            </w:r>
            <w:r w:rsidR="00F40DA7" w:rsidRPr="00A043C5">
              <w:rPr>
                <w:rStyle w:val="Hyperlink"/>
              </w:rPr>
              <w:t>Final decision</w:t>
            </w:r>
            <w:r w:rsidR="00F40DA7">
              <w:rPr>
                <w:webHidden/>
              </w:rPr>
              <w:tab/>
            </w:r>
            <w:r w:rsidR="00F40DA7">
              <w:rPr>
                <w:webHidden/>
              </w:rPr>
              <w:fldChar w:fldCharType="begin"/>
            </w:r>
            <w:r w:rsidR="00F40DA7">
              <w:rPr>
                <w:webHidden/>
              </w:rPr>
              <w:instrText xml:space="preserve"> PAGEREF _Toc413755202 \h </w:instrText>
            </w:r>
            <w:r w:rsidR="00F40DA7">
              <w:rPr>
                <w:webHidden/>
              </w:rPr>
            </w:r>
            <w:r w:rsidR="00F40DA7">
              <w:rPr>
                <w:webHidden/>
              </w:rPr>
              <w:fldChar w:fldCharType="separate"/>
            </w:r>
            <w:r>
              <w:rPr>
                <w:webHidden/>
              </w:rPr>
              <w:t>5-6</w:t>
            </w:r>
            <w:r w:rsidR="00F40DA7">
              <w:rPr>
                <w:webHidden/>
              </w:rPr>
              <w:fldChar w:fldCharType="end"/>
            </w:r>
          </w:hyperlink>
        </w:p>
        <w:p w:rsidR="00F40DA7" w:rsidRDefault="003B4BE6">
          <w:pPr>
            <w:pStyle w:val="TOC2"/>
            <w:rPr>
              <w:rFonts w:asciiTheme="minorHAnsi" w:eastAsiaTheme="minorEastAsia" w:hAnsiTheme="minorHAnsi"/>
              <w:b w:val="0"/>
              <w:color w:val="auto"/>
              <w:sz w:val="22"/>
              <w:lang w:eastAsia="en-AU"/>
            </w:rPr>
          </w:pPr>
          <w:hyperlink w:anchor="_Toc413755203" w:history="1">
            <w:r w:rsidR="00F40DA7" w:rsidRPr="00A043C5">
              <w:rPr>
                <w:rStyle w:val="Hyperlink"/>
              </w:rPr>
              <w:t>5.2</w:t>
            </w:r>
            <w:r w:rsidR="00F40DA7">
              <w:rPr>
                <w:rFonts w:asciiTheme="minorHAnsi" w:eastAsiaTheme="minorEastAsia" w:hAnsiTheme="minorHAnsi"/>
                <w:b w:val="0"/>
                <w:color w:val="auto"/>
                <w:sz w:val="22"/>
                <w:lang w:eastAsia="en-AU"/>
              </w:rPr>
              <w:tab/>
            </w:r>
            <w:r w:rsidR="00F40DA7" w:rsidRPr="00A043C5">
              <w:rPr>
                <w:rStyle w:val="Hyperlink"/>
              </w:rPr>
              <w:t>TransGrid’s revised proposal</w:t>
            </w:r>
            <w:r w:rsidR="00F40DA7">
              <w:rPr>
                <w:webHidden/>
              </w:rPr>
              <w:tab/>
            </w:r>
            <w:r w:rsidR="00F40DA7">
              <w:rPr>
                <w:webHidden/>
              </w:rPr>
              <w:fldChar w:fldCharType="begin"/>
            </w:r>
            <w:r w:rsidR="00F40DA7">
              <w:rPr>
                <w:webHidden/>
              </w:rPr>
              <w:instrText xml:space="preserve"> PAGEREF _Toc413755203 \h </w:instrText>
            </w:r>
            <w:r w:rsidR="00F40DA7">
              <w:rPr>
                <w:webHidden/>
              </w:rPr>
            </w:r>
            <w:r w:rsidR="00F40DA7">
              <w:rPr>
                <w:webHidden/>
              </w:rPr>
              <w:fldChar w:fldCharType="separate"/>
            </w:r>
            <w:r>
              <w:rPr>
                <w:webHidden/>
              </w:rPr>
              <w:t>5-7</w:t>
            </w:r>
            <w:r w:rsidR="00F40DA7">
              <w:rPr>
                <w:webHidden/>
              </w:rPr>
              <w:fldChar w:fldCharType="end"/>
            </w:r>
          </w:hyperlink>
        </w:p>
        <w:p w:rsidR="00F40DA7" w:rsidRDefault="003B4BE6">
          <w:pPr>
            <w:pStyle w:val="TOC2"/>
            <w:rPr>
              <w:rFonts w:asciiTheme="minorHAnsi" w:eastAsiaTheme="minorEastAsia" w:hAnsiTheme="minorHAnsi"/>
              <w:b w:val="0"/>
              <w:color w:val="auto"/>
              <w:sz w:val="22"/>
              <w:lang w:eastAsia="en-AU"/>
            </w:rPr>
          </w:pPr>
          <w:hyperlink w:anchor="_Toc413755204" w:history="1">
            <w:r w:rsidR="00F40DA7" w:rsidRPr="00A043C5">
              <w:rPr>
                <w:rStyle w:val="Hyperlink"/>
              </w:rPr>
              <w:t>5.3</w:t>
            </w:r>
            <w:r w:rsidR="00F40DA7">
              <w:rPr>
                <w:rFonts w:asciiTheme="minorHAnsi" w:eastAsiaTheme="minorEastAsia" w:hAnsiTheme="minorHAnsi"/>
                <w:b w:val="0"/>
                <w:color w:val="auto"/>
                <w:sz w:val="22"/>
                <w:lang w:eastAsia="en-AU"/>
              </w:rPr>
              <w:tab/>
            </w:r>
            <w:r w:rsidR="00F40DA7" w:rsidRPr="00A043C5">
              <w:rPr>
                <w:rStyle w:val="Hyperlink"/>
              </w:rPr>
              <w:t>AER’s assessment approach</w:t>
            </w:r>
            <w:r w:rsidR="00F40DA7">
              <w:rPr>
                <w:webHidden/>
              </w:rPr>
              <w:tab/>
            </w:r>
            <w:r w:rsidR="00F40DA7">
              <w:rPr>
                <w:webHidden/>
              </w:rPr>
              <w:fldChar w:fldCharType="begin"/>
            </w:r>
            <w:r w:rsidR="00F40DA7">
              <w:rPr>
                <w:webHidden/>
              </w:rPr>
              <w:instrText xml:space="preserve"> PAGEREF _Toc413755204 \h </w:instrText>
            </w:r>
            <w:r w:rsidR="00F40DA7">
              <w:rPr>
                <w:webHidden/>
              </w:rPr>
            </w:r>
            <w:r w:rsidR="00F40DA7">
              <w:rPr>
                <w:webHidden/>
              </w:rPr>
              <w:fldChar w:fldCharType="separate"/>
            </w:r>
            <w:r>
              <w:rPr>
                <w:webHidden/>
              </w:rPr>
              <w:t>5-8</w:t>
            </w:r>
            <w:r w:rsidR="00F40DA7">
              <w:rPr>
                <w:webHidden/>
              </w:rPr>
              <w:fldChar w:fldCharType="end"/>
            </w:r>
          </w:hyperlink>
        </w:p>
        <w:p w:rsidR="00F40DA7" w:rsidRDefault="003B4BE6">
          <w:pPr>
            <w:pStyle w:val="TOC2"/>
            <w:rPr>
              <w:rFonts w:asciiTheme="minorHAnsi" w:eastAsiaTheme="minorEastAsia" w:hAnsiTheme="minorHAnsi"/>
              <w:b w:val="0"/>
              <w:color w:val="auto"/>
              <w:sz w:val="22"/>
              <w:lang w:eastAsia="en-AU"/>
            </w:rPr>
          </w:pPr>
          <w:hyperlink w:anchor="_Toc413755205" w:history="1">
            <w:r w:rsidR="00F40DA7" w:rsidRPr="00A043C5">
              <w:rPr>
                <w:rStyle w:val="Hyperlink"/>
              </w:rPr>
              <w:t>5.4</w:t>
            </w:r>
            <w:r w:rsidR="00F40DA7">
              <w:rPr>
                <w:rFonts w:asciiTheme="minorHAnsi" w:eastAsiaTheme="minorEastAsia" w:hAnsiTheme="minorHAnsi"/>
                <w:b w:val="0"/>
                <w:color w:val="auto"/>
                <w:sz w:val="22"/>
                <w:lang w:eastAsia="en-AU"/>
              </w:rPr>
              <w:tab/>
            </w:r>
            <w:r w:rsidR="00F40DA7" w:rsidRPr="00A043C5">
              <w:rPr>
                <w:rStyle w:val="Hyperlink"/>
              </w:rPr>
              <w:t>Reasons for final decision</w:t>
            </w:r>
            <w:r w:rsidR="00F40DA7">
              <w:rPr>
                <w:webHidden/>
              </w:rPr>
              <w:tab/>
            </w:r>
            <w:r w:rsidR="00F40DA7">
              <w:rPr>
                <w:webHidden/>
              </w:rPr>
              <w:fldChar w:fldCharType="begin"/>
            </w:r>
            <w:r w:rsidR="00F40DA7">
              <w:rPr>
                <w:webHidden/>
              </w:rPr>
              <w:instrText xml:space="preserve"> PAGEREF _Toc413755205 \h </w:instrText>
            </w:r>
            <w:r w:rsidR="00F40DA7">
              <w:rPr>
                <w:webHidden/>
              </w:rPr>
            </w:r>
            <w:r w:rsidR="00F40DA7">
              <w:rPr>
                <w:webHidden/>
              </w:rPr>
              <w:fldChar w:fldCharType="separate"/>
            </w:r>
            <w:r>
              <w:rPr>
                <w:webHidden/>
              </w:rPr>
              <w:t>5-8</w:t>
            </w:r>
            <w:r w:rsidR="00F40DA7">
              <w:rPr>
                <w:webHidden/>
              </w:rPr>
              <w:fldChar w:fldCharType="end"/>
            </w:r>
          </w:hyperlink>
        </w:p>
        <w:p w:rsidR="00F40DA7" w:rsidRDefault="003B4BE6">
          <w:pPr>
            <w:pStyle w:val="TOC3"/>
            <w:rPr>
              <w:rFonts w:asciiTheme="minorHAnsi" w:eastAsiaTheme="minorEastAsia" w:hAnsiTheme="minorHAnsi"/>
              <w:lang w:eastAsia="en-AU"/>
            </w:rPr>
          </w:pPr>
          <w:hyperlink w:anchor="_Toc413755206" w:history="1">
            <w:r w:rsidR="00F40DA7" w:rsidRPr="00A043C5">
              <w:rPr>
                <w:rStyle w:val="Hyperlink"/>
              </w:rPr>
              <w:t>5.4.1</w:t>
            </w:r>
            <w:r w:rsidR="00F40DA7">
              <w:rPr>
                <w:rFonts w:asciiTheme="minorHAnsi" w:eastAsiaTheme="minorEastAsia" w:hAnsiTheme="minorHAnsi"/>
                <w:lang w:eastAsia="en-AU"/>
              </w:rPr>
              <w:tab/>
            </w:r>
            <w:r w:rsidR="00F40DA7" w:rsidRPr="00A043C5">
              <w:rPr>
                <w:rStyle w:val="Hyperlink"/>
              </w:rPr>
              <w:t>Standard asset lives</w:t>
            </w:r>
            <w:r w:rsidR="00F40DA7">
              <w:rPr>
                <w:webHidden/>
              </w:rPr>
              <w:tab/>
            </w:r>
            <w:r w:rsidR="00F40DA7">
              <w:rPr>
                <w:webHidden/>
              </w:rPr>
              <w:fldChar w:fldCharType="begin"/>
            </w:r>
            <w:r w:rsidR="00F40DA7">
              <w:rPr>
                <w:webHidden/>
              </w:rPr>
              <w:instrText xml:space="preserve"> PAGEREF _Toc413755206 \h </w:instrText>
            </w:r>
            <w:r w:rsidR="00F40DA7">
              <w:rPr>
                <w:webHidden/>
              </w:rPr>
            </w:r>
            <w:r w:rsidR="00F40DA7">
              <w:rPr>
                <w:webHidden/>
              </w:rPr>
              <w:fldChar w:fldCharType="separate"/>
            </w:r>
            <w:r>
              <w:rPr>
                <w:webHidden/>
              </w:rPr>
              <w:t>5-8</w:t>
            </w:r>
            <w:r w:rsidR="00F40DA7">
              <w:rPr>
                <w:webHidden/>
              </w:rPr>
              <w:fldChar w:fldCharType="end"/>
            </w:r>
          </w:hyperlink>
        </w:p>
        <w:p w:rsidR="00F40DA7" w:rsidRDefault="003B4BE6">
          <w:pPr>
            <w:pStyle w:val="TOC3"/>
            <w:rPr>
              <w:rFonts w:asciiTheme="minorHAnsi" w:eastAsiaTheme="minorEastAsia" w:hAnsiTheme="minorHAnsi"/>
              <w:lang w:eastAsia="en-AU"/>
            </w:rPr>
          </w:pPr>
          <w:hyperlink w:anchor="_Toc413755207" w:history="1">
            <w:r w:rsidR="00F40DA7" w:rsidRPr="00A043C5">
              <w:rPr>
                <w:rStyle w:val="Hyperlink"/>
              </w:rPr>
              <w:t>5.4.2</w:t>
            </w:r>
            <w:r w:rsidR="00F40DA7">
              <w:rPr>
                <w:rFonts w:asciiTheme="minorHAnsi" w:eastAsiaTheme="minorEastAsia" w:hAnsiTheme="minorHAnsi"/>
                <w:lang w:eastAsia="en-AU"/>
              </w:rPr>
              <w:tab/>
            </w:r>
            <w:r w:rsidR="00F40DA7" w:rsidRPr="00A043C5">
              <w:rPr>
                <w:rStyle w:val="Hyperlink"/>
              </w:rPr>
              <w:t>Remaining asset lives</w:t>
            </w:r>
            <w:r w:rsidR="00F40DA7">
              <w:rPr>
                <w:webHidden/>
              </w:rPr>
              <w:tab/>
            </w:r>
            <w:r w:rsidR="00F40DA7">
              <w:rPr>
                <w:webHidden/>
              </w:rPr>
              <w:fldChar w:fldCharType="begin"/>
            </w:r>
            <w:r w:rsidR="00F40DA7">
              <w:rPr>
                <w:webHidden/>
              </w:rPr>
              <w:instrText xml:space="preserve"> PAGEREF _Toc413755207 \h </w:instrText>
            </w:r>
            <w:r w:rsidR="00F40DA7">
              <w:rPr>
                <w:webHidden/>
              </w:rPr>
            </w:r>
            <w:r w:rsidR="00F40DA7">
              <w:rPr>
                <w:webHidden/>
              </w:rPr>
              <w:fldChar w:fldCharType="separate"/>
            </w:r>
            <w:r>
              <w:rPr>
                <w:webHidden/>
              </w:rPr>
              <w:t>5-9</w:t>
            </w:r>
            <w:r w:rsidR="00F40DA7">
              <w:rPr>
                <w:webHidden/>
              </w:rPr>
              <w:fldChar w:fldCharType="end"/>
            </w:r>
          </w:hyperlink>
        </w:p>
        <w:p w:rsidR="00DE563D" w:rsidRDefault="005706D2" w:rsidP="005706D2">
          <w:pPr>
            <w:pStyle w:val="TOC1"/>
          </w:pPr>
          <w:r>
            <w:rPr>
              <w:color w:val="auto"/>
              <w:sz w:val="22"/>
            </w:rP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13755200"/>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3C67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8D57DF" w:rsidP="00BE50EB">
      <w:pPr>
        <w:pStyle w:val="Heading1"/>
      </w:pPr>
      <w:bookmarkStart w:id="10" w:name="_Toc413755201"/>
      <w:r>
        <w:lastRenderedPageBreak/>
        <w:t xml:space="preserve">Regulatory </w:t>
      </w:r>
      <w:r w:rsidR="00BE50EB">
        <w:t>depreciation</w:t>
      </w:r>
      <w:bookmarkEnd w:id="10"/>
    </w:p>
    <w:p w:rsidR="003C679C" w:rsidRPr="00B30299" w:rsidRDefault="003C679C" w:rsidP="003C679C">
      <w:bookmarkStart w:id="11" w:name="_Toc403144136"/>
      <w:r w:rsidRPr="00B30299">
        <w:t>The AER is required to decide on the indexation of the regulatory as</w:t>
      </w:r>
      <w:r>
        <w:t xml:space="preserve">set base (RAB) and depreciation </w:t>
      </w:r>
      <w:r w:rsidRPr="00B30299">
        <w:t>building blocks for TransGrid's 2014–18 period.</w:t>
      </w:r>
      <w:r>
        <w:rPr>
          <w:rStyle w:val="FootnoteReference"/>
        </w:rPr>
        <w:footnoteReference w:id="1"/>
      </w:r>
      <w:r w:rsidRPr="00B30299">
        <w:t xml:space="preserve"> We use regulatory depreciation to model the nominal asset values over the regulatory control period, and set the depreciation allowance in the annual building block revenue requirement. The regulatory depreciation allowance (or return of capital) is the net total of the straight-line depreciation (negative) and the indexation of the RAB (positive). </w:t>
      </w:r>
    </w:p>
    <w:p w:rsidR="003C679C" w:rsidRPr="00B30299" w:rsidRDefault="003C679C" w:rsidP="003C679C">
      <w:r w:rsidRPr="00B30299">
        <w:t xml:space="preserve">This attachment sets out our </w:t>
      </w:r>
      <w:r w:rsidR="009F3D13">
        <w:t>final</w:t>
      </w:r>
      <w:r w:rsidRPr="00B30299">
        <w:t xml:space="preserve"> decision on TransGrid's regulatory depreciation allowance. It also</w:t>
      </w:r>
      <w:r>
        <w:t xml:space="preserve"> </w:t>
      </w:r>
      <w:r w:rsidRPr="00B30299">
        <w:t xml:space="preserve">presents our </w:t>
      </w:r>
      <w:r w:rsidR="004517AE">
        <w:t>final</w:t>
      </w:r>
      <w:r w:rsidRPr="00B30299">
        <w:t xml:space="preserve"> decision on the </w:t>
      </w:r>
      <w:r w:rsidR="004517AE">
        <w:t xml:space="preserve">revised </w:t>
      </w:r>
      <w:r w:rsidRPr="00B30299">
        <w:t>proposed depreciation schedules, including the</w:t>
      </w:r>
      <w:r>
        <w:t xml:space="preserve"> </w:t>
      </w:r>
      <w:r w:rsidR="004517AE">
        <w:t xml:space="preserve">revised </w:t>
      </w:r>
      <w:r w:rsidRPr="00B30299">
        <w:t>proposed standard and remaining asset lives to be used for forecasting depreciation allowances.</w:t>
      </w:r>
    </w:p>
    <w:p w:rsidR="00DE563D" w:rsidRPr="001754EE" w:rsidRDefault="00415F31" w:rsidP="001754EE">
      <w:pPr>
        <w:pStyle w:val="Heading2"/>
      </w:pPr>
      <w:bookmarkStart w:id="12" w:name="_Toc413755202"/>
      <w:r w:rsidRPr="001754EE">
        <w:t>Final</w:t>
      </w:r>
      <w:r w:rsidR="00DE563D" w:rsidRPr="001754EE">
        <w:t xml:space="preserve"> decision</w:t>
      </w:r>
      <w:bookmarkEnd w:id="11"/>
      <w:bookmarkEnd w:id="12"/>
    </w:p>
    <w:p w:rsidR="003C679C" w:rsidRDefault="001067EA" w:rsidP="003C679C">
      <w:bookmarkStart w:id="13" w:name="_Toc403144137"/>
      <w:r>
        <w:t>We determine</w:t>
      </w:r>
      <w:r w:rsidR="003C679C" w:rsidRPr="00CA77A4">
        <w:t xml:space="preserve"> </w:t>
      </w:r>
      <w:r w:rsidR="003C679C">
        <w:t>TransGrid's</w:t>
      </w:r>
      <w:r w:rsidR="003C679C" w:rsidRPr="00CA77A4">
        <w:t xml:space="preserve"> regulatory depreciation allowance is $</w:t>
      </w:r>
      <w:r w:rsidR="003C679C" w:rsidRPr="00885F4F">
        <w:t xml:space="preserve"> </w:t>
      </w:r>
      <w:r w:rsidR="000A16AA">
        <w:t>451.0</w:t>
      </w:r>
      <w:r w:rsidR="003C679C">
        <w:t xml:space="preserve"> </w:t>
      </w:r>
      <w:r w:rsidR="003C679C" w:rsidRPr="00CA77A4">
        <w:t>million (</w:t>
      </w:r>
      <w:r w:rsidR="003C679C">
        <w:t>$</w:t>
      </w:r>
      <w:r w:rsidR="003E00B8">
        <w:t> </w:t>
      </w:r>
      <w:r w:rsidR="003C679C">
        <w:t>nominal)</w:t>
      </w:r>
      <w:r>
        <w:t xml:space="preserve"> for the 2014–18 period, which is a</w:t>
      </w:r>
      <w:r w:rsidR="00105CC4">
        <w:t>n increase</w:t>
      </w:r>
      <w:r>
        <w:t xml:space="preserve"> of $</w:t>
      </w:r>
      <w:r w:rsidR="000A16AA">
        <w:t>27.3</w:t>
      </w:r>
      <w:r>
        <w:t xml:space="preserve"> million (or </w:t>
      </w:r>
      <w:r w:rsidR="003B5053">
        <w:t>6.</w:t>
      </w:r>
      <w:r w:rsidR="000A16AA">
        <w:t>4</w:t>
      </w:r>
      <w:r>
        <w:t xml:space="preserve"> per cent) from its revised proposal</w:t>
      </w:r>
      <w:r w:rsidR="003C679C">
        <w:t xml:space="preserve">. </w:t>
      </w:r>
    </w:p>
    <w:p w:rsidR="004D2996" w:rsidRDefault="003C679C" w:rsidP="003C679C">
      <w:r w:rsidRPr="00B30299">
        <w:t xml:space="preserve">We accept </w:t>
      </w:r>
      <w:r>
        <w:t>TransGrid's</w:t>
      </w:r>
      <w:r w:rsidRPr="00B30299">
        <w:t xml:space="preserve"> proposed depreciation </w:t>
      </w:r>
      <w:r>
        <w:t>method</w:t>
      </w:r>
      <w:r w:rsidRPr="00B30299">
        <w:t xml:space="preserve"> set out in its revised proposal. However, our final decision on </w:t>
      </w:r>
      <w:r>
        <w:t>TransGrid's</w:t>
      </w:r>
      <w:r w:rsidRPr="00B30299">
        <w:t xml:space="preserve"> regulatory depreciation allowance for the 2014–</w:t>
      </w:r>
      <w:r>
        <w:t>18</w:t>
      </w:r>
      <w:r w:rsidRPr="00B30299">
        <w:t xml:space="preserve"> period differs from </w:t>
      </w:r>
      <w:r w:rsidR="002017A2">
        <w:t xml:space="preserve">its </w:t>
      </w:r>
      <w:r w:rsidRPr="00B30299">
        <w:t>revised proposal</w:t>
      </w:r>
      <w:r w:rsidR="001C58D4">
        <w:t xml:space="preserve">. This is because </w:t>
      </w:r>
      <w:r w:rsidR="004D2996">
        <w:t xml:space="preserve">of </w:t>
      </w:r>
      <w:r w:rsidRPr="00B30299">
        <w:t>our</w:t>
      </w:r>
      <w:r w:rsidR="004D2996">
        <w:t>:</w:t>
      </w:r>
    </w:p>
    <w:p w:rsidR="004D2996" w:rsidRDefault="004D2996" w:rsidP="004D2996">
      <w:pPr>
        <w:pStyle w:val="AERbulletlistfirststyle"/>
      </w:pPr>
      <w:r>
        <w:t>updates to TransGrid's remaining asset lives as at 1 July 2014 to reflect actual capex in 2013–14 (section</w:t>
      </w:r>
      <w:r w:rsidR="00F40DA7">
        <w:t xml:space="preserve"> </w:t>
      </w:r>
      <w:r w:rsidR="00F40DA7">
        <w:fldChar w:fldCharType="begin"/>
      </w:r>
      <w:r w:rsidR="00F40DA7">
        <w:instrText xml:space="preserve"> REF _Ref413755261 \r \h </w:instrText>
      </w:r>
      <w:r w:rsidR="00F40DA7">
        <w:fldChar w:fldCharType="separate"/>
      </w:r>
      <w:r w:rsidR="003B4BE6">
        <w:t>5.4.2</w:t>
      </w:r>
      <w:r w:rsidR="00F40DA7">
        <w:fldChar w:fldCharType="end"/>
      </w:r>
      <w:r>
        <w:t xml:space="preserve">) </w:t>
      </w:r>
    </w:p>
    <w:p w:rsidR="003C679C" w:rsidRDefault="003C679C" w:rsidP="004D2996">
      <w:pPr>
        <w:pStyle w:val="AERbulletlistfirststyle"/>
      </w:pPr>
      <w:r w:rsidRPr="00B30299">
        <w:t>determination</w:t>
      </w:r>
      <w:r w:rsidR="001C58D4">
        <w:t xml:space="preserve">s on other components of TransGrid's revised proposal </w:t>
      </w:r>
      <w:r w:rsidR="004D2996">
        <w:t xml:space="preserve">which </w:t>
      </w:r>
      <w:r w:rsidR="001C58D4">
        <w:t xml:space="preserve">affect the forecast regulatory depreciation allowance—for example, the </w:t>
      </w:r>
      <w:r w:rsidR="00C26E36">
        <w:t xml:space="preserve">opening RAB value (attachment 2), </w:t>
      </w:r>
      <w:r w:rsidR="001C58D4">
        <w:t>forecast inflation (attachment 3)</w:t>
      </w:r>
      <w:r w:rsidR="004D2996">
        <w:t xml:space="preserve"> and</w:t>
      </w:r>
      <w:r w:rsidR="001C58D4">
        <w:t xml:space="preserve"> </w:t>
      </w:r>
      <w:r>
        <w:t>forecast capex (attachment 6</w:t>
      </w:r>
      <w:r w:rsidR="00472D4B">
        <w:t>)</w:t>
      </w:r>
      <w:r w:rsidR="004D2996">
        <w:t>.</w:t>
      </w:r>
      <w:r w:rsidR="00500D5B">
        <w:t xml:space="preserve"> </w:t>
      </w:r>
      <w:r w:rsidR="00C6788B" w:rsidRPr="00F83034">
        <w:t xml:space="preserve">In particular, the lower forecast inflation rate used in this </w:t>
      </w:r>
      <w:r w:rsidR="00C6788B">
        <w:t>final</w:t>
      </w:r>
      <w:r w:rsidR="00C6788B" w:rsidRPr="00F83034">
        <w:t xml:space="preserve"> decision means the resulting regulatory depreciation allowance (which nets out the inflation indexation on the opening RAB) is higher than proposed.</w:t>
      </w:r>
    </w:p>
    <w:p w:rsidR="00193DF3" w:rsidRDefault="00193DF3" w:rsidP="00193DF3">
      <w:pPr>
        <w:numPr>
          <w:ilvl w:val="0"/>
          <w:numId w:val="25"/>
        </w:numPr>
      </w:pPr>
      <w:r>
        <w:fldChar w:fldCharType="begin"/>
      </w:r>
      <w:r>
        <w:instrText xml:space="preserve"> REF _Ref402185644 \h </w:instrText>
      </w:r>
      <w:r>
        <w:fldChar w:fldCharType="separate"/>
      </w:r>
      <w:r w:rsidR="003B4BE6" w:rsidRPr="002B5AE6">
        <w:t xml:space="preserve">Table </w:t>
      </w:r>
      <w:r w:rsidR="003B4BE6">
        <w:t>5</w:t>
      </w:r>
      <w:r w:rsidR="003B4BE6">
        <w:noBreakHyphen/>
      </w:r>
      <w:r w:rsidR="003B4BE6">
        <w:rPr>
          <w:noProof/>
        </w:rPr>
        <w:t>1</w:t>
      </w:r>
      <w:r>
        <w:fldChar w:fldCharType="end"/>
      </w:r>
      <w:r>
        <w:t xml:space="preserve"> </w:t>
      </w:r>
      <w:r w:rsidRPr="00B63AFD">
        <w:t>set</w:t>
      </w:r>
      <w:r>
        <w:t>s</w:t>
      </w:r>
      <w:r w:rsidRPr="00B63AFD">
        <w:t xml:space="preserve"> out our </w:t>
      </w:r>
      <w:r w:rsidR="003C679C">
        <w:t xml:space="preserve">final </w:t>
      </w:r>
      <w:r w:rsidRPr="00B63AFD">
        <w:t xml:space="preserve">decision on </w:t>
      </w:r>
      <w:r>
        <w:t xml:space="preserve">the </w:t>
      </w:r>
      <w:r w:rsidRPr="00B63AFD">
        <w:t>annual regulatory depreciation allowance</w:t>
      </w:r>
      <w:r w:rsidRPr="00806736">
        <w:t xml:space="preserve"> </w:t>
      </w:r>
      <w:r>
        <w:t xml:space="preserve">for </w:t>
      </w:r>
      <w:r w:rsidRPr="00806736">
        <w:t>TransGrid</w:t>
      </w:r>
      <w:r>
        <w:t xml:space="preserve">'s </w:t>
      </w:r>
      <w:r w:rsidRPr="00160CF0">
        <w:rPr>
          <w:rStyle w:val="AERbody"/>
        </w:rPr>
        <w:t>2014–18</w:t>
      </w:r>
      <w:r>
        <w:t xml:space="preserve"> period.</w:t>
      </w:r>
    </w:p>
    <w:p w:rsidR="003E00B8" w:rsidRDefault="003E00B8" w:rsidP="003E00B8"/>
    <w:p w:rsidR="003E00B8" w:rsidRPr="00B63AFD" w:rsidRDefault="003E00B8" w:rsidP="003E00B8"/>
    <w:p w:rsidR="00193DF3" w:rsidRPr="002B5AE6" w:rsidRDefault="00193DF3" w:rsidP="00193DF3">
      <w:pPr>
        <w:pStyle w:val="Caption"/>
      </w:pPr>
      <w:bookmarkStart w:id="14" w:name="_Ref402185644"/>
      <w:r w:rsidRPr="002B5AE6">
        <w:lastRenderedPageBreak/>
        <w:t xml:space="preserve">Table </w:t>
      </w:r>
      <w:r>
        <w:t>5</w:t>
      </w:r>
      <w:r>
        <w:noBreakHyphen/>
      </w:r>
      <w:r w:rsidRPr="009C7837">
        <w:fldChar w:fldCharType="begin"/>
      </w:r>
      <w:r>
        <w:instrText xml:space="preserve"> SEQ Table \* ARABIC \s 1 </w:instrText>
      </w:r>
      <w:r w:rsidRPr="009C7837">
        <w:fldChar w:fldCharType="separate"/>
      </w:r>
      <w:r w:rsidR="003B4BE6">
        <w:rPr>
          <w:noProof/>
        </w:rPr>
        <w:t>1</w:t>
      </w:r>
      <w:r w:rsidRPr="009C7837">
        <w:fldChar w:fldCharType="end"/>
      </w:r>
      <w:bookmarkEnd w:id="14"/>
      <w:r w:rsidRPr="002B5AE6">
        <w:tab/>
        <w:t xml:space="preserve">AER's </w:t>
      </w:r>
      <w:r w:rsidR="003C679C">
        <w:t xml:space="preserve">final </w:t>
      </w:r>
      <w:r w:rsidRPr="002B5AE6">
        <w:t>decision on TransGrid's depreciation allowance</w:t>
      </w:r>
      <w:r>
        <w:t xml:space="preserve"> for the</w:t>
      </w:r>
      <w:r w:rsidRPr="002B5AE6">
        <w:t xml:space="preserve"> 2014–18 period ($ million, nominal)</w:t>
      </w:r>
    </w:p>
    <w:tbl>
      <w:tblPr>
        <w:tblStyle w:val="AERtable-numbers"/>
        <w:tblW w:w="8652" w:type="dxa"/>
        <w:tblLayout w:type="fixed"/>
        <w:tblLook w:val="01E0" w:firstRow="1" w:lastRow="1" w:firstColumn="1" w:lastColumn="1" w:noHBand="0" w:noVBand="0"/>
      </w:tblPr>
      <w:tblGrid>
        <w:gridCol w:w="3227"/>
        <w:gridCol w:w="1085"/>
        <w:gridCol w:w="1085"/>
        <w:gridCol w:w="1085"/>
        <w:gridCol w:w="1085"/>
        <w:gridCol w:w="1085"/>
      </w:tblGrid>
      <w:tr w:rsidR="00193DF3" w:rsidRPr="009F3D13" w:rsidTr="000149D9">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227" w:type="dxa"/>
          </w:tcPr>
          <w:p w:rsidR="00193DF3" w:rsidRPr="009F3D13" w:rsidRDefault="00193DF3" w:rsidP="009F3D13"/>
        </w:tc>
        <w:tc>
          <w:tcPr>
            <w:tcW w:w="1085" w:type="dxa"/>
          </w:tcPr>
          <w:p w:rsidR="00193DF3" w:rsidRPr="009F3D13" w:rsidRDefault="00193DF3" w:rsidP="009F3D13">
            <w:pPr>
              <w:cnfStyle w:val="100000000000" w:firstRow="1" w:lastRow="0" w:firstColumn="0" w:lastColumn="0" w:oddVBand="0" w:evenVBand="0" w:oddHBand="0" w:evenHBand="0" w:firstRowFirstColumn="0" w:firstRowLastColumn="0" w:lastRowFirstColumn="0" w:lastRowLastColumn="0"/>
            </w:pPr>
            <w:r w:rsidRPr="009F3D13">
              <w:t>2014–15</w:t>
            </w:r>
          </w:p>
        </w:tc>
        <w:tc>
          <w:tcPr>
            <w:tcW w:w="1085" w:type="dxa"/>
          </w:tcPr>
          <w:p w:rsidR="00193DF3" w:rsidRPr="009F3D13" w:rsidRDefault="00193DF3" w:rsidP="009F3D13">
            <w:pPr>
              <w:cnfStyle w:val="100000000000" w:firstRow="1" w:lastRow="0" w:firstColumn="0" w:lastColumn="0" w:oddVBand="0" w:evenVBand="0" w:oddHBand="0" w:evenHBand="0" w:firstRowFirstColumn="0" w:firstRowLastColumn="0" w:lastRowFirstColumn="0" w:lastRowLastColumn="0"/>
            </w:pPr>
            <w:r w:rsidRPr="009F3D13">
              <w:t>2015–16</w:t>
            </w:r>
          </w:p>
        </w:tc>
        <w:tc>
          <w:tcPr>
            <w:tcW w:w="1085" w:type="dxa"/>
          </w:tcPr>
          <w:p w:rsidR="00193DF3" w:rsidRPr="009F3D13" w:rsidRDefault="00193DF3" w:rsidP="009F3D13">
            <w:pPr>
              <w:cnfStyle w:val="100000000000" w:firstRow="1" w:lastRow="0" w:firstColumn="0" w:lastColumn="0" w:oddVBand="0" w:evenVBand="0" w:oddHBand="0" w:evenHBand="0" w:firstRowFirstColumn="0" w:firstRowLastColumn="0" w:lastRowFirstColumn="0" w:lastRowLastColumn="0"/>
            </w:pPr>
            <w:r w:rsidRPr="009F3D13">
              <w:t>2016–17</w:t>
            </w:r>
          </w:p>
        </w:tc>
        <w:tc>
          <w:tcPr>
            <w:tcW w:w="1085" w:type="dxa"/>
          </w:tcPr>
          <w:p w:rsidR="00193DF3" w:rsidRPr="009F3D13" w:rsidRDefault="00193DF3" w:rsidP="009F3D13">
            <w:pPr>
              <w:cnfStyle w:val="100000000000" w:firstRow="1" w:lastRow="0" w:firstColumn="0" w:lastColumn="0" w:oddVBand="0" w:evenVBand="0" w:oddHBand="0" w:evenHBand="0" w:firstRowFirstColumn="0" w:firstRowLastColumn="0" w:lastRowFirstColumn="0" w:lastRowLastColumn="0"/>
            </w:pPr>
            <w:r w:rsidRPr="009F3D13">
              <w:t>2017–18</w:t>
            </w:r>
          </w:p>
        </w:tc>
        <w:tc>
          <w:tcPr>
            <w:tcW w:w="1085" w:type="dxa"/>
          </w:tcPr>
          <w:p w:rsidR="00193DF3" w:rsidRPr="009F3D13" w:rsidRDefault="00193DF3" w:rsidP="009F3D13">
            <w:pPr>
              <w:cnfStyle w:val="100000000000" w:firstRow="1" w:lastRow="0" w:firstColumn="0" w:lastColumn="0" w:oddVBand="0" w:evenVBand="0" w:oddHBand="0" w:evenHBand="0" w:firstRowFirstColumn="0" w:firstRowLastColumn="0" w:lastRowFirstColumn="0" w:lastRowLastColumn="0"/>
            </w:pPr>
            <w:r w:rsidRPr="009F3D13">
              <w:t>Total</w:t>
            </w:r>
          </w:p>
        </w:tc>
      </w:tr>
      <w:tr w:rsidR="00193DF3" w:rsidRPr="009F3D13" w:rsidTr="001C58D4">
        <w:trPr>
          <w:trHeight w:val="374"/>
        </w:trPr>
        <w:tc>
          <w:tcPr>
            <w:cnfStyle w:val="001000000000" w:firstRow="0" w:lastRow="0" w:firstColumn="1" w:lastColumn="0" w:oddVBand="0" w:evenVBand="0" w:oddHBand="0" w:evenHBand="0" w:firstRowFirstColumn="0" w:firstRowLastColumn="0" w:lastRowFirstColumn="0" w:lastRowLastColumn="0"/>
            <w:tcW w:w="3227" w:type="dxa"/>
          </w:tcPr>
          <w:p w:rsidR="00193DF3" w:rsidRPr="009F3D13" w:rsidRDefault="00193DF3" w:rsidP="009F3D13">
            <w:r w:rsidRPr="009F3D13">
              <w:t>Straight-line depreciation</w:t>
            </w:r>
          </w:p>
        </w:tc>
        <w:tc>
          <w:tcPr>
            <w:tcW w:w="1085" w:type="dxa"/>
          </w:tcPr>
          <w:p w:rsidR="00193DF3" w:rsidRPr="009F3D13" w:rsidRDefault="006B4F91" w:rsidP="006B4F91">
            <w:pPr>
              <w:cnfStyle w:val="000000000000" w:firstRow="0" w:lastRow="0" w:firstColumn="0" w:lastColumn="0" w:oddVBand="0" w:evenVBand="0" w:oddHBand="0" w:evenHBand="0" w:firstRowFirstColumn="0" w:firstRowLastColumn="0" w:lastRowFirstColumn="0" w:lastRowLastColumn="0"/>
            </w:pPr>
            <w:r>
              <w:t>242.9</w:t>
            </w:r>
          </w:p>
        </w:tc>
        <w:tc>
          <w:tcPr>
            <w:tcW w:w="1085" w:type="dxa"/>
          </w:tcPr>
          <w:p w:rsidR="00193DF3" w:rsidRPr="009F3D13" w:rsidRDefault="006B4F91" w:rsidP="003B5053">
            <w:pPr>
              <w:cnfStyle w:val="000000000000" w:firstRow="0" w:lastRow="0" w:firstColumn="0" w:lastColumn="0" w:oddVBand="0" w:evenVBand="0" w:oddHBand="0" w:evenHBand="0" w:firstRowFirstColumn="0" w:firstRowLastColumn="0" w:lastRowFirstColumn="0" w:lastRowLastColumn="0"/>
            </w:pPr>
            <w:r>
              <w:t>261.</w:t>
            </w:r>
            <w:r w:rsidR="000A16AA">
              <w:t>8</w:t>
            </w:r>
          </w:p>
        </w:tc>
        <w:tc>
          <w:tcPr>
            <w:tcW w:w="1085" w:type="dxa"/>
          </w:tcPr>
          <w:p w:rsidR="00193DF3" w:rsidRPr="009F3D13" w:rsidRDefault="006B4F91" w:rsidP="003B5053">
            <w:pPr>
              <w:cnfStyle w:val="000000000000" w:firstRow="0" w:lastRow="0" w:firstColumn="0" w:lastColumn="0" w:oddVBand="0" w:evenVBand="0" w:oddHBand="0" w:evenHBand="0" w:firstRowFirstColumn="0" w:firstRowLastColumn="0" w:lastRowFirstColumn="0" w:lastRowLastColumn="0"/>
            </w:pPr>
            <w:r>
              <w:t>281</w:t>
            </w:r>
            <w:r w:rsidR="003B5053">
              <w:t>.</w:t>
            </w:r>
            <w:r w:rsidR="000A16AA">
              <w:t>2</w:t>
            </w:r>
          </w:p>
        </w:tc>
        <w:tc>
          <w:tcPr>
            <w:tcW w:w="1085" w:type="dxa"/>
          </w:tcPr>
          <w:p w:rsidR="00193DF3" w:rsidRPr="009F3D13" w:rsidRDefault="006B4F91" w:rsidP="006B4F91">
            <w:pPr>
              <w:cnfStyle w:val="000000000000" w:firstRow="0" w:lastRow="0" w:firstColumn="0" w:lastColumn="0" w:oddVBand="0" w:evenVBand="0" w:oddHBand="0" w:evenHBand="0" w:firstRowFirstColumn="0" w:firstRowLastColumn="0" w:lastRowFirstColumn="0" w:lastRowLastColumn="0"/>
            </w:pPr>
            <w:r>
              <w:t>268.</w:t>
            </w:r>
            <w:r w:rsidR="000A16AA">
              <w:t>4</w:t>
            </w:r>
          </w:p>
        </w:tc>
        <w:tc>
          <w:tcPr>
            <w:tcW w:w="1085" w:type="dxa"/>
          </w:tcPr>
          <w:p w:rsidR="00193DF3" w:rsidRPr="009F3D13" w:rsidRDefault="003B5053" w:rsidP="003E00B8">
            <w:pPr>
              <w:cnfStyle w:val="000000000000" w:firstRow="0" w:lastRow="0" w:firstColumn="0" w:lastColumn="0" w:oddVBand="0" w:evenVBand="0" w:oddHBand="0" w:evenHBand="0" w:firstRowFirstColumn="0" w:firstRowLastColumn="0" w:lastRowFirstColumn="0" w:lastRowLastColumn="0"/>
            </w:pPr>
            <w:r>
              <w:t>105</w:t>
            </w:r>
            <w:r w:rsidR="000A16AA">
              <w:t>4</w:t>
            </w:r>
            <w:r>
              <w:t>.</w:t>
            </w:r>
            <w:r w:rsidR="003E00B8">
              <w:t>3</w:t>
            </w:r>
          </w:p>
        </w:tc>
      </w:tr>
      <w:tr w:rsidR="00193DF3" w:rsidRPr="009F3D13" w:rsidTr="001C58D4">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227" w:type="dxa"/>
          </w:tcPr>
          <w:p w:rsidR="00193DF3" w:rsidRPr="009F3D13" w:rsidRDefault="00193DF3" w:rsidP="009F3D13">
            <w:r w:rsidRPr="00500D5B">
              <w:rPr>
                <w:rStyle w:val="AERtextitalic"/>
              </w:rPr>
              <w:t>Less:</w:t>
            </w:r>
            <w:r w:rsidRPr="009F3D13">
              <w:t xml:space="preserve"> </w:t>
            </w:r>
            <w:r w:rsidR="001C58D4">
              <w:t>inflation</w:t>
            </w:r>
            <w:r w:rsidR="005B53CC" w:rsidRPr="00F5632A">
              <w:t xml:space="preserve"> indexation on opening RAB</w:t>
            </w:r>
          </w:p>
        </w:tc>
        <w:tc>
          <w:tcPr>
            <w:tcW w:w="1085" w:type="dxa"/>
          </w:tcPr>
          <w:p w:rsidR="00193DF3" w:rsidRPr="009F3D13" w:rsidRDefault="006B4F91" w:rsidP="006B4F91">
            <w:pPr>
              <w:cnfStyle w:val="000000010000" w:firstRow="0" w:lastRow="0" w:firstColumn="0" w:lastColumn="0" w:oddVBand="0" w:evenVBand="0" w:oddHBand="0" w:evenHBand="1" w:firstRowFirstColumn="0" w:firstRowLastColumn="0" w:lastRowFirstColumn="0" w:lastRowLastColumn="0"/>
            </w:pPr>
            <w:r>
              <w:t>144.6</w:t>
            </w:r>
          </w:p>
        </w:tc>
        <w:tc>
          <w:tcPr>
            <w:tcW w:w="1085" w:type="dxa"/>
          </w:tcPr>
          <w:p w:rsidR="00193DF3" w:rsidRPr="009F3D13" w:rsidRDefault="006B4F91" w:rsidP="006B4F91">
            <w:pPr>
              <w:cnfStyle w:val="000000010000" w:firstRow="0" w:lastRow="0" w:firstColumn="0" w:lastColumn="0" w:oddVBand="0" w:evenVBand="0" w:oddHBand="0" w:evenHBand="1" w:firstRowFirstColumn="0" w:firstRowLastColumn="0" w:lastRowFirstColumn="0" w:lastRowLastColumn="0"/>
            </w:pPr>
            <w:r>
              <w:t>148.</w:t>
            </w:r>
            <w:r w:rsidR="003B5053">
              <w:t>5</w:t>
            </w:r>
          </w:p>
        </w:tc>
        <w:tc>
          <w:tcPr>
            <w:tcW w:w="1085" w:type="dxa"/>
          </w:tcPr>
          <w:p w:rsidR="00193DF3" w:rsidRPr="009F3D13" w:rsidRDefault="006B4F91" w:rsidP="006B4F91">
            <w:pPr>
              <w:cnfStyle w:val="000000010000" w:firstRow="0" w:lastRow="0" w:firstColumn="0" w:lastColumn="0" w:oddVBand="0" w:evenVBand="0" w:oddHBand="0" w:evenHBand="1" w:firstRowFirstColumn="0" w:firstRowLastColumn="0" w:lastRowFirstColumn="0" w:lastRowLastColumn="0"/>
            </w:pPr>
            <w:r>
              <w:t>153.</w:t>
            </w:r>
            <w:r w:rsidR="003B5053">
              <w:t>5</w:t>
            </w:r>
          </w:p>
        </w:tc>
        <w:tc>
          <w:tcPr>
            <w:tcW w:w="1085" w:type="dxa"/>
          </w:tcPr>
          <w:p w:rsidR="00193DF3" w:rsidRPr="009F3D13" w:rsidRDefault="006B4F91" w:rsidP="006B4F91">
            <w:pPr>
              <w:cnfStyle w:val="000000010000" w:firstRow="0" w:lastRow="0" w:firstColumn="0" w:lastColumn="0" w:oddVBand="0" w:evenVBand="0" w:oddHBand="0" w:evenHBand="1" w:firstRowFirstColumn="0" w:firstRowLastColumn="0" w:lastRowFirstColumn="0" w:lastRowLastColumn="0"/>
            </w:pPr>
            <w:r>
              <w:t>15</w:t>
            </w:r>
            <w:r w:rsidR="003B5053">
              <w:t>6.</w:t>
            </w:r>
            <w:r w:rsidR="000A16AA">
              <w:t>6</w:t>
            </w:r>
          </w:p>
        </w:tc>
        <w:tc>
          <w:tcPr>
            <w:tcW w:w="1085" w:type="dxa"/>
          </w:tcPr>
          <w:p w:rsidR="00193DF3" w:rsidRPr="009F3D13" w:rsidRDefault="003B5053" w:rsidP="006B4F91">
            <w:pPr>
              <w:cnfStyle w:val="000000010000" w:firstRow="0" w:lastRow="0" w:firstColumn="0" w:lastColumn="0" w:oddVBand="0" w:evenVBand="0" w:oddHBand="0" w:evenHBand="1" w:firstRowFirstColumn="0" w:firstRowLastColumn="0" w:lastRowFirstColumn="0" w:lastRowLastColumn="0"/>
            </w:pPr>
            <w:r>
              <w:t>603.</w:t>
            </w:r>
            <w:r w:rsidR="000A16AA">
              <w:t>3</w:t>
            </w:r>
          </w:p>
        </w:tc>
      </w:tr>
      <w:tr w:rsidR="00193DF3" w:rsidRPr="009F3D13" w:rsidTr="001C58D4">
        <w:trPr>
          <w:trHeight w:val="444"/>
        </w:trPr>
        <w:tc>
          <w:tcPr>
            <w:cnfStyle w:val="001000000000" w:firstRow="0" w:lastRow="0" w:firstColumn="1" w:lastColumn="0" w:oddVBand="0" w:evenVBand="0" w:oddHBand="0" w:evenHBand="0" w:firstRowFirstColumn="0" w:firstRowLastColumn="0" w:lastRowFirstColumn="0" w:lastRowLastColumn="0"/>
            <w:tcW w:w="3227" w:type="dxa"/>
          </w:tcPr>
          <w:p w:rsidR="00193DF3" w:rsidRPr="005B53CC" w:rsidRDefault="00193DF3" w:rsidP="009F3D13">
            <w:pPr>
              <w:rPr>
                <w:rStyle w:val="Strong"/>
              </w:rPr>
            </w:pPr>
            <w:r w:rsidRPr="005B53CC">
              <w:rPr>
                <w:rStyle w:val="Strong"/>
              </w:rPr>
              <w:t>Regulatory depreciation</w:t>
            </w:r>
          </w:p>
        </w:tc>
        <w:tc>
          <w:tcPr>
            <w:tcW w:w="1085" w:type="dxa"/>
          </w:tcPr>
          <w:p w:rsidR="00193DF3" w:rsidRPr="005B53CC" w:rsidRDefault="006B4F91" w:rsidP="006B4F9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98.3</w:t>
            </w:r>
          </w:p>
        </w:tc>
        <w:tc>
          <w:tcPr>
            <w:tcW w:w="1085" w:type="dxa"/>
          </w:tcPr>
          <w:p w:rsidR="00193DF3" w:rsidRPr="005B53CC" w:rsidRDefault="006B4F91" w:rsidP="006B4F9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113.</w:t>
            </w:r>
            <w:r w:rsidR="000A16AA">
              <w:rPr>
                <w:rStyle w:val="Strong"/>
              </w:rPr>
              <w:t>3</w:t>
            </w:r>
          </w:p>
        </w:tc>
        <w:tc>
          <w:tcPr>
            <w:tcW w:w="1085" w:type="dxa"/>
          </w:tcPr>
          <w:p w:rsidR="00193DF3" w:rsidRPr="005B53CC" w:rsidRDefault="006B4F91" w:rsidP="006B4F9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127.</w:t>
            </w:r>
            <w:r w:rsidR="000A16AA">
              <w:rPr>
                <w:rStyle w:val="Strong"/>
              </w:rPr>
              <w:t>7</w:t>
            </w:r>
          </w:p>
        </w:tc>
        <w:tc>
          <w:tcPr>
            <w:tcW w:w="1085" w:type="dxa"/>
          </w:tcPr>
          <w:p w:rsidR="00193DF3" w:rsidRPr="005B53CC" w:rsidRDefault="006B4F91" w:rsidP="006B4F9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111.</w:t>
            </w:r>
            <w:r w:rsidR="000A16AA">
              <w:rPr>
                <w:rStyle w:val="Strong"/>
              </w:rPr>
              <w:t>8</w:t>
            </w:r>
          </w:p>
        </w:tc>
        <w:tc>
          <w:tcPr>
            <w:tcW w:w="1085" w:type="dxa"/>
          </w:tcPr>
          <w:p w:rsidR="00193DF3" w:rsidRPr="005B53CC" w:rsidRDefault="006B4F91" w:rsidP="000A16A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45</w:t>
            </w:r>
            <w:r w:rsidR="000A16AA">
              <w:rPr>
                <w:rStyle w:val="Strong"/>
              </w:rPr>
              <w:t>1</w:t>
            </w:r>
            <w:r>
              <w:rPr>
                <w:rStyle w:val="Strong"/>
              </w:rPr>
              <w:t>.</w:t>
            </w:r>
            <w:r w:rsidR="000A16AA">
              <w:rPr>
                <w:rStyle w:val="Strong"/>
              </w:rPr>
              <w:t>0</w:t>
            </w:r>
          </w:p>
        </w:tc>
      </w:tr>
    </w:tbl>
    <w:p w:rsidR="00193DF3" w:rsidRPr="009F3D13" w:rsidRDefault="00193DF3" w:rsidP="009F3D13">
      <w:pPr>
        <w:pStyle w:val="AERtablesource"/>
      </w:pPr>
      <w:r w:rsidRPr="009F3D13">
        <w:t>Source:</w:t>
      </w:r>
      <w:r w:rsidRPr="009F3D13">
        <w:tab/>
        <w:t>AER analysis.</w:t>
      </w:r>
    </w:p>
    <w:p w:rsidR="00DE563D" w:rsidRPr="001754EE" w:rsidRDefault="00415F31" w:rsidP="001754EE">
      <w:pPr>
        <w:pStyle w:val="Heading2"/>
      </w:pPr>
      <w:bookmarkStart w:id="15" w:name="_Toc413755203"/>
      <w:r w:rsidRPr="001754EE">
        <w:t>TransGrid’s revised</w:t>
      </w:r>
      <w:r w:rsidR="00DE563D" w:rsidRPr="001754EE">
        <w:t xml:space="preserve"> proposal</w:t>
      </w:r>
      <w:bookmarkEnd w:id="13"/>
      <w:bookmarkEnd w:id="15"/>
    </w:p>
    <w:p w:rsidR="001827B0" w:rsidRPr="00DD41E4" w:rsidRDefault="001827B0" w:rsidP="001827B0">
      <w:pPr>
        <w:numPr>
          <w:ilvl w:val="0"/>
          <w:numId w:val="25"/>
        </w:numPr>
      </w:pPr>
      <w:r>
        <w:t>TransGrid's revised</w:t>
      </w:r>
      <w:r w:rsidRPr="00DD41E4">
        <w:t xml:space="preserve"> propos</w:t>
      </w:r>
      <w:r w:rsidR="00BA49A6">
        <w:t>al</w:t>
      </w:r>
      <w:r w:rsidR="00BE306A">
        <w:t xml:space="preserve"> submitted a</w:t>
      </w:r>
      <w:r w:rsidRPr="00DD41E4">
        <w:t xml:space="preserve"> forecast regulatory depreciation allowance over the </w:t>
      </w:r>
      <w:r w:rsidRPr="00160CF0">
        <w:rPr>
          <w:rStyle w:val="AERbody"/>
        </w:rPr>
        <w:t>2014–18</w:t>
      </w:r>
      <w:r w:rsidRPr="00DD41E4">
        <w:t xml:space="preserve"> period </w:t>
      </w:r>
      <w:r w:rsidR="00BE306A">
        <w:t>of</w:t>
      </w:r>
      <w:r w:rsidR="00BE306A" w:rsidRPr="00DD41E4">
        <w:t xml:space="preserve"> </w:t>
      </w:r>
      <w:r w:rsidRPr="00DD41E4">
        <w:t>$</w:t>
      </w:r>
      <w:r>
        <w:t>423.8</w:t>
      </w:r>
      <w:r w:rsidRPr="00DD41E4">
        <w:t> million ($ nominal)</w:t>
      </w:r>
      <w:r>
        <w:t xml:space="preserve">. </w:t>
      </w:r>
      <w:r w:rsidR="004517AE">
        <w:t>TransGrid's methodology for determining its</w:t>
      </w:r>
      <w:r w:rsidR="004517AE" w:rsidRPr="00DC58F1">
        <w:t xml:space="preserve"> </w:t>
      </w:r>
      <w:r w:rsidR="004517AE">
        <w:t>regulatory depreciation allowance</w:t>
      </w:r>
      <w:r w:rsidR="004517AE" w:rsidRPr="00DC58F1">
        <w:t xml:space="preserve"> </w:t>
      </w:r>
      <w:r w:rsidR="004517AE">
        <w:t>is unchanged from its initial proposal</w:t>
      </w:r>
      <w:r w:rsidR="007C109F">
        <w:t xml:space="preserve">. We accepted the approach in our draft decision. </w:t>
      </w:r>
      <w:r w:rsidRPr="00DD41E4">
        <w:t>To calculate the depreciation allowance, Trans</w:t>
      </w:r>
      <w:r>
        <w:t>Grid's revised proposal use</w:t>
      </w:r>
      <w:r w:rsidR="00380772">
        <w:t>d</w:t>
      </w:r>
      <w:r w:rsidRPr="00DD41E4">
        <w:t>:</w:t>
      </w:r>
      <w:r w:rsidRPr="003200DF">
        <w:rPr>
          <w:rStyle w:val="FootnoteReference"/>
        </w:rPr>
        <w:footnoteReference w:id="2"/>
      </w:r>
    </w:p>
    <w:p w:rsidR="001827B0" w:rsidRPr="001827B0" w:rsidRDefault="00472D4B" w:rsidP="001827B0">
      <w:pPr>
        <w:pStyle w:val="AERbulletlistfirststyle"/>
      </w:pPr>
      <w:r>
        <w:t>T</w:t>
      </w:r>
      <w:r w:rsidR="001827B0" w:rsidRPr="00DD41E4">
        <w:t xml:space="preserve">he </w:t>
      </w:r>
      <w:r w:rsidR="001827B0" w:rsidRPr="001827B0">
        <w:t>straight-line depreciation method employed in the AER's post-tax revenue model (PTRM)</w:t>
      </w:r>
      <w:r>
        <w:t>.</w:t>
      </w:r>
    </w:p>
    <w:p w:rsidR="001827B0" w:rsidRPr="001827B0" w:rsidRDefault="00472D4B" w:rsidP="001827B0">
      <w:pPr>
        <w:pStyle w:val="AERbulletlistfirststyle"/>
      </w:pPr>
      <w:r>
        <w:t>T</w:t>
      </w:r>
      <w:r w:rsidR="001827B0" w:rsidRPr="001827B0">
        <w:t xml:space="preserve">he </w:t>
      </w:r>
      <w:r w:rsidR="001827B0">
        <w:t xml:space="preserve">revised </w:t>
      </w:r>
      <w:r w:rsidR="001827B0" w:rsidRPr="001827B0">
        <w:t>closing RAB value as at 30 Ju</w:t>
      </w:r>
      <w:r w:rsidR="001827B0">
        <w:t>ne 2014 derived from the AER's roll forward model (R</w:t>
      </w:r>
      <w:r w:rsidR="001827B0" w:rsidRPr="001827B0">
        <w:t>FM</w:t>
      </w:r>
      <w:r w:rsidR="001827B0">
        <w:t>)</w:t>
      </w:r>
      <w:r>
        <w:t>.</w:t>
      </w:r>
    </w:p>
    <w:p w:rsidR="001827B0" w:rsidRPr="001827B0" w:rsidRDefault="00472D4B" w:rsidP="001827B0">
      <w:pPr>
        <w:pStyle w:val="AERbulletlistfirststyle"/>
      </w:pPr>
      <w:r>
        <w:t>T</w:t>
      </w:r>
      <w:r w:rsidR="00D60775">
        <w:t xml:space="preserve">he </w:t>
      </w:r>
      <w:r w:rsidR="001827B0">
        <w:t xml:space="preserve">revised </w:t>
      </w:r>
      <w:r w:rsidR="001827B0" w:rsidRPr="001827B0">
        <w:t>weighted average remaining asset lives of assets in existence as at 30</w:t>
      </w:r>
      <w:r w:rsidR="003E00B8">
        <w:t> </w:t>
      </w:r>
      <w:r w:rsidR="001827B0" w:rsidRPr="001827B0">
        <w:t>June 2014 derived from the RFM</w:t>
      </w:r>
      <w:r>
        <w:t>.</w:t>
      </w:r>
    </w:p>
    <w:p w:rsidR="001827B0" w:rsidRDefault="00472D4B" w:rsidP="001827B0">
      <w:pPr>
        <w:pStyle w:val="AERbulletlistfirststyle"/>
      </w:pPr>
      <w:r>
        <w:t>T</w:t>
      </w:r>
      <w:r w:rsidR="001827B0" w:rsidRPr="001827B0">
        <w:t>he</w:t>
      </w:r>
      <w:r w:rsidR="001827B0">
        <w:t xml:space="preserve"> revised</w:t>
      </w:r>
      <w:r w:rsidR="001827B0" w:rsidRPr="001827B0">
        <w:t xml:space="preserve"> proposed forecast capex for the 2014–18 period</w:t>
      </w:r>
      <w:r>
        <w:t>.</w:t>
      </w:r>
    </w:p>
    <w:p w:rsidR="001827B0" w:rsidRPr="001827B0" w:rsidRDefault="00472D4B" w:rsidP="001827B0">
      <w:pPr>
        <w:pStyle w:val="AERbulletlistfirststyle"/>
      </w:pPr>
      <w:r>
        <w:t>T</w:t>
      </w:r>
      <w:r w:rsidR="00D60775">
        <w:t xml:space="preserve">he </w:t>
      </w:r>
      <w:r w:rsidR="001827B0">
        <w:t>standard asset lives accepted in the draft decision</w:t>
      </w:r>
      <w:r w:rsidR="001827B0" w:rsidRPr="001827B0">
        <w:t xml:space="preserve"> </w:t>
      </w:r>
      <w:r w:rsidR="001827B0" w:rsidRPr="001F0B76">
        <w:t xml:space="preserve">for depreciating new assets associated with forecast capex for the </w:t>
      </w:r>
      <w:r w:rsidR="001827B0" w:rsidRPr="00160CF0">
        <w:rPr>
          <w:rStyle w:val="AERbody"/>
        </w:rPr>
        <w:t>2014–18</w:t>
      </w:r>
      <w:r w:rsidR="001827B0" w:rsidRPr="009C7837">
        <w:t xml:space="preserve"> period</w:t>
      </w:r>
      <w:r w:rsidR="001827B0">
        <w:t>.</w:t>
      </w:r>
    </w:p>
    <w:p w:rsidR="00D60775" w:rsidRDefault="00D60775" w:rsidP="003C679C">
      <w:r>
        <w:t xml:space="preserve">TransGrid's revised proposal adopted our draft decision inflation forecast </w:t>
      </w:r>
      <w:r w:rsidR="0065381D">
        <w:t xml:space="preserve">method </w:t>
      </w:r>
      <w:r>
        <w:t>used to index the RAB over the 2014–18 period.</w:t>
      </w:r>
      <w:r w:rsidR="00380772">
        <w:rPr>
          <w:rStyle w:val="FootnoteReference"/>
        </w:rPr>
        <w:footnoteReference w:id="3"/>
      </w:r>
    </w:p>
    <w:p w:rsidR="00193DF3" w:rsidRDefault="00193DF3" w:rsidP="005B53CC">
      <w:pPr>
        <w:pStyle w:val="AERbulletlistfirststyle"/>
        <w:numPr>
          <w:ilvl w:val="0"/>
          <w:numId w:val="0"/>
        </w:numPr>
      </w:pPr>
      <w:r>
        <w:fldChar w:fldCharType="begin"/>
      </w:r>
      <w:r>
        <w:instrText xml:space="preserve"> REF _Ref402185674 \h </w:instrText>
      </w:r>
      <w:r>
        <w:fldChar w:fldCharType="separate"/>
      </w:r>
      <w:r w:rsidR="003B4BE6" w:rsidRPr="00DD41E4">
        <w:t xml:space="preserve">Table </w:t>
      </w:r>
      <w:r w:rsidR="003B4BE6">
        <w:t>5</w:t>
      </w:r>
      <w:r w:rsidR="003B4BE6">
        <w:noBreakHyphen/>
      </w:r>
      <w:r w:rsidR="003B4BE6">
        <w:rPr>
          <w:noProof/>
        </w:rPr>
        <w:t>2</w:t>
      </w:r>
      <w:r>
        <w:fldChar w:fldCharType="end"/>
      </w:r>
      <w:r>
        <w:t xml:space="preserve"> </w:t>
      </w:r>
      <w:r w:rsidRPr="00D500E8">
        <w:t xml:space="preserve">sets out </w:t>
      </w:r>
      <w:r>
        <w:t>TransGrid</w:t>
      </w:r>
      <w:r w:rsidRPr="00D500E8">
        <w:t>'s</w:t>
      </w:r>
      <w:r w:rsidR="001827B0">
        <w:t xml:space="preserve"> revised</w:t>
      </w:r>
      <w:r w:rsidRPr="00D500E8">
        <w:t xml:space="preserve"> proposed depreciation allowance for </w:t>
      </w:r>
      <w:r w:rsidRPr="001F0B76">
        <w:t xml:space="preserve">the </w:t>
      </w:r>
      <w:r w:rsidR="001827B0">
        <w:br/>
      </w:r>
      <w:r w:rsidRPr="00160CF0">
        <w:rPr>
          <w:rStyle w:val="AERbody"/>
        </w:rPr>
        <w:t>2014–18</w:t>
      </w:r>
      <w:r>
        <w:t xml:space="preserve"> </w:t>
      </w:r>
      <w:r w:rsidRPr="00D500E8">
        <w:t>period.</w:t>
      </w:r>
    </w:p>
    <w:p w:rsidR="003E00B8" w:rsidRDefault="003E00B8" w:rsidP="005B53CC">
      <w:pPr>
        <w:pStyle w:val="AERbulletlistfirststyle"/>
        <w:numPr>
          <w:ilvl w:val="0"/>
          <w:numId w:val="0"/>
        </w:numPr>
      </w:pPr>
    </w:p>
    <w:p w:rsidR="003E00B8" w:rsidRPr="00D500E8" w:rsidRDefault="003E00B8" w:rsidP="005B53CC">
      <w:pPr>
        <w:pStyle w:val="AERbulletlistfirststyle"/>
        <w:numPr>
          <w:ilvl w:val="0"/>
          <w:numId w:val="0"/>
        </w:numPr>
      </w:pPr>
    </w:p>
    <w:p w:rsidR="00193DF3" w:rsidRPr="00DD41E4" w:rsidRDefault="00193DF3" w:rsidP="00193DF3">
      <w:pPr>
        <w:pStyle w:val="Caption"/>
      </w:pPr>
      <w:bookmarkStart w:id="16" w:name="_Ref402185674"/>
      <w:r w:rsidRPr="00DD41E4">
        <w:lastRenderedPageBreak/>
        <w:t xml:space="preserve">Table </w:t>
      </w:r>
      <w:r>
        <w:t>5</w:t>
      </w:r>
      <w:r>
        <w:noBreakHyphen/>
      </w:r>
      <w:r w:rsidRPr="009C7837">
        <w:fldChar w:fldCharType="begin"/>
      </w:r>
      <w:r>
        <w:instrText xml:space="preserve"> SEQ Table \* ARABIC \s 1 </w:instrText>
      </w:r>
      <w:r w:rsidRPr="009C7837">
        <w:fldChar w:fldCharType="separate"/>
      </w:r>
      <w:r w:rsidR="003B4BE6">
        <w:rPr>
          <w:noProof/>
        </w:rPr>
        <w:t>2</w:t>
      </w:r>
      <w:r w:rsidRPr="009C7837">
        <w:fldChar w:fldCharType="end"/>
      </w:r>
      <w:bookmarkEnd w:id="16"/>
      <w:r w:rsidRPr="00DD41E4">
        <w:tab/>
        <w:t>Trans</w:t>
      </w:r>
      <w:r>
        <w:t>Grid</w:t>
      </w:r>
      <w:r w:rsidRPr="00DD41E4">
        <w:t xml:space="preserve">'s </w:t>
      </w:r>
      <w:r w:rsidR="003C679C">
        <w:t xml:space="preserve">revised </w:t>
      </w:r>
      <w:r w:rsidRPr="00DD41E4">
        <w:t>proposed depreciation allowance</w:t>
      </w:r>
      <w:r>
        <w:t xml:space="preserve"> for the </w:t>
      </w:r>
      <w:r w:rsidRPr="00DD41E4">
        <w:t>2014–1</w:t>
      </w:r>
      <w:r>
        <w:t>8</w:t>
      </w:r>
      <w:r w:rsidRPr="00DD41E4">
        <w:t xml:space="preserve"> period ($ million, nominal)</w:t>
      </w:r>
    </w:p>
    <w:tbl>
      <w:tblPr>
        <w:tblStyle w:val="AERtable-numbers"/>
        <w:tblW w:w="8758" w:type="dxa"/>
        <w:tblLook w:val="04A0" w:firstRow="1" w:lastRow="0" w:firstColumn="1" w:lastColumn="0" w:noHBand="0" w:noVBand="1"/>
      </w:tblPr>
      <w:tblGrid>
        <w:gridCol w:w="3227"/>
        <w:gridCol w:w="1106"/>
        <w:gridCol w:w="1106"/>
        <w:gridCol w:w="1106"/>
        <w:gridCol w:w="1106"/>
        <w:gridCol w:w="1107"/>
      </w:tblGrid>
      <w:tr w:rsidR="00193DF3" w:rsidRPr="003C679C" w:rsidTr="001C58D4">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227" w:type="dxa"/>
          </w:tcPr>
          <w:p w:rsidR="00193DF3" w:rsidRPr="003C679C" w:rsidRDefault="00193DF3" w:rsidP="003C679C"/>
        </w:tc>
        <w:tc>
          <w:tcPr>
            <w:tcW w:w="1106" w:type="dxa"/>
          </w:tcPr>
          <w:p w:rsidR="00193DF3" w:rsidRPr="003C679C" w:rsidRDefault="00193DF3" w:rsidP="003C679C">
            <w:pPr>
              <w:cnfStyle w:val="100000000000" w:firstRow="1" w:lastRow="0" w:firstColumn="0" w:lastColumn="0" w:oddVBand="0" w:evenVBand="0" w:oddHBand="0" w:evenHBand="0" w:firstRowFirstColumn="0" w:firstRowLastColumn="0" w:lastRowFirstColumn="0" w:lastRowLastColumn="0"/>
            </w:pPr>
            <w:r w:rsidRPr="003C679C">
              <w:t>2014–15</w:t>
            </w:r>
          </w:p>
        </w:tc>
        <w:tc>
          <w:tcPr>
            <w:tcW w:w="1106" w:type="dxa"/>
          </w:tcPr>
          <w:p w:rsidR="00193DF3" w:rsidRPr="003C679C" w:rsidRDefault="00193DF3" w:rsidP="003C679C">
            <w:pPr>
              <w:cnfStyle w:val="100000000000" w:firstRow="1" w:lastRow="0" w:firstColumn="0" w:lastColumn="0" w:oddVBand="0" w:evenVBand="0" w:oddHBand="0" w:evenHBand="0" w:firstRowFirstColumn="0" w:firstRowLastColumn="0" w:lastRowFirstColumn="0" w:lastRowLastColumn="0"/>
            </w:pPr>
            <w:r w:rsidRPr="003C679C">
              <w:t>2015–16</w:t>
            </w:r>
          </w:p>
        </w:tc>
        <w:tc>
          <w:tcPr>
            <w:tcW w:w="1106" w:type="dxa"/>
          </w:tcPr>
          <w:p w:rsidR="00193DF3" w:rsidRPr="003C679C" w:rsidRDefault="00193DF3" w:rsidP="003C679C">
            <w:pPr>
              <w:cnfStyle w:val="100000000000" w:firstRow="1" w:lastRow="0" w:firstColumn="0" w:lastColumn="0" w:oddVBand="0" w:evenVBand="0" w:oddHBand="0" w:evenHBand="0" w:firstRowFirstColumn="0" w:firstRowLastColumn="0" w:lastRowFirstColumn="0" w:lastRowLastColumn="0"/>
            </w:pPr>
            <w:r w:rsidRPr="003C679C">
              <w:t>2016–17</w:t>
            </w:r>
          </w:p>
        </w:tc>
        <w:tc>
          <w:tcPr>
            <w:tcW w:w="1106" w:type="dxa"/>
          </w:tcPr>
          <w:p w:rsidR="00193DF3" w:rsidRPr="003C679C" w:rsidRDefault="00193DF3" w:rsidP="003C679C">
            <w:pPr>
              <w:cnfStyle w:val="100000000000" w:firstRow="1" w:lastRow="0" w:firstColumn="0" w:lastColumn="0" w:oddVBand="0" w:evenVBand="0" w:oddHBand="0" w:evenHBand="0" w:firstRowFirstColumn="0" w:firstRowLastColumn="0" w:lastRowFirstColumn="0" w:lastRowLastColumn="0"/>
            </w:pPr>
            <w:r w:rsidRPr="003C679C">
              <w:t>2017–18</w:t>
            </w:r>
          </w:p>
        </w:tc>
        <w:tc>
          <w:tcPr>
            <w:tcW w:w="1107" w:type="dxa"/>
          </w:tcPr>
          <w:p w:rsidR="00193DF3" w:rsidRPr="003C679C" w:rsidRDefault="00193DF3" w:rsidP="003C679C">
            <w:pPr>
              <w:cnfStyle w:val="100000000000" w:firstRow="1" w:lastRow="0" w:firstColumn="0" w:lastColumn="0" w:oddVBand="0" w:evenVBand="0" w:oddHBand="0" w:evenHBand="0" w:firstRowFirstColumn="0" w:firstRowLastColumn="0" w:lastRowFirstColumn="0" w:lastRowLastColumn="0"/>
            </w:pPr>
            <w:r w:rsidRPr="003C679C">
              <w:t>Total</w:t>
            </w:r>
          </w:p>
        </w:tc>
      </w:tr>
      <w:tr w:rsidR="00193DF3" w:rsidRPr="003C679C" w:rsidTr="001C58D4">
        <w:trPr>
          <w:trHeight w:val="297"/>
        </w:trPr>
        <w:tc>
          <w:tcPr>
            <w:cnfStyle w:val="001000000000" w:firstRow="0" w:lastRow="0" w:firstColumn="1" w:lastColumn="0" w:oddVBand="0" w:evenVBand="0" w:oddHBand="0" w:evenHBand="0" w:firstRowFirstColumn="0" w:firstRowLastColumn="0" w:lastRowFirstColumn="0" w:lastRowLastColumn="0"/>
            <w:tcW w:w="3227" w:type="dxa"/>
          </w:tcPr>
          <w:p w:rsidR="00193DF3" w:rsidRPr="003C679C" w:rsidRDefault="00193DF3" w:rsidP="003C679C">
            <w:r w:rsidRPr="003C679C">
              <w:t>Straight-line depreciation</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pPr>
            <w:r w:rsidRPr="003C679C">
              <w:t>243.2</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pPr>
            <w:r w:rsidRPr="003C679C">
              <w:t>264.3</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pPr>
            <w:r w:rsidRPr="003C679C">
              <w:t>287.3</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pPr>
            <w:r w:rsidRPr="003C679C">
              <w:t>277.7</w:t>
            </w:r>
          </w:p>
        </w:tc>
        <w:tc>
          <w:tcPr>
            <w:tcW w:w="1107"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pPr>
            <w:r w:rsidRPr="003C679C">
              <w:t>1072.5</w:t>
            </w:r>
          </w:p>
        </w:tc>
      </w:tr>
      <w:tr w:rsidR="00193DF3" w:rsidRPr="003C679C" w:rsidTr="001C58D4">
        <w:trPr>
          <w:cnfStyle w:val="000000010000" w:firstRow="0" w:lastRow="0" w:firstColumn="0" w:lastColumn="0" w:oddVBand="0" w:evenVBand="0" w:oddHBand="0" w:evenHBand="1"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3227" w:type="dxa"/>
          </w:tcPr>
          <w:p w:rsidR="00193DF3" w:rsidRPr="003C679C" w:rsidRDefault="00193DF3" w:rsidP="001C58D4">
            <w:r w:rsidRPr="00500D5B">
              <w:rPr>
                <w:rStyle w:val="AERtextitalic"/>
              </w:rPr>
              <w:t>Less:</w:t>
            </w:r>
            <w:r w:rsidRPr="003C679C">
              <w:t xml:space="preserve"> </w:t>
            </w:r>
            <w:r w:rsidR="001C58D4">
              <w:t>inflation</w:t>
            </w:r>
            <w:r w:rsidR="005B53CC" w:rsidRPr="00F5632A">
              <w:t xml:space="preserve"> indexation on opening RAB</w:t>
            </w:r>
          </w:p>
        </w:tc>
        <w:tc>
          <w:tcPr>
            <w:tcW w:w="1106" w:type="dxa"/>
          </w:tcPr>
          <w:p w:rsidR="00193DF3" w:rsidRPr="003C679C" w:rsidRDefault="003C679C" w:rsidP="003C679C">
            <w:pPr>
              <w:cnfStyle w:val="000000010000" w:firstRow="0" w:lastRow="0" w:firstColumn="0" w:lastColumn="0" w:oddVBand="0" w:evenVBand="0" w:oddHBand="0" w:evenHBand="1" w:firstRowFirstColumn="0" w:firstRowLastColumn="0" w:lastRowFirstColumn="0" w:lastRowLastColumn="0"/>
            </w:pPr>
            <w:r>
              <w:t>151.9</w:t>
            </w:r>
          </w:p>
        </w:tc>
        <w:tc>
          <w:tcPr>
            <w:tcW w:w="1106" w:type="dxa"/>
          </w:tcPr>
          <w:p w:rsidR="00193DF3" w:rsidRPr="003C679C" w:rsidRDefault="003C679C" w:rsidP="003C679C">
            <w:pPr>
              <w:cnfStyle w:val="000000010000" w:firstRow="0" w:lastRow="0" w:firstColumn="0" w:lastColumn="0" w:oddVBand="0" w:evenVBand="0" w:oddHBand="0" w:evenHBand="1" w:firstRowFirstColumn="0" w:firstRowLastColumn="0" w:lastRowFirstColumn="0" w:lastRowLastColumn="0"/>
            </w:pPr>
            <w:r>
              <w:t>158.6</w:t>
            </w:r>
          </w:p>
        </w:tc>
        <w:tc>
          <w:tcPr>
            <w:tcW w:w="1106" w:type="dxa"/>
          </w:tcPr>
          <w:p w:rsidR="00193DF3" w:rsidRPr="003C679C" w:rsidRDefault="003C679C" w:rsidP="003C679C">
            <w:pPr>
              <w:cnfStyle w:val="000000010000" w:firstRow="0" w:lastRow="0" w:firstColumn="0" w:lastColumn="0" w:oddVBand="0" w:evenVBand="0" w:oddHBand="0" w:evenHBand="1" w:firstRowFirstColumn="0" w:firstRowLastColumn="0" w:lastRowFirstColumn="0" w:lastRowLastColumn="0"/>
            </w:pPr>
            <w:r>
              <w:t>166.4</w:t>
            </w:r>
          </w:p>
        </w:tc>
        <w:tc>
          <w:tcPr>
            <w:tcW w:w="1106" w:type="dxa"/>
          </w:tcPr>
          <w:p w:rsidR="00193DF3" w:rsidRPr="003C679C" w:rsidRDefault="003C679C" w:rsidP="003C679C">
            <w:pPr>
              <w:cnfStyle w:val="000000010000" w:firstRow="0" w:lastRow="0" w:firstColumn="0" w:lastColumn="0" w:oddVBand="0" w:evenVBand="0" w:oddHBand="0" w:evenHBand="1" w:firstRowFirstColumn="0" w:firstRowLastColumn="0" w:lastRowFirstColumn="0" w:lastRowLastColumn="0"/>
            </w:pPr>
            <w:r>
              <w:t>171.2</w:t>
            </w:r>
          </w:p>
        </w:tc>
        <w:tc>
          <w:tcPr>
            <w:tcW w:w="1107" w:type="dxa"/>
          </w:tcPr>
          <w:p w:rsidR="00193DF3" w:rsidRPr="003C679C" w:rsidRDefault="003B5053" w:rsidP="003C679C">
            <w:pPr>
              <w:cnfStyle w:val="000000010000" w:firstRow="0" w:lastRow="0" w:firstColumn="0" w:lastColumn="0" w:oddVBand="0" w:evenVBand="0" w:oddHBand="0" w:evenHBand="1" w:firstRowFirstColumn="0" w:firstRowLastColumn="0" w:lastRowFirstColumn="0" w:lastRowLastColumn="0"/>
            </w:pPr>
            <w:r>
              <w:t>648.1</w:t>
            </w:r>
          </w:p>
        </w:tc>
      </w:tr>
      <w:tr w:rsidR="00193DF3" w:rsidRPr="003C679C" w:rsidTr="001C58D4">
        <w:trPr>
          <w:trHeight w:val="183"/>
        </w:trPr>
        <w:tc>
          <w:tcPr>
            <w:cnfStyle w:val="001000000000" w:firstRow="0" w:lastRow="0" w:firstColumn="1" w:lastColumn="0" w:oddVBand="0" w:evenVBand="0" w:oddHBand="0" w:evenHBand="0" w:firstRowFirstColumn="0" w:firstRowLastColumn="0" w:lastRowFirstColumn="0" w:lastRowLastColumn="0"/>
            <w:tcW w:w="3227" w:type="dxa"/>
          </w:tcPr>
          <w:p w:rsidR="00193DF3" w:rsidRPr="003C679C" w:rsidRDefault="00193DF3" w:rsidP="003C679C">
            <w:pPr>
              <w:rPr>
                <w:rStyle w:val="Strong"/>
              </w:rPr>
            </w:pPr>
            <w:r w:rsidRPr="003C679C">
              <w:rPr>
                <w:rStyle w:val="Strong"/>
              </w:rPr>
              <w:t>Regulatory depreciation</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rPr>
                <w:rStyle w:val="Strong"/>
              </w:rPr>
            </w:pPr>
            <w:r w:rsidRPr="003C679C">
              <w:rPr>
                <w:rStyle w:val="Strong"/>
              </w:rPr>
              <w:t>91.3</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rPr>
                <w:rStyle w:val="Strong"/>
              </w:rPr>
            </w:pPr>
            <w:r w:rsidRPr="003C679C">
              <w:rPr>
                <w:rStyle w:val="Strong"/>
              </w:rPr>
              <w:t>105.8</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rPr>
                <w:rStyle w:val="Strong"/>
              </w:rPr>
            </w:pPr>
            <w:r w:rsidRPr="003C679C">
              <w:rPr>
                <w:rStyle w:val="Strong"/>
              </w:rPr>
              <w:t>120.9</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rPr>
                <w:rStyle w:val="Strong"/>
              </w:rPr>
            </w:pPr>
            <w:r w:rsidRPr="003C679C">
              <w:rPr>
                <w:rStyle w:val="Strong"/>
              </w:rPr>
              <w:t>105.8</w:t>
            </w:r>
          </w:p>
        </w:tc>
        <w:tc>
          <w:tcPr>
            <w:tcW w:w="1107" w:type="dxa"/>
          </w:tcPr>
          <w:p w:rsidR="00193DF3" w:rsidRPr="003C679C" w:rsidRDefault="003B5053" w:rsidP="003C679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423.8</w:t>
            </w:r>
          </w:p>
        </w:tc>
      </w:tr>
    </w:tbl>
    <w:p w:rsidR="00193DF3" w:rsidRPr="003C679C" w:rsidRDefault="00193DF3" w:rsidP="003C679C">
      <w:pPr>
        <w:pStyle w:val="AERtablesource"/>
      </w:pPr>
      <w:r w:rsidRPr="003C679C">
        <w:t>Source:</w:t>
      </w:r>
      <w:r w:rsidRPr="003C679C">
        <w:tab/>
        <w:t>TransGrid,</w:t>
      </w:r>
      <w:r w:rsidR="003C679C" w:rsidRPr="003C679C">
        <w:t xml:space="preserve"> </w:t>
      </w:r>
      <w:r w:rsidR="003C679C" w:rsidRPr="00252729">
        <w:rPr>
          <w:rStyle w:val="AERtextitalic"/>
        </w:rPr>
        <w:t xml:space="preserve">Revised revenue </w:t>
      </w:r>
      <w:r w:rsidRPr="00252729">
        <w:rPr>
          <w:rStyle w:val="AERtextitalic"/>
        </w:rPr>
        <w:t>proposal</w:t>
      </w:r>
      <w:r w:rsidRPr="003C679C">
        <w:t>,</w:t>
      </w:r>
      <w:r w:rsidR="00252729">
        <w:t xml:space="preserve"> January 2015,</w:t>
      </w:r>
      <w:r w:rsidRPr="003C679C">
        <w:t xml:space="preserve"> p. </w:t>
      </w:r>
      <w:r w:rsidR="003C679C" w:rsidRPr="003C679C">
        <w:t>127</w:t>
      </w:r>
      <w:r w:rsidRPr="003C679C">
        <w:t>.</w:t>
      </w:r>
    </w:p>
    <w:p w:rsidR="00DE563D" w:rsidRDefault="00DE563D" w:rsidP="001754EE">
      <w:pPr>
        <w:pStyle w:val="Heading2"/>
      </w:pPr>
      <w:bookmarkStart w:id="17" w:name="_Toc403144138"/>
      <w:bookmarkStart w:id="18" w:name="_Toc413755204"/>
      <w:r w:rsidRPr="001754EE">
        <w:t>AER’s</w:t>
      </w:r>
      <w:r>
        <w:t xml:space="preserve"> assessment approach</w:t>
      </w:r>
      <w:bookmarkEnd w:id="17"/>
      <w:bookmarkEnd w:id="18"/>
    </w:p>
    <w:p w:rsidR="00472D4B" w:rsidRDefault="00252729" w:rsidP="004D2996">
      <w:bookmarkStart w:id="19" w:name="_Toc403144140"/>
      <w:r w:rsidRPr="00BD5D87">
        <w:t xml:space="preserve">We did not change our assessment approach for </w:t>
      </w:r>
      <w:r w:rsidR="0012211A">
        <w:t xml:space="preserve">the regulatory depreciation allowance </w:t>
      </w:r>
      <w:r w:rsidRPr="00BD5D87">
        <w:t>fr</w:t>
      </w:r>
      <w:r>
        <w:t>om our draft decision. Section 5</w:t>
      </w:r>
      <w:r w:rsidRPr="00BD5D87">
        <w:t>.3 of our draft decision details that approach.</w:t>
      </w:r>
    </w:p>
    <w:p w:rsidR="003C679C" w:rsidRDefault="00DE563D" w:rsidP="00252729">
      <w:pPr>
        <w:pStyle w:val="Heading2"/>
      </w:pPr>
      <w:bookmarkStart w:id="20" w:name="_Toc413755205"/>
      <w:r w:rsidRPr="001754EE">
        <w:t>Reasons</w:t>
      </w:r>
      <w:r>
        <w:t xml:space="preserve"> for </w:t>
      </w:r>
      <w:r w:rsidR="002016E7">
        <w:t>final</w:t>
      </w:r>
      <w:r>
        <w:t xml:space="preserve"> decision</w:t>
      </w:r>
      <w:bookmarkEnd w:id="19"/>
      <w:bookmarkEnd w:id="20"/>
      <w:r>
        <w:t xml:space="preserve"> </w:t>
      </w:r>
    </w:p>
    <w:p w:rsidR="004D2996" w:rsidRDefault="003C679C" w:rsidP="004517AE">
      <w:r w:rsidRPr="003C679C">
        <w:t xml:space="preserve">We accept TransGrid's proposed depreciation </w:t>
      </w:r>
      <w:r>
        <w:t>method</w:t>
      </w:r>
      <w:r w:rsidRPr="003C679C">
        <w:t xml:space="preserve"> set out in its revised proposal. </w:t>
      </w:r>
      <w:r w:rsidR="005C1C34">
        <w:t>However, we</w:t>
      </w:r>
      <w:r w:rsidR="00E26F35">
        <w:t xml:space="preserve"> </w:t>
      </w:r>
      <w:r w:rsidR="003B5053">
        <w:t>increased</w:t>
      </w:r>
      <w:r w:rsidR="00E26F35">
        <w:t xml:space="preserve"> TransGrid's </w:t>
      </w:r>
      <w:r w:rsidR="005C1C34">
        <w:t xml:space="preserve">revised proposed forecast </w:t>
      </w:r>
      <w:r w:rsidR="00E26F35">
        <w:t xml:space="preserve">regulatory depreciation allowance </w:t>
      </w:r>
      <w:r w:rsidR="005C1C34">
        <w:t>by</w:t>
      </w:r>
      <w:r w:rsidR="00E26F35">
        <w:t xml:space="preserve"> $</w:t>
      </w:r>
      <w:r w:rsidR="000A16AA">
        <w:t>27.3</w:t>
      </w:r>
      <w:r w:rsidR="00E26F35">
        <w:t xml:space="preserve"> million (</w:t>
      </w:r>
      <w:r w:rsidR="000019A3">
        <w:t xml:space="preserve">or </w:t>
      </w:r>
      <w:r w:rsidR="003B5053">
        <w:t>6.</w:t>
      </w:r>
      <w:r w:rsidR="000A16AA">
        <w:t>4</w:t>
      </w:r>
      <w:r w:rsidR="00E26F35">
        <w:t xml:space="preserve"> per cent)</w:t>
      </w:r>
      <w:r w:rsidR="005C1C34">
        <w:t xml:space="preserve"> to $</w:t>
      </w:r>
      <w:r w:rsidR="000A16AA">
        <w:t>451.0</w:t>
      </w:r>
      <w:r w:rsidR="005C1C34">
        <w:t xml:space="preserve"> million ($ nominal)</w:t>
      </w:r>
      <w:r w:rsidR="000019A3">
        <w:t xml:space="preserve">. </w:t>
      </w:r>
      <w:r w:rsidR="004D2996">
        <w:t>O</w:t>
      </w:r>
      <w:r w:rsidR="005C1C34">
        <w:t>ur amendment is driven by o</w:t>
      </w:r>
      <w:r w:rsidR="005C1C34" w:rsidRPr="00772791">
        <w:t>ur</w:t>
      </w:r>
      <w:r w:rsidR="004D2996">
        <w:t>:</w:t>
      </w:r>
    </w:p>
    <w:p w:rsidR="004D2996" w:rsidRDefault="004D2996" w:rsidP="004D2996">
      <w:pPr>
        <w:pStyle w:val="AERbulletlistfirststyle"/>
      </w:pPr>
      <w:r>
        <w:t>updates to the remaining asset lives (section</w:t>
      </w:r>
      <w:r w:rsidR="00F40DA7">
        <w:t xml:space="preserve"> </w:t>
      </w:r>
      <w:r w:rsidR="00F40DA7">
        <w:fldChar w:fldCharType="begin"/>
      </w:r>
      <w:r w:rsidR="00F40DA7">
        <w:instrText xml:space="preserve"> REF _Ref413755284 \r \h </w:instrText>
      </w:r>
      <w:r w:rsidR="00F40DA7">
        <w:fldChar w:fldCharType="separate"/>
      </w:r>
      <w:r w:rsidR="003B4BE6">
        <w:t>5.4.2</w:t>
      </w:r>
      <w:r w:rsidR="00F40DA7">
        <w:fldChar w:fldCharType="end"/>
      </w:r>
      <w:r>
        <w:t>)</w:t>
      </w:r>
    </w:p>
    <w:p w:rsidR="00DE3722" w:rsidRDefault="005C1C34" w:rsidP="00C6788B">
      <w:pPr>
        <w:pStyle w:val="AERbulletlistfirststyle"/>
      </w:pPr>
      <w:r w:rsidRPr="00772791">
        <w:t>determination</w:t>
      </w:r>
      <w:r w:rsidR="004D2996">
        <w:t>s</w:t>
      </w:r>
      <w:r w:rsidRPr="00772791">
        <w:t xml:space="preserve"> on other components of </w:t>
      </w:r>
      <w:r>
        <w:t>TransGrid's</w:t>
      </w:r>
      <w:r w:rsidRPr="00772791">
        <w:t xml:space="preserve"> re</w:t>
      </w:r>
      <w:r>
        <w:t xml:space="preserve">vised </w:t>
      </w:r>
      <w:r w:rsidRPr="00772791">
        <w:t>proposal</w:t>
      </w:r>
      <w:r>
        <w:t>, such as</w:t>
      </w:r>
      <w:r w:rsidR="003C679C" w:rsidRPr="003C679C">
        <w:t xml:space="preserve"> </w:t>
      </w:r>
      <w:r w:rsidR="00C26E36">
        <w:t>the</w:t>
      </w:r>
      <w:r>
        <w:t xml:space="preserve"> opening RAB value (attachment 2),</w:t>
      </w:r>
      <w:r w:rsidR="00C26E36">
        <w:t xml:space="preserve"> forecast inflation (attachment </w:t>
      </w:r>
      <w:r>
        <w:t>3</w:t>
      </w:r>
      <w:r w:rsidR="00C26E36">
        <w:t xml:space="preserve">), </w:t>
      </w:r>
      <w:r w:rsidR="004D2996">
        <w:t xml:space="preserve">and </w:t>
      </w:r>
      <w:r w:rsidR="003C679C" w:rsidRPr="003C679C">
        <w:t>forecast capex (attachment 6)</w:t>
      </w:r>
      <w:r w:rsidR="00472D4B">
        <w:t xml:space="preserve">, </w:t>
      </w:r>
      <w:r w:rsidR="005E20C7">
        <w:t>which affect the forecast regulatory depreciation allowance</w:t>
      </w:r>
      <w:r w:rsidR="004517AE" w:rsidRPr="00CA77A4">
        <w:t>.</w:t>
      </w:r>
      <w:r w:rsidR="00C6788B">
        <w:t> </w:t>
      </w:r>
      <w:r w:rsidR="003E00B8">
        <w:t xml:space="preserve">In particular, the </w:t>
      </w:r>
      <w:r w:rsidR="003B5053">
        <w:t>use of a</w:t>
      </w:r>
      <w:r w:rsidR="00DE3722" w:rsidRPr="00F83034">
        <w:t xml:space="preserve"> lower forecast inflation rate means </w:t>
      </w:r>
      <w:r w:rsidR="003E00B8">
        <w:t xml:space="preserve">that </w:t>
      </w:r>
      <w:r w:rsidR="00DE3722" w:rsidRPr="00F83034">
        <w:t>the resulting regulatory depreciation allowance (which nets out the inflation indexation on the opening RAB) is higher than proposed.</w:t>
      </w:r>
    </w:p>
    <w:p w:rsidR="00193DF3" w:rsidRDefault="00193DF3" w:rsidP="001754EE">
      <w:pPr>
        <w:pStyle w:val="Heading3"/>
      </w:pPr>
      <w:bookmarkStart w:id="21" w:name="_Ref412801524"/>
      <w:bookmarkStart w:id="22" w:name="_Toc413755206"/>
      <w:r>
        <w:t>Standard asset lives</w:t>
      </w:r>
      <w:bookmarkEnd w:id="21"/>
      <w:bookmarkEnd w:id="22"/>
    </w:p>
    <w:p w:rsidR="004517AE" w:rsidRDefault="004517AE" w:rsidP="004517AE">
      <w:r>
        <w:t xml:space="preserve">Consistent with our draft decision, we accept TransGrid's proposed standard asset lives, which include the following changes to the standard asset lives for: </w:t>
      </w:r>
    </w:p>
    <w:p w:rsidR="004517AE" w:rsidRPr="000E130B" w:rsidRDefault="004517AE" w:rsidP="000E130B">
      <w:pPr>
        <w:pStyle w:val="AERbulletlistfirststyle"/>
      </w:pPr>
      <w:r w:rsidRPr="000E130B">
        <w:t>'Underground cables 2014–18'</w:t>
      </w:r>
      <w:r w:rsidR="00B50922">
        <w:t xml:space="preserve"> asset class</w:t>
      </w:r>
      <w:r w:rsidRPr="000E130B">
        <w:t xml:space="preserve"> (to 45 years from 50 years). </w:t>
      </w:r>
    </w:p>
    <w:p w:rsidR="004517AE" w:rsidRPr="000E130B" w:rsidRDefault="004517AE" w:rsidP="000E130B">
      <w:pPr>
        <w:pStyle w:val="AERbulletlistfirststyle"/>
      </w:pPr>
      <w:r w:rsidRPr="000E130B">
        <w:t xml:space="preserve">'Secondary systems 2014–18' </w:t>
      </w:r>
      <w:r w:rsidR="00B50922">
        <w:t xml:space="preserve">asset class </w:t>
      </w:r>
      <w:r w:rsidRPr="000E130B">
        <w:t>(to 15 years from 35 years).</w:t>
      </w:r>
    </w:p>
    <w:p w:rsidR="004517AE" w:rsidRPr="000E130B" w:rsidRDefault="004517AE" w:rsidP="000E130B">
      <w:pPr>
        <w:pStyle w:val="AERbulletlistfirststyle"/>
      </w:pPr>
      <w:r w:rsidRPr="000E130B">
        <w:t xml:space="preserve">'Communications 2014–18' </w:t>
      </w:r>
      <w:r w:rsidR="00B50922">
        <w:t xml:space="preserve">asset class </w:t>
      </w:r>
      <w:r w:rsidRPr="000E130B">
        <w:t>(to 10 years from 35 years).</w:t>
      </w:r>
    </w:p>
    <w:p w:rsidR="004517AE" w:rsidRPr="000E130B" w:rsidRDefault="004517AE" w:rsidP="000E130B">
      <w:pPr>
        <w:pStyle w:val="AERbulletlistfirststyle"/>
      </w:pPr>
      <w:r w:rsidRPr="000E130B">
        <w:t>The new asset class 'Transmission line life extension' of 25 years.</w:t>
      </w:r>
    </w:p>
    <w:p w:rsidR="000029F0" w:rsidRDefault="000A69B9" w:rsidP="00984628">
      <w:pPr>
        <w:numPr>
          <w:ilvl w:val="0"/>
          <w:numId w:val="25"/>
        </w:numPr>
      </w:pPr>
      <w:r>
        <w:t>We are satisfied these proposed standard asset lives reflect the nature of the assets</w:t>
      </w:r>
      <w:r w:rsidRPr="00196D33">
        <w:t xml:space="preserve"> </w:t>
      </w:r>
      <w:r>
        <w:t xml:space="preserve">over the </w:t>
      </w:r>
      <w:r w:rsidRPr="00196D33">
        <w:t>economic lives of the asset</w:t>
      </w:r>
      <w:r>
        <w:t xml:space="preserve"> classes.</w:t>
      </w:r>
      <w:r>
        <w:rPr>
          <w:rStyle w:val="FootnoteReference"/>
        </w:rPr>
        <w:footnoteReference w:id="4"/>
      </w:r>
    </w:p>
    <w:p w:rsidR="00C7552E" w:rsidRDefault="005E20C7" w:rsidP="00984628">
      <w:pPr>
        <w:numPr>
          <w:ilvl w:val="0"/>
          <w:numId w:val="25"/>
        </w:numPr>
      </w:pPr>
      <w:r>
        <w:lastRenderedPageBreak/>
        <w:t>We note</w:t>
      </w:r>
      <w:r w:rsidR="00472D4B">
        <w:t xml:space="preserve"> that the Energy Markets Reform Forum</w:t>
      </w:r>
      <w:r w:rsidR="00C7552E">
        <w:t>'s</w:t>
      </w:r>
      <w:r w:rsidR="00472D4B">
        <w:t xml:space="preserve"> (EMRF) </w:t>
      </w:r>
      <w:r w:rsidR="00C7552E">
        <w:t>submission</w:t>
      </w:r>
      <w:r w:rsidR="00472D4B">
        <w:t xml:space="preserve"> </w:t>
      </w:r>
      <w:r w:rsidR="00984628">
        <w:t>raised concerns with the scale of some of the standard asset class changes, in particular with the 'Secondary systems' asset classes.</w:t>
      </w:r>
      <w:r w:rsidR="00234D75">
        <w:rPr>
          <w:rStyle w:val="FootnoteReference"/>
        </w:rPr>
        <w:footnoteReference w:id="5"/>
      </w:r>
      <w:r w:rsidR="00984628">
        <w:t xml:space="preserve"> Consistent with our draft decision, we are satisfied that TransGrid's proposed standard asset lives are </w:t>
      </w:r>
      <w:r w:rsidR="00984628" w:rsidRPr="000549C7">
        <w:t>comparable with th</w:t>
      </w:r>
      <w:r w:rsidR="00984628">
        <w:t>ose</w:t>
      </w:r>
      <w:r w:rsidR="00984628" w:rsidRPr="000549C7">
        <w:t xml:space="preserve"> approved in our recent transmission determinations for other TNSPs</w:t>
      </w:r>
      <w:r w:rsidR="00984628">
        <w:t xml:space="preserve">. In the case of the 'Secondary systems' asset class, we consider our decision is appropriate because the new assets allocated to this class comprise of </w:t>
      </w:r>
      <w:r w:rsidR="00984628" w:rsidRPr="00984628">
        <w:t>modern digital electronic protection and control devices</w:t>
      </w:r>
      <w:r w:rsidR="00984628">
        <w:t xml:space="preserve"> which</w:t>
      </w:r>
      <w:r w:rsidR="00984628" w:rsidRPr="00984628">
        <w:t xml:space="preserve"> have</w:t>
      </w:r>
      <w:r w:rsidR="00984628">
        <w:t xml:space="preserve"> a</w:t>
      </w:r>
      <w:r w:rsidR="00984628" w:rsidRPr="00984628">
        <w:t xml:space="preserve"> shorter economic life than their electromechanical predecessors.</w:t>
      </w:r>
    </w:p>
    <w:p w:rsidR="007C109F" w:rsidRDefault="006447CE" w:rsidP="00984628">
      <w:pPr>
        <w:numPr>
          <w:ilvl w:val="0"/>
          <w:numId w:val="25"/>
        </w:numPr>
      </w:pPr>
      <w:r>
        <w:t>The</w:t>
      </w:r>
      <w:r w:rsidR="007C109F">
        <w:t xml:space="preserve"> EMRF</w:t>
      </w:r>
      <w:r w:rsidR="00A74DAF">
        <w:t xml:space="preserve"> </w:t>
      </w:r>
      <w:r>
        <w:t>raised a second concern relating</w:t>
      </w:r>
      <w:r w:rsidR="007C109F">
        <w:t xml:space="preserve"> to the introduction of the 'Transmission line life extension' asset class. </w:t>
      </w:r>
      <w:r w:rsidR="00BA49A6">
        <w:t>It</w:t>
      </w:r>
      <w:r w:rsidR="007C109F">
        <w:t xml:space="preserve"> </w:t>
      </w:r>
      <w:r w:rsidR="00BA49A6">
        <w:t>submitted</w:t>
      </w:r>
      <w:r w:rsidR="007C109F">
        <w:t xml:space="preserve"> that the residual (undepreciated) amount of the underlying transmission line assets</w:t>
      </w:r>
      <w:r>
        <w:t>, subject to life extension works,</w:t>
      </w:r>
      <w:r w:rsidR="007C109F">
        <w:t xml:space="preserve"> should be depreciated at the extended life.</w:t>
      </w:r>
    </w:p>
    <w:p w:rsidR="00984628" w:rsidRDefault="000A69B9" w:rsidP="00984628">
      <w:pPr>
        <w:numPr>
          <w:ilvl w:val="0"/>
          <w:numId w:val="25"/>
        </w:numPr>
      </w:pPr>
      <w:r>
        <w:t xml:space="preserve">We consider this </w:t>
      </w:r>
      <w:r w:rsidR="00C749B4">
        <w:t xml:space="preserve">a valid </w:t>
      </w:r>
      <w:r>
        <w:t>point. In reviewing TransGrid's proposed transmission line</w:t>
      </w:r>
      <w:r w:rsidR="007C5617">
        <w:t xml:space="preserve"> asset</w:t>
      </w:r>
      <w:r>
        <w:t>s targeted for life extension, we note that the majority (11 out of 13)</w:t>
      </w:r>
      <w:r w:rsidR="007104C5">
        <w:t xml:space="preserve"> of the underlying transmission line</w:t>
      </w:r>
      <w:r w:rsidR="007C5617">
        <w:t>s</w:t>
      </w:r>
      <w:r w:rsidR="007104C5">
        <w:t xml:space="preserve"> are fully depreciated.</w:t>
      </w:r>
      <w:r w:rsidR="007C5617">
        <w:rPr>
          <w:rStyle w:val="FootnoteReference"/>
        </w:rPr>
        <w:footnoteReference w:id="6"/>
      </w:r>
      <w:r w:rsidR="007104C5">
        <w:t xml:space="preserve"> The other two underlying transmission line</w:t>
      </w:r>
      <w:r w:rsidR="007C5617">
        <w:t xml:space="preserve">s </w:t>
      </w:r>
      <w:r w:rsidR="007104C5">
        <w:t xml:space="preserve">are close to being depreciated. Therefore, revising the remaining asset lives for these two lines </w:t>
      </w:r>
      <w:r w:rsidR="00790318">
        <w:t xml:space="preserve">in the manner suggested by EMRF </w:t>
      </w:r>
      <w:r w:rsidR="007104C5">
        <w:t>would not have a material impact on the depreciation calculations in this case.</w:t>
      </w:r>
      <w:r w:rsidR="00790318">
        <w:rPr>
          <w:rStyle w:val="FootnoteReference"/>
        </w:rPr>
        <w:footnoteReference w:id="7"/>
      </w:r>
      <w:r w:rsidR="007104C5">
        <w:t xml:space="preserve"> </w:t>
      </w:r>
      <w:r w:rsidR="007C5617">
        <w:t>Given this, we have decided not to adjust the remaining asset lives for the undepreciated amounts associated with the two underlying transmission line assets.</w:t>
      </w:r>
    </w:p>
    <w:p w:rsidR="00C7552E" w:rsidRDefault="00C7552E" w:rsidP="004517AE">
      <w:pPr>
        <w:numPr>
          <w:ilvl w:val="0"/>
          <w:numId w:val="25"/>
        </w:numPr>
      </w:pPr>
      <w:r>
        <w:fldChar w:fldCharType="begin"/>
      </w:r>
      <w:r>
        <w:instrText xml:space="preserve"> REF _Ref402185769 \h </w:instrText>
      </w:r>
      <w:r>
        <w:fldChar w:fldCharType="separate"/>
      </w:r>
      <w:r w:rsidR="003B4BE6" w:rsidRPr="00725E0C">
        <w:t xml:space="preserve">Table </w:t>
      </w:r>
      <w:r w:rsidR="003B4BE6">
        <w:t>5</w:t>
      </w:r>
      <w:r w:rsidR="003B4BE6">
        <w:noBreakHyphen/>
      </w:r>
      <w:r w:rsidR="003B4BE6">
        <w:rPr>
          <w:noProof/>
        </w:rPr>
        <w:t>3</w:t>
      </w:r>
      <w:r>
        <w:fldChar w:fldCharType="end"/>
      </w:r>
      <w:r w:rsidRPr="00896831">
        <w:t xml:space="preserve"> </w:t>
      </w:r>
      <w:r>
        <w:t>s</w:t>
      </w:r>
      <w:r w:rsidRPr="00896831">
        <w:t xml:space="preserve">ets out our </w:t>
      </w:r>
      <w:r>
        <w:t>final</w:t>
      </w:r>
      <w:r w:rsidRPr="00896831">
        <w:t xml:space="preserve"> decision on </w:t>
      </w:r>
      <w:r>
        <w:t xml:space="preserve">TransGrid's standard </w:t>
      </w:r>
      <w:r w:rsidRPr="00896831">
        <w:t>asset lives</w:t>
      </w:r>
      <w:r>
        <w:t xml:space="preserve"> as at 1 July 2014.</w:t>
      </w:r>
    </w:p>
    <w:p w:rsidR="00C7552E" w:rsidRDefault="00C7552E" w:rsidP="00C7552E">
      <w:pPr>
        <w:pStyle w:val="Heading3"/>
      </w:pPr>
      <w:bookmarkStart w:id="23" w:name="_Toc413755207"/>
      <w:bookmarkStart w:id="24" w:name="_Ref413755261"/>
      <w:bookmarkStart w:id="25" w:name="_Ref413755284"/>
      <w:r>
        <w:t>Remaining asset lives</w:t>
      </w:r>
      <w:bookmarkEnd w:id="23"/>
      <w:bookmarkEnd w:id="24"/>
      <w:bookmarkEnd w:id="25"/>
    </w:p>
    <w:p w:rsidR="00C7552E" w:rsidRDefault="00C7552E" w:rsidP="004517AE">
      <w:pPr>
        <w:numPr>
          <w:ilvl w:val="0"/>
          <w:numId w:val="25"/>
        </w:numPr>
      </w:pPr>
      <w:r>
        <w:t>For this final decision, we have updated TransGrid's revised proposed remaining asset lives as at 1 July 2014.</w:t>
      </w:r>
    </w:p>
    <w:p w:rsidR="004517AE" w:rsidRDefault="001B7C15" w:rsidP="004517AE">
      <w:pPr>
        <w:numPr>
          <w:ilvl w:val="0"/>
          <w:numId w:val="25"/>
        </w:numPr>
      </w:pPr>
      <w:r>
        <w:t>In the</w:t>
      </w:r>
      <w:r w:rsidR="004517AE">
        <w:t xml:space="preserve"> draft decision, w</w:t>
      </w:r>
      <w:r w:rsidR="004517AE" w:rsidRPr="006D7077">
        <w:t>e accept</w:t>
      </w:r>
      <w:r w:rsidR="004517AE">
        <w:t>ed</w:t>
      </w:r>
      <w:r w:rsidR="004517AE" w:rsidRPr="006D7077">
        <w:t xml:space="preserve"> </w:t>
      </w:r>
      <w:r w:rsidR="004517AE">
        <w:t xml:space="preserve">TransGrid's </w:t>
      </w:r>
      <w:r w:rsidR="004517AE" w:rsidRPr="006D7077">
        <w:t xml:space="preserve">proposed weighted average method to calculate the remaining asset lives as at 1 </w:t>
      </w:r>
      <w:r w:rsidR="004517AE">
        <w:t xml:space="preserve">July 2014. </w:t>
      </w:r>
      <w:r w:rsidR="00F40DA7">
        <w:t xml:space="preserve">The proposed method is consistent with our preferred approach. </w:t>
      </w:r>
      <w:r w:rsidR="004517AE">
        <w:t>We noted that the remaining asset lives would be updated for the final decision because TransGrid's revised proposal would include revisions for 2013–14 actual capex. This is because the 2013–14 capex values are used to calculate the</w:t>
      </w:r>
      <w:r w:rsidR="004517AE" w:rsidRPr="00C52F9A">
        <w:t xml:space="preserve"> </w:t>
      </w:r>
      <w:r w:rsidR="004517AE" w:rsidRPr="006D7077">
        <w:t>weighted average remaining asset lives</w:t>
      </w:r>
      <w:r w:rsidR="004517AE">
        <w:t xml:space="preserve"> in the RFM. Based on the further change to the 2013–14 capex as discussed in </w:t>
      </w:r>
      <w:r w:rsidR="005E20C7">
        <w:t>attachment 2</w:t>
      </w:r>
      <w:r w:rsidR="004517AE">
        <w:t xml:space="preserve"> we</w:t>
      </w:r>
      <w:r w:rsidR="004517AE" w:rsidRPr="006D7077">
        <w:t xml:space="preserve"> </w:t>
      </w:r>
      <w:r w:rsidR="004517AE">
        <w:t xml:space="preserve">have updated the remaining asset lives as at 1 July 2014 for this final decision. </w:t>
      </w:r>
    </w:p>
    <w:p w:rsidR="00193DF3" w:rsidRPr="00193DF3" w:rsidRDefault="00193DF3" w:rsidP="00E26F35">
      <w:pPr>
        <w:numPr>
          <w:ilvl w:val="0"/>
          <w:numId w:val="25"/>
        </w:numPr>
      </w:pPr>
      <w:r>
        <w:lastRenderedPageBreak/>
        <w:fldChar w:fldCharType="begin"/>
      </w:r>
      <w:r>
        <w:instrText xml:space="preserve"> REF _Ref402185769 \h </w:instrText>
      </w:r>
      <w:r>
        <w:fldChar w:fldCharType="separate"/>
      </w:r>
      <w:r w:rsidR="003B4BE6" w:rsidRPr="00725E0C">
        <w:t xml:space="preserve">Table </w:t>
      </w:r>
      <w:r w:rsidR="003B4BE6">
        <w:t>5</w:t>
      </w:r>
      <w:r w:rsidR="003B4BE6">
        <w:noBreakHyphen/>
      </w:r>
      <w:r w:rsidR="003B4BE6">
        <w:rPr>
          <w:noProof/>
        </w:rPr>
        <w:t>3</w:t>
      </w:r>
      <w:r>
        <w:fldChar w:fldCharType="end"/>
      </w:r>
      <w:r w:rsidRPr="00896831">
        <w:t xml:space="preserve"> </w:t>
      </w:r>
      <w:r>
        <w:t>s</w:t>
      </w:r>
      <w:r w:rsidRPr="00896831">
        <w:t xml:space="preserve">ets out our </w:t>
      </w:r>
      <w:r w:rsidR="005E20C7">
        <w:t>final</w:t>
      </w:r>
      <w:r w:rsidR="005E20C7" w:rsidRPr="00896831">
        <w:t xml:space="preserve"> </w:t>
      </w:r>
      <w:r w:rsidRPr="00896831">
        <w:t xml:space="preserve">decision on </w:t>
      </w:r>
      <w:r>
        <w:t xml:space="preserve">TransGrid's </w:t>
      </w:r>
      <w:r w:rsidR="009B5338">
        <w:t>remaining</w:t>
      </w:r>
      <w:r w:rsidRPr="00896831">
        <w:t xml:space="preserve"> asset lives</w:t>
      </w:r>
      <w:r>
        <w:t xml:space="preserve"> </w:t>
      </w:r>
      <w:r w:rsidR="005E20C7">
        <w:t>as at 1 July 2014</w:t>
      </w:r>
      <w:r>
        <w:t>.</w:t>
      </w:r>
    </w:p>
    <w:p w:rsidR="00193DF3" w:rsidRPr="00725E0C" w:rsidRDefault="00193DF3" w:rsidP="00193DF3">
      <w:pPr>
        <w:pStyle w:val="Caption"/>
      </w:pPr>
      <w:bookmarkStart w:id="26" w:name="_Ref402185769"/>
      <w:r w:rsidRPr="00725E0C">
        <w:t xml:space="preserve">Table </w:t>
      </w:r>
      <w:r>
        <w:t>5</w:t>
      </w:r>
      <w:r>
        <w:noBreakHyphen/>
      </w:r>
      <w:r w:rsidRPr="009C7837">
        <w:fldChar w:fldCharType="begin"/>
      </w:r>
      <w:r>
        <w:instrText xml:space="preserve"> SEQ Table \* ARABIC \s 1 </w:instrText>
      </w:r>
      <w:r w:rsidRPr="009C7837">
        <w:fldChar w:fldCharType="separate"/>
      </w:r>
      <w:r w:rsidR="003B4BE6">
        <w:rPr>
          <w:noProof/>
        </w:rPr>
        <w:t>3</w:t>
      </w:r>
      <w:r w:rsidRPr="009C7837">
        <w:fldChar w:fldCharType="end"/>
      </w:r>
      <w:bookmarkEnd w:id="26"/>
      <w:r w:rsidRPr="00725E0C">
        <w:tab/>
        <w:t xml:space="preserve">AER's </w:t>
      </w:r>
      <w:r w:rsidR="009B5338">
        <w:t xml:space="preserve">final </w:t>
      </w:r>
      <w:r w:rsidRPr="00725E0C">
        <w:t>decision on TransGrid's standard and remaining asset li</w:t>
      </w:r>
      <w:r>
        <w:t>ves</w:t>
      </w:r>
      <w:r w:rsidRPr="00725E0C">
        <w:t xml:space="preserve"> as at 1 July 2014 (years)</w:t>
      </w:r>
    </w:p>
    <w:tbl>
      <w:tblPr>
        <w:tblStyle w:val="AERtable-numbers"/>
        <w:tblW w:w="8750" w:type="dxa"/>
        <w:tblLook w:val="01E0" w:firstRow="1" w:lastRow="1" w:firstColumn="1" w:lastColumn="1" w:noHBand="0" w:noVBand="0"/>
      </w:tblPr>
      <w:tblGrid>
        <w:gridCol w:w="3936"/>
        <w:gridCol w:w="1701"/>
        <w:gridCol w:w="3113"/>
      </w:tblGrid>
      <w:tr w:rsidR="000E130B" w:rsidRPr="00634485" w:rsidTr="000149D9">
        <w:trPr>
          <w:cnfStyle w:val="100000000000" w:firstRow="1" w:lastRow="0" w:firstColumn="0" w:lastColumn="0" w:oddVBand="0" w:evenVBand="0" w:oddHBand="0" w:evenHBand="0" w:firstRowFirstColumn="0" w:firstRowLastColumn="0" w:lastRowFirstColumn="0" w:lastRowLastColumn="0"/>
          <w:trHeight w:hRule="exact" w:val="419"/>
          <w:tblHeader/>
        </w:trPr>
        <w:tc>
          <w:tcPr>
            <w:cnfStyle w:val="001000000000" w:firstRow="0" w:lastRow="0" w:firstColumn="1" w:lastColumn="0" w:oddVBand="0" w:evenVBand="0" w:oddHBand="0" w:evenHBand="0" w:firstRowFirstColumn="0" w:firstRowLastColumn="0" w:lastRowFirstColumn="0" w:lastRowLastColumn="0"/>
            <w:tcW w:w="3936" w:type="dxa"/>
          </w:tcPr>
          <w:p w:rsidR="000E130B" w:rsidRPr="000E130B" w:rsidRDefault="000E130B" w:rsidP="000E130B">
            <w:pPr>
              <w:pStyle w:val="ListParagraph"/>
              <w:numPr>
                <w:ilvl w:val="0"/>
                <w:numId w:val="25"/>
              </w:numPr>
            </w:pPr>
            <w:r w:rsidRPr="000E130B">
              <w:t>Asset class</w:t>
            </w:r>
          </w:p>
        </w:tc>
        <w:tc>
          <w:tcPr>
            <w:tcW w:w="1701" w:type="dxa"/>
          </w:tcPr>
          <w:p w:rsidR="000E130B" w:rsidRPr="00634485" w:rsidRDefault="000E130B" w:rsidP="000E130B">
            <w:pPr>
              <w:cnfStyle w:val="100000000000" w:firstRow="1" w:lastRow="0" w:firstColumn="0" w:lastColumn="0" w:oddVBand="0" w:evenVBand="0" w:oddHBand="0" w:evenHBand="0" w:firstRowFirstColumn="0" w:firstRowLastColumn="0" w:lastRowFirstColumn="0" w:lastRowLastColumn="0"/>
            </w:pPr>
            <w:r w:rsidRPr="00634485">
              <w:t xml:space="preserve">Standard asset life </w:t>
            </w:r>
          </w:p>
        </w:tc>
        <w:tc>
          <w:tcPr>
            <w:tcW w:w="3113" w:type="dxa"/>
          </w:tcPr>
          <w:p w:rsidR="000E130B" w:rsidRPr="00634485" w:rsidRDefault="000E130B" w:rsidP="00D60775">
            <w:pPr>
              <w:cnfStyle w:val="100000000000" w:firstRow="1" w:lastRow="0" w:firstColumn="0" w:lastColumn="0" w:oddVBand="0" w:evenVBand="0" w:oddHBand="0" w:evenHBand="0" w:firstRowFirstColumn="0" w:firstRowLastColumn="0" w:lastRowFirstColumn="0" w:lastRowLastColumn="0"/>
            </w:pPr>
            <w:r w:rsidRPr="00634485">
              <w:t xml:space="preserve">Remaining asset life as at 1 July 2014 </w:t>
            </w:r>
          </w:p>
        </w:tc>
      </w:tr>
      <w:tr w:rsidR="000E130B" w:rsidRPr="00634485" w:rsidTr="000149D9">
        <w:trPr>
          <w:trHeight w:hRule="exact" w:val="424"/>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Transmission lines (pre 2004-05)</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9E5904" w:rsidP="000E130B">
            <w:pPr>
              <w:cnfStyle w:val="000000000000" w:firstRow="0" w:lastRow="0" w:firstColumn="0" w:lastColumn="0" w:oddVBand="0" w:evenVBand="0" w:oddHBand="0" w:evenHBand="0" w:firstRowFirstColumn="0" w:firstRowLastColumn="0" w:lastRowFirstColumn="0" w:lastRowLastColumn="0"/>
            </w:pPr>
            <w:r>
              <w:t>18.1</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Underground cables (pre 2004-05)</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9E5904" w:rsidP="000E130B">
            <w:pPr>
              <w:cnfStyle w:val="000000010000" w:firstRow="0" w:lastRow="0" w:firstColumn="0" w:lastColumn="0" w:oddVBand="0" w:evenVBand="0" w:oddHBand="0" w:evenHBand="1" w:firstRowFirstColumn="0" w:firstRowLastColumn="0" w:lastRowFirstColumn="0" w:lastRowLastColumn="0"/>
            </w:pPr>
            <w:r>
              <w:t>30.3</w:t>
            </w:r>
          </w:p>
        </w:tc>
      </w:tr>
      <w:tr w:rsidR="000E130B" w:rsidRPr="00634485" w:rsidTr="009E5904">
        <w:trPr>
          <w:trHeight w:hRule="exact" w:val="420"/>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Substations including buildings (pre 2004-05)</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9E5904" w:rsidP="000E130B">
            <w:pPr>
              <w:cnfStyle w:val="000000000000" w:firstRow="0" w:lastRow="0" w:firstColumn="0" w:lastColumn="0" w:oddVBand="0" w:evenVBand="0" w:oddHBand="0" w:evenHBand="0" w:firstRowFirstColumn="0" w:firstRowLastColumn="0" w:lastRowFirstColumn="0" w:lastRowLastColumn="0"/>
            </w:pPr>
            <w:r>
              <w:t>16.5</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SCADA and communications (pre 2004-05)</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9E5904" w:rsidP="000E130B">
            <w:pPr>
              <w:cnfStyle w:val="000000010000" w:firstRow="0" w:lastRow="0" w:firstColumn="0" w:lastColumn="0" w:oddVBand="0" w:evenVBand="0" w:oddHBand="0" w:evenHBand="1" w:firstRowFirstColumn="0" w:firstRowLastColumn="0" w:lastRowFirstColumn="0" w:lastRowLastColumn="0"/>
            </w:pPr>
            <w:r>
              <w:t>1.8</w:t>
            </w:r>
          </w:p>
        </w:tc>
      </w:tr>
      <w:tr w:rsidR="000E130B" w:rsidRPr="00634485" w:rsidTr="009E5904">
        <w:trPr>
          <w:trHeight w:hRule="exact" w:val="419"/>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Non-network assets (pre 2004-05)</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634485" w:rsidRDefault="009E5904" w:rsidP="000E130B">
            <w:pPr>
              <w:cnfStyle w:val="000000000000" w:firstRow="0" w:lastRow="0" w:firstColumn="0" w:lastColumn="0" w:oddVBand="0" w:evenVBand="0" w:oddHBand="0" w:evenHBand="0" w:firstRowFirstColumn="0" w:firstRowLastColumn="0" w:lastRowFirstColumn="0" w:lastRowLastColumn="0"/>
            </w:pPr>
            <w:r>
              <w:t>1.0</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10"/>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SMHEA assets (pre 2004-05)</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634485" w:rsidRDefault="009E5904" w:rsidP="000E130B">
            <w:pPr>
              <w:cnfStyle w:val="000000010000" w:firstRow="0" w:lastRow="0" w:firstColumn="0" w:lastColumn="0" w:oddVBand="0" w:evenVBand="0" w:oddHBand="0" w:evenHBand="1" w:firstRowFirstColumn="0" w:firstRowLastColumn="0" w:lastRowFirstColumn="0" w:lastRowLastColumn="0"/>
            </w:pPr>
            <w:r>
              <w:t>3.0</w:t>
            </w:r>
          </w:p>
        </w:tc>
      </w:tr>
      <w:tr w:rsidR="000E130B" w:rsidRPr="00634485" w:rsidTr="009E5904">
        <w:trPr>
          <w:trHeight w:hRule="exact" w:val="431"/>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Transmission lines (2004-09)</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t>44.1</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Underground cables (2004-09)</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0E130B">
            <w:pPr>
              <w:cnfStyle w:val="000000010000" w:firstRow="0" w:lastRow="0" w:firstColumn="0" w:lastColumn="0" w:oddVBand="0" w:evenVBand="0" w:oddHBand="0" w:evenHBand="1" w:firstRowFirstColumn="0" w:firstRowLastColumn="0" w:lastRowFirstColumn="0" w:lastRowLastColumn="0"/>
            </w:pPr>
            <w:r>
              <w:t>36.4</w:t>
            </w:r>
          </w:p>
        </w:tc>
      </w:tr>
      <w:tr w:rsidR="000E130B" w:rsidRPr="00634485" w:rsidTr="009E5904">
        <w:trPr>
          <w:trHeight w:hRule="exact" w:val="429"/>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Substations including buildings (2004-09)</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t>33.8</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SCADA and communications (2004-09)</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0E130B">
            <w:pPr>
              <w:cnfStyle w:val="000000010000" w:firstRow="0" w:lastRow="0" w:firstColumn="0" w:lastColumn="0" w:oddVBand="0" w:evenVBand="0" w:oddHBand="0" w:evenHBand="1" w:firstRowFirstColumn="0" w:firstRowLastColumn="0" w:lastRowFirstColumn="0" w:lastRowLastColumn="0"/>
            </w:pPr>
            <w:r>
              <w:t>8.8</w:t>
            </w:r>
          </w:p>
        </w:tc>
      </w:tr>
      <w:tr w:rsidR="000E130B" w:rsidRPr="00634485" w:rsidTr="009E5904">
        <w:trPr>
          <w:trHeight w:hRule="exact" w:val="426"/>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Non-network assets (2004-09)</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t>3.</w:t>
            </w:r>
            <w:r w:rsidR="009E5904">
              <w:t>4</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19"/>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Transmission lines &amp; cables (2009-14)</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0E130B">
            <w:pPr>
              <w:cnfStyle w:val="000000010000" w:firstRow="0" w:lastRow="0" w:firstColumn="0" w:lastColumn="0" w:oddVBand="0" w:evenVBand="0" w:oddHBand="0" w:evenHBand="1" w:firstRowFirstColumn="0" w:firstRowLastColumn="0" w:lastRowFirstColumn="0" w:lastRowLastColumn="0"/>
            </w:pPr>
            <w:r>
              <w:t>48.</w:t>
            </w:r>
            <w:r w:rsidR="009E5904">
              <w:t>6</w:t>
            </w:r>
          </w:p>
        </w:tc>
      </w:tr>
      <w:tr w:rsidR="000E130B" w:rsidRPr="00634485" w:rsidTr="009E5904">
        <w:trPr>
          <w:trHeight w:hRule="exact" w:val="425"/>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Substations (2009-14)</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500D5B">
            <w:pPr>
              <w:cnfStyle w:val="000000000000" w:firstRow="0" w:lastRow="0" w:firstColumn="0" w:lastColumn="0" w:oddVBand="0" w:evenVBand="0" w:oddHBand="0" w:evenHBand="0" w:firstRowFirstColumn="0" w:firstRowLastColumn="0" w:lastRowFirstColumn="0" w:lastRowLastColumn="0"/>
            </w:pPr>
            <w:r>
              <w:t>38.</w:t>
            </w:r>
            <w:r w:rsidR="00F52856">
              <w:t>2</w:t>
            </w:r>
          </w:p>
        </w:tc>
      </w:tr>
      <w:tr w:rsidR="000E130B" w:rsidRPr="00634485" w:rsidTr="000149D9">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Secondary systems (2009-14)</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0E130B">
            <w:pPr>
              <w:cnfStyle w:val="000000010000" w:firstRow="0" w:lastRow="0" w:firstColumn="0" w:lastColumn="0" w:oddVBand="0" w:evenVBand="0" w:oddHBand="0" w:evenHBand="1" w:firstRowFirstColumn="0" w:firstRowLastColumn="0" w:lastRowFirstColumn="0" w:lastRowLastColumn="0"/>
            </w:pPr>
            <w:r>
              <w:t>33.5</w:t>
            </w:r>
          </w:p>
        </w:tc>
      </w:tr>
      <w:tr w:rsidR="000E130B" w:rsidRPr="00634485" w:rsidTr="000149D9">
        <w:trPr>
          <w:trHeight w:hRule="exact" w:val="341"/>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Communications (2009-14)</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t>33.4</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15"/>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Business IT (2009-14)</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6D0DB3">
            <w:pPr>
              <w:cnfStyle w:val="000000010000" w:firstRow="0" w:lastRow="0" w:firstColumn="0" w:lastColumn="0" w:oddVBand="0" w:evenVBand="0" w:oddHBand="0" w:evenHBand="1" w:firstRowFirstColumn="0" w:firstRowLastColumn="0" w:lastRowFirstColumn="0" w:lastRowLastColumn="0"/>
            </w:pPr>
            <w:r>
              <w:t>3.</w:t>
            </w:r>
            <w:r w:rsidR="006D0DB3">
              <w:t>0</w:t>
            </w:r>
          </w:p>
        </w:tc>
      </w:tr>
      <w:tr w:rsidR="000E130B" w:rsidRPr="00634485" w:rsidTr="009E5904">
        <w:trPr>
          <w:trHeight w:hRule="exact" w:val="421"/>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Minor plant, motor vehicles &amp; mobile plant (2009-14)</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t>6.2</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Equity raising costs (2009-14)</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0E130B">
            <w:pPr>
              <w:cnfStyle w:val="000000010000" w:firstRow="0" w:lastRow="0" w:firstColumn="0" w:lastColumn="0" w:oddVBand="0" w:evenVBand="0" w:oddHBand="0" w:evenHBand="1" w:firstRowFirstColumn="0" w:firstRowLastColumn="0" w:lastRowFirstColumn="0" w:lastRowLastColumn="0"/>
            </w:pPr>
            <w:r>
              <w:t>36.6</w:t>
            </w:r>
          </w:p>
        </w:tc>
      </w:tr>
      <w:tr w:rsidR="000E130B" w:rsidRPr="00634485" w:rsidTr="009E5904">
        <w:trPr>
          <w:trHeight w:hRule="exact" w:val="430"/>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Transmission lines (2014-18)</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50.0</w:t>
            </w:r>
          </w:p>
        </w:tc>
        <w:tc>
          <w:tcPr>
            <w:tcW w:w="3113" w:type="dxa"/>
            <w:vAlign w:val="top"/>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rsidRPr="00634485">
              <w:t>n/</w:t>
            </w:r>
            <w:r w:rsidRPr="000E130B">
              <w:t>a</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Underground cables (2014-18)</w:t>
            </w:r>
          </w:p>
        </w:tc>
        <w:tc>
          <w:tcPr>
            <w:tcW w:w="1701" w:type="dxa"/>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45.0</w:t>
            </w:r>
          </w:p>
        </w:tc>
        <w:tc>
          <w:tcPr>
            <w:tcW w:w="3113"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r>
      <w:tr w:rsidR="000E130B" w:rsidRPr="00634485" w:rsidTr="009E5904">
        <w:trPr>
          <w:trHeight w:hRule="exact" w:val="429"/>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Substations (2014-18)</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40.0</w:t>
            </w:r>
          </w:p>
        </w:tc>
        <w:tc>
          <w:tcPr>
            <w:tcW w:w="3113"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Secondary systems (2014-18)</w:t>
            </w:r>
          </w:p>
        </w:tc>
        <w:tc>
          <w:tcPr>
            <w:tcW w:w="1701" w:type="dxa"/>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15.0</w:t>
            </w:r>
          </w:p>
        </w:tc>
        <w:tc>
          <w:tcPr>
            <w:tcW w:w="3113"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r>
      <w:tr w:rsidR="000E130B" w:rsidRPr="00634485" w:rsidTr="009E5904">
        <w:trPr>
          <w:trHeight w:hRule="exact" w:val="426"/>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0E130B" w:rsidRDefault="000E130B" w:rsidP="000E130B">
            <w:r w:rsidRPr="00634485">
              <w:t>Communications (short life) (2014-18)</w:t>
            </w:r>
            <w:r w:rsidRPr="000E130B">
              <w:rPr>
                <w:rStyle w:val="AERsuperscript"/>
              </w:rPr>
              <w:t>a</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10.0</w:t>
            </w:r>
          </w:p>
        </w:tc>
        <w:tc>
          <w:tcPr>
            <w:tcW w:w="3113"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05"/>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Business IT (2014-18)</w:t>
            </w:r>
          </w:p>
        </w:tc>
        <w:tc>
          <w:tcPr>
            <w:tcW w:w="1701" w:type="dxa"/>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4.0</w:t>
            </w:r>
          </w:p>
        </w:tc>
        <w:tc>
          <w:tcPr>
            <w:tcW w:w="3113"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r>
      <w:tr w:rsidR="000E130B" w:rsidRPr="00634485" w:rsidTr="009E5904">
        <w:trPr>
          <w:trHeight w:hRule="exact" w:val="425"/>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Minor plant, motor vehicles &amp; mobile plant (2014-18)</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8.0</w:t>
            </w:r>
          </w:p>
        </w:tc>
        <w:tc>
          <w:tcPr>
            <w:tcW w:w="3113"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16"/>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Transmission line life extension (2014-18)</w:t>
            </w:r>
          </w:p>
        </w:tc>
        <w:tc>
          <w:tcPr>
            <w:tcW w:w="1701" w:type="dxa"/>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25.0</w:t>
            </w:r>
          </w:p>
        </w:tc>
        <w:tc>
          <w:tcPr>
            <w:tcW w:w="3113"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r>
      <w:tr w:rsidR="000E130B" w:rsidRPr="00634485" w:rsidTr="009E5904">
        <w:trPr>
          <w:trHeight w:hRule="exact" w:val="423"/>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0E130B" w:rsidRDefault="000E130B" w:rsidP="000E130B">
            <w:r w:rsidRPr="00634485">
              <w:t>Equity raising costs (2014-18)</w:t>
            </w:r>
            <w:r w:rsidRPr="000E130B">
              <w:rPr>
                <w:rStyle w:val="AERsuperscript"/>
              </w:rPr>
              <w:t>b</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r>
      <w:tr w:rsidR="000E130B" w:rsidRPr="00634485" w:rsidTr="000149D9">
        <w:trPr>
          <w:cnfStyle w:val="000000010000" w:firstRow="0" w:lastRow="0" w:firstColumn="0" w:lastColumn="0" w:oddVBand="0" w:evenVBand="0" w:oddHBand="0" w:evenHBand="1"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 xml:space="preserve">Land and easements </w:t>
            </w:r>
          </w:p>
          <w:p w:rsidR="000E130B" w:rsidRPr="00634485" w:rsidRDefault="000E130B" w:rsidP="000E130B"/>
        </w:tc>
        <w:tc>
          <w:tcPr>
            <w:tcW w:w="1701" w:type="dxa"/>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r>
    </w:tbl>
    <w:p w:rsidR="000E130B" w:rsidRPr="00634485" w:rsidRDefault="000E130B" w:rsidP="000E130B">
      <w:pPr>
        <w:pStyle w:val="AERtablesource"/>
      </w:pPr>
      <w:r w:rsidRPr="00634485">
        <w:lastRenderedPageBreak/>
        <w:t>Source:</w:t>
      </w:r>
      <w:r w:rsidRPr="00634485">
        <w:tab/>
        <w:t xml:space="preserve">AER analysis. </w:t>
      </w:r>
    </w:p>
    <w:p w:rsidR="000E130B" w:rsidRPr="00634485" w:rsidRDefault="000E130B" w:rsidP="000E130B">
      <w:pPr>
        <w:pStyle w:val="AERtablesource"/>
      </w:pPr>
      <w:r w:rsidRPr="00634485">
        <w:t xml:space="preserve">n/a: </w:t>
      </w:r>
      <w:r w:rsidRPr="00634485">
        <w:tab/>
      </w:r>
      <w:r>
        <w:t>N</w:t>
      </w:r>
      <w:r w:rsidRPr="00634485">
        <w:t>ot applicable. The asset classes ending with '(pre 2004-05)'; '(2004-09)'; and '(2009-14)' do not have assigned standard asset lives because forecast capex is no longer allocated to them.</w:t>
      </w:r>
    </w:p>
    <w:p w:rsidR="000E130B" w:rsidRPr="00634485" w:rsidRDefault="000E130B" w:rsidP="000E130B">
      <w:pPr>
        <w:pStyle w:val="AERtablesource"/>
      </w:pPr>
      <w:r w:rsidRPr="00634485">
        <w:t>(a)</w:t>
      </w:r>
      <w:r w:rsidRPr="00634485">
        <w:tab/>
        <w:t xml:space="preserve">As discussed in </w:t>
      </w:r>
      <w:r>
        <w:t xml:space="preserve">our draft decision </w:t>
      </w:r>
      <w:r w:rsidRPr="00634485">
        <w:t>attachment 5, we have changed the name of this</w:t>
      </w:r>
      <w:r>
        <w:t xml:space="preserve"> asset class to 'Communications (short life) </w:t>
      </w:r>
      <w:r w:rsidRPr="00634485">
        <w:t>2014–18' to better reflect the nature of the assets allocated to this asset class.</w:t>
      </w:r>
    </w:p>
    <w:p w:rsidR="000E130B" w:rsidRPr="00290C63" w:rsidRDefault="000E130B" w:rsidP="000E130B">
      <w:pPr>
        <w:pStyle w:val="AERtablesource"/>
      </w:pPr>
      <w:r>
        <w:t>(b)</w:t>
      </w:r>
      <w:r>
        <w:tab/>
        <w:t>For this final</w:t>
      </w:r>
      <w:r w:rsidRPr="00634485">
        <w:t xml:space="preserve"> decision, TransGrid does not satisfy the requirements to incur benchmark equity raising costs associated with its forecast capex for the 2014–18 period. Therefore, a standard asset life for equity raising costs (2014–18) is not required.</w:t>
      </w:r>
    </w:p>
    <w:sectPr w:rsidR="000E130B" w:rsidRPr="00290C6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28" w:rsidRPr="00290C63" w:rsidRDefault="00984628" w:rsidP="00290C63">
      <w:r>
        <w:separator/>
      </w:r>
    </w:p>
    <w:p w:rsidR="00984628" w:rsidRDefault="00984628"/>
  </w:endnote>
  <w:endnote w:type="continuationSeparator" w:id="0">
    <w:p w:rsidR="00984628" w:rsidRPr="00290C63" w:rsidRDefault="00984628" w:rsidP="00290C63">
      <w:r>
        <w:continuationSeparator/>
      </w:r>
    </w:p>
    <w:p w:rsidR="00984628" w:rsidRDefault="00984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28" w:rsidRPr="00290C63" w:rsidRDefault="0098462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84628" w:rsidRDefault="00984628"/>
  <w:p w:rsidR="00984628" w:rsidRDefault="00984628"/>
  <w:p w:rsidR="00984628" w:rsidRDefault="00984628"/>
  <w:p w:rsidR="00984628" w:rsidRDefault="00984628"/>
  <w:p w:rsidR="00984628" w:rsidRDefault="00984628"/>
  <w:p w:rsidR="00984628" w:rsidRDefault="00984628"/>
  <w:p w:rsidR="00984628" w:rsidRDefault="009846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984628" w:rsidRDefault="00984628">
        <w:pPr>
          <w:pStyle w:val="Footer"/>
        </w:pPr>
        <w:r>
          <w:fldChar w:fldCharType="begin"/>
        </w:r>
        <w:r>
          <w:instrText xml:space="preserve"> PAGE   \* MERGEFORMAT </w:instrText>
        </w:r>
        <w:r>
          <w:fldChar w:fldCharType="separate"/>
        </w:r>
        <w:r w:rsidR="003B4BE6">
          <w:rPr>
            <w:noProof/>
          </w:rPr>
          <w:t>5-10</w:t>
        </w:r>
        <w:r>
          <w:rPr>
            <w:noProof/>
          </w:rPr>
          <w:fldChar w:fldCharType="end"/>
        </w:r>
        <w:r>
          <w:rPr>
            <w:noProof/>
          </w:rPr>
          <w:t xml:space="preserve">          </w:t>
        </w:r>
        <w:r>
          <w:t xml:space="preserve">      </w:t>
        </w:r>
        <w:r w:rsidRPr="00FD5E78">
          <w:rPr>
            <w:noProof/>
            <w:sz w:val="16"/>
            <w:szCs w:val="16"/>
          </w:rPr>
          <w:t xml:space="preserve">Attachment </w:t>
        </w:r>
        <w:r>
          <w:rPr>
            <w:noProof/>
            <w:sz w:val="16"/>
            <w:szCs w:val="16"/>
          </w:rPr>
          <w:t>5</w:t>
        </w:r>
        <w:r w:rsidRPr="00FD5E78">
          <w:rPr>
            <w:noProof/>
            <w:sz w:val="16"/>
            <w:szCs w:val="16"/>
          </w:rPr>
          <w:t xml:space="preserve"> </w:t>
        </w:r>
        <w:r w:rsidRPr="00FD5E78">
          <w:rPr>
            <w:rFonts w:cs="Gautami"/>
            <w:noProof/>
            <w:sz w:val="16"/>
            <w:szCs w:val="16"/>
          </w:rPr>
          <w:t xml:space="preserve">– </w:t>
        </w:r>
        <w:r>
          <w:rPr>
            <w:sz w:val="16"/>
            <w:szCs w:val="16"/>
          </w:rPr>
          <w:t>Regulatory depreciation</w:t>
        </w:r>
        <w:r w:rsidRPr="00FD5E78">
          <w:rPr>
            <w:rFonts w:cs="Gautami"/>
            <w:noProof/>
            <w:sz w:val="16"/>
            <w:szCs w:val="16"/>
          </w:rPr>
          <w:t xml:space="preserve"> | Final decision </w:t>
        </w:r>
        <w:r w:rsidRPr="00FD5E78">
          <w:rPr>
            <w:sz w:val="16"/>
            <w:szCs w:val="16"/>
          </w:rPr>
          <w:t>TransGrid transmission</w:t>
        </w:r>
        <w:r w:rsidRPr="00FD5E78">
          <w:rPr>
            <w:rFonts w:cs="Gautami"/>
            <w:noProof/>
            <w:sz w:val="16"/>
            <w:szCs w:val="16"/>
          </w:rPr>
          <w:t xml:space="preserve"> determination 2015–18</w:t>
        </w:r>
      </w:p>
    </w:sdtContent>
  </w:sdt>
  <w:p w:rsidR="00984628" w:rsidRDefault="009846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28" w:rsidRPr="00290C63" w:rsidRDefault="0098462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84628" w:rsidRDefault="00984628">
    <w:pPr>
      <w:pStyle w:val="Footer"/>
    </w:pPr>
  </w:p>
  <w:p w:rsidR="00984628" w:rsidRDefault="00984628"/>
  <w:p w:rsidR="00984628" w:rsidRDefault="00984628"/>
  <w:p w:rsidR="00984628" w:rsidRDefault="00984628"/>
  <w:p w:rsidR="00984628" w:rsidRDefault="00984628"/>
  <w:p w:rsidR="00984628" w:rsidRDefault="00984628"/>
  <w:p w:rsidR="00984628" w:rsidRDefault="00984628"/>
  <w:p w:rsidR="00984628" w:rsidRDefault="009846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28" w:rsidRPr="00290C63" w:rsidRDefault="00984628" w:rsidP="00290C63">
      <w:r>
        <w:separator/>
      </w:r>
    </w:p>
    <w:p w:rsidR="00984628" w:rsidRDefault="00984628"/>
  </w:footnote>
  <w:footnote w:type="continuationSeparator" w:id="0">
    <w:p w:rsidR="00984628" w:rsidRPr="00290C63" w:rsidRDefault="00984628" w:rsidP="00290C63">
      <w:r>
        <w:continuationSeparator/>
      </w:r>
    </w:p>
    <w:p w:rsidR="00984628" w:rsidRDefault="00984628"/>
  </w:footnote>
  <w:footnote w:id="1">
    <w:p w:rsidR="00984628" w:rsidRDefault="00984628" w:rsidP="003C679C">
      <w:pPr>
        <w:pStyle w:val="FootnoteText"/>
      </w:pPr>
      <w:r>
        <w:rPr>
          <w:rStyle w:val="FootnoteReference"/>
        </w:rPr>
        <w:footnoteRef/>
      </w:r>
      <w:r>
        <w:t xml:space="preserve"> NER, cl. 6A.5.4(a)(1) and (3).</w:t>
      </w:r>
    </w:p>
  </w:footnote>
  <w:footnote w:id="2">
    <w:p w:rsidR="00984628" w:rsidRDefault="00984628" w:rsidP="001827B0">
      <w:pPr>
        <w:pStyle w:val="FootnoteText"/>
      </w:pPr>
      <w:r>
        <w:rPr>
          <w:rStyle w:val="FootnoteReference"/>
        </w:rPr>
        <w:footnoteRef/>
      </w:r>
      <w:r>
        <w:t xml:space="preserve"> </w:t>
      </w:r>
      <w:r>
        <w:tab/>
        <w:t xml:space="preserve">TransGrid, </w:t>
      </w:r>
      <w:r w:rsidRPr="002852F8">
        <w:rPr>
          <w:rStyle w:val="AERtextitalic"/>
        </w:rPr>
        <w:t>R</w:t>
      </w:r>
      <w:r>
        <w:rPr>
          <w:rStyle w:val="AERtextitalic"/>
        </w:rPr>
        <w:t>evised r</w:t>
      </w:r>
      <w:r w:rsidRPr="002852F8">
        <w:rPr>
          <w:rStyle w:val="AERtextitalic"/>
        </w:rPr>
        <w:t>evenue proposal</w:t>
      </w:r>
      <w:r>
        <w:t>, pp.  126–127.</w:t>
      </w:r>
    </w:p>
  </w:footnote>
  <w:footnote w:id="3">
    <w:p w:rsidR="00984628" w:rsidRDefault="00984628">
      <w:pPr>
        <w:pStyle w:val="FootnoteText"/>
      </w:pPr>
      <w:r>
        <w:rPr>
          <w:rStyle w:val="FootnoteReference"/>
        </w:rPr>
        <w:footnoteRef/>
      </w:r>
      <w:r>
        <w:t xml:space="preserve"> </w:t>
      </w:r>
      <w:r>
        <w:tab/>
        <w:t xml:space="preserve">TransGrid, </w:t>
      </w:r>
      <w:r w:rsidRPr="002852F8">
        <w:rPr>
          <w:rStyle w:val="AERtextitalic"/>
        </w:rPr>
        <w:t>R</w:t>
      </w:r>
      <w:r>
        <w:rPr>
          <w:rStyle w:val="AERtextitalic"/>
        </w:rPr>
        <w:t>evised r</w:t>
      </w:r>
      <w:r w:rsidRPr="002852F8">
        <w:rPr>
          <w:rStyle w:val="AERtextitalic"/>
        </w:rPr>
        <w:t>evenue proposal</w:t>
      </w:r>
      <w:r>
        <w:t>, p.  127.</w:t>
      </w:r>
    </w:p>
  </w:footnote>
  <w:footnote w:id="4">
    <w:p w:rsidR="000A69B9" w:rsidRDefault="000A69B9" w:rsidP="000A69B9">
      <w:pPr>
        <w:pStyle w:val="FootnoteText"/>
      </w:pPr>
      <w:r>
        <w:rPr>
          <w:rStyle w:val="FootnoteReference"/>
        </w:rPr>
        <w:footnoteRef/>
      </w:r>
      <w:r>
        <w:t xml:space="preserve"> </w:t>
      </w:r>
      <w:r>
        <w:tab/>
        <w:t>NER, cl. 6A.6.3(b)(1).</w:t>
      </w:r>
    </w:p>
  </w:footnote>
  <w:footnote w:id="5">
    <w:p w:rsidR="00234D75" w:rsidRDefault="00234D75">
      <w:pPr>
        <w:pStyle w:val="FootnoteText"/>
      </w:pPr>
      <w:r>
        <w:rPr>
          <w:rStyle w:val="FootnoteReference"/>
        </w:rPr>
        <w:footnoteRef/>
      </w:r>
      <w:r>
        <w:t xml:space="preserve"> </w:t>
      </w:r>
      <w:r>
        <w:tab/>
      </w:r>
      <w:r w:rsidRPr="00234D75">
        <w:rPr>
          <w:rStyle w:val="AERtexthighlight"/>
        </w:rPr>
        <w:t>EMRF</w:t>
      </w:r>
    </w:p>
  </w:footnote>
  <w:footnote w:id="6">
    <w:p w:rsidR="007C5617" w:rsidRDefault="007C5617">
      <w:pPr>
        <w:pStyle w:val="FootnoteText"/>
      </w:pPr>
      <w:r>
        <w:rPr>
          <w:rStyle w:val="FootnoteReference"/>
        </w:rPr>
        <w:footnoteRef/>
      </w:r>
      <w:r>
        <w:t xml:space="preserve"> </w:t>
      </w:r>
      <w:r>
        <w:tab/>
        <w:t xml:space="preserve">TransGrid, </w:t>
      </w:r>
      <w:r>
        <w:rPr>
          <w:rStyle w:val="AERtextitalic"/>
        </w:rPr>
        <w:t>R</w:t>
      </w:r>
      <w:r w:rsidRPr="00954948">
        <w:rPr>
          <w:rStyle w:val="AERtextitalic"/>
        </w:rPr>
        <w:t>esponse to information request AER TransGrid</w:t>
      </w:r>
      <w:r>
        <w:rPr>
          <w:rStyle w:val="AERtextitalic"/>
        </w:rPr>
        <w:t xml:space="preserve"> D</w:t>
      </w:r>
      <w:r w:rsidRPr="00954948">
        <w:rPr>
          <w:rStyle w:val="AERtextitalic"/>
        </w:rPr>
        <w:t xml:space="preserve">epreciation </w:t>
      </w:r>
      <w:r>
        <w:rPr>
          <w:rStyle w:val="AERtextitalic"/>
        </w:rPr>
        <w:t>R</w:t>
      </w:r>
      <w:r w:rsidRPr="00954948">
        <w:rPr>
          <w:rStyle w:val="AERtextitalic"/>
        </w:rPr>
        <w:t>1</w:t>
      </w:r>
      <w:r>
        <w:rPr>
          <w:rStyle w:val="AERtextitalic"/>
        </w:rPr>
        <w:t xml:space="preserve"> – Life extension</w:t>
      </w:r>
      <w:r>
        <w:t>, 9 March 2015, pp. 1–2.</w:t>
      </w:r>
    </w:p>
  </w:footnote>
  <w:footnote w:id="7">
    <w:p w:rsidR="00790318" w:rsidRDefault="00790318">
      <w:pPr>
        <w:pStyle w:val="FootnoteText"/>
      </w:pPr>
      <w:r>
        <w:rPr>
          <w:rStyle w:val="FootnoteReference"/>
        </w:rPr>
        <w:footnoteRef/>
      </w:r>
      <w:r>
        <w:t xml:space="preserve"> </w:t>
      </w:r>
      <w:r>
        <w:tab/>
        <w:t>Further, there are practical</w:t>
      </w:r>
      <w:r w:rsidRPr="00790318">
        <w:t xml:space="preserve"> </w:t>
      </w:r>
      <w:r>
        <w:t>implementation issues to consider for revising the remaining asset lives to the two underlying transmission line assets. This is because the RAB is categorised at an asset class level rather than an individual asset level.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5F4FFC"/>
    <w:multiLevelType w:val="multilevel"/>
    <w:tmpl w:val="950A1C52"/>
    <w:numStyleLink w:val="AERHeadings"/>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1A80E45"/>
    <w:multiLevelType w:val="multilevel"/>
    <w:tmpl w:val="950A1C52"/>
    <w:numStyleLink w:val="AERHeadings"/>
  </w:abstractNum>
  <w:abstractNum w:abstractNumId="27">
    <w:nsid w:val="487C7731"/>
    <w:multiLevelType w:val="multilevel"/>
    <w:tmpl w:val="950A1C52"/>
    <w:numStyleLink w:val="AERHeadings"/>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D166B556"/>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DE36827"/>
    <w:multiLevelType w:val="multilevel"/>
    <w:tmpl w:val="950A1C52"/>
    <w:numStyleLink w:val="AERHeadings"/>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2"/>
  </w:num>
  <w:num w:numId="14">
    <w:abstractNumId w:val="10"/>
  </w:num>
  <w:num w:numId="15">
    <w:abstractNumId w:val="13"/>
  </w:num>
  <w:num w:numId="16">
    <w:abstractNumId w:val="28"/>
  </w:num>
  <w:num w:numId="17">
    <w:abstractNumId w:val="9"/>
  </w:num>
  <w:num w:numId="18">
    <w:abstractNumId w:val="18"/>
  </w:num>
  <w:num w:numId="19">
    <w:abstractNumId w:val="29"/>
  </w:num>
  <w:num w:numId="20">
    <w:abstractNumId w:val="36"/>
  </w:num>
  <w:num w:numId="21">
    <w:abstractNumId w:val="14"/>
  </w:num>
  <w:num w:numId="22">
    <w:abstractNumId w:val="32"/>
  </w:num>
  <w:num w:numId="23">
    <w:abstractNumId w:val="30"/>
  </w:num>
  <w:num w:numId="24">
    <w:abstractNumId w:val="20"/>
  </w:num>
  <w:num w:numId="25">
    <w:abstractNumId w:val="31"/>
  </w:num>
  <w:num w:numId="26">
    <w:abstractNumId w:val="33"/>
  </w:num>
  <w:num w:numId="27">
    <w:abstractNumId w:val="21"/>
  </w:num>
  <w:num w:numId="28">
    <w:abstractNumId w:val="19"/>
  </w:num>
  <w:num w:numId="29">
    <w:abstractNumId w:val="17"/>
  </w:num>
  <w:num w:numId="30">
    <w:abstractNumId w:val="37"/>
  </w:num>
  <w:num w:numId="31">
    <w:abstractNumId w:val="15"/>
  </w:num>
  <w:num w:numId="32">
    <w:abstractNumId w:val="25"/>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5"/>
  </w:num>
  <w:num w:numId="37">
    <w:abstractNumId w:val="27"/>
  </w:num>
  <w:num w:numId="38">
    <w:abstractNumId w:val="24"/>
  </w:num>
  <w:num w:numId="39">
    <w:abstractNumId w:val="12"/>
  </w:num>
  <w:num w:numId="40">
    <w:abstractNumId w:val="33"/>
  </w:num>
  <w:num w:numId="41">
    <w:abstractNumId w:val="33"/>
  </w:num>
  <w:num w:numId="42">
    <w:abstractNumId w:val="26"/>
  </w:num>
  <w:num w:numId="43">
    <w:abstractNumId w:val="16"/>
  </w:num>
  <w:num w:numId="44">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EXysUy6WDzaH/m+WB3FkvsFb/bh4HeBzUuPDZXwRHE=" w:saltValue="4psPWMNyC0//1l7P13QlnA==" w:algorithmName="SHA-256"/>
  <w:defaultTabStop w:val="34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5 - regulatory depreciation - April 2015 fixed.docx"/>
  </w:docVars>
  <w:rsids>
    <w:rsidRoot w:val="00961A4A"/>
    <w:rsid w:val="000019A3"/>
    <w:rsid w:val="000029F0"/>
    <w:rsid w:val="000149D9"/>
    <w:rsid w:val="00021202"/>
    <w:rsid w:val="00021C2B"/>
    <w:rsid w:val="0002517F"/>
    <w:rsid w:val="0003578C"/>
    <w:rsid w:val="00063247"/>
    <w:rsid w:val="00070F9F"/>
    <w:rsid w:val="0007137B"/>
    <w:rsid w:val="00085663"/>
    <w:rsid w:val="00085EBF"/>
    <w:rsid w:val="000A16AA"/>
    <w:rsid w:val="000A3020"/>
    <w:rsid w:val="000A69B9"/>
    <w:rsid w:val="000A6C7B"/>
    <w:rsid w:val="000C2B40"/>
    <w:rsid w:val="000D122C"/>
    <w:rsid w:val="000E130B"/>
    <w:rsid w:val="000E1819"/>
    <w:rsid w:val="000E4821"/>
    <w:rsid w:val="000E6C72"/>
    <w:rsid w:val="00105CC4"/>
    <w:rsid w:val="001067EA"/>
    <w:rsid w:val="00116EB2"/>
    <w:rsid w:val="0012211A"/>
    <w:rsid w:val="00124609"/>
    <w:rsid w:val="00126A4C"/>
    <w:rsid w:val="0014573B"/>
    <w:rsid w:val="001573E4"/>
    <w:rsid w:val="00160756"/>
    <w:rsid w:val="0017232E"/>
    <w:rsid w:val="00174102"/>
    <w:rsid w:val="001754EE"/>
    <w:rsid w:val="00180157"/>
    <w:rsid w:val="001827B0"/>
    <w:rsid w:val="00185CB9"/>
    <w:rsid w:val="00186F77"/>
    <w:rsid w:val="001926A4"/>
    <w:rsid w:val="00192AD5"/>
    <w:rsid w:val="00193DF3"/>
    <w:rsid w:val="001B45A0"/>
    <w:rsid w:val="001B7C15"/>
    <w:rsid w:val="001C58D4"/>
    <w:rsid w:val="001D055E"/>
    <w:rsid w:val="001F492E"/>
    <w:rsid w:val="001F6DA3"/>
    <w:rsid w:val="002010BC"/>
    <w:rsid w:val="002016E7"/>
    <w:rsid w:val="002017A2"/>
    <w:rsid w:val="00202E03"/>
    <w:rsid w:val="0020492C"/>
    <w:rsid w:val="0022480D"/>
    <w:rsid w:val="00224DB9"/>
    <w:rsid w:val="0022601F"/>
    <w:rsid w:val="00233775"/>
    <w:rsid w:val="00234D75"/>
    <w:rsid w:val="00251745"/>
    <w:rsid w:val="00252729"/>
    <w:rsid w:val="00263AC0"/>
    <w:rsid w:val="00264264"/>
    <w:rsid w:val="0026772D"/>
    <w:rsid w:val="00286874"/>
    <w:rsid w:val="00290C63"/>
    <w:rsid w:val="00296B65"/>
    <w:rsid w:val="002A7DEF"/>
    <w:rsid w:val="002D72E8"/>
    <w:rsid w:val="002E7B22"/>
    <w:rsid w:val="002F7986"/>
    <w:rsid w:val="00301B40"/>
    <w:rsid w:val="003029EE"/>
    <w:rsid w:val="00305CC8"/>
    <w:rsid w:val="00307F6D"/>
    <w:rsid w:val="003177A2"/>
    <w:rsid w:val="003271B5"/>
    <w:rsid w:val="00327A1E"/>
    <w:rsid w:val="00331264"/>
    <w:rsid w:val="00334C8D"/>
    <w:rsid w:val="00343A18"/>
    <w:rsid w:val="003518B3"/>
    <w:rsid w:val="00380772"/>
    <w:rsid w:val="003846F1"/>
    <w:rsid w:val="003B484F"/>
    <w:rsid w:val="003B4BE6"/>
    <w:rsid w:val="003B5053"/>
    <w:rsid w:val="003B7FBA"/>
    <w:rsid w:val="003C679C"/>
    <w:rsid w:val="003E00B8"/>
    <w:rsid w:val="003F174D"/>
    <w:rsid w:val="00415F31"/>
    <w:rsid w:val="00423A77"/>
    <w:rsid w:val="004517AE"/>
    <w:rsid w:val="0045777E"/>
    <w:rsid w:val="00472D4B"/>
    <w:rsid w:val="00480B4B"/>
    <w:rsid w:val="00485DC4"/>
    <w:rsid w:val="004A43D1"/>
    <w:rsid w:val="004B4412"/>
    <w:rsid w:val="004C348C"/>
    <w:rsid w:val="004D2996"/>
    <w:rsid w:val="004D55BA"/>
    <w:rsid w:val="004E22EC"/>
    <w:rsid w:val="00500D5B"/>
    <w:rsid w:val="00515BE0"/>
    <w:rsid w:val="00530128"/>
    <w:rsid w:val="00532467"/>
    <w:rsid w:val="00564A4D"/>
    <w:rsid w:val="00567BA5"/>
    <w:rsid w:val="005706D2"/>
    <w:rsid w:val="00571B35"/>
    <w:rsid w:val="00571D57"/>
    <w:rsid w:val="005755BC"/>
    <w:rsid w:val="00577A09"/>
    <w:rsid w:val="005829C2"/>
    <w:rsid w:val="00584D8F"/>
    <w:rsid w:val="005A404D"/>
    <w:rsid w:val="005B1E3C"/>
    <w:rsid w:val="005B53CC"/>
    <w:rsid w:val="005B704A"/>
    <w:rsid w:val="005C1C34"/>
    <w:rsid w:val="005C26CC"/>
    <w:rsid w:val="005D7BA2"/>
    <w:rsid w:val="005E20C7"/>
    <w:rsid w:val="005E36C2"/>
    <w:rsid w:val="005F2A96"/>
    <w:rsid w:val="00612F4F"/>
    <w:rsid w:val="00615C6B"/>
    <w:rsid w:val="00621DCE"/>
    <w:rsid w:val="00626787"/>
    <w:rsid w:val="00632D6D"/>
    <w:rsid w:val="00642C3E"/>
    <w:rsid w:val="006447CE"/>
    <w:rsid w:val="0065381D"/>
    <w:rsid w:val="0066104A"/>
    <w:rsid w:val="00663DAD"/>
    <w:rsid w:val="00675E20"/>
    <w:rsid w:val="00676679"/>
    <w:rsid w:val="00683C89"/>
    <w:rsid w:val="00693198"/>
    <w:rsid w:val="006B2395"/>
    <w:rsid w:val="006B4CF9"/>
    <w:rsid w:val="006B4F91"/>
    <w:rsid w:val="006B7AC8"/>
    <w:rsid w:val="006D0DB3"/>
    <w:rsid w:val="006D550F"/>
    <w:rsid w:val="006F2688"/>
    <w:rsid w:val="00701CAB"/>
    <w:rsid w:val="00707563"/>
    <w:rsid w:val="007104C5"/>
    <w:rsid w:val="0072348C"/>
    <w:rsid w:val="00724A37"/>
    <w:rsid w:val="007303C3"/>
    <w:rsid w:val="007429BE"/>
    <w:rsid w:val="00743223"/>
    <w:rsid w:val="00746E01"/>
    <w:rsid w:val="00757BDF"/>
    <w:rsid w:val="00763E5D"/>
    <w:rsid w:val="00767740"/>
    <w:rsid w:val="00777EE6"/>
    <w:rsid w:val="00782EEA"/>
    <w:rsid w:val="00790318"/>
    <w:rsid w:val="007B186E"/>
    <w:rsid w:val="007B2C72"/>
    <w:rsid w:val="007C109F"/>
    <w:rsid w:val="007C1C53"/>
    <w:rsid w:val="007C5617"/>
    <w:rsid w:val="007C74BB"/>
    <w:rsid w:val="007D456E"/>
    <w:rsid w:val="007E4904"/>
    <w:rsid w:val="007E4CB5"/>
    <w:rsid w:val="007E6916"/>
    <w:rsid w:val="007F066B"/>
    <w:rsid w:val="007F52D4"/>
    <w:rsid w:val="008033C4"/>
    <w:rsid w:val="00806C88"/>
    <w:rsid w:val="0081034E"/>
    <w:rsid w:val="008344F6"/>
    <w:rsid w:val="0083510F"/>
    <w:rsid w:val="00851209"/>
    <w:rsid w:val="008837AC"/>
    <w:rsid w:val="00895CD5"/>
    <w:rsid w:val="008A587D"/>
    <w:rsid w:val="008B35CD"/>
    <w:rsid w:val="008B5FCC"/>
    <w:rsid w:val="008C5486"/>
    <w:rsid w:val="008C749D"/>
    <w:rsid w:val="008D1661"/>
    <w:rsid w:val="008D57DF"/>
    <w:rsid w:val="008E7031"/>
    <w:rsid w:val="008E77DE"/>
    <w:rsid w:val="008F07A3"/>
    <w:rsid w:val="009001B6"/>
    <w:rsid w:val="00900E1B"/>
    <w:rsid w:val="009233EE"/>
    <w:rsid w:val="009460AA"/>
    <w:rsid w:val="009462D1"/>
    <w:rsid w:val="00951978"/>
    <w:rsid w:val="00961A4A"/>
    <w:rsid w:val="009661DE"/>
    <w:rsid w:val="00983C25"/>
    <w:rsid w:val="00984628"/>
    <w:rsid w:val="009856B7"/>
    <w:rsid w:val="00985C86"/>
    <w:rsid w:val="009A5FC3"/>
    <w:rsid w:val="009B5338"/>
    <w:rsid w:val="009B74B0"/>
    <w:rsid w:val="009D3906"/>
    <w:rsid w:val="009D6B46"/>
    <w:rsid w:val="009E5904"/>
    <w:rsid w:val="009F3D13"/>
    <w:rsid w:val="009F4940"/>
    <w:rsid w:val="009F5BA1"/>
    <w:rsid w:val="00A02A88"/>
    <w:rsid w:val="00A0562E"/>
    <w:rsid w:val="00A0726D"/>
    <w:rsid w:val="00A32FBB"/>
    <w:rsid w:val="00A428EE"/>
    <w:rsid w:val="00A4478A"/>
    <w:rsid w:val="00A44852"/>
    <w:rsid w:val="00A57D04"/>
    <w:rsid w:val="00A60A26"/>
    <w:rsid w:val="00A61598"/>
    <w:rsid w:val="00A74DAF"/>
    <w:rsid w:val="00A84A99"/>
    <w:rsid w:val="00A84F46"/>
    <w:rsid w:val="00A871F4"/>
    <w:rsid w:val="00AC1B2C"/>
    <w:rsid w:val="00AC3264"/>
    <w:rsid w:val="00AE0F9E"/>
    <w:rsid w:val="00AE1BF1"/>
    <w:rsid w:val="00AF0DD2"/>
    <w:rsid w:val="00B13048"/>
    <w:rsid w:val="00B1716D"/>
    <w:rsid w:val="00B17A1D"/>
    <w:rsid w:val="00B207A0"/>
    <w:rsid w:val="00B50922"/>
    <w:rsid w:val="00B514DD"/>
    <w:rsid w:val="00B52AF0"/>
    <w:rsid w:val="00B561BD"/>
    <w:rsid w:val="00B56E03"/>
    <w:rsid w:val="00B8080B"/>
    <w:rsid w:val="00B82223"/>
    <w:rsid w:val="00B87BA5"/>
    <w:rsid w:val="00B87C39"/>
    <w:rsid w:val="00B9562D"/>
    <w:rsid w:val="00BA4665"/>
    <w:rsid w:val="00BA49A6"/>
    <w:rsid w:val="00BB28F2"/>
    <w:rsid w:val="00BB2FB2"/>
    <w:rsid w:val="00BB3304"/>
    <w:rsid w:val="00BD3446"/>
    <w:rsid w:val="00BE1F1B"/>
    <w:rsid w:val="00BE306A"/>
    <w:rsid w:val="00BE47B5"/>
    <w:rsid w:val="00BE50EB"/>
    <w:rsid w:val="00C07A25"/>
    <w:rsid w:val="00C15AB4"/>
    <w:rsid w:val="00C21275"/>
    <w:rsid w:val="00C25FA6"/>
    <w:rsid w:val="00C26E36"/>
    <w:rsid w:val="00C538A9"/>
    <w:rsid w:val="00C53B5A"/>
    <w:rsid w:val="00C54F5A"/>
    <w:rsid w:val="00C569B4"/>
    <w:rsid w:val="00C6788B"/>
    <w:rsid w:val="00C67A92"/>
    <w:rsid w:val="00C749B4"/>
    <w:rsid w:val="00C7552E"/>
    <w:rsid w:val="00C84560"/>
    <w:rsid w:val="00C86679"/>
    <w:rsid w:val="00CA489E"/>
    <w:rsid w:val="00CB0279"/>
    <w:rsid w:val="00CB666B"/>
    <w:rsid w:val="00CC7F1D"/>
    <w:rsid w:val="00CE1BDD"/>
    <w:rsid w:val="00D006AE"/>
    <w:rsid w:val="00D01CF0"/>
    <w:rsid w:val="00D0442A"/>
    <w:rsid w:val="00D60775"/>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3722"/>
    <w:rsid w:val="00DE4EFA"/>
    <w:rsid w:val="00DE5520"/>
    <w:rsid w:val="00DE563D"/>
    <w:rsid w:val="00E04818"/>
    <w:rsid w:val="00E06442"/>
    <w:rsid w:val="00E23993"/>
    <w:rsid w:val="00E25B8C"/>
    <w:rsid w:val="00E26F35"/>
    <w:rsid w:val="00E65C85"/>
    <w:rsid w:val="00E66199"/>
    <w:rsid w:val="00E755EC"/>
    <w:rsid w:val="00E7624D"/>
    <w:rsid w:val="00EA3D42"/>
    <w:rsid w:val="00EA6B1B"/>
    <w:rsid w:val="00EC04F1"/>
    <w:rsid w:val="00ED7323"/>
    <w:rsid w:val="00EE28F3"/>
    <w:rsid w:val="00EE50D1"/>
    <w:rsid w:val="00EE75F6"/>
    <w:rsid w:val="00EF11A4"/>
    <w:rsid w:val="00EF20EE"/>
    <w:rsid w:val="00EF5110"/>
    <w:rsid w:val="00F10411"/>
    <w:rsid w:val="00F15882"/>
    <w:rsid w:val="00F171E0"/>
    <w:rsid w:val="00F20BD3"/>
    <w:rsid w:val="00F373A5"/>
    <w:rsid w:val="00F40DA7"/>
    <w:rsid w:val="00F41DFD"/>
    <w:rsid w:val="00F47559"/>
    <w:rsid w:val="00F52856"/>
    <w:rsid w:val="00F64C7B"/>
    <w:rsid w:val="00F676DD"/>
    <w:rsid w:val="00F75A26"/>
    <w:rsid w:val="00F76706"/>
    <w:rsid w:val="00F83FAD"/>
    <w:rsid w:val="00F952A0"/>
    <w:rsid w:val="00F97F96"/>
    <w:rsid w:val="00FA3C7F"/>
    <w:rsid w:val="00FB60FE"/>
    <w:rsid w:val="00FB74E2"/>
    <w:rsid w:val="00FD5614"/>
    <w:rsid w:val="00FD5E78"/>
    <w:rsid w:val="00FE0BE1"/>
    <w:rsid w:val="00FE0D8E"/>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88DC197E</Template>
  <TotalTime>0</TotalTime>
  <Pages>12</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2015-04-29T04:21:00Z</dcterms:created>
  <dcterms:modified xsi:type="dcterms:W3CDTF">2015-04-29T04:21:00Z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