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8B7C707" wp14:editId="4D5B310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7A236B">
            <w:t>8</w:t>
          </w:r>
          <w:r>
            <w:t xml:space="preserve"> </w:t>
          </w:r>
          <w:r w:rsidR="00415F31">
            <w:rPr>
              <w:rFonts w:cs="Arial"/>
            </w:rPr>
            <w:t>–</w:t>
          </w:r>
          <w:r>
            <w:t xml:space="preserve"> </w:t>
          </w:r>
          <w:r w:rsidR="007A236B">
            <w:t>Corporate income tax</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2708941"/>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attachment forms part of the AER's final decision on TransGrid’s revenue proposal 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270894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508B1" w:rsidRDefault="00D7627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2708941" w:history="1">
            <w:r w:rsidR="00F508B1" w:rsidRPr="000D13DB">
              <w:rPr>
                <w:rStyle w:val="Hyperlink"/>
              </w:rPr>
              <w:t>Note</w:t>
            </w:r>
            <w:r w:rsidR="00F508B1">
              <w:rPr>
                <w:webHidden/>
              </w:rPr>
              <w:tab/>
            </w:r>
            <w:r w:rsidR="00F508B1">
              <w:rPr>
                <w:webHidden/>
              </w:rPr>
              <w:fldChar w:fldCharType="begin"/>
            </w:r>
            <w:r w:rsidR="00F508B1">
              <w:rPr>
                <w:webHidden/>
              </w:rPr>
              <w:instrText xml:space="preserve"> PAGEREF _Toc412708941 \h </w:instrText>
            </w:r>
            <w:r w:rsidR="00F508B1">
              <w:rPr>
                <w:webHidden/>
              </w:rPr>
            </w:r>
            <w:r w:rsidR="00F508B1">
              <w:rPr>
                <w:webHidden/>
              </w:rPr>
              <w:fldChar w:fldCharType="separate"/>
            </w:r>
            <w:r w:rsidR="000E7BE0">
              <w:rPr>
                <w:webHidden/>
              </w:rPr>
              <w:t>8-2</w:t>
            </w:r>
            <w:r w:rsidR="00F508B1">
              <w:rPr>
                <w:webHidden/>
              </w:rPr>
              <w:fldChar w:fldCharType="end"/>
            </w:r>
          </w:hyperlink>
        </w:p>
        <w:p w:rsidR="00F508B1" w:rsidRDefault="000E7BE0">
          <w:pPr>
            <w:pStyle w:val="TOC1"/>
            <w:rPr>
              <w:rFonts w:asciiTheme="minorHAnsi" w:eastAsiaTheme="minorEastAsia" w:hAnsiTheme="minorHAnsi"/>
              <w:b w:val="0"/>
              <w:color w:val="auto"/>
              <w:sz w:val="22"/>
              <w:lang w:val="en-AU" w:eastAsia="en-AU"/>
            </w:rPr>
          </w:pPr>
          <w:hyperlink w:anchor="_Toc412708942" w:history="1">
            <w:r w:rsidR="00F508B1" w:rsidRPr="000D13DB">
              <w:rPr>
                <w:rStyle w:val="Hyperlink"/>
              </w:rPr>
              <w:t>Contents</w:t>
            </w:r>
            <w:r w:rsidR="00F508B1">
              <w:rPr>
                <w:webHidden/>
              </w:rPr>
              <w:tab/>
            </w:r>
            <w:r w:rsidR="00F508B1">
              <w:rPr>
                <w:webHidden/>
              </w:rPr>
              <w:fldChar w:fldCharType="begin"/>
            </w:r>
            <w:r w:rsidR="00F508B1">
              <w:rPr>
                <w:webHidden/>
              </w:rPr>
              <w:instrText xml:space="preserve"> PAGEREF _Toc412708942 \h </w:instrText>
            </w:r>
            <w:r w:rsidR="00F508B1">
              <w:rPr>
                <w:webHidden/>
              </w:rPr>
            </w:r>
            <w:r w:rsidR="00F508B1">
              <w:rPr>
                <w:webHidden/>
              </w:rPr>
              <w:fldChar w:fldCharType="separate"/>
            </w:r>
            <w:r>
              <w:rPr>
                <w:webHidden/>
              </w:rPr>
              <w:t>8-3</w:t>
            </w:r>
            <w:r w:rsidR="00F508B1">
              <w:rPr>
                <w:webHidden/>
              </w:rPr>
              <w:fldChar w:fldCharType="end"/>
            </w:r>
          </w:hyperlink>
        </w:p>
        <w:p w:rsidR="00F508B1" w:rsidRDefault="000E7BE0">
          <w:pPr>
            <w:pStyle w:val="TOC1"/>
            <w:rPr>
              <w:rFonts w:asciiTheme="minorHAnsi" w:eastAsiaTheme="minorEastAsia" w:hAnsiTheme="minorHAnsi"/>
              <w:b w:val="0"/>
              <w:color w:val="auto"/>
              <w:sz w:val="22"/>
              <w:lang w:val="en-AU" w:eastAsia="en-AU"/>
            </w:rPr>
          </w:pPr>
          <w:hyperlink w:anchor="_Toc412708943" w:history="1">
            <w:r w:rsidR="00F508B1" w:rsidRPr="000D13DB">
              <w:rPr>
                <w:rStyle w:val="Hyperlink"/>
              </w:rPr>
              <w:t>Shortened forms</w:t>
            </w:r>
            <w:r w:rsidR="00F508B1">
              <w:rPr>
                <w:webHidden/>
              </w:rPr>
              <w:tab/>
            </w:r>
            <w:r w:rsidR="00F508B1">
              <w:rPr>
                <w:webHidden/>
              </w:rPr>
              <w:fldChar w:fldCharType="begin"/>
            </w:r>
            <w:r w:rsidR="00F508B1">
              <w:rPr>
                <w:webHidden/>
              </w:rPr>
              <w:instrText xml:space="preserve"> PAGEREF _Toc412708943 \h </w:instrText>
            </w:r>
            <w:r w:rsidR="00F508B1">
              <w:rPr>
                <w:webHidden/>
              </w:rPr>
            </w:r>
            <w:r w:rsidR="00F508B1">
              <w:rPr>
                <w:webHidden/>
              </w:rPr>
              <w:fldChar w:fldCharType="separate"/>
            </w:r>
            <w:r>
              <w:rPr>
                <w:webHidden/>
              </w:rPr>
              <w:t>8-4</w:t>
            </w:r>
            <w:r w:rsidR="00F508B1">
              <w:rPr>
                <w:webHidden/>
              </w:rPr>
              <w:fldChar w:fldCharType="end"/>
            </w:r>
          </w:hyperlink>
        </w:p>
        <w:p w:rsidR="00F508B1" w:rsidRDefault="000E7BE0">
          <w:pPr>
            <w:pStyle w:val="TOC1"/>
            <w:rPr>
              <w:rFonts w:asciiTheme="minorHAnsi" w:eastAsiaTheme="minorEastAsia" w:hAnsiTheme="minorHAnsi"/>
              <w:b w:val="0"/>
              <w:color w:val="auto"/>
              <w:sz w:val="22"/>
              <w:lang w:val="en-AU" w:eastAsia="en-AU"/>
            </w:rPr>
          </w:pPr>
          <w:hyperlink w:anchor="_Toc412708944" w:history="1">
            <w:r w:rsidR="00F508B1" w:rsidRPr="000D13DB">
              <w:rPr>
                <w:rStyle w:val="Hyperlink"/>
              </w:rPr>
              <w:t>8</w:t>
            </w:r>
            <w:r w:rsidR="00F508B1">
              <w:rPr>
                <w:rFonts w:asciiTheme="minorHAnsi" w:eastAsiaTheme="minorEastAsia" w:hAnsiTheme="minorHAnsi"/>
                <w:b w:val="0"/>
                <w:color w:val="auto"/>
                <w:sz w:val="22"/>
                <w:lang w:val="en-AU" w:eastAsia="en-AU"/>
              </w:rPr>
              <w:tab/>
            </w:r>
            <w:r w:rsidR="00F508B1" w:rsidRPr="000D13DB">
              <w:rPr>
                <w:rStyle w:val="Hyperlink"/>
              </w:rPr>
              <w:t>Corporate income tax</w:t>
            </w:r>
            <w:r w:rsidR="00F508B1">
              <w:rPr>
                <w:webHidden/>
              </w:rPr>
              <w:tab/>
            </w:r>
            <w:r w:rsidR="00F508B1">
              <w:rPr>
                <w:webHidden/>
              </w:rPr>
              <w:fldChar w:fldCharType="begin"/>
            </w:r>
            <w:r w:rsidR="00F508B1">
              <w:rPr>
                <w:webHidden/>
              </w:rPr>
              <w:instrText xml:space="preserve"> PAGEREF _Toc412708944 \h </w:instrText>
            </w:r>
            <w:r w:rsidR="00F508B1">
              <w:rPr>
                <w:webHidden/>
              </w:rPr>
            </w:r>
            <w:r w:rsidR="00F508B1">
              <w:rPr>
                <w:webHidden/>
              </w:rPr>
              <w:fldChar w:fldCharType="separate"/>
            </w:r>
            <w:r>
              <w:rPr>
                <w:webHidden/>
              </w:rPr>
              <w:t>8-6</w:t>
            </w:r>
            <w:r w:rsidR="00F508B1">
              <w:rPr>
                <w:webHidden/>
              </w:rPr>
              <w:fldChar w:fldCharType="end"/>
            </w:r>
          </w:hyperlink>
        </w:p>
        <w:p w:rsidR="00F508B1" w:rsidRDefault="000E7BE0">
          <w:pPr>
            <w:pStyle w:val="TOC2"/>
            <w:rPr>
              <w:rFonts w:asciiTheme="minorHAnsi" w:eastAsiaTheme="minorEastAsia" w:hAnsiTheme="minorHAnsi"/>
              <w:b w:val="0"/>
              <w:color w:val="auto"/>
              <w:sz w:val="22"/>
              <w:lang w:eastAsia="en-AU"/>
            </w:rPr>
          </w:pPr>
          <w:hyperlink w:anchor="_Toc412708945" w:history="1">
            <w:r w:rsidR="00F508B1" w:rsidRPr="000D13DB">
              <w:rPr>
                <w:rStyle w:val="Hyperlink"/>
              </w:rPr>
              <w:t>8.1</w:t>
            </w:r>
            <w:r w:rsidR="00F508B1">
              <w:rPr>
                <w:rFonts w:asciiTheme="minorHAnsi" w:eastAsiaTheme="minorEastAsia" w:hAnsiTheme="minorHAnsi"/>
                <w:b w:val="0"/>
                <w:color w:val="auto"/>
                <w:sz w:val="22"/>
                <w:lang w:eastAsia="en-AU"/>
              </w:rPr>
              <w:tab/>
            </w:r>
            <w:r w:rsidR="00F508B1" w:rsidRPr="000D13DB">
              <w:rPr>
                <w:rStyle w:val="Hyperlink"/>
              </w:rPr>
              <w:t>Final decision</w:t>
            </w:r>
            <w:r w:rsidR="00F508B1">
              <w:rPr>
                <w:webHidden/>
              </w:rPr>
              <w:tab/>
            </w:r>
            <w:r w:rsidR="00F508B1">
              <w:rPr>
                <w:webHidden/>
              </w:rPr>
              <w:fldChar w:fldCharType="begin"/>
            </w:r>
            <w:r w:rsidR="00F508B1">
              <w:rPr>
                <w:webHidden/>
              </w:rPr>
              <w:instrText xml:space="preserve"> PAGEREF _Toc412708945 \h </w:instrText>
            </w:r>
            <w:r w:rsidR="00F508B1">
              <w:rPr>
                <w:webHidden/>
              </w:rPr>
            </w:r>
            <w:r w:rsidR="00F508B1">
              <w:rPr>
                <w:webHidden/>
              </w:rPr>
              <w:fldChar w:fldCharType="separate"/>
            </w:r>
            <w:r>
              <w:rPr>
                <w:webHidden/>
              </w:rPr>
              <w:t>8-6</w:t>
            </w:r>
            <w:r w:rsidR="00F508B1">
              <w:rPr>
                <w:webHidden/>
              </w:rPr>
              <w:fldChar w:fldCharType="end"/>
            </w:r>
          </w:hyperlink>
        </w:p>
        <w:p w:rsidR="00F508B1" w:rsidRDefault="000E7BE0">
          <w:pPr>
            <w:pStyle w:val="TOC2"/>
            <w:rPr>
              <w:rFonts w:asciiTheme="minorHAnsi" w:eastAsiaTheme="minorEastAsia" w:hAnsiTheme="minorHAnsi"/>
              <w:b w:val="0"/>
              <w:color w:val="auto"/>
              <w:sz w:val="22"/>
              <w:lang w:eastAsia="en-AU"/>
            </w:rPr>
          </w:pPr>
          <w:hyperlink w:anchor="_Toc412708946" w:history="1">
            <w:r w:rsidR="00F508B1" w:rsidRPr="000D13DB">
              <w:rPr>
                <w:rStyle w:val="Hyperlink"/>
              </w:rPr>
              <w:t>8.2</w:t>
            </w:r>
            <w:r w:rsidR="00F508B1">
              <w:rPr>
                <w:rFonts w:asciiTheme="minorHAnsi" w:eastAsiaTheme="minorEastAsia" w:hAnsiTheme="minorHAnsi"/>
                <w:b w:val="0"/>
                <w:color w:val="auto"/>
                <w:sz w:val="22"/>
                <w:lang w:eastAsia="en-AU"/>
              </w:rPr>
              <w:tab/>
            </w:r>
            <w:r w:rsidR="00F508B1" w:rsidRPr="000D13DB">
              <w:rPr>
                <w:rStyle w:val="Hyperlink"/>
              </w:rPr>
              <w:t>TransGrid’s revised proposal</w:t>
            </w:r>
            <w:r w:rsidR="00F508B1">
              <w:rPr>
                <w:webHidden/>
              </w:rPr>
              <w:tab/>
            </w:r>
            <w:r w:rsidR="00F508B1">
              <w:rPr>
                <w:webHidden/>
              </w:rPr>
              <w:fldChar w:fldCharType="begin"/>
            </w:r>
            <w:r w:rsidR="00F508B1">
              <w:rPr>
                <w:webHidden/>
              </w:rPr>
              <w:instrText xml:space="preserve"> PAGEREF _Toc412708946 \h </w:instrText>
            </w:r>
            <w:r w:rsidR="00F508B1">
              <w:rPr>
                <w:webHidden/>
              </w:rPr>
            </w:r>
            <w:r w:rsidR="00F508B1">
              <w:rPr>
                <w:webHidden/>
              </w:rPr>
              <w:fldChar w:fldCharType="separate"/>
            </w:r>
            <w:r>
              <w:rPr>
                <w:webHidden/>
              </w:rPr>
              <w:t>8-7</w:t>
            </w:r>
            <w:r w:rsidR="00F508B1">
              <w:rPr>
                <w:webHidden/>
              </w:rPr>
              <w:fldChar w:fldCharType="end"/>
            </w:r>
          </w:hyperlink>
        </w:p>
        <w:p w:rsidR="00F508B1" w:rsidRDefault="000E7BE0">
          <w:pPr>
            <w:pStyle w:val="TOC2"/>
            <w:rPr>
              <w:rFonts w:asciiTheme="minorHAnsi" w:eastAsiaTheme="minorEastAsia" w:hAnsiTheme="minorHAnsi"/>
              <w:b w:val="0"/>
              <w:color w:val="auto"/>
              <w:sz w:val="22"/>
              <w:lang w:eastAsia="en-AU"/>
            </w:rPr>
          </w:pPr>
          <w:hyperlink w:anchor="_Toc412708947" w:history="1">
            <w:r w:rsidR="00F508B1" w:rsidRPr="000D13DB">
              <w:rPr>
                <w:rStyle w:val="Hyperlink"/>
              </w:rPr>
              <w:t>8.3</w:t>
            </w:r>
            <w:r w:rsidR="00F508B1">
              <w:rPr>
                <w:rFonts w:asciiTheme="minorHAnsi" w:eastAsiaTheme="minorEastAsia" w:hAnsiTheme="minorHAnsi"/>
                <w:b w:val="0"/>
                <w:color w:val="auto"/>
                <w:sz w:val="22"/>
                <w:lang w:eastAsia="en-AU"/>
              </w:rPr>
              <w:tab/>
            </w:r>
            <w:r w:rsidR="00F508B1" w:rsidRPr="000D13DB">
              <w:rPr>
                <w:rStyle w:val="Hyperlink"/>
              </w:rPr>
              <w:t>AER’s assessment approach</w:t>
            </w:r>
            <w:r w:rsidR="00F508B1">
              <w:rPr>
                <w:webHidden/>
              </w:rPr>
              <w:tab/>
            </w:r>
            <w:r w:rsidR="00F508B1">
              <w:rPr>
                <w:webHidden/>
              </w:rPr>
              <w:fldChar w:fldCharType="begin"/>
            </w:r>
            <w:r w:rsidR="00F508B1">
              <w:rPr>
                <w:webHidden/>
              </w:rPr>
              <w:instrText xml:space="preserve"> PAGEREF _Toc412708947 \h </w:instrText>
            </w:r>
            <w:r w:rsidR="00F508B1">
              <w:rPr>
                <w:webHidden/>
              </w:rPr>
            </w:r>
            <w:r w:rsidR="00F508B1">
              <w:rPr>
                <w:webHidden/>
              </w:rPr>
              <w:fldChar w:fldCharType="separate"/>
            </w:r>
            <w:r>
              <w:rPr>
                <w:webHidden/>
              </w:rPr>
              <w:t>8-7</w:t>
            </w:r>
            <w:r w:rsidR="00F508B1">
              <w:rPr>
                <w:webHidden/>
              </w:rPr>
              <w:fldChar w:fldCharType="end"/>
            </w:r>
          </w:hyperlink>
        </w:p>
        <w:p w:rsidR="00F508B1" w:rsidRDefault="000E7BE0">
          <w:pPr>
            <w:pStyle w:val="TOC2"/>
            <w:rPr>
              <w:rFonts w:asciiTheme="minorHAnsi" w:eastAsiaTheme="minorEastAsia" w:hAnsiTheme="minorHAnsi"/>
              <w:b w:val="0"/>
              <w:color w:val="auto"/>
              <w:sz w:val="22"/>
              <w:lang w:eastAsia="en-AU"/>
            </w:rPr>
          </w:pPr>
          <w:hyperlink w:anchor="_Toc412708948" w:history="1">
            <w:r w:rsidR="00F508B1" w:rsidRPr="000D13DB">
              <w:rPr>
                <w:rStyle w:val="Hyperlink"/>
              </w:rPr>
              <w:t>8.4</w:t>
            </w:r>
            <w:r w:rsidR="00F508B1">
              <w:rPr>
                <w:rFonts w:asciiTheme="minorHAnsi" w:eastAsiaTheme="minorEastAsia" w:hAnsiTheme="minorHAnsi"/>
                <w:b w:val="0"/>
                <w:color w:val="auto"/>
                <w:sz w:val="22"/>
                <w:lang w:eastAsia="en-AU"/>
              </w:rPr>
              <w:tab/>
            </w:r>
            <w:r w:rsidR="00F508B1" w:rsidRPr="000D13DB">
              <w:rPr>
                <w:rStyle w:val="Hyperlink"/>
              </w:rPr>
              <w:t>Reasons for final decision</w:t>
            </w:r>
            <w:r w:rsidR="00F508B1">
              <w:rPr>
                <w:webHidden/>
              </w:rPr>
              <w:tab/>
            </w:r>
            <w:r w:rsidR="00F508B1">
              <w:rPr>
                <w:webHidden/>
              </w:rPr>
              <w:fldChar w:fldCharType="begin"/>
            </w:r>
            <w:r w:rsidR="00F508B1">
              <w:rPr>
                <w:webHidden/>
              </w:rPr>
              <w:instrText xml:space="preserve"> PAGEREF _Toc412708948 \h </w:instrText>
            </w:r>
            <w:r w:rsidR="00F508B1">
              <w:rPr>
                <w:webHidden/>
              </w:rPr>
            </w:r>
            <w:r w:rsidR="00F508B1">
              <w:rPr>
                <w:webHidden/>
              </w:rPr>
              <w:fldChar w:fldCharType="separate"/>
            </w:r>
            <w:r>
              <w:rPr>
                <w:webHidden/>
              </w:rPr>
              <w:t>8-8</w:t>
            </w:r>
            <w:r w:rsidR="00F508B1">
              <w:rPr>
                <w:webHidden/>
              </w:rPr>
              <w:fldChar w:fldCharType="end"/>
            </w:r>
          </w:hyperlink>
        </w:p>
        <w:p w:rsidR="00F508B1" w:rsidRDefault="000E7BE0">
          <w:pPr>
            <w:pStyle w:val="TOC3"/>
            <w:rPr>
              <w:rFonts w:asciiTheme="minorHAnsi" w:eastAsiaTheme="minorEastAsia" w:hAnsiTheme="minorHAnsi"/>
              <w:lang w:eastAsia="en-AU"/>
            </w:rPr>
          </w:pPr>
          <w:hyperlink w:anchor="_Toc412708949" w:history="1">
            <w:r w:rsidR="00F508B1" w:rsidRPr="000D13DB">
              <w:rPr>
                <w:rStyle w:val="Hyperlink"/>
              </w:rPr>
              <w:t>8.4.1</w:t>
            </w:r>
            <w:r w:rsidR="00F508B1">
              <w:rPr>
                <w:rFonts w:asciiTheme="minorHAnsi" w:eastAsiaTheme="minorEastAsia" w:hAnsiTheme="minorHAnsi"/>
                <w:lang w:eastAsia="en-AU"/>
              </w:rPr>
              <w:tab/>
            </w:r>
            <w:r w:rsidR="00F508B1" w:rsidRPr="000D13DB">
              <w:rPr>
                <w:rStyle w:val="Hyperlink"/>
              </w:rPr>
              <w:t>Opening tax asset base at 1 July 2014</w:t>
            </w:r>
            <w:r w:rsidR="00F508B1">
              <w:rPr>
                <w:webHidden/>
              </w:rPr>
              <w:tab/>
            </w:r>
            <w:r w:rsidR="00F508B1">
              <w:rPr>
                <w:webHidden/>
              </w:rPr>
              <w:fldChar w:fldCharType="begin"/>
            </w:r>
            <w:r w:rsidR="00F508B1">
              <w:rPr>
                <w:webHidden/>
              </w:rPr>
              <w:instrText xml:space="preserve"> PAGEREF _Toc412708949 \h </w:instrText>
            </w:r>
            <w:r w:rsidR="00F508B1">
              <w:rPr>
                <w:webHidden/>
              </w:rPr>
            </w:r>
            <w:r w:rsidR="00F508B1">
              <w:rPr>
                <w:webHidden/>
              </w:rPr>
              <w:fldChar w:fldCharType="separate"/>
            </w:r>
            <w:r>
              <w:rPr>
                <w:webHidden/>
              </w:rPr>
              <w:t>8-8</w:t>
            </w:r>
            <w:r w:rsidR="00F508B1">
              <w:rPr>
                <w:webHidden/>
              </w:rPr>
              <w:fldChar w:fldCharType="end"/>
            </w:r>
          </w:hyperlink>
        </w:p>
        <w:p w:rsidR="00F508B1" w:rsidRDefault="000E7BE0">
          <w:pPr>
            <w:pStyle w:val="TOC3"/>
            <w:rPr>
              <w:rFonts w:asciiTheme="minorHAnsi" w:eastAsiaTheme="minorEastAsia" w:hAnsiTheme="minorHAnsi"/>
              <w:lang w:eastAsia="en-AU"/>
            </w:rPr>
          </w:pPr>
          <w:hyperlink w:anchor="_Toc412708950" w:history="1">
            <w:r w:rsidR="00F508B1" w:rsidRPr="000D13DB">
              <w:rPr>
                <w:rStyle w:val="Hyperlink"/>
              </w:rPr>
              <w:t>8.4.2</w:t>
            </w:r>
            <w:r w:rsidR="00F508B1">
              <w:rPr>
                <w:rFonts w:asciiTheme="minorHAnsi" w:eastAsiaTheme="minorEastAsia" w:hAnsiTheme="minorHAnsi"/>
                <w:lang w:eastAsia="en-AU"/>
              </w:rPr>
              <w:tab/>
            </w:r>
            <w:r w:rsidR="00F508B1" w:rsidRPr="000D13DB">
              <w:rPr>
                <w:rStyle w:val="Hyperlink"/>
              </w:rPr>
              <w:t>Standard and remaining tax asset lives</w:t>
            </w:r>
            <w:r w:rsidR="00F508B1">
              <w:rPr>
                <w:webHidden/>
              </w:rPr>
              <w:tab/>
            </w:r>
            <w:r w:rsidR="00F508B1">
              <w:rPr>
                <w:webHidden/>
              </w:rPr>
              <w:fldChar w:fldCharType="begin"/>
            </w:r>
            <w:r w:rsidR="00F508B1">
              <w:rPr>
                <w:webHidden/>
              </w:rPr>
              <w:instrText xml:space="preserve"> PAGEREF _Toc412708950 \h </w:instrText>
            </w:r>
            <w:r w:rsidR="00F508B1">
              <w:rPr>
                <w:webHidden/>
              </w:rPr>
            </w:r>
            <w:r w:rsidR="00F508B1">
              <w:rPr>
                <w:webHidden/>
              </w:rPr>
              <w:fldChar w:fldCharType="separate"/>
            </w:r>
            <w:r>
              <w:rPr>
                <w:webHidden/>
              </w:rPr>
              <w:t>8-9</w:t>
            </w:r>
            <w:r w:rsidR="00F508B1">
              <w:rPr>
                <w:webHidden/>
              </w:rPr>
              <w:fldChar w:fldCharType="end"/>
            </w:r>
          </w:hyperlink>
        </w:p>
        <w:p w:rsidR="00DE563D" w:rsidRDefault="00D76276" w:rsidP="00D76276">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12708943"/>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D21A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D21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D21A2E">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7A236B" w:rsidP="007A236B">
      <w:pPr>
        <w:pStyle w:val="Heading1"/>
      </w:pPr>
      <w:bookmarkStart w:id="10" w:name="_Toc412708944"/>
      <w:r>
        <w:lastRenderedPageBreak/>
        <w:t>Corporate income tax</w:t>
      </w:r>
      <w:bookmarkEnd w:id="10"/>
    </w:p>
    <w:p w:rsidR="00D21A2E" w:rsidRPr="00C64792" w:rsidRDefault="00D21A2E" w:rsidP="00D21A2E">
      <w:pPr>
        <w:numPr>
          <w:ilvl w:val="0"/>
          <w:numId w:val="25"/>
        </w:numPr>
      </w:pPr>
      <w:bookmarkStart w:id="11" w:name="_Toc403144136"/>
      <w:r w:rsidRPr="00C64792">
        <w:t>The AER is required to make a decision on the estimated cost of corporate income tax</w:t>
      </w:r>
      <w:r>
        <w:t xml:space="preserve"> for </w:t>
      </w:r>
      <w:r w:rsidRPr="00245B0B">
        <w:t xml:space="preserve">TransGrid's </w:t>
      </w:r>
      <w:r w:rsidRPr="009134B1">
        <w:rPr>
          <w:rStyle w:val="AERbody"/>
        </w:rPr>
        <w:t>2014–18</w:t>
      </w:r>
      <w:r w:rsidRPr="00245B0B">
        <w:t xml:space="preserve"> period</w:t>
      </w:r>
      <w:r>
        <w:t>.</w:t>
      </w:r>
      <w:r w:rsidRPr="00C64792">
        <w:rPr>
          <w:rStyle w:val="FootnoteReference"/>
        </w:rPr>
        <w:footnoteReference w:id="1"/>
      </w:r>
      <w:r w:rsidRPr="00C64792">
        <w:t xml:space="preserve"> Under the post-tax framework, a corporate income tax allowance is calculated as part of the bui</w:t>
      </w:r>
      <w:r w:rsidR="001A7AC7">
        <w:t>lding block assessment using the</w:t>
      </w:r>
      <w:r w:rsidRPr="00C64792">
        <w:t xml:space="preserve"> </w:t>
      </w:r>
      <w:r w:rsidR="00943D90">
        <w:t>post-tax revenue model (</w:t>
      </w:r>
      <w:r w:rsidR="001A7AC7">
        <w:t>PTRM</w:t>
      </w:r>
      <w:r w:rsidR="00943D90">
        <w:t>)</w:t>
      </w:r>
      <w:r w:rsidRPr="00C64792">
        <w:t xml:space="preserve">. </w:t>
      </w:r>
    </w:p>
    <w:p w:rsidR="00D21A2E" w:rsidRPr="00F02C7F" w:rsidRDefault="00D21A2E" w:rsidP="00D21A2E">
      <w:pPr>
        <w:numPr>
          <w:ilvl w:val="0"/>
          <w:numId w:val="25"/>
        </w:numPr>
      </w:pPr>
      <w:r w:rsidRPr="00C64792">
        <w:t xml:space="preserve">This attachment sets out our </w:t>
      </w:r>
      <w:r>
        <w:t>final</w:t>
      </w:r>
      <w:r w:rsidRPr="00C64792">
        <w:t xml:space="preserve"> decision on </w:t>
      </w:r>
      <w:r>
        <w:t>TransGrid's</w:t>
      </w:r>
      <w:r w:rsidRPr="00C64792">
        <w:t xml:space="preserve"> </w:t>
      </w:r>
      <w:r w:rsidR="000001DA">
        <w:t xml:space="preserve">revised </w:t>
      </w:r>
      <w:r w:rsidRPr="00C64792">
        <w:t xml:space="preserve">proposed corporate income tax allowance. It also presents our </w:t>
      </w:r>
      <w:r w:rsidR="002170FE">
        <w:t>final decision on</w:t>
      </w:r>
      <w:r w:rsidRPr="00C64792">
        <w:t xml:space="preserve"> </w:t>
      </w:r>
      <w:r>
        <w:t>the</w:t>
      </w:r>
      <w:r w:rsidRPr="00C64792">
        <w:t xml:space="preserve"> </w:t>
      </w:r>
      <w:r w:rsidR="000001DA">
        <w:t xml:space="preserve">revised </w:t>
      </w:r>
      <w:r w:rsidRPr="00C64792">
        <w:t>proposed opening tax asset base (TAB), and the standard and remaining tax asset lives used to estimate tax depreciation for the purpose of calculating t</w:t>
      </w:r>
      <w:r>
        <w:t>ax expenses.</w:t>
      </w:r>
    </w:p>
    <w:p w:rsidR="00DE563D" w:rsidRPr="001754EE" w:rsidRDefault="00415F31" w:rsidP="001754EE">
      <w:pPr>
        <w:pStyle w:val="Heading2"/>
      </w:pPr>
      <w:bookmarkStart w:id="12" w:name="_Toc412708945"/>
      <w:r w:rsidRPr="001754EE">
        <w:t>Final</w:t>
      </w:r>
      <w:r w:rsidR="00DE563D" w:rsidRPr="001754EE">
        <w:t xml:space="preserve"> decision</w:t>
      </w:r>
      <w:bookmarkEnd w:id="11"/>
      <w:bookmarkEnd w:id="12"/>
    </w:p>
    <w:p w:rsidR="00943D90" w:rsidRDefault="001A627A" w:rsidP="00943D90">
      <w:bookmarkStart w:id="13" w:name="_Toc403144137"/>
      <w:r>
        <w:t xml:space="preserve">We accept TransGrid's proposed approach to </w:t>
      </w:r>
      <w:r w:rsidR="000001DA">
        <w:t>estimating</w:t>
      </w:r>
      <w:r>
        <w:t xml:space="preserve"> its </w:t>
      </w:r>
      <w:r w:rsidR="000001DA">
        <w:t xml:space="preserve">cost of </w:t>
      </w:r>
      <w:r>
        <w:t xml:space="preserve">corporate income tax. </w:t>
      </w:r>
      <w:r w:rsidR="001A7AC7">
        <w:t xml:space="preserve">We </w:t>
      </w:r>
      <w:r w:rsidR="00943D90">
        <w:t>determine</w:t>
      </w:r>
      <w:r w:rsidR="00943D90" w:rsidRPr="005C19A1">
        <w:t xml:space="preserve"> </w:t>
      </w:r>
      <w:r w:rsidR="00943D90">
        <w:t>TransGrid's</w:t>
      </w:r>
      <w:r w:rsidR="00943D90" w:rsidRPr="005C19A1">
        <w:t xml:space="preserve"> </w:t>
      </w:r>
      <w:r w:rsidR="00943D90">
        <w:t>corporate income tax allowance to be $</w:t>
      </w:r>
      <w:r w:rsidR="002A036A">
        <w:t xml:space="preserve">101.5 </w:t>
      </w:r>
      <w:r w:rsidR="00943D90">
        <w:t>million ($</w:t>
      </w:r>
      <w:r w:rsidR="002B1455">
        <w:t> </w:t>
      </w:r>
      <w:r w:rsidR="00943D90">
        <w:t>nominal) for the 2014</w:t>
      </w:r>
      <w:r w:rsidR="000001DA">
        <w:t>–</w:t>
      </w:r>
      <w:r w:rsidR="00943D90">
        <w:t xml:space="preserve">18 period. </w:t>
      </w:r>
      <w:r w:rsidR="005309BB">
        <w:t>This represents a reduction of $</w:t>
      </w:r>
      <w:r w:rsidR="003F7C45">
        <w:t>105.8</w:t>
      </w:r>
      <w:r w:rsidR="005309BB">
        <w:t xml:space="preserve"> million (or </w:t>
      </w:r>
      <w:r w:rsidR="002A036A">
        <w:t>51.0</w:t>
      </w:r>
      <w:r w:rsidR="005309BB">
        <w:t xml:space="preserve"> per cent) from TransGrid's revised proposal. </w:t>
      </w:r>
    </w:p>
    <w:p w:rsidR="00943D90" w:rsidRDefault="001A627A" w:rsidP="009A138A">
      <w:r>
        <w:t>Our</w:t>
      </w:r>
      <w:r w:rsidRPr="001A7AC7">
        <w:t xml:space="preserve"> final decision differs from </w:t>
      </w:r>
      <w:r>
        <w:t>TransGrid</w:t>
      </w:r>
      <w:r w:rsidRPr="001A7AC7">
        <w:t xml:space="preserve">'s revised proposal </w:t>
      </w:r>
      <w:r w:rsidR="005309BB">
        <w:t xml:space="preserve">due to our </w:t>
      </w:r>
      <w:r w:rsidRPr="00DC58F1">
        <w:t>determination on</w:t>
      </w:r>
      <w:r>
        <w:t xml:space="preserve"> TransGrid's proposed value of imputation credits (gamma) as discussed in attachment 4. </w:t>
      </w:r>
      <w:r w:rsidRPr="00DC58F1">
        <w:t>Our determinations on</w:t>
      </w:r>
      <w:r>
        <w:t xml:space="preserve"> </w:t>
      </w:r>
      <w:r w:rsidRPr="00DC58F1">
        <w:t>other building block</w:t>
      </w:r>
      <w:r>
        <w:t xml:space="preserve"> component</w:t>
      </w:r>
      <w:r w:rsidRPr="00DC58F1">
        <w:t xml:space="preserve">s including forecast capex (attachment </w:t>
      </w:r>
      <w:r>
        <w:t>6</w:t>
      </w:r>
      <w:r w:rsidRPr="00DC58F1">
        <w:t xml:space="preserve">) and forecast opex (attachment </w:t>
      </w:r>
      <w:r>
        <w:t>7</w:t>
      </w:r>
      <w:r w:rsidRPr="00DC58F1">
        <w:t>)</w:t>
      </w:r>
      <w:r>
        <w:t xml:space="preserve"> affect revenues, which </w:t>
      </w:r>
      <w:r w:rsidRPr="00DC58F1">
        <w:t xml:space="preserve">also impact the tax </w:t>
      </w:r>
      <w:r>
        <w:t>calculation</w:t>
      </w:r>
      <w:r w:rsidRPr="00DC58F1">
        <w:t>.</w:t>
      </w:r>
    </w:p>
    <w:p w:rsidR="00D21A2E" w:rsidRDefault="00D21A2E" w:rsidP="00D21A2E">
      <w:pPr>
        <w:numPr>
          <w:ilvl w:val="0"/>
          <w:numId w:val="25"/>
        </w:numPr>
      </w:pPr>
      <w:r>
        <w:fldChar w:fldCharType="begin"/>
      </w:r>
      <w:r>
        <w:instrText xml:space="preserve"> REF _Ref402185947 \h </w:instrText>
      </w:r>
      <w:r>
        <w:fldChar w:fldCharType="separate"/>
      </w:r>
      <w:r w:rsidR="000E7BE0">
        <w:t>Table 8</w:t>
      </w:r>
      <w:r w:rsidR="000E7BE0">
        <w:noBreakHyphen/>
      </w:r>
      <w:r w:rsidR="000E7BE0">
        <w:rPr>
          <w:noProof/>
        </w:rPr>
        <w:t>1</w:t>
      </w:r>
      <w:r>
        <w:fldChar w:fldCharType="end"/>
      </w:r>
      <w:r>
        <w:t xml:space="preserve"> </w:t>
      </w:r>
      <w:r w:rsidRPr="00DC58F1">
        <w:t>set</w:t>
      </w:r>
      <w:r>
        <w:t>s</w:t>
      </w:r>
      <w:r w:rsidRPr="00DC58F1">
        <w:t xml:space="preserve"> out our </w:t>
      </w:r>
      <w:r w:rsidR="00F508B1">
        <w:t xml:space="preserve">final </w:t>
      </w:r>
      <w:r w:rsidRPr="00DC58F1">
        <w:t xml:space="preserve">decision on </w:t>
      </w:r>
      <w:r>
        <w:t>the</w:t>
      </w:r>
      <w:r w:rsidRPr="00DC58F1">
        <w:t xml:space="preserve"> estimated </w:t>
      </w:r>
      <w:r>
        <w:t xml:space="preserve">cost of </w:t>
      </w:r>
      <w:r w:rsidRPr="00DC58F1">
        <w:t>corporate income tax allowance</w:t>
      </w:r>
      <w:r>
        <w:t xml:space="preserve"> for TransGrid.</w:t>
      </w:r>
    </w:p>
    <w:p w:rsidR="00D21A2E" w:rsidRPr="00DC58F1" w:rsidRDefault="00D21A2E" w:rsidP="00D21A2E">
      <w:pPr>
        <w:pStyle w:val="Caption"/>
      </w:pPr>
      <w:bookmarkStart w:id="14" w:name="_Ref402185947"/>
      <w:r>
        <w:t>Table 8</w:t>
      </w:r>
      <w:r>
        <w:noBreakHyphen/>
      </w:r>
      <w:r w:rsidRPr="00363040">
        <w:fldChar w:fldCharType="begin"/>
      </w:r>
      <w:r>
        <w:instrText xml:space="preserve"> SEQ Table \* ARABIC \s 1 </w:instrText>
      </w:r>
      <w:r w:rsidRPr="00363040">
        <w:fldChar w:fldCharType="separate"/>
      </w:r>
      <w:r w:rsidR="000E7BE0">
        <w:rPr>
          <w:noProof/>
        </w:rPr>
        <w:t>1</w:t>
      </w:r>
      <w:r w:rsidRPr="00363040">
        <w:fldChar w:fldCharType="end"/>
      </w:r>
      <w:bookmarkEnd w:id="14"/>
      <w:r>
        <w:tab/>
      </w:r>
      <w:r w:rsidRPr="00DC58F1">
        <w:t xml:space="preserve">AER's </w:t>
      </w:r>
      <w:r w:rsidR="001A7AC7">
        <w:t xml:space="preserve">final </w:t>
      </w:r>
      <w:r w:rsidRPr="00DC58F1">
        <w:t xml:space="preserve">decision on </w:t>
      </w:r>
      <w:r>
        <w:t>TransGrid</w:t>
      </w:r>
      <w:r w:rsidRPr="00DC58F1">
        <w:t xml:space="preserve">'s </w:t>
      </w:r>
      <w:r>
        <w:t xml:space="preserve">cost of </w:t>
      </w:r>
      <w:r w:rsidRPr="00DC58F1">
        <w:t>corporate income tax allowance</w:t>
      </w:r>
      <w:r>
        <w:t xml:space="preserve"> for the 2014–18 period </w:t>
      </w:r>
      <w:r w:rsidRPr="00DC58F1">
        <w:t>($ million, nominal)</w:t>
      </w:r>
    </w:p>
    <w:tbl>
      <w:tblPr>
        <w:tblStyle w:val="AERtable-numbers"/>
        <w:tblW w:w="4981" w:type="pct"/>
        <w:tblLook w:val="01E0" w:firstRow="1" w:lastRow="1" w:firstColumn="1" w:lastColumn="1" w:noHBand="0" w:noVBand="0"/>
      </w:tblPr>
      <w:tblGrid>
        <w:gridCol w:w="2956"/>
        <w:gridCol w:w="1148"/>
        <w:gridCol w:w="1145"/>
        <w:gridCol w:w="1143"/>
        <w:gridCol w:w="1134"/>
        <w:gridCol w:w="1134"/>
      </w:tblGrid>
      <w:tr w:rsidR="00D21A2E" w:rsidRPr="007B5DF7" w:rsidTr="002B1455">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706" w:type="pct"/>
          </w:tcPr>
          <w:p w:rsidR="00D21A2E" w:rsidRPr="007B5DF7" w:rsidRDefault="00D21A2E" w:rsidP="007B5DF7"/>
        </w:tc>
        <w:tc>
          <w:tcPr>
            <w:tcW w:w="663" w:type="pct"/>
          </w:tcPr>
          <w:p w:rsidR="00D21A2E" w:rsidRPr="007B5DF7" w:rsidRDefault="00D21A2E" w:rsidP="007B5DF7">
            <w:pPr>
              <w:cnfStyle w:val="100000000000" w:firstRow="1" w:lastRow="0" w:firstColumn="0" w:lastColumn="0" w:oddVBand="0" w:evenVBand="0" w:oddHBand="0" w:evenHBand="0" w:firstRowFirstColumn="0" w:firstRowLastColumn="0" w:lastRowFirstColumn="0" w:lastRowLastColumn="0"/>
            </w:pPr>
            <w:r w:rsidRPr="007B5DF7">
              <w:t>2014–15</w:t>
            </w:r>
          </w:p>
        </w:tc>
        <w:tc>
          <w:tcPr>
            <w:tcW w:w="661" w:type="pct"/>
          </w:tcPr>
          <w:p w:rsidR="00D21A2E" w:rsidRPr="007B5DF7" w:rsidRDefault="00D21A2E" w:rsidP="007B5DF7">
            <w:pPr>
              <w:cnfStyle w:val="100000000000" w:firstRow="1" w:lastRow="0" w:firstColumn="0" w:lastColumn="0" w:oddVBand="0" w:evenVBand="0" w:oddHBand="0" w:evenHBand="0" w:firstRowFirstColumn="0" w:firstRowLastColumn="0" w:lastRowFirstColumn="0" w:lastRowLastColumn="0"/>
            </w:pPr>
            <w:r w:rsidRPr="007B5DF7">
              <w:t>2015–16</w:t>
            </w:r>
          </w:p>
        </w:tc>
        <w:tc>
          <w:tcPr>
            <w:tcW w:w="660" w:type="pct"/>
          </w:tcPr>
          <w:p w:rsidR="00D21A2E" w:rsidRPr="007B5DF7" w:rsidRDefault="00D21A2E" w:rsidP="007B5DF7">
            <w:pPr>
              <w:cnfStyle w:val="100000000000" w:firstRow="1" w:lastRow="0" w:firstColumn="0" w:lastColumn="0" w:oddVBand="0" w:evenVBand="0" w:oddHBand="0" w:evenHBand="0" w:firstRowFirstColumn="0" w:firstRowLastColumn="0" w:lastRowFirstColumn="0" w:lastRowLastColumn="0"/>
            </w:pPr>
            <w:r w:rsidRPr="007B5DF7">
              <w:t>2016–17</w:t>
            </w:r>
          </w:p>
        </w:tc>
        <w:tc>
          <w:tcPr>
            <w:tcW w:w="655" w:type="pct"/>
          </w:tcPr>
          <w:p w:rsidR="00D21A2E" w:rsidRPr="007B5DF7" w:rsidRDefault="00D21A2E" w:rsidP="007B5DF7">
            <w:pPr>
              <w:cnfStyle w:val="100000000000" w:firstRow="1" w:lastRow="0" w:firstColumn="0" w:lastColumn="0" w:oddVBand="0" w:evenVBand="0" w:oddHBand="0" w:evenHBand="0" w:firstRowFirstColumn="0" w:firstRowLastColumn="0" w:lastRowFirstColumn="0" w:lastRowLastColumn="0"/>
            </w:pPr>
            <w:r w:rsidRPr="007B5DF7">
              <w:t>2017–18</w:t>
            </w:r>
          </w:p>
        </w:tc>
        <w:tc>
          <w:tcPr>
            <w:tcW w:w="655" w:type="pct"/>
          </w:tcPr>
          <w:p w:rsidR="00D21A2E" w:rsidRPr="007B5DF7" w:rsidRDefault="00D21A2E" w:rsidP="007B5DF7">
            <w:pPr>
              <w:cnfStyle w:val="100000000000" w:firstRow="1" w:lastRow="0" w:firstColumn="0" w:lastColumn="0" w:oddVBand="0" w:evenVBand="0" w:oddHBand="0" w:evenHBand="0" w:firstRowFirstColumn="0" w:firstRowLastColumn="0" w:lastRowFirstColumn="0" w:lastRowLastColumn="0"/>
            </w:pPr>
            <w:r w:rsidRPr="007B5DF7">
              <w:t>Total</w:t>
            </w:r>
          </w:p>
        </w:tc>
      </w:tr>
      <w:tr w:rsidR="00D21A2E" w:rsidRPr="007B5DF7" w:rsidTr="00D21A2E">
        <w:trPr>
          <w:trHeight w:val="460"/>
        </w:trPr>
        <w:tc>
          <w:tcPr>
            <w:cnfStyle w:val="001000000000" w:firstRow="0" w:lastRow="0" w:firstColumn="1" w:lastColumn="0" w:oddVBand="0" w:evenVBand="0" w:oddHBand="0" w:evenHBand="0" w:firstRowFirstColumn="0" w:firstRowLastColumn="0" w:lastRowFirstColumn="0" w:lastRowLastColumn="0"/>
            <w:tcW w:w="1706" w:type="pct"/>
          </w:tcPr>
          <w:p w:rsidR="00D21A2E" w:rsidRPr="007B5DF7" w:rsidRDefault="00D21A2E" w:rsidP="007B5DF7">
            <w:r w:rsidRPr="007B5DF7">
              <w:t>Tax payable</w:t>
            </w:r>
          </w:p>
        </w:tc>
        <w:tc>
          <w:tcPr>
            <w:tcW w:w="663" w:type="pct"/>
          </w:tcPr>
          <w:p w:rsidR="00D21A2E" w:rsidRPr="007B5DF7" w:rsidRDefault="00EF1F85" w:rsidP="007B5DF7">
            <w:pPr>
              <w:cnfStyle w:val="000000000000" w:firstRow="0" w:lastRow="0" w:firstColumn="0" w:lastColumn="0" w:oddVBand="0" w:evenVBand="0" w:oddHBand="0" w:evenHBand="0" w:firstRowFirstColumn="0" w:firstRowLastColumn="0" w:lastRowFirstColumn="0" w:lastRowLastColumn="0"/>
            </w:pPr>
            <w:r>
              <w:t>28.6</w:t>
            </w:r>
          </w:p>
        </w:tc>
        <w:tc>
          <w:tcPr>
            <w:tcW w:w="661" w:type="pct"/>
          </w:tcPr>
          <w:p w:rsidR="00D21A2E" w:rsidRPr="007B5DF7" w:rsidRDefault="00EF1F85" w:rsidP="007B5DF7">
            <w:pPr>
              <w:cnfStyle w:val="000000000000" w:firstRow="0" w:lastRow="0" w:firstColumn="0" w:lastColumn="0" w:oddVBand="0" w:evenVBand="0" w:oddHBand="0" w:evenHBand="0" w:firstRowFirstColumn="0" w:firstRowLastColumn="0" w:lastRowFirstColumn="0" w:lastRowLastColumn="0"/>
            </w:pPr>
            <w:r>
              <w:t>31.3</w:t>
            </w:r>
          </w:p>
        </w:tc>
        <w:tc>
          <w:tcPr>
            <w:tcW w:w="660" w:type="pct"/>
          </w:tcPr>
          <w:p w:rsidR="00D21A2E" w:rsidRPr="007B5DF7" w:rsidRDefault="00EF1F85" w:rsidP="007B5DF7">
            <w:pPr>
              <w:cnfStyle w:val="000000000000" w:firstRow="0" w:lastRow="0" w:firstColumn="0" w:lastColumn="0" w:oddVBand="0" w:evenVBand="0" w:oddHBand="0" w:evenHBand="0" w:firstRowFirstColumn="0" w:firstRowLastColumn="0" w:lastRowFirstColumn="0" w:lastRowLastColumn="0"/>
            </w:pPr>
            <w:r>
              <w:t>54.4</w:t>
            </w:r>
          </w:p>
        </w:tc>
        <w:tc>
          <w:tcPr>
            <w:tcW w:w="655" w:type="pct"/>
          </w:tcPr>
          <w:p w:rsidR="00D21A2E" w:rsidRPr="007B5DF7" w:rsidRDefault="009D7618" w:rsidP="007B5DF7">
            <w:pPr>
              <w:cnfStyle w:val="000000000000" w:firstRow="0" w:lastRow="0" w:firstColumn="0" w:lastColumn="0" w:oddVBand="0" w:evenVBand="0" w:oddHBand="0" w:evenHBand="0" w:firstRowFirstColumn="0" w:firstRowLastColumn="0" w:lastRowFirstColumn="0" w:lastRowLastColumn="0"/>
            </w:pPr>
            <w:r>
              <w:t>54.9</w:t>
            </w:r>
          </w:p>
        </w:tc>
        <w:tc>
          <w:tcPr>
            <w:tcW w:w="655" w:type="pct"/>
          </w:tcPr>
          <w:p w:rsidR="00D21A2E" w:rsidRPr="007B5DF7" w:rsidRDefault="00EF1F85" w:rsidP="007B5DF7">
            <w:pPr>
              <w:cnfStyle w:val="000000000000" w:firstRow="0" w:lastRow="0" w:firstColumn="0" w:lastColumn="0" w:oddVBand="0" w:evenVBand="0" w:oddHBand="0" w:evenHBand="0" w:firstRowFirstColumn="0" w:firstRowLastColumn="0" w:lastRowFirstColumn="0" w:lastRowLastColumn="0"/>
            </w:pPr>
            <w:r>
              <w:t>169.2</w:t>
            </w:r>
          </w:p>
        </w:tc>
      </w:tr>
      <w:tr w:rsidR="00D21A2E" w:rsidRPr="007B5DF7" w:rsidTr="00D21A2E">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706" w:type="pct"/>
          </w:tcPr>
          <w:p w:rsidR="00D21A2E" w:rsidRPr="007B5DF7" w:rsidRDefault="00D21A2E" w:rsidP="007B5DF7">
            <w:r w:rsidRPr="0070076A">
              <w:rPr>
                <w:rStyle w:val="AERtextitalic"/>
              </w:rPr>
              <w:t>Less:</w:t>
            </w:r>
            <w:r w:rsidRPr="007B5DF7">
              <w:t xml:space="preserve"> value of imputation credits</w:t>
            </w:r>
          </w:p>
        </w:tc>
        <w:tc>
          <w:tcPr>
            <w:tcW w:w="663" w:type="pct"/>
          </w:tcPr>
          <w:p w:rsidR="00D21A2E" w:rsidRPr="007B5DF7" w:rsidRDefault="00EF1F85" w:rsidP="007B5DF7">
            <w:pPr>
              <w:cnfStyle w:val="000000010000" w:firstRow="0" w:lastRow="0" w:firstColumn="0" w:lastColumn="0" w:oddVBand="0" w:evenVBand="0" w:oddHBand="0" w:evenHBand="1" w:firstRowFirstColumn="0" w:firstRowLastColumn="0" w:lastRowFirstColumn="0" w:lastRowLastColumn="0"/>
            </w:pPr>
            <w:r>
              <w:t>11.4</w:t>
            </w:r>
          </w:p>
        </w:tc>
        <w:tc>
          <w:tcPr>
            <w:tcW w:w="661" w:type="pct"/>
          </w:tcPr>
          <w:p w:rsidR="00D21A2E" w:rsidRPr="007B5DF7" w:rsidRDefault="00EF1F85" w:rsidP="007B5DF7">
            <w:pPr>
              <w:cnfStyle w:val="000000010000" w:firstRow="0" w:lastRow="0" w:firstColumn="0" w:lastColumn="0" w:oddVBand="0" w:evenVBand="0" w:oddHBand="0" w:evenHBand="1" w:firstRowFirstColumn="0" w:firstRowLastColumn="0" w:lastRowFirstColumn="0" w:lastRowLastColumn="0"/>
            </w:pPr>
            <w:r>
              <w:t>12.5</w:t>
            </w:r>
          </w:p>
        </w:tc>
        <w:tc>
          <w:tcPr>
            <w:tcW w:w="660" w:type="pct"/>
          </w:tcPr>
          <w:p w:rsidR="00D21A2E" w:rsidRPr="007B5DF7" w:rsidRDefault="00EF1F85" w:rsidP="007B5DF7">
            <w:pPr>
              <w:cnfStyle w:val="000000010000" w:firstRow="0" w:lastRow="0" w:firstColumn="0" w:lastColumn="0" w:oddVBand="0" w:evenVBand="0" w:oddHBand="0" w:evenHBand="1" w:firstRowFirstColumn="0" w:firstRowLastColumn="0" w:lastRowFirstColumn="0" w:lastRowLastColumn="0"/>
            </w:pPr>
            <w:r>
              <w:t>21.8</w:t>
            </w:r>
          </w:p>
        </w:tc>
        <w:tc>
          <w:tcPr>
            <w:tcW w:w="655" w:type="pct"/>
          </w:tcPr>
          <w:p w:rsidR="00D21A2E" w:rsidRPr="007B5DF7" w:rsidRDefault="00EF1F85" w:rsidP="007B5DF7">
            <w:pPr>
              <w:cnfStyle w:val="000000010000" w:firstRow="0" w:lastRow="0" w:firstColumn="0" w:lastColumn="0" w:oddVBand="0" w:evenVBand="0" w:oddHBand="0" w:evenHBand="1" w:firstRowFirstColumn="0" w:firstRowLastColumn="0" w:lastRowFirstColumn="0" w:lastRowLastColumn="0"/>
            </w:pPr>
            <w:r>
              <w:t>22.0</w:t>
            </w:r>
          </w:p>
        </w:tc>
        <w:tc>
          <w:tcPr>
            <w:tcW w:w="655" w:type="pct"/>
          </w:tcPr>
          <w:p w:rsidR="00D21A2E" w:rsidRPr="007B5DF7" w:rsidRDefault="00EF1F85" w:rsidP="007B5DF7">
            <w:pPr>
              <w:cnfStyle w:val="000000010000" w:firstRow="0" w:lastRow="0" w:firstColumn="0" w:lastColumn="0" w:oddVBand="0" w:evenVBand="0" w:oddHBand="0" w:evenHBand="1" w:firstRowFirstColumn="0" w:firstRowLastColumn="0" w:lastRowFirstColumn="0" w:lastRowLastColumn="0"/>
            </w:pPr>
            <w:r>
              <w:t>67.7</w:t>
            </w:r>
          </w:p>
        </w:tc>
      </w:tr>
      <w:tr w:rsidR="00D21A2E" w:rsidRPr="007B5DF7" w:rsidTr="00D21A2E">
        <w:trPr>
          <w:trHeight w:val="468"/>
        </w:trPr>
        <w:tc>
          <w:tcPr>
            <w:cnfStyle w:val="001000000000" w:firstRow="0" w:lastRow="0" w:firstColumn="1" w:lastColumn="0" w:oddVBand="0" w:evenVBand="0" w:oddHBand="0" w:evenHBand="0" w:firstRowFirstColumn="0" w:firstRowLastColumn="0" w:lastRowFirstColumn="0" w:lastRowLastColumn="0"/>
            <w:tcW w:w="1706" w:type="pct"/>
          </w:tcPr>
          <w:p w:rsidR="00D21A2E" w:rsidRPr="00594336" w:rsidRDefault="00D21A2E" w:rsidP="007B5DF7">
            <w:pPr>
              <w:rPr>
                <w:rStyle w:val="Strong"/>
              </w:rPr>
            </w:pPr>
            <w:r w:rsidRPr="00594336">
              <w:rPr>
                <w:rStyle w:val="Strong"/>
              </w:rPr>
              <w:t>Net corporate income tax allowance</w:t>
            </w:r>
          </w:p>
        </w:tc>
        <w:tc>
          <w:tcPr>
            <w:tcW w:w="663" w:type="pct"/>
          </w:tcPr>
          <w:p w:rsidR="00D21A2E" w:rsidRPr="00594336" w:rsidRDefault="00EF1F85" w:rsidP="007B5DF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17.1</w:t>
            </w:r>
          </w:p>
        </w:tc>
        <w:tc>
          <w:tcPr>
            <w:tcW w:w="661" w:type="pct"/>
          </w:tcPr>
          <w:p w:rsidR="00D21A2E" w:rsidRPr="00594336" w:rsidRDefault="00EF1F85" w:rsidP="007B5DF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18.8</w:t>
            </w:r>
          </w:p>
        </w:tc>
        <w:tc>
          <w:tcPr>
            <w:tcW w:w="660" w:type="pct"/>
          </w:tcPr>
          <w:p w:rsidR="00D21A2E" w:rsidRPr="00594336" w:rsidRDefault="00EF1F85" w:rsidP="007B5DF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32.6</w:t>
            </w:r>
          </w:p>
        </w:tc>
        <w:tc>
          <w:tcPr>
            <w:tcW w:w="655" w:type="pct"/>
          </w:tcPr>
          <w:p w:rsidR="00D21A2E" w:rsidRPr="00594336" w:rsidRDefault="00EF1F85" w:rsidP="007B5DF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33.0</w:t>
            </w:r>
          </w:p>
        </w:tc>
        <w:tc>
          <w:tcPr>
            <w:tcW w:w="655" w:type="pct"/>
          </w:tcPr>
          <w:p w:rsidR="00D21A2E" w:rsidRPr="00594336" w:rsidRDefault="00EF1F85" w:rsidP="007B5DF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101.5</w:t>
            </w:r>
          </w:p>
        </w:tc>
      </w:tr>
    </w:tbl>
    <w:p w:rsidR="00D21A2E" w:rsidRDefault="00D21A2E" w:rsidP="007B5DF7">
      <w:pPr>
        <w:pStyle w:val="AERtablesource"/>
      </w:pPr>
      <w:r w:rsidRPr="007B5DF7">
        <w:t>Source:</w:t>
      </w:r>
      <w:r w:rsidRPr="007B5DF7">
        <w:tab/>
        <w:t>AER analysis.</w:t>
      </w:r>
    </w:p>
    <w:p w:rsidR="002B1455" w:rsidRDefault="002B1455" w:rsidP="002B1455"/>
    <w:p w:rsidR="002B1455" w:rsidRPr="002B1455" w:rsidRDefault="002B1455" w:rsidP="002B1455"/>
    <w:p w:rsidR="00DE563D" w:rsidRPr="001754EE" w:rsidRDefault="00415F31" w:rsidP="001754EE">
      <w:pPr>
        <w:pStyle w:val="Heading2"/>
      </w:pPr>
      <w:bookmarkStart w:id="15" w:name="_Toc412708946"/>
      <w:r w:rsidRPr="001754EE">
        <w:lastRenderedPageBreak/>
        <w:t>TransGrid’s revised</w:t>
      </w:r>
      <w:r w:rsidR="00DE563D" w:rsidRPr="001754EE">
        <w:t xml:space="preserve"> proposal</w:t>
      </w:r>
      <w:bookmarkEnd w:id="13"/>
      <w:bookmarkEnd w:id="15"/>
    </w:p>
    <w:p w:rsidR="00D21A2E" w:rsidRPr="00DC58F1" w:rsidRDefault="000B1E31" w:rsidP="00E3412E">
      <w:pPr>
        <w:numPr>
          <w:ilvl w:val="0"/>
          <w:numId w:val="25"/>
        </w:numPr>
      </w:pPr>
      <w:r>
        <w:t>TransGrid's methodology for determining its</w:t>
      </w:r>
      <w:r w:rsidRPr="00DC58F1">
        <w:t xml:space="preserve"> corporate income tax </w:t>
      </w:r>
      <w:r>
        <w:t>is unchanged from its</w:t>
      </w:r>
      <w:r w:rsidR="005309BB">
        <w:t xml:space="preserve"> initial</w:t>
      </w:r>
      <w:r>
        <w:t xml:space="preserve"> proposal</w:t>
      </w:r>
      <w:r w:rsidR="008522E8">
        <w:t xml:space="preserve">. </w:t>
      </w:r>
      <w:r w:rsidR="00C51149">
        <w:t>We accepted the</w:t>
      </w:r>
      <w:r w:rsidR="008522E8">
        <w:t xml:space="preserve"> approach in </w:t>
      </w:r>
      <w:r w:rsidR="00C51149">
        <w:t>our</w:t>
      </w:r>
      <w:r w:rsidR="001A48B2">
        <w:t xml:space="preserve"> draft decision</w:t>
      </w:r>
      <w:r>
        <w:t>.</w:t>
      </w:r>
      <w:r w:rsidR="00E3412E">
        <w:t xml:space="preserve"> </w:t>
      </w:r>
      <w:r w:rsidR="00D21A2E">
        <w:t xml:space="preserve">TransGrid </w:t>
      </w:r>
      <w:r w:rsidR="009A138A">
        <w:t>has</w:t>
      </w:r>
      <w:r w:rsidR="001056D6">
        <w:t xml:space="preserve"> revised</w:t>
      </w:r>
      <w:r w:rsidR="009A138A">
        <w:t xml:space="preserve"> its</w:t>
      </w:r>
      <w:r w:rsidR="00D21A2E" w:rsidRPr="00DC58F1">
        <w:t xml:space="preserve"> corporate income tax allowance using the AER's PTRM</w:t>
      </w:r>
      <w:r w:rsidR="00D21A2E">
        <w:t xml:space="preserve"> and </w:t>
      </w:r>
      <w:r w:rsidR="000001DA">
        <w:t>include</w:t>
      </w:r>
      <w:r w:rsidR="00C51149">
        <w:t>d</w:t>
      </w:r>
      <w:r w:rsidR="000001DA">
        <w:t xml:space="preserve"> </w:t>
      </w:r>
      <w:r w:rsidR="00D21A2E">
        <w:t>the following inputs:</w:t>
      </w:r>
      <w:r w:rsidR="00D21A2E">
        <w:rPr>
          <w:rStyle w:val="FootnoteReference"/>
        </w:rPr>
        <w:footnoteReference w:id="2"/>
      </w:r>
    </w:p>
    <w:p w:rsidR="00D21A2E" w:rsidRPr="00D21A2E" w:rsidRDefault="001056D6" w:rsidP="00D21A2E">
      <w:pPr>
        <w:pStyle w:val="AERbulletlistfirststyle"/>
      </w:pPr>
      <w:r>
        <w:t>A</w:t>
      </w:r>
      <w:r w:rsidR="009A138A">
        <w:t xml:space="preserve"> revised opening </w:t>
      </w:r>
      <w:r w:rsidR="000001DA">
        <w:t>T</w:t>
      </w:r>
      <w:r w:rsidR="009A138A">
        <w:t>AB</w:t>
      </w:r>
      <w:r w:rsidR="000001DA">
        <w:t xml:space="preserve"> at 1 July 2014</w:t>
      </w:r>
      <w:r w:rsidR="009A138A">
        <w:t xml:space="preserve">, reflecting </w:t>
      </w:r>
      <w:r w:rsidR="000001DA">
        <w:t xml:space="preserve">updates for </w:t>
      </w:r>
      <w:r w:rsidR="009A138A">
        <w:t>2013</w:t>
      </w:r>
      <w:r w:rsidR="009A138A" w:rsidRPr="009134B1">
        <w:rPr>
          <w:rStyle w:val="AERbody"/>
        </w:rPr>
        <w:t>–</w:t>
      </w:r>
      <w:r w:rsidR="009A138A">
        <w:t>14</w:t>
      </w:r>
      <w:r w:rsidR="00E3412E">
        <w:t xml:space="preserve"> actual </w:t>
      </w:r>
      <w:r w:rsidR="004B7D5F">
        <w:t>capex</w:t>
      </w:r>
      <w:r>
        <w:t>.</w:t>
      </w:r>
      <w:r w:rsidR="009A138A">
        <w:t xml:space="preserve"> </w:t>
      </w:r>
    </w:p>
    <w:p w:rsidR="00E3412E" w:rsidRDefault="00EA215A" w:rsidP="00D21A2E">
      <w:pPr>
        <w:pStyle w:val="AERbulletlistfirststyle"/>
      </w:pPr>
      <w:r>
        <w:t>R</w:t>
      </w:r>
      <w:r w:rsidR="00E3412E">
        <w:t>evised forecast capex</w:t>
      </w:r>
      <w:r w:rsidR="001056D6">
        <w:t>.</w:t>
      </w:r>
    </w:p>
    <w:p w:rsidR="00E3412E" w:rsidRPr="00D21A2E" w:rsidRDefault="00EA215A" w:rsidP="00D21A2E">
      <w:pPr>
        <w:pStyle w:val="AERbulletlistfirststyle"/>
      </w:pPr>
      <w:r>
        <w:t>R</w:t>
      </w:r>
      <w:r w:rsidR="00E3412E">
        <w:t xml:space="preserve">evised forecast opex. </w:t>
      </w:r>
    </w:p>
    <w:p w:rsidR="00C51149" w:rsidRPr="00D21A2E" w:rsidRDefault="00C51149" w:rsidP="002B1455">
      <w:pPr>
        <w:pStyle w:val="AERbulletlistfirststyle"/>
        <w:numPr>
          <w:ilvl w:val="0"/>
          <w:numId w:val="0"/>
        </w:numPr>
      </w:pPr>
      <w:r>
        <w:t>TransGrid also used the</w:t>
      </w:r>
      <w:r w:rsidR="008522E8">
        <w:t xml:space="preserve"> standard tax asset lives consistent with those approved in the draft decision</w:t>
      </w:r>
      <w:r w:rsidR="008522E8" w:rsidRPr="00EA215A">
        <w:t xml:space="preserve"> </w:t>
      </w:r>
      <w:r w:rsidR="008522E8">
        <w:t>and remaining tax asset lives reflecting updates for 2013–14 actual capex</w:t>
      </w:r>
      <w:r>
        <w:t xml:space="preserve"> and a value for</w:t>
      </w:r>
      <w:r w:rsidR="008522E8">
        <w:t xml:space="preserve"> gamma of 0.25</w:t>
      </w:r>
      <w:r>
        <w:t xml:space="preserve"> consistent with its initial proposal</w:t>
      </w:r>
      <w:r w:rsidR="008522E8">
        <w:t>.</w:t>
      </w:r>
    </w:p>
    <w:p w:rsidR="001056D6" w:rsidRDefault="008522E8" w:rsidP="002B1455">
      <w:pPr>
        <w:pStyle w:val="AERbulletlistfirststyle"/>
        <w:numPr>
          <w:ilvl w:val="0"/>
          <w:numId w:val="0"/>
        </w:numPr>
      </w:pPr>
      <w:r>
        <w:t xml:space="preserve">Due to the revised inputs, </w:t>
      </w:r>
      <w:r w:rsidR="001056D6">
        <w:t xml:space="preserve">TransGrid's corporate income tax </w:t>
      </w:r>
      <w:r w:rsidR="00F508B1">
        <w:t xml:space="preserve">allowance </w:t>
      </w:r>
      <w:r w:rsidR="001056D6">
        <w:t xml:space="preserve">is </w:t>
      </w:r>
      <w:r w:rsidR="00F508B1">
        <w:t>$</w:t>
      </w:r>
      <w:r w:rsidR="00EA561E">
        <w:t>23.2</w:t>
      </w:r>
      <w:r w:rsidR="00F508B1">
        <w:t xml:space="preserve"> million (</w:t>
      </w:r>
      <w:r w:rsidR="00EA215A">
        <w:t xml:space="preserve">or </w:t>
      </w:r>
      <w:r w:rsidR="00EA561E">
        <w:t xml:space="preserve">10.1 </w:t>
      </w:r>
      <w:r w:rsidR="00F508B1">
        <w:t xml:space="preserve">per cent) </w:t>
      </w:r>
      <w:r w:rsidR="001056D6">
        <w:t xml:space="preserve">lower in its revised proposal than </w:t>
      </w:r>
      <w:r w:rsidR="00F508B1">
        <w:t xml:space="preserve">in </w:t>
      </w:r>
      <w:r w:rsidR="001056D6">
        <w:t xml:space="preserve">its initial proposal. </w:t>
      </w:r>
    </w:p>
    <w:p w:rsidR="00D21A2E" w:rsidRPr="00DC58F1" w:rsidRDefault="00D21A2E" w:rsidP="00D21A2E">
      <w:pPr>
        <w:numPr>
          <w:ilvl w:val="0"/>
          <w:numId w:val="25"/>
        </w:numPr>
      </w:pPr>
      <w:r>
        <w:fldChar w:fldCharType="begin"/>
      </w:r>
      <w:r>
        <w:instrText xml:space="preserve"> REF _Ref336420377 \h </w:instrText>
      </w:r>
      <w:r>
        <w:fldChar w:fldCharType="separate"/>
      </w:r>
      <w:r w:rsidR="000E7BE0" w:rsidRPr="00DC58F1">
        <w:t xml:space="preserve">Table </w:t>
      </w:r>
      <w:r w:rsidR="000E7BE0">
        <w:t>8</w:t>
      </w:r>
      <w:r w:rsidR="000E7BE0">
        <w:noBreakHyphen/>
      </w:r>
      <w:r w:rsidR="000E7BE0">
        <w:rPr>
          <w:noProof/>
        </w:rPr>
        <w:t>2</w:t>
      </w:r>
      <w:r>
        <w:fldChar w:fldCharType="end"/>
      </w:r>
      <w:r>
        <w:t xml:space="preserve"> sets out TransGrid's </w:t>
      </w:r>
      <w:r w:rsidR="00EA215A">
        <w:t xml:space="preserve">revised </w:t>
      </w:r>
      <w:r w:rsidRPr="00DC58F1">
        <w:t>proposed corporate income tax allowanc</w:t>
      </w:r>
      <w:r>
        <w:t xml:space="preserve">e for the </w:t>
      </w:r>
      <w:r w:rsidRPr="009134B1">
        <w:rPr>
          <w:rStyle w:val="AERbody"/>
        </w:rPr>
        <w:t>2014–18</w:t>
      </w:r>
      <w:r>
        <w:t xml:space="preserve"> period</w:t>
      </w:r>
      <w:r w:rsidRPr="00DC58F1">
        <w:t>.</w:t>
      </w:r>
      <w:r w:rsidRPr="00D21A2E">
        <w:rPr>
          <w:rStyle w:val="CommentReference"/>
        </w:rPr>
        <w:t xml:space="preserve"> </w:t>
      </w:r>
    </w:p>
    <w:p w:rsidR="00D21A2E" w:rsidRPr="00DC58F1" w:rsidRDefault="00D21A2E" w:rsidP="00D21A2E">
      <w:pPr>
        <w:pStyle w:val="Caption"/>
      </w:pPr>
      <w:bookmarkStart w:id="16" w:name="_Ref336420377"/>
      <w:r w:rsidRPr="00DC58F1">
        <w:t xml:space="preserve">Table </w:t>
      </w:r>
      <w:r>
        <w:t>8</w:t>
      </w:r>
      <w:r>
        <w:noBreakHyphen/>
      </w:r>
      <w:r w:rsidRPr="00363040">
        <w:fldChar w:fldCharType="begin"/>
      </w:r>
      <w:r>
        <w:instrText xml:space="preserve"> SEQ Table \* ARABIC \s 1 </w:instrText>
      </w:r>
      <w:r w:rsidRPr="00363040">
        <w:fldChar w:fldCharType="separate"/>
      </w:r>
      <w:r w:rsidR="000E7BE0">
        <w:rPr>
          <w:noProof/>
        </w:rPr>
        <w:t>2</w:t>
      </w:r>
      <w:r w:rsidRPr="00363040">
        <w:fldChar w:fldCharType="end"/>
      </w:r>
      <w:bookmarkEnd w:id="16"/>
      <w:r w:rsidRPr="00DC58F1">
        <w:tab/>
      </w:r>
      <w:r>
        <w:t>TransGrid</w:t>
      </w:r>
      <w:r w:rsidRPr="00DC58F1">
        <w:t xml:space="preserve">'s </w:t>
      </w:r>
      <w:r w:rsidR="00F508B1">
        <w:t>revised proposed</w:t>
      </w:r>
      <w:r w:rsidRPr="00DC58F1">
        <w:t xml:space="preserve"> corporate income tax allowance</w:t>
      </w:r>
      <w:r>
        <w:t xml:space="preserve"> for the 2014–18 period</w:t>
      </w:r>
      <w:r w:rsidRPr="00DC58F1">
        <w:t xml:space="preserve"> ($ million, nominal)</w:t>
      </w:r>
    </w:p>
    <w:tbl>
      <w:tblPr>
        <w:tblStyle w:val="AERtable-numbers"/>
        <w:tblW w:w="4935" w:type="pct"/>
        <w:tblLook w:val="01E0" w:firstRow="1" w:lastRow="1" w:firstColumn="1" w:lastColumn="1" w:noHBand="0" w:noVBand="0"/>
      </w:tblPr>
      <w:tblGrid>
        <w:gridCol w:w="3085"/>
        <w:gridCol w:w="980"/>
        <w:gridCol w:w="1134"/>
        <w:gridCol w:w="1134"/>
        <w:gridCol w:w="1126"/>
        <w:gridCol w:w="1121"/>
      </w:tblGrid>
      <w:tr w:rsidR="00D21A2E" w:rsidRPr="007B5DF7" w:rsidTr="002B1455">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798" w:type="pct"/>
          </w:tcPr>
          <w:p w:rsidR="00D21A2E" w:rsidRPr="007B5DF7" w:rsidRDefault="00D21A2E" w:rsidP="007B5DF7"/>
        </w:tc>
        <w:tc>
          <w:tcPr>
            <w:tcW w:w="571" w:type="pct"/>
          </w:tcPr>
          <w:p w:rsidR="00D21A2E" w:rsidRPr="007B5DF7" w:rsidRDefault="00D21A2E" w:rsidP="007B5DF7">
            <w:pPr>
              <w:cnfStyle w:val="100000000000" w:firstRow="1" w:lastRow="0" w:firstColumn="0" w:lastColumn="0" w:oddVBand="0" w:evenVBand="0" w:oddHBand="0" w:evenHBand="0" w:firstRowFirstColumn="0" w:firstRowLastColumn="0" w:lastRowFirstColumn="0" w:lastRowLastColumn="0"/>
            </w:pPr>
            <w:r w:rsidRPr="007B5DF7">
              <w:t>2014–15</w:t>
            </w:r>
          </w:p>
        </w:tc>
        <w:tc>
          <w:tcPr>
            <w:tcW w:w="661" w:type="pct"/>
          </w:tcPr>
          <w:p w:rsidR="00D21A2E" w:rsidRPr="007B5DF7" w:rsidRDefault="00D21A2E" w:rsidP="007B5DF7">
            <w:pPr>
              <w:cnfStyle w:val="100000000000" w:firstRow="1" w:lastRow="0" w:firstColumn="0" w:lastColumn="0" w:oddVBand="0" w:evenVBand="0" w:oddHBand="0" w:evenHBand="0" w:firstRowFirstColumn="0" w:firstRowLastColumn="0" w:lastRowFirstColumn="0" w:lastRowLastColumn="0"/>
            </w:pPr>
            <w:r w:rsidRPr="007B5DF7">
              <w:t>2015–16</w:t>
            </w:r>
          </w:p>
        </w:tc>
        <w:tc>
          <w:tcPr>
            <w:tcW w:w="661" w:type="pct"/>
          </w:tcPr>
          <w:p w:rsidR="00D21A2E" w:rsidRPr="007B5DF7" w:rsidRDefault="00D21A2E" w:rsidP="007B5DF7">
            <w:pPr>
              <w:cnfStyle w:val="100000000000" w:firstRow="1" w:lastRow="0" w:firstColumn="0" w:lastColumn="0" w:oddVBand="0" w:evenVBand="0" w:oddHBand="0" w:evenHBand="0" w:firstRowFirstColumn="0" w:firstRowLastColumn="0" w:lastRowFirstColumn="0" w:lastRowLastColumn="0"/>
            </w:pPr>
            <w:r w:rsidRPr="007B5DF7">
              <w:t>2016–17</w:t>
            </w:r>
          </w:p>
        </w:tc>
        <w:tc>
          <w:tcPr>
            <w:tcW w:w="656" w:type="pct"/>
          </w:tcPr>
          <w:p w:rsidR="00D21A2E" w:rsidRPr="007B5DF7" w:rsidRDefault="00D21A2E" w:rsidP="007B5DF7">
            <w:pPr>
              <w:cnfStyle w:val="100000000000" w:firstRow="1" w:lastRow="0" w:firstColumn="0" w:lastColumn="0" w:oddVBand="0" w:evenVBand="0" w:oddHBand="0" w:evenHBand="0" w:firstRowFirstColumn="0" w:firstRowLastColumn="0" w:lastRowFirstColumn="0" w:lastRowLastColumn="0"/>
            </w:pPr>
            <w:r w:rsidRPr="007B5DF7">
              <w:t>2017–18</w:t>
            </w:r>
          </w:p>
        </w:tc>
        <w:tc>
          <w:tcPr>
            <w:tcW w:w="654" w:type="pct"/>
          </w:tcPr>
          <w:p w:rsidR="00D21A2E" w:rsidRPr="007B5DF7" w:rsidRDefault="00D21A2E" w:rsidP="007B5DF7">
            <w:pPr>
              <w:cnfStyle w:val="100000000000" w:firstRow="1" w:lastRow="0" w:firstColumn="0" w:lastColumn="0" w:oddVBand="0" w:evenVBand="0" w:oddHBand="0" w:evenHBand="0" w:firstRowFirstColumn="0" w:firstRowLastColumn="0" w:lastRowFirstColumn="0" w:lastRowLastColumn="0"/>
            </w:pPr>
            <w:r w:rsidRPr="007B5DF7">
              <w:t>Total</w:t>
            </w:r>
          </w:p>
        </w:tc>
      </w:tr>
      <w:tr w:rsidR="00D21A2E" w:rsidRPr="007B5DF7" w:rsidTr="00862C85">
        <w:trPr>
          <w:trHeight w:val="503"/>
        </w:trPr>
        <w:tc>
          <w:tcPr>
            <w:cnfStyle w:val="001000000000" w:firstRow="0" w:lastRow="0" w:firstColumn="1" w:lastColumn="0" w:oddVBand="0" w:evenVBand="0" w:oddHBand="0" w:evenHBand="0" w:firstRowFirstColumn="0" w:firstRowLastColumn="0" w:lastRowFirstColumn="0" w:lastRowLastColumn="0"/>
            <w:tcW w:w="1798" w:type="pct"/>
          </w:tcPr>
          <w:p w:rsidR="00D21A2E" w:rsidRPr="007B5DF7" w:rsidRDefault="00D21A2E" w:rsidP="007B5DF7">
            <w:r w:rsidRPr="007B5DF7">
              <w:t>Tax payable</w:t>
            </w:r>
          </w:p>
        </w:tc>
        <w:tc>
          <w:tcPr>
            <w:tcW w:w="571" w:type="pct"/>
          </w:tcPr>
          <w:p w:rsidR="00D21A2E" w:rsidRPr="007B5DF7" w:rsidRDefault="000B1E31" w:rsidP="007B5DF7">
            <w:pPr>
              <w:cnfStyle w:val="000000000000" w:firstRow="0" w:lastRow="0" w:firstColumn="0" w:lastColumn="0" w:oddVBand="0" w:evenVBand="0" w:oddHBand="0" w:evenHBand="0" w:firstRowFirstColumn="0" w:firstRowLastColumn="0" w:lastRowFirstColumn="0" w:lastRowLastColumn="0"/>
            </w:pPr>
            <w:r w:rsidRPr="007B5DF7">
              <w:t>52.4</w:t>
            </w:r>
          </w:p>
        </w:tc>
        <w:tc>
          <w:tcPr>
            <w:tcW w:w="661" w:type="pct"/>
          </w:tcPr>
          <w:p w:rsidR="00D21A2E" w:rsidRPr="007B5DF7" w:rsidRDefault="000B1E31" w:rsidP="007B5DF7">
            <w:pPr>
              <w:cnfStyle w:val="000000000000" w:firstRow="0" w:lastRow="0" w:firstColumn="0" w:lastColumn="0" w:oddVBand="0" w:evenVBand="0" w:oddHBand="0" w:evenHBand="0" w:firstRowFirstColumn="0" w:firstRowLastColumn="0" w:lastRowFirstColumn="0" w:lastRowLastColumn="0"/>
            </w:pPr>
            <w:r w:rsidRPr="007B5DF7">
              <w:t>56.7</w:t>
            </w:r>
          </w:p>
        </w:tc>
        <w:tc>
          <w:tcPr>
            <w:tcW w:w="661" w:type="pct"/>
          </w:tcPr>
          <w:p w:rsidR="00D21A2E" w:rsidRPr="007B5DF7" w:rsidRDefault="000B1E31" w:rsidP="007B5DF7">
            <w:pPr>
              <w:cnfStyle w:val="000000000000" w:firstRow="0" w:lastRow="0" w:firstColumn="0" w:lastColumn="0" w:oddVBand="0" w:evenVBand="0" w:oddHBand="0" w:evenHBand="0" w:firstRowFirstColumn="0" w:firstRowLastColumn="0" w:lastRowFirstColumn="0" w:lastRowLastColumn="0"/>
            </w:pPr>
            <w:r w:rsidRPr="007B5DF7">
              <w:t>82.7</w:t>
            </w:r>
          </w:p>
        </w:tc>
        <w:tc>
          <w:tcPr>
            <w:tcW w:w="656" w:type="pct"/>
          </w:tcPr>
          <w:p w:rsidR="00D21A2E" w:rsidRPr="007B5DF7" w:rsidRDefault="000B1E31" w:rsidP="007B5DF7">
            <w:pPr>
              <w:cnfStyle w:val="000000000000" w:firstRow="0" w:lastRow="0" w:firstColumn="0" w:lastColumn="0" w:oddVBand="0" w:evenVBand="0" w:oddHBand="0" w:evenHBand="0" w:firstRowFirstColumn="0" w:firstRowLastColumn="0" w:lastRowFirstColumn="0" w:lastRowLastColumn="0"/>
            </w:pPr>
            <w:r w:rsidRPr="007B5DF7">
              <w:t>84.5</w:t>
            </w:r>
          </w:p>
        </w:tc>
        <w:tc>
          <w:tcPr>
            <w:tcW w:w="654" w:type="pct"/>
          </w:tcPr>
          <w:p w:rsidR="00D21A2E" w:rsidRPr="007B5DF7" w:rsidRDefault="000B1E31" w:rsidP="007B5DF7">
            <w:pPr>
              <w:cnfStyle w:val="000000000000" w:firstRow="0" w:lastRow="0" w:firstColumn="0" w:lastColumn="0" w:oddVBand="0" w:evenVBand="0" w:oddHBand="0" w:evenHBand="0" w:firstRowFirstColumn="0" w:firstRowLastColumn="0" w:lastRowFirstColumn="0" w:lastRowLastColumn="0"/>
            </w:pPr>
            <w:r w:rsidRPr="007B5DF7">
              <w:t>276.3</w:t>
            </w:r>
          </w:p>
        </w:tc>
      </w:tr>
      <w:tr w:rsidR="00D21A2E" w:rsidRPr="007B5DF7" w:rsidTr="00862C85">
        <w:trPr>
          <w:cnfStyle w:val="000000010000" w:firstRow="0" w:lastRow="0" w:firstColumn="0" w:lastColumn="0" w:oddVBand="0" w:evenVBand="0" w:oddHBand="0" w:evenHBand="1"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798" w:type="pct"/>
          </w:tcPr>
          <w:p w:rsidR="00D21A2E" w:rsidRPr="007B5DF7" w:rsidRDefault="00D21A2E" w:rsidP="007B5DF7">
            <w:r w:rsidRPr="0070076A">
              <w:rPr>
                <w:rStyle w:val="AERtextitalic"/>
              </w:rPr>
              <w:t>Less:</w:t>
            </w:r>
            <w:r w:rsidRPr="007B5DF7">
              <w:t xml:space="preserve"> value of imputation credits</w:t>
            </w:r>
          </w:p>
        </w:tc>
        <w:tc>
          <w:tcPr>
            <w:tcW w:w="571" w:type="pct"/>
          </w:tcPr>
          <w:p w:rsidR="00D21A2E" w:rsidRPr="007B5DF7" w:rsidRDefault="000B1E31" w:rsidP="007B5DF7">
            <w:pPr>
              <w:cnfStyle w:val="000000010000" w:firstRow="0" w:lastRow="0" w:firstColumn="0" w:lastColumn="0" w:oddVBand="0" w:evenVBand="0" w:oddHBand="0" w:evenHBand="1" w:firstRowFirstColumn="0" w:firstRowLastColumn="0" w:lastRowFirstColumn="0" w:lastRowLastColumn="0"/>
            </w:pPr>
            <w:r w:rsidRPr="007B5DF7">
              <w:t>13.1</w:t>
            </w:r>
          </w:p>
        </w:tc>
        <w:tc>
          <w:tcPr>
            <w:tcW w:w="661" w:type="pct"/>
          </w:tcPr>
          <w:p w:rsidR="00D21A2E" w:rsidRPr="007B5DF7" w:rsidRDefault="000B1E31" w:rsidP="007B5DF7">
            <w:pPr>
              <w:cnfStyle w:val="000000010000" w:firstRow="0" w:lastRow="0" w:firstColumn="0" w:lastColumn="0" w:oddVBand="0" w:evenVBand="0" w:oddHBand="0" w:evenHBand="1" w:firstRowFirstColumn="0" w:firstRowLastColumn="0" w:lastRowFirstColumn="0" w:lastRowLastColumn="0"/>
            </w:pPr>
            <w:r w:rsidRPr="007B5DF7">
              <w:t>14.2</w:t>
            </w:r>
          </w:p>
        </w:tc>
        <w:tc>
          <w:tcPr>
            <w:tcW w:w="661" w:type="pct"/>
          </w:tcPr>
          <w:p w:rsidR="00D21A2E" w:rsidRPr="007B5DF7" w:rsidRDefault="000B1E31" w:rsidP="007B5DF7">
            <w:pPr>
              <w:cnfStyle w:val="000000010000" w:firstRow="0" w:lastRow="0" w:firstColumn="0" w:lastColumn="0" w:oddVBand="0" w:evenVBand="0" w:oddHBand="0" w:evenHBand="1" w:firstRowFirstColumn="0" w:firstRowLastColumn="0" w:lastRowFirstColumn="0" w:lastRowLastColumn="0"/>
            </w:pPr>
            <w:r w:rsidRPr="007B5DF7">
              <w:t>20.7</w:t>
            </w:r>
          </w:p>
        </w:tc>
        <w:tc>
          <w:tcPr>
            <w:tcW w:w="656" w:type="pct"/>
          </w:tcPr>
          <w:p w:rsidR="00D21A2E" w:rsidRPr="007B5DF7" w:rsidRDefault="000B1E31" w:rsidP="007B5DF7">
            <w:pPr>
              <w:cnfStyle w:val="000000010000" w:firstRow="0" w:lastRow="0" w:firstColumn="0" w:lastColumn="0" w:oddVBand="0" w:evenVBand="0" w:oddHBand="0" w:evenHBand="1" w:firstRowFirstColumn="0" w:firstRowLastColumn="0" w:lastRowFirstColumn="0" w:lastRowLastColumn="0"/>
            </w:pPr>
            <w:r w:rsidRPr="007B5DF7">
              <w:t>21.1</w:t>
            </w:r>
          </w:p>
        </w:tc>
        <w:tc>
          <w:tcPr>
            <w:tcW w:w="654" w:type="pct"/>
          </w:tcPr>
          <w:p w:rsidR="00D21A2E" w:rsidRPr="007B5DF7" w:rsidRDefault="000B1E31" w:rsidP="007B5DF7">
            <w:pPr>
              <w:cnfStyle w:val="000000010000" w:firstRow="0" w:lastRow="0" w:firstColumn="0" w:lastColumn="0" w:oddVBand="0" w:evenVBand="0" w:oddHBand="0" w:evenHBand="1" w:firstRowFirstColumn="0" w:firstRowLastColumn="0" w:lastRowFirstColumn="0" w:lastRowLastColumn="0"/>
            </w:pPr>
            <w:r w:rsidRPr="007B5DF7">
              <w:t>69.1</w:t>
            </w:r>
          </w:p>
        </w:tc>
      </w:tr>
      <w:tr w:rsidR="00D21A2E" w:rsidRPr="00594336" w:rsidTr="00862C85">
        <w:trPr>
          <w:trHeight w:val="514"/>
        </w:trPr>
        <w:tc>
          <w:tcPr>
            <w:cnfStyle w:val="001000000000" w:firstRow="0" w:lastRow="0" w:firstColumn="1" w:lastColumn="0" w:oddVBand="0" w:evenVBand="0" w:oddHBand="0" w:evenHBand="0" w:firstRowFirstColumn="0" w:firstRowLastColumn="0" w:lastRowFirstColumn="0" w:lastRowLastColumn="0"/>
            <w:tcW w:w="1798" w:type="pct"/>
          </w:tcPr>
          <w:p w:rsidR="00D21A2E" w:rsidRPr="00594336" w:rsidRDefault="00D21A2E" w:rsidP="007B5DF7">
            <w:pPr>
              <w:rPr>
                <w:rStyle w:val="Strong"/>
              </w:rPr>
            </w:pPr>
            <w:r w:rsidRPr="00594336">
              <w:rPr>
                <w:rStyle w:val="Strong"/>
              </w:rPr>
              <w:t>Net corporate income tax allowance</w:t>
            </w:r>
          </w:p>
        </w:tc>
        <w:tc>
          <w:tcPr>
            <w:tcW w:w="571" w:type="pct"/>
          </w:tcPr>
          <w:p w:rsidR="00D21A2E" w:rsidRPr="00594336" w:rsidRDefault="000B1E31" w:rsidP="007B5DF7">
            <w:pPr>
              <w:cnfStyle w:val="000000000000" w:firstRow="0" w:lastRow="0" w:firstColumn="0" w:lastColumn="0" w:oddVBand="0" w:evenVBand="0" w:oddHBand="0" w:evenHBand="0" w:firstRowFirstColumn="0" w:firstRowLastColumn="0" w:lastRowFirstColumn="0" w:lastRowLastColumn="0"/>
              <w:rPr>
                <w:rStyle w:val="Strong"/>
              </w:rPr>
            </w:pPr>
            <w:r w:rsidRPr="00594336">
              <w:rPr>
                <w:rStyle w:val="Strong"/>
              </w:rPr>
              <w:t>39.3</w:t>
            </w:r>
          </w:p>
        </w:tc>
        <w:tc>
          <w:tcPr>
            <w:tcW w:w="661" w:type="pct"/>
          </w:tcPr>
          <w:p w:rsidR="00D21A2E" w:rsidRPr="00594336" w:rsidRDefault="000B1E31" w:rsidP="007B5DF7">
            <w:pPr>
              <w:cnfStyle w:val="000000000000" w:firstRow="0" w:lastRow="0" w:firstColumn="0" w:lastColumn="0" w:oddVBand="0" w:evenVBand="0" w:oddHBand="0" w:evenHBand="0" w:firstRowFirstColumn="0" w:firstRowLastColumn="0" w:lastRowFirstColumn="0" w:lastRowLastColumn="0"/>
              <w:rPr>
                <w:rStyle w:val="Strong"/>
              </w:rPr>
            </w:pPr>
            <w:r w:rsidRPr="00594336">
              <w:rPr>
                <w:rStyle w:val="Strong"/>
              </w:rPr>
              <w:t>42.5</w:t>
            </w:r>
          </w:p>
        </w:tc>
        <w:tc>
          <w:tcPr>
            <w:tcW w:w="661" w:type="pct"/>
          </w:tcPr>
          <w:p w:rsidR="00D21A2E" w:rsidRPr="00594336" w:rsidRDefault="000B1E31" w:rsidP="007B5DF7">
            <w:pPr>
              <w:cnfStyle w:val="000000000000" w:firstRow="0" w:lastRow="0" w:firstColumn="0" w:lastColumn="0" w:oddVBand="0" w:evenVBand="0" w:oddHBand="0" w:evenHBand="0" w:firstRowFirstColumn="0" w:firstRowLastColumn="0" w:lastRowFirstColumn="0" w:lastRowLastColumn="0"/>
              <w:rPr>
                <w:rStyle w:val="Strong"/>
              </w:rPr>
            </w:pPr>
            <w:r w:rsidRPr="00594336">
              <w:rPr>
                <w:rStyle w:val="Strong"/>
              </w:rPr>
              <w:t>62.0</w:t>
            </w:r>
          </w:p>
        </w:tc>
        <w:tc>
          <w:tcPr>
            <w:tcW w:w="656" w:type="pct"/>
          </w:tcPr>
          <w:p w:rsidR="00D21A2E" w:rsidRPr="00594336" w:rsidRDefault="000B1E31" w:rsidP="007B5DF7">
            <w:pPr>
              <w:cnfStyle w:val="000000000000" w:firstRow="0" w:lastRow="0" w:firstColumn="0" w:lastColumn="0" w:oddVBand="0" w:evenVBand="0" w:oddHBand="0" w:evenHBand="0" w:firstRowFirstColumn="0" w:firstRowLastColumn="0" w:lastRowFirstColumn="0" w:lastRowLastColumn="0"/>
              <w:rPr>
                <w:rStyle w:val="Strong"/>
              </w:rPr>
            </w:pPr>
            <w:r w:rsidRPr="00594336">
              <w:rPr>
                <w:rStyle w:val="Strong"/>
              </w:rPr>
              <w:t>63.4</w:t>
            </w:r>
          </w:p>
        </w:tc>
        <w:tc>
          <w:tcPr>
            <w:tcW w:w="654" w:type="pct"/>
          </w:tcPr>
          <w:p w:rsidR="00D21A2E" w:rsidRPr="00594336" w:rsidRDefault="001056D6" w:rsidP="007B5DF7">
            <w:pPr>
              <w:cnfStyle w:val="000000000000" w:firstRow="0" w:lastRow="0" w:firstColumn="0" w:lastColumn="0" w:oddVBand="0" w:evenVBand="0" w:oddHBand="0" w:evenHBand="0" w:firstRowFirstColumn="0" w:firstRowLastColumn="0" w:lastRowFirstColumn="0" w:lastRowLastColumn="0"/>
              <w:rPr>
                <w:rStyle w:val="Strong"/>
              </w:rPr>
            </w:pPr>
            <w:r w:rsidRPr="00594336">
              <w:rPr>
                <w:rStyle w:val="Strong"/>
              </w:rPr>
              <w:t>207.2</w:t>
            </w:r>
          </w:p>
        </w:tc>
      </w:tr>
    </w:tbl>
    <w:p w:rsidR="00D21A2E" w:rsidRPr="007B5DF7" w:rsidRDefault="00D21A2E" w:rsidP="007B5DF7">
      <w:pPr>
        <w:pStyle w:val="AERtablesource"/>
      </w:pPr>
      <w:r w:rsidRPr="007B5DF7">
        <w:t>Source:</w:t>
      </w:r>
      <w:r w:rsidRPr="007B5DF7">
        <w:tab/>
        <w:t xml:space="preserve">TransGrid, </w:t>
      </w:r>
      <w:r w:rsidR="000B1E31" w:rsidRPr="004B7D5F">
        <w:rPr>
          <w:rStyle w:val="AERtextitalic"/>
        </w:rPr>
        <w:t xml:space="preserve">Revised revenue </w:t>
      </w:r>
      <w:r w:rsidRPr="004B7D5F">
        <w:rPr>
          <w:rStyle w:val="AERtextitalic"/>
        </w:rPr>
        <w:t>proposal</w:t>
      </w:r>
      <w:r w:rsidRPr="007B5DF7">
        <w:t xml:space="preserve">, </w:t>
      </w:r>
      <w:r w:rsidR="001A627A">
        <w:t xml:space="preserve">January 2015, </w:t>
      </w:r>
      <w:r w:rsidRPr="007B5DF7">
        <w:t xml:space="preserve">p. </w:t>
      </w:r>
      <w:r w:rsidR="000B1E31" w:rsidRPr="007B5DF7">
        <w:t>130</w:t>
      </w:r>
      <w:r w:rsidRPr="007B5DF7">
        <w:t>.</w:t>
      </w:r>
    </w:p>
    <w:p w:rsidR="00DE563D" w:rsidRDefault="00DE563D" w:rsidP="001754EE">
      <w:pPr>
        <w:pStyle w:val="Heading2"/>
      </w:pPr>
      <w:bookmarkStart w:id="17" w:name="_Toc403144138"/>
      <w:bookmarkStart w:id="18" w:name="_Toc412708947"/>
      <w:r w:rsidRPr="001754EE">
        <w:t>AER’s</w:t>
      </w:r>
      <w:r>
        <w:t xml:space="preserve"> assessment approach</w:t>
      </w:r>
      <w:bookmarkEnd w:id="17"/>
      <w:bookmarkEnd w:id="18"/>
    </w:p>
    <w:p w:rsidR="00C354E5" w:rsidRDefault="00943D90" w:rsidP="00943D90">
      <w:bookmarkStart w:id="19" w:name="_Toc403144140"/>
      <w:r w:rsidRPr="00BD5D87">
        <w:t xml:space="preserve">We did not change our assessment approach for the </w:t>
      </w:r>
      <w:r>
        <w:t>corporate income tax allowance</w:t>
      </w:r>
      <w:r w:rsidRPr="00BD5D87">
        <w:t xml:space="preserve"> fr</w:t>
      </w:r>
      <w:r>
        <w:t>om our draft decision. Section 8</w:t>
      </w:r>
      <w:r w:rsidRPr="00BD5D87">
        <w:t>.3 of our draft decision details that approach.</w:t>
      </w:r>
    </w:p>
    <w:p w:rsidR="00C354E5" w:rsidRDefault="00C354E5">
      <w:pPr>
        <w:spacing w:line="240" w:lineRule="auto"/>
      </w:pPr>
      <w:r>
        <w:br w:type="page"/>
      </w:r>
    </w:p>
    <w:p w:rsidR="00DE563D" w:rsidRDefault="00DE563D" w:rsidP="001754EE">
      <w:pPr>
        <w:pStyle w:val="Heading2"/>
      </w:pPr>
      <w:bookmarkStart w:id="20" w:name="_Toc412708948"/>
      <w:r w:rsidRPr="001754EE">
        <w:lastRenderedPageBreak/>
        <w:t>Reasons</w:t>
      </w:r>
      <w:r>
        <w:t xml:space="preserve"> for </w:t>
      </w:r>
      <w:r w:rsidR="002016E7">
        <w:t>final</w:t>
      </w:r>
      <w:r>
        <w:t xml:space="preserve"> decision</w:t>
      </w:r>
      <w:bookmarkEnd w:id="19"/>
      <w:bookmarkEnd w:id="20"/>
      <w:r>
        <w:t xml:space="preserve"> </w:t>
      </w:r>
    </w:p>
    <w:p w:rsidR="00A25287" w:rsidRDefault="00862C85" w:rsidP="00A25287">
      <w:pPr>
        <w:numPr>
          <w:ilvl w:val="0"/>
          <w:numId w:val="25"/>
        </w:numPr>
      </w:pPr>
      <w:r w:rsidRPr="006D7077">
        <w:t xml:space="preserve">We do not accept </w:t>
      </w:r>
      <w:r>
        <w:t xml:space="preserve">TransGrid's revised </w:t>
      </w:r>
      <w:r w:rsidRPr="006D7077">
        <w:t>proposed estimated cost of corporate income tax.</w:t>
      </w:r>
      <w:r>
        <w:t xml:space="preserve"> </w:t>
      </w:r>
      <w:r w:rsidR="00A25287" w:rsidRPr="006D7077">
        <w:t xml:space="preserve">We </w:t>
      </w:r>
      <w:r>
        <w:t xml:space="preserve">instead </w:t>
      </w:r>
      <w:r w:rsidR="00A25287" w:rsidRPr="006D7077">
        <w:t xml:space="preserve">determine </w:t>
      </w:r>
      <w:r w:rsidR="00A25287">
        <w:t>an</w:t>
      </w:r>
      <w:r w:rsidR="00A25287" w:rsidRPr="006D7077">
        <w:t xml:space="preserve"> estimated cost of corporate income tax of</w:t>
      </w:r>
      <w:r w:rsidR="00A25287">
        <w:t xml:space="preserve"> </w:t>
      </w:r>
      <w:r w:rsidR="00A25287" w:rsidRPr="006D7077">
        <w:t>$</w:t>
      </w:r>
      <w:r w:rsidR="002A036A">
        <w:t>101.5</w:t>
      </w:r>
      <w:r w:rsidR="00A25287" w:rsidRPr="006D7077">
        <w:t xml:space="preserve"> million ($ nominal)</w:t>
      </w:r>
      <w:r w:rsidR="00A25287">
        <w:t xml:space="preserve"> for TransGrid</w:t>
      </w:r>
      <w:r w:rsidR="00A25287" w:rsidRPr="006D7077">
        <w:t>, which represents a</w:t>
      </w:r>
      <w:r w:rsidR="00A25287">
        <w:t xml:space="preserve"> reduction</w:t>
      </w:r>
      <w:r w:rsidR="00A25287" w:rsidRPr="006D7077">
        <w:t xml:space="preserve"> of $</w:t>
      </w:r>
      <w:r w:rsidR="002A036A">
        <w:t>105.</w:t>
      </w:r>
      <w:r w:rsidR="00593570">
        <w:t>8</w:t>
      </w:r>
      <w:r w:rsidR="00A25287" w:rsidRPr="006D7077">
        <w:t xml:space="preserve"> million (or </w:t>
      </w:r>
      <w:r w:rsidR="002A036A">
        <w:t xml:space="preserve">51.0 </w:t>
      </w:r>
      <w:r w:rsidR="00A25287" w:rsidRPr="006D7077">
        <w:t xml:space="preserve">per cent) </w:t>
      </w:r>
      <w:r w:rsidR="00A25287">
        <w:t>from</w:t>
      </w:r>
      <w:r w:rsidR="00A25287" w:rsidRPr="006D7077">
        <w:t xml:space="preserve"> </w:t>
      </w:r>
      <w:r w:rsidR="00A25287">
        <w:t xml:space="preserve">its revised </w:t>
      </w:r>
      <w:r w:rsidR="00A25287" w:rsidRPr="006D7077">
        <w:t>proposal</w:t>
      </w:r>
      <w:r w:rsidR="00A25287">
        <w:t>.</w:t>
      </w:r>
    </w:p>
    <w:p w:rsidR="00A25287" w:rsidRDefault="00A25287" w:rsidP="00A25287">
      <w:pPr>
        <w:numPr>
          <w:ilvl w:val="0"/>
          <w:numId w:val="25"/>
        </w:numPr>
      </w:pPr>
      <w:r>
        <w:t xml:space="preserve">This reduction is due to the </w:t>
      </w:r>
      <w:r w:rsidR="000B0450">
        <w:t xml:space="preserve">adjustment of proposed inputs </w:t>
      </w:r>
      <w:r>
        <w:t>to the PTRM which affect the calculation of the taxable income, and therefore the estimated corporate income tax allowance:</w:t>
      </w:r>
      <w:r w:rsidRPr="006D7077">
        <w:rPr>
          <w:rStyle w:val="FootnoteReference"/>
        </w:rPr>
        <w:footnoteReference w:id="3"/>
      </w:r>
    </w:p>
    <w:p w:rsidR="000B0450" w:rsidRDefault="000B0450" w:rsidP="000B0450">
      <w:pPr>
        <w:pStyle w:val="AERbulletlistfirststyle"/>
      </w:pPr>
      <w:r>
        <w:t>T</w:t>
      </w:r>
      <w:r w:rsidRPr="006D7077">
        <w:t xml:space="preserve">he opening TAB </w:t>
      </w:r>
      <w:r w:rsidRPr="00D21A2E">
        <w:t xml:space="preserve">value at the commencement of the 2014–18 period (section </w:t>
      </w:r>
      <w:r w:rsidR="008522E8">
        <w:fldChar w:fldCharType="begin"/>
      </w:r>
      <w:r w:rsidR="008522E8">
        <w:instrText xml:space="preserve"> REF _Ref414443723 \h </w:instrText>
      </w:r>
      <w:r w:rsidR="000E7BE0">
        <w:fldChar w:fldCharType="separate"/>
      </w:r>
      <w:r w:rsidR="000E7BE0">
        <w:t>Opening tax asset base at 1 July 2014</w:t>
      </w:r>
      <w:r w:rsidR="008522E8">
        <w:fldChar w:fldCharType="end"/>
      </w:r>
      <w:r w:rsidR="008522E8">
        <w:fldChar w:fldCharType="begin"/>
      </w:r>
      <w:r w:rsidR="008522E8">
        <w:instrText xml:space="preserve"> REF _Ref414443730 \r \h </w:instrText>
      </w:r>
      <w:r w:rsidR="008522E8">
        <w:fldChar w:fldCharType="separate"/>
      </w:r>
      <w:r w:rsidR="000E7BE0">
        <w:t>8.4.1</w:t>
      </w:r>
      <w:r w:rsidR="008522E8">
        <w:fldChar w:fldCharType="end"/>
      </w:r>
      <w:r>
        <w:t>).</w:t>
      </w:r>
    </w:p>
    <w:p w:rsidR="000B0450" w:rsidRDefault="000B0450" w:rsidP="000B0450">
      <w:pPr>
        <w:pStyle w:val="AERbulletlistfirststyle"/>
      </w:pPr>
      <w:r>
        <w:t>T</w:t>
      </w:r>
      <w:r w:rsidRPr="006D7077">
        <w:t>he remaining tax asset lives</w:t>
      </w:r>
      <w:r>
        <w:t xml:space="preserve"> (section </w:t>
      </w:r>
      <w:r>
        <w:fldChar w:fldCharType="begin"/>
      </w:r>
      <w:r>
        <w:instrText xml:space="preserve"> REF _Ref412800185 \n \h </w:instrText>
      </w:r>
      <w:r>
        <w:fldChar w:fldCharType="separate"/>
      </w:r>
      <w:r w:rsidR="000E7BE0">
        <w:t>8.4.2</w:t>
      </w:r>
      <w:r>
        <w:fldChar w:fldCharType="end"/>
      </w:r>
      <w:r>
        <w:t>).</w:t>
      </w:r>
    </w:p>
    <w:p w:rsidR="00A25287" w:rsidRPr="00D21A2E" w:rsidRDefault="00A25287" w:rsidP="00A25287">
      <w:pPr>
        <w:pStyle w:val="AERbulletlistfirststyle"/>
      </w:pPr>
      <w:r>
        <w:t>The value for gamma (</w:t>
      </w:r>
      <w:r w:rsidRPr="00D21A2E">
        <w:t>attachment 4)</w:t>
      </w:r>
      <w:r>
        <w:t>.</w:t>
      </w:r>
    </w:p>
    <w:p w:rsidR="00A25287" w:rsidRDefault="00A25287" w:rsidP="00A25287">
      <w:pPr>
        <w:pStyle w:val="AERbulletlistfirststyle"/>
      </w:pPr>
      <w:r>
        <w:t>O</w:t>
      </w:r>
      <w:r w:rsidRPr="00D21A2E">
        <w:t xml:space="preserve">ur determinations on other building block components, including forecast opex (attachment 7) and forecast capex (attachment 6). </w:t>
      </w:r>
    </w:p>
    <w:p w:rsidR="00D21A2E" w:rsidRPr="006D7077" w:rsidRDefault="00794FC4" w:rsidP="00D21A2E">
      <w:pPr>
        <w:numPr>
          <w:ilvl w:val="0"/>
          <w:numId w:val="25"/>
        </w:numPr>
      </w:pPr>
      <w:r>
        <w:t>We</w:t>
      </w:r>
      <w:r w:rsidR="00D21A2E">
        <w:t xml:space="preserve"> </w:t>
      </w:r>
      <w:r w:rsidR="009654C3">
        <w:t>maintain</w:t>
      </w:r>
      <w:r w:rsidR="009E770D">
        <w:t xml:space="preserve"> our draft decision</w:t>
      </w:r>
      <w:r w:rsidR="009654C3">
        <w:t xml:space="preserve"> acceptance of</w:t>
      </w:r>
      <w:r w:rsidR="00D21A2E">
        <w:t xml:space="preserve"> the </w:t>
      </w:r>
      <w:r w:rsidR="00862C85">
        <w:t xml:space="preserve">standard tax asset lives (section </w:t>
      </w:r>
      <w:r w:rsidR="00862C85">
        <w:fldChar w:fldCharType="begin"/>
      </w:r>
      <w:r w:rsidR="00862C85">
        <w:instrText xml:space="preserve"> REF _Ref412800185 \n \h </w:instrText>
      </w:r>
      <w:r w:rsidR="00862C85">
        <w:fldChar w:fldCharType="separate"/>
      </w:r>
      <w:r w:rsidR="000E7BE0">
        <w:t>8.4.2</w:t>
      </w:r>
      <w:r w:rsidR="00862C85">
        <w:fldChar w:fldCharType="end"/>
      </w:r>
      <w:r w:rsidR="00862C85">
        <w:t>)</w:t>
      </w:r>
      <w:r w:rsidR="00D21A2E" w:rsidRPr="006D7077">
        <w:t xml:space="preserve"> inputs to the PTRM for tax purposes</w:t>
      </w:r>
      <w:r w:rsidR="00862C85">
        <w:t>.</w:t>
      </w:r>
      <w:r w:rsidR="009E770D">
        <w:rPr>
          <w:rStyle w:val="FootnoteReference"/>
        </w:rPr>
        <w:footnoteReference w:id="4"/>
      </w:r>
      <w:r w:rsidR="00D21A2E" w:rsidRPr="006D7077">
        <w:t xml:space="preserve"> </w:t>
      </w:r>
    </w:p>
    <w:p w:rsidR="007B186E" w:rsidRDefault="00D21A2E" w:rsidP="001754EE">
      <w:pPr>
        <w:pStyle w:val="Heading3"/>
      </w:pPr>
      <w:bookmarkStart w:id="21" w:name="_Toc412708949"/>
      <w:bookmarkStart w:id="22" w:name="_Ref412797870"/>
      <w:bookmarkStart w:id="23" w:name="_Ref414443723"/>
      <w:bookmarkStart w:id="24" w:name="_Ref414443730"/>
      <w:r>
        <w:t>Opening tax asset base at 1 July 2014</w:t>
      </w:r>
      <w:bookmarkEnd w:id="21"/>
      <w:bookmarkEnd w:id="22"/>
      <w:bookmarkEnd w:id="23"/>
      <w:bookmarkEnd w:id="24"/>
    </w:p>
    <w:p w:rsidR="00862C85" w:rsidRDefault="00D21A2E" w:rsidP="00794FC4">
      <w:pPr>
        <w:numPr>
          <w:ilvl w:val="0"/>
          <w:numId w:val="25"/>
        </w:numPr>
      </w:pPr>
      <w:r w:rsidRPr="006D7077">
        <w:t xml:space="preserve">We </w:t>
      </w:r>
      <w:r w:rsidR="004B7D5F">
        <w:t>determine</w:t>
      </w:r>
      <w:r w:rsidRPr="006D7077">
        <w:t xml:space="preserve"> </w:t>
      </w:r>
      <w:r>
        <w:t>TransGrid'</w:t>
      </w:r>
      <w:r w:rsidRPr="006D7077">
        <w:t>s opening TAB</w:t>
      </w:r>
      <w:r w:rsidR="009E770D">
        <w:t xml:space="preserve"> value</w:t>
      </w:r>
      <w:r w:rsidRPr="006D7077">
        <w:t xml:space="preserve"> </w:t>
      </w:r>
      <w:r>
        <w:t xml:space="preserve">as at 1 July 2014 </w:t>
      </w:r>
      <w:r w:rsidR="004B7D5F">
        <w:t xml:space="preserve">to be </w:t>
      </w:r>
      <w:r w:rsidRPr="006D7077">
        <w:t>$</w:t>
      </w:r>
      <w:r w:rsidR="00A1121A">
        <w:t xml:space="preserve">3750.3 </w:t>
      </w:r>
      <w:r w:rsidRPr="006D7077">
        <w:t>million ($</w:t>
      </w:r>
      <w:r>
        <w:t> </w:t>
      </w:r>
      <w:r w:rsidRPr="006D7077">
        <w:t>nominal</w:t>
      </w:r>
      <w:r>
        <w:t>).</w:t>
      </w:r>
      <w:r w:rsidRPr="008C7A07">
        <w:t xml:space="preserve"> </w:t>
      </w:r>
    </w:p>
    <w:p w:rsidR="00794FC4" w:rsidRDefault="005A10F2" w:rsidP="00862C85">
      <w:r>
        <w:t xml:space="preserve">In </w:t>
      </w:r>
      <w:r w:rsidR="00900F8E">
        <w:t>the</w:t>
      </w:r>
      <w:r>
        <w:t xml:space="preserve"> draft decision, we accepted TransGrid's proposed method for </w:t>
      </w:r>
      <w:r w:rsidR="00794FC4">
        <w:t>determining the opening TAB as at 1 July 2014</w:t>
      </w:r>
      <w:r w:rsidR="00A1121A">
        <w:t>, subject to updating for actual capex for 2013–14</w:t>
      </w:r>
      <w:r w:rsidR="00794FC4">
        <w:t xml:space="preserve">. </w:t>
      </w:r>
      <w:r>
        <w:t xml:space="preserve"> </w:t>
      </w:r>
    </w:p>
    <w:p w:rsidR="00A1121A" w:rsidRPr="00A1121A" w:rsidRDefault="00A1121A" w:rsidP="00862C85">
      <w:r w:rsidRPr="00A1121A">
        <w:t xml:space="preserve">In its revised proposal, TransGrid updated its </w:t>
      </w:r>
      <w:r w:rsidR="00862C85">
        <w:t>estimated</w:t>
      </w:r>
      <w:r w:rsidRPr="00A1121A">
        <w:t xml:space="preserve"> capex for 2013–14 with actual capex in the </w:t>
      </w:r>
      <w:r w:rsidR="00C354E5">
        <w:t>roll forward model (</w:t>
      </w:r>
      <w:r>
        <w:t>RFM</w:t>
      </w:r>
      <w:r w:rsidR="00C354E5">
        <w:t>)</w:t>
      </w:r>
      <w:r w:rsidRPr="00A1121A">
        <w:t xml:space="preserve">. </w:t>
      </w:r>
      <w:r w:rsidR="00862C85">
        <w:t>As discussed in attachment 2, w</w:t>
      </w:r>
      <w:r w:rsidRPr="00A1121A">
        <w:t xml:space="preserve">e </w:t>
      </w:r>
      <w:r>
        <w:t xml:space="preserve">identified a small discrepancy when reconciling </w:t>
      </w:r>
      <w:r w:rsidRPr="00A1121A">
        <w:t xml:space="preserve">these capex inputs with TransGrid's regulatory accounts. </w:t>
      </w:r>
      <w:r w:rsidR="00862C85">
        <w:t>In response to our question</w:t>
      </w:r>
      <w:r w:rsidR="00F67EF6">
        <w:t>s</w:t>
      </w:r>
      <w:r w:rsidR="00862C85">
        <w:t>,</w:t>
      </w:r>
      <w:r w:rsidRPr="00A1121A">
        <w:t xml:space="preserve"> TransGrid acknowledged that there was an indexation error applied </w:t>
      </w:r>
      <w:r w:rsidR="00F67EF6">
        <w:t>in</w:t>
      </w:r>
      <w:r w:rsidRPr="00A1121A">
        <w:t xml:space="preserve"> its revised proposal and resubmitted the corrected 2013–14 actual capex value.</w:t>
      </w:r>
      <w:r w:rsidRPr="00A1121A">
        <w:rPr>
          <w:rStyle w:val="FootnoteReference"/>
        </w:rPr>
        <w:footnoteReference w:id="5"/>
      </w:r>
      <w:r w:rsidRPr="00A1121A">
        <w:t xml:space="preserve"> The correction results in a reduction of $0.5 million to the revised proposed </w:t>
      </w:r>
      <w:r>
        <w:t>opening T</w:t>
      </w:r>
      <w:r w:rsidRPr="00A1121A">
        <w:t xml:space="preserve">AB value as at 1 July 2014. </w:t>
      </w:r>
      <w:r w:rsidR="0060433D">
        <w:t>While this adjustment is small, we have decided to require the change because it was a clear clerical error.</w:t>
      </w:r>
    </w:p>
    <w:p w:rsidR="00C354E5" w:rsidRDefault="00D21A2E" w:rsidP="00C354E5">
      <w:pPr>
        <w:numPr>
          <w:ilvl w:val="0"/>
          <w:numId w:val="25"/>
        </w:numPr>
      </w:pPr>
      <w:r>
        <w:fldChar w:fldCharType="begin"/>
      </w:r>
      <w:r>
        <w:instrText xml:space="preserve"> REF _Ref340070038 \h </w:instrText>
      </w:r>
      <w:r>
        <w:fldChar w:fldCharType="separate"/>
      </w:r>
      <w:r w:rsidR="000E7BE0" w:rsidRPr="007B5DF7">
        <w:t>Table 8</w:t>
      </w:r>
      <w:r w:rsidR="000E7BE0" w:rsidRPr="007B5DF7">
        <w:noBreakHyphen/>
      </w:r>
      <w:r w:rsidR="000E7BE0">
        <w:rPr>
          <w:noProof/>
        </w:rPr>
        <w:t>3</w:t>
      </w:r>
      <w:r>
        <w:fldChar w:fldCharType="end"/>
      </w:r>
      <w:r w:rsidRPr="006D7077">
        <w:t xml:space="preserve"> set</w:t>
      </w:r>
      <w:r>
        <w:t>s</w:t>
      </w:r>
      <w:r w:rsidRPr="006D7077">
        <w:t xml:space="preserve"> out our </w:t>
      </w:r>
      <w:r w:rsidR="009E770D">
        <w:t>final</w:t>
      </w:r>
      <w:r w:rsidRPr="006D7077">
        <w:t xml:space="preserve"> decision on the roll forward of </w:t>
      </w:r>
      <w:r>
        <w:t>TransGrid's</w:t>
      </w:r>
      <w:r w:rsidRPr="006D7077">
        <w:t xml:space="preserve"> </w:t>
      </w:r>
      <w:r>
        <w:t>TAB values</w:t>
      </w:r>
      <w:r w:rsidRPr="006D7077">
        <w:t>.</w:t>
      </w:r>
    </w:p>
    <w:p w:rsidR="00C354E5" w:rsidRDefault="00C354E5">
      <w:pPr>
        <w:spacing w:line="240" w:lineRule="auto"/>
      </w:pPr>
      <w:r>
        <w:br w:type="page"/>
      </w:r>
    </w:p>
    <w:p w:rsidR="00D21A2E" w:rsidRPr="007B5DF7" w:rsidRDefault="00D21A2E" w:rsidP="007B5DF7">
      <w:pPr>
        <w:pStyle w:val="Caption"/>
      </w:pPr>
      <w:bookmarkStart w:id="25" w:name="_Ref340070038"/>
      <w:r w:rsidRPr="007B5DF7">
        <w:lastRenderedPageBreak/>
        <w:t>Table 8</w:t>
      </w:r>
      <w:r w:rsidRPr="007B5DF7">
        <w:noBreakHyphen/>
      </w:r>
      <w:fldSimple w:instr=" SEQ Table \* ARABIC \s 1 ">
        <w:r w:rsidR="000E7BE0">
          <w:rPr>
            <w:noProof/>
          </w:rPr>
          <w:t>3</w:t>
        </w:r>
      </w:fldSimple>
      <w:bookmarkEnd w:id="25"/>
      <w:r w:rsidRPr="007B5DF7">
        <w:tab/>
        <w:t xml:space="preserve">AER's </w:t>
      </w:r>
      <w:r w:rsidR="00943D90">
        <w:t xml:space="preserve">final </w:t>
      </w:r>
      <w:r w:rsidRPr="007B5DF7">
        <w:t>decision on TransGrid's TAB roll forward for the 2009–14 regulatory control period ($ million, nominal)</w:t>
      </w:r>
    </w:p>
    <w:tbl>
      <w:tblPr>
        <w:tblStyle w:val="AERtable-numbers"/>
        <w:tblW w:w="4935" w:type="pct"/>
        <w:tblLook w:val="01E0" w:firstRow="1" w:lastRow="1" w:firstColumn="1" w:lastColumn="1" w:noHBand="0" w:noVBand="0"/>
      </w:tblPr>
      <w:tblGrid>
        <w:gridCol w:w="1956"/>
        <w:gridCol w:w="1325"/>
        <w:gridCol w:w="1326"/>
        <w:gridCol w:w="1326"/>
        <w:gridCol w:w="1326"/>
        <w:gridCol w:w="1321"/>
      </w:tblGrid>
      <w:tr w:rsidR="002B1455" w:rsidRPr="007B5DF7" w:rsidTr="002B1455">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139" w:type="pct"/>
          </w:tcPr>
          <w:p w:rsidR="002B1455" w:rsidRPr="007B5DF7" w:rsidRDefault="002B1455" w:rsidP="002B1455"/>
        </w:tc>
        <w:tc>
          <w:tcPr>
            <w:tcW w:w="772" w:type="pct"/>
          </w:tcPr>
          <w:p w:rsidR="002B1455" w:rsidRPr="002B1455" w:rsidRDefault="002B1455" w:rsidP="002B1455">
            <w:pPr>
              <w:cnfStyle w:val="100000000000" w:firstRow="1" w:lastRow="0" w:firstColumn="0" w:lastColumn="0" w:oddVBand="0" w:evenVBand="0" w:oddHBand="0" w:evenHBand="0" w:firstRowFirstColumn="0" w:firstRowLastColumn="0" w:lastRowFirstColumn="0" w:lastRowLastColumn="0"/>
            </w:pPr>
            <w:r>
              <w:t>2009–10</w:t>
            </w:r>
          </w:p>
        </w:tc>
        <w:tc>
          <w:tcPr>
            <w:tcW w:w="773" w:type="pct"/>
          </w:tcPr>
          <w:p w:rsidR="002B1455" w:rsidRPr="002B1455" w:rsidRDefault="002B1455" w:rsidP="002B1455">
            <w:pPr>
              <w:cnfStyle w:val="100000000000" w:firstRow="1" w:lastRow="0" w:firstColumn="0" w:lastColumn="0" w:oddVBand="0" w:evenVBand="0" w:oddHBand="0" w:evenHBand="0" w:firstRowFirstColumn="0" w:firstRowLastColumn="0" w:lastRowFirstColumn="0" w:lastRowLastColumn="0"/>
            </w:pPr>
            <w:r w:rsidRPr="007B5DF7">
              <w:t>201</w:t>
            </w:r>
            <w:r>
              <w:t>0</w:t>
            </w:r>
            <w:r w:rsidRPr="007B5DF7">
              <w:t>–1</w:t>
            </w:r>
            <w:r>
              <w:t>1</w:t>
            </w:r>
          </w:p>
        </w:tc>
        <w:tc>
          <w:tcPr>
            <w:tcW w:w="773" w:type="pct"/>
          </w:tcPr>
          <w:p w:rsidR="002B1455" w:rsidRPr="002B1455" w:rsidRDefault="002B1455" w:rsidP="002B1455">
            <w:pPr>
              <w:cnfStyle w:val="100000000000" w:firstRow="1" w:lastRow="0" w:firstColumn="0" w:lastColumn="0" w:oddVBand="0" w:evenVBand="0" w:oddHBand="0" w:evenHBand="0" w:firstRowFirstColumn="0" w:firstRowLastColumn="0" w:lastRowFirstColumn="0" w:lastRowLastColumn="0"/>
            </w:pPr>
            <w:r w:rsidRPr="007B5DF7">
              <w:t>201</w:t>
            </w:r>
            <w:r>
              <w:t>1</w:t>
            </w:r>
            <w:r w:rsidRPr="007B5DF7">
              <w:t>–1</w:t>
            </w:r>
            <w:r>
              <w:t>2</w:t>
            </w:r>
          </w:p>
        </w:tc>
        <w:tc>
          <w:tcPr>
            <w:tcW w:w="773" w:type="pct"/>
          </w:tcPr>
          <w:p w:rsidR="002B1455" w:rsidRPr="002B1455" w:rsidRDefault="002B1455" w:rsidP="002B1455">
            <w:pPr>
              <w:cnfStyle w:val="100000000000" w:firstRow="1" w:lastRow="0" w:firstColumn="0" w:lastColumn="0" w:oddVBand="0" w:evenVBand="0" w:oddHBand="0" w:evenHBand="0" w:firstRowFirstColumn="0" w:firstRowLastColumn="0" w:lastRowFirstColumn="0" w:lastRowLastColumn="0"/>
            </w:pPr>
            <w:r w:rsidRPr="007B5DF7">
              <w:t>201</w:t>
            </w:r>
            <w:r>
              <w:t>2</w:t>
            </w:r>
            <w:r w:rsidRPr="007B5DF7">
              <w:t>–1</w:t>
            </w:r>
            <w:r>
              <w:t>3</w:t>
            </w:r>
          </w:p>
        </w:tc>
        <w:tc>
          <w:tcPr>
            <w:tcW w:w="771" w:type="pct"/>
          </w:tcPr>
          <w:p w:rsidR="002B1455" w:rsidRPr="002B1455" w:rsidRDefault="002B1455" w:rsidP="002B1455">
            <w:pPr>
              <w:cnfStyle w:val="100000000000" w:firstRow="1" w:lastRow="0" w:firstColumn="0" w:lastColumn="0" w:oddVBand="0" w:evenVBand="0" w:oddHBand="0" w:evenHBand="0" w:firstRowFirstColumn="0" w:firstRowLastColumn="0" w:lastRowFirstColumn="0" w:lastRowLastColumn="0"/>
            </w:pPr>
            <w:r>
              <w:t>2013–14</w:t>
            </w:r>
          </w:p>
        </w:tc>
      </w:tr>
      <w:tr w:rsidR="002B1455" w:rsidRPr="007B5DF7" w:rsidTr="002B1455">
        <w:trPr>
          <w:trHeight w:val="503"/>
        </w:trPr>
        <w:tc>
          <w:tcPr>
            <w:cnfStyle w:val="001000000000" w:firstRow="0" w:lastRow="0" w:firstColumn="1" w:lastColumn="0" w:oddVBand="0" w:evenVBand="0" w:oddHBand="0" w:evenHBand="0" w:firstRowFirstColumn="0" w:firstRowLastColumn="0" w:lastRowFirstColumn="0" w:lastRowLastColumn="0"/>
            <w:tcW w:w="1139" w:type="pct"/>
          </w:tcPr>
          <w:p w:rsidR="002B1455" w:rsidRPr="002B1455" w:rsidRDefault="002B1455" w:rsidP="002B1455">
            <w:r>
              <w:t>O</w:t>
            </w:r>
            <w:r w:rsidRPr="002B1455">
              <w:t>pening TAB</w:t>
            </w:r>
          </w:p>
        </w:tc>
        <w:tc>
          <w:tcPr>
            <w:tcW w:w="772" w:type="pct"/>
          </w:tcPr>
          <w:p w:rsidR="002B1455" w:rsidRPr="002B1455" w:rsidRDefault="002B1455" w:rsidP="002B1455">
            <w:pPr>
              <w:cnfStyle w:val="000000000000" w:firstRow="0" w:lastRow="0" w:firstColumn="0" w:lastColumn="0" w:oddVBand="0" w:evenVBand="0" w:oddHBand="0" w:evenHBand="0" w:firstRowFirstColumn="0" w:firstRowLastColumn="0" w:lastRowFirstColumn="0" w:lastRowLastColumn="0"/>
            </w:pPr>
            <w:r>
              <w:t>2</w:t>
            </w:r>
            <w:r w:rsidRPr="002B1455">
              <w:t>718.0</w:t>
            </w:r>
          </w:p>
        </w:tc>
        <w:tc>
          <w:tcPr>
            <w:tcW w:w="773" w:type="pct"/>
          </w:tcPr>
          <w:p w:rsidR="002B1455" w:rsidRPr="002B1455" w:rsidRDefault="002B1455" w:rsidP="002B1455">
            <w:pPr>
              <w:cnfStyle w:val="000000000000" w:firstRow="0" w:lastRow="0" w:firstColumn="0" w:lastColumn="0" w:oddVBand="0" w:evenVBand="0" w:oddHBand="0" w:evenHBand="0" w:firstRowFirstColumn="0" w:firstRowLastColumn="0" w:lastRowFirstColumn="0" w:lastRowLastColumn="0"/>
            </w:pPr>
            <w:r>
              <w:t>2800.8</w:t>
            </w:r>
          </w:p>
        </w:tc>
        <w:tc>
          <w:tcPr>
            <w:tcW w:w="773" w:type="pct"/>
          </w:tcPr>
          <w:p w:rsidR="002B1455" w:rsidRPr="002B1455" w:rsidRDefault="002B1455" w:rsidP="002B1455">
            <w:pPr>
              <w:cnfStyle w:val="000000000000" w:firstRow="0" w:lastRow="0" w:firstColumn="0" w:lastColumn="0" w:oddVBand="0" w:evenVBand="0" w:oddHBand="0" w:evenHBand="0" w:firstRowFirstColumn="0" w:firstRowLastColumn="0" w:lastRowFirstColumn="0" w:lastRowLastColumn="0"/>
            </w:pPr>
            <w:r>
              <w:t>3001.4</w:t>
            </w:r>
          </w:p>
        </w:tc>
        <w:tc>
          <w:tcPr>
            <w:tcW w:w="773" w:type="pct"/>
          </w:tcPr>
          <w:p w:rsidR="002B1455" w:rsidRPr="002B1455" w:rsidRDefault="002B1455" w:rsidP="002B1455">
            <w:pPr>
              <w:cnfStyle w:val="000000000000" w:firstRow="0" w:lastRow="0" w:firstColumn="0" w:lastColumn="0" w:oddVBand="0" w:evenVBand="0" w:oddHBand="0" w:evenHBand="0" w:firstRowFirstColumn="0" w:firstRowLastColumn="0" w:lastRowFirstColumn="0" w:lastRowLastColumn="0"/>
            </w:pPr>
            <w:r>
              <w:t>3189.2</w:t>
            </w:r>
          </w:p>
        </w:tc>
        <w:tc>
          <w:tcPr>
            <w:tcW w:w="771" w:type="pct"/>
          </w:tcPr>
          <w:p w:rsidR="002B1455" w:rsidRPr="002B1455" w:rsidRDefault="002B1455" w:rsidP="002B1455">
            <w:pPr>
              <w:cnfStyle w:val="000000000000" w:firstRow="0" w:lastRow="0" w:firstColumn="0" w:lastColumn="0" w:oddVBand="0" w:evenVBand="0" w:oddHBand="0" w:evenHBand="0" w:firstRowFirstColumn="0" w:firstRowLastColumn="0" w:lastRowFirstColumn="0" w:lastRowLastColumn="0"/>
            </w:pPr>
            <w:r>
              <w:t>3382.8</w:t>
            </w:r>
          </w:p>
        </w:tc>
      </w:tr>
      <w:tr w:rsidR="002B1455" w:rsidRPr="002B1455" w:rsidTr="002B1455">
        <w:trPr>
          <w:cnfStyle w:val="000000010000" w:firstRow="0" w:lastRow="0" w:firstColumn="0" w:lastColumn="0" w:oddVBand="0" w:evenVBand="0" w:oddHBand="0" w:evenHBand="1"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139" w:type="pct"/>
          </w:tcPr>
          <w:p w:rsidR="002B1455" w:rsidRPr="002B1455" w:rsidRDefault="002B1455" w:rsidP="002B1455">
            <w:r>
              <w:t>C</w:t>
            </w:r>
            <w:r w:rsidRPr="002B1455">
              <w:t>apital expenditure</w:t>
            </w:r>
            <w:r w:rsidRPr="002B1455">
              <w:rPr>
                <w:rStyle w:val="AERsuperscript"/>
              </w:rPr>
              <w:t>a</w:t>
            </w:r>
          </w:p>
        </w:tc>
        <w:tc>
          <w:tcPr>
            <w:tcW w:w="772" w:type="pct"/>
          </w:tcPr>
          <w:p w:rsidR="002B1455" w:rsidRPr="002B1455" w:rsidRDefault="002B1455" w:rsidP="002B1455">
            <w:pPr>
              <w:cnfStyle w:val="000000010000" w:firstRow="0" w:lastRow="0" w:firstColumn="0" w:lastColumn="0" w:oddVBand="0" w:evenVBand="0" w:oddHBand="0" w:evenHBand="1" w:firstRowFirstColumn="0" w:firstRowLastColumn="0" w:lastRowFirstColumn="0" w:lastRowLastColumn="0"/>
            </w:pPr>
            <w:r>
              <w:t>221.0</w:t>
            </w:r>
          </w:p>
        </w:tc>
        <w:tc>
          <w:tcPr>
            <w:tcW w:w="773" w:type="pct"/>
          </w:tcPr>
          <w:p w:rsidR="002B1455" w:rsidRPr="002B1455" w:rsidRDefault="002B1455" w:rsidP="002B1455">
            <w:pPr>
              <w:cnfStyle w:val="000000010000" w:firstRow="0" w:lastRow="0" w:firstColumn="0" w:lastColumn="0" w:oddVBand="0" w:evenVBand="0" w:oddHBand="0" w:evenHBand="1" w:firstRowFirstColumn="0" w:firstRowLastColumn="0" w:lastRowFirstColumn="0" w:lastRowLastColumn="0"/>
            </w:pPr>
            <w:r>
              <w:t>345.1</w:t>
            </w:r>
          </w:p>
        </w:tc>
        <w:tc>
          <w:tcPr>
            <w:tcW w:w="773" w:type="pct"/>
          </w:tcPr>
          <w:p w:rsidR="002B1455" w:rsidRPr="002B1455" w:rsidRDefault="002B1455" w:rsidP="002B1455">
            <w:pPr>
              <w:cnfStyle w:val="000000010000" w:firstRow="0" w:lastRow="0" w:firstColumn="0" w:lastColumn="0" w:oddVBand="0" w:evenVBand="0" w:oddHBand="0" w:evenHBand="1" w:firstRowFirstColumn="0" w:firstRowLastColumn="0" w:lastRowFirstColumn="0" w:lastRowLastColumn="0"/>
            </w:pPr>
            <w:r>
              <w:t>345.5</w:t>
            </w:r>
          </w:p>
        </w:tc>
        <w:tc>
          <w:tcPr>
            <w:tcW w:w="773" w:type="pct"/>
          </w:tcPr>
          <w:p w:rsidR="002B1455" w:rsidRPr="002B1455" w:rsidRDefault="002B1455" w:rsidP="002B1455">
            <w:pPr>
              <w:cnfStyle w:val="000000010000" w:firstRow="0" w:lastRow="0" w:firstColumn="0" w:lastColumn="0" w:oddVBand="0" w:evenVBand="0" w:oddHBand="0" w:evenHBand="1" w:firstRowFirstColumn="0" w:firstRowLastColumn="0" w:lastRowFirstColumn="0" w:lastRowLastColumn="0"/>
            </w:pPr>
            <w:r>
              <w:t>362.6</w:t>
            </w:r>
          </w:p>
        </w:tc>
        <w:tc>
          <w:tcPr>
            <w:tcW w:w="771" w:type="pct"/>
          </w:tcPr>
          <w:p w:rsidR="002B1455" w:rsidRPr="002B1455" w:rsidRDefault="002B1455" w:rsidP="002B1455">
            <w:pPr>
              <w:cnfStyle w:val="000000010000" w:firstRow="0" w:lastRow="0" w:firstColumn="0" w:lastColumn="0" w:oddVBand="0" w:evenVBand="0" w:oddHBand="0" w:evenHBand="1" w:firstRowFirstColumn="0" w:firstRowLastColumn="0" w:lastRowFirstColumn="0" w:lastRowLastColumn="0"/>
            </w:pPr>
            <w:r>
              <w:t>553.5</w:t>
            </w:r>
          </w:p>
        </w:tc>
      </w:tr>
      <w:tr w:rsidR="002B1455" w:rsidRPr="002B1455" w:rsidTr="002B1455">
        <w:trPr>
          <w:trHeight w:val="514"/>
        </w:trPr>
        <w:tc>
          <w:tcPr>
            <w:cnfStyle w:val="001000000000" w:firstRow="0" w:lastRow="0" w:firstColumn="1" w:lastColumn="0" w:oddVBand="0" w:evenVBand="0" w:oddHBand="0" w:evenHBand="0" w:firstRowFirstColumn="0" w:firstRowLastColumn="0" w:lastRowFirstColumn="0" w:lastRowLastColumn="0"/>
            <w:tcW w:w="1139" w:type="pct"/>
          </w:tcPr>
          <w:p w:rsidR="002B1455" w:rsidRPr="002B1455" w:rsidRDefault="002B1455" w:rsidP="002B1455">
            <w:r>
              <w:t>Tax depreciation</w:t>
            </w:r>
          </w:p>
        </w:tc>
        <w:tc>
          <w:tcPr>
            <w:tcW w:w="772" w:type="pct"/>
          </w:tcPr>
          <w:p w:rsidR="002B1455" w:rsidRPr="002B1455" w:rsidRDefault="002B1455" w:rsidP="002B1455">
            <w:pPr>
              <w:cnfStyle w:val="000000000000" w:firstRow="0" w:lastRow="0" w:firstColumn="0" w:lastColumn="0" w:oddVBand="0" w:evenVBand="0" w:oddHBand="0" w:evenHBand="0" w:firstRowFirstColumn="0" w:firstRowLastColumn="0" w:lastRowFirstColumn="0" w:lastRowLastColumn="0"/>
            </w:pPr>
            <w:r>
              <w:t>–138.3</w:t>
            </w:r>
          </w:p>
        </w:tc>
        <w:tc>
          <w:tcPr>
            <w:tcW w:w="773" w:type="pct"/>
          </w:tcPr>
          <w:p w:rsidR="002B1455" w:rsidRPr="002B1455" w:rsidRDefault="002B1455" w:rsidP="002B1455">
            <w:pPr>
              <w:cnfStyle w:val="000000000000" w:firstRow="0" w:lastRow="0" w:firstColumn="0" w:lastColumn="0" w:oddVBand="0" w:evenVBand="0" w:oddHBand="0" w:evenHBand="0" w:firstRowFirstColumn="0" w:firstRowLastColumn="0" w:lastRowFirstColumn="0" w:lastRowLastColumn="0"/>
            </w:pPr>
            <w:r>
              <w:t>–144.4</w:t>
            </w:r>
          </w:p>
        </w:tc>
        <w:tc>
          <w:tcPr>
            <w:tcW w:w="773" w:type="pct"/>
          </w:tcPr>
          <w:p w:rsidR="002B1455" w:rsidRPr="002B1455" w:rsidRDefault="002B1455" w:rsidP="002B1455">
            <w:pPr>
              <w:cnfStyle w:val="000000000000" w:firstRow="0" w:lastRow="0" w:firstColumn="0" w:lastColumn="0" w:oddVBand="0" w:evenVBand="0" w:oddHBand="0" w:evenHBand="0" w:firstRowFirstColumn="0" w:firstRowLastColumn="0" w:lastRowFirstColumn="0" w:lastRowLastColumn="0"/>
            </w:pPr>
            <w:r>
              <w:t>–157.7</w:t>
            </w:r>
          </w:p>
        </w:tc>
        <w:tc>
          <w:tcPr>
            <w:tcW w:w="773" w:type="pct"/>
          </w:tcPr>
          <w:p w:rsidR="002B1455" w:rsidRPr="002B1455" w:rsidRDefault="002B1455" w:rsidP="002B1455">
            <w:pPr>
              <w:cnfStyle w:val="000000000000" w:firstRow="0" w:lastRow="0" w:firstColumn="0" w:lastColumn="0" w:oddVBand="0" w:evenVBand="0" w:oddHBand="0" w:evenHBand="0" w:firstRowFirstColumn="0" w:firstRowLastColumn="0" w:lastRowFirstColumn="0" w:lastRowLastColumn="0"/>
            </w:pPr>
            <w:r>
              <w:t>–169.0</w:t>
            </w:r>
          </w:p>
        </w:tc>
        <w:tc>
          <w:tcPr>
            <w:tcW w:w="771" w:type="pct"/>
          </w:tcPr>
          <w:p w:rsidR="002B1455" w:rsidRPr="002B1455" w:rsidRDefault="002B1455" w:rsidP="002B1455">
            <w:pPr>
              <w:cnfStyle w:val="000000000000" w:firstRow="0" w:lastRow="0" w:firstColumn="0" w:lastColumn="0" w:oddVBand="0" w:evenVBand="0" w:oddHBand="0" w:evenHBand="0" w:firstRowFirstColumn="0" w:firstRowLastColumn="0" w:lastRowFirstColumn="0" w:lastRowLastColumn="0"/>
            </w:pPr>
            <w:r>
              <w:t>–185.9</w:t>
            </w:r>
          </w:p>
        </w:tc>
      </w:tr>
      <w:tr w:rsidR="002B1455" w:rsidRPr="002B1455" w:rsidTr="002B1455">
        <w:trPr>
          <w:cnfStyle w:val="000000010000" w:firstRow="0" w:lastRow="0" w:firstColumn="0" w:lastColumn="0" w:oddVBand="0" w:evenVBand="0" w:oddHBand="0" w:evenHBand="1"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139" w:type="pct"/>
          </w:tcPr>
          <w:p w:rsidR="002B1455" w:rsidRPr="002B1455" w:rsidRDefault="002B1455" w:rsidP="002B1455">
            <w:r>
              <w:t>C</w:t>
            </w:r>
            <w:r w:rsidRPr="002B1455">
              <w:t>losing TAB</w:t>
            </w:r>
          </w:p>
        </w:tc>
        <w:tc>
          <w:tcPr>
            <w:tcW w:w="772" w:type="pct"/>
          </w:tcPr>
          <w:p w:rsidR="002B1455" w:rsidRPr="002B1455" w:rsidRDefault="002B1455" w:rsidP="002B1455">
            <w:pPr>
              <w:cnfStyle w:val="000000010000" w:firstRow="0" w:lastRow="0" w:firstColumn="0" w:lastColumn="0" w:oddVBand="0" w:evenVBand="0" w:oddHBand="0" w:evenHBand="1" w:firstRowFirstColumn="0" w:firstRowLastColumn="0" w:lastRowFirstColumn="0" w:lastRowLastColumn="0"/>
            </w:pPr>
            <w:r>
              <w:t>2800.8</w:t>
            </w:r>
          </w:p>
        </w:tc>
        <w:tc>
          <w:tcPr>
            <w:tcW w:w="773" w:type="pct"/>
          </w:tcPr>
          <w:p w:rsidR="002B1455" w:rsidRPr="002B1455" w:rsidRDefault="002B1455" w:rsidP="002B1455">
            <w:pPr>
              <w:cnfStyle w:val="000000010000" w:firstRow="0" w:lastRow="0" w:firstColumn="0" w:lastColumn="0" w:oddVBand="0" w:evenVBand="0" w:oddHBand="0" w:evenHBand="1" w:firstRowFirstColumn="0" w:firstRowLastColumn="0" w:lastRowFirstColumn="0" w:lastRowLastColumn="0"/>
            </w:pPr>
            <w:r>
              <w:t>3001.4</w:t>
            </w:r>
          </w:p>
        </w:tc>
        <w:tc>
          <w:tcPr>
            <w:tcW w:w="773" w:type="pct"/>
          </w:tcPr>
          <w:p w:rsidR="002B1455" w:rsidRPr="002B1455" w:rsidRDefault="002B1455" w:rsidP="002B1455">
            <w:pPr>
              <w:cnfStyle w:val="000000010000" w:firstRow="0" w:lastRow="0" w:firstColumn="0" w:lastColumn="0" w:oddVBand="0" w:evenVBand="0" w:oddHBand="0" w:evenHBand="1" w:firstRowFirstColumn="0" w:firstRowLastColumn="0" w:lastRowFirstColumn="0" w:lastRowLastColumn="0"/>
            </w:pPr>
            <w:r>
              <w:t>3189.2</w:t>
            </w:r>
          </w:p>
        </w:tc>
        <w:tc>
          <w:tcPr>
            <w:tcW w:w="773" w:type="pct"/>
          </w:tcPr>
          <w:p w:rsidR="002B1455" w:rsidRPr="002B1455" w:rsidRDefault="002B1455" w:rsidP="002B1455">
            <w:pPr>
              <w:cnfStyle w:val="000000010000" w:firstRow="0" w:lastRow="0" w:firstColumn="0" w:lastColumn="0" w:oddVBand="0" w:evenVBand="0" w:oddHBand="0" w:evenHBand="1" w:firstRowFirstColumn="0" w:firstRowLastColumn="0" w:lastRowFirstColumn="0" w:lastRowLastColumn="0"/>
            </w:pPr>
            <w:r>
              <w:t>3382.8</w:t>
            </w:r>
          </w:p>
        </w:tc>
        <w:tc>
          <w:tcPr>
            <w:tcW w:w="771" w:type="pct"/>
          </w:tcPr>
          <w:p w:rsidR="002B1455" w:rsidRPr="002B1455" w:rsidRDefault="002B1455" w:rsidP="002B1455">
            <w:pPr>
              <w:cnfStyle w:val="000000010000" w:firstRow="0" w:lastRow="0" w:firstColumn="0" w:lastColumn="0" w:oddVBand="0" w:evenVBand="0" w:oddHBand="0" w:evenHBand="1" w:firstRowFirstColumn="0" w:firstRowLastColumn="0" w:lastRowFirstColumn="0" w:lastRowLastColumn="0"/>
            </w:pPr>
            <w:r>
              <w:t>3750.3</w:t>
            </w:r>
          </w:p>
        </w:tc>
      </w:tr>
    </w:tbl>
    <w:p w:rsidR="00D21A2E" w:rsidRPr="007B5DF7" w:rsidRDefault="00D21A2E" w:rsidP="007B5DF7">
      <w:pPr>
        <w:pStyle w:val="AERtablesource"/>
      </w:pPr>
      <w:r w:rsidRPr="007B5DF7">
        <w:t xml:space="preserve">Source: </w:t>
      </w:r>
      <w:r w:rsidRPr="007B5DF7">
        <w:tab/>
        <w:t>AER analysis.</w:t>
      </w:r>
    </w:p>
    <w:p w:rsidR="00D21A2E" w:rsidRPr="007B5DF7" w:rsidRDefault="00D21A2E" w:rsidP="007B5DF7">
      <w:pPr>
        <w:pStyle w:val="AERtablesource"/>
      </w:pPr>
      <w:r w:rsidRPr="007B5DF7">
        <w:t>(a)</w:t>
      </w:r>
      <w:r w:rsidRPr="007B5DF7">
        <w:tab/>
        <w:t>As commissioned, net of disposals.</w:t>
      </w:r>
    </w:p>
    <w:p w:rsidR="00653784" w:rsidRDefault="00653784" w:rsidP="00653784">
      <w:pPr>
        <w:pStyle w:val="Heading3"/>
      </w:pPr>
      <w:bookmarkStart w:id="26" w:name="_Toc412708950"/>
      <w:bookmarkStart w:id="27" w:name="_Ref412800185"/>
      <w:r>
        <w:t>Standard and remaining tax asset lives</w:t>
      </w:r>
      <w:bookmarkEnd w:id="26"/>
      <w:bookmarkEnd w:id="27"/>
    </w:p>
    <w:p w:rsidR="00653784" w:rsidRDefault="00143146" w:rsidP="00653784">
      <w:r>
        <w:t xml:space="preserve">Consistent with </w:t>
      </w:r>
      <w:r w:rsidR="00F508B1">
        <w:t>our draft decision, we accept</w:t>
      </w:r>
      <w:r w:rsidR="00653784">
        <w:t xml:space="preserve"> </w:t>
      </w:r>
      <w:r w:rsidR="00F508B1">
        <w:t>TransGrid's proposed</w:t>
      </w:r>
      <w:r w:rsidR="00653784">
        <w:t xml:space="preserve"> standard tax asset lives</w:t>
      </w:r>
      <w:r w:rsidR="00F508B1">
        <w:t xml:space="preserve">, </w:t>
      </w:r>
      <w:r w:rsidR="0013613C">
        <w:t>which include</w:t>
      </w:r>
      <w:r w:rsidR="00653784">
        <w:t xml:space="preserve"> </w:t>
      </w:r>
      <w:r w:rsidR="00F508B1">
        <w:t xml:space="preserve">the following </w:t>
      </w:r>
      <w:r w:rsidR="00653784">
        <w:t xml:space="preserve">changes to the standard </w:t>
      </w:r>
      <w:r w:rsidR="00F4486E">
        <w:t xml:space="preserve">tax </w:t>
      </w:r>
      <w:r w:rsidR="00653784">
        <w:t>asset lives</w:t>
      </w:r>
      <w:r w:rsidR="0013613C">
        <w:t xml:space="preserve"> for</w:t>
      </w:r>
      <w:r w:rsidR="00653784">
        <w:t xml:space="preserve">: </w:t>
      </w:r>
    </w:p>
    <w:p w:rsidR="00653784" w:rsidRDefault="00653784" w:rsidP="00653784">
      <w:pPr>
        <w:pStyle w:val="AERbulletlistfirststyle"/>
      </w:pPr>
      <w:r w:rsidRPr="0064751A">
        <w:t xml:space="preserve">'Underground cables 2014–18' </w:t>
      </w:r>
      <w:r w:rsidR="00BE56EC">
        <w:t xml:space="preserve">asset class </w:t>
      </w:r>
      <w:r w:rsidRPr="0064751A">
        <w:t>(to 45 years from 50 years)</w:t>
      </w:r>
      <w:r w:rsidR="00943D90">
        <w:t>.</w:t>
      </w:r>
      <w:r>
        <w:t xml:space="preserve"> </w:t>
      </w:r>
    </w:p>
    <w:p w:rsidR="00653784" w:rsidRDefault="00653784" w:rsidP="00653784">
      <w:pPr>
        <w:pStyle w:val="AERbulletlistfirststyle"/>
      </w:pPr>
      <w:r w:rsidRPr="0064751A">
        <w:t xml:space="preserve">'Secondary systems 2014–18' </w:t>
      </w:r>
      <w:r w:rsidR="00BE56EC">
        <w:t xml:space="preserve">asset class </w:t>
      </w:r>
      <w:r w:rsidRPr="0064751A">
        <w:t>(to 15 years from 35 years)</w:t>
      </w:r>
      <w:r w:rsidR="00943D90">
        <w:t>.</w:t>
      </w:r>
    </w:p>
    <w:p w:rsidR="00653784" w:rsidRDefault="00653784" w:rsidP="00653784">
      <w:pPr>
        <w:pStyle w:val="AERbulletlistfirststyle"/>
      </w:pPr>
      <w:r>
        <w:t xml:space="preserve">'Communications 2014–18' </w:t>
      </w:r>
      <w:r w:rsidR="00BE56EC">
        <w:t xml:space="preserve">asset class </w:t>
      </w:r>
      <w:r w:rsidR="00943D90">
        <w:t>(to 10 years from 35 years).</w:t>
      </w:r>
    </w:p>
    <w:p w:rsidR="00653784" w:rsidRDefault="0013613C" w:rsidP="00653784">
      <w:pPr>
        <w:pStyle w:val="AERbulletlistfirststyle"/>
      </w:pPr>
      <w:r>
        <w:t>T</w:t>
      </w:r>
      <w:r w:rsidR="00653784">
        <w:t>he new asset class 'Transmission line life extension'</w:t>
      </w:r>
      <w:r>
        <w:t xml:space="preserve"> of</w:t>
      </w:r>
      <w:r w:rsidR="00653784">
        <w:t xml:space="preserve"> 25 years.</w:t>
      </w:r>
    </w:p>
    <w:p w:rsidR="00143146" w:rsidRDefault="0073620F" w:rsidP="009700FD">
      <w:pPr>
        <w:numPr>
          <w:ilvl w:val="0"/>
          <w:numId w:val="25"/>
        </w:numPr>
      </w:pPr>
      <w:r>
        <w:t>In the</w:t>
      </w:r>
      <w:r w:rsidR="009700FD">
        <w:t xml:space="preserve"> draft decision, w</w:t>
      </w:r>
      <w:r w:rsidR="00653784" w:rsidRPr="006D7077">
        <w:t>e accept</w:t>
      </w:r>
      <w:r w:rsidR="009700FD">
        <w:t>ed</w:t>
      </w:r>
      <w:r w:rsidR="00653784" w:rsidRPr="006D7077">
        <w:t xml:space="preserve"> </w:t>
      </w:r>
      <w:r w:rsidR="00653784">
        <w:t xml:space="preserve">TransGrid's </w:t>
      </w:r>
      <w:r w:rsidR="00653784" w:rsidRPr="006D7077">
        <w:t xml:space="preserve">proposed weighted average method to calculate the remaining tax asset lives as at 1 </w:t>
      </w:r>
      <w:r w:rsidR="00653784">
        <w:t>July</w:t>
      </w:r>
      <w:r w:rsidR="009700FD">
        <w:t xml:space="preserve"> 2014</w:t>
      </w:r>
      <w:r w:rsidR="00595869">
        <w:t xml:space="preserve">. We noted that the remaining tax asset lives </w:t>
      </w:r>
      <w:r w:rsidR="00C52F9A">
        <w:t xml:space="preserve">would be updated </w:t>
      </w:r>
      <w:r w:rsidR="00595869">
        <w:t xml:space="preserve">for the final decision because TransGrid's revised proposal would include revisions for 2013–14 actual capex. This is because the </w:t>
      </w:r>
      <w:r w:rsidR="00C52F9A">
        <w:br/>
        <w:t>2013–14 capex values are used to calculate the</w:t>
      </w:r>
      <w:r w:rsidR="00C52F9A" w:rsidRPr="00C52F9A">
        <w:t xml:space="preserve"> </w:t>
      </w:r>
      <w:r w:rsidR="00C52F9A" w:rsidRPr="006D7077">
        <w:t>weighted average remaining tax asset lives</w:t>
      </w:r>
      <w:r w:rsidR="00C52F9A">
        <w:t xml:space="preserve"> in the</w:t>
      </w:r>
      <w:r w:rsidR="00C354E5">
        <w:t xml:space="preserve"> RFM</w:t>
      </w:r>
      <w:r w:rsidR="00C52F9A">
        <w:t>.</w:t>
      </w:r>
      <w:r w:rsidR="00C354E5">
        <w:t xml:space="preserve"> </w:t>
      </w:r>
      <w:r w:rsidR="00C52F9A">
        <w:t xml:space="preserve">Based on the further change to the 2013–14 capex as discussed in section </w:t>
      </w:r>
      <w:r w:rsidR="00C52F9A">
        <w:fldChar w:fldCharType="begin"/>
      </w:r>
      <w:r w:rsidR="00C52F9A">
        <w:instrText xml:space="preserve"> REF _Ref412797870 \r \h </w:instrText>
      </w:r>
      <w:r w:rsidR="00C52F9A">
        <w:fldChar w:fldCharType="separate"/>
      </w:r>
      <w:r w:rsidR="000E7BE0">
        <w:t>8.4.1</w:t>
      </w:r>
      <w:r w:rsidR="00C52F9A">
        <w:fldChar w:fldCharType="end"/>
      </w:r>
      <w:r w:rsidR="00C52F9A">
        <w:t xml:space="preserve"> we</w:t>
      </w:r>
      <w:r w:rsidR="00143146" w:rsidRPr="006D7077">
        <w:t xml:space="preserve"> </w:t>
      </w:r>
      <w:r w:rsidR="00C52F9A">
        <w:t>have updated the remaining tax asset lives as at 1 July 2014 for this final decision.</w:t>
      </w:r>
      <w:r w:rsidR="009700FD">
        <w:t xml:space="preserve"> </w:t>
      </w:r>
    </w:p>
    <w:p w:rsidR="00F27631" w:rsidRDefault="00F27631" w:rsidP="009700FD">
      <w:pPr>
        <w:numPr>
          <w:ilvl w:val="0"/>
          <w:numId w:val="25"/>
        </w:numPr>
      </w:pPr>
      <w:r>
        <w:t>We are satisfied the proposed standard and remaining tax asset lives are likely to provide an appropriate estimate of the tax depreciation amount for a benchmark efficient TNSP as required by the NER.</w:t>
      </w:r>
      <w:r>
        <w:rPr>
          <w:rStyle w:val="FootnoteReference"/>
        </w:rPr>
        <w:footnoteReference w:id="6"/>
      </w:r>
    </w:p>
    <w:p w:rsidR="00653784" w:rsidRPr="006D7077" w:rsidRDefault="00653784" w:rsidP="009700FD">
      <w:pPr>
        <w:numPr>
          <w:ilvl w:val="0"/>
          <w:numId w:val="25"/>
        </w:numPr>
      </w:pPr>
      <w:r>
        <w:fldChar w:fldCharType="begin"/>
      </w:r>
      <w:r>
        <w:instrText xml:space="preserve"> REF _Ref402185836 \h </w:instrText>
      </w:r>
      <w:r>
        <w:fldChar w:fldCharType="separate"/>
      </w:r>
      <w:r w:rsidR="000E7BE0" w:rsidRPr="00DE1345">
        <w:t xml:space="preserve">Table </w:t>
      </w:r>
      <w:r w:rsidR="000E7BE0">
        <w:t>8</w:t>
      </w:r>
      <w:r w:rsidR="000E7BE0">
        <w:noBreakHyphen/>
      </w:r>
      <w:r w:rsidR="000E7BE0">
        <w:rPr>
          <w:noProof/>
        </w:rPr>
        <w:t>4</w:t>
      </w:r>
      <w:r>
        <w:fldChar w:fldCharType="end"/>
      </w:r>
      <w:r>
        <w:t xml:space="preserve"> </w:t>
      </w:r>
      <w:r w:rsidRPr="006D7077">
        <w:t>set</w:t>
      </w:r>
      <w:r>
        <w:t>s</w:t>
      </w:r>
      <w:r w:rsidRPr="006D7077">
        <w:t xml:space="preserve"> </w:t>
      </w:r>
      <w:r>
        <w:t xml:space="preserve">out </w:t>
      </w:r>
      <w:r w:rsidRPr="006D7077">
        <w:t xml:space="preserve">our </w:t>
      </w:r>
      <w:r>
        <w:t>final</w:t>
      </w:r>
      <w:r w:rsidRPr="006D7077">
        <w:t xml:space="preserve"> decision on </w:t>
      </w:r>
      <w:r>
        <w:t>the standard and</w:t>
      </w:r>
      <w:r w:rsidRPr="006D7077">
        <w:t xml:space="preserve"> remaining tax asset lives as at 1 </w:t>
      </w:r>
      <w:r>
        <w:t>July</w:t>
      </w:r>
      <w:r w:rsidRPr="006D7077">
        <w:t xml:space="preserve"> 2014</w:t>
      </w:r>
      <w:r>
        <w:t xml:space="preserve"> for TransGrid</w:t>
      </w:r>
      <w:r w:rsidRPr="006D7077">
        <w:t>.</w:t>
      </w:r>
      <w:r>
        <w:t xml:space="preserve"> </w:t>
      </w:r>
    </w:p>
    <w:p w:rsidR="00653784" w:rsidRPr="00DE1345" w:rsidRDefault="00653784" w:rsidP="00653784">
      <w:pPr>
        <w:pStyle w:val="Caption"/>
      </w:pPr>
      <w:bookmarkStart w:id="28" w:name="_Ref402185836"/>
      <w:r w:rsidRPr="00DE1345">
        <w:lastRenderedPageBreak/>
        <w:t xml:space="preserve">Table </w:t>
      </w:r>
      <w:r>
        <w:t>8</w:t>
      </w:r>
      <w:r>
        <w:noBreakHyphen/>
      </w:r>
      <w:r w:rsidRPr="00363040">
        <w:fldChar w:fldCharType="begin"/>
      </w:r>
      <w:r>
        <w:instrText xml:space="preserve"> SEQ Table \* ARABIC \s 1 </w:instrText>
      </w:r>
      <w:r w:rsidRPr="00363040">
        <w:fldChar w:fldCharType="separate"/>
      </w:r>
      <w:r w:rsidR="000E7BE0">
        <w:rPr>
          <w:noProof/>
        </w:rPr>
        <w:t>4</w:t>
      </w:r>
      <w:r w:rsidRPr="00363040">
        <w:fldChar w:fldCharType="end"/>
      </w:r>
      <w:bookmarkEnd w:id="28"/>
      <w:r w:rsidRPr="00DE1345">
        <w:tab/>
        <w:t xml:space="preserve">AER's </w:t>
      </w:r>
      <w:r>
        <w:t>final</w:t>
      </w:r>
      <w:r w:rsidRPr="00DE1345">
        <w:t xml:space="preserve"> decision on TransGrid's standard </w:t>
      </w:r>
      <w:r>
        <w:t xml:space="preserve">and remaining tax </w:t>
      </w:r>
      <w:r w:rsidRPr="00DE1345">
        <w:t>asset lives as at 1 July 2014 (years)</w:t>
      </w:r>
    </w:p>
    <w:tbl>
      <w:tblPr>
        <w:tblStyle w:val="AERtable-numbers"/>
        <w:tblW w:w="8750" w:type="dxa"/>
        <w:tblLook w:val="01E0" w:firstRow="1" w:lastRow="1" w:firstColumn="1" w:lastColumn="1" w:noHBand="0" w:noVBand="0"/>
      </w:tblPr>
      <w:tblGrid>
        <w:gridCol w:w="4077"/>
        <w:gridCol w:w="1985"/>
        <w:gridCol w:w="2688"/>
      </w:tblGrid>
      <w:tr w:rsidR="00653784" w:rsidRPr="00634485" w:rsidTr="0070076A">
        <w:trPr>
          <w:cnfStyle w:val="100000000000" w:firstRow="1" w:lastRow="0" w:firstColumn="0" w:lastColumn="0" w:oddVBand="0" w:evenVBand="0" w:oddHBand="0" w:evenHBand="0" w:firstRowFirstColumn="0" w:firstRowLastColumn="0" w:lastRowFirstColumn="0" w:lastRowLastColumn="0"/>
          <w:trHeight w:hRule="exact" w:val="638"/>
          <w:tblHeader/>
        </w:trPr>
        <w:tc>
          <w:tcPr>
            <w:cnfStyle w:val="001000000000" w:firstRow="0" w:lastRow="0" w:firstColumn="1" w:lastColumn="0" w:oddVBand="0" w:evenVBand="0" w:oddHBand="0" w:evenHBand="0" w:firstRowFirstColumn="0" w:firstRowLastColumn="0" w:lastRowFirstColumn="0" w:lastRowLastColumn="0"/>
            <w:tcW w:w="4077" w:type="dxa"/>
          </w:tcPr>
          <w:p w:rsidR="00653784" w:rsidRPr="00634485" w:rsidRDefault="00653784" w:rsidP="00634485">
            <w:r w:rsidRPr="00634485">
              <w:t>Asset class</w:t>
            </w:r>
          </w:p>
        </w:tc>
        <w:tc>
          <w:tcPr>
            <w:tcW w:w="1985" w:type="dxa"/>
          </w:tcPr>
          <w:p w:rsidR="00653784" w:rsidRPr="00634485" w:rsidRDefault="00653784" w:rsidP="00634485">
            <w:pPr>
              <w:cnfStyle w:val="100000000000" w:firstRow="1" w:lastRow="0" w:firstColumn="0" w:lastColumn="0" w:oddVBand="0" w:evenVBand="0" w:oddHBand="0" w:evenHBand="0" w:firstRowFirstColumn="0" w:firstRowLastColumn="0" w:lastRowFirstColumn="0" w:lastRowLastColumn="0"/>
            </w:pPr>
            <w:r w:rsidRPr="00634485">
              <w:t xml:space="preserve">Standard tax asset life </w:t>
            </w:r>
          </w:p>
        </w:tc>
        <w:tc>
          <w:tcPr>
            <w:tcW w:w="2688" w:type="dxa"/>
          </w:tcPr>
          <w:p w:rsidR="00653784" w:rsidRPr="00634485" w:rsidRDefault="00653784" w:rsidP="00634485">
            <w:pPr>
              <w:cnfStyle w:val="100000000000" w:firstRow="1" w:lastRow="0" w:firstColumn="0" w:lastColumn="0" w:oddVBand="0" w:evenVBand="0" w:oddHBand="0" w:evenHBand="0" w:firstRowFirstColumn="0" w:firstRowLastColumn="0" w:lastRowFirstColumn="0" w:lastRowLastColumn="0"/>
            </w:pPr>
            <w:r w:rsidRPr="00634485">
              <w:t xml:space="preserve">Remaining tax asset life as at </w:t>
            </w:r>
            <w:r w:rsidRPr="00634485">
              <w:br/>
              <w:t xml:space="preserve">1 July 2014 </w:t>
            </w:r>
          </w:p>
        </w:tc>
      </w:tr>
      <w:tr w:rsidR="00653784" w:rsidRPr="00634485" w:rsidTr="0070076A">
        <w:trPr>
          <w:trHeight w:hRule="exact" w:val="423"/>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Transmission lines (pre 2004-05)</w:t>
            </w:r>
          </w:p>
        </w:tc>
        <w:tc>
          <w:tcPr>
            <w:tcW w:w="1985" w:type="dxa"/>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c>
          <w:tcPr>
            <w:tcW w:w="2688" w:type="dxa"/>
          </w:tcPr>
          <w:p w:rsidR="00653784" w:rsidRPr="00634485" w:rsidRDefault="0070076A" w:rsidP="00634485">
            <w:pPr>
              <w:cnfStyle w:val="000000000000" w:firstRow="0" w:lastRow="0" w:firstColumn="0" w:lastColumn="0" w:oddVBand="0" w:evenVBand="0" w:oddHBand="0" w:evenHBand="0" w:firstRowFirstColumn="0" w:firstRowLastColumn="0" w:lastRowFirstColumn="0" w:lastRowLastColumn="0"/>
            </w:pPr>
            <w:r>
              <w:t>2.1</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Underground cables (pre 2004-05)</w:t>
            </w:r>
          </w:p>
        </w:tc>
        <w:tc>
          <w:tcPr>
            <w:tcW w:w="1985"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c>
          <w:tcPr>
            <w:tcW w:w="2688" w:type="dxa"/>
          </w:tcPr>
          <w:p w:rsidR="00653784" w:rsidRPr="00634485" w:rsidRDefault="0070076A" w:rsidP="00634485">
            <w:pPr>
              <w:cnfStyle w:val="000000010000" w:firstRow="0" w:lastRow="0" w:firstColumn="0" w:lastColumn="0" w:oddVBand="0" w:evenVBand="0" w:oddHBand="0" w:evenHBand="1" w:firstRowFirstColumn="0" w:firstRowLastColumn="0" w:lastRowFirstColumn="0" w:lastRowLastColumn="0"/>
            </w:pPr>
            <w:r>
              <w:t>34.6</w:t>
            </w:r>
          </w:p>
        </w:tc>
      </w:tr>
      <w:tr w:rsidR="00653784" w:rsidRPr="00634485" w:rsidTr="0070076A">
        <w:trPr>
          <w:trHeight w:hRule="exact" w:val="42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Substations including buildings (pre 2004-05)</w:t>
            </w:r>
          </w:p>
        </w:tc>
        <w:tc>
          <w:tcPr>
            <w:tcW w:w="1985"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c>
          <w:tcPr>
            <w:tcW w:w="2688" w:type="dxa"/>
          </w:tcPr>
          <w:p w:rsidR="00653784" w:rsidRPr="00634485" w:rsidRDefault="0070076A" w:rsidP="00634485">
            <w:pPr>
              <w:cnfStyle w:val="000000000000" w:firstRow="0" w:lastRow="0" w:firstColumn="0" w:lastColumn="0" w:oddVBand="0" w:evenVBand="0" w:oddHBand="0" w:evenHBand="0" w:firstRowFirstColumn="0" w:firstRowLastColumn="0" w:lastRowFirstColumn="0" w:lastRowLastColumn="0"/>
            </w:pPr>
            <w:r>
              <w:t>12.2</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SCADA and communications (pre 2004-05)</w:t>
            </w:r>
          </w:p>
        </w:tc>
        <w:tc>
          <w:tcPr>
            <w:tcW w:w="1985"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c>
          <w:tcPr>
            <w:tcW w:w="2688" w:type="dxa"/>
          </w:tcPr>
          <w:p w:rsidR="00653784" w:rsidRPr="00634485" w:rsidRDefault="0070076A" w:rsidP="00634485">
            <w:pPr>
              <w:cnfStyle w:val="000000010000" w:firstRow="0" w:lastRow="0" w:firstColumn="0" w:lastColumn="0" w:oddVBand="0" w:evenVBand="0" w:oddHBand="0" w:evenHBand="1" w:firstRowFirstColumn="0" w:firstRowLastColumn="0" w:lastRowFirstColumn="0" w:lastRowLastColumn="0"/>
            </w:pPr>
            <w:r>
              <w:t>0.4</w:t>
            </w:r>
          </w:p>
        </w:tc>
      </w:tr>
      <w:tr w:rsidR="00653784" w:rsidRPr="00634485" w:rsidTr="0070076A">
        <w:trPr>
          <w:trHeight w:hRule="exact" w:val="41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Non-network assets (pre 2004-05)</w:t>
            </w:r>
          </w:p>
        </w:tc>
        <w:tc>
          <w:tcPr>
            <w:tcW w:w="1985"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c>
          <w:tcPr>
            <w:tcW w:w="2688" w:type="dxa"/>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1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SMHEA assets (pre 2004-05)</w:t>
            </w:r>
          </w:p>
        </w:tc>
        <w:tc>
          <w:tcPr>
            <w:tcW w:w="1985"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c>
          <w:tcPr>
            <w:tcW w:w="2688" w:type="dxa"/>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r>
      <w:tr w:rsidR="00653784" w:rsidRPr="00634485" w:rsidTr="0070076A">
        <w:trPr>
          <w:trHeight w:hRule="exact" w:val="431"/>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Transmission lines (2004-09)</w:t>
            </w:r>
          </w:p>
        </w:tc>
        <w:tc>
          <w:tcPr>
            <w:tcW w:w="1985"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c>
          <w:tcPr>
            <w:tcW w:w="2688" w:type="dxa"/>
          </w:tcPr>
          <w:p w:rsidR="00653784" w:rsidRPr="00634485" w:rsidRDefault="0070076A" w:rsidP="00634485">
            <w:pPr>
              <w:cnfStyle w:val="000000000000" w:firstRow="0" w:lastRow="0" w:firstColumn="0" w:lastColumn="0" w:oddVBand="0" w:evenVBand="0" w:oddHBand="0" w:evenHBand="0" w:firstRowFirstColumn="0" w:firstRowLastColumn="0" w:lastRowFirstColumn="0" w:lastRowLastColumn="0"/>
            </w:pPr>
            <w:r>
              <w:t>44.1</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Underground cables (2004-09)</w:t>
            </w:r>
          </w:p>
        </w:tc>
        <w:tc>
          <w:tcPr>
            <w:tcW w:w="1985"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c>
          <w:tcPr>
            <w:tcW w:w="2688" w:type="dxa"/>
          </w:tcPr>
          <w:p w:rsidR="00653784" w:rsidRPr="00634485" w:rsidRDefault="0070076A" w:rsidP="00634485">
            <w:pPr>
              <w:cnfStyle w:val="000000010000" w:firstRow="0" w:lastRow="0" w:firstColumn="0" w:lastColumn="0" w:oddVBand="0" w:evenVBand="0" w:oddHBand="0" w:evenHBand="1" w:firstRowFirstColumn="0" w:firstRowLastColumn="0" w:lastRowFirstColumn="0" w:lastRowLastColumn="0"/>
            </w:pPr>
            <w:r>
              <w:t>36.4</w:t>
            </w:r>
          </w:p>
        </w:tc>
      </w:tr>
      <w:tr w:rsidR="00653784" w:rsidRPr="00634485" w:rsidTr="0070076A">
        <w:trPr>
          <w:trHeight w:hRule="exact" w:val="42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Substations including buildings (2004-09)</w:t>
            </w:r>
          </w:p>
        </w:tc>
        <w:tc>
          <w:tcPr>
            <w:tcW w:w="1985"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c>
          <w:tcPr>
            <w:tcW w:w="2688" w:type="dxa"/>
          </w:tcPr>
          <w:p w:rsidR="00653784" w:rsidRPr="00634485" w:rsidRDefault="0070076A" w:rsidP="00634485">
            <w:pPr>
              <w:cnfStyle w:val="000000000000" w:firstRow="0" w:lastRow="0" w:firstColumn="0" w:lastColumn="0" w:oddVBand="0" w:evenVBand="0" w:oddHBand="0" w:evenHBand="0" w:firstRowFirstColumn="0" w:firstRowLastColumn="0" w:lastRowFirstColumn="0" w:lastRowLastColumn="0"/>
            </w:pPr>
            <w:r>
              <w:t>33.8</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SCADA and communications (2004-09)</w:t>
            </w:r>
          </w:p>
        </w:tc>
        <w:tc>
          <w:tcPr>
            <w:tcW w:w="1985"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c>
          <w:tcPr>
            <w:tcW w:w="2688" w:type="dxa"/>
          </w:tcPr>
          <w:p w:rsidR="00653784" w:rsidRPr="00634485" w:rsidRDefault="0070076A" w:rsidP="00634485">
            <w:pPr>
              <w:cnfStyle w:val="000000010000" w:firstRow="0" w:lastRow="0" w:firstColumn="0" w:lastColumn="0" w:oddVBand="0" w:evenVBand="0" w:oddHBand="0" w:evenHBand="1" w:firstRowFirstColumn="0" w:firstRowLastColumn="0" w:lastRowFirstColumn="0" w:lastRowLastColumn="0"/>
            </w:pPr>
            <w:r>
              <w:t>8.8</w:t>
            </w:r>
          </w:p>
        </w:tc>
      </w:tr>
      <w:tr w:rsidR="00653784" w:rsidRPr="00634485" w:rsidTr="0070076A">
        <w:trPr>
          <w:trHeight w:hRule="exact" w:val="426"/>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Non-network assets (2004-09)</w:t>
            </w:r>
          </w:p>
        </w:tc>
        <w:tc>
          <w:tcPr>
            <w:tcW w:w="1985"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c>
          <w:tcPr>
            <w:tcW w:w="2688" w:type="dxa"/>
          </w:tcPr>
          <w:p w:rsidR="00653784" w:rsidRPr="00634485" w:rsidRDefault="0070076A" w:rsidP="00634485">
            <w:pPr>
              <w:cnfStyle w:val="000000000000" w:firstRow="0" w:lastRow="0" w:firstColumn="0" w:lastColumn="0" w:oddVBand="0" w:evenVBand="0" w:oddHBand="0" w:evenHBand="0" w:firstRowFirstColumn="0" w:firstRowLastColumn="0" w:lastRowFirstColumn="0" w:lastRowLastColumn="0"/>
            </w:pPr>
            <w:r>
              <w:t>3.5</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1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Transmission lines &amp; cables (2009-14)</w:t>
            </w:r>
          </w:p>
        </w:tc>
        <w:tc>
          <w:tcPr>
            <w:tcW w:w="1985"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c>
          <w:tcPr>
            <w:tcW w:w="2688" w:type="dxa"/>
          </w:tcPr>
          <w:p w:rsidR="00653784" w:rsidRPr="00634485" w:rsidRDefault="0070076A" w:rsidP="00634485">
            <w:pPr>
              <w:cnfStyle w:val="000000010000" w:firstRow="0" w:lastRow="0" w:firstColumn="0" w:lastColumn="0" w:oddVBand="0" w:evenVBand="0" w:oddHBand="0" w:evenHBand="1" w:firstRowFirstColumn="0" w:firstRowLastColumn="0" w:lastRowFirstColumn="0" w:lastRowLastColumn="0"/>
            </w:pPr>
            <w:r>
              <w:t>48.7</w:t>
            </w:r>
          </w:p>
        </w:tc>
      </w:tr>
      <w:tr w:rsidR="00653784" w:rsidRPr="00634485" w:rsidTr="0070076A">
        <w:trPr>
          <w:trHeight w:hRule="exact" w:val="425"/>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Substations (2009-14)</w:t>
            </w:r>
          </w:p>
        </w:tc>
        <w:tc>
          <w:tcPr>
            <w:tcW w:w="1985" w:type="dxa"/>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c>
          <w:tcPr>
            <w:tcW w:w="2688" w:type="dxa"/>
          </w:tcPr>
          <w:p w:rsidR="00653784" w:rsidRPr="00634485" w:rsidRDefault="0070076A" w:rsidP="00634485">
            <w:pPr>
              <w:cnfStyle w:val="000000000000" w:firstRow="0" w:lastRow="0" w:firstColumn="0" w:lastColumn="0" w:oddVBand="0" w:evenVBand="0" w:oddHBand="0" w:evenHBand="0" w:firstRowFirstColumn="0" w:firstRowLastColumn="0" w:lastRowFirstColumn="0" w:lastRowLastColumn="0"/>
            </w:pPr>
            <w:r>
              <w:t>38.2</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Secondary systems (2009-14)</w:t>
            </w:r>
          </w:p>
        </w:tc>
        <w:tc>
          <w:tcPr>
            <w:tcW w:w="1985"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c>
          <w:tcPr>
            <w:tcW w:w="2688" w:type="dxa"/>
          </w:tcPr>
          <w:p w:rsidR="00653784" w:rsidRPr="00634485" w:rsidRDefault="0070076A" w:rsidP="00634485">
            <w:pPr>
              <w:cnfStyle w:val="000000010000" w:firstRow="0" w:lastRow="0" w:firstColumn="0" w:lastColumn="0" w:oddVBand="0" w:evenVBand="0" w:oddHBand="0" w:evenHBand="1" w:firstRowFirstColumn="0" w:firstRowLastColumn="0" w:lastRowFirstColumn="0" w:lastRowLastColumn="0"/>
            </w:pPr>
            <w:r>
              <w:t>33.5</w:t>
            </w:r>
          </w:p>
        </w:tc>
      </w:tr>
      <w:tr w:rsidR="00653784" w:rsidRPr="00634485" w:rsidTr="0070076A">
        <w:trPr>
          <w:trHeight w:hRule="exact" w:val="507"/>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Communications (2009-14)</w:t>
            </w:r>
          </w:p>
        </w:tc>
        <w:tc>
          <w:tcPr>
            <w:tcW w:w="1985"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c>
          <w:tcPr>
            <w:tcW w:w="2688" w:type="dxa"/>
          </w:tcPr>
          <w:p w:rsidR="00653784" w:rsidRPr="00634485" w:rsidRDefault="0070076A" w:rsidP="00634485">
            <w:pPr>
              <w:cnfStyle w:val="000000000000" w:firstRow="0" w:lastRow="0" w:firstColumn="0" w:lastColumn="0" w:oddVBand="0" w:evenVBand="0" w:oddHBand="0" w:evenHBand="0" w:firstRowFirstColumn="0" w:firstRowLastColumn="0" w:lastRowFirstColumn="0" w:lastRowLastColumn="0"/>
            </w:pPr>
            <w:r>
              <w:t>33.4</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Business IT (2009-14)</w:t>
            </w:r>
          </w:p>
        </w:tc>
        <w:tc>
          <w:tcPr>
            <w:tcW w:w="1985"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c>
          <w:tcPr>
            <w:tcW w:w="2688" w:type="dxa"/>
          </w:tcPr>
          <w:p w:rsidR="00653784" w:rsidRPr="00634485" w:rsidRDefault="0070076A" w:rsidP="00634485">
            <w:pPr>
              <w:cnfStyle w:val="000000010000" w:firstRow="0" w:lastRow="0" w:firstColumn="0" w:lastColumn="0" w:oddVBand="0" w:evenVBand="0" w:oddHBand="0" w:evenHBand="1" w:firstRowFirstColumn="0" w:firstRowLastColumn="0" w:lastRowFirstColumn="0" w:lastRowLastColumn="0"/>
            </w:pPr>
            <w:r>
              <w:t>3.</w:t>
            </w:r>
            <w:r w:rsidR="002B1455">
              <w:t>0</w:t>
            </w:r>
          </w:p>
        </w:tc>
      </w:tr>
      <w:tr w:rsidR="00653784" w:rsidRPr="00634485" w:rsidTr="0070076A">
        <w:trPr>
          <w:trHeight w:hRule="exact" w:val="421"/>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Minor plant, motor vehicles &amp; mobile plant (2009-14)</w:t>
            </w:r>
          </w:p>
        </w:tc>
        <w:tc>
          <w:tcPr>
            <w:tcW w:w="1985"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c>
          <w:tcPr>
            <w:tcW w:w="2688" w:type="dxa"/>
          </w:tcPr>
          <w:p w:rsidR="00653784" w:rsidRPr="00634485" w:rsidRDefault="0070076A" w:rsidP="00634485">
            <w:pPr>
              <w:cnfStyle w:val="000000000000" w:firstRow="0" w:lastRow="0" w:firstColumn="0" w:lastColumn="0" w:oddVBand="0" w:evenVBand="0" w:oddHBand="0" w:evenHBand="0" w:firstRowFirstColumn="0" w:firstRowLastColumn="0" w:lastRowFirstColumn="0" w:lastRowLastColumn="0"/>
            </w:pPr>
            <w:r>
              <w:t>6.2</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Equity raising costs (2009-14)</w:t>
            </w:r>
          </w:p>
        </w:tc>
        <w:tc>
          <w:tcPr>
            <w:tcW w:w="1985"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c>
          <w:tcPr>
            <w:tcW w:w="2688" w:type="dxa"/>
          </w:tcPr>
          <w:p w:rsidR="00653784" w:rsidRPr="00634485" w:rsidRDefault="0070076A" w:rsidP="00634485">
            <w:pPr>
              <w:cnfStyle w:val="000000010000" w:firstRow="0" w:lastRow="0" w:firstColumn="0" w:lastColumn="0" w:oddVBand="0" w:evenVBand="0" w:oddHBand="0" w:evenHBand="1" w:firstRowFirstColumn="0" w:firstRowLastColumn="0" w:lastRowFirstColumn="0" w:lastRowLastColumn="0"/>
            </w:pPr>
            <w:r>
              <w:t>36.6</w:t>
            </w:r>
          </w:p>
        </w:tc>
      </w:tr>
      <w:tr w:rsidR="00653784" w:rsidRPr="00634485" w:rsidTr="0070076A">
        <w:trPr>
          <w:trHeight w:hRule="exact" w:val="43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Transmission lines (2014-18)</w:t>
            </w:r>
          </w:p>
        </w:tc>
        <w:tc>
          <w:tcPr>
            <w:tcW w:w="1985" w:type="dxa"/>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50.0</w:t>
            </w:r>
          </w:p>
        </w:tc>
        <w:tc>
          <w:tcPr>
            <w:tcW w:w="2688"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w:t>
            </w:r>
            <w:r w:rsidR="009700FD">
              <w:t>a</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Underground cables (2014-18)</w:t>
            </w:r>
          </w:p>
        </w:tc>
        <w:tc>
          <w:tcPr>
            <w:tcW w:w="1985" w:type="dxa"/>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45.0</w:t>
            </w:r>
          </w:p>
        </w:tc>
        <w:tc>
          <w:tcPr>
            <w:tcW w:w="2688"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r>
      <w:tr w:rsidR="00653784" w:rsidRPr="00634485" w:rsidTr="0070076A">
        <w:trPr>
          <w:trHeight w:hRule="exact" w:val="42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Substations (2014-18)</w:t>
            </w:r>
          </w:p>
        </w:tc>
        <w:tc>
          <w:tcPr>
            <w:tcW w:w="1985" w:type="dxa"/>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40.0</w:t>
            </w:r>
          </w:p>
        </w:tc>
        <w:tc>
          <w:tcPr>
            <w:tcW w:w="2688"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Secondary systems (2014-18)</w:t>
            </w:r>
          </w:p>
        </w:tc>
        <w:tc>
          <w:tcPr>
            <w:tcW w:w="1985" w:type="dxa"/>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15.0</w:t>
            </w:r>
          </w:p>
        </w:tc>
        <w:tc>
          <w:tcPr>
            <w:tcW w:w="2688"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r>
      <w:tr w:rsidR="00653784" w:rsidRPr="00634485" w:rsidTr="0070076A">
        <w:trPr>
          <w:trHeight w:hRule="exact" w:val="426"/>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Communications (short life) (2014-18)</w:t>
            </w:r>
            <w:r w:rsidRPr="004B7D5F">
              <w:rPr>
                <w:rStyle w:val="AERsuperscript"/>
              </w:rPr>
              <w:t>a</w:t>
            </w:r>
          </w:p>
        </w:tc>
        <w:tc>
          <w:tcPr>
            <w:tcW w:w="1985" w:type="dxa"/>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10.0</w:t>
            </w:r>
          </w:p>
        </w:tc>
        <w:tc>
          <w:tcPr>
            <w:tcW w:w="2688"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05"/>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Business IT (2014-18)</w:t>
            </w:r>
          </w:p>
        </w:tc>
        <w:tc>
          <w:tcPr>
            <w:tcW w:w="1985" w:type="dxa"/>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4.0</w:t>
            </w:r>
          </w:p>
        </w:tc>
        <w:tc>
          <w:tcPr>
            <w:tcW w:w="2688"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r>
      <w:tr w:rsidR="00653784" w:rsidRPr="00634485" w:rsidTr="0070076A">
        <w:trPr>
          <w:trHeight w:hRule="exact" w:val="425"/>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143146">
            <w:r w:rsidRPr="00634485">
              <w:t>Minor plant, motor vehicles &amp; mobile plant (2014-18)</w:t>
            </w:r>
          </w:p>
        </w:tc>
        <w:tc>
          <w:tcPr>
            <w:tcW w:w="1985" w:type="dxa"/>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8.0</w:t>
            </w:r>
          </w:p>
        </w:tc>
        <w:tc>
          <w:tcPr>
            <w:tcW w:w="2688"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16"/>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143146">
            <w:r w:rsidRPr="00634485">
              <w:t>Transmission line life extension (2014-18)</w:t>
            </w:r>
          </w:p>
        </w:tc>
        <w:tc>
          <w:tcPr>
            <w:tcW w:w="1985" w:type="dxa"/>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25.0</w:t>
            </w:r>
          </w:p>
        </w:tc>
        <w:tc>
          <w:tcPr>
            <w:tcW w:w="2688"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r>
      <w:tr w:rsidR="00653784" w:rsidRPr="00634485" w:rsidTr="0070076A">
        <w:trPr>
          <w:trHeight w:hRule="exact" w:val="423"/>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143146">
            <w:r w:rsidRPr="00634485">
              <w:t>Equity raising costs (2014-18)</w:t>
            </w:r>
            <w:r w:rsidRPr="004B7D5F">
              <w:rPr>
                <w:rStyle w:val="AERsuperscript"/>
              </w:rPr>
              <w:t>b</w:t>
            </w:r>
          </w:p>
        </w:tc>
        <w:tc>
          <w:tcPr>
            <w:tcW w:w="1985" w:type="dxa"/>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c>
          <w:tcPr>
            <w:tcW w:w="2688" w:type="dxa"/>
            <w:vAlign w:val="top"/>
          </w:tcPr>
          <w:p w:rsidR="00653784" w:rsidRPr="00634485" w:rsidRDefault="00653784" w:rsidP="00634485">
            <w:pPr>
              <w:cnfStyle w:val="000000000000" w:firstRow="0" w:lastRow="0" w:firstColumn="0" w:lastColumn="0" w:oddVBand="0" w:evenVBand="0" w:oddHBand="0" w:evenHBand="0" w:firstRowFirstColumn="0" w:firstRowLastColumn="0" w:lastRowFirstColumn="0" w:lastRowLastColumn="0"/>
            </w:pPr>
            <w:r w:rsidRPr="00634485">
              <w:t>n/a</w:t>
            </w:r>
          </w:p>
        </w:tc>
      </w:tr>
      <w:tr w:rsidR="00653784" w:rsidRPr="00634485" w:rsidTr="0070076A">
        <w:trPr>
          <w:cnfStyle w:val="000000010000" w:firstRow="0" w:lastRow="0" w:firstColumn="0" w:lastColumn="0" w:oddVBand="0" w:evenVBand="0" w:oddHBand="0" w:evenHBand="1"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4077" w:type="dxa"/>
            <w:vAlign w:val="bottom"/>
          </w:tcPr>
          <w:p w:rsidR="00653784" w:rsidRPr="00634485" w:rsidRDefault="00653784" w:rsidP="00634485">
            <w:r w:rsidRPr="00634485">
              <w:t xml:space="preserve">Land and easements </w:t>
            </w:r>
          </w:p>
          <w:p w:rsidR="00653784" w:rsidRPr="00634485" w:rsidRDefault="00653784" w:rsidP="00634485"/>
        </w:tc>
        <w:tc>
          <w:tcPr>
            <w:tcW w:w="1985" w:type="dxa"/>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c>
          <w:tcPr>
            <w:tcW w:w="2688" w:type="dxa"/>
            <w:vAlign w:val="top"/>
          </w:tcPr>
          <w:p w:rsidR="00653784" w:rsidRPr="00634485" w:rsidRDefault="00653784" w:rsidP="00634485">
            <w:pPr>
              <w:cnfStyle w:val="000000010000" w:firstRow="0" w:lastRow="0" w:firstColumn="0" w:lastColumn="0" w:oddVBand="0" w:evenVBand="0" w:oddHBand="0" w:evenHBand="1" w:firstRowFirstColumn="0" w:firstRowLastColumn="0" w:lastRowFirstColumn="0" w:lastRowLastColumn="0"/>
            </w:pPr>
            <w:r w:rsidRPr="00634485">
              <w:t>n/a</w:t>
            </w:r>
          </w:p>
        </w:tc>
      </w:tr>
    </w:tbl>
    <w:p w:rsidR="00653784" w:rsidRPr="00634485" w:rsidRDefault="00653784" w:rsidP="00634485">
      <w:pPr>
        <w:pStyle w:val="AERtablesource"/>
      </w:pPr>
      <w:r w:rsidRPr="00634485">
        <w:t>Source:</w:t>
      </w:r>
      <w:r w:rsidRPr="00634485">
        <w:tab/>
        <w:t xml:space="preserve">AER analysis. </w:t>
      </w:r>
    </w:p>
    <w:p w:rsidR="00653784" w:rsidRPr="00634485" w:rsidRDefault="00653784" w:rsidP="00634485">
      <w:pPr>
        <w:pStyle w:val="AERtablesource"/>
      </w:pPr>
      <w:r w:rsidRPr="00634485">
        <w:lastRenderedPageBreak/>
        <w:t xml:space="preserve">n/a: </w:t>
      </w:r>
      <w:r w:rsidRPr="00634485">
        <w:tab/>
      </w:r>
      <w:r w:rsidR="0070076A">
        <w:t>N</w:t>
      </w:r>
      <w:r w:rsidRPr="00634485">
        <w:t>ot applicable. The asset classes ending with '(pre 2004-05)'; '(2004-09)'; and '(2009-14)' do not have assigned standard tax asset lives because forecast capex is no longer allocated to them.</w:t>
      </w:r>
    </w:p>
    <w:p w:rsidR="00653784" w:rsidRPr="00634485" w:rsidRDefault="00143146" w:rsidP="00634485">
      <w:pPr>
        <w:pStyle w:val="AERtablesource"/>
      </w:pPr>
      <w:r w:rsidRPr="00634485" w:rsidDel="00143146">
        <w:t xml:space="preserve"> </w:t>
      </w:r>
      <w:r w:rsidR="00653784" w:rsidRPr="00634485">
        <w:t>(a)</w:t>
      </w:r>
      <w:r w:rsidR="00653784" w:rsidRPr="00634485">
        <w:tab/>
        <w:t xml:space="preserve">As discussed in </w:t>
      </w:r>
      <w:r w:rsidR="009700FD">
        <w:t xml:space="preserve">our draft decision </w:t>
      </w:r>
      <w:r w:rsidR="00653784" w:rsidRPr="00634485">
        <w:t>attachment 5, we have changed the name of this</w:t>
      </w:r>
      <w:r w:rsidR="009700FD">
        <w:t xml:space="preserve"> asset class to 'Communications (short life) </w:t>
      </w:r>
      <w:r w:rsidR="00653784" w:rsidRPr="00634485">
        <w:t>2014–18' to better reflect the nature of the assets allocated to this asset class.</w:t>
      </w:r>
    </w:p>
    <w:p w:rsidR="00CB0279" w:rsidRPr="00290C63" w:rsidRDefault="009700FD" w:rsidP="00C354E5">
      <w:pPr>
        <w:pStyle w:val="AERtablesource"/>
      </w:pPr>
      <w:r>
        <w:t>(b)</w:t>
      </w:r>
      <w:r>
        <w:tab/>
        <w:t>For this final</w:t>
      </w:r>
      <w:r w:rsidR="00653784" w:rsidRPr="00634485">
        <w:t xml:space="preserve"> decision, TransGrid does not satisfy the requirements to incur benchmark equity raising costs associated with its forecast capex for the 2014–18 period. Therefore, a standard tax asset life for equity raising costs (2014–18) is not required.</w:t>
      </w:r>
    </w:p>
    <w:sectPr w:rsidR="00CB0279" w:rsidRPr="00290C6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18" w:rsidRPr="00290C63" w:rsidRDefault="009D7618" w:rsidP="00290C63">
      <w:r>
        <w:separator/>
      </w:r>
    </w:p>
    <w:p w:rsidR="009D7618" w:rsidRDefault="009D7618"/>
  </w:endnote>
  <w:endnote w:type="continuationSeparator" w:id="0">
    <w:p w:rsidR="009D7618" w:rsidRPr="00290C63" w:rsidRDefault="009D7618" w:rsidP="00290C63">
      <w:r>
        <w:continuationSeparator/>
      </w:r>
    </w:p>
    <w:p w:rsidR="009D7618" w:rsidRDefault="009D7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18" w:rsidRPr="00290C63" w:rsidRDefault="009D761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D7618" w:rsidRDefault="009D7618"/>
  <w:p w:rsidR="009D7618" w:rsidRDefault="009D7618"/>
  <w:p w:rsidR="009D7618" w:rsidRDefault="009D7618"/>
  <w:p w:rsidR="009D7618" w:rsidRDefault="009D7618"/>
  <w:p w:rsidR="009D7618" w:rsidRDefault="009D7618"/>
  <w:p w:rsidR="009D7618" w:rsidRDefault="009D7618"/>
  <w:p w:rsidR="009D7618" w:rsidRDefault="009D76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9D7618" w:rsidRDefault="009D7618">
        <w:pPr>
          <w:pStyle w:val="Footer"/>
        </w:pPr>
        <w:r>
          <w:fldChar w:fldCharType="begin"/>
        </w:r>
        <w:r>
          <w:instrText xml:space="preserve"> PAGE   \* MERGEFORMAT </w:instrText>
        </w:r>
        <w:r>
          <w:fldChar w:fldCharType="separate"/>
        </w:r>
        <w:r w:rsidR="000E7BE0">
          <w:rPr>
            <w:noProof/>
          </w:rPr>
          <w:t>8-9</w:t>
        </w:r>
        <w:r>
          <w:rPr>
            <w:noProof/>
          </w:rPr>
          <w:fldChar w:fldCharType="end"/>
        </w:r>
        <w:r>
          <w:rPr>
            <w:noProof/>
          </w:rPr>
          <w:t xml:space="preserve">          </w:t>
        </w:r>
        <w:r>
          <w:t xml:space="preserve">         </w:t>
        </w:r>
        <w:r w:rsidRPr="00FD5E78">
          <w:rPr>
            <w:noProof/>
            <w:sz w:val="16"/>
            <w:szCs w:val="16"/>
          </w:rPr>
          <w:t xml:space="preserve">Attachment </w:t>
        </w:r>
        <w:r>
          <w:rPr>
            <w:noProof/>
            <w:sz w:val="16"/>
            <w:szCs w:val="16"/>
          </w:rPr>
          <w:t>8</w:t>
        </w:r>
        <w:r w:rsidRPr="00FD5E78">
          <w:rPr>
            <w:noProof/>
            <w:sz w:val="16"/>
            <w:szCs w:val="16"/>
          </w:rPr>
          <w:t xml:space="preserve"> </w:t>
        </w:r>
        <w:r w:rsidRPr="00FD5E78">
          <w:rPr>
            <w:rFonts w:cs="Gautami"/>
            <w:noProof/>
            <w:sz w:val="16"/>
            <w:szCs w:val="16"/>
          </w:rPr>
          <w:t xml:space="preserve">– </w:t>
        </w:r>
        <w:r>
          <w:rPr>
            <w:sz w:val="16"/>
            <w:szCs w:val="16"/>
          </w:rPr>
          <w:t>Corporate income tax</w:t>
        </w:r>
        <w:r w:rsidRPr="00FD5E78">
          <w:rPr>
            <w:rFonts w:cs="Gautami"/>
            <w:noProof/>
            <w:sz w:val="16"/>
            <w:szCs w:val="16"/>
          </w:rPr>
          <w:t xml:space="preserve"> | Final decision </w:t>
        </w:r>
        <w:r w:rsidRPr="00FD5E78">
          <w:rPr>
            <w:sz w:val="16"/>
            <w:szCs w:val="16"/>
          </w:rPr>
          <w:t>TransGrid transmission</w:t>
        </w:r>
        <w:r w:rsidRPr="00FD5E78">
          <w:rPr>
            <w:rFonts w:cs="Gautami"/>
            <w:noProof/>
            <w:sz w:val="16"/>
            <w:szCs w:val="16"/>
          </w:rPr>
          <w:t xml:space="preserve"> determination 2015–18</w:t>
        </w:r>
      </w:p>
    </w:sdtContent>
  </w:sdt>
  <w:p w:rsidR="009D7618" w:rsidRDefault="009D76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18" w:rsidRPr="00290C63" w:rsidRDefault="009D761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D7618" w:rsidRDefault="009D7618">
    <w:pPr>
      <w:pStyle w:val="Footer"/>
    </w:pPr>
  </w:p>
  <w:p w:rsidR="009D7618" w:rsidRDefault="009D7618"/>
  <w:p w:rsidR="009D7618" w:rsidRDefault="009D7618"/>
  <w:p w:rsidR="009D7618" w:rsidRDefault="009D7618"/>
  <w:p w:rsidR="009D7618" w:rsidRDefault="009D7618"/>
  <w:p w:rsidR="009D7618" w:rsidRDefault="009D7618"/>
  <w:p w:rsidR="009D7618" w:rsidRDefault="009D7618"/>
  <w:p w:rsidR="009D7618" w:rsidRDefault="009D76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18" w:rsidRPr="00290C63" w:rsidRDefault="009D7618" w:rsidP="00290C63">
      <w:r>
        <w:separator/>
      </w:r>
    </w:p>
    <w:p w:rsidR="009D7618" w:rsidRDefault="009D7618"/>
  </w:footnote>
  <w:footnote w:type="continuationSeparator" w:id="0">
    <w:p w:rsidR="009D7618" w:rsidRPr="00290C63" w:rsidRDefault="009D7618" w:rsidP="00290C63">
      <w:r>
        <w:continuationSeparator/>
      </w:r>
    </w:p>
    <w:p w:rsidR="009D7618" w:rsidRDefault="009D7618"/>
  </w:footnote>
  <w:footnote w:id="1">
    <w:p w:rsidR="009D7618" w:rsidRDefault="009D7618" w:rsidP="00D21A2E">
      <w:pPr>
        <w:pStyle w:val="FootnoteText"/>
      </w:pPr>
      <w:r>
        <w:rPr>
          <w:rStyle w:val="FootnoteReference"/>
        </w:rPr>
        <w:footnoteRef/>
      </w:r>
      <w:r>
        <w:t xml:space="preserve"> </w:t>
      </w:r>
      <w:r>
        <w:tab/>
        <w:t>NER, cl. 6A.5.4(a)(4).</w:t>
      </w:r>
    </w:p>
  </w:footnote>
  <w:footnote w:id="2">
    <w:p w:rsidR="009D7618" w:rsidRDefault="009D7618" w:rsidP="00D21A2E">
      <w:pPr>
        <w:pStyle w:val="FootnoteText"/>
      </w:pPr>
      <w:r>
        <w:rPr>
          <w:rStyle w:val="FootnoteReference"/>
        </w:rPr>
        <w:footnoteRef/>
      </w:r>
      <w:r>
        <w:t xml:space="preserve"> </w:t>
      </w:r>
      <w:r>
        <w:tab/>
      </w:r>
      <w:r w:rsidRPr="000F18FA">
        <w:t xml:space="preserve">TransGrid, </w:t>
      </w:r>
      <w:r w:rsidRPr="00E3412E">
        <w:rPr>
          <w:rStyle w:val="AERtextitalic"/>
        </w:rPr>
        <w:t>Revised r</w:t>
      </w:r>
      <w:r w:rsidRPr="000F18FA">
        <w:rPr>
          <w:rStyle w:val="AERtextitalic"/>
        </w:rPr>
        <w:t>evenue proposal</w:t>
      </w:r>
      <w:r w:rsidRPr="000F18FA">
        <w:t xml:space="preserve">, </w:t>
      </w:r>
      <w:r>
        <w:t xml:space="preserve">p.130; TransGrid, </w:t>
      </w:r>
      <w:r>
        <w:rPr>
          <w:rStyle w:val="AERtextitalic"/>
        </w:rPr>
        <w:t>Revised p</w:t>
      </w:r>
      <w:r w:rsidRPr="00F94479">
        <w:rPr>
          <w:rStyle w:val="AERtextitalic"/>
        </w:rPr>
        <w:t>roposed PTRM</w:t>
      </w:r>
      <w:r>
        <w:t>, January 2015</w:t>
      </w:r>
      <w:r w:rsidR="001921A1">
        <w:t>.</w:t>
      </w:r>
    </w:p>
  </w:footnote>
  <w:footnote w:id="3">
    <w:p w:rsidR="009D7618" w:rsidRDefault="009D7618" w:rsidP="00A25287">
      <w:pPr>
        <w:pStyle w:val="FootnoteText"/>
      </w:pPr>
      <w:r>
        <w:rPr>
          <w:rStyle w:val="FootnoteReference"/>
        </w:rPr>
        <w:footnoteRef/>
      </w:r>
      <w:r>
        <w:t xml:space="preserve"> </w:t>
      </w:r>
      <w:r>
        <w:tab/>
        <w:t>NER, cl. 6A.6.4.</w:t>
      </w:r>
    </w:p>
  </w:footnote>
  <w:footnote w:id="4">
    <w:p w:rsidR="009D7618" w:rsidRDefault="009D7618" w:rsidP="009E770D">
      <w:pPr>
        <w:pStyle w:val="FootnoteText"/>
      </w:pPr>
      <w:r>
        <w:rPr>
          <w:rStyle w:val="FootnoteReference"/>
        </w:rPr>
        <w:footnoteRef/>
      </w:r>
      <w:r>
        <w:t xml:space="preserve"> </w:t>
      </w:r>
      <w:r>
        <w:tab/>
        <w:t xml:space="preserve">AER, </w:t>
      </w:r>
      <w:r w:rsidRPr="00E3412E">
        <w:rPr>
          <w:rStyle w:val="AERtextitalic"/>
        </w:rPr>
        <w:t xml:space="preserve">TransGrid 2015-18 draft </w:t>
      </w:r>
      <w:r>
        <w:rPr>
          <w:rStyle w:val="AERtextitalic"/>
        </w:rPr>
        <w:t>transmission</w:t>
      </w:r>
      <w:r w:rsidRPr="00E3412E">
        <w:rPr>
          <w:rStyle w:val="AERtextitalic"/>
        </w:rPr>
        <w:t xml:space="preserve"> determination</w:t>
      </w:r>
      <w:r>
        <w:t>, November 2014, Attachment 8.</w:t>
      </w:r>
    </w:p>
  </w:footnote>
  <w:footnote w:id="5">
    <w:p w:rsidR="009D7618" w:rsidRDefault="009D7618" w:rsidP="00A1121A">
      <w:pPr>
        <w:pStyle w:val="FootnoteText"/>
      </w:pPr>
      <w:r>
        <w:rPr>
          <w:rStyle w:val="FootnoteReference"/>
        </w:rPr>
        <w:footnoteRef/>
      </w:r>
      <w:r>
        <w:t xml:space="preserve"> </w:t>
      </w:r>
      <w:r>
        <w:tab/>
        <w:t xml:space="preserve">TransGrid, </w:t>
      </w:r>
      <w:r w:rsidRPr="00954948">
        <w:rPr>
          <w:rStyle w:val="AERtextitalic"/>
        </w:rPr>
        <w:t xml:space="preserve">Email response to information request </w:t>
      </w:r>
      <w:r>
        <w:rPr>
          <w:rStyle w:val="AERtextitalic"/>
        </w:rPr>
        <w:t xml:space="preserve">by </w:t>
      </w:r>
      <w:r w:rsidRPr="00954948">
        <w:rPr>
          <w:rStyle w:val="AERtextitalic"/>
        </w:rPr>
        <w:t>AER</w:t>
      </w:r>
      <w:r>
        <w:t>, 27 January 2015.</w:t>
      </w:r>
      <w:r w:rsidRPr="00954948">
        <w:rPr>
          <w:rStyle w:val="AERtextitalic"/>
        </w:rPr>
        <w:t xml:space="preserve"> </w:t>
      </w:r>
      <w:r>
        <w:t xml:space="preserve"> </w:t>
      </w:r>
    </w:p>
  </w:footnote>
  <w:footnote w:id="6">
    <w:p w:rsidR="009D7618" w:rsidRDefault="009D7618" w:rsidP="00F27631">
      <w:pPr>
        <w:pStyle w:val="FootnoteText"/>
      </w:pPr>
      <w:r>
        <w:rPr>
          <w:rStyle w:val="FootnoteReference"/>
        </w:rPr>
        <w:footnoteRef/>
      </w:r>
      <w:r>
        <w:t xml:space="preserve"> </w:t>
      </w:r>
      <w:r>
        <w:tab/>
        <w:t>NER, cl. 6A.6.4.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5F4FFC"/>
    <w:multiLevelType w:val="multilevel"/>
    <w:tmpl w:val="950A1C52"/>
    <w:numStyleLink w:val="AERHeadings"/>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1A80E45"/>
    <w:multiLevelType w:val="multilevel"/>
    <w:tmpl w:val="950A1C52"/>
    <w:numStyleLink w:val="AERHeadings"/>
  </w:abstractNum>
  <w:abstractNum w:abstractNumId="27">
    <w:nsid w:val="487C7731"/>
    <w:multiLevelType w:val="multilevel"/>
    <w:tmpl w:val="950A1C52"/>
    <w:numStyleLink w:val="AERHeadings"/>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E6805A20"/>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2"/>
  </w:num>
  <w:num w:numId="14">
    <w:abstractNumId w:val="10"/>
  </w:num>
  <w:num w:numId="15">
    <w:abstractNumId w:val="13"/>
  </w:num>
  <w:num w:numId="16">
    <w:abstractNumId w:val="28"/>
  </w:num>
  <w:num w:numId="17">
    <w:abstractNumId w:val="9"/>
  </w:num>
  <w:num w:numId="18">
    <w:abstractNumId w:val="18"/>
  </w:num>
  <w:num w:numId="19">
    <w:abstractNumId w:val="29"/>
  </w:num>
  <w:num w:numId="20">
    <w:abstractNumId w:val="36"/>
  </w:num>
  <w:num w:numId="21">
    <w:abstractNumId w:val="14"/>
  </w:num>
  <w:num w:numId="22">
    <w:abstractNumId w:val="32"/>
  </w:num>
  <w:num w:numId="23">
    <w:abstractNumId w:val="30"/>
  </w:num>
  <w:num w:numId="24">
    <w:abstractNumId w:val="20"/>
  </w:num>
  <w:num w:numId="25">
    <w:abstractNumId w:val="31"/>
  </w:num>
  <w:num w:numId="26">
    <w:abstractNumId w:val="33"/>
  </w:num>
  <w:num w:numId="27">
    <w:abstractNumId w:val="21"/>
  </w:num>
  <w:num w:numId="28">
    <w:abstractNumId w:val="19"/>
  </w:num>
  <w:num w:numId="29">
    <w:abstractNumId w:val="17"/>
  </w:num>
  <w:num w:numId="30">
    <w:abstractNumId w:val="37"/>
  </w:num>
  <w:num w:numId="31">
    <w:abstractNumId w:val="15"/>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27"/>
  </w:num>
  <w:num w:numId="38">
    <w:abstractNumId w:val="24"/>
  </w:num>
  <w:num w:numId="39">
    <w:abstractNumId w:val="12"/>
  </w:num>
  <w:num w:numId="40">
    <w:abstractNumId w:val="33"/>
  </w:num>
  <w:num w:numId="41">
    <w:abstractNumId w:val="33"/>
  </w:num>
  <w:num w:numId="42">
    <w:abstractNumId w:val="26"/>
  </w:num>
  <w:num w:numId="43">
    <w:abstractNumId w:val="16"/>
  </w:num>
  <w:num w:numId="4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w0394W8aYmC+Ysozm3XhdLeX5Jz4PatgLG3wJDS7/w=" w:saltValue="c66QczcxqotxDp2E/sFj5g==" w:algorithmName="SHA-256"/>
  <w:defaultTabStop w:val="34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8 - corporate income tax - April 2015 fixed.docx"/>
  </w:docVars>
  <w:rsids>
    <w:rsidRoot w:val="00961A4A"/>
    <w:rsid w:val="000001DA"/>
    <w:rsid w:val="00005A76"/>
    <w:rsid w:val="00021202"/>
    <w:rsid w:val="00021C2B"/>
    <w:rsid w:val="0002517F"/>
    <w:rsid w:val="0003578C"/>
    <w:rsid w:val="000457BC"/>
    <w:rsid w:val="000503A0"/>
    <w:rsid w:val="00063247"/>
    <w:rsid w:val="00070F9F"/>
    <w:rsid w:val="0007137B"/>
    <w:rsid w:val="00085663"/>
    <w:rsid w:val="00085EBF"/>
    <w:rsid w:val="000A0C12"/>
    <w:rsid w:val="000A3020"/>
    <w:rsid w:val="000A6C7B"/>
    <w:rsid w:val="000B0450"/>
    <w:rsid w:val="000B1E31"/>
    <w:rsid w:val="000C120A"/>
    <w:rsid w:val="000C2B40"/>
    <w:rsid w:val="000D122C"/>
    <w:rsid w:val="000E05B6"/>
    <w:rsid w:val="000E1819"/>
    <w:rsid w:val="000E4821"/>
    <w:rsid w:val="000E6C72"/>
    <w:rsid w:val="000E7BE0"/>
    <w:rsid w:val="001056D6"/>
    <w:rsid w:val="00116EB2"/>
    <w:rsid w:val="00124609"/>
    <w:rsid w:val="00126A4C"/>
    <w:rsid w:val="0013613C"/>
    <w:rsid w:val="00143146"/>
    <w:rsid w:val="0014573B"/>
    <w:rsid w:val="001573E4"/>
    <w:rsid w:val="00160756"/>
    <w:rsid w:val="001677B4"/>
    <w:rsid w:val="0017232E"/>
    <w:rsid w:val="00174102"/>
    <w:rsid w:val="001754EE"/>
    <w:rsid w:val="00180157"/>
    <w:rsid w:val="00185CB9"/>
    <w:rsid w:val="00186F77"/>
    <w:rsid w:val="001921A1"/>
    <w:rsid w:val="001926A4"/>
    <w:rsid w:val="00192AD5"/>
    <w:rsid w:val="001A48B2"/>
    <w:rsid w:val="001A627A"/>
    <w:rsid w:val="001A7AC7"/>
    <w:rsid w:val="001B45A0"/>
    <w:rsid w:val="001D055E"/>
    <w:rsid w:val="001F492E"/>
    <w:rsid w:val="001F6DA3"/>
    <w:rsid w:val="002010BC"/>
    <w:rsid w:val="002016E7"/>
    <w:rsid w:val="00202E03"/>
    <w:rsid w:val="0020492C"/>
    <w:rsid w:val="002170FE"/>
    <w:rsid w:val="00224DB9"/>
    <w:rsid w:val="00233775"/>
    <w:rsid w:val="00251745"/>
    <w:rsid w:val="00263AC0"/>
    <w:rsid w:val="00264264"/>
    <w:rsid w:val="0026772D"/>
    <w:rsid w:val="00273EF0"/>
    <w:rsid w:val="00286874"/>
    <w:rsid w:val="00290C63"/>
    <w:rsid w:val="00296B65"/>
    <w:rsid w:val="002A036A"/>
    <w:rsid w:val="002A7DEF"/>
    <w:rsid w:val="002B1455"/>
    <w:rsid w:val="002D72E8"/>
    <w:rsid w:val="002E7B22"/>
    <w:rsid w:val="002F7986"/>
    <w:rsid w:val="00301B40"/>
    <w:rsid w:val="00302264"/>
    <w:rsid w:val="003029EE"/>
    <w:rsid w:val="00305CC8"/>
    <w:rsid w:val="00307F6D"/>
    <w:rsid w:val="003177A2"/>
    <w:rsid w:val="00321BF0"/>
    <w:rsid w:val="003271B5"/>
    <w:rsid w:val="00327A1E"/>
    <w:rsid w:val="00331264"/>
    <w:rsid w:val="00333EE1"/>
    <w:rsid w:val="00334C8D"/>
    <w:rsid w:val="00343A18"/>
    <w:rsid w:val="003518B3"/>
    <w:rsid w:val="003846F1"/>
    <w:rsid w:val="003B484F"/>
    <w:rsid w:val="003B7FBA"/>
    <w:rsid w:val="003F174D"/>
    <w:rsid w:val="003F7C45"/>
    <w:rsid w:val="00415F31"/>
    <w:rsid w:val="00423A77"/>
    <w:rsid w:val="0045777E"/>
    <w:rsid w:val="00480B4B"/>
    <w:rsid w:val="00485DC4"/>
    <w:rsid w:val="004A43D1"/>
    <w:rsid w:val="004B4412"/>
    <w:rsid w:val="004B7D5F"/>
    <w:rsid w:val="004C348C"/>
    <w:rsid w:val="004D55BA"/>
    <w:rsid w:val="004E22EC"/>
    <w:rsid w:val="0052131A"/>
    <w:rsid w:val="00530128"/>
    <w:rsid w:val="005309BB"/>
    <w:rsid w:val="00532467"/>
    <w:rsid w:val="00564A4D"/>
    <w:rsid w:val="00567BA5"/>
    <w:rsid w:val="00571B35"/>
    <w:rsid w:val="00571D57"/>
    <w:rsid w:val="00577A09"/>
    <w:rsid w:val="00580D24"/>
    <w:rsid w:val="005829C2"/>
    <w:rsid w:val="00584D8F"/>
    <w:rsid w:val="00593570"/>
    <w:rsid w:val="00594336"/>
    <w:rsid w:val="00595869"/>
    <w:rsid w:val="005A10F2"/>
    <w:rsid w:val="005A404D"/>
    <w:rsid w:val="005B1E3C"/>
    <w:rsid w:val="005B704A"/>
    <w:rsid w:val="005C26CC"/>
    <w:rsid w:val="005D7BA2"/>
    <w:rsid w:val="005E36C2"/>
    <w:rsid w:val="0060433D"/>
    <w:rsid w:val="00612F4F"/>
    <w:rsid w:val="00615C6B"/>
    <w:rsid w:val="00621DCE"/>
    <w:rsid w:val="00632D6D"/>
    <w:rsid w:val="00634485"/>
    <w:rsid w:val="00642C3E"/>
    <w:rsid w:val="00653784"/>
    <w:rsid w:val="0066104A"/>
    <w:rsid w:val="00663DAD"/>
    <w:rsid w:val="00675E20"/>
    <w:rsid w:val="00676679"/>
    <w:rsid w:val="00683C89"/>
    <w:rsid w:val="00693198"/>
    <w:rsid w:val="006B2395"/>
    <w:rsid w:val="006B4CF9"/>
    <w:rsid w:val="006B7AC8"/>
    <w:rsid w:val="006D550F"/>
    <w:rsid w:val="0070076A"/>
    <w:rsid w:val="00701CAB"/>
    <w:rsid w:val="00707563"/>
    <w:rsid w:val="0072348C"/>
    <w:rsid w:val="00724A37"/>
    <w:rsid w:val="007303C3"/>
    <w:rsid w:val="0073620F"/>
    <w:rsid w:val="007429BE"/>
    <w:rsid w:val="00743223"/>
    <w:rsid w:val="00746E01"/>
    <w:rsid w:val="00757BDF"/>
    <w:rsid w:val="00763E5D"/>
    <w:rsid w:val="00767740"/>
    <w:rsid w:val="00777EE6"/>
    <w:rsid w:val="00782EEA"/>
    <w:rsid w:val="00794FC4"/>
    <w:rsid w:val="007A236B"/>
    <w:rsid w:val="007B186E"/>
    <w:rsid w:val="007B2C72"/>
    <w:rsid w:val="007B5DF7"/>
    <w:rsid w:val="007C1C53"/>
    <w:rsid w:val="007C74BB"/>
    <w:rsid w:val="007D456E"/>
    <w:rsid w:val="007E4904"/>
    <w:rsid w:val="007E4CB5"/>
    <w:rsid w:val="007F066B"/>
    <w:rsid w:val="007F53A5"/>
    <w:rsid w:val="008033C4"/>
    <w:rsid w:val="00806C88"/>
    <w:rsid w:val="0081034E"/>
    <w:rsid w:val="008344F6"/>
    <w:rsid w:val="0083510F"/>
    <w:rsid w:val="00851209"/>
    <w:rsid w:val="008522E8"/>
    <w:rsid w:val="00862C85"/>
    <w:rsid w:val="008837AC"/>
    <w:rsid w:val="008A587D"/>
    <w:rsid w:val="008B35CD"/>
    <w:rsid w:val="008B5FCC"/>
    <w:rsid w:val="008C5486"/>
    <w:rsid w:val="008D1661"/>
    <w:rsid w:val="008D57DF"/>
    <w:rsid w:val="008E7031"/>
    <w:rsid w:val="008E77DE"/>
    <w:rsid w:val="008F07A3"/>
    <w:rsid w:val="009001B6"/>
    <w:rsid w:val="00900E1B"/>
    <w:rsid w:val="00900F8E"/>
    <w:rsid w:val="009233EE"/>
    <w:rsid w:val="00943D90"/>
    <w:rsid w:val="009460AA"/>
    <w:rsid w:val="00951978"/>
    <w:rsid w:val="00961A4A"/>
    <w:rsid w:val="009654C3"/>
    <w:rsid w:val="009661DE"/>
    <w:rsid w:val="009700FD"/>
    <w:rsid w:val="00983C25"/>
    <w:rsid w:val="009856B7"/>
    <w:rsid w:val="00985C86"/>
    <w:rsid w:val="009A138A"/>
    <w:rsid w:val="009A5FC3"/>
    <w:rsid w:val="009B0D4F"/>
    <w:rsid w:val="009B2245"/>
    <w:rsid w:val="009B74B0"/>
    <w:rsid w:val="009C6FB2"/>
    <w:rsid w:val="009D3906"/>
    <w:rsid w:val="009D6B46"/>
    <w:rsid w:val="009D7618"/>
    <w:rsid w:val="009E770D"/>
    <w:rsid w:val="009F4940"/>
    <w:rsid w:val="009F5BA1"/>
    <w:rsid w:val="00A02A88"/>
    <w:rsid w:val="00A0562E"/>
    <w:rsid w:val="00A0726D"/>
    <w:rsid w:val="00A1121A"/>
    <w:rsid w:val="00A25287"/>
    <w:rsid w:val="00A32FBB"/>
    <w:rsid w:val="00A428EE"/>
    <w:rsid w:val="00A4478A"/>
    <w:rsid w:val="00A44852"/>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514DD"/>
    <w:rsid w:val="00B52AF0"/>
    <w:rsid w:val="00B561BD"/>
    <w:rsid w:val="00B56E03"/>
    <w:rsid w:val="00B67EF6"/>
    <w:rsid w:val="00B8080B"/>
    <w:rsid w:val="00B82223"/>
    <w:rsid w:val="00B87BA5"/>
    <w:rsid w:val="00B87C39"/>
    <w:rsid w:val="00B9562D"/>
    <w:rsid w:val="00BA4665"/>
    <w:rsid w:val="00BB28F2"/>
    <w:rsid w:val="00BB2FB2"/>
    <w:rsid w:val="00BB3304"/>
    <w:rsid w:val="00BD3446"/>
    <w:rsid w:val="00BE048D"/>
    <w:rsid w:val="00BE1F1B"/>
    <w:rsid w:val="00BE47B5"/>
    <w:rsid w:val="00BE56EC"/>
    <w:rsid w:val="00C16628"/>
    <w:rsid w:val="00C2069F"/>
    <w:rsid w:val="00C25FA6"/>
    <w:rsid w:val="00C354E5"/>
    <w:rsid w:val="00C51149"/>
    <w:rsid w:val="00C52F9A"/>
    <w:rsid w:val="00C538A9"/>
    <w:rsid w:val="00C53B5A"/>
    <w:rsid w:val="00C54F5A"/>
    <w:rsid w:val="00C569B4"/>
    <w:rsid w:val="00C67A92"/>
    <w:rsid w:val="00C84560"/>
    <w:rsid w:val="00C86679"/>
    <w:rsid w:val="00CA489E"/>
    <w:rsid w:val="00CB0279"/>
    <w:rsid w:val="00CB666B"/>
    <w:rsid w:val="00CC7F1D"/>
    <w:rsid w:val="00CE1BDD"/>
    <w:rsid w:val="00D006AE"/>
    <w:rsid w:val="00D01CF0"/>
    <w:rsid w:val="00D0442A"/>
    <w:rsid w:val="00D21A2E"/>
    <w:rsid w:val="00D61388"/>
    <w:rsid w:val="00D61A54"/>
    <w:rsid w:val="00D64DEA"/>
    <w:rsid w:val="00D7168E"/>
    <w:rsid w:val="00D71E57"/>
    <w:rsid w:val="00D76276"/>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3412E"/>
    <w:rsid w:val="00E65C85"/>
    <w:rsid w:val="00E66199"/>
    <w:rsid w:val="00E755EC"/>
    <w:rsid w:val="00E7624D"/>
    <w:rsid w:val="00E93801"/>
    <w:rsid w:val="00EA215A"/>
    <w:rsid w:val="00EA3D42"/>
    <w:rsid w:val="00EA561E"/>
    <w:rsid w:val="00EA6B1B"/>
    <w:rsid w:val="00EC04F1"/>
    <w:rsid w:val="00ED7323"/>
    <w:rsid w:val="00EE28F3"/>
    <w:rsid w:val="00EE50D1"/>
    <w:rsid w:val="00EF1F85"/>
    <w:rsid w:val="00EF5110"/>
    <w:rsid w:val="00F10411"/>
    <w:rsid w:val="00F15882"/>
    <w:rsid w:val="00F171E0"/>
    <w:rsid w:val="00F20BD3"/>
    <w:rsid w:val="00F27631"/>
    <w:rsid w:val="00F373A5"/>
    <w:rsid w:val="00F4486E"/>
    <w:rsid w:val="00F47559"/>
    <w:rsid w:val="00F508B1"/>
    <w:rsid w:val="00F64C7B"/>
    <w:rsid w:val="00F676DD"/>
    <w:rsid w:val="00F67EF6"/>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16D4B9E1</Template>
  <TotalTime>0</TotalTime>
  <Pages>12</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2015-04-29T04:24:00Z</dcterms:created>
  <dcterms:modified xsi:type="dcterms:W3CDTF">2015-04-29T04:24:00Z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