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EC" w:rsidRDefault="008B5C34" w:rsidP="00145BE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9.85pt;margin-top:-72.5pt;width:618pt;height:861.95pt;z-index:-251658752">
            <v:imagedata r:id="rId8" o:title="AER-final-orange"/>
          </v:shape>
        </w:pict>
      </w:r>
    </w:p>
    <w:p w:rsidR="00145BEC" w:rsidRDefault="00145BEC" w:rsidP="00145BEC"/>
    <w:p w:rsidR="000B172C" w:rsidRDefault="000B172C" w:rsidP="000B172C"/>
    <w:p w:rsidR="000B172C" w:rsidRDefault="000B172C" w:rsidP="000B172C"/>
    <w:p w:rsidR="000B172C" w:rsidRDefault="000B172C" w:rsidP="000B172C"/>
    <w:p w:rsidR="000B172C" w:rsidRDefault="00C6224A" w:rsidP="00C6224A">
      <w:pPr>
        <w:tabs>
          <w:tab w:val="left" w:pos="2635"/>
        </w:tabs>
      </w:pPr>
      <w:r>
        <w:tab/>
      </w:r>
    </w:p>
    <w:p w:rsidR="000B172C" w:rsidRDefault="000B172C" w:rsidP="000B172C">
      <w:pPr>
        <w:pStyle w:val="AERTitle1"/>
      </w:pPr>
    </w:p>
    <w:p w:rsidR="000B172C" w:rsidRDefault="000B172C" w:rsidP="000B172C">
      <w:pPr>
        <w:pStyle w:val="AERTitle1"/>
      </w:pPr>
    </w:p>
    <w:p w:rsidR="000B172C" w:rsidRDefault="000B172C" w:rsidP="000B172C">
      <w:pPr>
        <w:pStyle w:val="AERTitle1"/>
      </w:pPr>
    </w:p>
    <w:p w:rsidR="000B172C" w:rsidRDefault="000B172C" w:rsidP="000B172C">
      <w:pPr>
        <w:pStyle w:val="AERTitle1"/>
      </w:pPr>
    </w:p>
    <w:p w:rsidR="000B172C" w:rsidRDefault="000B172C" w:rsidP="000B172C">
      <w:pPr>
        <w:pStyle w:val="AERTitle1"/>
      </w:pPr>
    </w:p>
    <w:p w:rsidR="000B172C" w:rsidRDefault="000B172C" w:rsidP="000B172C">
      <w:pPr>
        <w:pStyle w:val="AERTitle1"/>
      </w:pPr>
      <w:r>
        <w:t>Final decision</w:t>
      </w:r>
    </w:p>
    <w:p w:rsidR="000B172C" w:rsidRDefault="000B172C" w:rsidP="000B172C">
      <w:pPr>
        <w:pStyle w:val="AERTitle1"/>
      </w:pPr>
    </w:p>
    <w:p w:rsidR="000B172C" w:rsidRDefault="000B172C" w:rsidP="000B172C">
      <w:pPr>
        <w:pStyle w:val="AERTitle1"/>
      </w:pPr>
      <w:r>
        <w:t>Demand Management and Embedded Generation Connection Incentive Scheme</w:t>
      </w:r>
      <w:r w:rsidDel="0039742D">
        <w:t xml:space="preserve"> </w:t>
      </w:r>
    </w:p>
    <w:p w:rsidR="000B172C" w:rsidRDefault="000B172C" w:rsidP="000B172C">
      <w:pPr>
        <w:pStyle w:val="AERTitle1"/>
      </w:pPr>
    </w:p>
    <w:p w:rsidR="00F01F54" w:rsidRDefault="00F01F54" w:rsidP="00F01F54">
      <w:pPr>
        <w:pStyle w:val="AERTitle1"/>
      </w:pPr>
      <w:r>
        <w:t>ActewAGL Distribution</w:t>
      </w:r>
    </w:p>
    <w:p w:rsidR="000B172C" w:rsidRDefault="000B172C" w:rsidP="000B172C"/>
    <w:p w:rsidR="000B172C" w:rsidRDefault="000B172C" w:rsidP="000B172C"/>
    <w:p w:rsidR="000B172C" w:rsidRPr="00F6235D" w:rsidRDefault="000B172C" w:rsidP="000B172C"/>
    <w:p w:rsidR="000B172C" w:rsidRPr="00F6235D" w:rsidRDefault="000B172C" w:rsidP="000B172C">
      <w:pPr>
        <w:pStyle w:val="AERTitle2"/>
      </w:pPr>
      <w:r>
        <w:t>May 2013</w:t>
      </w:r>
    </w:p>
    <w:p w:rsidR="000B172C" w:rsidRPr="00F6235D" w:rsidRDefault="000B172C" w:rsidP="000B172C">
      <w:pPr>
        <w:pStyle w:val="AERbodytext"/>
      </w:pPr>
      <w:r w:rsidRPr="00F6235D">
        <w:t xml:space="preserve"> </w:t>
      </w:r>
    </w:p>
    <w:p w:rsidR="000B172C" w:rsidRDefault="000B172C" w:rsidP="000B172C">
      <w:pPr>
        <w:pStyle w:val="TOC1"/>
        <w:sectPr w:rsidR="000B172C" w:rsidSect="000B172C">
          <w:headerReference w:type="even" r:id="rId9"/>
          <w:headerReference w:type="default" r:id="rId10"/>
          <w:footerReference w:type="even" r:id="rId11"/>
          <w:footerReference w:type="default" r:id="rId12"/>
          <w:pgSz w:w="11906" w:h="16838" w:code="9"/>
          <w:pgMar w:top="1440" w:right="1797" w:bottom="1440" w:left="1797" w:header="709" w:footer="709" w:gutter="0"/>
          <w:cols w:space="708"/>
          <w:docGrid w:linePitch="360"/>
        </w:sectPr>
      </w:pPr>
    </w:p>
    <w:p w:rsidR="000B172C" w:rsidRPr="00F6235D" w:rsidRDefault="000B172C" w:rsidP="000B172C">
      <w:pPr>
        <w:pStyle w:val="TOC1"/>
      </w:pPr>
      <w:r w:rsidRPr="00F6235D">
        <w:lastRenderedPageBreak/>
        <w:t xml:space="preserve">© Commonwealth of Australia </w:t>
      </w:r>
      <w:r>
        <w:t>2013</w:t>
      </w:r>
    </w:p>
    <w:p w:rsidR="000B172C" w:rsidRPr="00F6235D" w:rsidRDefault="000B172C" w:rsidP="000B172C">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0B172C" w:rsidRDefault="000B172C" w:rsidP="000B172C">
      <w:pPr>
        <w:pStyle w:val="AERbodytext"/>
      </w:pPr>
      <w:r>
        <w:t xml:space="preserve">Inquiries about the </w:t>
      </w:r>
      <w:r w:rsidR="002F74A7">
        <w:t>Final decision</w:t>
      </w:r>
      <w:r>
        <w:t xml:space="preserve"> should be addressed to:</w:t>
      </w:r>
    </w:p>
    <w:p w:rsidR="000B172C" w:rsidRDefault="000B172C" w:rsidP="000B172C">
      <w:pPr>
        <w:pStyle w:val="AERbodytext"/>
        <w:spacing w:after="0"/>
      </w:pPr>
      <w:r>
        <w:t>Australian Energy Regulator</w:t>
      </w:r>
    </w:p>
    <w:p w:rsidR="000B172C" w:rsidRDefault="000B172C" w:rsidP="000B172C">
      <w:pPr>
        <w:pStyle w:val="AERbodytext"/>
        <w:spacing w:after="0"/>
      </w:pPr>
      <w:r>
        <w:t xml:space="preserve">GPO </w:t>
      </w:r>
      <w:smartTag w:uri="urn:schemas-microsoft-com:office:smarttags" w:element="address">
        <w:smartTag w:uri="urn:schemas-microsoft-com:office:smarttags" w:element="Street">
          <w:r>
            <w:t>Box</w:t>
          </w:r>
        </w:smartTag>
        <w:r>
          <w:t xml:space="preserve"> 520</w:t>
        </w:r>
      </w:smartTag>
    </w:p>
    <w:p w:rsidR="000B172C" w:rsidRDefault="000B172C" w:rsidP="000B172C">
      <w:pPr>
        <w:pStyle w:val="AERbodytext"/>
        <w:spacing w:after="0"/>
      </w:pPr>
      <w:r>
        <w:t>Melbourne  Vic  3001</w:t>
      </w:r>
    </w:p>
    <w:p w:rsidR="000B172C" w:rsidRDefault="000B172C" w:rsidP="000B172C">
      <w:pPr>
        <w:pStyle w:val="AERbodytext"/>
        <w:spacing w:after="0"/>
      </w:pPr>
      <w:r>
        <w:t>Tel: (03) 9290 1444</w:t>
      </w:r>
    </w:p>
    <w:p w:rsidR="000B172C" w:rsidRDefault="000B172C" w:rsidP="000B172C">
      <w:pPr>
        <w:pStyle w:val="AERbodytext"/>
        <w:spacing w:after="0"/>
      </w:pPr>
      <w:r>
        <w:t>Fax: (03) 9290 1457</w:t>
      </w:r>
    </w:p>
    <w:p w:rsidR="000B172C" w:rsidRDefault="000B172C" w:rsidP="000B172C">
      <w:pPr>
        <w:pStyle w:val="AERbodytext"/>
      </w:pPr>
      <w:r>
        <w:t xml:space="preserve">Email: </w:t>
      </w:r>
      <w:hyperlink r:id="rId13" w:history="1">
        <w:r w:rsidRPr="003E184A">
          <w:rPr>
            <w:rStyle w:val="Hyperlink"/>
          </w:rPr>
          <w:t>AERInquiry@aer.gov.au</w:t>
        </w:r>
      </w:hyperlink>
    </w:p>
    <w:p w:rsidR="000B172C" w:rsidRPr="00A03505" w:rsidRDefault="000B172C" w:rsidP="000B172C">
      <w:pPr>
        <w:pStyle w:val="AERbodytext"/>
        <w:rPr>
          <w:lang w:eastAsia="en-AU"/>
        </w:rPr>
      </w:pPr>
    </w:p>
    <w:p w:rsidR="00304F31" w:rsidRDefault="002F74A7" w:rsidP="00304F31">
      <w:pPr>
        <w:pStyle w:val="AERbodytext"/>
        <w:tabs>
          <w:tab w:val="center" w:pos="4156"/>
        </w:tabs>
      </w:pPr>
      <w:r>
        <w:tab/>
      </w:r>
    </w:p>
    <w:p w:rsidR="00EA62A7" w:rsidRDefault="00EA62A7" w:rsidP="00EA62A7">
      <w:pPr>
        <w:pStyle w:val="AERunnumberedheading"/>
      </w:pPr>
      <w:bookmarkStart w:id="0" w:name="_Toc356469566"/>
      <w:bookmarkStart w:id="1" w:name="_Toc325104263"/>
      <w:bookmarkStart w:id="2" w:name="_Toc326049221"/>
      <w:r>
        <w:lastRenderedPageBreak/>
        <w:t>Executive summary</w:t>
      </w:r>
      <w:bookmarkEnd w:id="0"/>
    </w:p>
    <w:p w:rsidR="00EA62A7" w:rsidRDefault="00EA62A7" w:rsidP="00EA62A7">
      <w:pPr>
        <w:pStyle w:val="AERbodytext"/>
        <w:rPr>
          <w:lang w:eastAsia="en-AU"/>
        </w:rPr>
      </w:pPr>
      <w:r>
        <w:t xml:space="preserve">The National </w:t>
      </w:r>
      <w:r w:rsidR="00F01F54">
        <w:t>Electricity</w:t>
      </w:r>
      <w:r>
        <w:t xml:space="preserve"> Rules (NER) allow</w:t>
      </w:r>
      <w:r w:rsidR="00C97AE4">
        <w:t>s</w:t>
      </w:r>
      <w:r>
        <w:t xml:space="preserve"> the Australian Energy Regulator (AER) to develop and publish a </w:t>
      </w:r>
      <w:r w:rsidRPr="001738E1">
        <w:rPr>
          <w:lang w:eastAsia="en-AU"/>
        </w:rPr>
        <w:t>demand management and embedded generation connec</w:t>
      </w:r>
      <w:r>
        <w:rPr>
          <w:lang w:eastAsia="en-AU"/>
        </w:rPr>
        <w:t xml:space="preserve">tion incentive scheme (DMEGCIS). The </w:t>
      </w:r>
      <w:r w:rsidR="003E397F">
        <w:rPr>
          <w:lang w:eastAsia="en-AU"/>
        </w:rPr>
        <w:t xml:space="preserve">purpose of the </w:t>
      </w:r>
      <w:r>
        <w:rPr>
          <w:lang w:eastAsia="en-AU"/>
        </w:rPr>
        <w:t>DMEGCIS is to:</w:t>
      </w:r>
      <w:r>
        <w:rPr>
          <w:rStyle w:val="FootnoteReference"/>
          <w:lang w:eastAsia="en-AU"/>
        </w:rPr>
        <w:footnoteReference w:id="1"/>
      </w:r>
    </w:p>
    <w:p w:rsidR="00EA62A7" w:rsidRDefault="00EA62A7" w:rsidP="00EA62A7">
      <w:pPr>
        <w:pStyle w:val="AERquote"/>
        <w:ind w:left="720"/>
      </w:pPr>
      <w:r>
        <w:t>provide incentives for Distribution Network Service Providers to implement efficient non-network alternatives, or to manage the expected demand for standard control services in some other way, or to efficiently connect Embedded Generators.</w:t>
      </w:r>
    </w:p>
    <w:p w:rsidR="00EA62A7" w:rsidRDefault="00EA62A7" w:rsidP="00EA62A7">
      <w:pPr>
        <w:pStyle w:val="AERbodytext"/>
      </w:pPr>
      <w:r>
        <w:t xml:space="preserve">On 29 May 2012, the AER published a proposed </w:t>
      </w:r>
      <w:r>
        <w:rPr>
          <w:lang w:eastAsia="en-AU"/>
        </w:rPr>
        <w:t>DMEGCIS</w:t>
      </w:r>
      <w:r>
        <w:t xml:space="preserve"> and accompanying explanatory statement (proposed 2012 DMEGCIS). The proposed 2012 DMEGCIS was to be applied to A</w:t>
      </w:r>
      <w:r w:rsidR="00967066">
        <w:t>c</w:t>
      </w:r>
      <w:r>
        <w:t>tewAGL Distribution (ActewAGL) for the 2014–19 regulatory control period.</w:t>
      </w:r>
      <w:r>
        <w:rPr>
          <w:rStyle w:val="FootnoteReference"/>
        </w:rPr>
        <w:footnoteReference w:id="2"/>
      </w:r>
      <w:r>
        <w:t xml:space="preserve"> The explanatory statement accompanying the proposed 2012 DMEGCIS recognised the importance of the Power of Choice review</w:t>
      </w:r>
      <w:r w:rsidR="009C64AA">
        <w:t xml:space="preserve"> undertaken by the Australian Energy Market Commission (AEMC)</w:t>
      </w:r>
      <w:r>
        <w:t xml:space="preserve">. </w:t>
      </w:r>
    </w:p>
    <w:p w:rsidR="00EA62A7" w:rsidRDefault="00EA62A7" w:rsidP="00EA62A7">
      <w:pPr>
        <w:pStyle w:val="AERbodytext"/>
      </w:pPr>
      <w:r>
        <w:t>On 17 September 2012, the AER extended the time within which it is required to publish its final decision on the proposed 2012 DMEGCIS, pending completion of the</w:t>
      </w:r>
      <w:r w:rsidR="001D3FAD">
        <w:t xml:space="preserve"> </w:t>
      </w:r>
      <w:r>
        <w:t>Power of Choice review</w:t>
      </w:r>
      <w:r>
        <w:rPr>
          <w:lang w:eastAsia="en-AU"/>
        </w:rPr>
        <w:t>.</w:t>
      </w:r>
      <w:r>
        <w:t xml:space="preserve"> With the publication of the </w:t>
      </w:r>
      <w:r w:rsidR="00F01F54">
        <w:t xml:space="preserve">AEMC’s </w:t>
      </w:r>
      <w:r>
        <w:t xml:space="preserve">Power of Choice Final Report </w:t>
      </w:r>
      <w:r w:rsidR="00F01F54">
        <w:t xml:space="preserve">(Final Report) </w:t>
      </w:r>
      <w:r>
        <w:t xml:space="preserve">in November 2012, the </w:t>
      </w:r>
      <w:r>
        <w:rPr>
          <w:lang w:eastAsia="en-AU"/>
        </w:rPr>
        <w:t xml:space="preserve">AER </w:t>
      </w:r>
      <w:r>
        <w:t xml:space="preserve">is </w:t>
      </w:r>
      <w:r w:rsidR="00BC2BC1">
        <w:rPr>
          <w:lang w:eastAsia="en-AU"/>
        </w:rPr>
        <w:t xml:space="preserve">now </w:t>
      </w:r>
      <w:r>
        <w:rPr>
          <w:lang w:eastAsia="en-AU"/>
        </w:rPr>
        <w:t>concluding</w:t>
      </w:r>
      <w:r w:rsidRPr="001738E1">
        <w:rPr>
          <w:lang w:eastAsia="en-AU"/>
        </w:rPr>
        <w:t xml:space="preserve"> the proposed 2012 DMEGCIS process</w:t>
      </w:r>
      <w:r>
        <w:t xml:space="preserve">. </w:t>
      </w:r>
    </w:p>
    <w:p w:rsidR="00EA62A7" w:rsidRDefault="00EA62A7" w:rsidP="00EA62A7">
      <w:pPr>
        <w:pStyle w:val="AERbodytext"/>
        <w:rPr>
          <w:lang w:eastAsia="en-AU"/>
        </w:rPr>
      </w:pPr>
      <w:r w:rsidRPr="001738E1">
        <w:rPr>
          <w:lang w:eastAsia="en-AU"/>
        </w:rPr>
        <w:t xml:space="preserve">The AER has </w:t>
      </w:r>
      <w:r>
        <w:rPr>
          <w:lang w:eastAsia="en-AU"/>
        </w:rPr>
        <w:t>decided to conclud</w:t>
      </w:r>
      <w:r w:rsidRPr="001738E1">
        <w:rPr>
          <w:lang w:eastAsia="en-AU"/>
        </w:rPr>
        <w:t xml:space="preserve">e the </w:t>
      </w:r>
      <w:r w:rsidR="00F01F54">
        <w:rPr>
          <w:lang w:eastAsia="en-AU"/>
        </w:rPr>
        <w:t xml:space="preserve">proposed </w:t>
      </w:r>
      <w:r w:rsidRPr="001738E1">
        <w:rPr>
          <w:lang w:eastAsia="en-AU"/>
        </w:rPr>
        <w:t xml:space="preserve">2012 DMEGCIS process by not amending the current 2008 </w:t>
      </w:r>
      <w:r w:rsidR="009C64AA">
        <w:rPr>
          <w:lang w:eastAsia="en-AU"/>
        </w:rPr>
        <w:t>demand management incentive scheme (current 2008 DMIS)</w:t>
      </w:r>
      <w:r w:rsidR="007615B7">
        <w:rPr>
          <w:lang w:eastAsia="en-AU"/>
        </w:rPr>
        <w:t xml:space="preserve"> that is to be applied to ActewAGL</w:t>
      </w:r>
      <w:r w:rsidRPr="001738E1">
        <w:rPr>
          <w:lang w:eastAsia="en-AU"/>
        </w:rPr>
        <w:t>.</w:t>
      </w:r>
      <w:r w:rsidR="00FC6D90">
        <w:rPr>
          <w:rStyle w:val="FootnoteReference"/>
          <w:lang w:eastAsia="en-AU"/>
        </w:rPr>
        <w:footnoteReference w:id="3"/>
      </w:r>
      <w:r>
        <w:rPr>
          <w:lang w:eastAsia="en-AU"/>
        </w:rPr>
        <w:t xml:space="preserve"> We have made this decision having regard to cl. 6.6.3(b) of the NER and taking into account submissions made on the proposed 2012 DMEGCIS. </w:t>
      </w:r>
    </w:p>
    <w:p w:rsidR="00EA62A7" w:rsidRDefault="00EA62A7" w:rsidP="00EA62A7">
      <w:pPr>
        <w:pStyle w:val="AERbodytext"/>
        <w:rPr>
          <w:lang w:eastAsia="en-AU"/>
        </w:rPr>
      </w:pPr>
      <w:r>
        <w:rPr>
          <w:lang w:eastAsia="en-AU"/>
        </w:rPr>
        <w:t>As outlined in our March 2013 Information Paper,</w:t>
      </w:r>
      <w:r>
        <w:rPr>
          <w:rStyle w:val="FootnoteReference"/>
          <w:lang w:eastAsia="en-AU"/>
        </w:rPr>
        <w:footnoteReference w:id="4"/>
      </w:r>
      <w:r>
        <w:rPr>
          <w:lang w:eastAsia="en-AU"/>
        </w:rPr>
        <w:t xml:space="preserve"> w</w:t>
      </w:r>
      <w:r w:rsidRPr="008C6A1D">
        <w:rPr>
          <w:lang w:eastAsia="en-AU"/>
        </w:rPr>
        <w:t>e intend to</w:t>
      </w:r>
      <w:r>
        <w:rPr>
          <w:lang w:eastAsia="en-AU"/>
        </w:rPr>
        <w:t xml:space="preserve"> apply the </w:t>
      </w:r>
      <w:r w:rsidR="00F01F54">
        <w:rPr>
          <w:lang w:eastAsia="en-AU"/>
        </w:rPr>
        <w:t xml:space="preserve">current </w:t>
      </w:r>
      <w:r>
        <w:rPr>
          <w:lang w:eastAsia="en-AU"/>
        </w:rPr>
        <w:t xml:space="preserve">2008 </w:t>
      </w:r>
      <w:r w:rsidR="00F01F54">
        <w:rPr>
          <w:lang w:eastAsia="en-AU"/>
        </w:rPr>
        <w:t xml:space="preserve">current 2008 DMIS </w:t>
      </w:r>
      <w:r>
        <w:rPr>
          <w:lang w:eastAsia="en-AU"/>
        </w:rPr>
        <w:t>to ActewAGL for the 2014–15 transitional regulatory control period.</w:t>
      </w:r>
      <w:r w:rsidR="00F01F54">
        <w:rPr>
          <w:rStyle w:val="FootnoteReference"/>
          <w:lang w:eastAsia="en-AU"/>
        </w:rPr>
        <w:footnoteReference w:id="5"/>
      </w:r>
      <w:r>
        <w:rPr>
          <w:lang w:eastAsia="en-AU"/>
        </w:rPr>
        <w:t xml:space="preserve"> We also intend to</w:t>
      </w:r>
      <w:r w:rsidRPr="008C6A1D">
        <w:rPr>
          <w:lang w:eastAsia="en-AU"/>
        </w:rPr>
        <w:t xml:space="preserve"> commence informal engagement on matters relevant to the form of a new demand management incentive scheme based on the </w:t>
      </w:r>
      <w:r w:rsidR="00713322">
        <w:rPr>
          <w:lang w:eastAsia="en-AU"/>
        </w:rPr>
        <w:t>recommendations</w:t>
      </w:r>
      <w:r w:rsidRPr="008C6A1D">
        <w:rPr>
          <w:lang w:eastAsia="en-AU"/>
        </w:rPr>
        <w:t xml:space="preserve"> set out in the Final Report. This informal engagement is likely to take place in parallel with the AEMC</w:t>
      </w:r>
      <w:r w:rsidRPr="008C6A1D">
        <w:rPr>
          <w:rFonts w:hint="eastAsia"/>
          <w:lang w:eastAsia="en-AU"/>
        </w:rPr>
        <w:t>’</w:t>
      </w:r>
      <w:r w:rsidRPr="008C6A1D">
        <w:rPr>
          <w:lang w:eastAsia="en-AU"/>
        </w:rPr>
        <w:t>s rule change process.</w:t>
      </w:r>
      <w:r w:rsidRPr="008C6A1D">
        <w:t xml:space="preserve"> </w:t>
      </w:r>
      <w:r>
        <w:rPr>
          <w:lang w:eastAsia="en-AU"/>
        </w:rPr>
        <w:t xml:space="preserve"> </w:t>
      </w:r>
    </w:p>
    <w:p w:rsidR="00145BEC" w:rsidRDefault="00145BEC" w:rsidP="00145BEC">
      <w:pPr>
        <w:pStyle w:val="AERunnumberedheading"/>
      </w:pPr>
      <w:bookmarkStart w:id="3" w:name="_Toc356469567"/>
      <w:r>
        <w:lastRenderedPageBreak/>
        <w:t>Contents</w:t>
      </w:r>
      <w:bookmarkEnd w:id="1"/>
      <w:bookmarkEnd w:id="2"/>
      <w:bookmarkEnd w:id="3"/>
    </w:p>
    <w:p w:rsidR="009B1D86" w:rsidRDefault="008B5C34">
      <w:pPr>
        <w:pStyle w:val="TOC1"/>
        <w:rPr>
          <w:rFonts w:asciiTheme="minorHAnsi" w:eastAsiaTheme="minorEastAsia" w:hAnsiTheme="minorHAnsi" w:cstheme="minorBidi"/>
          <w:b w:val="0"/>
          <w:noProof/>
          <w:sz w:val="22"/>
          <w:szCs w:val="22"/>
          <w:lang w:eastAsia="en-AU"/>
        </w:rPr>
      </w:pPr>
      <w:r w:rsidRPr="008B5C34">
        <w:fldChar w:fldCharType="begin"/>
      </w:r>
      <w:r w:rsidR="00145BEC">
        <w:instrText xml:space="preserve"> TOC \h \z \t "AER heading 1,1,AER unnumbered heading,1" </w:instrText>
      </w:r>
      <w:r w:rsidRPr="008B5C34">
        <w:fldChar w:fldCharType="separate"/>
      </w:r>
      <w:hyperlink w:anchor="_Toc356469566" w:history="1">
        <w:r w:rsidR="009B1D86" w:rsidRPr="003C5F5B">
          <w:rPr>
            <w:rStyle w:val="Hyperlink"/>
            <w:noProof/>
          </w:rPr>
          <w:t>Executive summary</w:t>
        </w:r>
        <w:r w:rsidR="009B1D86">
          <w:rPr>
            <w:noProof/>
            <w:webHidden/>
          </w:rPr>
          <w:tab/>
        </w:r>
        <w:r>
          <w:rPr>
            <w:noProof/>
            <w:webHidden/>
          </w:rPr>
          <w:fldChar w:fldCharType="begin"/>
        </w:r>
        <w:r w:rsidR="009B1D86">
          <w:rPr>
            <w:noProof/>
            <w:webHidden/>
          </w:rPr>
          <w:instrText xml:space="preserve"> PAGEREF _Toc356469566 \h </w:instrText>
        </w:r>
        <w:r>
          <w:rPr>
            <w:noProof/>
            <w:webHidden/>
          </w:rPr>
        </w:r>
        <w:r>
          <w:rPr>
            <w:noProof/>
            <w:webHidden/>
          </w:rPr>
          <w:fldChar w:fldCharType="separate"/>
        </w:r>
        <w:r w:rsidR="00FB78E6">
          <w:rPr>
            <w:noProof/>
            <w:webHidden/>
          </w:rPr>
          <w:t>3</w:t>
        </w:r>
        <w:r>
          <w:rPr>
            <w:noProof/>
            <w:webHidden/>
          </w:rPr>
          <w:fldChar w:fldCharType="end"/>
        </w:r>
      </w:hyperlink>
    </w:p>
    <w:p w:rsidR="009B1D86" w:rsidRDefault="008B5C34">
      <w:pPr>
        <w:pStyle w:val="TOC1"/>
        <w:rPr>
          <w:rFonts w:asciiTheme="minorHAnsi" w:eastAsiaTheme="minorEastAsia" w:hAnsiTheme="minorHAnsi" w:cstheme="minorBidi"/>
          <w:b w:val="0"/>
          <w:noProof/>
          <w:sz w:val="22"/>
          <w:szCs w:val="22"/>
          <w:lang w:eastAsia="en-AU"/>
        </w:rPr>
      </w:pPr>
      <w:hyperlink w:anchor="_Toc356469567" w:history="1">
        <w:r w:rsidR="009B1D86" w:rsidRPr="003C5F5B">
          <w:rPr>
            <w:rStyle w:val="Hyperlink"/>
            <w:noProof/>
          </w:rPr>
          <w:t>Contents</w:t>
        </w:r>
        <w:r w:rsidR="009B1D86">
          <w:rPr>
            <w:noProof/>
            <w:webHidden/>
          </w:rPr>
          <w:tab/>
        </w:r>
        <w:r>
          <w:rPr>
            <w:noProof/>
            <w:webHidden/>
          </w:rPr>
          <w:fldChar w:fldCharType="begin"/>
        </w:r>
        <w:r w:rsidR="009B1D86">
          <w:rPr>
            <w:noProof/>
            <w:webHidden/>
          </w:rPr>
          <w:instrText xml:space="preserve"> PAGEREF _Toc356469567 \h </w:instrText>
        </w:r>
        <w:r>
          <w:rPr>
            <w:noProof/>
            <w:webHidden/>
          </w:rPr>
        </w:r>
        <w:r>
          <w:rPr>
            <w:noProof/>
            <w:webHidden/>
          </w:rPr>
          <w:fldChar w:fldCharType="separate"/>
        </w:r>
        <w:r w:rsidR="00FB78E6">
          <w:rPr>
            <w:noProof/>
            <w:webHidden/>
          </w:rPr>
          <w:t>4</w:t>
        </w:r>
        <w:r>
          <w:rPr>
            <w:noProof/>
            <w:webHidden/>
          </w:rPr>
          <w:fldChar w:fldCharType="end"/>
        </w:r>
      </w:hyperlink>
    </w:p>
    <w:p w:rsidR="009B1D86" w:rsidRDefault="008B5C34">
      <w:pPr>
        <w:pStyle w:val="TOC1"/>
        <w:rPr>
          <w:rFonts w:asciiTheme="minorHAnsi" w:eastAsiaTheme="minorEastAsia" w:hAnsiTheme="minorHAnsi" w:cstheme="minorBidi"/>
          <w:b w:val="0"/>
          <w:noProof/>
          <w:sz w:val="22"/>
          <w:szCs w:val="22"/>
          <w:lang w:eastAsia="en-AU"/>
        </w:rPr>
      </w:pPr>
      <w:hyperlink w:anchor="_Toc356469568" w:history="1">
        <w:r w:rsidR="009B1D86" w:rsidRPr="003C5F5B">
          <w:rPr>
            <w:rStyle w:val="Hyperlink"/>
            <w:noProof/>
          </w:rPr>
          <w:t>Shortened forms</w:t>
        </w:r>
        <w:r w:rsidR="009B1D86">
          <w:rPr>
            <w:noProof/>
            <w:webHidden/>
          </w:rPr>
          <w:tab/>
        </w:r>
        <w:r>
          <w:rPr>
            <w:noProof/>
            <w:webHidden/>
          </w:rPr>
          <w:fldChar w:fldCharType="begin"/>
        </w:r>
        <w:r w:rsidR="009B1D86">
          <w:rPr>
            <w:noProof/>
            <w:webHidden/>
          </w:rPr>
          <w:instrText xml:space="preserve"> PAGEREF _Toc356469568 \h </w:instrText>
        </w:r>
        <w:r>
          <w:rPr>
            <w:noProof/>
            <w:webHidden/>
          </w:rPr>
        </w:r>
        <w:r>
          <w:rPr>
            <w:noProof/>
            <w:webHidden/>
          </w:rPr>
          <w:fldChar w:fldCharType="separate"/>
        </w:r>
        <w:r w:rsidR="00FB78E6">
          <w:rPr>
            <w:noProof/>
            <w:webHidden/>
          </w:rPr>
          <w:t>5</w:t>
        </w:r>
        <w:r>
          <w:rPr>
            <w:noProof/>
            <w:webHidden/>
          </w:rPr>
          <w:fldChar w:fldCharType="end"/>
        </w:r>
      </w:hyperlink>
    </w:p>
    <w:p w:rsidR="009B1D86" w:rsidRDefault="008B5C34">
      <w:pPr>
        <w:pStyle w:val="TOC1"/>
        <w:rPr>
          <w:rFonts w:asciiTheme="minorHAnsi" w:eastAsiaTheme="minorEastAsia" w:hAnsiTheme="minorHAnsi" w:cstheme="minorBidi"/>
          <w:b w:val="0"/>
          <w:noProof/>
          <w:sz w:val="22"/>
          <w:szCs w:val="22"/>
          <w:lang w:eastAsia="en-AU"/>
        </w:rPr>
      </w:pPr>
      <w:hyperlink w:anchor="_Toc356469569" w:history="1">
        <w:r w:rsidR="009B1D86" w:rsidRPr="003C5F5B">
          <w:rPr>
            <w:rStyle w:val="Hyperlink"/>
            <w:noProof/>
          </w:rPr>
          <w:t>1</w:t>
        </w:r>
        <w:r w:rsidR="009B1D86">
          <w:rPr>
            <w:rFonts w:asciiTheme="minorHAnsi" w:eastAsiaTheme="minorEastAsia" w:hAnsiTheme="minorHAnsi" w:cstheme="minorBidi"/>
            <w:b w:val="0"/>
            <w:noProof/>
            <w:sz w:val="22"/>
            <w:szCs w:val="22"/>
            <w:lang w:eastAsia="en-AU"/>
          </w:rPr>
          <w:tab/>
        </w:r>
        <w:r w:rsidR="009B1D86" w:rsidRPr="003C5F5B">
          <w:rPr>
            <w:rStyle w:val="Hyperlink"/>
            <w:noProof/>
          </w:rPr>
          <w:t>Introduction</w:t>
        </w:r>
        <w:r w:rsidR="009B1D86">
          <w:rPr>
            <w:noProof/>
            <w:webHidden/>
          </w:rPr>
          <w:tab/>
        </w:r>
        <w:r>
          <w:rPr>
            <w:noProof/>
            <w:webHidden/>
          </w:rPr>
          <w:fldChar w:fldCharType="begin"/>
        </w:r>
        <w:r w:rsidR="009B1D86">
          <w:rPr>
            <w:noProof/>
            <w:webHidden/>
          </w:rPr>
          <w:instrText xml:space="preserve"> PAGEREF _Toc356469569 \h </w:instrText>
        </w:r>
        <w:r>
          <w:rPr>
            <w:noProof/>
            <w:webHidden/>
          </w:rPr>
        </w:r>
        <w:r>
          <w:rPr>
            <w:noProof/>
            <w:webHidden/>
          </w:rPr>
          <w:fldChar w:fldCharType="separate"/>
        </w:r>
        <w:r w:rsidR="00FB78E6">
          <w:rPr>
            <w:noProof/>
            <w:webHidden/>
          </w:rPr>
          <w:t>6</w:t>
        </w:r>
        <w:r>
          <w:rPr>
            <w:noProof/>
            <w:webHidden/>
          </w:rPr>
          <w:fldChar w:fldCharType="end"/>
        </w:r>
      </w:hyperlink>
    </w:p>
    <w:p w:rsidR="009B1D86" w:rsidRDefault="008B5C34">
      <w:pPr>
        <w:pStyle w:val="TOC1"/>
        <w:rPr>
          <w:rFonts w:asciiTheme="minorHAnsi" w:eastAsiaTheme="minorEastAsia" w:hAnsiTheme="minorHAnsi" w:cstheme="minorBidi"/>
          <w:b w:val="0"/>
          <w:noProof/>
          <w:sz w:val="22"/>
          <w:szCs w:val="22"/>
          <w:lang w:eastAsia="en-AU"/>
        </w:rPr>
      </w:pPr>
      <w:hyperlink w:anchor="_Toc356469570" w:history="1">
        <w:r w:rsidR="009B1D86" w:rsidRPr="003C5F5B">
          <w:rPr>
            <w:rStyle w:val="Hyperlink"/>
            <w:noProof/>
          </w:rPr>
          <w:t>2</w:t>
        </w:r>
        <w:r w:rsidR="009B1D86">
          <w:rPr>
            <w:rFonts w:asciiTheme="minorHAnsi" w:eastAsiaTheme="minorEastAsia" w:hAnsiTheme="minorHAnsi" w:cstheme="minorBidi"/>
            <w:b w:val="0"/>
            <w:noProof/>
            <w:sz w:val="22"/>
            <w:szCs w:val="22"/>
            <w:lang w:eastAsia="en-AU"/>
          </w:rPr>
          <w:tab/>
        </w:r>
        <w:r w:rsidR="009B1D86" w:rsidRPr="003C5F5B">
          <w:rPr>
            <w:rStyle w:val="Hyperlink"/>
            <w:noProof/>
          </w:rPr>
          <w:t>Requirements of the National Electricity Rules</w:t>
        </w:r>
        <w:r w:rsidR="009B1D86">
          <w:rPr>
            <w:noProof/>
            <w:webHidden/>
          </w:rPr>
          <w:tab/>
        </w:r>
        <w:r>
          <w:rPr>
            <w:noProof/>
            <w:webHidden/>
          </w:rPr>
          <w:fldChar w:fldCharType="begin"/>
        </w:r>
        <w:r w:rsidR="009B1D86">
          <w:rPr>
            <w:noProof/>
            <w:webHidden/>
          </w:rPr>
          <w:instrText xml:space="preserve"> PAGEREF _Toc356469570 \h </w:instrText>
        </w:r>
        <w:r>
          <w:rPr>
            <w:noProof/>
            <w:webHidden/>
          </w:rPr>
        </w:r>
        <w:r>
          <w:rPr>
            <w:noProof/>
            <w:webHidden/>
          </w:rPr>
          <w:fldChar w:fldCharType="separate"/>
        </w:r>
        <w:r w:rsidR="00FB78E6">
          <w:rPr>
            <w:noProof/>
            <w:webHidden/>
          </w:rPr>
          <w:t>9</w:t>
        </w:r>
        <w:r>
          <w:rPr>
            <w:noProof/>
            <w:webHidden/>
          </w:rPr>
          <w:fldChar w:fldCharType="end"/>
        </w:r>
      </w:hyperlink>
    </w:p>
    <w:p w:rsidR="009B1D86" w:rsidRDefault="008B5C34">
      <w:pPr>
        <w:pStyle w:val="TOC1"/>
        <w:rPr>
          <w:rFonts w:asciiTheme="minorHAnsi" w:eastAsiaTheme="minorEastAsia" w:hAnsiTheme="minorHAnsi" w:cstheme="minorBidi"/>
          <w:b w:val="0"/>
          <w:noProof/>
          <w:sz w:val="22"/>
          <w:szCs w:val="22"/>
          <w:lang w:eastAsia="en-AU"/>
        </w:rPr>
      </w:pPr>
      <w:hyperlink w:anchor="_Toc356469571" w:history="1">
        <w:r w:rsidR="009B1D86" w:rsidRPr="003C5F5B">
          <w:rPr>
            <w:rStyle w:val="Hyperlink"/>
            <w:noProof/>
          </w:rPr>
          <w:t>3</w:t>
        </w:r>
        <w:r w:rsidR="009B1D86">
          <w:rPr>
            <w:rFonts w:asciiTheme="minorHAnsi" w:eastAsiaTheme="minorEastAsia" w:hAnsiTheme="minorHAnsi" w:cstheme="minorBidi"/>
            <w:b w:val="0"/>
            <w:noProof/>
            <w:sz w:val="22"/>
            <w:szCs w:val="22"/>
            <w:lang w:eastAsia="en-AU"/>
          </w:rPr>
          <w:tab/>
        </w:r>
        <w:r w:rsidR="009B1D86" w:rsidRPr="003C5F5B">
          <w:rPr>
            <w:rStyle w:val="Hyperlink"/>
            <w:noProof/>
          </w:rPr>
          <w:t>Final decision</w:t>
        </w:r>
        <w:r w:rsidR="009B1D86">
          <w:rPr>
            <w:noProof/>
            <w:webHidden/>
          </w:rPr>
          <w:tab/>
        </w:r>
        <w:r>
          <w:rPr>
            <w:noProof/>
            <w:webHidden/>
          </w:rPr>
          <w:fldChar w:fldCharType="begin"/>
        </w:r>
        <w:r w:rsidR="009B1D86">
          <w:rPr>
            <w:noProof/>
            <w:webHidden/>
          </w:rPr>
          <w:instrText xml:space="preserve"> PAGEREF _Toc356469571 \h </w:instrText>
        </w:r>
        <w:r>
          <w:rPr>
            <w:noProof/>
            <w:webHidden/>
          </w:rPr>
        </w:r>
        <w:r>
          <w:rPr>
            <w:noProof/>
            <w:webHidden/>
          </w:rPr>
          <w:fldChar w:fldCharType="separate"/>
        </w:r>
        <w:r w:rsidR="00FB78E6">
          <w:rPr>
            <w:noProof/>
            <w:webHidden/>
          </w:rPr>
          <w:t>10</w:t>
        </w:r>
        <w:r>
          <w:rPr>
            <w:noProof/>
            <w:webHidden/>
          </w:rPr>
          <w:fldChar w:fldCharType="end"/>
        </w:r>
      </w:hyperlink>
    </w:p>
    <w:p w:rsidR="00145BEC" w:rsidRDefault="008B5C34" w:rsidP="00145BEC">
      <w:pPr>
        <w:pStyle w:val="AERbodytext"/>
      </w:pPr>
      <w:r>
        <w:fldChar w:fldCharType="end"/>
      </w:r>
    </w:p>
    <w:p w:rsidR="00A63A90" w:rsidRDefault="00145BEC" w:rsidP="00145BEC">
      <w:pPr>
        <w:pStyle w:val="AERunnumberedheading"/>
      </w:pPr>
      <w:bookmarkStart w:id="4" w:name="_Toc356469568"/>
      <w:r>
        <w:lastRenderedPageBreak/>
        <w:t>Shortened forms</w:t>
      </w:r>
      <w:bookmarkEnd w:id="4"/>
      <w:r>
        <w:t xml:space="preserve"> </w:t>
      </w:r>
    </w:p>
    <w:tbl>
      <w:tblPr>
        <w:tblW w:w="8415" w:type="dxa"/>
        <w:tblBorders>
          <w:bottom w:val="single" w:sz="4" w:space="0" w:color="365F91"/>
        </w:tblBorders>
        <w:tblLayout w:type="fixed"/>
        <w:tblLook w:val="04A0"/>
      </w:tblPr>
      <w:tblGrid>
        <w:gridCol w:w="3794"/>
        <w:gridCol w:w="4621"/>
      </w:tblGrid>
      <w:tr w:rsidR="00A63A90" w:rsidRPr="000C052F" w:rsidTr="00A63A90">
        <w:tc>
          <w:tcPr>
            <w:tcW w:w="3794" w:type="dxa"/>
            <w:shd w:val="clear" w:color="auto" w:fill="365F91"/>
            <w:noWrap/>
            <w:vAlign w:val="center"/>
          </w:tcPr>
          <w:p w:rsidR="00A63A90" w:rsidRPr="000C052F" w:rsidRDefault="00A63A90" w:rsidP="00A63A90">
            <w:pPr>
              <w:spacing w:before="120" w:after="80"/>
              <w:jc w:val="left"/>
              <w:rPr>
                <w:b/>
                <w:color w:val="FFFFFF"/>
                <w:sz w:val="16"/>
              </w:rPr>
            </w:pPr>
            <w:r>
              <w:rPr>
                <w:b/>
                <w:color w:val="FFFFFF"/>
                <w:sz w:val="16"/>
              </w:rPr>
              <w:t>Shortened form</w:t>
            </w:r>
          </w:p>
        </w:tc>
        <w:tc>
          <w:tcPr>
            <w:tcW w:w="4621" w:type="dxa"/>
            <w:shd w:val="clear" w:color="auto" w:fill="365F91"/>
            <w:noWrap/>
            <w:vAlign w:val="center"/>
          </w:tcPr>
          <w:p w:rsidR="00A63A90" w:rsidRPr="000C052F" w:rsidRDefault="00A63A90" w:rsidP="00A63A90">
            <w:pPr>
              <w:spacing w:before="120" w:after="80"/>
              <w:jc w:val="left"/>
              <w:rPr>
                <w:b/>
                <w:color w:val="FFFFFF"/>
                <w:sz w:val="16"/>
              </w:rPr>
            </w:pPr>
            <w:r>
              <w:rPr>
                <w:b/>
                <w:color w:val="FFFFFF"/>
                <w:sz w:val="16"/>
              </w:rPr>
              <w:t>Full form</w:t>
            </w:r>
          </w:p>
        </w:tc>
      </w:tr>
      <w:tr w:rsidR="00A63A90" w:rsidRPr="000C052F" w:rsidTr="003E397F">
        <w:tc>
          <w:tcPr>
            <w:tcW w:w="3794" w:type="dxa"/>
            <w:noWrap/>
            <w:vAlign w:val="center"/>
          </w:tcPr>
          <w:p w:rsidR="00A63A90" w:rsidRPr="00D43D0C" w:rsidRDefault="00A63A90" w:rsidP="003E397F">
            <w:pPr>
              <w:spacing w:before="120" w:after="80"/>
              <w:jc w:val="left"/>
              <w:rPr>
                <w:sz w:val="16"/>
                <w:szCs w:val="16"/>
              </w:rPr>
            </w:pPr>
            <w:r>
              <w:rPr>
                <w:sz w:val="16"/>
                <w:szCs w:val="16"/>
              </w:rPr>
              <w:t>ActewAGL</w:t>
            </w:r>
          </w:p>
        </w:tc>
        <w:tc>
          <w:tcPr>
            <w:tcW w:w="4621" w:type="dxa"/>
            <w:noWrap/>
            <w:vAlign w:val="center"/>
          </w:tcPr>
          <w:p w:rsidR="00A63A90" w:rsidRPr="00D43D0C" w:rsidRDefault="00A63A90" w:rsidP="003E397F">
            <w:pPr>
              <w:pStyle w:val="AERbodytext"/>
              <w:tabs>
                <w:tab w:val="num" w:pos="0"/>
              </w:tabs>
              <w:spacing w:before="120" w:after="80"/>
              <w:jc w:val="left"/>
              <w:rPr>
                <w:sz w:val="16"/>
                <w:szCs w:val="16"/>
                <w:lang w:eastAsia="en-AU"/>
              </w:rPr>
            </w:pPr>
            <w:r>
              <w:rPr>
                <w:sz w:val="16"/>
                <w:szCs w:val="16"/>
                <w:lang w:eastAsia="en-AU"/>
              </w:rPr>
              <w:t>ActewAGL Distribution</w:t>
            </w:r>
          </w:p>
        </w:tc>
      </w:tr>
      <w:tr w:rsidR="00A63A90" w:rsidRPr="000C052F" w:rsidTr="003E397F">
        <w:tc>
          <w:tcPr>
            <w:tcW w:w="3794" w:type="dxa"/>
            <w:tcBorders>
              <w:bottom w:val="nil"/>
            </w:tcBorders>
            <w:shd w:val="clear" w:color="auto" w:fill="DBE5F1"/>
            <w:noWrap/>
            <w:vAlign w:val="center"/>
          </w:tcPr>
          <w:p w:rsidR="00A63A90" w:rsidRPr="00D43D0C" w:rsidRDefault="00A63A90" w:rsidP="003E397F">
            <w:pPr>
              <w:spacing w:before="120" w:after="80"/>
              <w:jc w:val="left"/>
              <w:rPr>
                <w:sz w:val="16"/>
                <w:szCs w:val="16"/>
              </w:rPr>
            </w:pPr>
            <w:r w:rsidRPr="00D43D0C">
              <w:rPr>
                <w:sz w:val="16"/>
                <w:szCs w:val="16"/>
              </w:rPr>
              <w:t>AEMC</w:t>
            </w:r>
          </w:p>
        </w:tc>
        <w:tc>
          <w:tcPr>
            <w:tcW w:w="4621" w:type="dxa"/>
            <w:tcBorders>
              <w:bottom w:val="nil"/>
            </w:tcBorders>
            <w:shd w:val="clear" w:color="auto" w:fill="DBE5F1"/>
            <w:noWrap/>
            <w:vAlign w:val="center"/>
          </w:tcPr>
          <w:p w:rsidR="00A63A90" w:rsidRPr="00D43D0C" w:rsidRDefault="00A63A90" w:rsidP="003E397F">
            <w:pPr>
              <w:pStyle w:val="AERbodytext"/>
              <w:tabs>
                <w:tab w:val="num" w:pos="0"/>
              </w:tabs>
              <w:spacing w:before="120" w:after="80"/>
              <w:jc w:val="left"/>
              <w:rPr>
                <w:sz w:val="16"/>
                <w:szCs w:val="16"/>
                <w:lang w:eastAsia="en-AU"/>
              </w:rPr>
            </w:pPr>
            <w:r w:rsidRPr="00D43D0C">
              <w:rPr>
                <w:sz w:val="16"/>
                <w:szCs w:val="16"/>
                <w:lang w:eastAsia="en-AU"/>
              </w:rPr>
              <w:t xml:space="preserve">Australian Energy Market Commission </w:t>
            </w:r>
          </w:p>
        </w:tc>
      </w:tr>
      <w:tr w:rsidR="00A63A90" w:rsidRPr="000C052F" w:rsidTr="003E397F">
        <w:tc>
          <w:tcPr>
            <w:tcW w:w="3794" w:type="dxa"/>
            <w:tcBorders>
              <w:bottom w:val="nil"/>
            </w:tcBorders>
            <w:shd w:val="clear" w:color="auto" w:fill="FFFFFF" w:themeFill="background1"/>
            <w:noWrap/>
            <w:vAlign w:val="center"/>
          </w:tcPr>
          <w:p w:rsidR="00A63A90" w:rsidRPr="00D43D0C" w:rsidRDefault="00A63A90" w:rsidP="003E397F">
            <w:pPr>
              <w:spacing w:before="120" w:after="80"/>
              <w:jc w:val="left"/>
              <w:rPr>
                <w:sz w:val="16"/>
                <w:szCs w:val="16"/>
              </w:rPr>
            </w:pPr>
            <w:r w:rsidRPr="00D43D0C">
              <w:rPr>
                <w:sz w:val="16"/>
                <w:szCs w:val="16"/>
              </w:rPr>
              <w:t>AER</w:t>
            </w:r>
          </w:p>
        </w:tc>
        <w:tc>
          <w:tcPr>
            <w:tcW w:w="4621" w:type="dxa"/>
            <w:tcBorders>
              <w:bottom w:val="nil"/>
            </w:tcBorders>
            <w:shd w:val="clear" w:color="auto" w:fill="FFFFFF" w:themeFill="background1"/>
            <w:noWrap/>
            <w:vAlign w:val="center"/>
          </w:tcPr>
          <w:p w:rsidR="00A63A90" w:rsidRPr="00D43D0C" w:rsidRDefault="00A63A90" w:rsidP="003E397F">
            <w:pPr>
              <w:pStyle w:val="AERbodytext"/>
              <w:tabs>
                <w:tab w:val="num" w:pos="0"/>
              </w:tabs>
              <w:spacing w:before="120" w:after="80"/>
              <w:jc w:val="left"/>
              <w:rPr>
                <w:sz w:val="16"/>
                <w:szCs w:val="16"/>
                <w:lang w:eastAsia="en-AU"/>
              </w:rPr>
            </w:pPr>
            <w:r w:rsidRPr="00D43D0C">
              <w:rPr>
                <w:sz w:val="16"/>
                <w:szCs w:val="16"/>
                <w:lang w:eastAsia="en-AU"/>
              </w:rPr>
              <w:t>Australian Energy Regulator</w:t>
            </w:r>
          </w:p>
        </w:tc>
      </w:tr>
      <w:tr w:rsidR="00A63A90" w:rsidRPr="000C052F" w:rsidTr="003E397F">
        <w:tc>
          <w:tcPr>
            <w:tcW w:w="3794" w:type="dxa"/>
            <w:tcBorders>
              <w:top w:val="nil"/>
              <w:bottom w:val="nil"/>
            </w:tcBorders>
            <w:shd w:val="clear" w:color="auto" w:fill="DBE5F1"/>
            <w:noWrap/>
            <w:vAlign w:val="center"/>
          </w:tcPr>
          <w:p w:rsidR="00A63A90" w:rsidRPr="00D43D0C" w:rsidRDefault="00A63A90" w:rsidP="003E397F">
            <w:pPr>
              <w:spacing w:before="120" w:after="80"/>
              <w:jc w:val="left"/>
              <w:rPr>
                <w:sz w:val="16"/>
                <w:szCs w:val="16"/>
              </w:rPr>
            </w:pPr>
            <w:r w:rsidRPr="00D43D0C">
              <w:rPr>
                <w:sz w:val="16"/>
                <w:szCs w:val="16"/>
              </w:rPr>
              <w:t>current regulatory control period</w:t>
            </w:r>
          </w:p>
        </w:tc>
        <w:tc>
          <w:tcPr>
            <w:tcW w:w="4621" w:type="dxa"/>
            <w:tcBorders>
              <w:top w:val="nil"/>
              <w:bottom w:val="nil"/>
            </w:tcBorders>
            <w:shd w:val="clear" w:color="auto" w:fill="DBE5F1"/>
            <w:noWrap/>
            <w:vAlign w:val="center"/>
          </w:tcPr>
          <w:p w:rsidR="00A63A90" w:rsidRPr="00D43D0C" w:rsidRDefault="00A63A90" w:rsidP="003E397F">
            <w:pPr>
              <w:pStyle w:val="AERbodytext"/>
              <w:tabs>
                <w:tab w:val="num" w:pos="0"/>
              </w:tabs>
              <w:spacing w:before="120" w:after="80"/>
              <w:jc w:val="left"/>
              <w:rPr>
                <w:sz w:val="16"/>
                <w:szCs w:val="16"/>
                <w:lang w:eastAsia="en-AU"/>
              </w:rPr>
            </w:pPr>
            <w:r w:rsidRPr="00D43D0C">
              <w:rPr>
                <w:sz w:val="16"/>
                <w:szCs w:val="16"/>
                <w:lang w:eastAsia="en-AU"/>
              </w:rPr>
              <w:t>1 July 2009 to 30 June 2014</w:t>
            </w:r>
          </w:p>
        </w:tc>
      </w:tr>
      <w:tr w:rsidR="00A63A90" w:rsidRPr="000C052F" w:rsidTr="003E397F">
        <w:tc>
          <w:tcPr>
            <w:tcW w:w="3794" w:type="dxa"/>
            <w:tcBorders>
              <w:bottom w:val="nil"/>
            </w:tcBorders>
            <w:shd w:val="clear" w:color="auto" w:fill="FFFFFF" w:themeFill="background1"/>
            <w:noWrap/>
            <w:vAlign w:val="center"/>
          </w:tcPr>
          <w:p w:rsidR="00B2782D" w:rsidRDefault="00B2782D" w:rsidP="00B2782D">
            <w:pPr>
              <w:spacing w:before="120" w:after="80"/>
              <w:jc w:val="left"/>
              <w:rPr>
                <w:sz w:val="16"/>
                <w:szCs w:val="16"/>
              </w:rPr>
            </w:pPr>
          </w:p>
          <w:p w:rsidR="00A63A90" w:rsidRPr="00D43D0C" w:rsidRDefault="00A63A90" w:rsidP="003E397F">
            <w:pPr>
              <w:spacing w:before="120" w:after="80"/>
              <w:jc w:val="left"/>
              <w:rPr>
                <w:sz w:val="16"/>
                <w:szCs w:val="16"/>
              </w:rPr>
            </w:pPr>
            <w:r w:rsidRPr="00D43D0C">
              <w:rPr>
                <w:sz w:val="16"/>
                <w:szCs w:val="16"/>
              </w:rPr>
              <w:t xml:space="preserve">current 2008 </w:t>
            </w:r>
            <w:r>
              <w:rPr>
                <w:sz w:val="16"/>
                <w:szCs w:val="16"/>
              </w:rPr>
              <w:t>DMIS</w:t>
            </w:r>
          </w:p>
        </w:tc>
        <w:tc>
          <w:tcPr>
            <w:tcW w:w="4621" w:type="dxa"/>
            <w:tcBorders>
              <w:bottom w:val="nil"/>
            </w:tcBorders>
            <w:shd w:val="clear" w:color="auto" w:fill="FFFFFF" w:themeFill="background1"/>
            <w:noWrap/>
            <w:vAlign w:val="center"/>
          </w:tcPr>
          <w:p w:rsidR="00B2782D" w:rsidRDefault="00A63A90" w:rsidP="00B2782D">
            <w:pPr>
              <w:spacing w:before="120" w:after="80"/>
              <w:jc w:val="left"/>
              <w:rPr>
                <w:sz w:val="16"/>
                <w:szCs w:val="16"/>
              </w:rPr>
            </w:pPr>
            <w:r w:rsidRPr="00A63A90">
              <w:rPr>
                <w:sz w:val="16"/>
                <w:szCs w:val="16"/>
              </w:rPr>
              <w:t xml:space="preserve">Demand management incentive scheme for the ACT and NSW 2009 distribution determinations–see Demand management innovation allowance scheme, November 2008 as applied to ACT DNSPs in the AER, Final decision: </w:t>
            </w:r>
            <w:r w:rsidR="00B2782D" w:rsidRPr="00B2782D">
              <w:rPr>
                <w:i/>
                <w:sz w:val="16"/>
                <w:szCs w:val="16"/>
              </w:rPr>
              <w:t>Australian Capital Territory distribution determination 2009</w:t>
            </w:r>
            <w:r w:rsidR="00B2782D" w:rsidRPr="00B2782D">
              <w:rPr>
                <w:rFonts w:hint="eastAsia"/>
                <w:i/>
                <w:sz w:val="16"/>
                <w:szCs w:val="16"/>
              </w:rPr>
              <w:t>–</w:t>
            </w:r>
            <w:r w:rsidR="00B2782D" w:rsidRPr="00B2782D">
              <w:rPr>
                <w:i/>
                <w:sz w:val="16"/>
                <w:szCs w:val="16"/>
              </w:rPr>
              <w:t>10 to 2013</w:t>
            </w:r>
            <w:r w:rsidR="00B2782D" w:rsidRPr="00B2782D">
              <w:rPr>
                <w:rFonts w:hint="eastAsia"/>
                <w:i/>
                <w:sz w:val="16"/>
                <w:szCs w:val="16"/>
              </w:rPr>
              <w:t>–</w:t>
            </w:r>
            <w:r w:rsidR="00B2782D" w:rsidRPr="00B2782D">
              <w:rPr>
                <w:i/>
                <w:sz w:val="16"/>
                <w:szCs w:val="16"/>
              </w:rPr>
              <w:t>14</w:t>
            </w:r>
            <w:r w:rsidRPr="00A63A90">
              <w:rPr>
                <w:sz w:val="16"/>
                <w:szCs w:val="16"/>
              </w:rPr>
              <w:t xml:space="preserve">, April 2009. </w:t>
            </w:r>
          </w:p>
          <w:p w:rsidR="00A63A90" w:rsidRPr="00D43D0C" w:rsidRDefault="00A63A90" w:rsidP="003E397F">
            <w:pPr>
              <w:spacing w:before="120" w:after="80"/>
              <w:jc w:val="left"/>
              <w:rPr>
                <w:sz w:val="16"/>
                <w:szCs w:val="16"/>
              </w:rPr>
            </w:pPr>
            <w:r w:rsidRPr="00A63A90">
              <w:rPr>
                <w:sz w:val="16"/>
                <w:szCs w:val="16"/>
              </w:rPr>
              <w:t>This scheme consists of the DMIA</w:t>
            </w:r>
            <w:r w:rsidR="007615B7">
              <w:rPr>
                <w:sz w:val="16"/>
                <w:szCs w:val="16"/>
              </w:rPr>
              <w:t xml:space="preserve"> and revenue recovery component</w:t>
            </w:r>
            <w:r w:rsidRPr="00A63A90">
              <w:rPr>
                <w:sz w:val="16"/>
                <w:szCs w:val="16"/>
              </w:rPr>
              <w:t>.</w:t>
            </w:r>
            <w:r w:rsidRPr="003E397F">
              <w:rPr>
                <w:sz w:val="16"/>
                <w:szCs w:val="16"/>
              </w:rPr>
              <w:t xml:space="preserve"> </w:t>
            </w:r>
          </w:p>
        </w:tc>
      </w:tr>
      <w:tr w:rsidR="00A63A90" w:rsidRPr="000C052F" w:rsidTr="003E397F">
        <w:tc>
          <w:tcPr>
            <w:tcW w:w="3794" w:type="dxa"/>
            <w:tcBorders>
              <w:top w:val="nil"/>
              <w:bottom w:val="nil"/>
            </w:tcBorders>
            <w:shd w:val="clear" w:color="auto" w:fill="DBE5F1"/>
            <w:noWrap/>
            <w:vAlign w:val="center"/>
          </w:tcPr>
          <w:p w:rsidR="00A63A90" w:rsidRPr="00D43D0C" w:rsidRDefault="00A63A90" w:rsidP="003E397F">
            <w:pPr>
              <w:spacing w:before="120" w:after="80"/>
              <w:jc w:val="left"/>
              <w:rPr>
                <w:sz w:val="16"/>
                <w:szCs w:val="16"/>
              </w:rPr>
            </w:pPr>
            <w:r w:rsidRPr="00D43D0C">
              <w:rPr>
                <w:sz w:val="16"/>
                <w:szCs w:val="16"/>
              </w:rPr>
              <w:t>DMEGCIS</w:t>
            </w:r>
          </w:p>
        </w:tc>
        <w:tc>
          <w:tcPr>
            <w:tcW w:w="4621" w:type="dxa"/>
            <w:tcBorders>
              <w:top w:val="nil"/>
              <w:bottom w:val="nil"/>
            </w:tcBorders>
            <w:shd w:val="clear" w:color="auto" w:fill="DBE5F1"/>
            <w:noWrap/>
            <w:vAlign w:val="center"/>
          </w:tcPr>
          <w:p w:rsidR="00A63A90" w:rsidRPr="00D43D0C" w:rsidRDefault="00A63A90" w:rsidP="003E397F">
            <w:pPr>
              <w:pStyle w:val="AERbodytext"/>
              <w:tabs>
                <w:tab w:val="num" w:pos="0"/>
              </w:tabs>
              <w:spacing w:before="120" w:after="80"/>
              <w:jc w:val="left"/>
              <w:rPr>
                <w:sz w:val="16"/>
                <w:szCs w:val="16"/>
                <w:lang w:eastAsia="en-AU"/>
              </w:rPr>
            </w:pPr>
            <w:r w:rsidRPr="00065EC3">
              <w:rPr>
                <w:sz w:val="16"/>
                <w:szCs w:val="16"/>
                <w:lang w:eastAsia="en-AU"/>
              </w:rPr>
              <w:t xml:space="preserve">demand management and embedded generation connection incentive scheme </w:t>
            </w:r>
          </w:p>
        </w:tc>
      </w:tr>
      <w:tr w:rsidR="00A63A90" w:rsidRPr="000C052F" w:rsidTr="003E397F">
        <w:tc>
          <w:tcPr>
            <w:tcW w:w="3794" w:type="dxa"/>
            <w:tcBorders>
              <w:bottom w:val="nil"/>
            </w:tcBorders>
            <w:shd w:val="clear" w:color="auto" w:fill="FFFFFF" w:themeFill="background1"/>
            <w:noWrap/>
            <w:vAlign w:val="center"/>
          </w:tcPr>
          <w:p w:rsidR="00A63A90" w:rsidRDefault="00A63A90" w:rsidP="003E397F">
            <w:pPr>
              <w:spacing w:before="120" w:after="80"/>
              <w:jc w:val="left"/>
              <w:rPr>
                <w:sz w:val="16"/>
                <w:szCs w:val="16"/>
              </w:rPr>
            </w:pPr>
            <w:r w:rsidRPr="00D43D0C">
              <w:rPr>
                <w:sz w:val="16"/>
                <w:szCs w:val="16"/>
              </w:rPr>
              <w:t>DMIS</w:t>
            </w:r>
          </w:p>
        </w:tc>
        <w:tc>
          <w:tcPr>
            <w:tcW w:w="4621" w:type="dxa"/>
            <w:tcBorders>
              <w:bottom w:val="nil"/>
            </w:tcBorders>
            <w:shd w:val="clear" w:color="auto" w:fill="FFFFFF" w:themeFill="background1"/>
            <w:noWrap/>
            <w:vAlign w:val="center"/>
          </w:tcPr>
          <w:p w:rsidR="00A63A90" w:rsidRDefault="00A63A90" w:rsidP="003E397F">
            <w:pPr>
              <w:spacing w:before="120" w:after="80"/>
              <w:jc w:val="left"/>
              <w:rPr>
                <w:sz w:val="16"/>
                <w:szCs w:val="16"/>
              </w:rPr>
            </w:pPr>
            <w:r w:rsidRPr="00D43D0C">
              <w:rPr>
                <w:sz w:val="16"/>
                <w:szCs w:val="16"/>
              </w:rPr>
              <w:t>demand management incentive scheme</w:t>
            </w:r>
          </w:p>
        </w:tc>
      </w:tr>
      <w:tr w:rsidR="00A63A90" w:rsidRPr="000C052F" w:rsidTr="003E397F">
        <w:tc>
          <w:tcPr>
            <w:tcW w:w="3794" w:type="dxa"/>
            <w:tcBorders>
              <w:top w:val="nil"/>
              <w:bottom w:val="nil"/>
            </w:tcBorders>
            <w:shd w:val="clear" w:color="auto" w:fill="DBE5F1"/>
            <w:noWrap/>
            <w:vAlign w:val="center"/>
          </w:tcPr>
          <w:p w:rsidR="00A63A90" w:rsidRDefault="00A63A90" w:rsidP="003E397F">
            <w:pPr>
              <w:spacing w:before="120" w:after="80"/>
              <w:jc w:val="left"/>
              <w:rPr>
                <w:sz w:val="16"/>
                <w:szCs w:val="16"/>
              </w:rPr>
            </w:pPr>
            <w:r w:rsidRPr="00D43D0C">
              <w:rPr>
                <w:sz w:val="16"/>
                <w:szCs w:val="16"/>
              </w:rPr>
              <w:t>DNSP</w:t>
            </w:r>
          </w:p>
        </w:tc>
        <w:tc>
          <w:tcPr>
            <w:tcW w:w="4621" w:type="dxa"/>
            <w:tcBorders>
              <w:top w:val="nil"/>
              <w:bottom w:val="nil"/>
            </w:tcBorders>
            <w:shd w:val="clear" w:color="auto" w:fill="DBE5F1"/>
            <w:noWrap/>
            <w:vAlign w:val="center"/>
          </w:tcPr>
          <w:p w:rsidR="00A63A90" w:rsidRDefault="00A63A90" w:rsidP="003E397F">
            <w:pPr>
              <w:spacing w:before="120" w:after="80"/>
              <w:jc w:val="left"/>
              <w:rPr>
                <w:sz w:val="16"/>
                <w:szCs w:val="16"/>
              </w:rPr>
            </w:pPr>
            <w:r w:rsidRPr="00D43D0C">
              <w:rPr>
                <w:sz w:val="16"/>
                <w:szCs w:val="16"/>
              </w:rPr>
              <w:t>distribution network service provider</w:t>
            </w:r>
          </w:p>
        </w:tc>
      </w:tr>
      <w:tr w:rsidR="00A63A90" w:rsidRPr="000C052F" w:rsidTr="003E397F">
        <w:tc>
          <w:tcPr>
            <w:tcW w:w="3794" w:type="dxa"/>
            <w:tcBorders>
              <w:bottom w:val="nil"/>
            </w:tcBorders>
            <w:shd w:val="clear" w:color="auto" w:fill="FFFFFF" w:themeFill="background1"/>
            <w:noWrap/>
            <w:vAlign w:val="center"/>
          </w:tcPr>
          <w:p w:rsidR="00A63A90" w:rsidRDefault="00A63A90" w:rsidP="003E397F">
            <w:pPr>
              <w:spacing w:before="120" w:after="80"/>
              <w:jc w:val="left"/>
              <w:rPr>
                <w:sz w:val="16"/>
                <w:szCs w:val="16"/>
              </w:rPr>
            </w:pPr>
            <w:r>
              <w:rPr>
                <w:sz w:val="16"/>
                <w:szCs w:val="16"/>
              </w:rPr>
              <w:t>DSP</w:t>
            </w:r>
          </w:p>
        </w:tc>
        <w:tc>
          <w:tcPr>
            <w:tcW w:w="4621" w:type="dxa"/>
            <w:tcBorders>
              <w:bottom w:val="nil"/>
            </w:tcBorders>
            <w:shd w:val="clear" w:color="auto" w:fill="FFFFFF" w:themeFill="background1"/>
            <w:noWrap/>
            <w:vAlign w:val="center"/>
          </w:tcPr>
          <w:p w:rsidR="00A63A90" w:rsidRDefault="00A63A90" w:rsidP="003E397F">
            <w:pPr>
              <w:spacing w:before="120" w:after="80"/>
              <w:jc w:val="left"/>
              <w:rPr>
                <w:sz w:val="16"/>
                <w:szCs w:val="16"/>
              </w:rPr>
            </w:pPr>
            <w:r>
              <w:rPr>
                <w:sz w:val="16"/>
                <w:szCs w:val="16"/>
              </w:rPr>
              <w:t>demand side participation</w:t>
            </w:r>
          </w:p>
        </w:tc>
      </w:tr>
      <w:tr w:rsidR="00A63A90" w:rsidRPr="000C052F" w:rsidTr="003E397F">
        <w:tc>
          <w:tcPr>
            <w:tcW w:w="3794" w:type="dxa"/>
            <w:tcBorders>
              <w:top w:val="nil"/>
              <w:bottom w:val="nil"/>
            </w:tcBorders>
            <w:shd w:val="clear" w:color="auto" w:fill="DBE5F1"/>
            <w:noWrap/>
            <w:vAlign w:val="center"/>
          </w:tcPr>
          <w:p w:rsidR="00A63A90" w:rsidRPr="00D43D0C" w:rsidRDefault="00A63A90" w:rsidP="003E397F">
            <w:pPr>
              <w:spacing w:before="120" w:after="80"/>
              <w:jc w:val="left"/>
              <w:rPr>
                <w:sz w:val="16"/>
                <w:szCs w:val="16"/>
              </w:rPr>
            </w:pPr>
            <w:r w:rsidRPr="00D43D0C">
              <w:rPr>
                <w:sz w:val="16"/>
                <w:szCs w:val="16"/>
              </w:rPr>
              <w:t>F&amp;A</w:t>
            </w:r>
          </w:p>
        </w:tc>
        <w:tc>
          <w:tcPr>
            <w:tcW w:w="4621" w:type="dxa"/>
            <w:tcBorders>
              <w:top w:val="nil"/>
              <w:bottom w:val="nil"/>
            </w:tcBorders>
            <w:shd w:val="clear" w:color="auto" w:fill="DBE5F1"/>
            <w:noWrap/>
            <w:vAlign w:val="center"/>
          </w:tcPr>
          <w:p w:rsidR="00A63A90" w:rsidRPr="00D43D0C" w:rsidRDefault="00A63A90" w:rsidP="003E397F">
            <w:pPr>
              <w:pStyle w:val="AERbodytext"/>
              <w:tabs>
                <w:tab w:val="num" w:pos="0"/>
              </w:tabs>
              <w:spacing w:before="120" w:after="80"/>
              <w:jc w:val="left"/>
              <w:rPr>
                <w:sz w:val="16"/>
                <w:szCs w:val="16"/>
                <w:lang w:eastAsia="en-AU"/>
              </w:rPr>
            </w:pPr>
            <w:r w:rsidRPr="00D43D0C">
              <w:rPr>
                <w:sz w:val="16"/>
                <w:szCs w:val="16"/>
                <w:lang w:eastAsia="en-AU"/>
              </w:rPr>
              <w:t>framework and approach</w:t>
            </w:r>
          </w:p>
        </w:tc>
      </w:tr>
      <w:tr w:rsidR="00A63A90" w:rsidRPr="000C052F" w:rsidTr="003E397F">
        <w:tc>
          <w:tcPr>
            <w:tcW w:w="3794" w:type="dxa"/>
            <w:tcBorders>
              <w:bottom w:val="nil"/>
            </w:tcBorders>
            <w:shd w:val="clear" w:color="auto" w:fill="FFFFFF" w:themeFill="background1"/>
            <w:noWrap/>
            <w:vAlign w:val="center"/>
          </w:tcPr>
          <w:p w:rsidR="00A63A90" w:rsidRPr="00D43D0C" w:rsidRDefault="00A63A90" w:rsidP="003E397F">
            <w:pPr>
              <w:spacing w:before="120" w:after="80"/>
              <w:jc w:val="left"/>
              <w:rPr>
                <w:sz w:val="16"/>
                <w:szCs w:val="16"/>
              </w:rPr>
            </w:pPr>
            <w:r w:rsidRPr="00D43D0C">
              <w:rPr>
                <w:sz w:val="16"/>
                <w:szCs w:val="16"/>
              </w:rPr>
              <w:t>NEM</w:t>
            </w:r>
          </w:p>
        </w:tc>
        <w:tc>
          <w:tcPr>
            <w:tcW w:w="4621" w:type="dxa"/>
            <w:tcBorders>
              <w:bottom w:val="nil"/>
            </w:tcBorders>
            <w:shd w:val="clear" w:color="auto" w:fill="FFFFFF" w:themeFill="background1"/>
            <w:noWrap/>
            <w:vAlign w:val="center"/>
          </w:tcPr>
          <w:p w:rsidR="00A63A90" w:rsidRPr="00D43D0C" w:rsidRDefault="00A63A90" w:rsidP="003E397F">
            <w:pPr>
              <w:spacing w:before="120" w:after="80"/>
              <w:jc w:val="left"/>
              <w:rPr>
                <w:sz w:val="16"/>
                <w:szCs w:val="16"/>
              </w:rPr>
            </w:pPr>
            <w:r w:rsidRPr="00D43D0C">
              <w:rPr>
                <w:sz w:val="16"/>
                <w:szCs w:val="16"/>
              </w:rPr>
              <w:t>National Electricity Market</w:t>
            </w:r>
          </w:p>
        </w:tc>
      </w:tr>
      <w:tr w:rsidR="00A63A90" w:rsidRPr="000C052F" w:rsidTr="003E397F">
        <w:tc>
          <w:tcPr>
            <w:tcW w:w="3794" w:type="dxa"/>
            <w:tcBorders>
              <w:top w:val="nil"/>
              <w:bottom w:val="nil"/>
            </w:tcBorders>
            <w:shd w:val="clear" w:color="auto" w:fill="DBE5F1"/>
            <w:noWrap/>
            <w:vAlign w:val="center"/>
          </w:tcPr>
          <w:p w:rsidR="00A63A90" w:rsidRPr="00D43D0C" w:rsidRDefault="00A63A90" w:rsidP="003E397F">
            <w:pPr>
              <w:spacing w:before="120" w:after="80"/>
              <w:jc w:val="left"/>
              <w:rPr>
                <w:sz w:val="16"/>
                <w:szCs w:val="16"/>
              </w:rPr>
            </w:pPr>
            <w:r w:rsidRPr="00D43D0C">
              <w:rPr>
                <w:sz w:val="16"/>
                <w:szCs w:val="16"/>
              </w:rPr>
              <w:t>NER</w:t>
            </w:r>
          </w:p>
        </w:tc>
        <w:tc>
          <w:tcPr>
            <w:tcW w:w="4621" w:type="dxa"/>
            <w:tcBorders>
              <w:top w:val="nil"/>
              <w:bottom w:val="nil"/>
            </w:tcBorders>
            <w:shd w:val="clear" w:color="auto" w:fill="DBE5F1"/>
            <w:noWrap/>
            <w:vAlign w:val="center"/>
          </w:tcPr>
          <w:p w:rsidR="00A63A90" w:rsidRPr="00D43D0C" w:rsidRDefault="00A63A90" w:rsidP="003E397F">
            <w:pPr>
              <w:spacing w:before="120" w:after="80"/>
              <w:jc w:val="left"/>
              <w:rPr>
                <w:sz w:val="16"/>
                <w:szCs w:val="16"/>
              </w:rPr>
            </w:pPr>
            <w:r w:rsidRPr="00D43D0C">
              <w:rPr>
                <w:sz w:val="16"/>
                <w:szCs w:val="16"/>
              </w:rPr>
              <w:t>National Electricity Rules</w:t>
            </w:r>
          </w:p>
        </w:tc>
      </w:tr>
      <w:tr w:rsidR="00A63A90" w:rsidRPr="000C052F" w:rsidTr="003E397F">
        <w:tc>
          <w:tcPr>
            <w:tcW w:w="3794" w:type="dxa"/>
            <w:tcBorders>
              <w:bottom w:val="nil"/>
            </w:tcBorders>
            <w:shd w:val="clear" w:color="auto" w:fill="FFFFFF" w:themeFill="background1"/>
            <w:noWrap/>
            <w:vAlign w:val="center"/>
          </w:tcPr>
          <w:p w:rsidR="00A63A90" w:rsidRPr="00D43D0C" w:rsidRDefault="00A63A90" w:rsidP="003E397F">
            <w:pPr>
              <w:spacing w:before="120" w:after="80"/>
              <w:jc w:val="left"/>
              <w:rPr>
                <w:sz w:val="16"/>
                <w:szCs w:val="16"/>
              </w:rPr>
            </w:pPr>
            <w:r w:rsidRPr="00D43D0C">
              <w:rPr>
                <w:sz w:val="16"/>
                <w:szCs w:val="16"/>
              </w:rPr>
              <w:t>subsequent regulatory control period</w:t>
            </w:r>
          </w:p>
        </w:tc>
        <w:tc>
          <w:tcPr>
            <w:tcW w:w="4621" w:type="dxa"/>
            <w:tcBorders>
              <w:bottom w:val="nil"/>
            </w:tcBorders>
            <w:shd w:val="clear" w:color="auto" w:fill="FFFFFF" w:themeFill="background1"/>
            <w:noWrap/>
            <w:vAlign w:val="center"/>
          </w:tcPr>
          <w:p w:rsidR="00A63A90" w:rsidRPr="00D43D0C" w:rsidRDefault="007615B7" w:rsidP="003E397F">
            <w:pPr>
              <w:spacing w:before="120" w:after="80"/>
              <w:jc w:val="left"/>
              <w:rPr>
                <w:sz w:val="16"/>
                <w:szCs w:val="16"/>
              </w:rPr>
            </w:pPr>
            <w:r>
              <w:rPr>
                <w:sz w:val="16"/>
                <w:szCs w:val="16"/>
              </w:rPr>
              <w:t>e</w:t>
            </w:r>
            <w:r w:rsidR="00A63A90" w:rsidRPr="00D43D0C">
              <w:rPr>
                <w:sz w:val="16"/>
                <w:szCs w:val="16"/>
              </w:rPr>
              <w:t>xpected to be 1 July 2015 to 30 June 2019</w:t>
            </w:r>
          </w:p>
        </w:tc>
      </w:tr>
      <w:tr w:rsidR="00A63A90" w:rsidRPr="000C052F" w:rsidTr="003E397F">
        <w:tc>
          <w:tcPr>
            <w:tcW w:w="3794" w:type="dxa"/>
            <w:tcBorders>
              <w:bottom w:val="single" w:sz="4" w:space="0" w:color="auto"/>
            </w:tcBorders>
            <w:shd w:val="clear" w:color="auto" w:fill="DBE5F1" w:themeFill="accent1" w:themeFillTint="33"/>
            <w:noWrap/>
            <w:vAlign w:val="center"/>
          </w:tcPr>
          <w:p w:rsidR="00A63A90" w:rsidRPr="00D43D0C" w:rsidRDefault="00A63A90" w:rsidP="003E397F">
            <w:pPr>
              <w:spacing w:before="120" w:after="80"/>
              <w:jc w:val="left"/>
              <w:rPr>
                <w:sz w:val="16"/>
                <w:szCs w:val="16"/>
              </w:rPr>
            </w:pPr>
            <w:r w:rsidRPr="00D43D0C">
              <w:rPr>
                <w:sz w:val="16"/>
                <w:szCs w:val="16"/>
              </w:rPr>
              <w:t>transitional regulatory control period</w:t>
            </w:r>
          </w:p>
        </w:tc>
        <w:tc>
          <w:tcPr>
            <w:tcW w:w="4621" w:type="dxa"/>
            <w:tcBorders>
              <w:bottom w:val="single" w:sz="4" w:space="0" w:color="auto"/>
            </w:tcBorders>
            <w:shd w:val="clear" w:color="auto" w:fill="DBE5F1" w:themeFill="accent1" w:themeFillTint="33"/>
            <w:noWrap/>
            <w:vAlign w:val="center"/>
          </w:tcPr>
          <w:p w:rsidR="00A63A90" w:rsidRPr="00696964" w:rsidRDefault="00A63A90" w:rsidP="003E397F">
            <w:pPr>
              <w:spacing w:before="120" w:after="80"/>
              <w:jc w:val="left"/>
              <w:rPr>
                <w:sz w:val="16"/>
                <w:szCs w:val="16"/>
              </w:rPr>
            </w:pPr>
            <w:r w:rsidRPr="00696964">
              <w:rPr>
                <w:sz w:val="16"/>
                <w:szCs w:val="16"/>
              </w:rPr>
              <w:t>1 July 2014 to 30 June 2015</w:t>
            </w:r>
          </w:p>
        </w:tc>
      </w:tr>
    </w:tbl>
    <w:p w:rsidR="00145BEC" w:rsidRDefault="00145BEC" w:rsidP="00145BEC">
      <w:pPr>
        <w:pStyle w:val="AERheading1"/>
      </w:pPr>
      <w:bookmarkStart w:id="5" w:name="_Toc356469569"/>
      <w:r>
        <w:lastRenderedPageBreak/>
        <w:t>Introduction</w:t>
      </w:r>
      <w:bookmarkEnd w:id="5"/>
    </w:p>
    <w:p w:rsidR="00145BEC" w:rsidRDefault="00145BEC" w:rsidP="00145BEC">
      <w:pPr>
        <w:pStyle w:val="AERbodytext"/>
      </w:pPr>
      <w:r>
        <w:t xml:space="preserve">This document sets out the AER’s final decision </w:t>
      </w:r>
      <w:r w:rsidR="00697DFA" w:rsidRPr="001738E1">
        <w:rPr>
          <w:lang w:eastAsia="en-AU"/>
        </w:rPr>
        <w:t>to conclude the proposed 2012 DMEGCIS process in accordance with r. 6.16(e) of the NER</w:t>
      </w:r>
      <w:r w:rsidR="00697DFA">
        <w:rPr>
          <w:lang w:eastAsia="en-AU"/>
        </w:rPr>
        <w:t xml:space="preserve"> </w:t>
      </w:r>
      <w:r>
        <w:t xml:space="preserve">(Final decision). </w:t>
      </w:r>
    </w:p>
    <w:p w:rsidR="00145BEC" w:rsidRDefault="00145BEC" w:rsidP="00145BEC">
      <w:pPr>
        <w:pStyle w:val="AERbodytext"/>
      </w:pPr>
      <w:r>
        <w:t xml:space="preserve">On 29 May 2012, we published </w:t>
      </w:r>
      <w:r w:rsidR="00F01F54">
        <w:t xml:space="preserve">the </w:t>
      </w:r>
      <w:r>
        <w:t xml:space="preserve">proposed </w:t>
      </w:r>
      <w:r w:rsidR="00F01F54">
        <w:t xml:space="preserve">2012 </w:t>
      </w:r>
      <w:r>
        <w:t>DMEGCIS and accompanying explanatory statement to be applied to ActewAGL for the 2014–19 regulatory control period.</w:t>
      </w:r>
      <w:r>
        <w:rPr>
          <w:rStyle w:val="FootnoteReference"/>
        </w:rPr>
        <w:footnoteReference w:id="6"/>
      </w:r>
      <w:r>
        <w:t xml:space="preserve"> Submissions on the proposed 2012 DMEGCIS were received in August 2012.</w:t>
      </w:r>
      <w:r w:rsidR="00120369">
        <w:rPr>
          <w:rStyle w:val="FootnoteReference"/>
        </w:rPr>
        <w:footnoteReference w:id="7"/>
      </w:r>
      <w:r>
        <w:t xml:space="preserve"> </w:t>
      </w:r>
    </w:p>
    <w:p w:rsidR="00145BEC" w:rsidRDefault="00145BEC" w:rsidP="00145BEC">
      <w:pPr>
        <w:pStyle w:val="AERbodytext"/>
      </w:pPr>
      <w:r>
        <w:t>On 17 September 2012, the AER extended the time within which it is required to publish its final decision on the proposed 2012 DMEGCIS under cl. 6.16(g) of the NER. The extension of time was considered necessary in order for the AEMC to finalise its Power of Choice review. The Power of Choice review addressed issues that are directly relevant to the DMEGCIS.</w:t>
      </w:r>
      <w:r w:rsidRPr="00E6339D">
        <w:t xml:space="preserve"> </w:t>
      </w:r>
      <w:r>
        <w:t xml:space="preserve"> </w:t>
      </w:r>
    </w:p>
    <w:p w:rsidR="00697DFA" w:rsidRDefault="00145BEC" w:rsidP="00145BEC">
      <w:pPr>
        <w:pStyle w:val="AERbodytext"/>
        <w:rPr>
          <w:rStyle w:val="AERbody"/>
        </w:rPr>
      </w:pPr>
      <w:r>
        <w:t>The AEMC released its Final Report on 30 November 2012</w:t>
      </w:r>
      <w:r w:rsidRPr="001738E1">
        <w:t>.</w:t>
      </w:r>
      <w:r w:rsidRPr="001738E1">
        <w:rPr>
          <w:rStyle w:val="FootnoteReference"/>
        </w:rPr>
        <w:footnoteReference w:id="8"/>
      </w:r>
      <w:r w:rsidRPr="001738E1">
        <w:t xml:space="preserve"> After considering the implications of the AEMC’s recommendations, we must now </w:t>
      </w:r>
      <w:r w:rsidR="00AB5920">
        <w:t>conclude</w:t>
      </w:r>
      <w:r w:rsidRPr="001738E1">
        <w:t xml:space="preserve"> the </w:t>
      </w:r>
      <w:r w:rsidR="00F01F54">
        <w:t xml:space="preserve">proposed 2012 </w:t>
      </w:r>
      <w:r w:rsidRPr="001738E1">
        <w:t>DMEGCIS process that commenced in May 2012.</w:t>
      </w:r>
      <w:r>
        <w:t xml:space="preserve"> </w:t>
      </w:r>
    </w:p>
    <w:p w:rsidR="00145BEC" w:rsidRDefault="00145BEC" w:rsidP="00145BEC">
      <w:pPr>
        <w:pStyle w:val="AERheading2"/>
      </w:pPr>
      <w:r>
        <w:t xml:space="preserve">Proposed </w:t>
      </w:r>
      <w:r w:rsidR="00DB42A8">
        <w:t xml:space="preserve">2012 </w:t>
      </w:r>
      <w:r>
        <w:t>DMEGCIS</w:t>
      </w:r>
    </w:p>
    <w:p w:rsidR="00145BEC" w:rsidRDefault="00145BEC" w:rsidP="00145BEC">
      <w:pPr>
        <w:pStyle w:val="AERbodytext"/>
      </w:pPr>
      <w:r>
        <w:t xml:space="preserve">The proposed 2012 DMEGCIS set out to amend the current </w:t>
      </w:r>
      <w:r w:rsidR="00120369">
        <w:t xml:space="preserve">2008 DMIS </w:t>
      </w:r>
      <w:r>
        <w:t>to adopt the AEMC’s National Electricity Amendment (inclusion of Embedded Generation Research into Demand Management Incentive Scheme) Rule 2011 No. 11.</w:t>
      </w:r>
      <w:r>
        <w:rPr>
          <w:rStyle w:val="FootnoteReference"/>
        </w:rPr>
        <w:footnoteReference w:id="9"/>
      </w:r>
    </w:p>
    <w:p w:rsidR="00177101" w:rsidRDefault="00177101" w:rsidP="00177101">
      <w:pPr>
        <w:pStyle w:val="AERbodytext"/>
      </w:pPr>
      <w:r>
        <w:rPr>
          <w:lang w:eastAsia="en-AU"/>
        </w:rPr>
        <w:t>Our view on t</w:t>
      </w:r>
      <w:r w:rsidR="00145BEC">
        <w:t xml:space="preserve">he proposed 2012 DMEGCIS also highlighted the importance of the Power of Choice review which included </w:t>
      </w:r>
      <w:r>
        <w:t>consideration</w:t>
      </w:r>
      <w:r w:rsidR="00145BEC">
        <w:t xml:space="preserve"> of demand-side participation</w:t>
      </w:r>
      <w:r w:rsidR="00DB42A8">
        <w:t xml:space="preserve"> (DSP)</w:t>
      </w:r>
      <w:r w:rsidR="00145BEC">
        <w:t xml:space="preserve"> in the National Electricity Market (NEM). The AER </w:t>
      </w:r>
      <w:r w:rsidR="00120369">
        <w:t>indicated</w:t>
      </w:r>
      <w:r w:rsidR="00145BEC">
        <w:t xml:space="preserve"> that it would consider its position on the proposed 2012 DMEGCIS at the conclusion of the Power of Choice review.</w:t>
      </w:r>
      <w:r w:rsidR="00145BEC">
        <w:rPr>
          <w:rStyle w:val="FootnoteReference"/>
        </w:rPr>
        <w:footnoteReference w:id="10"/>
      </w:r>
      <w:r>
        <w:t xml:space="preserve"> </w:t>
      </w:r>
      <w:r>
        <w:rPr>
          <w:lang w:eastAsia="en-AU"/>
        </w:rPr>
        <w:t xml:space="preserve">However, after publication of the proposed 2012 DMEGCIS, we were informed by the AEMC </w:t>
      </w:r>
      <w:r w:rsidR="00DB1EBE">
        <w:rPr>
          <w:lang w:eastAsia="en-AU"/>
        </w:rPr>
        <w:t xml:space="preserve">that </w:t>
      </w:r>
      <w:r>
        <w:rPr>
          <w:lang w:eastAsia="en-AU"/>
        </w:rPr>
        <w:t xml:space="preserve">the Power of Choice review would not be completed until November 2012. </w:t>
      </w:r>
    </w:p>
    <w:p w:rsidR="00177101" w:rsidRDefault="00177101" w:rsidP="00145BEC">
      <w:pPr>
        <w:pStyle w:val="AERbodytext"/>
      </w:pPr>
      <w:r w:rsidRPr="008C6A1D">
        <w:rPr>
          <w:rStyle w:val="AERbody"/>
        </w:rPr>
        <w:lastRenderedPageBreak/>
        <w:t xml:space="preserve">In order to capture any changes resulting from the Power of Choice review, we extended the time to publish our final decision until after </w:t>
      </w:r>
      <w:r w:rsidR="00FC6D90">
        <w:rPr>
          <w:rStyle w:val="AERbody"/>
        </w:rPr>
        <w:t xml:space="preserve">its </w:t>
      </w:r>
      <w:r w:rsidRPr="008C6A1D">
        <w:rPr>
          <w:rStyle w:val="AERbody"/>
        </w:rPr>
        <w:t xml:space="preserve">completion. We considered that an extension of time to publish a final decision was necessary due to circumstances beyond </w:t>
      </w:r>
      <w:r>
        <w:rPr>
          <w:rStyle w:val="AERbody"/>
        </w:rPr>
        <w:t>our</w:t>
      </w:r>
      <w:r w:rsidRPr="008C6A1D">
        <w:rPr>
          <w:rStyle w:val="AERbody"/>
        </w:rPr>
        <w:t xml:space="preserve"> control.</w:t>
      </w:r>
      <w:r w:rsidRPr="00C630B1">
        <w:rPr>
          <w:rStyle w:val="AERbody"/>
          <w:vertAlign w:val="superscript"/>
        </w:rPr>
        <w:footnoteReference w:id="11"/>
      </w:r>
    </w:p>
    <w:p w:rsidR="00145BEC" w:rsidRDefault="00145BEC" w:rsidP="00145BEC">
      <w:pPr>
        <w:pStyle w:val="AERheading2"/>
      </w:pPr>
      <w:r>
        <w:t>AEMC rule changes</w:t>
      </w:r>
    </w:p>
    <w:p w:rsidR="00145BEC" w:rsidRDefault="00145BEC" w:rsidP="00145BEC">
      <w:pPr>
        <w:pStyle w:val="AERheading3"/>
      </w:pPr>
      <w:r>
        <w:t>Economic regulation of network service providers</w:t>
      </w:r>
    </w:p>
    <w:p w:rsidR="00145BEC" w:rsidRDefault="00145BEC" w:rsidP="00145BEC">
      <w:pPr>
        <w:pStyle w:val="AERbodytext"/>
      </w:pPr>
      <w:r>
        <w:t>On 25 June 2012</w:t>
      </w:r>
      <w:r w:rsidR="00AB5920">
        <w:t>,</w:t>
      </w:r>
      <w:r>
        <w:t xml:space="preserve"> we published the preliminary framework and approach (F&amp;A) paper for ActewAGL’s next distribution determination.</w:t>
      </w:r>
      <w:r>
        <w:rPr>
          <w:rStyle w:val="FootnoteReference"/>
        </w:rPr>
        <w:footnoteReference w:id="12"/>
      </w:r>
      <w:r>
        <w:t xml:space="preserve"> </w:t>
      </w:r>
      <w:r w:rsidRPr="003B44D9">
        <w:t xml:space="preserve">In the context of the </w:t>
      </w:r>
      <w:r>
        <w:t xml:space="preserve">preliminary </w:t>
      </w:r>
      <w:r w:rsidRPr="003B44D9">
        <w:t>F&amp;A paper</w:t>
      </w:r>
      <w:r>
        <w:t xml:space="preserve">, </w:t>
      </w:r>
      <w:r w:rsidRPr="003B44D9">
        <w:t xml:space="preserve">we considered it appropriate to apply our proposed </w:t>
      </w:r>
      <w:r>
        <w:t xml:space="preserve">2012 </w:t>
      </w:r>
      <w:r w:rsidRPr="003B44D9">
        <w:t xml:space="preserve">DMEGCIS to </w:t>
      </w:r>
      <w:r>
        <w:t>ActewAGL</w:t>
      </w:r>
      <w:r w:rsidRPr="003B44D9">
        <w:t xml:space="preserve"> for the next regulatory control period.</w:t>
      </w:r>
      <w:r>
        <w:rPr>
          <w:rStyle w:val="FootnoteReference"/>
        </w:rPr>
        <w:footnoteReference w:id="13"/>
      </w:r>
    </w:p>
    <w:p w:rsidR="00145BEC" w:rsidRDefault="00145BEC" w:rsidP="00145BEC">
      <w:pPr>
        <w:pStyle w:val="AERbodytext"/>
      </w:pPr>
      <w:r>
        <w:t>On 29 November 2012, the AEMC amended the network regulation provisions of the NER. Those amendments provide the AER with greater capacity and flexibility in setting revenues and prices for electricity network service providers. In order for these amendments to take effect as soon as possible, the AEMC inserted transitional rules into the NER. These transitional rules impact ActewAGL.</w:t>
      </w:r>
      <w:r>
        <w:rPr>
          <w:rStyle w:val="FootnoteReference"/>
        </w:rPr>
        <w:footnoteReference w:id="14"/>
      </w:r>
    </w:p>
    <w:p w:rsidR="00145BEC" w:rsidRDefault="00145BEC" w:rsidP="00145BEC">
      <w:pPr>
        <w:pStyle w:val="AERbodytext"/>
      </w:pPr>
      <w:r>
        <w:t>The transitional rules establish a transitional regulatory control period for ActewAGL from 1 July 2014 to 30 June 2015.</w:t>
      </w:r>
      <w:r>
        <w:rPr>
          <w:rStyle w:val="FootnoteReference"/>
        </w:rPr>
        <w:footnoteReference w:id="15"/>
      </w:r>
      <w:r>
        <w:t xml:space="preserve"> The subsequent regulatory control period will then operate over the period 1 July 2015 to 30 June 2019.</w:t>
      </w:r>
      <w:r w:rsidRPr="0033462E">
        <w:rPr>
          <w:rStyle w:val="FootnoteReference"/>
        </w:rPr>
        <w:footnoteReference w:id="16"/>
      </w:r>
      <w:r>
        <w:t xml:space="preserve">  </w:t>
      </w:r>
    </w:p>
    <w:p w:rsidR="00145BEC" w:rsidRPr="0013098E" w:rsidRDefault="00145BEC" w:rsidP="00145BEC">
      <w:pPr>
        <w:pStyle w:val="AERbodytext"/>
      </w:pPr>
      <w:r>
        <w:t xml:space="preserve">The transitional rules require us to specify that the same </w:t>
      </w:r>
      <w:r w:rsidR="00AB5920">
        <w:t xml:space="preserve">DMIS </w:t>
      </w:r>
      <w:r>
        <w:t xml:space="preserve">that applied to ActewAGL in the </w:t>
      </w:r>
      <w:r w:rsidR="009C64AA">
        <w:t xml:space="preserve">period </w:t>
      </w:r>
      <w:r w:rsidR="009C41A3">
        <w:t>from</w:t>
      </w:r>
      <w:r w:rsidR="009C64AA">
        <w:t xml:space="preserve"> 1 July 2009 to 30 June 2014 (</w:t>
      </w:r>
      <w:r>
        <w:t>current regulatory control period</w:t>
      </w:r>
      <w:r w:rsidR="009C64AA">
        <w:t>)</w:t>
      </w:r>
      <w:r>
        <w:t xml:space="preserve"> be applied in the transitional regulatory control period (2014–15). This is subject to any modifications that are set out in the January 2014 </w:t>
      </w:r>
      <w:r w:rsidR="00120369">
        <w:t>S</w:t>
      </w:r>
      <w:r>
        <w:t>tage 2 F&amp;A paper.</w:t>
      </w:r>
      <w:r>
        <w:rPr>
          <w:rStyle w:val="FootnoteReference"/>
        </w:rPr>
        <w:footnoteReference w:id="17"/>
      </w:r>
      <w:r>
        <w:t xml:space="preserve"> That is, the </w:t>
      </w:r>
      <w:r w:rsidR="00AB5920">
        <w:t>DMIS</w:t>
      </w:r>
      <w:r>
        <w:t xml:space="preserve"> that applies to ActewAGL currently is to be applied as the ‘default’ in the transitional regulatory control period, subject to any modifications. These modifications can include, for example, changing the incentives under the scheme, or deciding not to apply the scheme at all.</w:t>
      </w:r>
      <w:r>
        <w:rPr>
          <w:rStyle w:val="FootnoteReference"/>
        </w:rPr>
        <w:footnoteReference w:id="18"/>
      </w:r>
    </w:p>
    <w:p w:rsidR="00145BEC" w:rsidRDefault="00145BEC" w:rsidP="00145BEC">
      <w:pPr>
        <w:pStyle w:val="AERheading3"/>
      </w:pPr>
      <w:r>
        <w:lastRenderedPageBreak/>
        <w:t>Inclusion of embedded generation research into the demand management incentive scheme</w:t>
      </w:r>
    </w:p>
    <w:p w:rsidR="00145BEC" w:rsidRDefault="00145BEC" w:rsidP="00145BEC">
      <w:pPr>
        <w:pStyle w:val="AERbodytext"/>
      </w:pPr>
      <w:r>
        <w:rPr>
          <w:lang w:eastAsia="en-AU"/>
        </w:rPr>
        <w:t>In December 2011, an amendment was made to the NER so that it now refers to the AER including embedded generation research into its demand management incentive scheme.</w:t>
      </w:r>
      <w:r>
        <w:rPr>
          <w:rStyle w:val="FootnoteReference"/>
          <w:lang w:eastAsia="en-AU"/>
        </w:rPr>
        <w:footnoteReference w:id="19"/>
      </w:r>
      <w:r>
        <w:rPr>
          <w:lang w:eastAsia="en-AU"/>
        </w:rPr>
        <w:t xml:space="preserve"> This was discussed in the proposed 2012 DMEGCIS.</w:t>
      </w:r>
      <w:r>
        <w:rPr>
          <w:rStyle w:val="FootnoteReference"/>
          <w:lang w:eastAsia="en-AU"/>
        </w:rPr>
        <w:footnoteReference w:id="20"/>
      </w:r>
      <w:r>
        <w:rPr>
          <w:lang w:eastAsia="en-AU"/>
        </w:rPr>
        <w:t xml:space="preserve"> </w:t>
      </w:r>
    </w:p>
    <w:p w:rsidR="00177101" w:rsidRDefault="00177101" w:rsidP="00177101">
      <w:pPr>
        <w:pStyle w:val="AERheading2"/>
      </w:pPr>
      <w:r>
        <w:t>Next steps following the AEMC’s Final report</w:t>
      </w:r>
    </w:p>
    <w:p w:rsidR="00177101" w:rsidRDefault="00177101" w:rsidP="00177101">
      <w:pPr>
        <w:pStyle w:val="AERbodytext"/>
      </w:pPr>
      <w:r>
        <w:t xml:space="preserve">The majority of the recommendations set out in the Final Report require changes to the NER. Similarly, much of our work to implement the recommendations, including developing a new </w:t>
      </w:r>
      <w:r w:rsidR="00F01F54">
        <w:t>demand management incentive scheme</w:t>
      </w:r>
      <w:r>
        <w:t xml:space="preserve">, are predicated on the AEMC making appropriate changes to the NER. The precise timing of when the new rules will take effect is currently unclear. </w:t>
      </w:r>
    </w:p>
    <w:p w:rsidR="00177101" w:rsidRPr="006E5733" w:rsidRDefault="00177101" w:rsidP="00177101">
      <w:pPr>
        <w:pStyle w:val="AERbodytext"/>
      </w:pPr>
      <w:r>
        <w:t xml:space="preserve">We intend to commence informal engagement on matters relevant to the form of a new demand management incentive scheme based on the </w:t>
      </w:r>
      <w:r w:rsidR="00C66485">
        <w:t>recommendations</w:t>
      </w:r>
      <w:r>
        <w:t xml:space="preserve"> set out in the Final Report. This informal engagement is likely to take place in parallel with the AEMC’s rule change process. Further information about this engagement, as well as our intended timing to develop a new scheme to apply subsequent to the current regulatory control period, is set out in our March 2013 Information Paper.</w:t>
      </w:r>
      <w:r>
        <w:rPr>
          <w:rStyle w:val="FootnoteReference"/>
        </w:rPr>
        <w:footnoteReference w:id="21"/>
      </w:r>
    </w:p>
    <w:p w:rsidR="00145BEC" w:rsidRPr="006E5733" w:rsidRDefault="00145BEC" w:rsidP="00145BEC">
      <w:pPr>
        <w:pStyle w:val="AERbodytext"/>
      </w:pPr>
    </w:p>
    <w:p w:rsidR="00145BEC" w:rsidRDefault="00145BEC" w:rsidP="00145BEC">
      <w:pPr>
        <w:pStyle w:val="AERheading1"/>
      </w:pPr>
      <w:bookmarkStart w:id="6" w:name="_Toc356469570"/>
      <w:r>
        <w:lastRenderedPageBreak/>
        <w:t>Requirements of the National Electricity Rules</w:t>
      </w:r>
      <w:bookmarkEnd w:id="6"/>
    </w:p>
    <w:p w:rsidR="00145BEC" w:rsidRDefault="00145BEC" w:rsidP="00145BEC">
      <w:pPr>
        <w:pStyle w:val="AERbodytext"/>
      </w:pPr>
      <w:bookmarkStart w:id="7" w:name="OLE_LINK5"/>
      <w:bookmarkStart w:id="8" w:name="OLE_LINK8"/>
      <w:r>
        <w:t xml:space="preserve">In developing and implementing a DMEGCIS, the AER must have regard to the requirements of cl. 6.6.3(b) of the NER. These requirements are set out in </w:t>
      </w:r>
      <w:r w:rsidR="00177101">
        <w:t>section 3.2</w:t>
      </w:r>
      <w:r>
        <w:t xml:space="preserve"> o</w:t>
      </w:r>
      <w:r w:rsidR="00177101">
        <w:t>f</w:t>
      </w:r>
      <w:r>
        <w:t xml:space="preserve"> the Final </w:t>
      </w:r>
      <w:r w:rsidR="00177101">
        <w:t>d</w:t>
      </w:r>
      <w:r>
        <w:t>ecision</w:t>
      </w:r>
      <w:r w:rsidR="00C66485">
        <w:t xml:space="preserve"> and were also discussed in the proposed 2012 DMEGCIS</w:t>
      </w:r>
      <w:r>
        <w:t>.</w:t>
      </w:r>
      <w:r>
        <w:rPr>
          <w:rStyle w:val="FootnoteReference"/>
        </w:rPr>
        <w:footnoteReference w:id="22"/>
      </w:r>
    </w:p>
    <w:p w:rsidR="00145BEC" w:rsidRPr="00890AD8" w:rsidRDefault="00145BEC" w:rsidP="00145BEC">
      <w:pPr>
        <w:pStyle w:val="AERbodytext"/>
      </w:pPr>
      <w:r w:rsidRPr="00890AD8">
        <w:t xml:space="preserve">Clause 6.6.3(c) of the NER </w:t>
      </w:r>
      <w:r w:rsidR="00FC6D90">
        <w:t>allow</w:t>
      </w:r>
      <w:r w:rsidRPr="00890AD8">
        <w:t xml:space="preserve">s the AER to </w:t>
      </w:r>
      <w:r w:rsidR="00F01F54" w:rsidRPr="00890AD8">
        <w:t xml:space="preserve">amend </w:t>
      </w:r>
      <w:r w:rsidR="00F01F54">
        <w:t xml:space="preserve">or </w:t>
      </w:r>
      <w:r w:rsidRPr="00890AD8">
        <w:t xml:space="preserve">replace a scheme </w:t>
      </w:r>
      <w:r w:rsidR="00F01F54">
        <w:t>that is</w:t>
      </w:r>
      <w:r w:rsidRPr="00890AD8">
        <w:t xml:space="preserve"> developed and published.</w:t>
      </w:r>
    </w:p>
    <w:p w:rsidR="00145BEC" w:rsidRPr="00614E74" w:rsidRDefault="00145BEC" w:rsidP="00145BEC">
      <w:pPr>
        <w:pStyle w:val="AERheading2"/>
      </w:pPr>
      <w:r>
        <w:t>Consultation process</w:t>
      </w:r>
    </w:p>
    <w:p w:rsidR="00145BEC" w:rsidRDefault="00177101" w:rsidP="00145BEC">
      <w:pPr>
        <w:pStyle w:val="AERbodytext"/>
      </w:pPr>
      <w:r>
        <w:t>T</w:t>
      </w:r>
      <w:r w:rsidR="00145BEC">
        <w:t xml:space="preserve">he distribution consultation procedures set out in Part G, chapter 6 of the NER apply to the AER’s proposed amendments </w:t>
      </w:r>
      <w:r>
        <w:t xml:space="preserve">to </w:t>
      </w:r>
      <w:r w:rsidR="00145BEC">
        <w:t>the DMEGCIS.</w:t>
      </w:r>
      <w:r w:rsidR="00145BEC">
        <w:rPr>
          <w:rStyle w:val="FootnoteReference"/>
        </w:rPr>
        <w:footnoteReference w:id="23"/>
      </w:r>
      <w:r w:rsidR="00145BEC">
        <w:t xml:space="preserve"> These consultation procedures require us to publish a final decision on the DMEGCIS which sets out: </w:t>
      </w:r>
    </w:p>
    <w:p w:rsidR="00145BEC" w:rsidRDefault="00145BEC" w:rsidP="00145BEC">
      <w:pPr>
        <w:pStyle w:val="AERbulletlistfirststyle"/>
        <w:tabs>
          <w:tab w:val="clear" w:pos="1071"/>
          <w:tab w:val="num" w:pos="357"/>
        </w:tabs>
        <w:ind w:left="357"/>
      </w:pPr>
      <w:r>
        <w:t>the scheme or amendment</w:t>
      </w:r>
    </w:p>
    <w:p w:rsidR="00145BEC" w:rsidRDefault="00145BEC" w:rsidP="00145BEC">
      <w:pPr>
        <w:pStyle w:val="AERbulletlistfirststyle"/>
        <w:tabs>
          <w:tab w:val="clear" w:pos="1071"/>
          <w:tab w:val="num" w:pos="357"/>
        </w:tabs>
        <w:ind w:left="357"/>
      </w:pPr>
      <w:r>
        <w:t>the provision of the NER under which or for the purposes of which the scheme or amendment is being prepared, made or developed or is being reviewed</w:t>
      </w:r>
    </w:p>
    <w:p w:rsidR="00145BEC" w:rsidRDefault="00145BEC" w:rsidP="00145BEC">
      <w:pPr>
        <w:pStyle w:val="AERbulletlistfirststyle"/>
        <w:tabs>
          <w:tab w:val="clear" w:pos="1071"/>
          <w:tab w:val="num" w:pos="357"/>
        </w:tabs>
        <w:ind w:left="357"/>
      </w:pPr>
      <w:r>
        <w:t>the reasons for the scheme or amendment</w:t>
      </w:r>
    </w:p>
    <w:p w:rsidR="00145BEC" w:rsidRDefault="00145BEC" w:rsidP="00145BEC">
      <w:pPr>
        <w:pStyle w:val="AERbulletlistfirststyle"/>
        <w:tabs>
          <w:tab w:val="clear" w:pos="1071"/>
          <w:tab w:val="num" w:pos="357"/>
        </w:tabs>
        <w:ind w:left="357"/>
      </w:pPr>
      <w:r>
        <w:t>the reasons for the outcome of any review.</w:t>
      </w:r>
      <w:r>
        <w:rPr>
          <w:rStyle w:val="FootnoteReference"/>
        </w:rPr>
        <w:footnoteReference w:id="24"/>
      </w:r>
    </w:p>
    <w:p w:rsidR="00145BEC" w:rsidRDefault="00145BEC" w:rsidP="00145BEC">
      <w:pPr>
        <w:pStyle w:val="AERbulletlistfirststyle"/>
        <w:numPr>
          <w:ilvl w:val="0"/>
          <w:numId w:val="0"/>
        </w:numPr>
      </w:pPr>
      <w:r>
        <w:t xml:space="preserve">Clause 6.16(f) of the NER also requires us to consider any submissions made in response to the proposed 2012 DMEGCIS and provide a response to the issues raised. </w:t>
      </w:r>
    </w:p>
    <w:p w:rsidR="00145BEC" w:rsidRDefault="00145BEC" w:rsidP="00145BEC">
      <w:pPr>
        <w:pStyle w:val="AERbulletlistfirststyle"/>
        <w:numPr>
          <w:ilvl w:val="0"/>
          <w:numId w:val="0"/>
        </w:numPr>
      </w:pPr>
      <w:r>
        <w:t>We must also publish a notice of the making of the final decision on the proposed 2012 DMEGCIS.</w:t>
      </w:r>
      <w:r>
        <w:rPr>
          <w:rStyle w:val="FootnoteReference"/>
        </w:rPr>
        <w:footnoteReference w:id="25"/>
      </w:r>
    </w:p>
    <w:bookmarkEnd w:id="7"/>
    <w:bookmarkEnd w:id="8"/>
    <w:p w:rsidR="00145BEC" w:rsidRPr="008B122E" w:rsidRDefault="00145BEC" w:rsidP="00145BEC">
      <w:pPr>
        <w:pStyle w:val="AERtablesource"/>
      </w:pPr>
      <w:r w:rsidRPr="00891706">
        <w:tab/>
      </w:r>
    </w:p>
    <w:p w:rsidR="00145BEC" w:rsidRDefault="00145BEC" w:rsidP="00145BEC">
      <w:pPr>
        <w:pStyle w:val="AERheading1"/>
      </w:pPr>
      <w:bookmarkStart w:id="9" w:name="_Toc354054556"/>
      <w:bookmarkStart w:id="10" w:name="_Toc356469571"/>
      <w:bookmarkEnd w:id="9"/>
      <w:r>
        <w:lastRenderedPageBreak/>
        <w:t>Final decision</w:t>
      </w:r>
      <w:bookmarkEnd w:id="10"/>
    </w:p>
    <w:p w:rsidR="00145BEC" w:rsidRDefault="00AB5920" w:rsidP="00145BEC">
      <w:pPr>
        <w:pStyle w:val="AERbodytext"/>
      </w:pPr>
      <w:r>
        <w:t xml:space="preserve">The </w:t>
      </w:r>
      <w:r w:rsidR="00825E6B">
        <w:t xml:space="preserve">AER’s </w:t>
      </w:r>
      <w:r>
        <w:t>Final d</w:t>
      </w:r>
      <w:r w:rsidR="00145BEC">
        <w:t xml:space="preserve">ecision is to conclude the proposed 2012 DMEGCIS process by not amending or replacing the </w:t>
      </w:r>
      <w:r>
        <w:t>current 2008 DMIS</w:t>
      </w:r>
      <w:r w:rsidR="00177101">
        <w:t xml:space="preserve"> for ActewAGL</w:t>
      </w:r>
      <w:r w:rsidR="00145BEC">
        <w:t xml:space="preserve">. </w:t>
      </w:r>
      <w:r w:rsidR="00177101">
        <w:rPr>
          <w:lang w:eastAsia="en-AU"/>
        </w:rPr>
        <w:t xml:space="preserve">We have made this decision by having regard to cl. 6.6.3(b) of the NER and taking into account submissions made on the proposed 2012 DMEGCIS. </w:t>
      </w:r>
      <w:r w:rsidR="00145BEC">
        <w:t xml:space="preserve">The </w:t>
      </w:r>
      <w:r>
        <w:t>current 2008 DMIS</w:t>
      </w:r>
      <w:r w:rsidR="00145BEC">
        <w:t xml:space="preserve"> will continue to apply until we develop a new scheme under </w:t>
      </w:r>
      <w:r w:rsidR="00145BEC" w:rsidRPr="00BA5178">
        <w:t>cl.</w:t>
      </w:r>
      <w:r w:rsidR="00145BEC" w:rsidRPr="00BA5178">
        <w:rPr>
          <w:rFonts w:hint="eastAsia"/>
        </w:rPr>
        <w:t> </w:t>
      </w:r>
      <w:r w:rsidR="00145BEC" w:rsidRPr="00BA5178">
        <w:t>6.6.3(c) of the</w:t>
      </w:r>
      <w:r w:rsidR="00145BEC">
        <w:t xml:space="preserve"> NER. </w:t>
      </w:r>
    </w:p>
    <w:p w:rsidR="00145BEC" w:rsidRPr="005E4D8F" w:rsidRDefault="00145BEC" w:rsidP="00145BEC">
      <w:pPr>
        <w:pStyle w:val="AERheading2"/>
      </w:pPr>
      <w:r>
        <w:t>Issues raised in submissions and the AER’s response</w:t>
      </w:r>
    </w:p>
    <w:p w:rsidR="00145BEC" w:rsidRDefault="00145BEC" w:rsidP="00145BEC">
      <w:pPr>
        <w:pStyle w:val="AERbodytext"/>
      </w:pPr>
      <w:r>
        <w:t>A number of the submissions received by the AER on its proposed DMEGCIS recognise the importance of providing appropriate incentives for DNSPs to implement demand management programs and practices.</w:t>
      </w:r>
      <w:r>
        <w:rPr>
          <w:rStyle w:val="FootnoteReference"/>
        </w:rPr>
        <w:footnoteReference w:id="26"/>
      </w:r>
      <w:r>
        <w:t xml:space="preserve"> </w:t>
      </w:r>
      <w:r w:rsidR="00825E6B">
        <w:t>Similarly, s</w:t>
      </w:r>
      <w:r w:rsidR="00825E6B" w:rsidRPr="007706BC">
        <w:t xml:space="preserve">ubmissions received </w:t>
      </w:r>
      <w:r w:rsidR="00825E6B">
        <w:t xml:space="preserve">from </w:t>
      </w:r>
      <w:r w:rsidR="00825E6B" w:rsidRPr="00891706">
        <w:t>Alternative Technology Association</w:t>
      </w:r>
      <w:r w:rsidR="00825E6B" w:rsidRPr="007706BC">
        <w:t xml:space="preserve"> </w:t>
      </w:r>
      <w:r w:rsidR="00825E6B">
        <w:t>(</w:t>
      </w:r>
      <w:r w:rsidR="00825E6B" w:rsidRPr="007706BC">
        <w:t>ATA</w:t>
      </w:r>
      <w:r w:rsidR="00825E6B">
        <w:t>)</w:t>
      </w:r>
      <w:r w:rsidR="00825E6B" w:rsidRPr="007706BC">
        <w:t xml:space="preserve"> and EnerNOC recognise the importance of providing appropriate incentives for DNSPs to implement demand management programs and practices.</w:t>
      </w:r>
      <w:r w:rsidR="00825E6B" w:rsidRPr="007706BC">
        <w:rPr>
          <w:vertAlign w:val="superscript"/>
        </w:rPr>
        <w:footnoteReference w:id="27"/>
      </w:r>
      <w:r w:rsidR="00825E6B" w:rsidRPr="007706BC">
        <w:t xml:space="preserve"> </w:t>
      </w:r>
      <w:r>
        <w:t xml:space="preserve">ATA and EnerNOC </w:t>
      </w:r>
      <w:r w:rsidR="00825E6B">
        <w:t xml:space="preserve">also </w:t>
      </w:r>
      <w:r>
        <w:t xml:space="preserve">submitted that DNSPs need to be given a strong motivation to change their business practices. They further submitted that this could be achieved by making efficient non-network solutions more profitable and establishing mandatory minimum targets for the proportion of peak demand growth </w:t>
      </w:r>
      <w:r w:rsidR="00FC6D90">
        <w:t xml:space="preserve">to be </w:t>
      </w:r>
      <w:r>
        <w:t>met through efficient non-network solutions.</w:t>
      </w:r>
      <w:r>
        <w:rPr>
          <w:rStyle w:val="FootnoteReference"/>
        </w:rPr>
        <w:footnoteReference w:id="28"/>
      </w:r>
      <w:r>
        <w:t xml:space="preserve"> ActewAGL also indicated its support for the AER’s assessment and welcomed efforts to provide stronger incentives through </w:t>
      </w:r>
      <w:r w:rsidR="003E397F">
        <w:t xml:space="preserve">a </w:t>
      </w:r>
      <w:r>
        <w:t>DMEGCIS.</w:t>
      </w:r>
      <w:r>
        <w:rPr>
          <w:rStyle w:val="FootnoteReference"/>
        </w:rPr>
        <w:footnoteReference w:id="29"/>
      </w:r>
    </w:p>
    <w:p w:rsidR="00145BEC" w:rsidRDefault="00145BEC" w:rsidP="00145BEC">
      <w:pPr>
        <w:pStyle w:val="AERbodytext"/>
      </w:pPr>
      <w:r w:rsidRPr="00CD3326">
        <w:rPr>
          <w:lang w:eastAsia="en-AU"/>
        </w:rPr>
        <w:t xml:space="preserve">We note that these are the same concerns set out in the Final Report. </w:t>
      </w:r>
      <w:r w:rsidRPr="00CD3326">
        <w:t>The Final</w:t>
      </w:r>
      <w:r>
        <w:t xml:space="preserve"> Report notes that network businesses may not be reacting to current incentives in the way intended with respect to pursuing efficient DSP projects.</w:t>
      </w:r>
      <w:r>
        <w:rPr>
          <w:rStyle w:val="FootnoteReference"/>
        </w:rPr>
        <w:footnoteReference w:id="30"/>
      </w:r>
      <w:r>
        <w:t xml:space="preserve"> The recommendations set out in the Final Report are aimed at improving the incentives for DNSPs to engage in DSP. For this reason, we consider it important that any future demand management incentive scheme to be applied to ActewAGL takes account of these recommendations.</w:t>
      </w:r>
    </w:p>
    <w:p w:rsidR="00145BEC" w:rsidRDefault="00145BEC" w:rsidP="00145BEC">
      <w:pPr>
        <w:pStyle w:val="AERheading2"/>
      </w:pPr>
      <w:r>
        <w:t>Consideration of factors set out in the NER</w:t>
      </w:r>
    </w:p>
    <w:p w:rsidR="00145BEC" w:rsidRDefault="00145BEC" w:rsidP="00145BEC">
      <w:pPr>
        <w:pStyle w:val="AERbodytext"/>
      </w:pPr>
      <w:r>
        <w:t xml:space="preserve">In continuing to apply the current </w:t>
      </w:r>
      <w:r w:rsidR="00825E6B">
        <w:t xml:space="preserve">2008 </w:t>
      </w:r>
      <w:r>
        <w:t>DMIS, we have had regard to the six factors outlined in cl. 6.6.3(b) of the NER. Our response to these factors is set out in table </w:t>
      </w:r>
      <w:r w:rsidR="00FC6D90">
        <w:t>3.1 below</w:t>
      </w:r>
      <w:r>
        <w:t xml:space="preserve">. </w:t>
      </w:r>
    </w:p>
    <w:p w:rsidR="00145BEC" w:rsidRPr="00D606BB" w:rsidRDefault="00145BEC" w:rsidP="00145BEC">
      <w:pPr>
        <w:pStyle w:val="AERtabletitle"/>
      </w:pPr>
      <w:r w:rsidRPr="00D606BB">
        <w:lastRenderedPageBreak/>
        <w:t xml:space="preserve">AER response to NER requirements </w:t>
      </w:r>
    </w:p>
    <w:tbl>
      <w:tblPr>
        <w:tblW w:w="0" w:type="auto"/>
        <w:tblBorders>
          <w:bottom w:val="single" w:sz="4" w:space="0" w:color="365F91"/>
        </w:tblBorders>
        <w:tblLook w:val="04A0"/>
      </w:tblPr>
      <w:tblGrid>
        <w:gridCol w:w="1951"/>
        <w:gridCol w:w="6477"/>
      </w:tblGrid>
      <w:tr w:rsidR="001A395A" w:rsidRPr="000C052F" w:rsidTr="00C97AE4">
        <w:tc>
          <w:tcPr>
            <w:tcW w:w="1951" w:type="dxa"/>
            <w:shd w:val="clear" w:color="auto" w:fill="365F91"/>
            <w:noWrap/>
            <w:vAlign w:val="center"/>
          </w:tcPr>
          <w:p w:rsidR="001A395A" w:rsidRPr="000C052F" w:rsidRDefault="001A395A" w:rsidP="00C97AE4">
            <w:pPr>
              <w:spacing w:before="120" w:after="80"/>
              <w:jc w:val="left"/>
              <w:rPr>
                <w:b/>
                <w:color w:val="FFFFFF"/>
                <w:sz w:val="16"/>
              </w:rPr>
            </w:pPr>
            <w:r>
              <w:rPr>
                <w:b/>
                <w:color w:val="FFFFFF"/>
                <w:sz w:val="16"/>
              </w:rPr>
              <w:t>NER requirement</w:t>
            </w:r>
          </w:p>
        </w:tc>
        <w:tc>
          <w:tcPr>
            <w:tcW w:w="6477" w:type="dxa"/>
            <w:shd w:val="clear" w:color="auto" w:fill="365F91"/>
            <w:noWrap/>
            <w:vAlign w:val="center"/>
          </w:tcPr>
          <w:p w:rsidR="001A395A" w:rsidRPr="000C052F" w:rsidRDefault="001A395A" w:rsidP="00C97AE4">
            <w:pPr>
              <w:spacing w:before="120" w:after="80"/>
              <w:jc w:val="left"/>
              <w:rPr>
                <w:b/>
                <w:color w:val="FFFFFF"/>
                <w:sz w:val="16"/>
              </w:rPr>
            </w:pPr>
            <w:r>
              <w:rPr>
                <w:b/>
                <w:color w:val="FFFFFF"/>
                <w:sz w:val="16"/>
              </w:rPr>
              <w:t>The AER’s consideration</w:t>
            </w:r>
          </w:p>
        </w:tc>
      </w:tr>
      <w:tr w:rsidR="001A395A" w:rsidRPr="000C052F" w:rsidTr="00C97AE4">
        <w:tc>
          <w:tcPr>
            <w:tcW w:w="1951" w:type="dxa"/>
            <w:noWrap/>
            <w:vAlign w:val="center"/>
          </w:tcPr>
          <w:p w:rsidR="001A395A" w:rsidRDefault="001A395A" w:rsidP="001A395A">
            <w:pPr>
              <w:pStyle w:val="AERtabletext"/>
            </w:pPr>
            <w:r w:rsidRPr="004B01D8">
              <w:t>Clause 6.6.3(b)(1) of the NER</w:t>
            </w:r>
          </w:p>
          <w:p w:rsidR="001A395A" w:rsidRPr="00627E24" w:rsidRDefault="001A395A" w:rsidP="001A395A">
            <w:pPr>
              <w:pStyle w:val="AERtabletext"/>
              <w:rPr>
                <w:szCs w:val="16"/>
              </w:rPr>
            </w:pPr>
            <w:r w:rsidRPr="004B01D8">
              <w:t>The need to ensure that benefits to consumers likely to result from the scheme are sufficient to warrant any reward or penalty under the scheme for DNSPs.</w:t>
            </w:r>
          </w:p>
        </w:tc>
        <w:tc>
          <w:tcPr>
            <w:tcW w:w="6477" w:type="dxa"/>
            <w:noWrap/>
            <w:vAlign w:val="center"/>
          </w:tcPr>
          <w:p w:rsidR="001A395A" w:rsidRDefault="001A395A" w:rsidP="00737A1E">
            <w:pPr>
              <w:pStyle w:val="AERtabletext"/>
              <w:jc w:val="both"/>
            </w:pPr>
            <w:r>
              <w:t xml:space="preserve">In the proposed 2012 DMEGCIS, we considered that the benefits to consumers likely to result from the scheme are sufficient to warrant any reward or penalty under the scheme for ActewAGL. In reaching this view, we noted </w:t>
            </w:r>
            <w:r w:rsidR="00FC6D90">
              <w:t>in</w:t>
            </w:r>
            <w:r>
              <w:t xml:space="preserve"> the proposed 2012 DMEGCIS </w:t>
            </w:r>
            <w:r w:rsidR="00FC6D90">
              <w:t xml:space="preserve">that </w:t>
            </w:r>
            <w:r w:rsidR="003E397F">
              <w:t>it</w:t>
            </w:r>
            <w:r w:rsidR="00FC6D90">
              <w:t xml:space="preserve"> </w:t>
            </w:r>
            <w:r>
              <w:t>encourages the implementation of efficient connection of embedded generators.</w:t>
            </w:r>
            <w:r>
              <w:rPr>
                <w:rStyle w:val="FootnoteReference"/>
              </w:rPr>
              <w:footnoteReference w:id="31"/>
            </w:r>
            <w:r>
              <w:t xml:space="preserve"> This position does not change under our approach to the final decision.</w:t>
            </w:r>
          </w:p>
          <w:p w:rsidR="001A395A" w:rsidRDefault="001A395A" w:rsidP="00737A1E">
            <w:pPr>
              <w:pStyle w:val="AERtabletext"/>
              <w:jc w:val="both"/>
              <w:rPr>
                <w:lang w:eastAsia="en-AU"/>
              </w:rPr>
            </w:pPr>
            <w:r>
              <w:t>We consider that the current 2008 DMIS already contemplates the inclusion of efficient connection of embedded generators. The proposed 2012 DMEGCIS did not expand the current access criteria, nor develop specific access criteria for embedded generator connections projects or programs. We consider that these projects or programs are within the scope of the current 2008 DMIS. Following this, our final decision will not exclude these activities from providing long term efficiency benefits for consumers.</w:t>
            </w:r>
            <w:r>
              <w:rPr>
                <w:lang w:eastAsia="en-AU"/>
              </w:rPr>
              <w:t xml:space="preserve"> </w:t>
            </w:r>
          </w:p>
          <w:p w:rsidR="001A395A" w:rsidRPr="004B356E" w:rsidRDefault="001A395A" w:rsidP="00737A1E">
            <w:pPr>
              <w:pStyle w:val="AERtabletext"/>
              <w:jc w:val="both"/>
            </w:pPr>
            <w:r>
              <w:t>We also note that i</w:t>
            </w:r>
            <w:r w:rsidRPr="004B356E">
              <w:t xml:space="preserve">n striking the appropriate balance, the operation of the </w:t>
            </w:r>
            <w:r>
              <w:t xml:space="preserve">current 2008 </w:t>
            </w:r>
            <w:r w:rsidR="003E397F">
              <w:t>DMIS</w:t>
            </w:r>
            <w:r w:rsidR="003E397F" w:rsidRPr="004B356E">
              <w:t xml:space="preserve"> </w:t>
            </w:r>
            <w:r w:rsidRPr="004B356E">
              <w:t>may result in cost impacts within a regulatory control period where the benefits are unlikely to be obtained until later regulatory control periods.</w:t>
            </w:r>
            <w:r>
              <w:t xml:space="preserve"> Further, we</w:t>
            </w:r>
            <w:r w:rsidRPr="004B356E">
              <w:t xml:space="preserve"> consider that the implementation of demand management initiatives and efficient connection of embedded generators are likely to provide long term efficiency gains to energy consumers that will outweigh any short term price increases.</w:t>
            </w:r>
          </w:p>
          <w:p w:rsidR="001A395A" w:rsidRPr="004B356E" w:rsidRDefault="001A395A" w:rsidP="00737A1E">
            <w:pPr>
              <w:pStyle w:val="AERtabletext"/>
              <w:jc w:val="both"/>
            </w:pPr>
            <w:r w:rsidRPr="004B356E">
              <w:t xml:space="preserve">The </w:t>
            </w:r>
            <w:r>
              <w:t xml:space="preserve">current 2008 </w:t>
            </w:r>
            <w:r w:rsidR="003E397F">
              <w:t>DMIS</w:t>
            </w:r>
            <w:r w:rsidR="003E397F" w:rsidRPr="004B356E">
              <w:t xml:space="preserve"> </w:t>
            </w:r>
            <w:r w:rsidRPr="004B356E">
              <w:t>can promote initiatives which reduce investment in new infrastructure through either deferral of, or removal of the need for, network augmentation and</w:t>
            </w:r>
            <w:r w:rsidR="00FC6D90">
              <w:t>/</w:t>
            </w:r>
            <w:r w:rsidRPr="004B356E">
              <w:t xml:space="preserve">or expansion expenditures. </w:t>
            </w:r>
            <w:r>
              <w:t>It</w:t>
            </w:r>
            <w:r w:rsidRPr="004B356E">
              <w:t xml:space="preserve"> could also be used to implement initiatives which result in a more efficient use of existing infrastructure. Such initiatives may lead to lower: </w:t>
            </w:r>
          </w:p>
          <w:p w:rsidR="001A395A" w:rsidRPr="004B356E" w:rsidRDefault="001A395A" w:rsidP="00C97AE4">
            <w:pPr>
              <w:pStyle w:val="AERbulletlistfirststyle"/>
              <w:rPr>
                <w:sz w:val="16"/>
                <w:szCs w:val="16"/>
              </w:rPr>
            </w:pPr>
            <w:r w:rsidRPr="004B356E">
              <w:rPr>
                <w:sz w:val="16"/>
                <w:szCs w:val="16"/>
              </w:rPr>
              <w:t xml:space="preserve">demand overall </w:t>
            </w:r>
          </w:p>
          <w:p w:rsidR="001A395A" w:rsidRPr="004B356E" w:rsidRDefault="001A395A" w:rsidP="00C97AE4">
            <w:pPr>
              <w:pStyle w:val="AERbulletlistfirststyle"/>
              <w:rPr>
                <w:sz w:val="16"/>
                <w:szCs w:val="16"/>
              </w:rPr>
            </w:pPr>
            <w:r w:rsidRPr="004B356E">
              <w:rPr>
                <w:sz w:val="16"/>
                <w:szCs w:val="16"/>
              </w:rPr>
              <w:t xml:space="preserve">network investment </w:t>
            </w:r>
          </w:p>
          <w:p w:rsidR="001A395A" w:rsidRPr="004B356E" w:rsidRDefault="001A395A" w:rsidP="00C97AE4">
            <w:pPr>
              <w:pStyle w:val="AERbulletlistfirststyle"/>
              <w:rPr>
                <w:sz w:val="16"/>
                <w:szCs w:val="16"/>
              </w:rPr>
            </w:pPr>
            <w:r w:rsidRPr="004B356E">
              <w:rPr>
                <w:sz w:val="16"/>
                <w:szCs w:val="16"/>
              </w:rPr>
              <w:t>customer electricity prices.</w:t>
            </w:r>
          </w:p>
          <w:p w:rsidR="001A395A" w:rsidRPr="00627E24" w:rsidRDefault="001A395A" w:rsidP="00737A1E">
            <w:pPr>
              <w:pStyle w:val="AERtabletext"/>
              <w:jc w:val="both"/>
              <w:rPr>
                <w:szCs w:val="16"/>
              </w:rPr>
            </w:pPr>
            <w:r>
              <w:t>Further we note that t</w:t>
            </w:r>
            <w:r w:rsidRPr="004B356E">
              <w:t>he DMIA is provided on a ‘use it or lose it’ basis</w:t>
            </w:r>
            <w:r w:rsidR="00825E6B">
              <w:t>. T</w:t>
            </w:r>
            <w:r>
              <w:t>herefore we do</w:t>
            </w:r>
            <w:r w:rsidRPr="004B356E">
              <w:t xml:space="preserve"> not consider the DMIA to be overly burdensome on end users that bear this cost in the long term. </w:t>
            </w:r>
            <w:r>
              <w:t>We also consider</w:t>
            </w:r>
            <w:r w:rsidRPr="004B356E">
              <w:t xml:space="preserve"> that increases in tariffs as a result of the scheme’s implementation are expected to be minimal. </w:t>
            </w:r>
            <w:r>
              <w:t xml:space="preserve">Further, given the </w:t>
            </w:r>
            <w:r w:rsidR="00FC6D90">
              <w:t xml:space="preserve">current </w:t>
            </w:r>
            <w:r>
              <w:t>minimal usage of the DMIA by the DNSPs, there is likely to be little impact on consumers under the scheme.</w:t>
            </w:r>
          </w:p>
        </w:tc>
      </w:tr>
      <w:tr w:rsidR="001A395A" w:rsidRPr="000C052F" w:rsidTr="00C97AE4">
        <w:tc>
          <w:tcPr>
            <w:tcW w:w="1951" w:type="dxa"/>
            <w:tcBorders>
              <w:bottom w:val="nil"/>
            </w:tcBorders>
            <w:shd w:val="clear" w:color="auto" w:fill="DBE5F1"/>
            <w:noWrap/>
            <w:vAlign w:val="center"/>
          </w:tcPr>
          <w:p w:rsidR="001A395A" w:rsidRDefault="001A395A" w:rsidP="001A395A">
            <w:pPr>
              <w:pStyle w:val="AERtabletext"/>
            </w:pPr>
            <w:r w:rsidRPr="004B01D8">
              <w:t>Clause 6.6.3(b)(2) of the NER</w:t>
            </w:r>
          </w:p>
          <w:p w:rsidR="001A395A" w:rsidRPr="00627E24" w:rsidRDefault="001A395A" w:rsidP="001A395A">
            <w:pPr>
              <w:pStyle w:val="AERtabletext"/>
              <w:rPr>
                <w:szCs w:val="16"/>
              </w:rPr>
            </w:pPr>
            <w:r w:rsidRPr="004B01D8">
              <w:t>The effect of a particular control mechanism (i.e. price – as distinct from revenue – regulation) on a DNSP’s incentives to adopt or implement efficient non-network alternatives.</w:t>
            </w:r>
          </w:p>
        </w:tc>
        <w:tc>
          <w:tcPr>
            <w:tcW w:w="6477" w:type="dxa"/>
            <w:tcBorders>
              <w:bottom w:val="nil"/>
            </w:tcBorders>
            <w:shd w:val="clear" w:color="auto" w:fill="DBE5F1"/>
            <w:noWrap/>
            <w:vAlign w:val="center"/>
          </w:tcPr>
          <w:p w:rsidR="001A395A" w:rsidRPr="000C052F" w:rsidRDefault="001A395A" w:rsidP="00737A1E">
            <w:pPr>
              <w:pStyle w:val="AERtabletext"/>
              <w:jc w:val="both"/>
            </w:pPr>
            <w:r>
              <w:t>The proposed 2012 DMEGCIS discussed the effects that particular control mechanisms may have on the incentives or disincentives for DNSPs to undertake demand management.</w:t>
            </w:r>
            <w:r>
              <w:rPr>
                <w:rStyle w:val="FootnoteReference"/>
              </w:rPr>
              <w:footnoteReference w:id="32"/>
            </w:r>
            <w:r>
              <w:t xml:space="preserve"> The</w:t>
            </w:r>
            <w:r w:rsidR="00FC6D90">
              <w:t>se</w:t>
            </w:r>
            <w:r w:rsidR="001D3FAD">
              <w:t xml:space="preserve"> </w:t>
            </w:r>
            <w:r>
              <w:t xml:space="preserve">considerations have not changed for the final decision. </w:t>
            </w:r>
          </w:p>
        </w:tc>
      </w:tr>
      <w:tr w:rsidR="001A395A" w:rsidRPr="000C052F" w:rsidTr="00C97AE4">
        <w:tc>
          <w:tcPr>
            <w:tcW w:w="1951" w:type="dxa"/>
            <w:tcBorders>
              <w:bottom w:val="nil"/>
            </w:tcBorders>
            <w:shd w:val="clear" w:color="auto" w:fill="FFFFFF" w:themeFill="background1"/>
            <w:noWrap/>
            <w:vAlign w:val="center"/>
          </w:tcPr>
          <w:p w:rsidR="001A395A" w:rsidRDefault="001A395A" w:rsidP="001A395A">
            <w:pPr>
              <w:pStyle w:val="AERtabletext"/>
            </w:pPr>
            <w:r w:rsidRPr="004B01D8">
              <w:lastRenderedPageBreak/>
              <w:t>Clause 6.6.3(b)(3) of the NER</w:t>
            </w:r>
          </w:p>
          <w:p w:rsidR="001A395A" w:rsidRPr="00627E24" w:rsidRDefault="001A395A" w:rsidP="001A395A">
            <w:pPr>
              <w:pStyle w:val="AERtabletext"/>
              <w:rPr>
                <w:szCs w:val="16"/>
              </w:rPr>
            </w:pPr>
            <w:r w:rsidRPr="004B01D8">
              <w:t xml:space="preserve">The extent the DNSP is able to offer efficient pricing structures. </w:t>
            </w:r>
          </w:p>
        </w:tc>
        <w:tc>
          <w:tcPr>
            <w:tcW w:w="6477" w:type="dxa"/>
            <w:tcBorders>
              <w:bottom w:val="nil"/>
            </w:tcBorders>
            <w:shd w:val="clear" w:color="auto" w:fill="FFFFFF" w:themeFill="background1"/>
            <w:noWrap/>
            <w:vAlign w:val="center"/>
          </w:tcPr>
          <w:p w:rsidR="001A395A" w:rsidRDefault="001A395A" w:rsidP="00737A1E">
            <w:pPr>
              <w:pStyle w:val="AERtabletext"/>
              <w:jc w:val="both"/>
            </w:pPr>
            <w:r w:rsidRPr="004B01D8">
              <w:t xml:space="preserve">In developing </w:t>
            </w:r>
            <w:r>
              <w:t>the current 2008 DMIS</w:t>
            </w:r>
            <w:r w:rsidRPr="004B01D8">
              <w:t xml:space="preserve">, the AER </w:t>
            </w:r>
            <w:r>
              <w:t xml:space="preserve">noted ActewAGL had undertaken minimal </w:t>
            </w:r>
            <w:r w:rsidRPr="00B42DAC">
              <w:t xml:space="preserve">demand management </w:t>
            </w:r>
            <w:r>
              <w:t xml:space="preserve">projects and programs and that there was little information on the efficient costs of </w:t>
            </w:r>
            <w:r w:rsidR="003E397F">
              <w:t>these initiatives</w:t>
            </w:r>
            <w:r>
              <w:t xml:space="preserve">. There is still limited information on efficient costs of demand management </w:t>
            </w:r>
            <w:r w:rsidR="003022A9">
              <w:t xml:space="preserve">projects or </w:t>
            </w:r>
            <w:r>
              <w:t xml:space="preserve">programs in </w:t>
            </w:r>
            <w:r w:rsidR="00825E6B">
              <w:t>the</w:t>
            </w:r>
            <w:r>
              <w:t xml:space="preserve"> ACT due to the limited use of DMIA to fund </w:t>
            </w:r>
            <w:r w:rsidR="003022A9">
              <w:t>it</w:t>
            </w:r>
            <w:r>
              <w:t xml:space="preserve">. However, we consider that </w:t>
            </w:r>
            <w:r w:rsidRPr="00A91440">
              <w:t xml:space="preserve">the </w:t>
            </w:r>
            <w:r>
              <w:t>DMIA</w:t>
            </w:r>
            <w:r w:rsidRPr="00A91440">
              <w:t xml:space="preserve"> </w:t>
            </w:r>
            <w:r>
              <w:t>allowance is sufficient</w:t>
            </w:r>
            <w:r w:rsidRPr="00A91440">
              <w:t xml:space="preserve"> for the DNSP to initiate a number of small-scale or a single larger-scale demand management project </w:t>
            </w:r>
            <w:r w:rsidR="003022A9">
              <w:t>or programs</w:t>
            </w:r>
            <w:r w:rsidR="00487700">
              <w:t xml:space="preserve"> </w:t>
            </w:r>
            <w:r w:rsidRPr="00A91440">
              <w:t>durin</w:t>
            </w:r>
            <w:r>
              <w:t xml:space="preserve">g </w:t>
            </w:r>
            <w:r w:rsidR="00825E6B">
              <w:t xml:space="preserve">a </w:t>
            </w:r>
            <w:r>
              <w:t>regulatory control period.</w:t>
            </w:r>
            <w:r w:rsidRPr="004B01D8">
              <w:t xml:space="preserve"> </w:t>
            </w:r>
          </w:p>
          <w:p w:rsidR="00825E6B" w:rsidRPr="00627E24" w:rsidRDefault="00825E6B" w:rsidP="00737A1E">
            <w:pPr>
              <w:pStyle w:val="AERtabletext"/>
              <w:jc w:val="both"/>
              <w:rPr>
                <w:szCs w:val="16"/>
              </w:rPr>
            </w:pPr>
            <w:r w:rsidRPr="00627E24">
              <w:rPr>
                <w:szCs w:val="16"/>
              </w:rPr>
              <w:t xml:space="preserve">We consider that the current 2008 </w:t>
            </w:r>
            <w:r w:rsidR="00A64127">
              <w:rPr>
                <w:szCs w:val="16"/>
              </w:rPr>
              <w:t xml:space="preserve">DMIS </w:t>
            </w:r>
            <w:r w:rsidRPr="00627E24">
              <w:rPr>
                <w:szCs w:val="16"/>
              </w:rPr>
              <w:t xml:space="preserve">is still necessary to allow DNSPs to trial tariff based demand management projects or programs. Such programs will provide information on efficient pricing for demand management, and on the customer reactions to price signals. We note there is potential for DNSPs to undertake demand management projects and programs to influence the DNSP’s tariffs. The current 2008 </w:t>
            </w:r>
            <w:r w:rsidR="00A64127">
              <w:rPr>
                <w:szCs w:val="16"/>
              </w:rPr>
              <w:t>DMIS</w:t>
            </w:r>
            <w:r w:rsidRPr="00627E24">
              <w:rPr>
                <w:szCs w:val="16"/>
              </w:rPr>
              <w:t xml:space="preserve"> provides incentives for DNSPs to investigate demand management projects or programs including tariff-based demand management initiatives.</w:t>
            </w:r>
          </w:p>
        </w:tc>
      </w:tr>
      <w:tr w:rsidR="001A395A" w:rsidRPr="000C052F" w:rsidTr="00C97AE4">
        <w:tc>
          <w:tcPr>
            <w:tcW w:w="1951" w:type="dxa"/>
            <w:tcBorders>
              <w:top w:val="nil"/>
              <w:bottom w:val="nil"/>
            </w:tcBorders>
            <w:shd w:val="clear" w:color="auto" w:fill="DBE5F1"/>
            <w:noWrap/>
            <w:vAlign w:val="center"/>
          </w:tcPr>
          <w:p w:rsidR="001A395A" w:rsidRDefault="001A395A" w:rsidP="001A395A">
            <w:pPr>
              <w:pStyle w:val="AERtabletext"/>
            </w:pPr>
            <w:r w:rsidRPr="004B01D8">
              <w:t>Clause 6.6.3(b)(4) of the NER</w:t>
            </w:r>
          </w:p>
          <w:p w:rsidR="001A395A" w:rsidRPr="00627E24" w:rsidRDefault="001A395A" w:rsidP="001A395A">
            <w:pPr>
              <w:pStyle w:val="AERtabletext"/>
              <w:rPr>
                <w:szCs w:val="16"/>
              </w:rPr>
            </w:pPr>
            <w:r w:rsidRPr="004B01D8">
              <w:t>The possible interaction between a DMEGCIS and other incentive schemes.</w:t>
            </w:r>
          </w:p>
        </w:tc>
        <w:tc>
          <w:tcPr>
            <w:tcW w:w="6477" w:type="dxa"/>
            <w:tcBorders>
              <w:top w:val="nil"/>
              <w:bottom w:val="nil"/>
            </w:tcBorders>
            <w:shd w:val="clear" w:color="auto" w:fill="DBE5F1"/>
            <w:noWrap/>
            <w:vAlign w:val="center"/>
          </w:tcPr>
          <w:p w:rsidR="001A395A" w:rsidRDefault="001A395A" w:rsidP="00737A1E">
            <w:pPr>
              <w:pStyle w:val="AERtabletext"/>
              <w:jc w:val="both"/>
            </w:pPr>
            <w:r>
              <w:t>The AER does not consider that the continued application of the current 2008 DMIS will negatively interact with the incentives created by the Efficiency Benefit Sharing Scheme (EBSS) and Service Target Performance Incentive Scheme (STPIS). Further</w:t>
            </w:r>
            <w:r w:rsidR="00825E6B">
              <w:t>,</w:t>
            </w:r>
            <w:r>
              <w:t xml:space="preserve"> the AER does not consider that these schemes will hinder the effectiveness of the current 2008 DMIS. These are two separate schemes with different focuses that do not </w:t>
            </w:r>
            <w:r w:rsidR="003E397F">
              <w:t xml:space="preserve">interact </w:t>
            </w:r>
            <w:r>
              <w:t>direct</w:t>
            </w:r>
            <w:r w:rsidR="003022A9">
              <w:t>ly</w:t>
            </w:r>
            <w:r w:rsidR="001D3FAD">
              <w:t xml:space="preserve"> </w:t>
            </w:r>
            <w:r>
              <w:t xml:space="preserve">with demand management. </w:t>
            </w:r>
          </w:p>
          <w:p w:rsidR="001A395A" w:rsidRDefault="001A395A" w:rsidP="00737A1E">
            <w:pPr>
              <w:pStyle w:val="AERtabletext"/>
              <w:jc w:val="both"/>
            </w:pPr>
            <w:r>
              <w:t xml:space="preserve">The AER acknowledges that maintaining the current 2008 </w:t>
            </w:r>
            <w:r w:rsidR="003E397F">
              <w:t xml:space="preserve">DMIS </w:t>
            </w:r>
            <w:r>
              <w:t xml:space="preserve">may interact with the incentives created under the EBSS. To counter this, the AER will continue to exclude demand management costs from the EBSS. </w:t>
            </w:r>
          </w:p>
          <w:p w:rsidR="001A395A" w:rsidRPr="00627E24" w:rsidRDefault="001A395A" w:rsidP="00737A1E">
            <w:pPr>
              <w:pStyle w:val="AERtabletext"/>
              <w:jc w:val="both"/>
              <w:rPr>
                <w:szCs w:val="16"/>
              </w:rPr>
            </w:pPr>
            <w:r w:rsidRPr="009B6246">
              <w:t xml:space="preserve">Similarly, </w:t>
            </w:r>
            <w:r>
              <w:t xml:space="preserve">the </w:t>
            </w:r>
            <w:r w:rsidRPr="009B6246">
              <w:t>STPIS is designed to provide financial incentives for DNSPs to maintain and improve service performance. The STPIS seeks to ensure that increased financial efficiency does not result in deterioration of service performance for customers.</w:t>
            </w:r>
            <w:r>
              <w:t xml:space="preserve"> This does not directly interact with demand management.</w:t>
            </w:r>
          </w:p>
        </w:tc>
      </w:tr>
      <w:tr w:rsidR="001A395A" w:rsidRPr="000C052F" w:rsidTr="00C97AE4">
        <w:tc>
          <w:tcPr>
            <w:tcW w:w="1951" w:type="dxa"/>
            <w:tcBorders>
              <w:bottom w:val="nil"/>
            </w:tcBorders>
            <w:shd w:val="clear" w:color="auto" w:fill="FFFFFF" w:themeFill="background1"/>
            <w:noWrap/>
            <w:vAlign w:val="center"/>
          </w:tcPr>
          <w:p w:rsidR="001A395A" w:rsidRDefault="001A395A" w:rsidP="001A395A">
            <w:pPr>
              <w:pStyle w:val="AERtabletext"/>
            </w:pPr>
            <w:r w:rsidRPr="004B01D8">
              <w:t>Clause 6.6.3(b)(5) of the NER</w:t>
            </w:r>
          </w:p>
          <w:p w:rsidR="001A395A" w:rsidRPr="00627E24" w:rsidRDefault="001A395A" w:rsidP="001A395A">
            <w:pPr>
              <w:pStyle w:val="AERtabletext"/>
              <w:rPr>
                <w:szCs w:val="16"/>
              </w:rPr>
            </w:pPr>
            <w:r w:rsidRPr="004B01D8">
              <w:t xml:space="preserve">The willingness of the customer or end user to pay for increases in costs resulting from the implementation of the scheme. </w:t>
            </w:r>
          </w:p>
        </w:tc>
        <w:tc>
          <w:tcPr>
            <w:tcW w:w="6477" w:type="dxa"/>
            <w:tcBorders>
              <w:bottom w:val="nil"/>
            </w:tcBorders>
            <w:shd w:val="clear" w:color="auto" w:fill="FFFFFF" w:themeFill="background1"/>
            <w:noWrap/>
            <w:vAlign w:val="center"/>
          </w:tcPr>
          <w:p w:rsidR="001A395A" w:rsidRDefault="001A395A" w:rsidP="00737A1E">
            <w:pPr>
              <w:pStyle w:val="AERtabletext"/>
              <w:jc w:val="both"/>
            </w:pPr>
            <w:r w:rsidRPr="00BF348D">
              <w:t>The AER has had regard to the extent customers are willing to pay for any increase</w:t>
            </w:r>
            <w:r>
              <w:t>s</w:t>
            </w:r>
            <w:r w:rsidRPr="00BF348D">
              <w:t xml:space="preserve"> in costs that may arise from the implementation of the </w:t>
            </w:r>
            <w:r>
              <w:t>current 2008 DMIS</w:t>
            </w:r>
            <w:r w:rsidRPr="00BF348D">
              <w:t>.</w:t>
            </w:r>
            <w:r w:rsidRPr="002B5DD6">
              <w:t xml:space="preserve"> </w:t>
            </w:r>
            <w:r w:rsidRPr="004B01D8">
              <w:t>The AER is not aware, at present, of any substantive reports or studies that have been undertaken on customer willingness to pay for demand management in the NEM.</w:t>
            </w:r>
          </w:p>
          <w:p w:rsidR="001A395A" w:rsidRPr="00627E24" w:rsidRDefault="003022A9" w:rsidP="00737A1E">
            <w:pPr>
              <w:pStyle w:val="AERtabletext"/>
              <w:jc w:val="both"/>
              <w:rPr>
                <w:szCs w:val="16"/>
              </w:rPr>
            </w:pPr>
            <w:r>
              <w:t>We</w:t>
            </w:r>
            <w:r w:rsidR="001A395A" w:rsidRPr="002B5DD6">
              <w:t xml:space="preserve"> consider that </w:t>
            </w:r>
            <w:r w:rsidR="001A395A">
              <w:t xml:space="preserve">as </w:t>
            </w:r>
            <w:r w:rsidR="001A395A" w:rsidRPr="00BF348D">
              <w:t xml:space="preserve">the </w:t>
            </w:r>
            <w:r w:rsidR="001A395A">
              <w:t>current 2008 DMIS</w:t>
            </w:r>
            <w:r w:rsidR="001A395A" w:rsidRPr="002B5DD6" w:rsidDel="002B5DD6">
              <w:t xml:space="preserve"> </w:t>
            </w:r>
            <w:r w:rsidR="001A395A">
              <w:t xml:space="preserve">provides a modest DMIA, and it has had </w:t>
            </w:r>
            <w:r w:rsidR="001A395A" w:rsidRPr="002B5DD6">
              <w:t xml:space="preserve">minimal impact on customer prices, </w:t>
            </w:r>
            <w:r w:rsidR="001A395A">
              <w:t>it</w:t>
            </w:r>
            <w:r w:rsidR="001A395A" w:rsidRPr="002B5DD6">
              <w:t xml:space="preserve"> is </w:t>
            </w:r>
            <w:r w:rsidR="003E397F">
              <w:t xml:space="preserve">still </w:t>
            </w:r>
            <w:r w:rsidR="001A395A" w:rsidRPr="002B5DD6">
              <w:t xml:space="preserve">appropriate. The </w:t>
            </w:r>
            <w:r w:rsidR="001A395A">
              <w:t>current 2008 DMIS</w:t>
            </w:r>
            <w:r w:rsidR="001A395A" w:rsidRPr="002B5DD6">
              <w:t xml:space="preserve"> is expected to encourage DNSPs to </w:t>
            </w:r>
            <w:r w:rsidR="00825E6B" w:rsidRPr="002B5DD6">
              <w:t>undertake</w:t>
            </w:r>
            <w:r w:rsidR="00825E6B">
              <w:t xml:space="preserve"> </w:t>
            </w:r>
            <w:r>
              <w:t xml:space="preserve">small scale </w:t>
            </w:r>
            <w:r w:rsidR="001A395A" w:rsidRPr="002B5DD6">
              <w:t>demand management initiatives which will provide long term efficiency gains to energy users</w:t>
            </w:r>
            <w:r w:rsidR="001A395A">
              <w:t xml:space="preserve">. Therefore, the </w:t>
            </w:r>
            <w:r w:rsidR="001A395A" w:rsidRPr="00B42DAC">
              <w:t xml:space="preserve">modest </w:t>
            </w:r>
            <w:r w:rsidR="001A395A">
              <w:t xml:space="preserve">DMIA </w:t>
            </w:r>
            <w:r w:rsidR="001A395A" w:rsidRPr="00B42DAC">
              <w:t>fund will enable DNSPs to conduct demand management trials of a more experimental nature</w:t>
            </w:r>
            <w:r w:rsidR="00825E6B">
              <w:t>. This</w:t>
            </w:r>
            <w:r w:rsidR="001A395A" w:rsidRPr="00B42DAC">
              <w:t xml:space="preserve"> will provide greater information on customer willingness to pay, without resulting in significant customer price increases.</w:t>
            </w:r>
            <w:r w:rsidR="001A395A">
              <w:t xml:space="preserve"> </w:t>
            </w:r>
          </w:p>
        </w:tc>
      </w:tr>
      <w:tr w:rsidR="001A395A" w:rsidRPr="000C052F" w:rsidTr="00C97AE4">
        <w:tc>
          <w:tcPr>
            <w:tcW w:w="1951" w:type="dxa"/>
            <w:tcBorders>
              <w:top w:val="nil"/>
            </w:tcBorders>
            <w:shd w:val="clear" w:color="auto" w:fill="DBE5F1"/>
            <w:noWrap/>
            <w:vAlign w:val="center"/>
          </w:tcPr>
          <w:p w:rsidR="001A395A" w:rsidRDefault="001A395A" w:rsidP="001A395A">
            <w:pPr>
              <w:pStyle w:val="AERtabletext"/>
            </w:pPr>
            <w:r w:rsidRPr="004B01D8">
              <w:t>Clause 6.6.3(b)(6) of the NER</w:t>
            </w:r>
          </w:p>
          <w:p w:rsidR="001A395A" w:rsidRPr="00627E24" w:rsidRDefault="001A395A" w:rsidP="001A395A">
            <w:pPr>
              <w:pStyle w:val="AERtabletext"/>
              <w:rPr>
                <w:szCs w:val="16"/>
              </w:rPr>
            </w:pPr>
            <w:r w:rsidRPr="004B01D8">
              <w:t xml:space="preserve">The effect of classification of distribution services, as determined in accordance with clause 6.2.1, on a DNSP’s incentive to adopt or </w:t>
            </w:r>
            <w:r w:rsidRPr="004B01D8">
              <w:lastRenderedPageBreak/>
              <w:t xml:space="preserve">implement efficient Embedded Generator Connections. </w:t>
            </w:r>
          </w:p>
        </w:tc>
        <w:tc>
          <w:tcPr>
            <w:tcW w:w="6477" w:type="dxa"/>
            <w:tcBorders>
              <w:top w:val="nil"/>
            </w:tcBorders>
            <w:shd w:val="clear" w:color="auto" w:fill="DBE5F1"/>
            <w:noWrap/>
            <w:vAlign w:val="center"/>
          </w:tcPr>
          <w:p w:rsidR="001A395A" w:rsidRPr="00627E24" w:rsidRDefault="001A395A" w:rsidP="00737A1E">
            <w:pPr>
              <w:pStyle w:val="AERtabletext"/>
              <w:jc w:val="both"/>
              <w:rPr>
                <w:szCs w:val="16"/>
              </w:rPr>
            </w:pPr>
            <w:r>
              <w:lastRenderedPageBreak/>
              <w:t>As outlined in the proposed 2012 DMEGCIS, the AER considers that the existing DMIA criteria in the current 2008 DMIS, are broad enough to cover demand management projects or programs that seek to investigate means of efficient embedded generator connections.</w:t>
            </w:r>
            <w:r>
              <w:rPr>
                <w:rStyle w:val="FootnoteReference"/>
              </w:rPr>
              <w:footnoteReference w:id="33"/>
            </w:r>
            <w:r>
              <w:t xml:space="preserve"> The AEMC is also of the view that the existing framework is sufficient for DNSPs to propose innovative projects or programs that encompass demand management projects or programs generally or which promote innovation in the connection of embedded generators.</w:t>
            </w:r>
            <w:r>
              <w:rPr>
                <w:rStyle w:val="FootnoteReference"/>
              </w:rPr>
              <w:footnoteReference w:id="34"/>
            </w:r>
            <w:r>
              <w:t xml:space="preserve"> </w:t>
            </w:r>
          </w:p>
        </w:tc>
      </w:tr>
    </w:tbl>
    <w:p w:rsidR="00FD1FC7" w:rsidRDefault="001A395A">
      <w:pPr>
        <w:pStyle w:val="AERtablesource"/>
      </w:pPr>
      <w:r w:rsidRPr="00E9792E">
        <w:lastRenderedPageBreak/>
        <w:t xml:space="preserve">Source: AER analysis. </w:t>
      </w:r>
    </w:p>
    <w:sectPr w:rsidR="00FD1FC7" w:rsidSect="00901FCB">
      <w:headerReference w:type="even" r:id="rId14"/>
      <w:headerReference w:type="default" r:id="rId15"/>
      <w:footerReference w:type="even" r:id="rId16"/>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127" w:rsidRDefault="00A64127" w:rsidP="00BB640B">
      <w:r>
        <w:separator/>
      </w:r>
    </w:p>
    <w:p w:rsidR="00A64127" w:rsidRDefault="00A64127"/>
    <w:p w:rsidR="00A64127" w:rsidRDefault="00A64127"/>
  </w:endnote>
  <w:endnote w:type="continuationSeparator" w:id="0">
    <w:p w:rsidR="00A64127" w:rsidRDefault="00A64127" w:rsidP="00BB640B">
      <w:r>
        <w:continuationSeparator/>
      </w:r>
    </w:p>
    <w:p w:rsidR="00A64127" w:rsidRDefault="00A64127"/>
    <w:p w:rsidR="00A64127" w:rsidRDefault="00A64127"/>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8B5C34" w:rsidP="001A7245">
    <w:r>
      <w:rPr>
        <w:rStyle w:val="PageNumber"/>
      </w:rPr>
      <w:fldChar w:fldCharType="begin"/>
    </w:r>
    <w:r w:rsidR="00A64127">
      <w:rPr>
        <w:rStyle w:val="PageNumber"/>
      </w:rPr>
      <w:instrText xml:space="preserve"> PAGE </w:instrText>
    </w:r>
    <w:r>
      <w:rPr>
        <w:rStyle w:val="PageNumber"/>
      </w:rPr>
      <w:fldChar w:fldCharType="separate"/>
    </w:r>
    <w:r w:rsidR="00A64127" w:rsidRPr="001A7245">
      <w:rPr>
        <w:rStyle w:val="PageNumber"/>
      </w:rPr>
      <w:t>2</w:t>
    </w:r>
    <w:r>
      <w:rPr>
        <w:rStyle w:val="PageNumber"/>
      </w:rPr>
      <w:fldChar w:fldCharType="end"/>
    </w:r>
    <w:r w:rsidR="00A64127">
      <w:rPr>
        <w:rStyle w:val="PageNumber"/>
      </w:rPr>
      <w:tab/>
    </w:r>
    <w:r w:rsidR="00A64127" w:rsidRPr="001A7245">
      <w:t>Chapter Heading</w:t>
    </w:r>
    <w:r w:rsidR="00A64127">
      <w:t xml:space="preserve"> | Aer Determination Heading</w:t>
    </w:r>
  </w:p>
  <w:p w:rsidR="00A64127" w:rsidRDefault="00A64127"/>
  <w:p w:rsidR="00A64127" w:rsidRDefault="00A6412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A64127">
    <w:r>
      <w:t>Final decision—proposed 2012 DMEGCIS—NSW DNSPs</w:t>
    </w:r>
    <w:r w:rsidDel="00166F6C">
      <w:t xml:space="preserve"> </w:t>
    </w:r>
  </w:p>
  <w:p w:rsidR="00A64127" w:rsidRDefault="00A6412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8B5C34" w:rsidP="001A7245">
    <w:r>
      <w:rPr>
        <w:rStyle w:val="PageNumber"/>
      </w:rPr>
      <w:fldChar w:fldCharType="begin"/>
    </w:r>
    <w:r w:rsidR="00A64127">
      <w:rPr>
        <w:rStyle w:val="PageNumber"/>
      </w:rPr>
      <w:instrText xml:space="preserve"> PAGE </w:instrText>
    </w:r>
    <w:r>
      <w:rPr>
        <w:rStyle w:val="PageNumber"/>
      </w:rPr>
      <w:fldChar w:fldCharType="separate"/>
    </w:r>
    <w:r w:rsidR="00A64127" w:rsidRPr="001A7245">
      <w:rPr>
        <w:rStyle w:val="PageNumber"/>
      </w:rPr>
      <w:t>2</w:t>
    </w:r>
    <w:r>
      <w:rPr>
        <w:rStyle w:val="PageNumber"/>
      </w:rPr>
      <w:fldChar w:fldCharType="end"/>
    </w:r>
    <w:r w:rsidR="00A64127">
      <w:rPr>
        <w:rStyle w:val="PageNumber"/>
      </w:rPr>
      <w:tab/>
    </w:r>
    <w:r w:rsidR="00A64127" w:rsidRPr="001A7245">
      <w:t>Chapter Heading</w:t>
    </w:r>
    <w:r w:rsidR="00A64127">
      <w:t xml:space="preserve"> | Aer Determination Heading</w:t>
    </w:r>
  </w:p>
  <w:p w:rsidR="00A64127" w:rsidRDefault="00A64127"/>
  <w:p w:rsidR="00A64127" w:rsidRDefault="00A6412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A64127" w:rsidP="0094243D"/>
  <w:p w:rsidR="00A64127" w:rsidRDefault="00A64127" w:rsidP="0094243D">
    <w:r>
      <w:t xml:space="preserve">Final decision—Proposed 2012 </w:t>
    </w:r>
    <w:proofErr w:type="spellStart"/>
    <w:r>
      <w:t>DMEGCIS–ActewAGL</w:t>
    </w:r>
    <w:proofErr w:type="spellEnd"/>
    <w:r>
      <w:t xml:space="preserve"> Distribution</w:t>
    </w:r>
    <w:r>
      <w:tab/>
    </w:r>
    <w:r>
      <w:tab/>
    </w:r>
    <w:r>
      <w:tab/>
    </w:r>
    <w:r w:rsidR="008B5C34">
      <w:rPr>
        <w:rStyle w:val="PageNumber"/>
      </w:rPr>
      <w:fldChar w:fldCharType="begin"/>
    </w:r>
    <w:r>
      <w:rPr>
        <w:rStyle w:val="PageNumber"/>
      </w:rPr>
      <w:instrText xml:space="preserve"> PAGE </w:instrText>
    </w:r>
    <w:r w:rsidR="008B5C34">
      <w:rPr>
        <w:rStyle w:val="PageNumber"/>
      </w:rPr>
      <w:fldChar w:fldCharType="separate"/>
    </w:r>
    <w:r w:rsidR="00554AAC">
      <w:rPr>
        <w:rStyle w:val="PageNumber"/>
        <w:noProof/>
      </w:rPr>
      <w:t>2</w:t>
    </w:r>
    <w:r w:rsidR="008B5C34">
      <w:rPr>
        <w:rStyle w:val="PageNumber"/>
      </w:rPr>
      <w:fldChar w:fldCharType="end"/>
    </w:r>
  </w:p>
  <w:p w:rsidR="00A64127" w:rsidRDefault="00FB78E6" w:rsidP="00FB78E6">
    <w:pPr>
      <w:tabs>
        <w:tab w:val="left" w:pos="6300"/>
      </w:tabs>
    </w:pPr>
    <w:r>
      <w:tab/>
    </w:r>
  </w:p>
  <w:p w:rsidR="00A64127" w:rsidRDefault="00A6412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127" w:rsidRDefault="00A64127" w:rsidP="00BB640B">
      <w:r>
        <w:separator/>
      </w:r>
    </w:p>
    <w:p w:rsidR="00A64127" w:rsidRDefault="00A64127"/>
    <w:p w:rsidR="00A64127" w:rsidRDefault="00A64127"/>
  </w:footnote>
  <w:footnote w:type="continuationSeparator" w:id="0">
    <w:p w:rsidR="00A64127" w:rsidRDefault="00A64127" w:rsidP="00BB640B">
      <w:r>
        <w:continuationSeparator/>
      </w:r>
    </w:p>
    <w:p w:rsidR="00A64127" w:rsidRDefault="00A64127"/>
    <w:p w:rsidR="00A64127" w:rsidRDefault="00A64127"/>
  </w:footnote>
  <w:footnote w:id="1">
    <w:p w:rsidR="00A64127" w:rsidRDefault="00A64127" w:rsidP="00EA62A7">
      <w:pPr>
        <w:pStyle w:val="FootnoteText"/>
      </w:pPr>
      <w:r>
        <w:rPr>
          <w:rStyle w:val="FootnoteReference"/>
        </w:rPr>
        <w:footnoteRef/>
      </w:r>
      <w:r>
        <w:t xml:space="preserve"> </w:t>
      </w:r>
      <w:r>
        <w:tab/>
        <w:t>NER, cl. 6.6.3.</w:t>
      </w:r>
    </w:p>
  </w:footnote>
  <w:footnote w:id="2">
    <w:p w:rsidR="00A64127" w:rsidRDefault="00A64127" w:rsidP="00EA62A7">
      <w:pPr>
        <w:pStyle w:val="FootnoteText"/>
      </w:pPr>
      <w:r>
        <w:rPr>
          <w:rStyle w:val="FootnoteReference"/>
        </w:rPr>
        <w:footnoteRef/>
      </w:r>
      <w:r>
        <w:t xml:space="preserve"> </w:t>
      </w:r>
      <w:r>
        <w:tab/>
        <w:t xml:space="preserve">AER, </w:t>
      </w:r>
      <w:r w:rsidRPr="009C64AA">
        <w:rPr>
          <w:rStyle w:val="AERtextitalic"/>
          <w:i w:val="0"/>
        </w:rPr>
        <w:t>Proposed demand management and embedded generation connection incentive scheme</w:t>
      </w:r>
      <w:r w:rsidRPr="004D4B0E">
        <w:rPr>
          <w:rStyle w:val="AERtextitalic"/>
          <w:i w:val="0"/>
        </w:rPr>
        <w:t>:</w:t>
      </w:r>
      <w:r w:rsidRPr="00570F80">
        <w:rPr>
          <w:rStyle w:val="AERtextitalic"/>
        </w:rPr>
        <w:t xml:space="preserve"> ACT and NSW distribution determinations 2014–19</w:t>
      </w:r>
      <w:r>
        <w:t xml:space="preserve">, May 2012; AER, </w:t>
      </w:r>
      <w:r w:rsidRPr="00120369">
        <w:rPr>
          <w:rStyle w:val="AERtextitalic"/>
          <w:i w:val="0"/>
        </w:rPr>
        <w:t>Explanatory statement:</w:t>
      </w:r>
      <w:r w:rsidRPr="00570F80">
        <w:rPr>
          <w:rStyle w:val="AERtextitalic"/>
        </w:rPr>
        <w:t xml:space="preserve"> Proposed demand management and embedded generation connection incentive scheme, </w:t>
      </w:r>
      <w:r>
        <w:rPr>
          <w:rStyle w:val="AERtextitalic"/>
        </w:rPr>
        <w:t>ActewAGL Distribution</w:t>
      </w:r>
      <w:r>
        <w:t xml:space="preserve">, May 2012. </w:t>
      </w:r>
    </w:p>
  </w:footnote>
  <w:footnote w:id="3">
    <w:p w:rsidR="00A64127" w:rsidRDefault="00A64127">
      <w:pPr>
        <w:pStyle w:val="FootnoteText"/>
      </w:pPr>
      <w:r>
        <w:rPr>
          <w:rStyle w:val="FootnoteReference"/>
        </w:rPr>
        <w:footnoteRef/>
      </w:r>
      <w:r>
        <w:t xml:space="preserve"> </w:t>
      </w:r>
      <w:r>
        <w:tab/>
        <w:t>In the ACT, the current 2008 DMIS includes a demand management innovation allowance (DMIA) and a revenue recovery component.</w:t>
      </w:r>
    </w:p>
  </w:footnote>
  <w:footnote w:id="4">
    <w:p w:rsidR="00A64127" w:rsidRDefault="00A64127" w:rsidP="00EA62A7">
      <w:pPr>
        <w:pStyle w:val="FootnoteText"/>
      </w:pPr>
      <w:r>
        <w:rPr>
          <w:rStyle w:val="FootnoteReference"/>
        </w:rPr>
        <w:footnoteRef/>
      </w:r>
      <w:r>
        <w:t xml:space="preserve"> </w:t>
      </w:r>
      <w:r>
        <w:tab/>
        <w:t xml:space="preserve">AER, Information Paper: </w:t>
      </w:r>
      <w:r w:rsidRPr="007615B7">
        <w:rPr>
          <w:i/>
        </w:rPr>
        <w:t>Demand Management and Embedded Generation Connection Incentive Scheme</w:t>
      </w:r>
      <w:r>
        <w:t>, March 2013.</w:t>
      </w:r>
    </w:p>
  </w:footnote>
  <w:footnote w:id="5">
    <w:p w:rsidR="00A64127" w:rsidRDefault="00A64127" w:rsidP="00F01F54">
      <w:pPr>
        <w:pStyle w:val="FootnoteText"/>
      </w:pPr>
      <w:r>
        <w:rPr>
          <w:rStyle w:val="FootnoteReference"/>
        </w:rPr>
        <w:footnoteRef/>
      </w:r>
      <w:r w:rsidRPr="00F01F54">
        <w:rPr>
          <w:rStyle w:val="FootnoteReference"/>
        </w:rPr>
        <w:t xml:space="preserve"> </w:t>
      </w:r>
      <w:r w:rsidRPr="00F01F54">
        <w:rPr>
          <w:rStyle w:val="FootnoteReference"/>
        </w:rPr>
        <w:tab/>
      </w:r>
      <w:r>
        <w:t xml:space="preserve">NER,  cl. 11.56.3(a)(4); </w:t>
      </w:r>
      <w:r w:rsidRPr="00F01F54">
        <w:rPr>
          <w:rStyle w:val="FootnoteReference"/>
          <w:vertAlign w:val="baseline"/>
        </w:rPr>
        <w:t xml:space="preserve">AER, Final decision: </w:t>
      </w:r>
      <w:r w:rsidRPr="00F01F54">
        <w:rPr>
          <w:rStyle w:val="FootnoteReference"/>
          <w:i/>
          <w:vertAlign w:val="baseline"/>
        </w:rPr>
        <w:t>Australian Capital Territory distribution determination 2009</w:t>
      </w:r>
      <w:r w:rsidRPr="00F01F54">
        <w:rPr>
          <w:rStyle w:val="FootnoteReference"/>
          <w:rFonts w:hint="eastAsia"/>
          <w:i/>
          <w:vertAlign w:val="baseline"/>
        </w:rPr>
        <w:t>–</w:t>
      </w:r>
      <w:r w:rsidRPr="00F01F54">
        <w:rPr>
          <w:rStyle w:val="FootnoteReference"/>
          <w:i/>
          <w:vertAlign w:val="baseline"/>
        </w:rPr>
        <w:t>10 to 2013</w:t>
      </w:r>
      <w:r w:rsidRPr="00F01F54">
        <w:rPr>
          <w:rStyle w:val="FootnoteReference"/>
          <w:rFonts w:hint="eastAsia"/>
          <w:i/>
          <w:vertAlign w:val="baseline"/>
        </w:rPr>
        <w:t>–</w:t>
      </w:r>
      <w:r w:rsidRPr="00F01F54">
        <w:rPr>
          <w:rStyle w:val="FootnoteReference"/>
          <w:i/>
          <w:vertAlign w:val="baseline"/>
        </w:rPr>
        <w:t>14</w:t>
      </w:r>
      <w:r w:rsidRPr="00F01F54">
        <w:rPr>
          <w:rStyle w:val="FootnoteReference"/>
          <w:vertAlign w:val="baseline"/>
        </w:rPr>
        <w:t>, April 2009. This scheme consists of the DMIA.</w:t>
      </w:r>
    </w:p>
  </w:footnote>
  <w:footnote w:id="6">
    <w:p w:rsidR="00A64127" w:rsidRDefault="00A64127" w:rsidP="00145BEC">
      <w:pPr>
        <w:pStyle w:val="FootnoteText"/>
      </w:pPr>
      <w:r>
        <w:rPr>
          <w:rStyle w:val="FootnoteReference"/>
        </w:rPr>
        <w:footnoteRef/>
      </w:r>
      <w:r>
        <w:t xml:space="preserve"> </w:t>
      </w:r>
      <w:r>
        <w:tab/>
        <w:t xml:space="preserve">AER, </w:t>
      </w:r>
      <w:r w:rsidRPr="00FC6D90">
        <w:rPr>
          <w:rStyle w:val="AERtextitalic"/>
          <w:i w:val="0"/>
        </w:rPr>
        <w:t>Proposed demand management and embedded generation connection incentive scheme:</w:t>
      </w:r>
      <w:r w:rsidRPr="00570F80">
        <w:rPr>
          <w:rStyle w:val="AERtextitalic"/>
        </w:rPr>
        <w:t xml:space="preserve"> ACT and NSW distribution determinations 2014–19</w:t>
      </w:r>
      <w:r>
        <w:t xml:space="preserve">, May 2012; AER, </w:t>
      </w:r>
      <w:r w:rsidRPr="00487700">
        <w:rPr>
          <w:rStyle w:val="AERtextitalic"/>
          <w:i w:val="0"/>
        </w:rPr>
        <w:t>Explanatory statement:</w:t>
      </w:r>
      <w:r w:rsidRPr="00570F80">
        <w:rPr>
          <w:rStyle w:val="AERtextitalic"/>
        </w:rPr>
        <w:t xml:space="preserve"> Proposed demand management and embedded generation connection incentive scheme, </w:t>
      </w:r>
      <w:r>
        <w:rPr>
          <w:rStyle w:val="AERtextitalic"/>
        </w:rPr>
        <w:t>ActewAGL Distribution</w:t>
      </w:r>
      <w:r>
        <w:t xml:space="preserve">, May 2012. </w:t>
      </w:r>
    </w:p>
  </w:footnote>
  <w:footnote w:id="7">
    <w:p w:rsidR="00A64127" w:rsidRDefault="00A64127">
      <w:pPr>
        <w:pStyle w:val="FootnoteText"/>
      </w:pPr>
      <w:r>
        <w:rPr>
          <w:rStyle w:val="FootnoteReference"/>
        </w:rPr>
        <w:footnoteRef/>
      </w:r>
      <w:r>
        <w:t xml:space="preserve"> </w:t>
      </w:r>
      <w:r>
        <w:tab/>
      </w:r>
      <w:r w:rsidRPr="00D47A29">
        <w:t xml:space="preserve">ActewAGL, </w:t>
      </w:r>
      <w:r w:rsidRPr="00D47A29">
        <w:rPr>
          <w:i/>
        </w:rPr>
        <w:t>Response to AER’s proposed demand management and embedded generation connection incentive scheme</w:t>
      </w:r>
      <w:r w:rsidRPr="00D47A29">
        <w:t xml:space="preserve">, August 2012; </w:t>
      </w:r>
      <w:r w:rsidRPr="00891706">
        <w:t xml:space="preserve">Alternative Technology Association, </w:t>
      </w:r>
      <w:r w:rsidRPr="002332E6">
        <w:rPr>
          <w:i/>
        </w:rPr>
        <w:t>Submission on proposed demand management &amp; embedded generation connection incentive scheme NSW and ACT</w:t>
      </w:r>
      <w:r w:rsidRPr="00891706">
        <w:t>, August 2012;</w:t>
      </w:r>
      <w:r>
        <w:t xml:space="preserve"> </w:t>
      </w:r>
      <w:r w:rsidRPr="00891706">
        <w:t xml:space="preserve">Dugan, D., </w:t>
      </w:r>
      <w:r w:rsidRPr="002332E6">
        <w:rPr>
          <w:i/>
        </w:rPr>
        <w:t>Submission email to the AER</w:t>
      </w:r>
      <w:r w:rsidRPr="00891706">
        <w:t>, 29 May 2012</w:t>
      </w:r>
      <w:r>
        <w:t xml:space="preserve">, </w:t>
      </w:r>
      <w:r w:rsidRPr="00891706">
        <w:t xml:space="preserve">EnerNOC, </w:t>
      </w:r>
      <w:r w:rsidRPr="002332E6">
        <w:rPr>
          <w:i/>
        </w:rPr>
        <w:t>Submission on the proposed demand management and embedded generation connection incentive scheme</w:t>
      </w:r>
      <w:r w:rsidRPr="00891706">
        <w:t>, July 2012</w:t>
      </w:r>
      <w:r>
        <w:t>;</w:t>
      </w:r>
      <w:r w:rsidRPr="00120369">
        <w:t xml:space="preserve"> </w:t>
      </w:r>
      <w:r>
        <w:t xml:space="preserve">ActewAGL, </w:t>
      </w:r>
      <w:r w:rsidRPr="00B2782D">
        <w:t>Framework and Approach for the 2014</w:t>
      </w:r>
      <w:r w:rsidRPr="00B2782D">
        <w:rPr>
          <w:rFonts w:hint="eastAsia"/>
        </w:rPr>
        <w:t>–</w:t>
      </w:r>
      <w:r w:rsidRPr="00B2782D">
        <w:t>19 ACT Electricity Network Determination:</w:t>
      </w:r>
      <w:r w:rsidRPr="006971FD">
        <w:rPr>
          <w:i/>
        </w:rPr>
        <w:t xml:space="preserve"> Response to the AER's Preliminary Positions Paper</w:t>
      </w:r>
      <w:r>
        <w:t>, August 2012.</w:t>
      </w:r>
    </w:p>
  </w:footnote>
  <w:footnote w:id="8">
    <w:p w:rsidR="00A64127" w:rsidRDefault="00A64127" w:rsidP="00145BEC">
      <w:pPr>
        <w:pStyle w:val="FootnoteText"/>
      </w:pPr>
      <w:r>
        <w:rPr>
          <w:rStyle w:val="FootnoteReference"/>
        </w:rPr>
        <w:footnoteRef/>
      </w:r>
      <w:r>
        <w:t xml:space="preserve"> </w:t>
      </w:r>
      <w:r>
        <w:tab/>
        <w:t xml:space="preserve">AEMC, </w:t>
      </w:r>
      <w:r w:rsidRPr="00120369">
        <w:rPr>
          <w:rStyle w:val="AERtextitalic"/>
          <w:i w:val="0"/>
        </w:rPr>
        <w:t>Final report</w:t>
      </w:r>
      <w:r w:rsidRPr="004D4B0E">
        <w:rPr>
          <w:rStyle w:val="AERtextitalic"/>
          <w:i w:val="0"/>
        </w:rPr>
        <w:t>:</w:t>
      </w:r>
      <w:r w:rsidRPr="00EB4E04">
        <w:rPr>
          <w:rStyle w:val="AERtextitalic"/>
        </w:rPr>
        <w:t xml:space="preserve"> Power of choice review–giving consumers options in the way they use electricity, November 2012, </w:t>
      </w:r>
      <w:r>
        <w:t xml:space="preserve">p. 199. </w:t>
      </w:r>
    </w:p>
  </w:footnote>
  <w:footnote w:id="9">
    <w:p w:rsidR="00A64127" w:rsidRDefault="00A64127" w:rsidP="00145BEC">
      <w:pPr>
        <w:pStyle w:val="FootnoteText"/>
      </w:pPr>
      <w:r>
        <w:rPr>
          <w:rStyle w:val="FootnoteReference"/>
        </w:rPr>
        <w:footnoteRef/>
      </w:r>
      <w:r>
        <w:t xml:space="preserve"> </w:t>
      </w:r>
      <w:r>
        <w:tab/>
        <w:t xml:space="preserve">AER, </w:t>
      </w:r>
      <w:r w:rsidRPr="00120369">
        <w:rPr>
          <w:rStyle w:val="AERtextitalic"/>
          <w:i w:val="0"/>
        </w:rPr>
        <w:t>Explanatory statement</w:t>
      </w:r>
      <w:r w:rsidRPr="00FC6D90">
        <w:rPr>
          <w:rStyle w:val="AERtextitalic"/>
          <w:i w:val="0"/>
        </w:rPr>
        <w:t>:</w:t>
      </w:r>
      <w:r w:rsidRPr="00C741C7">
        <w:rPr>
          <w:rStyle w:val="AERtextitalic"/>
        </w:rPr>
        <w:t xml:space="preserve"> Proposed demand management and embedded generation connection incentive scheme, </w:t>
      </w:r>
      <w:r>
        <w:rPr>
          <w:rStyle w:val="AERtextitalic"/>
        </w:rPr>
        <w:t>ActewAGL Distribution</w:t>
      </w:r>
      <w:r>
        <w:t xml:space="preserve">, May 2012, p. 11. </w:t>
      </w:r>
    </w:p>
  </w:footnote>
  <w:footnote w:id="10">
    <w:p w:rsidR="00A64127" w:rsidRDefault="00A64127" w:rsidP="00145BEC">
      <w:pPr>
        <w:pStyle w:val="FootnoteText"/>
      </w:pPr>
      <w:r>
        <w:rPr>
          <w:rStyle w:val="FootnoteReference"/>
        </w:rPr>
        <w:footnoteRef/>
      </w:r>
      <w:r>
        <w:t xml:space="preserve"> </w:t>
      </w:r>
      <w:r>
        <w:tab/>
        <w:t xml:space="preserve">AER, </w:t>
      </w:r>
      <w:r w:rsidRPr="00FD1FC7">
        <w:rPr>
          <w:rStyle w:val="AERtextitalic"/>
          <w:i w:val="0"/>
        </w:rPr>
        <w:t>Explanatory statement</w:t>
      </w:r>
      <w:r w:rsidRPr="004D4B0E">
        <w:rPr>
          <w:rStyle w:val="AERtextitalic"/>
          <w:i w:val="0"/>
        </w:rPr>
        <w:t>:</w:t>
      </w:r>
      <w:r w:rsidRPr="00C741C7">
        <w:rPr>
          <w:rStyle w:val="AERtextitalic"/>
        </w:rPr>
        <w:t xml:space="preserve"> Proposed demand management and embedded generation connection incentive scheme, </w:t>
      </w:r>
      <w:r>
        <w:rPr>
          <w:rStyle w:val="AERtextitalic"/>
        </w:rPr>
        <w:t>ActewAGL Distribution</w:t>
      </w:r>
      <w:r>
        <w:t xml:space="preserve">, May 2012, p. 7. </w:t>
      </w:r>
    </w:p>
  </w:footnote>
  <w:footnote w:id="11">
    <w:p w:rsidR="00A64127" w:rsidRDefault="00A64127" w:rsidP="00177101">
      <w:pPr>
        <w:pStyle w:val="FootnoteText"/>
      </w:pPr>
      <w:r>
        <w:rPr>
          <w:rStyle w:val="FootnoteReference"/>
        </w:rPr>
        <w:footnoteRef/>
      </w:r>
      <w:r>
        <w:t xml:space="preserve"> </w:t>
      </w:r>
      <w:r>
        <w:tab/>
        <w:t>NER, r. 6.16(g)(2).</w:t>
      </w:r>
    </w:p>
  </w:footnote>
  <w:footnote w:id="12">
    <w:p w:rsidR="00A64127" w:rsidRDefault="00A64127" w:rsidP="00145BEC">
      <w:pPr>
        <w:pStyle w:val="FootnoteText"/>
      </w:pPr>
      <w:r>
        <w:rPr>
          <w:rStyle w:val="FootnoteReference"/>
        </w:rPr>
        <w:footnoteRef/>
      </w:r>
      <w:r>
        <w:t xml:space="preserve"> </w:t>
      </w:r>
      <w:r>
        <w:tab/>
        <w:t xml:space="preserve">AER, </w:t>
      </w:r>
      <w:r w:rsidRPr="00FC6D90">
        <w:rPr>
          <w:rStyle w:val="AERtextitalic"/>
          <w:i w:val="0"/>
        </w:rPr>
        <w:t>Preliminary positions:</w:t>
      </w:r>
      <w:r w:rsidRPr="009100A3">
        <w:rPr>
          <w:rStyle w:val="AERtextitalic"/>
        </w:rPr>
        <w:t xml:space="preserve"> Framework a</w:t>
      </w:r>
      <w:r w:rsidRPr="00570F80">
        <w:rPr>
          <w:rStyle w:val="AERtextitalic"/>
        </w:rPr>
        <w:t xml:space="preserve">nd approach paper, </w:t>
      </w:r>
      <w:r>
        <w:rPr>
          <w:rStyle w:val="AERtextitalic"/>
        </w:rPr>
        <w:t>ActewAGL Distribution,</w:t>
      </w:r>
      <w:r w:rsidRPr="00825E6B">
        <w:rPr>
          <w:rStyle w:val="AERtextitalic"/>
        </w:rPr>
        <w:t xml:space="preserve"> </w:t>
      </w:r>
      <w:r w:rsidRPr="00570F80">
        <w:rPr>
          <w:rStyle w:val="AERtextitalic"/>
        </w:rPr>
        <w:t>Regulatory control period commencing 1 July 2014</w:t>
      </w:r>
      <w:r>
        <w:t xml:space="preserve">, June 2012. </w:t>
      </w:r>
    </w:p>
  </w:footnote>
  <w:footnote w:id="13">
    <w:p w:rsidR="00A64127" w:rsidRDefault="00A64127" w:rsidP="00145BEC">
      <w:pPr>
        <w:pStyle w:val="FootnoteText"/>
      </w:pPr>
      <w:r>
        <w:rPr>
          <w:rStyle w:val="FootnoteReference"/>
        </w:rPr>
        <w:footnoteRef/>
      </w:r>
      <w:r>
        <w:t xml:space="preserve"> </w:t>
      </w:r>
      <w:r>
        <w:tab/>
        <w:t xml:space="preserve">AER, </w:t>
      </w:r>
      <w:r w:rsidRPr="00120369">
        <w:rPr>
          <w:rStyle w:val="AERtextitalic"/>
          <w:i w:val="0"/>
        </w:rPr>
        <w:t>Explanatory statement</w:t>
      </w:r>
      <w:r w:rsidRPr="00487700">
        <w:rPr>
          <w:rStyle w:val="AERtextitalic"/>
          <w:i w:val="0"/>
        </w:rPr>
        <w:t>:</w:t>
      </w:r>
      <w:r w:rsidRPr="00C741C7">
        <w:rPr>
          <w:rStyle w:val="AERtextitalic"/>
        </w:rPr>
        <w:t xml:space="preserve"> Proposed demand management and embedded generation connection incentive scheme, </w:t>
      </w:r>
      <w:r>
        <w:rPr>
          <w:rStyle w:val="AERtextitalic"/>
        </w:rPr>
        <w:t>ActewAGL Distribution</w:t>
      </w:r>
      <w:r>
        <w:t xml:space="preserve">, May 2012, p. 11. </w:t>
      </w:r>
    </w:p>
  </w:footnote>
  <w:footnote w:id="14">
    <w:p w:rsidR="00A64127" w:rsidRDefault="00A64127" w:rsidP="00145BEC">
      <w:pPr>
        <w:pStyle w:val="FootnoteText"/>
      </w:pPr>
      <w:r>
        <w:rPr>
          <w:rStyle w:val="FootnoteReference"/>
        </w:rPr>
        <w:footnoteRef/>
      </w:r>
      <w:r>
        <w:t xml:space="preserve"> </w:t>
      </w:r>
      <w:r>
        <w:tab/>
        <w:t xml:space="preserve">AEMC, </w:t>
      </w:r>
      <w:r w:rsidRPr="00120369">
        <w:rPr>
          <w:rStyle w:val="AERtextitalic"/>
          <w:i w:val="0"/>
        </w:rPr>
        <w:t>Rule determination</w:t>
      </w:r>
      <w:r w:rsidRPr="00FC6D90">
        <w:rPr>
          <w:rStyle w:val="AERtextitalic"/>
          <w:i w:val="0"/>
        </w:rPr>
        <w:t>:</w:t>
      </w:r>
      <w:r w:rsidRPr="00113C76">
        <w:rPr>
          <w:rStyle w:val="AERtextitalic"/>
        </w:rPr>
        <w:t xml:space="preserve"> National Electricity Amendment (Economic Regulation of Network Service Providers) Rule 2012 No. 9</w:t>
      </w:r>
      <w:r>
        <w:t xml:space="preserve">, November 2012. </w:t>
      </w:r>
    </w:p>
  </w:footnote>
  <w:footnote w:id="15">
    <w:p w:rsidR="00A64127" w:rsidRDefault="00A64127" w:rsidP="00145BEC">
      <w:pPr>
        <w:pStyle w:val="FootnoteText"/>
      </w:pPr>
      <w:r>
        <w:rPr>
          <w:rStyle w:val="FootnoteReference"/>
        </w:rPr>
        <w:footnoteRef/>
      </w:r>
      <w:r>
        <w:t xml:space="preserve"> </w:t>
      </w:r>
      <w:r>
        <w:tab/>
        <w:t xml:space="preserve">NER, cl. 11.55.2, Transitional Chapter 6, cl. 6.11.2. </w:t>
      </w:r>
    </w:p>
  </w:footnote>
  <w:footnote w:id="16">
    <w:p w:rsidR="00A64127" w:rsidRDefault="00A64127" w:rsidP="00145BEC">
      <w:pPr>
        <w:pStyle w:val="FootnoteText"/>
      </w:pPr>
      <w:r>
        <w:rPr>
          <w:rStyle w:val="FootnoteReference"/>
        </w:rPr>
        <w:footnoteRef/>
      </w:r>
      <w:r>
        <w:t xml:space="preserve"> </w:t>
      </w:r>
      <w:r>
        <w:tab/>
        <w:t xml:space="preserve">NER, cl. 11.55.1. The subsequent regulatory control period is defined as the regulatory control period that immediately follows the transitional regulatory control period. The subsequent regulatory control period will commence on 1 July 2015. DNSPs can propose the length of the subsequent regulatory control period under cl. 11.56.4(k) of the NER. If the DNSP proposes a period of four regulatory years, the AER must approve that period as the regulatory control period.  </w:t>
      </w:r>
    </w:p>
  </w:footnote>
  <w:footnote w:id="17">
    <w:p w:rsidR="00A64127" w:rsidRDefault="00A64127" w:rsidP="00145BEC">
      <w:pPr>
        <w:pStyle w:val="FootnoteText"/>
      </w:pPr>
      <w:r>
        <w:rPr>
          <w:rStyle w:val="FootnoteReference"/>
        </w:rPr>
        <w:footnoteRef/>
      </w:r>
      <w:r>
        <w:t xml:space="preserve"> </w:t>
      </w:r>
      <w:r>
        <w:tab/>
        <w:t xml:space="preserve">NER, cl. 11.56.3(a)(4). The Stage 2 F&amp;A paper is required under cl. 11.56.4(l)(2) of the NER. </w:t>
      </w:r>
    </w:p>
  </w:footnote>
  <w:footnote w:id="18">
    <w:p w:rsidR="00A64127" w:rsidRDefault="00A64127" w:rsidP="00145BEC">
      <w:pPr>
        <w:pStyle w:val="FootnoteText"/>
      </w:pPr>
      <w:r>
        <w:rPr>
          <w:rStyle w:val="FootnoteReference"/>
        </w:rPr>
        <w:footnoteRef/>
      </w:r>
      <w:r>
        <w:t xml:space="preserve"> </w:t>
      </w:r>
      <w:r>
        <w:tab/>
        <w:t xml:space="preserve">NER, cl. 11.56.3(a)(4). </w:t>
      </w:r>
    </w:p>
  </w:footnote>
  <w:footnote w:id="19">
    <w:p w:rsidR="00A64127" w:rsidRDefault="00A64127" w:rsidP="00145BEC">
      <w:pPr>
        <w:pStyle w:val="FootnoteText"/>
      </w:pPr>
      <w:r>
        <w:rPr>
          <w:rStyle w:val="FootnoteReference"/>
        </w:rPr>
        <w:footnoteRef/>
      </w:r>
      <w:r>
        <w:t xml:space="preserve"> </w:t>
      </w:r>
      <w:r>
        <w:tab/>
        <w:t xml:space="preserve">AEMC, </w:t>
      </w:r>
      <w:r w:rsidRPr="00120369">
        <w:rPr>
          <w:rStyle w:val="AERtextitalic"/>
          <w:i w:val="0"/>
        </w:rPr>
        <w:t>Rule determination</w:t>
      </w:r>
      <w:r w:rsidRPr="00FC6D90">
        <w:rPr>
          <w:rStyle w:val="AERtextitalic"/>
          <w:i w:val="0"/>
        </w:rPr>
        <w:t>:</w:t>
      </w:r>
      <w:r w:rsidRPr="00113C76">
        <w:rPr>
          <w:rStyle w:val="AERtextitalic"/>
        </w:rPr>
        <w:t xml:space="preserve"> National Electricity Amendment (inclusion of Embedded Generation Research into Demand Management Incentive Scheme) Rule 2011 No.</w:t>
      </w:r>
      <w:r w:rsidRPr="00113C76">
        <w:rPr>
          <w:rStyle w:val="AERtextitalic"/>
          <w:rFonts w:hint="eastAsia"/>
        </w:rPr>
        <w:t> </w:t>
      </w:r>
      <w:r w:rsidRPr="00113C76">
        <w:rPr>
          <w:rStyle w:val="AERtextitalic"/>
        </w:rPr>
        <w:t>11</w:t>
      </w:r>
      <w:r>
        <w:t xml:space="preserve">, December 2011. </w:t>
      </w:r>
    </w:p>
  </w:footnote>
  <w:footnote w:id="20">
    <w:p w:rsidR="00A64127" w:rsidRDefault="00A64127" w:rsidP="00145BEC">
      <w:pPr>
        <w:pStyle w:val="FootnoteText"/>
      </w:pPr>
      <w:r>
        <w:rPr>
          <w:rStyle w:val="FootnoteReference"/>
        </w:rPr>
        <w:footnoteRef/>
      </w:r>
      <w:r>
        <w:t xml:space="preserve"> </w:t>
      </w:r>
      <w:r>
        <w:tab/>
        <w:t xml:space="preserve">AER, </w:t>
      </w:r>
      <w:r w:rsidRPr="00120369">
        <w:rPr>
          <w:rStyle w:val="AERtextitalic"/>
          <w:i w:val="0"/>
        </w:rPr>
        <w:t>Explanatory statement</w:t>
      </w:r>
      <w:r w:rsidRPr="00FC6D90">
        <w:rPr>
          <w:rStyle w:val="AERtextitalic"/>
          <w:i w:val="0"/>
        </w:rPr>
        <w:t>:</w:t>
      </w:r>
      <w:r w:rsidRPr="00C741C7">
        <w:rPr>
          <w:rStyle w:val="AERtextitalic"/>
        </w:rPr>
        <w:t xml:space="preserve"> Proposed demand management and embedded generation connection incentive scheme, </w:t>
      </w:r>
      <w:r>
        <w:rPr>
          <w:rStyle w:val="AERtextitalic"/>
        </w:rPr>
        <w:t>ActewAGL Distribution</w:t>
      </w:r>
      <w:r>
        <w:t xml:space="preserve">, May 2012, p. 6. </w:t>
      </w:r>
    </w:p>
  </w:footnote>
  <w:footnote w:id="21">
    <w:p w:rsidR="00A64127" w:rsidRDefault="00A64127" w:rsidP="00177101">
      <w:pPr>
        <w:pStyle w:val="FootnoteText"/>
      </w:pPr>
      <w:r>
        <w:rPr>
          <w:rStyle w:val="FootnoteReference"/>
        </w:rPr>
        <w:footnoteRef/>
      </w:r>
      <w:r>
        <w:t xml:space="preserve"> </w:t>
      </w:r>
      <w:r>
        <w:tab/>
        <w:t xml:space="preserve">AER, </w:t>
      </w:r>
      <w:r w:rsidRPr="00120369">
        <w:rPr>
          <w:rStyle w:val="AERtextitalic"/>
          <w:i w:val="0"/>
        </w:rPr>
        <w:t>Information paper</w:t>
      </w:r>
      <w:r>
        <w:rPr>
          <w:rStyle w:val="AERtextitalic"/>
          <w:i w:val="0"/>
        </w:rPr>
        <w:t>:</w:t>
      </w:r>
      <w:r w:rsidRPr="00113C76">
        <w:rPr>
          <w:rStyle w:val="AERtextitalic"/>
        </w:rPr>
        <w:t xml:space="preserve"> Demand management and embedded generation connection incentive scheme,</w:t>
      </w:r>
      <w:r>
        <w:t xml:space="preserve"> March 2013. </w:t>
      </w:r>
    </w:p>
  </w:footnote>
  <w:footnote w:id="22">
    <w:p w:rsidR="00A64127" w:rsidRDefault="00A64127" w:rsidP="00145BEC">
      <w:pPr>
        <w:pStyle w:val="FootnoteText"/>
      </w:pPr>
      <w:r>
        <w:rPr>
          <w:rStyle w:val="FootnoteReference"/>
        </w:rPr>
        <w:footnoteRef/>
      </w:r>
      <w:r>
        <w:t xml:space="preserve"> </w:t>
      </w:r>
      <w:r>
        <w:tab/>
        <w:t xml:space="preserve">AER, </w:t>
      </w:r>
      <w:r w:rsidRPr="00120369">
        <w:rPr>
          <w:rStyle w:val="AERtextitalic"/>
          <w:i w:val="0"/>
        </w:rPr>
        <w:t>Explanatory statement</w:t>
      </w:r>
      <w:r w:rsidRPr="001D3FAD">
        <w:rPr>
          <w:rStyle w:val="AERtextitalic"/>
          <w:i w:val="0"/>
        </w:rPr>
        <w:t>:</w:t>
      </w:r>
      <w:r w:rsidRPr="00C741C7">
        <w:rPr>
          <w:rStyle w:val="AERtextitalic"/>
        </w:rPr>
        <w:t xml:space="preserve"> Proposed demand management and embedded generation connection incentive scheme, </w:t>
      </w:r>
      <w:r>
        <w:rPr>
          <w:rStyle w:val="AERtextitalic"/>
        </w:rPr>
        <w:t>ActewAGL Distribution</w:t>
      </w:r>
      <w:r>
        <w:t xml:space="preserve">, May 2012, p. 9. </w:t>
      </w:r>
    </w:p>
  </w:footnote>
  <w:footnote w:id="23">
    <w:p w:rsidR="00A64127" w:rsidRDefault="00A64127" w:rsidP="00145BEC">
      <w:pPr>
        <w:pStyle w:val="FootnoteText"/>
      </w:pPr>
      <w:r>
        <w:rPr>
          <w:rStyle w:val="FootnoteReference"/>
        </w:rPr>
        <w:footnoteRef/>
      </w:r>
      <w:r>
        <w:t xml:space="preserve"> </w:t>
      </w:r>
      <w:r>
        <w:tab/>
        <w:t xml:space="preserve">AER, </w:t>
      </w:r>
      <w:r w:rsidRPr="00120369">
        <w:rPr>
          <w:rStyle w:val="AERtextitalic"/>
          <w:i w:val="0"/>
        </w:rPr>
        <w:t>Explanatory statement</w:t>
      </w:r>
      <w:r w:rsidRPr="001D3FAD">
        <w:rPr>
          <w:rStyle w:val="AERtextitalic"/>
          <w:i w:val="0"/>
        </w:rPr>
        <w:t>:</w:t>
      </w:r>
      <w:r w:rsidRPr="00C741C7">
        <w:rPr>
          <w:rStyle w:val="AERtextitalic"/>
        </w:rPr>
        <w:t xml:space="preserve"> Proposed demand management and embedded generation connection incentive scheme, </w:t>
      </w:r>
      <w:r>
        <w:rPr>
          <w:rStyle w:val="AERtextitalic"/>
        </w:rPr>
        <w:t>ActewAGL Distribution</w:t>
      </w:r>
      <w:r>
        <w:t xml:space="preserve">, May 2012, p. 9. </w:t>
      </w:r>
    </w:p>
  </w:footnote>
  <w:footnote w:id="24">
    <w:p w:rsidR="00A64127" w:rsidRDefault="00A64127" w:rsidP="00145BEC">
      <w:pPr>
        <w:pStyle w:val="FootnoteText"/>
      </w:pPr>
      <w:r>
        <w:rPr>
          <w:rStyle w:val="FootnoteReference"/>
        </w:rPr>
        <w:footnoteRef/>
      </w:r>
      <w:r>
        <w:t xml:space="preserve"> </w:t>
      </w:r>
      <w:r>
        <w:tab/>
        <w:t xml:space="preserve">NER, cl. 6.16(e)(1). </w:t>
      </w:r>
    </w:p>
  </w:footnote>
  <w:footnote w:id="25">
    <w:p w:rsidR="00A64127" w:rsidRDefault="00A64127" w:rsidP="00145BEC">
      <w:pPr>
        <w:pStyle w:val="FootnoteText"/>
      </w:pPr>
      <w:r>
        <w:rPr>
          <w:rStyle w:val="FootnoteReference"/>
        </w:rPr>
        <w:footnoteRef/>
      </w:r>
      <w:r>
        <w:t xml:space="preserve"> </w:t>
      </w:r>
      <w:r>
        <w:tab/>
        <w:t xml:space="preserve">NER, cl. 6.16(e)(2). </w:t>
      </w:r>
    </w:p>
  </w:footnote>
  <w:footnote w:id="26">
    <w:p w:rsidR="00A64127" w:rsidRDefault="00A64127" w:rsidP="00145BEC">
      <w:pPr>
        <w:pStyle w:val="FootnoteText"/>
      </w:pPr>
      <w:r>
        <w:rPr>
          <w:rStyle w:val="FootnoteReference"/>
        </w:rPr>
        <w:footnoteRef/>
      </w:r>
      <w:r>
        <w:t xml:space="preserve"> </w:t>
      </w:r>
      <w:r>
        <w:tab/>
      </w:r>
      <w:r w:rsidRPr="00D47A29">
        <w:t xml:space="preserve">ActewAGL, </w:t>
      </w:r>
      <w:r w:rsidRPr="00D47A29">
        <w:rPr>
          <w:i/>
        </w:rPr>
        <w:t>Response to AER’s proposed demand management and embedded generation connection incentive scheme</w:t>
      </w:r>
      <w:r w:rsidRPr="00D47A29">
        <w:t>, August 2012</w:t>
      </w:r>
      <w:r>
        <w:t xml:space="preserve">; </w:t>
      </w:r>
      <w:r w:rsidRPr="00891706">
        <w:t xml:space="preserve">Alternative Technology Association, </w:t>
      </w:r>
      <w:r w:rsidRPr="002332E6">
        <w:rPr>
          <w:i/>
        </w:rPr>
        <w:t>Submission on proposed demand management &amp; embedded generation connection incentive scheme NSW and ACT</w:t>
      </w:r>
      <w:r w:rsidRPr="00891706">
        <w:t>, August 2012</w:t>
      </w:r>
      <w:r>
        <w:t xml:space="preserve">, pp. 2–3; </w:t>
      </w:r>
      <w:r w:rsidRPr="00891706">
        <w:t xml:space="preserve">EnerNOC, </w:t>
      </w:r>
      <w:r w:rsidRPr="002332E6">
        <w:rPr>
          <w:i/>
        </w:rPr>
        <w:t>Submission on the proposed demand management and embedded generation connection incentive scheme</w:t>
      </w:r>
      <w:r w:rsidRPr="00891706">
        <w:t>, July 2012</w:t>
      </w:r>
      <w:r>
        <w:t xml:space="preserve"> pp. 1–2.</w:t>
      </w:r>
    </w:p>
  </w:footnote>
  <w:footnote w:id="27">
    <w:p w:rsidR="00A64127" w:rsidRDefault="00A64127" w:rsidP="00825E6B">
      <w:pPr>
        <w:pStyle w:val="FootnoteText"/>
      </w:pPr>
      <w:r>
        <w:rPr>
          <w:rStyle w:val="FootnoteReference"/>
        </w:rPr>
        <w:footnoteRef/>
      </w:r>
      <w:r>
        <w:t xml:space="preserve"> </w:t>
      </w:r>
      <w:r>
        <w:tab/>
      </w:r>
      <w:r w:rsidRPr="00891706">
        <w:t xml:space="preserve">Alternative Technology Association, </w:t>
      </w:r>
      <w:r w:rsidRPr="002332E6">
        <w:rPr>
          <w:i/>
        </w:rPr>
        <w:t>Submission on proposed demand management &amp; embedded generation connection incentive scheme NSW and ACT</w:t>
      </w:r>
      <w:r w:rsidRPr="00891706">
        <w:t>, August 2012</w:t>
      </w:r>
      <w:r>
        <w:t xml:space="preserve">, pp. 2–3; </w:t>
      </w:r>
      <w:r w:rsidRPr="00891706">
        <w:t xml:space="preserve">EnerNOC, </w:t>
      </w:r>
      <w:r w:rsidRPr="002332E6">
        <w:rPr>
          <w:i/>
        </w:rPr>
        <w:t>Submission on the proposed demand management and embedded generation connection incentive scheme</w:t>
      </w:r>
      <w:r w:rsidRPr="00891706">
        <w:t>, July 2012</w:t>
      </w:r>
      <w:r>
        <w:t xml:space="preserve"> pp. 1–2.</w:t>
      </w:r>
    </w:p>
  </w:footnote>
  <w:footnote w:id="28">
    <w:p w:rsidR="00A64127" w:rsidRDefault="00A64127" w:rsidP="00145BEC">
      <w:pPr>
        <w:pStyle w:val="FootnoteText"/>
      </w:pPr>
      <w:r>
        <w:rPr>
          <w:rStyle w:val="FootnoteReference"/>
        </w:rPr>
        <w:footnoteRef/>
      </w:r>
      <w:r>
        <w:t xml:space="preserve"> </w:t>
      </w:r>
      <w:r>
        <w:tab/>
      </w:r>
      <w:r w:rsidRPr="00891706">
        <w:t xml:space="preserve">Alternative Technology Association, </w:t>
      </w:r>
      <w:r w:rsidRPr="002332E6">
        <w:rPr>
          <w:i/>
        </w:rPr>
        <w:t>Submission on proposed demand management &amp; embedded generation connection incentive scheme NSW and ACT</w:t>
      </w:r>
      <w:r w:rsidRPr="00891706">
        <w:t>, August 2012</w:t>
      </w:r>
      <w:r>
        <w:t>, p. 3;</w:t>
      </w:r>
      <w:r w:rsidRPr="00BF7BB3">
        <w:t xml:space="preserve"> </w:t>
      </w:r>
      <w:r w:rsidRPr="00891706">
        <w:t xml:space="preserve">EnerNOC, </w:t>
      </w:r>
      <w:r w:rsidRPr="002332E6">
        <w:rPr>
          <w:i/>
        </w:rPr>
        <w:t>Submission on the proposed demand management and embedded generation connection incentive scheme</w:t>
      </w:r>
      <w:r w:rsidRPr="00891706">
        <w:t>, July 2012</w:t>
      </w:r>
      <w:r>
        <w:t xml:space="preserve"> pp. 1–2. </w:t>
      </w:r>
    </w:p>
  </w:footnote>
  <w:footnote w:id="29">
    <w:p w:rsidR="00A64127" w:rsidRDefault="00A64127" w:rsidP="00145BEC">
      <w:pPr>
        <w:pStyle w:val="FootnoteText"/>
      </w:pPr>
      <w:r>
        <w:rPr>
          <w:rStyle w:val="FootnoteReference"/>
        </w:rPr>
        <w:footnoteRef/>
      </w:r>
      <w:r>
        <w:t xml:space="preserve"> </w:t>
      </w:r>
      <w:r>
        <w:tab/>
      </w:r>
      <w:r w:rsidRPr="002728FD">
        <w:t xml:space="preserve">ActewAGL, </w:t>
      </w:r>
      <w:r w:rsidRPr="006532DA">
        <w:rPr>
          <w:i/>
        </w:rPr>
        <w:t>Response to AER’s proposed demand management and embedded generation connection incentive scheme</w:t>
      </w:r>
      <w:r w:rsidRPr="002728FD">
        <w:t>, August 2012</w:t>
      </w:r>
      <w:r>
        <w:t>, p. 1.</w:t>
      </w:r>
    </w:p>
  </w:footnote>
  <w:footnote w:id="30">
    <w:p w:rsidR="00A64127" w:rsidRDefault="00A64127" w:rsidP="00145BEC"/>
  </w:footnote>
  <w:footnote w:id="31">
    <w:p w:rsidR="00A64127" w:rsidRDefault="00A64127" w:rsidP="00145BEC">
      <w:pPr>
        <w:pStyle w:val="FootnoteText"/>
      </w:pPr>
      <w:r>
        <w:rPr>
          <w:rStyle w:val="FootnoteReference"/>
        </w:rPr>
        <w:footnoteRef/>
      </w:r>
      <w:r>
        <w:t xml:space="preserve"> </w:t>
      </w:r>
      <w:r>
        <w:tab/>
        <w:t xml:space="preserve">AER, </w:t>
      </w:r>
      <w:r w:rsidRPr="003022A9">
        <w:rPr>
          <w:rStyle w:val="AERtextitalic"/>
          <w:i w:val="0"/>
        </w:rPr>
        <w:t>Explanatory statement</w:t>
      </w:r>
      <w:r w:rsidRPr="00C741C7">
        <w:rPr>
          <w:rStyle w:val="AERtextitalic"/>
        </w:rPr>
        <w:t xml:space="preserve">: Proposed demand management and embedded generation connection incentive scheme, </w:t>
      </w:r>
      <w:r>
        <w:rPr>
          <w:rStyle w:val="AERtextitalic"/>
        </w:rPr>
        <w:t>ActewAGL Distribution</w:t>
      </w:r>
      <w:r>
        <w:t xml:space="preserve">, May 2012, p. 14. </w:t>
      </w:r>
    </w:p>
  </w:footnote>
  <w:footnote w:id="32">
    <w:p w:rsidR="00A64127" w:rsidRDefault="00A64127" w:rsidP="00145BEC">
      <w:pPr>
        <w:pStyle w:val="FootnoteText"/>
      </w:pPr>
      <w:r>
        <w:rPr>
          <w:rStyle w:val="FootnoteReference"/>
        </w:rPr>
        <w:footnoteRef/>
      </w:r>
      <w:r>
        <w:t xml:space="preserve"> </w:t>
      </w:r>
      <w:r>
        <w:tab/>
        <w:t xml:space="preserve">AER, </w:t>
      </w:r>
      <w:r w:rsidRPr="003022A9">
        <w:rPr>
          <w:rStyle w:val="AERtextitalic"/>
          <w:i w:val="0"/>
        </w:rPr>
        <w:t>Explanatory statement:</w:t>
      </w:r>
      <w:r w:rsidRPr="00C741C7">
        <w:rPr>
          <w:rStyle w:val="AERtextitalic"/>
        </w:rPr>
        <w:t xml:space="preserve"> Proposed demand management and embedded generation connection incentive scheme, </w:t>
      </w:r>
      <w:r>
        <w:rPr>
          <w:rStyle w:val="AERtextitalic"/>
        </w:rPr>
        <w:t>ActewAGL Distribution</w:t>
      </w:r>
      <w:r>
        <w:t>, May 2012, p. 15.</w:t>
      </w:r>
    </w:p>
  </w:footnote>
  <w:footnote w:id="33">
    <w:p w:rsidR="00A64127" w:rsidRDefault="00A64127" w:rsidP="00145BEC">
      <w:pPr>
        <w:pStyle w:val="FootnoteText"/>
      </w:pPr>
      <w:r>
        <w:rPr>
          <w:rStyle w:val="FootnoteReference"/>
        </w:rPr>
        <w:footnoteRef/>
      </w:r>
      <w:r>
        <w:t xml:space="preserve"> </w:t>
      </w:r>
      <w:r>
        <w:tab/>
        <w:t xml:space="preserve">AER, </w:t>
      </w:r>
      <w:r w:rsidRPr="00487700">
        <w:rPr>
          <w:rStyle w:val="AERtextitalic"/>
          <w:i w:val="0"/>
        </w:rPr>
        <w:t>Explanatory statement:</w:t>
      </w:r>
      <w:r w:rsidRPr="00C741C7">
        <w:rPr>
          <w:rStyle w:val="AERtextitalic"/>
        </w:rPr>
        <w:t xml:space="preserve"> Proposed demand management and embedded generation connection incentive scheme, </w:t>
      </w:r>
      <w:r>
        <w:rPr>
          <w:rStyle w:val="AERtextitalic"/>
        </w:rPr>
        <w:t>ActewAGL Distribution</w:t>
      </w:r>
      <w:r>
        <w:t xml:space="preserve">, May 2012, p. 17. </w:t>
      </w:r>
    </w:p>
  </w:footnote>
  <w:footnote w:id="34">
    <w:p w:rsidR="00A64127" w:rsidRDefault="00A64127" w:rsidP="00145BEC">
      <w:pPr>
        <w:pStyle w:val="FootnoteText"/>
      </w:pPr>
      <w:r>
        <w:rPr>
          <w:rStyle w:val="FootnoteReference"/>
        </w:rPr>
        <w:footnoteRef/>
      </w:r>
      <w:r>
        <w:t xml:space="preserve"> </w:t>
      </w:r>
      <w:r>
        <w:tab/>
        <w:t xml:space="preserve">AEMC, </w:t>
      </w:r>
      <w:r w:rsidRPr="00487700">
        <w:rPr>
          <w:rStyle w:val="AERtextitalic"/>
          <w:i w:val="0"/>
        </w:rPr>
        <w:t>Rule determination:</w:t>
      </w:r>
      <w:r w:rsidRPr="00570F80">
        <w:rPr>
          <w:rStyle w:val="AERtextitalic"/>
        </w:rPr>
        <w:t xml:space="preserve"> National Electricity Amendment (inclusion of Embedded Generation Research into Demand Management Incentive Scheme) Rule 2011 No. 11, </w:t>
      </w:r>
      <w:r w:rsidRPr="00487700">
        <w:rPr>
          <w:rStyle w:val="AERtextitalic"/>
          <w:i w:val="0"/>
        </w:rPr>
        <w:t>December 2011,</w:t>
      </w:r>
      <w:r>
        <w:t xml:space="preserve"> p. 22.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A64127"/>
  <w:p w:rsidR="00A64127" w:rsidRDefault="00A64127"/>
  <w:p w:rsidR="00A64127" w:rsidRDefault="00A64127"/>
  <w:p w:rsidR="00A64127" w:rsidRDefault="00A64127"/>
  <w:p w:rsidR="00A64127" w:rsidRDefault="00A64127"/>
  <w:p w:rsidR="00A64127" w:rsidRDefault="00A64127"/>
  <w:p w:rsidR="00A64127" w:rsidRDefault="00A6412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A64127"/>
  <w:p w:rsidR="00A64127" w:rsidRDefault="00A6412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A64127"/>
  <w:p w:rsidR="00A64127" w:rsidRDefault="00A64127"/>
  <w:p w:rsidR="00A64127" w:rsidRDefault="00A64127"/>
  <w:p w:rsidR="00A64127" w:rsidRDefault="00A64127"/>
  <w:p w:rsidR="00A64127" w:rsidRDefault="00A64127"/>
  <w:p w:rsidR="00A64127" w:rsidRDefault="00A64127"/>
  <w:p w:rsidR="00A64127" w:rsidRDefault="00A6412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27" w:rsidRDefault="00A64127"/>
  <w:p w:rsidR="00A64127" w:rsidRDefault="00A6412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F29"/>
    <w:multiLevelType w:val="hybridMultilevel"/>
    <w:tmpl w:val="F1C4760C"/>
    <w:lvl w:ilvl="0" w:tplc="093A65E2">
      <w:start w:val="1"/>
      <w:numFmt w:val="bullet"/>
      <w:lvlText w:val=""/>
      <w:lvlJc w:val="left"/>
      <w:pPr>
        <w:ind w:left="1316" w:hanging="360"/>
      </w:pPr>
      <w:rPr>
        <w:rFonts w:ascii="Wingdings" w:hAnsi="Wingdings" w:hint="default"/>
        <w:sz w:val="20"/>
        <w:szCs w:val="20"/>
      </w:rPr>
    </w:lvl>
    <w:lvl w:ilvl="1" w:tplc="0C090003" w:tentative="1">
      <w:start w:val="1"/>
      <w:numFmt w:val="bullet"/>
      <w:lvlText w:val="o"/>
      <w:lvlJc w:val="left"/>
      <w:pPr>
        <w:ind w:left="2036" w:hanging="360"/>
      </w:pPr>
      <w:rPr>
        <w:rFonts w:ascii="Courier New" w:hAnsi="Courier New" w:cs="Courier New" w:hint="default"/>
      </w:rPr>
    </w:lvl>
    <w:lvl w:ilvl="2" w:tplc="0C090005" w:tentative="1">
      <w:start w:val="1"/>
      <w:numFmt w:val="bullet"/>
      <w:lvlText w:val=""/>
      <w:lvlJc w:val="left"/>
      <w:pPr>
        <w:ind w:left="2756" w:hanging="360"/>
      </w:pPr>
      <w:rPr>
        <w:rFonts w:ascii="Wingdings" w:hAnsi="Wingdings" w:hint="default"/>
      </w:rPr>
    </w:lvl>
    <w:lvl w:ilvl="3" w:tplc="0C090001" w:tentative="1">
      <w:start w:val="1"/>
      <w:numFmt w:val="bullet"/>
      <w:lvlText w:val=""/>
      <w:lvlJc w:val="left"/>
      <w:pPr>
        <w:ind w:left="3476" w:hanging="360"/>
      </w:pPr>
      <w:rPr>
        <w:rFonts w:ascii="Symbol" w:hAnsi="Symbol" w:hint="default"/>
      </w:rPr>
    </w:lvl>
    <w:lvl w:ilvl="4" w:tplc="0C090003" w:tentative="1">
      <w:start w:val="1"/>
      <w:numFmt w:val="bullet"/>
      <w:lvlText w:val="o"/>
      <w:lvlJc w:val="left"/>
      <w:pPr>
        <w:ind w:left="4196" w:hanging="360"/>
      </w:pPr>
      <w:rPr>
        <w:rFonts w:ascii="Courier New" w:hAnsi="Courier New" w:cs="Courier New" w:hint="default"/>
      </w:rPr>
    </w:lvl>
    <w:lvl w:ilvl="5" w:tplc="0C090005" w:tentative="1">
      <w:start w:val="1"/>
      <w:numFmt w:val="bullet"/>
      <w:lvlText w:val=""/>
      <w:lvlJc w:val="left"/>
      <w:pPr>
        <w:ind w:left="4916" w:hanging="360"/>
      </w:pPr>
      <w:rPr>
        <w:rFonts w:ascii="Wingdings" w:hAnsi="Wingdings" w:hint="default"/>
      </w:rPr>
    </w:lvl>
    <w:lvl w:ilvl="6" w:tplc="0C090001" w:tentative="1">
      <w:start w:val="1"/>
      <w:numFmt w:val="bullet"/>
      <w:lvlText w:val=""/>
      <w:lvlJc w:val="left"/>
      <w:pPr>
        <w:ind w:left="5636" w:hanging="360"/>
      </w:pPr>
      <w:rPr>
        <w:rFonts w:ascii="Symbol" w:hAnsi="Symbol" w:hint="default"/>
      </w:rPr>
    </w:lvl>
    <w:lvl w:ilvl="7" w:tplc="0C090003" w:tentative="1">
      <w:start w:val="1"/>
      <w:numFmt w:val="bullet"/>
      <w:lvlText w:val="o"/>
      <w:lvlJc w:val="left"/>
      <w:pPr>
        <w:ind w:left="6356" w:hanging="360"/>
      </w:pPr>
      <w:rPr>
        <w:rFonts w:ascii="Courier New" w:hAnsi="Courier New" w:cs="Courier New" w:hint="default"/>
      </w:rPr>
    </w:lvl>
    <w:lvl w:ilvl="8" w:tplc="0C090005" w:tentative="1">
      <w:start w:val="1"/>
      <w:numFmt w:val="bullet"/>
      <w:lvlText w:val=""/>
      <w:lvlJc w:val="left"/>
      <w:pPr>
        <w:ind w:left="7076"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0F8F1FA6"/>
    <w:multiLevelType w:val="hybridMultilevel"/>
    <w:tmpl w:val="10DAD17A"/>
    <w:lvl w:ilvl="0" w:tplc="ADC00E16">
      <w:start w:val="1"/>
      <w:numFmt w:val="bullet"/>
      <w:lvlText w:val=""/>
      <w:lvlJc w:val="left"/>
      <w:pPr>
        <w:ind w:left="1600" w:hanging="360"/>
      </w:pPr>
      <w:rPr>
        <w:rFonts w:ascii="Wingdings" w:hAnsi="Wingdings" w:hint="default"/>
        <w:sz w:val="20"/>
        <w:szCs w:val="20"/>
      </w:rPr>
    </w:lvl>
    <w:lvl w:ilvl="1" w:tplc="0C090003" w:tentative="1">
      <w:start w:val="1"/>
      <w:numFmt w:val="bullet"/>
      <w:lvlText w:val="o"/>
      <w:lvlJc w:val="left"/>
      <w:pPr>
        <w:ind w:left="2320" w:hanging="360"/>
      </w:pPr>
      <w:rPr>
        <w:rFonts w:ascii="Courier New" w:hAnsi="Courier New" w:cs="Courier New" w:hint="default"/>
      </w:rPr>
    </w:lvl>
    <w:lvl w:ilvl="2" w:tplc="0C090005" w:tentative="1">
      <w:start w:val="1"/>
      <w:numFmt w:val="bullet"/>
      <w:lvlText w:val=""/>
      <w:lvlJc w:val="left"/>
      <w:pPr>
        <w:ind w:left="3040" w:hanging="360"/>
      </w:pPr>
      <w:rPr>
        <w:rFonts w:ascii="Wingdings" w:hAnsi="Wingdings" w:hint="default"/>
      </w:rPr>
    </w:lvl>
    <w:lvl w:ilvl="3" w:tplc="0C090001" w:tentative="1">
      <w:start w:val="1"/>
      <w:numFmt w:val="bullet"/>
      <w:lvlText w:val=""/>
      <w:lvlJc w:val="left"/>
      <w:pPr>
        <w:ind w:left="3760" w:hanging="360"/>
      </w:pPr>
      <w:rPr>
        <w:rFonts w:ascii="Symbol" w:hAnsi="Symbol" w:hint="default"/>
      </w:rPr>
    </w:lvl>
    <w:lvl w:ilvl="4" w:tplc="0C090003" w:tentative="1">
      <w:start w:val="1"/>
      <w:numFmt w:val="bullet"/>
      <w:lvlText w:val="o"/>
      <w:lvlJc w:val="left"/>
      <w:pPr>
        <w:ind w:left="4480" w:hanging="360"/>
      </w:pPr>
      <w:rPr>
        <w:rFonts w:ascii="Courier New" w:hAnsi="Courier New" w:cs="Courier New" w:hint="default"/>
      </w:rPr>
    </w:lvl>
    <w:lvl w:ilvl="5" w:tplc="0C090005" w:tentative="1">
      <w:start w:val="1"/>
      <w:numFmt w:val="bullet"/>
      <w:lvlText w:val=""/>
      <w:lvlJc w:val="left"/>
      <w:pPr>
        <w:ind w:left="5200" w:hanging="360"/>
      </w:pPr>
      <w:rPr>
        <w:rFonts w:ascii="Wingdings" w:hAnsi="Wingdings" w:hint="default"/>
      </w:rPr>
    </w:lvl>
    <w:lvl w:ilvl="6" w:tplc="0C090001" w:tentative="1">
      <w:start w:val="1"/>
      <w:numFmt w:val="bullet"/>
      <w:lvlText w:val=""/>
      <w:lvlJc w:val="left"/>
      <w:pPr>
        <w:ind w:left="5920" w:hanging="360"/>
      </w:pPr>
      <w:rPr>
        <w:rFonts w:ascii="Symbol" w:hAnsi="Symbol" w:hint="default"/>
      </w:rPr>
    </w:lvl>
    <w:lvl w:ilvl="7" w:tplc="0C090003" w:tentative="1">
      <w:start w:val="1"/>
      <w:numFmt w:val="bullet"/>
      <w:lvlText w:val="o"/>
      <w:lvlJc w:val="left"/>
      <w:pPr>
        <w:ind w:left="6640" w:hanging="360"/>
      </w:pPr>
      <w:rPr>
        <w:rFonts w:ascii="Courier New" w:hAnsi="Courier New" w:cs="Courier New" w:hint="default"/>
      </w:rPr>
    </w:lvl>
    <w:lvl w:ilvl="8" w:tplc="0C090005" w:tentative="1">
      <w:start w:val="1"/>
      <w:numFmt w:val="bullet"/>
      <w:lvlText w:val=""/>
      <w:lvlJc w:val="left"/>
      <w:pPr>
        <w:ind w:left="7360" w:hanging="360"/>
      </w:pPr>
      <w:rPr>
        <w:rFonts w:ascii="Wingdings" w:hAnsi="Wingdings" w:hint="default"/>
      </w:rPr>
    </w:lvl>
  </w:abstractNum>
  <w:abstractNum w:abstractNumId="3">
    <w:nsid w:val="13D926E4"/>
    <w:multiLevelType w:val="hybridMultilevel"/>
    <w:tmpl w:val="6D5AA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8B1668"/>
    <w:multiLevelType w:val="hybridMultilevel"/>
    <w:tmpl w:val="9E9AE204"/>
    <w:lvl w:ilvl="0" w:tplc="D876CA90">
      <w:start w:val="1"/>
      <w:numFmt w:val="bullet"/>
      <w:lvlText w:val=""/>
      <w:lvlJc w:val="left"/>
      <w:pPr>
        <w:tabs>
          <w:tab w:val="num" w:pos="1080"/>
        </w:tabs>
        <w:ind w:left="1080" w:hanging="360"/>
      </w:pPr>
      <w:rPr>
        <w:rFonts w:ascii="Wingdings" w:hAnsi="Wingdings"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A903EEC"/>
    <w:multiLevelType w:val="multilevel"/>
    <w:tmpl w:val="560A1E10"/>
    <w:lvl w:ilvl="0">
      <w:start w:val="1"/>
      <w:numFmt w:val="bullet"/>
      <w:lvlText w:val=""/>
      <w:lvlJc w:val="left"/>
      <w:pPr>
        <w:tabs>
          <w:tab w:val="num" w:pos="1071"/>
        </w:tabs>
        <w:ind w:left="1071" w:hanging="357"/>
      </w:pPr>
      <w:rPr>
        <w:rFonts w:ascii="Wingdings" w:hAnsi="Wingdings" w:hint="default"/>
        <w:sz w:val="24"/>
        <w:szCs w:val="24"/>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7">
    <w:nsid w:val="1FC804C6"/>
    <w:multiLevelType w:val="multilevel"/>
    <w:tmpl w:val="9A540BDE"/>
    <w:lvl w:ilvl="0">
      <w:start w:val="1"/>
      <w:numFmt w:val="bullet"/>
      <w:lvlText w:val=""/>
      <w:lvlJc w:val="left"/>
      <w:pPr>
        <w:tabs>
          <w:tab w:val="num" w:pos="1071"/>
        </w:tabs>
        <w:ind w:left="1071" w:hanging="357"/>
      </w:pPr>
      <w:rPr>
        <w:rFonts w:ascii="Wingdings" w:hAnsi="Wingdings" w:hint="default"/>
        <w:sz w:val="16"/>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8">
    <w:nsid w:val="285176E7"/>
    <w:multiLevelType w:val="multilevel"/>
    <w:tmpl w:val="78D4D754"/>
    <w:lvl w:ilvl="0">
      <w:start w:val="1"/>
      <w:numFmt w:val="bullet"/>
      <w:lvlText w:val=""/>
      <w:lvlJc w:val="left"/>
      <w:pPr>
        <w:tabs>
          <w:tab w:val="num" w:pos="1071"/>
        </w:tabs>
        <w:ind w:left="1071" w:hanging="357"/>
      </w:pPr>
      <w:rPr>
        <w:rFonts w:ascii="Wingdings" w:hAnsi="Wingdings" w:hint="default"/>
        <w:sz w:val="16"/>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9">
    <w:nsid w:val="296F52BF"/>
    <w:multiLevelType w:val="multilevel"/>
    <w:tmpl w:val="6C6A8F54"/>
    <w:lvl w:ilvl="0">
      <w:start w:val="1"/>
      <w:numFmt w:val="bullet"/>
      <w:lvlText w:val=""/>
      <w:lvlJc w:val="left"/>
      <w:pPr>
        <w:tabs>
          <w:tab w:val="num" w:pos="1071"/>
        </w:tabs>
        <w:ind w:left="1071" w:hanging="357"/>
      </w:pPr>
      <w:rPr>
        <w:rFonts w:ascii="Wingdings" w:hAnsi="Wingdings" w:hint="default"/>
        <w:sz w:val="20"/>
        <w:szCs w:val="20"/>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0">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0B82CBC"/>
    <w:multiLevelType w:val="hybridMultilevel"/>
    <w:tmpl w:val="CA769626"/>
    <w:lvl w:ilvl="0" w:tplc="4600FECC">
      <w:start w:val="1"/>
      <w:numFmt w:val="bullet"/>
      <w:lvlText w:val=""/>
      <w:lvlJc w:val="left"/>
      <w:pPr>
        <w:tabs>
          <w:tab w:val="num" w:pos="720"/>
        </w:tabs>
        <w:ind w:left="720" w:hanging="360"/>
      </w:pPr>
      <w:rPr>
        <w:rFonts w:ascii="Wingdings" w:hAnsi="Wingdings" w:hint="default"/>
      </w:rPr>
    </w:lvl>
    <w:lvl w:ilvl="1" w:tplc="63F4E284">
      <w:start w:val="1"/>
      <w:numFmt w:val="bullet"/>
      <w:lvlText w:val="o"/>
      <w:lvlJc w:val="left"/>
      <w:pPr>
        <w:tabs>
          <w:tab w:val="num" w:pos="1440"/>
        </w:tabs>
        <w:ind w:left="1440" w:hanging="360"/>
      </w:pPr>
      <w:rPr>
        <w:rFonts w:ascii="Courier New" w:hAnsi="Courier New" w:hint="default"/>
      </w:rPr>
    </w:lvl>
    <w:lvl w:ilvl="2" w:tplc="63CACAA4">
      <w:start w:val="1"/>
      <w:numFmt w:val="bullet"/>
      <w:lvlText w:val=""/>
      <w:lvlJc w:val="left"/>
      <w:pPr>
        <w:tabs>
          <w:tab w:val="num" w:pos="2160"/>
        </w:tabs>
        <w:ind w:left="2160" w:hanging="360"/>
      </w:pPr>
      <w:rPr>
        <w:rFonts w:ascii="Symbol" w:hAnsi="Symbol" w:hint="default"/>
      </w:rPr>
    </w:lvl>
    <w:lvl w:ilvl="3" w:tplc="7512A95E" w:tentative="1">
      <w:start w:val="1"/>
      <w:numFmt w:val="bullet"/>
      <w:lvlText w:val=""/>
      <w:lvlJc w:val="left"/>
      <w:pPr>
        <w:tabs>
          <w:tab w:val="num" w:pos="2880"/>
        </w:tabs>
        <w:ind w:left="2880" w:hanging="360"/>
      </w:pPr>
      <w:rPr>
        <w:rFonts w:ascii="Symbol" w:hAnsi="Symbol" w:hint="default"/>
      </w:rPr>
    </w:lvl>
    <w:lvl w:ilvl="4" w:tplc="EEF23F1E" w:tentative="1">
      <w:start w:val="1"/>
      <w:numFmt w:val="bullet"/>
      <w:lvlText w:val="o"/>
      <w:lvlJc w:val="left"/>
      <w:pPr>
        <w:tabs>
          <w:tab w:val="num" w:pos="3600"/>
        </w:tabs>
        <w:ind w:left="3600" w:hanging="360"/>
      </w:pPr>
      <w:rPr>
        <w:rFonts w:ascii="Courier New" w:hAnsi="Courier New" w:hint="default"/>
      </w:rPr>
    </w:lvl>
    <w:lvl w:ilvl="5" w:tplc="E68070C4" w:tentative="1">
      <w:start w:val="1"/>
      <w:numFmt w:val="bullet"/>
      <w:lvlText w:val=""/>
      <w:lvlJc w:val="left"/>
      <w:pPr>
        <w:tabs>
          <w:tab w:val="num" w:pos="4320"/>
        </w:tabs>
        <w:ind w:left="4320" w:hanging="360"/>
      </w:pPr>
      <w:rPr>
        <w:rFonts w:ascii="Wingdings" w:hAnsi="Wingdings" w:hint="default"/>
      </w:rPr>
    </w:lvl>
    <w:lvl w:ilvl="6" w:tplc="9000F614" w:tentative="1">
      <w:start w:val="1"/>
      <w:numFmt w:val="bullet"/>
      <w:lvlText w:val=""/>
      <w:lvlJc w:val="left"/>
      <w:pPr>
        <w:tabs>
          <w:tab w:val="num" w:pos="5040"/>
        </w:tabs>
        <w:ind w:left="5040" w:hanging="360"/>
      </w:pPr>
      <w:rPr>
        <w:rFonts w:ascii="Symbol" w:hAnsi="Symbol" w:hint="default"/>
      </w:rPr>
    </w:lvl>
    <w:lvl w:ilvl="7" w:tplc="FB20B420" w:tentative="1">
      <w:start w:val="1"/>
      <w:numFmt w:val="bullet"/>
      <w:lvlText w:val="o"/>
      <w:lvlJc w:val="left"/>
      <w:pPr>
        <w:tabs>
          <w:tab w:val="num" w:pos="5760"/>
        </w:tabs>
        <w:ind w:left="5760" w:hanging="360"/>
      </w:pPr>
      <w:rPr>
        <w:rFonts w:ascii="Courier New" w:hAnsi="Courier New" w:hint="default"/>
      </w:rPr>
    </w:lvl>
    <w:lvl w:ilvl="8" w:tplc="AFA26AE2" w:tentative="1">
      <w:start w:val="1"/>
      <w:numFmt w:val="bullet"/>
      <w:lvlText w:val=""/>
      <w:lvlJc w:val="left"/>
      <w:pPr>
        <w:tabs>
          <w:tab w:val="num" w:pos="6480"/>
        </w:tabs>
        <w:ind w:left="6480" w:hanging="360"/>
      </w:pPr>
      <w:rPr>
        <w:rFonts w:ascii="Wingdings" w:hAnsi="Wingdings" w:hint="default"/>
      </w:rPr>
    </w:lvl>
  </w:abstractNum>
  <w:abstractNum w:abstractNumId="12">
    <w:nsid w:val="443F74CB"/>
    <w:multiLevelType w:val="hybridMultilevel"/>
    <w:tmpl w:val="550AFBE6"/>
    <w:lvl w:ilvl="0" w:tplc="CC182DF0">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AA20093A">
      <w:start w:val="1"/>
      <w:numFmt w:val="bullet"/>
      <w:lvlText w:val=""/>
      <w:lvlJc w:val="left"/>
      <w:pPr>
        <w:tabs>
          <w:tab w:val="num" w:pos="4498"/>
        </w:tabs>
        <w:ind w:left="4498" w:hanging="358"/>
      </w:pPr>
      <w:rPr>
        <w:rFonts w:ascii="Wingdings" w:hAnsi="Wingdings" w:hint="default"/>
        <w:b w:val="0"/>
        <w:i w:val="0"/>
        <w:sz w:val="22"/>
      </w:rPr>
    </w:lvl>
    <w:lvl w:ilvl="2" w:tplc="385C91C6" w:tentative="1">
      <w:start w:val="1"/>
      <w:numFmt w:val="lowerRoman"/>
      <w:lvlText w:val="%3."/>
      <w:lvlJc w:val="right"/>
      <w:pPr>
        <w:tabs>
          <w:tab w:val="num" w:pos="5220"/>
        </w:tabs>
        <w:ind w:left="5220" w:hanging="180"/>
      </w:pPr>
    </w:lvl>
    <w:lvl w:ilvl="3" w:tplc="C88C1FC2" w:tentative="1">
      <w:start w:val="1"/>
      <w:numFmt w:val="decimal"/>
      <w:lvlText w:val="%4."/>
      <w:lvlJc w:val="left"/>
      <w:pPr>
        <w:tabs>
          <w:tab w:val="num" w:pos="5940"/>
        </w:tabs>
        <w:ind w:left="5940" w:hanging="360"/>
      </w:pPr>
    </w:lvl>
    <w:lvl w:ilvl="4" w:tplc="D7BA94CE">
      <w:start w:val="1"/>
      <w:numFmt w:val="lowerLetter"/>
      <w:lvlText w:val="%5."/>
      <w:lvlJc w:val="left"/>
      <w:pPr>
        <w:tabs>
          <w:tab w:val="num" w:pos="6660"/>
        </w:tabs>
        <w:ind w:left="6660" w:hanging="360"/>
      </w:pPr>
    </w:lvl>
    <w:lvl w:ilvl="5" w:tplc="05BC652A">
      <w:start w:val="1"/>
      <w:numFmt w:val="lowerRoman"/>
      <w:lvlText w:val="%6."/>
      <w:lvlJc w:val="right"/>
      <w:pPr>
        <w:tabs>
          <w:tab w:val="num" w:pos="7380"/>
        </w:tabs>
        <w:ind w:left="7380" w:hanging="180"/>
      </w:pPr>
    </w:lvl>
    <w:lvl w:ilvl="6" w:tplc="632AA288" w:tentative="1">
      <w:start w:val="1"/>
      <w:numFmt w:val="decimal"/>
      <w:lvlText w:val="%7."/>
      <w:lvlJc w:val="left"/>
      <w:pPr>
        <w:tabs>
          <w:tab w:val="num" w:pos="8100"/>
        </w:tabs>
        <w:ind w:left="8100" w:hanging="360"/>
      </w:pPr>
    </w:lvl>
    <w:lvl w:ilvl="7" w:tplc="CE6CB612" w:tentative="1">
      <w:start w:val="1"/>
      <w:numFmt w:val="lowerLetter"/>
      <w:lvlText w:val="%8."/>
      <w:lvlJc w:val="left"/>
      <w:pPr>
        <w:tabs>
          <w:tab w:val="num" w:pos="8820"/>
        </w:tabs>
        <w:ind w:left="8820" w:hanging="360"/>
      </w:pPr>
    </w:lvl>
    <w:lvl w:ilvl="8" w:tplc="63D09C34" w:tentative="1">
      <w:start w:val="1"/>
      <w:numFmt w:val="lowerRoman"/>
      <w:lvlText w:val="%9."/>
      <w:lvlJc w:val="right"/>
      <w:pPr>
        <w:tabs>
          <w:tab w:val="num" w:pos="9540"/>
        </w:tabs>
        <w:ind w:left="9540" w:hanging="180"/>
      </w:pPr>
    </w:lvl>
  </w:abstractNum>
  <w:abstractNum w:abstractNumId="13">
    <w:nsid w:val="4DBF565C"/>
    <w:multiLevelType w:val="multilevel"/>
    <w:tmpl w:val="7DD008D6"/>
    <w:lvl w:ilvl="0">
      <w:start w:val="1"/>
      <w:numFmt w:val="bullet"/>
      <w:lvlText w:val=""/>
      <w:lvlJc w:val="left"/>
      <w:pPr>
        <w:tabs>
          <w:tab w:val="num" w:pos="1071"/>
        </w:tabs>
        <w:ind w:left="1071" w:hanging="357"/>
      </w:pPr>
      <w:rPr>
        <w:rFonts w:ascii="Wingdings" w:hAnsi="Wingdings" w:hint="default"/>
        <w:sz w:val="16"/>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4">
    <w:nsid w:val="4E100F1F"/>
    <w:multiLevelType w:val="multilevel"/>
    <w:tmpl w:val="F1004F1E"/>
    <w:lvl w:ilvl="0">
      <w:start w:val="1"/>
      <w:numFmt w:val="bullet"/>
      <w:lvlText w:val=""/>
      <w:lvlJc w:val="left"/>
      <w:pPr>
        <w:tabs>
          <w:tab w:val="num" w:pos="1071"/>
        </w:tabs>
        <w:ind w:left="1071" w:hanging="357"/>
      </w:pPr>
      <w:rPr>
        <w:rFonts w:ascii="Wingdings" w:hAnsi="Wingdings" w:hint="default"/>
        <w:sz w:val="20"/>
        <w:szCs w:val="20"/>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AE679F7"/>
    <w:multiLevelType w:val="hybridMultilevel"/>
    <w:tmpl w:val="7EB8E4DC"/>
    <w:lvl w:ilvl="0" w:tplc="AEE63584">
      <w:start w:val="1"/>
      <w:numFmt w:val="bullet"/>
      <w:pStyle w:val="AERBullet1"/>
      <w:lvlText w:val=""/>
      <w:lvlJc w:val="left"/>
      <w:pPr>
        <w:tabs>
          <w:tab w:val="num" w:pos="900"/>
        </w:tabs>
        <w:ind w:left="900" w:hanging="360"/>
      </w:pPr>
      <w:rPr>
        <w:rFonts w:ascii="Wingdings" w:hAnsi="Wingdings" w:hint="default"/>
        <w:sz w:val="28"/>
        <w:szCs w:val="28"/>
      </w:rPr>
    </w:lvl>
    <w:lvl w:ilvl="1" w:tplc="82C8BDEE">
      <w:start w:val="1"/>
      <w:numFmt w:val="bullet"/>
      <w:lvlText w:val="o"/>
      <w:lvlJc w:val="left"/>
      <w:pPr>
        <w:tabs>
          <w:tab w:val="num" w:pos="1374"/>
        </w:tabs>
        <w:ind w:left="1374" w:hanging="360"/>
      </w:pPr>
      <w:rPr>
        <w:rFonts w:ascii="Courier New" w:hAnsi="Courier New" w:cs="Courier New" w:hint="default"/>
      </w:rPr>
    </w:lvl>
    <w:lvl w:ilvl="2" w:tplc="098EF70C" w:tentative="1">
      <w:start w:val="1"/>
      <w:numFmt w:val="bullet"/>
      <w:lvlText w:val=""/>
      <w:lvlJc w:val="left"/>
      <w:pPr>
        <w:tabs>
          <w:tab w:val="num" w:pos="2094"/>
        </w:tabs>
        <w:ind w:left="2094" w:hanging="360"/>
      </w:pPr>
      <w:rPr>
        <w:rFonts w:ascii="Wingdings" w:hAnsi="Wingdings" w:hint="default"/>
      </w:rPr>
    </w:lvl>
    <w:lvl w:ilvl="3" w:tplc="49C09AA6" w:tentative="1">
      <w:start w:val="1"/>
      <w:numFmt w:val="bullet"/>
      <w:lvlText w:val=""/>
      <w:lvlJc w:val="left"/>
      <w:pPr>
        <w:tabs>
          <w:tab w:val="num" w:pos="2814"/>
        </w:tabs>
        <w:ind w:left="2814" w:hanging="360"/>
      </w:pPr>
      <w:rPr>
        <w:rFonts w:ascii="Symbol" w:hAnsi="Symbol" w:hint="default"/>
      </w:rPr>
    </w:lvl>
    <w:lvl w:ilvl="4" w:tplc="786C3F0A" w:tentative="1">
      <w:start w:val="1"/>
      <w:numFmt w:val="bullet"/>
      <w:lvlText w:val="o"/>
      <w:lvlJc w:val="left"/>
      <w:pPr>
        <w:tabs>
          <w:tab w:val="num" w:pos="3534"/>
        </w:tabs>
        <w:ind w:left="3534" w:hanging="360"/>
      </w:pPr>
      <w:rPr>
        <w:rFonts w:ascii="Courier New" w:hAnsi="Courier New" w:cs="Courier New" w:hint="default"/>
      </w:rPr>
    </w:lvl>
    <w:lvl w:ilvl="5" w:tplc="BA68A96C" w:tentative="1">
      <w:start w:val="1"/>
      <w:numFmt w:val="bullet"/>
      <w:lvlText w:val=""/>
      <w:lvlJc w:val="left"/>
      <w:pPr>
        <w:tabs>
          <w:tab w:val="num" w:pos="4254"/>
        </w:tabs>
        <w:ind w:left="4254" w:hanging="360"/>
      </w:pPr>
      <w:rPr>
        <w:rFonts w:ascii="Wingdings" w:hAnsi="Wingdings" w:hint="default"/>
      </w:rPr>
    </w:lvl>
    <w:lvl w:ilvl="6" w:tplc="2A22A82A" w:tentative="1">
      <w:start w:val="1"/>
      <w:numFmt w:val="bullet"/>
      <w:lvlText w:val=""/>
      <w:lvlJc w:val="left"/>
      <w:pPr>
        <w:tabs>
          <w:tab w:val="num" w:pos="4974"/>
        </w:tabs>
        <w:ind w:left="4974" w:hanging="360"/>
      </w:pPr>
      <w:rPr>
        <w:rFonts w:ascii="Symbol" w:hAnsi="Symbol" w:hint="default"/>
      </w:rPr>
    </w:lvl>
    <w:lvl w:ilvl="7" w:tplc="D9E4B4EC" w:tentative="1">
      <w:start w:val="1"/>
      <w:numFmt w:val="bullet"/>
      <w:lvlText w:val="o"/>
      <w:lvlJc w:val="left"/>
      <w:pPr>
        <w:tabs>
          <w:tab w:val="num" w:pos="5694"/>
        </w:tabs>
        <w:ind w:left="5694" w:hanging="360"/>
      </w:pPr>
      <w:rPr>
        <w:rFonts w:ascii="Courier New" w:hAnsi="Courier New" w:cs="Courier New" w:hint="default"/>
      </w:rPr>
    </w:lvl>
    <w:lvl w:ilvl="8" w:tplc="4A0634C8" w:tentative="1">
      <w:start w:val="1"/>
      <w:numFmt w:val="bullet"/>
      <w:lvlText w:val=""/>
      <w:lvlJc w:val="left"/>
      <w:pPr>
        <w:tabs>
          <w:tab w:val="num" w:pos="6414"/>
        </w:tabs>
        <w:ind w:left="6414" w:hanging="360"/>
      </w:pPr>
      <w:rPr>
        <w:rFonts w:ascii="Wingdings" w:hAnsi="Wingdings" w:hint="default"/>
      </w:rPr>
    </w:lvl>
  </w:abstractNum>
  <w:abstractNum w:abstractNumId="17">
    <w:nsid w:val="62BF0570"/>
    <w:multiLevelType w:val="hybridMultilevel"/>
    <w:tmpl w:val="2C38EE7E"/>
    <w:lvl w:ilvl="0" w:tplc="38E07BF0">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1A8CD754" w:tentative="1">
      <w:start w:val="1"/>
      <w:numFmt w:val="bullet"/>
      <w:lvlText w:val="o"/>
      <w:lvlJc w:val="left"/>
      <w:pPr>
        <w:tabs>
          <w:tab w:val="num" w:pos="1590"/>
        </w:tabs>
        <w:ind w:left="1590" w:hanging="360"/>
      </w:pPr>
      <w:rPr>
        <w:rFonts w:ascii="Courier New" w:hAnsi="Courier New" w:cs="Courier New" w:hint="default"/>
      </w:rPr>
    </w:lvl>
    <w:lvl w:ilvl="2" w:tplc="6C30D616" w:tentative="1">
      <w:start w:val="1"/>
      <w:numFmt w:val="bullet"/>
      <w:lvlText w:val=""/>
      <w:lvlJc w:val="left"/>
      <w:pPr>
        <w:tabs>
          <w:tab w:val="num" w:pos="2310"/>
        </w:tabs>
        <w:ind w:left="2310" w:hanging="360"/>
      </w:pPr>
      <w:rPr>
        <w:rFonts w:ascii="Wingdings" w:hAnsi="Wingdings" w:hint="default"/>
      </w:rPr>
    </w:lvl>
    <w:lvl w:ilvl="3" w:tplc="B7E2C714" w:tentative="1">
      <w:start w:val="1"/>
      <w:numFmt w:val="bullet"/>
      <w:lvlText w:val=""/>
      <w:lvlJc w:val="left"/>
      <w:pPr>
        <w:tabs>
          <w:tab w:val="num" w:pos="3030"/>
        </w:tabs>
        <w:ind w:left="3030" w:hanging="360"/>
      </w:pPr>
      <w:rPr>
        <w:rFonts w:ascii="Symbol" w:hAnsi="Symbol" w:hint="default"/>
      </w:rPr>
    </w:lvl>
    <w:lvl w:ilvl="4" w:tplc="E3BA0448" w:tentative="1">
      <w:start w:val="1"/>
      <w:numFmt w:val="bullet"/>
      <w:lvlText w:val="o"/>
      <w:lvlJc w:val="left"/>
      <w:pPr>
        <w:tabs>
          <w:tab w:val="num" w:pos="3750"/>
        </w:tabs>
        <w:ind w:left="3750" w:hanging="360"/>
      </w:pPr>
      <w:rPr>
        <w:rFonts w:ascii="Courier New" w:hAnsi="Courier New" w:cs="Courier New" w:hint="default"/>
      </w:rPr>
    </w:lvl>
    <w:lvl w:ilvl="5" w:tplc="B498CED4" w:tentative="1">
      <w:start w:val="1"/>
      <w:numFmt w:val="bullet"/>
      <w:lvlText w:val=""/>
      <w:lvlJc w:val="left"/>
      <w:pPr>
        <w:tabs>
          <w:tab w:val="num" w:pos="4470"/>
        </w:tabs>
        <w:ind w:left="4470" w:hanging="360"/>
      </w:pPr>
      <w:rPr>
        <w:rFonts w:ascii="Wingdings" w:hAnsi="Wingdings" w:hint="default"/>
      </w:rPr>
    </w:lvl>
    <w:lvl w:ilvl="6" w:tplc="36FE0B78" w:tentative="1">
      <w:start w:val="1"/>
      <w:numFmt w:val="bullet"/>
      <w:lvlText w:val=""/>
      <w:lvlJc w:val="left"/>
      <w:pPr>
        <w:tabs>
          <w:tab w:val="num" w:pos="5190"/>
        </w:tabs>
        <w:ind w:left="5190" w:hanging="360"/>
      </w:pPr>
      <w:rPr>
        <w:rFonts w:ascii="Symbol" w:hAnsi="Symbol" w:hint="default"/>
      </w:rPr>
    </w:lvl>
    <w:lvl w:ilvl="7" w:tplc="742AC8FE" w:tentative="1">
      <w:start w:val="1"/>
      <w:numFmt w:val="bullet"/>
      <w:lvlText w:val="o"/>
      <w:lvlJc w:val="left"/>
      <w:pPr>
        <w:tabs>
          <w:tab w:val="num" w:pos="5910"/>
        </w:tabs>
        <w:ind w:left="5910" w:hanging="360"/>
      </w:pPr>
      <w:rPr>
        <w:rFonts w:ascii="Courier New" w:hAnsi="Courier New" w:cs="Courier New" w:hint="default"/>
      </w:rPr>
    </w:lvl>
    <w:lvl w:ilvl="8" w:tplc="3A60DBF4" w:tentative="1">
      <w:start w:val="1"/>
      <w:numFmt w:val="bullet"/>
      <w:lvlText w:val=""/>
      <w:lvlJc w:val="left"/>
      <w:pPr>
        <w:tabs>
          <w:tab w:val="num" w:pos="6630"/>
        </w:tabs>
        <w:ind w:left="6630" w:hanging="360"/>
      </w:pPr>
      <w:rPr>
        <w:rFonts w:ascii="Wingdings" w:hAnsi="Wingdings" w:hint="default"/>
      </w:rPr>
    </w:lvl>
  </w:abstractNum>
  <w:abstractNum w:abstractNumId="18">
    <w:nsid w:val="706E0AAE"/>
    <w:multiLevelType w:val="multilevel"/>
    <w:tmpl w:val="E2381B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1870758"/>
    <w:multiLevelType w:val="multilevel"/>
    <w:tmpl w:val="B1A8F34A"/>
    <w:lvl w:ilvl="0">
      <w:start w:val="1"/>
      <w:numFmt w:val="bullet"/>
      <w:lvlText w:val=""/>
      <w:lvlJc w:val="left"/>
      <w:pPr>
        <w:tabs>
          <w:tab w:val="num" w:pos="1071"/>
        </w:tabs>
        <w:ind w:left="1071" w:hanging="357"/>
      </w:pPr>
      <w:rPr>
        <w:rFonts w:ascii="Wingdings" w:hAnsi="Wingdings" w:hint="default"/>
        <w:sz w:val="16"/>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20">
    <w:nsid w:val="76A149FE"/>
    <w:multiLevelType w:val="multilevel"/>
    <w:tmpl w:val="343435D0"/>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rPr>
        <w:rFonts w:hint="default"/>
      </w:r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7984886"/>
    <w:multiLevelType w:val="hybridMultilevel"/>
    <w:tmpl w:val="9F58678C"/>
    <w:lvl w:ilvl="0" w:tplc="1902E14C">
      <w:start w:val="1"/>
      <w:numFmt w:val="bullet"/>
      <w:lvlText w:val=""/>
      <w:lvlJc w:val="left"/>
      <w:pPr>
        <w:ind w:left="720" w:hanging="360"/>
      </w:pPr>
      <w:rPr>
        <w:rFonts w:ascii="Wingdings" w:hAnsi="Wingdings" w:hint="default"/>
      </w:rPr>
    </w:lvl>
    <w:lvl w:ilvl="1" w:tplc="C61CBD98">
      <w:start w:val="1"/>
      <w:numFmt w:val="bullet"/>
      <w:lvlText w:val="o"/>
      <w:lvlJc w:val="left"/>
      <w:pPr>
        <w:ind w:left="1440" w:hanging="360"/>
      </w:pPr>
      <w:rPr>
        <w:rFonts w:ascii="Courier New" w:hAnsi="Courier New" w:cs="Courier New" w:hint="default"/>
      </w:rPr>
    </w:lvl>
    <w:lvl w:ilvl="2" w:tplc="15526064" w:tentative="1">
      <w:start w:val="1"/>
      <w:numFmt w:val="bullet"/>
      <w:lvlText w:val=""/>
      <w:lvlJc w:val="left"/>
      <w:pPr>
        <w:ind w:left="2160" w:hanging="360"/>
      </w:pPr>
      <w:rPr>
        <w:rFonts w:ascii="Wingdings" w:hAnsi="Wingdings" w:hint="default"/>
      </w:rPr>
    </w:lvl>
    <w:lvl w:ilvl="3" w:tplc="5502AEA2" w:tentative="1">
      <w:start w:val="1"/>
      <w:numFmt w:val="bullet"/>
      <w:lvlText w:val=""/>
      <w:lvlJc w:val="left"/>
      <w:pPr>
        <w:ind w:left="2880" w:hanging="360"/>
      </w:pPr>
      <w:rPr>
        <w:rFonts w:ascii="Symbol" w:hAnsi="Symbol" w:hint="default"/>
      </w:rPr>
    </w:lvl>
    <w:lvl w:ilvl="4" w:tplc="1C484636" w:tentative="1">
      <w:start w:val="1"/>
      <w:numFmt w:val="bullet"/>
      <w:lvlText w:val="o"/>
      <w:lvlJc w:val="left"/>
      <w:pPr>
        <w:ind w:left="3600" w:hanging="360"/>
      </w:pPr>
      <w:rPr>
        <w:rFonts w:ascii="Courier New" w:hAnsi="Courier New" w:cs="Courier New" w:hint="default"/>
      </w:rPr>
    </w:lvl>
    <w:lvl w:ilvl="5" w:tplc="D1961972" w:tentative="1">
      <w:start w:val="1"/>
      <w:numFmt w:val="bullet"/>
      <w:lvlText w:val=""/>
      <w:lvlJc w:val="left"/>
      <w:pPr>
        <w:ind w:left="4320" w:hanging="360"/>
      </w:pPr>
      <w:rPr>
        <w:rFonts w:ascii="Wingdings" w:hAnsi="Wingdings" w:hint="default"/>
      </w:rPr>
    </w:lvl>
    <w:lvl w:ilvl="6" w:tplc="91AC0D90" w:tentative="1">
      <w:start w:val="1"/>
      <w:numFmt w:val="bullet"/>
      <w:lvlText w:val=""/>
      <w:lvlJc w:val="left"/>
      <w:pPr>
        <w:ind w:left="5040" w:hanging="360"/>
      </w:pPr>
      <w:rPr>
        <w:rFonts w:ascii="Symbol" w:hAnsi="Symbol" w:hint="default"/>
      </w:rPr>
    </w:lvl>
    <w:lvl w:ilvl="7" w:tplc="D224342E" w:tentative="1">
      <w:start w:val="1"/>
      <w:numFmt w:val="bullet"/>
      <w:lvlText w:val="o"/>
      <w:lvlJc w:val="left"/>
      <w:pPr>
        <w:ind w:left="5760" w:hanging="360"/>
      </w:pPr>
      <w:rPr>
        <w:rFonts w:ascii="Courier New" w:hAnsi="Courier New" w:cs="Courier New" w:hint="default"/>
      </w:rPr>
    </w:lvl>
    <w:lvl w:ilvl="8" w:tplc="1A1E38F2" w:tentative="1">
      <w:start w:val="1"/>
      <w:numFmt w:val="bullet"/>
      <w:lvlText w:val=""/>
      <w:lvlJc w:val="left"/>
      <w:pPr>
        <w:ind w:left="6480" w:hanging="360"/>
      </w:pPr>
      <w:rPr>
        <w:rFonts w:ascii="Wingdings" w:hAnsi="Wingdings" w:hint="default"/>
      </w:rPr>
    </w:lvl>
  </w:abstractNum>
  <w:abstractNum w:abstractNumId="22">
    <w:nsid w:val="7AEF67FF"/>
    <w:multiLevelType w:val="multilevel"/>
    <w:tmpl w:val="B0B20882"/>
    <w:lvl w:ilvl="0">
      <w:start w:val="1"/>
      <w:numFmt w:val="bullet"/>
      <w:pStyle w:val="AERbulletlistfirststyle"/>
      <w:lvlText w:val=""/>
      <w:lvlJc w:val="left"/>
      <w:pPr>
        <w:tabs>
          <w:tab w:val="num" w:pos="1071"/>
        </w:tabs>
        <w:ind w:left="1071" w:hanging="357"/>
      </w:pPr>
      <w:rPr>
        <w:rFonts w:ascii="Wingdings" w:hAnsi="Wingdings" w:hint="default"/>
        <w:sz w:val="16"/>
        <w:szCs w:val="16"/>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2"/>
  </w:num>
  <w:num w:numId="2">
    <w:abstractNumId w:val="5"/>
  </w:num>
  <w:num w:numId="3">
    <w:abstractNumId w:val="17"/>
  </w:num>
  <w:num w:numId="4">
    <w:abstractNumId w:val="1"/>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16"/>
  </w:num>
  <w:num w:numId="10">
    <w:abstractNumId w:val="18"/>
  </w:num>
  <w:num w:numId="11">
    <w:abstractNumId w:val="11"/>
  </w:num>
  <w:num w:numId="12">
    <w:abstractNumId w:val="3"/>
  </w:num>
  <w:num w:numId="13">
    <w:abstractNumId w:val="22"/>
  </w:num>
  <w:num w:numId="14">
    <w:abstractNumId w:val="15"/>
  </w:num>
  <w:num w:numId="15">
    <w:abstractNumId w:val="21"/>
  </w:num>
  <w:num w:numId="16">
    <w:abstractNumId w:val="6"/>
  </w:num>
  <w:num w:numId="17">
    <w:abstractNumId w:val="0"/>
  </w:num>
  <w:num w:numId="18">
    <w:abstractNumId w:val="13"/>
  </w:num>
  <w:num w:numId="19">
    <w:abstractNumId w:val="14"/>
  </w:num>
  <w:num w:numId="20">
    <w:abstractNumId w:val="7"/>
  </w:num>
  <w:num w:numId="21">
    <w:abstractNumId w:val="19"/>
  </w:num>
  <w:num w:numId="22">
    <w:abstractNumId w:val="9"/>
  </w:num>
  <w:num w:numId="23">
    <w:abstractNumId w:val="8"/>
  </w:num>
  <w:num w:numId="24">
    <w:abstractNumId w:val="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2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001"/>
  <w:doNotTrackMoves/>
  <w:documentProtection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5084\D13 58902  2013 05 07 -  DMEGCIS Final Decision - ActewAGL.DOCX"/>
  </w:docVars>
  <w:rsids>
    <w:rsidRoot w:val="0025013F"/>
    <w:rsid w:val="000018CD"/>
    <w:rsid w:val="00002686"/>
    <w:rsid w:val="000050F3"/>
    <w:rsid w:val="00034BF4"/>
    <w:rsid w:val="00034F0B"/>
    <w:rsid w:val="0003617E"/>
    <w:rsid w:val="00037B4E"/>
    <w:rsid w:val="0006496C"/>
    <w:rsid w:val="00082121"/>
    <w:rsid w:val="00091892"/>
    <w:rsid w:val="000A105F"/>
    <w:rsid w:val="000B172C"/>
    <w:rsid w:val="000B70D6"/>
    <w:rsid w:val="000E0BF3"/>
    <w:rsid w:val="000F068E"/>
    <w:rsid w:val="000F0DE0"/>
    <w:rsid w:val="000F1E4C"/>
    <w:rsid w:val="001005AA"/>
    <w:rsid w:val="0011147D"/>
    <w:rsid w:val="00113F9E"/>
    <w:rsid w:val="00120369"/>
    <w:rsid w:val="0012073E"/>
    <w:rsid w:val="001212B3"/>
    <w:rsid w:val="00133CA2"/>
    <w:rsid w:val="00142654"/>
    <w:rsid w:val="00145BEC"/>
    <w:rsid w:val="00152708"/>
    <w:rsid w:val="001528C3"/>
    <w:rsid w:val="00156896"/>
    <w:rsid w:val="00160C8D"/>
    <w:rsid w:val="0016198E"/>
    <w:rsid w:val="00164E1D"/>
    <w:rsid w:val="00165B7C"/>
    <w:rsid w:val="0017424B"/>
    <w:rsid w:val="00177101"/>
    <w:rsid w:val="00180576"/>
    <w:rsid w:val="0018161D"/>
    <w:rsid w:val="001936A2"/>
    <w:rsid w:val="001A395A"/>
    <w:rsid w:val="001A7245"/>
    <w:rsid w:val="001B3319"/>
    <w:rsid w:val="001B6680"/>
    <w:rsid w:val="001B6745"/>
    <w:rsid w:val="001D3FAD"/>
    <w:rsid w:val="001D41E0"/>
    <w:rsid w:val="001F0358"/>
    <w:rsid w:val="001F07C2"/>
    <w:rsid w:val="00224675"/>
    <w:rsid w:val="0025013F"/>
    <w:rsid w:val="002D1FD9"/>
    <w:rsid w:val="002D24FB"/>
    <w:rsid w:val="002F2ECD"/>
    <w:rsid w:val="002F74A7"/>
    <w:rsid w:val="003022A9"/>
    <w:rsid w:val="00304F31"/>
    <w:rsid w:val="00310B20"/>
    <w:rsid w:val="003115E3"/>
    <w:rsid w:val="00321CED"/>
    <w:rsid w:val="00323B70"/>
    <w:rsid w:val="003378C8"/>
    <w:rsid w:val="00350E90"/>
    <w:rsid w:val="00372950"/>
    <w:rsid w:val="00390689"/>
    <w:rsid w:val="0039170C"/>
    <w:rsid w:val="0039505C"/>
    <w:rsid w:val="003A296C"/>
    <w:rsid w:val="003B04A4"/>
    <w:rsid w:val="003C46AE"/>
    <w:rsid w:val="003D0B3A"/>
    <w:rsid w:val="003D671F"/>
    <w:rsid w:val="003E36BD"/>
    <w:rsid w:val="003E397F"/>
    <w:rsid w:val="003F0A5C"/>
    <w:rsid w:val="00412D01"/>
    <w:rsid w:val="00417411"/>
    <w:rsid w:val="00423069"/>
    <w:rsid w:val="00430216"/>
    <w:rsid w:val="00433D2C"/>
    <w:rsid w:val="00442988"/>
    <w:rsid w:val="00476FFC"/>
    <w:rsid w:val="0048030E"/>
    <w:rsid w:val="00482500"/>
    <w:rsid w:val="00483E36"/>
    <w:rsid w:val="00487700"/>
    <w:rsid w:val="004A59F0"/>
    <w:rsid w:val="004B395E"/>
    <w:rsid w:val="004C65D9"/>
    <w:rsid w:val="004D4B0E"/>
    <w:rsid w:val="004E51E2"/>
    <w:rsid w:val="0050556A"/>
    <w:rsid w:val="0050653F"/>
    <w:rsid w:val="00512F4F"/>
    <w:rsid w:val="00535E0F"/>
    <w:rsid w:val="00541458"/>
    <w:rsid w:val="0054349D"/>
    <w:rsid w:val="0054783D"/>
    <w:rsid w:val="00551B50"/>
    <w:rsid w:val="00554AAC"/>
    <w:rsid w:val="005633E2"/>
    <w:rsid w:val="00574809"/>
    <w:rsid w:val="0058707A"/>
    <w:rsid w:val="005940C0"/>
    <w:rsid w:val="005A62D7"/>
    <w:rsid w:val="005C19AA"/>
    <w:rsid w:val="005D2055"/>
    <w:rsid w:val="00602692"/>
    <w:rsid w:val="00607771"/>
    <w:rsid w:val="00611A62"/>
    <w:rsid w:val="00624489"/>
    <w:rsid w:val="006336A4"/>
    <w:rsid w:val="006402EE"/>
    <w:rsid w:val="006439E0"/>
    <w:rsid w:val="00653E0A"/>
    <w:rsid w:val="00662EFC"/>
    <w:rsid w:val="00664FCB"/>
    <w:rsid w:val="006666CA"/>
    <w:rsid w:val="00687B99"/>
    <w:rsid w:val="00690CD1"/>
    <w:rsid w:val="00697DFA"/>
    <w:rsid w:val="006A6125"/>
    <w:rsid w:val="006B0197"/>
    <w:rsid w:val="006B1F6A"/>
    <w:rsid w:val="006B4544"/>
    <w:rsid w:val="006B6C9D"/>
    <w:rsid w:val="006C3EBD"/>
    <w:rsid w:val="006E5733"/>
    <w:rsid w:val="006F0473"/>
    <w:rsid w:val="00702D30"/>
    <w:rsid w:val="00713322"/>
    <w:rsid w:val="007250FE"/>
    <w:rsid w:val="007277CE"/>
    <w:rsid w:val="00737A1E"/>
    <w:rsid w:val="00754409"/>
    <w:rsid w:val="007615B7"/>
    <w:rsid w:val="0078193C"/>
    <w:rsid w:val="00782451"/>
    <w:rsid w:val="00783BE0"/>
    <w:rsid w:val="00790530"/>
    <w:rsid w:val="007A191F"/>
    <w:rsid w:val="007A4ABE"/>
    <w:rsid w:val="007B3C3D"/>
    <w:rsid w:val="007D22FB"/>
    <w:rsid w:val="007D4C5E"/>
    <w:rsid w:val="007E2907"/>
    <w:rsid w:val="007F2BF4"/>
    <w:rsid w:val="00825BAA"/>
    <w:rsid w:val="00825E6B"/>
    <w:rsid w:val="00857750"/>
    <w:rsid w:val="008658B5"/>
    <w:rsid w:val="00881528"/>
    <w:rsid w:val="00890AD8"/>
    <w:rsid w:val="008974A1"/>
    <w:rsid w:val="008A05B1"/>
    <w:rsid w:val="008A61A2"/>
    <w:rsid w:val="008A7D84"/>
    <w:rsid w:val="008B5C34"/>
    <w:rsid w:val="008C7FAD"/>
    <w:rsid w:val="008D77C5"/>
    <w:rsid w:val="008E2E67"/>
    <w:rsid w:val="008F110B"/>
    <w:rsid w:val="008F51EB"/>
    <w:rsid w:val="00901FCB"/>
    <w:rsid w:val="00904764"/>
    <w:rsid w:val="00915BB8"/>
    <w:rsid w:val="00916B54"/>
    <w:rsid w:val="00924A3C"/>
    <w:rsid w:val="0092689E"/>
    <w:rsid w:val="0094243D"/>
    <w:rsid w:val="0095409A"/>
    <w:rsid w:val="009561D6"/>
    <w:rsid w:val="00964B58"/>
    <w:rsid w:val="00967066"/>
    <w:rsid w:val="00976D54"/>
    <w:rsid w:val="00981EEF"/>
    <w:rsid w:val="00992D0F"/>
    <w:rsid w:val="00996B19"/>
    <w:rsid w:val="009A72E5"/>
    <w:rsid w:val="009B1D86"/>
    <w:rsid w:val="009C40B9"/>
    <w:rsid w:val="009C41A3"/>
    <w:rsid w:val="009C64AA"/>
    <w:rsid w:val="009D232C"/>
    <w:rsid w:val="009D7602"/>
    <w:rsid w:val="009D786A"/>
    <w:rsid w:val="009E0F39"/>
    <w:rsid w:val="009E252E"/>
    <w:rsid w:val="009F1C59"/>
    <w:rsid w:val="00A03505"/>
    <w:rsid w:val="00A07F27"/>
    <w:rsid w:val="00A2222D"/>
    <w:rsid w:val="00A31ABC"/>
    <w:rsid w:val="00A34418"/>
    <w:rsid w:val="00A43C71"/>
    <w:rsid w:val="00A451BB"/>
    <w:rsid w:val="00A47595"/>
    <w:rsid w:val="00A52594"/>
    <w:rsid w:val="00A63A90"/>
    <w:rsid w:val="00A64127"/>
    <w:rsid w:val="00A74F49"/>
    <w:rsid w:val="00A80EAC"/>
    <w:rsid w:val="00A830CC"/>
    <w:rsid w:val="00A92FD0"/>
    <w:rsid w:val="00AB2A50"/>
    <w:rsid w:val="00AB57A5"/>
    <w:rsid w:val="00AB5920"/>
    <w:rsid w:val="00AC624F"/>
    <w:rsid w:val="00AF3CA1"/>
    <w:rsid w:val="00B0710A"/>
    <w:rsid w:val="00B2138E"/>
    <w:rsid w:val="00B2500E"/>
    <w:rsid w:val="00B275EE"/>
    <w:rsid w:val="00B2782D"/>
    <w:rsid w:val="00B668BC"/>
    <w:rsid w:val="00B760AE"/>
    <w:rsid w:val="00B80C2A"/>
    <w:rsid w:val="00B930A3"/>
    <w:rsid w:val="00BB5E95"/>
    <w:rsid w:val="00BB640B"/>
    <w:rsid w:val="00BC0B2B"/>
    <w:rsid w:val="00BC0BB6"/>
    <w:rsid w:val="00BC2BC1"/>
    <w:rsid w:val="00BC58A6"/>
    <w:rsid w:val="00BC7446"/>
    <w:rsid w:val="00BD62DE"/>
    <w:rsid w:val="00C075EE"/>
    <w:rsid w:val="00C10A5D"/>
    <w:rsid w:val="00C2343B"/>
    <w:rsid w:val="00C32FFA"/>
    <w:rsid w:val="00C34F7B"/>
    <w:rsid w:val="00C42071"/>
    <w:rsid w:val="00C57867"/>
    <w:rsid w:val="00C6224A"/>
    <w:rsid w:val="00C66485"/>
    <w:rsid w:val="00C72113"/>
    <w:rsid w:val="00C7486F"/>
    <w:rsid w:val="00C82D56"/>
    <w:rsid w:val="00C9366F"/>
    <w:rsid w:val="00C97AE4"/>
    <w:rsid w:val="00C97BCF"/>
    <w:rsid w:val="00CB07C9"/>
    <w:rsid w:val="00CC4127"/>
    <w:rsid w:val="00CC55AA"/>
    <w:rsid w:val="00CE7A0C"/>
    <w:rsid w:val="00CF0EAE"/>
    <w:rsid w:val="00D03336"/>
    <w:rsid w:val="00D1069A"/>
    <w:rsid w:val="00D232AA"/>
    <w:rsid w:val="00D33417"/>
    <w:rsid w:val="00D40DE8"/>
    <w:rsid w:val="00D43FFE"/>
    <w:rsid w:val="00D53F89"/>
    <w:rsid w:val="00D54DF8"/>
    <w:rsid w:val="00D56E8E"/>
    <w:rsid w:val="00D600FC"/>
    <w:rsid w:val="00D91C0A"/>
    <w:rsid w:val="00DB06F6"/>
    <w:rsid w:val="00DB1B16"/>
    <w:rsid w:val="00DB1EBE"/>
    <w:rsid w:val="00DB3F43"/>
    <w:rsid w:val="00DB42A8"/>
    <w:rsid w:val="00DB707C"/>
    <w:rsid w:val="00DC13A9"/>
    <w:rsid w:val="00DD7083"/>
    <w:rsid w:val="00DF6ED3"/>
    <w:rsid w:val="00E160F8"/>
    <w:rsid w:val="00E26B10"/>
    <w:rsid w:val="00E5405D"/>
    <w:rsid w:val="00E6133A"/>
    <w:rsid w:val="00E65720"/>
    <w:rsid w:val="00E65F45"/>
    <w:rsid w:val="00E77E81"/>
    <w:rsid w:val="00E87BBF"/>
    <w:rsid w:val="00EA43EE"/>
    <w:rsid w:val="00EA597C"/>
    <w:rsid w:val="00EA62A7"/>
    <w:rsid w:val="00EA7FD5"/>
    <w:rsid w:val="00EB320B"/>
    <w:rsid w:val="00EB6FF9"/>
    <w:rsid w:val="00EC2840"/>
    <w:rsid w:val="00F01F54"/>
    <w:rsid w:val="00F03762"/>
    <w:rsid w:val="00F246A9"/>
    <w:rsid w:val="00F357B1"/>
    <w:rsid w:val="00F613DB"/>
    <w:rsid w:val="00F71B0A"/>
    <w:rsid w:val="00F72436"/>
    <w:rsid w:val="00F75FBD"/>
    <w:rsid w:val="00F80F12"/>
    <w:rsid w:val="00F83B95"/>
    <w:rsid w:val="00F9293C"/>
    <w:rsid w:val="00FA186E"/>
    <w:rsid w:val="00FB78E6"/>
    <w:rsid w:val="00FC6D90"/>
    <w:rsid w:val="00FD1FC7"/>
    <w:rsid w:val="00FD6843"/>
    <w:rsid w:val="00FD7B02"/>
    <w:rsid w:val="00FE542F"/>
    <w:rsid w:val="00FF72C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annotation text" w:uiPriority="0"/>
    <w:lsdException w:name="footer" w:locked="0" w:uiPriority="0"/>
    <w:lsdException w:name="caption" w:uiPriority="35" w:qFormat="1"/>
    <w:lsdException w:name="footnote reference" w:locked="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7277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locked/>
    <w:rsid w:val="007277CE"/>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rsid w:val="00B275EE"/>
    <w:pPr>
      <w:numPr>
        <w:ilvl w:val="4"/>
      </w:numPr>
    </w:pPr>
  </w:style>
  <w:style w:type="paragraph" w:customStyle="1" w:styleId="AERfigureheading">
    <w:name w:val="AER figure heading"/>
    <w:basedOn w:val="Normal"/>
    <w:next w:val="AERbodytext"/>
    <w:rsid w:val="00B275EE"/>
    <w:pPr>
      <w:keepNext/>
      <w:numPr>
        <w:ilvl w:val="3"/>
        <w:numId w:val="7"/>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8F51EB"/>
    <w:pPr>
      <w:numPr>
        <w:numId w:val="1"/>
      </w:numPr>
      <w:spacing w:after="200" w:line="240" w:lineRule="atLeast"/>
    </w:pPr>
  </w:style>
  <w:style w:type="paragraph" w:customStyle="1" w:styleId="AERbulletlistsecondstyle">
    <w:name w:val="AER bullet list (second style)"/>
    <w:basedOn w:val="AERbodytex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rsid w:val="00B275EE"/>
    <w:pPr>
      <w:keepLines w:val="0"/>
      <w:pageBreakBefore/>
      <w:numPr>
        <w:numId w:val="7"/>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rsid w:val="009E0F39"/>
    <w:pPr>
      <w:numPr>
        <w:numId w:val="5"/>
      </w:numPr>
      <w:spacing w:after="200" w:line="200" w:lineRule="atLeast"/>
    </w:pPr>
  </w:style>
  <w:style w:type="paragraph" w:customStyle="1" w:styleId="AERnumberedlistsecondstyle">
    <w:name w:val="AER numbered list (second style)"/>
    <w:basedOn w:val="AERnumberedlistfirststyle"/>
    <w:rsid w:val="009E0F39"/>
    <w:pPr>
      <w:numPr>
        <w:numId w:val="6"/>
      </w:numPr>
    </w:pPr>
  </w:style>
  <w:style w:type="paragraph" w:customStyle="1" w:styleId="AERnumberedlistthirdstyle">
    <w:name w:val="AER numbered list (third style)"/>
    <w:basedOn w:val="AERbodytex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E0F39"/>
    <w:pPr>
      <w:keepNext/>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rsid w:val="009E0F39"/>
    <w:pPr>
      <w:widowControl w:val="0"/>
      <w:spacing w:before="120" w:after="120"/>
      <w:jc w:val="left"/>
    </w:pPr>
    <w:rPr>
      <w:sz w:val="16"/>
      <w:lang w:eastAsia="en-US"/>
    </w:rPr>
  </w:style>
  <w:style w:type="paragraph" w:customStyle="1" w:styleId="AERtabletextheading">
    <w:name w:val="AER table text heading"/>
    <w:rsid w:val="009E0F39"/>
    <w:pPr>
      <w:spacing w:before="120" w:after="120"/>
    </w:pPr>
    <w:rPr>
      <w:rFonts w:ascii="Gautami" w:eastAsia="Times New Roman" w:hAnsi="Gautami"/>
      <w:b/>
      <w:szCs w:val="24"/>
      <w:lang w:eastAsia="en-US"/>
    </w:rPr>
  </w:style>
  <w:style w:type="paragraph" w:customStyle="1" w:styleId="AERheading4">
    <w:name w:val="AER heading 4"/>
    <w:next w:val="AERbodytext"/>
    <w:rsid w:val="009E0F39"/>
    <w:pPr>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E0F3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link w:val="CommentTextChar"/>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2,Footnote Text1,(NECG) Footnote Text,(NECG) Footnote Text1"/>
    <w:basedOn w:val="Normal"/>
    <w:link w:val="FootnoteTextChar"/>
    <w:qFormat/>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olor w:val="auto"/>
      <w:sz w:val="20"/>
    </w:rPr>
  </w:style>
  <w:style w:type="paragraph" w:customStyle="1" w:styleId="AERtabletext-numbers">
    <w:name w:val="AER table text - numbers"/>
    <w:basedOn w:val="AERtabletex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rsid w:val="009E0F39"/>
    <w:rPr>
      <w:i/>
    </w:rPr>
  </w:style>
  <w:style w:type="paragraph" w:styleId="TOC1">
    <w:name w:val="toc 1"/>
    <w:basedOn w:val="Normal"/>
    <w:next w:val="Normal"/>
    <w:uiPriority w:val="39"/>
    <w:rsid w:val="00412D01"/>
    <w:pPr>
      <w:tabs>
        <w:tab w:val="left" w:pos="567"/>
        <w:tab w:val="right" w:leader="dot" w:pos="8307"/>
      </w:tabs>
      <w:spacing w:before="120" w:after="120"/>
    </w:pPr>
    <w:rPr>
      <w:b/>
      <w:lang w:eastAsia="en-US"/>
    </w:rPr>
  </w:style>
  <w:style w:type="paragraph" w:customStyle="1" w:styleId="AERunnumberedheading">
    <w:name w:val="AER unnumbered heading"/>
    <w:basedOn w:val="AERheading1"/>
    <w:rsid w:val="00412D01"/>
    <w:pPr>
      <w:numPr>
        <w:numId w:val="0"/>
      </w:numPr>
      <w:tabs>
        <w:tab w:val="clear" w:pos="0"/>
      </w:tabs>
      <w:spacing w:after="120"/>
    </w:pPr>
  </w:style>
  <w:style w:type="paragraph" w:customStyle="1" w:styleId="AERTitle1">
    <w:name w:val="AER Title 1"/>
    <w:basedOn w:val="AERheading4"/>
    <w:rsid w:val="00412D01"/>
    <w:pPr>
      <w:keepNext/>
      <w:jc w:val="center"/>
    </w:pPr>
    <w:rPr>
      <w:sz w:val="40"/>
    </w:rPr>
  </w:style>
  <w:style w:type="paragraph" w:customStyle="1" w:styleId="AERTitle2">
    <w:name w:val="AER Title 2"/>
    <w:basedOn w:val="AERTitle1"/>
    <w:rsid w:val="00412D01"/>
    <w:pPr>
      <w:spacing w:before="1680"/>
    </w:pPr>
    <w:rPr>
      <w:b w:val="0"/>
      <w:sz w:val="32"/>
    </w:rPr>
  </w:style>
  <w:style w:type="character" w:styleId="Hyperlink">
    <w:name w:val="Hyperlink"/>
    <w:basedOn w:val="DefaultParagraphFont"/>
    <w:uiPriority w:val="99"/>
    <w:rsid w:val="00A03505"/>
    <w:rPr>
      <w:color w:val="0000FF"/>
      <w:u w:val="single"/>
    </w:rPr>
  </w:style>
  <w:style w:type="table" w:styleId="TableGrid">
    <w:name w:val="Table Grid"/>
    <w:basedOn w:val="TableNormal"/>
    <w:locked/>
    <w:rsid w:val="00A03505"/>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981EEF"/>
    <w:rPr>
      <w:rFonts w:ascii="Gautami" w:eastAsia="Times New Roman" w:hAnsi="Gautami"/>
    </w:rPr>
  </w:style>
  <w:style w:type="character" w:customStyle="1" w:styleId="AERbodytextChar">
    <w:name w:val="AER body text Char"/>
    <w:basedOn w:val="DefaultParagraphFont"/>
    <w:link w:val="AERbodytext"/>
    <w:locked/>
    <w:rsid w:val="00981EEF"/>
    <w:rPr>
      <w:rFonts w:ascii="Gautami" w:eastAsia="Times New Roman" w:hAnsi="Gautami"/>
      <w:szCs w:val="24"/>
      <w:lang w:eastAsia="en-US"/>
    </w:rPr>
  </w:style>
  <w:style w:type="character" w:customStyle="1" w:styleId="FootnoteTextChar">
    <w:name w:val="Footnote Text Char"/>
    <w:aliases w:val="Footnote Text2 Char,Footnote Text1 Char,(NECG) Footnote Text Char,(NECG) Footnote Text1 Char"/>
    <w:basedOn w:val="DefaultParagraphFont"/>
    <w:link w:val="FootnoteText"/>
    <w:rsid w:val="00BC0B2B"/>
    <w:rPr>
      <w:rFonts w:ascii="Gautami" w:eastAsia="Times New Roman" w:hAnsi="Gautami"/>
      <w:sz w:val="16"/>
    </w:rPr>
  </w:style>
  <w:style w:type="character" w:customStyle="1" w:styleId="AERbulletlistfirststyleChar">
    <w:name w:val="AER bullet list (first style) Char"/>
    <w:basedOn w:val="DefaultParagraphFont"/>
    <w:link w:val="AERbulletlistfirststyle"/>
    <w:rsid w:val="00BC0B2B"/>
    <w:rPr>
      <w:rFonts w:ascii="Gautami" w:eastAsia="Times New Roman" w:hAnsi="Gautami"/>
      <w:szCs w:val="24"/>
      <w:lang w:eastAsia="en-US"/>
    </w:rPr>
  </w:style>
  <w:style w:type="paragraph" w:customStyle="1" w:styleId="AERBullet1">
    <w:name w:val="AER Bullet 1"/>
    <w:basedOn w:val="AERbodytext"/>
    <w:rsid w:val="00164E1D"/>
    <w:pPr>
      <w:numPr>
        <w:numId w:val="9"/>
      </w:numPr>
      <w:tabs>
        <w:tab w:val="clear" w:pos="900"/>
        <w:tab w:val="num" w:pos="360"/>
      </w:tabs>
      <w:spacing w:line="240" w:lineRule="auto"/>
      <w:ind w:left="0" w:firstLine="0"/>
      <w:jc w:val="left"/>
    </w:pPr>
    <w:rPr>
      <w:rFonts w:ascii="Times New Roman" w:hAnsi="Times New Roman"/>
      <w:sz w:val="24"/>
      <w:szCs w:val="20"/>
      <w:lang w:eastAsia="en-AU"/>
    </w:rPr>
  </w:style>
  <w:style w:type="character" w:customStyle="1" w:styleId="Heading2Char">
    <w:name w:val="Heading 2 Char"/>
    <w:basedOn w:val="DefaultParagraphFont"/>
    <w:link w:val="Heading2"/>
    <w:uiPriority w:val="9"/>
    <w:semiHidden/>
    <w:rsid w:val="007277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277CE"/>
    <w:rPr>
      <w:rFonts w:asciiTheme="majorHAnsi" w:eastAsiaTheme="majorEastAsia" w:hAnsiTheme="majorHAnsi" w:cstheme="majorBidi"/>
      <w:b/>
      <w:bCs/>
      <w:sz w:val="26"/>
      <w:szCs w:val="26"/>
    </w:rPr>
  </w:style>
  <w:style w:type="paragraph" w:customStyle="1" w:styleId="AERtabletextleft">
    <w:name w:val="AER table text left"/>
    <w:qFormat/>
    <w:rsid w:val="00145BEC"/>
    <w:pPr>
      <w:spacing w:before="80" w:after="120" w:line="288" w:lineRule="auto"/>
    </w:pPr>
    <w:rPr>
      <w:rFonts w:ascii="Gautami" w:eastAsia="Times New Roman" w:hAnsi="Gautami"/>
      <w:sz w:val="16"/>
      <w:szCs w:val="24"/>
      <w:lang w:eastAsia="en-US"/>
    </w:rPr>
  </w:style>
  <w:style w:type="numbering" w:customStyle="1" w:styleId="AERnumberedlist">
    <w:name w:val="AER numbered list"/>
    <w:uiPriority w:val="99"/>
    <w:rsid w:val="00145BEC"/>
    <w:pPr>
      <w:numPr>
        <w:numId w:val="14"/>
      </w:numPr>
    </w:pPr>
  </w:style>
  <w:style w:type="paragraph" w:customStyle="1" w:styleId="Default">
    <w:name w:val="Default"/>
    <w:rsid w:val="00145BEC"/>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95371128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ERInquiry@aer.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jo\Local%20Settings\Temporary%20Internet%20Files\OLK8\AER%20Draft%20report%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0C4D2-B165-4C3A-9ED3-C421A1C5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Draft report cover.dot</Template>
  <TotalTime>1</TotalTime>
  <Pages>13</Pages>
  <Words>2913</Words>
  <Characters>16605</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1</vt:lpstr>
    </vt:vector>
  </TitlesOfParts>
  <Company>ACCC</Company>
  <LinksUpToDate>false</LinksUpToDate>
  <CharactersWithSpaces>19480</CharactersWithSpaces>
  <SharedDoc>false</SharedDoc>
  <HLinks>
    <vt:vector size="6" baseType="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spras</dc:creator>
  <cp:keywords/>
  <dc:description/>
  <cp:lastModifiedBy>spras</cp:lastModifiedBy>
  <cp:revision>2</cp:revision>
  <cp:lastPrinted>2013-05-16T23:45:00Z</cp:lastPrinted>
  <dcterms:created xsi:type="dcterms:W3CDTF">2013-05-17T01:21:00Z</dcterms:created>
  <dcterms:modified xsi:type="dcterms:W3CDTF">2013-05-17T01:21:00Z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urrfile">
    <vt:lpwstr>H:\TRIMDATA\TRIM\TEMP\CONTEXT.5084\D13 58902  2013 05 07 -  DMEGCIS Final Decision - ActewAGL.DOCX</vt:lpwstr>
  </property>
</Properties>
</file>