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71B19FFC" wp14:editId="46536C4D">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B04B4C" w:rsidRDefault="00B04B4C" w:rsidP="00F171E0"/>
        <w:p w:rsidR="00F171E0" w:rsidRDefault="00F171E0" w:rsidP="00F171E0"/>
        <w:p w:rsidR="00327A1E" w:rsidRDefault="001754EE" w:rsidP="001754EE">
          <w:pPr>
            <w:pStyle w:val="ReportSubtitle"/>
            <w:tabs>
              <w:tab w:val="left" w:pos="1122"/>
              <w:tab w:val="center" w:pos="4238"/>
            </w:tabs>
            <w:jc w:val="left"/>
          </w:pPr>
          <w:r>
            <w:tab/>
          </w:r>
          <w:r>
            <w:tab/>
          </w:r>
          <w:r w:rsidR="00A2303E">
            <w:t>FINAL</w:t>
          </w:r>
          <w:r w:rsidR="00DA4752">
            <w:t xml:space="preserve"> DECISION</w:t>
          </w:r>
        </w:p>
        <w:p w:rsidR="00415F31" w:rsidRDefault="00DE50D7" w:rsidP="008F07A3">
          <w:pPr>
            <w:pStyle w:val="ReportSubtitle"/>
          </w:pPr>
          <w:r>
            <w:t>ActewAGL Distribution</w:t>
          </w:r>
          <w:r w:rsidR="00CF2C05">
            <w:br/>
            <w:t>Access Arrangement</w:t>
          </w:r>
        </w:p>
        <w:p w:rsidR="000A6C7B" w:rsidRDefault="005C0A7F" w:rsidP="008F07A3">
          <w:pPr>
            <w:pStyle w:val="ReportSubtitle"/>
          </w:pPr>
          <w:r>
            <w:t>20</w:t>
          </w:r>
          <w:r w:rsidR="00DA4752">
            <w:t xml:space="preserve">16 to </w:t>
          </w:r>
          <w:r w:rsidR="00A06085">
            <w:t>2021</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301F1F">
            <w:t>10</w:t>
          </w:r>
          <w:r w:rsidR="00DA4752">
            <w:t xml:space="preserve"> </w:t>
          </w:r>
          <w:r w:rsidR="00415F31">
            <w:rPr>
              <w:rFonts w:cs="Arial"/>
            </w:rPr>
            <w:t>–</w:t>
          </w:r>
          <w:r w:rsidR="00DA4752">
            <w:t xml:space="preserve"> </w:t>
          </w:r>
          <w:r w:rsidR="00301F1F">
            <w:t>Reference tariff setting</w:t>
          </w:r>
        </w:p>
        <w:p w:rsidR="000A6C7B" w:rsidRPr="00327A1E" w:rsidRDefault="000534B7" w:rsidP="00327A1E">
          <w:pPr>
            <w:pStyle w:val="ReportDate"/>
          </w:pPr>
          <w:r>
            <w:t xml:space="preserve">May </w:t>
          </w:r>
          <w:r w:rsidR="00A2303E">
            <w:t>2016</w:t>
          </w:r>
        </w:p>
      </w:sdtContent>
    </w:sdt>
    <w:p w:rsidR="00327A1E" w:rsidRPr="00290C63" w:rsidRDefault="00327A1E" w:rsidP="00290C63">
      <w:r>
        <w:br w:type="page"/>
      </w:r>
    </w:p>
    <w:p w:rsidR="000A6C7B" w:rsidRDefault="008F07A3" w:rsidP="00961A4A">
      <w:pPr>
        <w:pStyle w:val="Copyright"/>
      </w:pPr>
      <w:r>
        <w:lastRenderedPageBreak/>
        <w:t>© Commonwealth of Australia 201</w:t>
      </w:r>
      <w:r w:rsidR="00312F0A">
        <w:t>6</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rsidRPr="00095166">
        <w:rPr>
          <w:sz w:val="20"/>
          <w:szCs w:val="20"/>
        </w:rPr>
        <w:t>the</w:t>
      </w:r>
      <w:r>
        <w:t xml:space="preserv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DE772C">
      <w:pPr>
        <w:pStyle w:val="UnnumberedHeading"/>
        <w:numPr>
          <w:ilvl w:val="0"/>
          <w:numId w:val="23"/>
        </w:numPr>
      </w:pPr>
      <w:bookmarkStart w:id="4" w:name="_Toc451762328"/>
      <w:r>
        <w:lastRenderedPageBreak/>
        <w:t>N</w:t>
      </w:r>
      <w:r w:rsidR="008F07A3">
        <w:t>ote</w:t>
      </w:r>
      <w:bookmarkEnd w:id="0"/>
      <w:bookmarkEnd w:id="1"/>
      <w:bookmarkEnd w:id="2"/>
      <w:bookmarkEnd w:id="3"/>
      <w:bookmarkEnd w:id="4"/>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A2303E">
        <w:t>final</w:t>
      </w:r>
      <w:r w:rsidR="00415F31">
        <w:t xml:space="preserve"> decision on </w:t>
      </w:r>
      <w:r w:rsidR="0033548E">
        <w:t>the</w:t>
      </w:r>
      <w:r w:rsidR="00415F31">
        <w:t xml:space="preserve"> </w:t>
      </w:r>
      <w:r w:rsidR="00CF2C05">
        <w:t>access</w:t>
      </w:r>
      <w:r w:rsidR="00415F31">
        <w:t xml:space="preserve"> </w:t>
      </w:r>
      <w:r w:rsidR="00CF2C05">
        <w:t>arrangement for</w:t>
      </w:r>
      <w:r w:rsidR="00415F31">
        <w:t xml:space="preserve"> </w:t>
      </w:r>
      <w:r w:rsidR="00DE50D7">
        <w:t xml:space="preserve">ActewAGL Distribution </w:t>
      </w:r>
      <w:r w:rsidR="0033548E">
        <w:t xml:space="preserve">for </w:t>
      </w:r>
      <w:r w:rsidR="00415F31">
        <w:t>201</w:t>
      </w:r>
      <w:r w:rsidR="005C0A7F">
        <w:t>6</w:t>
      </w:r>
      <w:r w:rsidR="00415F31" w:rsidRPr="00D904FA">
        <w:t>–</w:t>
      </w:r>
      <w:r w:rsidR="00103A67">
        <w:t>21</w:t>
      </w:r>
      <w:r w:rsidR="00415F31">
        <w:t xml:space="preserve">. It should be read with </w:t>
      </w:r>
      <w:r w:rsidR="005C0A7F">
        <w:t xml:space="preserve">all </w:t>
      </w:r>
      <w:r w:rsidR="00415F31">
        <w:t xml:space="preserve">other parts of the </w:t>
      </w:r>
      <w:r w:rsidR="00A2303E">
        <w:t>final</w:t>
      </w:r>
      <w:r w:rsidR="005C0A7F">
        <w:t xml:space="preserve"> </w:t>
      </w:r>
      <w:r w:rsidR="00415F31">
        <w:t>decision.</w:t>
      </w:r>
    </w:p>
    <w:p w:rsidR="00415F31" w:rsidRDefault="00415F31" w:rsidP="00DE772C">
      <w:pPr>
        <w:numPr>
          <w:ilvl w:val="0"/>
          <w:numId w:val="24"/>
        </w:numPr>
        <w:spacing w:before="0" w:after="240" w:line="288" w:lineRule="auto"/>
        <w:jc w:val="both"/>
      </w:pPr>
      <w:r>
        <w:t xml:space="preserve">The </w:t>
      </w:r>
      <w:r w:rsidR="00A2303E">
        <w:t>final</w:t>
      </w:r>
      <w:r w:rsidR="005C0A7F">
        <w:t xml:space="preserve">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 xml:space="preserve">Attachment 1 - </w:t>
      </w:r>
      <w:r w:rsidR="00EE77FA">
        <w:t>Services covered by the access arrangement</w:t>
      </w:r>
    </w:p>
    <w:p w:rsidR="0070011E" w:rsidRDefault="0070011E" w:rsidP="0070011E">
      <w:r>
        <w:t xml:space="preserve">Attachment 2 - </w:t>
      </w:r>
      <w:r w:rsidR="00EE77FA">
        <w:t>Capital base</w:t>
      </w:r>
    </w:p>
    <w:p w:rsidR="0070011E" w:rsidRDefault="0070011E" w:rsidP="0070011E">
      <w:r>
        <w:t xml:space="preserve">Attachment 3 - </w:t>
      </w:r>
      <w:r w:rsidR="00EE77FA">
        <w:t>R</w:t>
      </w:r>
      <w:r>
        <w:t>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 xml:space="preserve">Attachment 9 - Efficiency </w:t>
      </w:r>
      <w:r w:rsidR="00EE77FA">
        <w:t>carryover mechanism</w:t>
      </w:r>
    </w:p>
    <w:p w:rsidR="0070011E" w:rsidRDefault="0070011E" w:rsidP="0070011E">
      <w:r>
        <w:t xml:space="preserve">Attachment 10 - </w:t>
      </w:r>
      <w:r w:rsidR="00EE77FA">
        <w:t>Reference tariff setting</w:t>
      </w:r>
    </w:p>
    <w:p w:rsidR="0070011E" w:rsidRDefault="0070011E" w:rsidP="0070011E">
      <w:r>
        <w:t xml:space="preserve">Attachment 11 - </w:t>
      </w:r>
      <w:r w:rsidR="00EE77FA">
        <w:t>Reference tariff variation mechanism</w:t>
      </w:r>
    </w:p>
    <w:p w:rsidR="0070011E" w:rsidRDefault="0070011E" w:rsidP="0070011E">
      <w:r>
        <w:t xml:space="preserve">Attachment 12 - </w:t>
      </w:r>
      <w:r w:rsidR="00EE77FA">
        <w:t>Non-tariff components</w:t>
      </w:r>
    </w:p>
    <w:p w:rsidR="0070011E" w:rsidRDefault="0070011E" w:rsidP="0070011E">
      <w:r>
        <w:t xml:space="preserve">Attachment 13 - </w:t>
      </w:r>
      <w:r w:rsidR="00EE77FA">
        <w:t>Demand</w:t>
      </w:r>
    </w:p>
    <w:p w:rsidR="00DE563D" w:rsidRPr="00A72B34" w:rsidRDefault="00DE563D" w:rsidP="00DE772C">
      <w:pPr>
        <w:pStyle w:val="UnnumberedHeading"/>
        <w:numPr>
          <w:ilvl w:val="0"/>
          <w:numId w:val="23"/>
        </w:numPr>
      </w:pPr>
      <w:bookmarkStart w:id="5" w:name="_Toc403144133"/>
      <w:bookmarkStart w:id="6" w:name="_Toc451762329"/>
      <w:r>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DF6537" w:rsidRDefault="00732369">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"1-2" \h \z \t "Heading 3,3" </w:instrText>
          </w:r>
          <w:r>
            <w:rPr>
              <w:color w:val="auto"/>
              <w:sz w:val="22"/>
            </w:rPr>
            <w:fldChar w:fldCharType="separate"/>
          </w:r>
          <w:hyperlink w:anchor="_Toc451762328" w:history="1">
            <w:r w:rsidR="00DF6537" w:rsidRPr="002D4BC2">
              <w:rPr>
                <w:rStyle w:val="Hyperlink"/>
              </w:rPr>
              <w:t>Note</w:t>
            </w:r>
            <w:r w:rsidR="00DF6537">
              <w:rPr>
                <w:webHidden/>
              </w:rPr>
              <w:tab/>
            </w:r>
            <w:r w:rsidR="00DF6537">
              <w:rPr>
                <w:webHidden/>
              </w:rPr>
              <w:fldChar w:fldCharType="begin"/>
            </w:r>
            <w:r w:rsidR="00DF6537">
              <w:rPr>
                <w:webHidden/>
              </w:rPr>
              <w:instrText xml:space="preserve"> PAGEREF _Toc451762328 \h </w:instrText>
            </w:r>
            <w:r w:rsidR="00DF6537">
              <w:rPr>
                <w:webHidden/>
              </w:rPr>
            </w:r>
            <w:r w:rsidR="00DF6537">
              <w:rPr>
                <w:webHidden/>
              </w:rPr>
              <w:fldChar w:fldCharType="separate"/>
            </w:r>
            <w:r w:rsidR="00DF6537">
              <w:rPr>
                <w:webHidden/>
              </w:rPr>
              <w:t>10-2</w:t>
            </w:r>
            <w:r w:rsidR="00DF6537">
              <w:rPr>
                <w:webHidden/>
              </w:rPr>
              <w:fldChar w:fldCharType="end"/>
            </w:r>
          </w:hyperlink>
        </w:p>
        <w:p w:rsidR="00DF6537" w:rsidRDefault="00DF6537">
          <w:pPr>
            <w:pStyle w:val="TOC1"/>
            <w:rPr>
              <w:rFonts w:asciiTheme="minorHAnsi" w:eastAsiaTheme="minorEastAsia" w:hAnsiTheme="minorHAnsi"/>
              <w:b w:val="0"/>
              <w:color w:val="auto"/>
              <w:sz w:val="22"/>
              <w:lang w:val="en-AU" w:eastAsia="en-AU"/>
            </w:rPr>
          </w:pPr>
          <w:hyperlink w:anchor="_Toc451762329" w:history="1">
            <w:r w:rsidRPr="002D4BC2">
              <w:rPr>
                <w:rStyle w:val="Hyperlink"/>
              </w:rPr>
              <w:t>Contents</w:t>
            </w:r>
            <w:r>
              <w:rPr>
                <w:webHidden/>
              </w:rPr>
              <w:tab/>
            </w:r>
            <w:r>
              <w:rPr>
                <w:webHidden/>
              </w:rPr>
              <w:fldChar w:fldCharType="begin"/>
            </w:r>
            <w:r>
              <w:rPr>
                <w:webHidden/>
              </w:rPr>
              <w:instrText xml:space="preserve"> PAGEREF _Toc451762329 \h </w:instrText>
            </w:r>
            <w:r>
              <w:rPr>
                <w:webHidden/>
              </w:rPr>
            </w:r>
            <w:r>
              <w:rPr>
                <w:webHidden/>
              </w:rPr>
              <w:fldChar w:fldCharType="separate"/>
            </w:r>
            <w:r>
              <w:rPr>
                <w:webHidden/>
              </w:rPr>
              <w:t>10-3</w:t>
            </w:r>
            <w:r>
              <w:rPr>
                <w:webHidden/>
              </w:rPr>
              <w:fldChar w:fldCharType="end"/>
            </w:r>
          </w:hyperlink>
        </w:p>
        <w:p w:rsidR="00DF6537" w:rsidRDefault="00DF6537">
          <w:pPr>
            <w:pStyle w:val="TOC1"/>
            <w:rPr>
              <w:rFonts w:asciiTheme="minorHAnsi" w:eastAsiaTheme="minorEastAsia" w:hAnsiTheme="minorHAnsi"/>
              <w:b w:val="0"/>
              <w:color w:val="auto"/>
              <w:sz w:val="22"/>
              <w:lang w:val="en-AU" w:eastAsia="en-AU"/>
            </w:rPr>
          </w:pPr>
          <w:hyperlink w:anchor="_Toc451762330" w:history="1">
            <w:r w:rsidRPr="002D4BC2">
              <w:rPr>
                <w:rStyle w:val="Hyperlink"/>
              </w:rPr>
              <w:t>Shortened forms</w:t>
            </w:r>
            <w:r>
              <w:rPr>
                <w:webHidden/>
              </w:rPr>
              <w:tab/>
            </w:r>
            <w:r>
              <w:rPr>
                <w:webHidden/>
              </w:rPr>
              <w:fldChar w:fldCharType="begin"/>
            </w:r>
            <w:r>
              <w:rPr>
                <w:webHidden/>
              </w:rPr>
              <w:instrText xml:space="preserve"> PAGEREF _Toc451762330 \h </w:instrText>
            </w:r>
            <w:r>
              <w:rPr>
                <w:webHidden/>
              </w:rPr>
            </w:r>
            <w:r>
              <w:rPr>
                <w:webHidden/>
              </w:rPr>
              <w:fldChar w:fldCharType="separate"/>
            </w:r>
            <w:r>
              <w:rPr>
                <w:webHidden/>
              </w:rPr>
              <w:t>10-4</w:t>
            </w:r>
            <w:r>
              <w:rPr>
                <w:webHidden/>
              </w:rPr>
              <w:fldChar w:fldCharType="end"/>
            </w:r>
          </w:hyperlink>
        </w:p>
        <w:p w:rsidR="00DF6537" w:rsidRDefault="00DF6537">
          <w:pPr>
            <w:pStyle w:val="TOC1"/>
            <w:rPr>
              <w:rFonts w:asciiTheme="minorHAnsi" w:eastAsiaTheme="minorEastAsia" w:hAnsiTheme="minorHAnsi"/>
              <w:b w:val="0"/>
              <w:color w:val="auto"/>
              <w:sz w:val="22"/>
              <w:lang w:val="en-AU" w:eastAsia="en-AU"/>
            </w:rPr>
          </w:pPr>
          <w:hyperlink w:anchor="_Toc451762331" w:history="1">
            <w:r w:rsidRPr="002D4BC2">
              <w:rPr>
                <w:rStyle w:val="Hyperlink"/>
              </w:rPr>
              <w:t>10</w:t>
            </w:r>
            <w:r>
              <w:rPr>
                <w:rFonts w:asciiTheme="minorHAnsi" w:eastAsiaTheme="minorEastAsia" w:hAnsiTheme="minorHAnsi"/>
                <w:b w:val="0"/>
                <w:color w:val="auto"/>
                <w:sz w:val="22"/>
                <w:lang w:val="en-AU" w:eastAsia="en-AU"/>
              </w:rPr>
              <w:tab/>
            </w:r>
            <w:r w:rsidRPr="002D4BC2">
              <w:rPr>
                <w:rStyle w:val="Hyperlink"/>
              </w:rPr>
              <w:t>Reference tariff setting</w:t>
            </w:r>
            <w:r>
              <w:rPr>
                <w:webHidden/>
              </w:rPr>
              <w:tab/>
            </w:r>
            <w:r>
              <w:rPr>
                <w:webHidden/>
              </w:rPr>
              <w:fldChar w:fldCharType="begin"/>
            </w:r>
            <w:r>
              <w:rPr>
                <w:webHidden/>
              </w:rPr>
              <w:instrText xml:space="preserve"> PAGEREF _Toc451762331 \h </w:instrText>
            </w:r>
            <w:r>
              <w:rPr>
                <w:webHidden/>
              </w:rPr>
            </w:r>
            <w:r>
              <w:rPr>
                <w:webHidden/>
              </w:rPr>
              <w:fldChar w:fldCharType="separate"/>
            </w:r>
            <w:r>
              <w:rPr>
                <w:webHidden/>
              </w:rPr>
              <w:t>10-6</w:t>
            </w:r>
            <w:r>
              <w:rPr>
                <w:webHidden/>
              </w:rPr>
              <w:fldChar w:fldCharType="end"/>
            </w:r>
          </w:hyperlink>
        </w:p>
        <w:p w:rsidR="00DF6537" w:rsidRDefault="00DF6537">
          <w:pPr>
            <w:pStyle w:val="TOC2"/>
            <w:tabs>
              <w:tab w:val="left" w:pos="1276"/>
            </w:tabs>
            <w:rPr>
              <w:rFonts w:asciiTheme="minorHAnsi" w:eastAsiaTheme="minorEastAsia" w:hAnsiTheme="minorHAnsi"/>
              <w:b w:val="0"/>
              <w:color w:val="auto"/>
              <w:sz w:val="22"/>
              <w:lang w:eastAsia="en-AU"/>
            </w:rPr>
          </w:pPr>
          <w:hyperlink w:anchor="_Toc451762332" w:history="1">
            <w:r w:rsidRPr="002D4BC2">
              <w:rPr>
                <w:rStyle w:val="Hyperlink"/>
              </w:rPr>
              <w:t>10.1</w:t>
            </w:r>
            <w:r>
              <w:rPr>
                <w:rFonts w:asciiTheme="minorHAnsi" w:eastAsiaTheme="minorEastAsia" w:hAnsiTheme="minorHAnsi"/>
                <w:b w:val="0"/>
                <w:color w:val="auto"/>
                <w:sz w:val="22"/>
                <w:lang w:eastAsia="en-AU"/>
              </w:rPr>
              <w:tab/>
            </w:r>
            <w:r w:rsidRPr="002D4BC2">
              <w:rPr>
                <w:rStyle w:val="Hyperlink"/>
              </w:rPr>
              <w:t>Final decision</w:t>
            </w:r>
            <w:r>
              <w:rPr>
                <w:webHidden/>
              </w:rPr>
              <w:tab/>
            </w:r>
            <w:r>
              <w:rPr>
                <w:webHidden/>
              </w:rPr>
              <w:fldChar w:fldCharType="begin"/>
            </w:r>
            <w:r>
              <w:rPr>
                <w:webHidden/>
              </w:rPr>
              <w:instrText xml:space="preserve"> PAGEREF _Toc451762332 \h </w:instrText>
            </w:r>
            <w:r>
              <w:rPr>
                <w:webHidden/>
              </w:rPr>
            </w:r>
            <w:r>
              <w:rPr>
                <w:webHidden/>
              </w:rPr>
              <w:fldChar w:fldCharType="separate"/>
            </w:r>
            <w:r>
              <w:rPr>
                <w:webHidden/>
              </w:rPr>
              <w:t>10-6</w:t>
            </w:r>
            <w:r>
              <w:rPr>
                <w:webHidden/>
              </w:rPr>
              <w:fldChar w:fldCharType="end"/>
            </w:r>
          </w:hyperlink>
        </w:p>
        <w:p w:rsidR="00DF6537" w:rsidRDefault="00DF6537">
          <w:pPr>
            <w:pStyle w:val="TOC2"/>
            <w:tabs>
              <w:tab w:val="left" w:pos="1276"/>
            </w:tabs>
            <w:rPr>
              <w:rFonts w:asciiTheme="minorHAnsi" w:eastAsiaTheme="minorEastAsia" w:hAnsiTheme="minorHAnsi"/>
              <w:b w:val="0"/>
              <w:color w:val="auto"/>
              <w:sz w:val="22"/>
              <w:lang w:eastAsia="en-AU"/>
            </w:rPr>
          </w:pPr>
          <w:hyperlink w:anchor="_Toc451762333" w:history="1">
            <w:r w:rsidRPr="002D4BC2">
              <w:rPr>
                <w:rStyle w:val="Hyperlink"/>
              </w:rPr>
              <w:t>10.2</w:t>
            </w:r>
            <w:r>
              <w:rPr>
                <w:rFonts w:asciiTheme="minorHAnsi" w:eastAsiaTheme="minorEastAsia" w:hAnsiTheme="minorHAnsi"/>
                <w:b w:val="0"/>
                <w:color w:val="auto"/>
                <w:sz w:val="22"/>
                <w:lang w:eastAsia="en-AU"/>
              </w:rPr>
              <w:tab/>
            </w:r>
            <w:r w:rsidRPr="002D4BC2">
              <w:rPr>
                <w:rStyle w:val="Hyperlink"/>
              </w:rPr>
              <w:t>ActewAGL’s revised proposal</w:t>
            </w:r>
            <w:r>
              <w:rPr>
                <w:webHidden/>
              </w:rPr>
              <w:tab/>
            </w:r>
            <w:r>
              <w:rPr>
                <w:webHidden/>
              </w:rPr>
              <w:fldChar w:fldCharType="begin"/>
            </w:r>
            <w:r>
              <w:rPr>
                <w:webHidden/>
              </w:rPr>
              <w:instrText xml:space="preserve"> PAGEREF _Toc451762333 \h </w:instrText>
            </w:r>
            <w:r>
              <w:rPr>
                <w:webHidden/>
              </w:rPr>
            </w:r>
            <w:r>
              <w:rPr>
                <w:webHidden/>
              </w:rPr>
              <w:fldChar w:fldCharType="separate"/>
            </w:r>
            <w:r>
              <w:rPr>
                <w:webHidden/>
              </w:rPr>
              <w:t>10-6</w:t>
            </w:r>
            <w:r>
              <w:rPr>
                <w:webHidden/>
              </w:rPr>
              <w:fldChar w:fldCharType="end"/>
            </w:r>
          </w:hyperlink>
        </w:p>
        <w:p w:rsidR="00DF6537" w:rsidRDefault="00DF6537">
          <w:pPr>
            <w:pStyle w:val="TOC2"/>
            <w:tabs>
              <w:tab w:val="left" w:pos="1276"/>
            </w:tabs>
            <w:rPr>
              <w:rFonts w:asciiTheme="minorHAnsi" w:eastAsiaTheme="minorEastAsia" w:hAnsiTheme="minorHAnsi"/>
              <w:b w:val="0"/>
              <w:color w:val="auto"/>
              <w:sz w:val="22"/>
              <w:lang w:eastAsia="en-AU"/>
            </w:rPr>
          </w:pPr>
          <w:hyperlink w:anchor="_Toc451762334" w:history="1">
            <w:r w:rsidRPr="002D4BC2">
              <w:rPr>
                <w:rStyle w:val="Hyperlink"/>
              </w:rPr>
              <w:t>10.3</w:t>
            </w:r>
            <w:r>
              <w:rPr>
                <w:rFonts w:asciiTheme="minorHAnsi" w:eastAsiaTheme="minorEastAsia" w:hAnsiTheme="minorHAnsi"/>
                <w:b w:val="0"/>
                <w:color w:val="auto"/>
                <w:sz w:val="22"/>
                <w:lang w:eastAsia="en-AU"/>
              </w:rPr>
              <w:tab/>
            </w:r>
            <w:r w:rsidRPr="002D4BC2">
              <w:rPr>
                <w:rStyle w:val="Hyperlink"/>
              </w:rPr>
              <w:t>AER’s assessment approach</w:t>
            </w:r>
            <w:r>
              <w:rPr>
                <w:webHidden/>
              </w:rPr>
              <w:tab/>
            </w:r>
            <w:r>
              <w:rPr>
                <w:webHidden/>
              </w:rPr>
              <w:fldChar w:fldCharType="begin"/>
            </w:r>
            <w:r>
              <w:rPr>
                <w:webHidden/>
              </w:rPr>
              <w:instrText xml:space="preserve"> PAGEREF _Toc451762334 \h </w:instrText>
            </w:r>
            <w:r>
              <w:rPr>
                <w:webHidden/>
              </w:rPr>
            </w:r>
            <w:r>
              <w:rPr>
                <w:webHidden/>
              </w:rPr>
              <w:fldChar w:fldCharType="separate"/>
            </w:r>
            <w:r>
              <w:rPr>
                <w:webHidden/>
              </w:rPr>
              <w:t>10-7</w:t>
            </w:r>
            <w:r>
              <w:rPr>
                <w:webHidden/>
              </w:rPr>
              <w:fldChar w:fldCharType="end"/>
            </w:r>
          </w:hyperlink>
        </w:p>
        <w:p w:rsidR="00DF6537" w:rsidRDefault="00DF6537">
          <w:pPr>
            <w:pStyle w:val="TOC2"/>
            <w:tabs>
              <w:tab w:val="left" w:pos="1276"/>
            </w:tabs>
            <w:rPr>
              <w:rFonts w:asciiTheme="minorHAnsi" w:eastAsiaTheme="minorEastAsia" w:hAnsiTheme="minorHAnsi"/>
              <w:b w:val="0"/>
              <w:color w:val="auto"/>
              <w:sz w:val="22"/>
              <w:lang w:eastAsia="en-AU"/>
            </w:rPr>
          </w:pPr>
          <w:hyperlink w:anchor="_Toc451762335" w:history="1">
            <w:r w:rsidRPr="002D4BC2">
              <w:rPr>
                <w:rStyle w:val="Hyperlink"/>
              </w:rPr>
              <w:t>10.4</w:t>
            </w:r>
            <w:r>
              <w:rPr>
                <w:rFonts w:asciiTheme="minorHAnsi" w:eastAsiaTheme="minorEastAsia" w:hAnsiTheme="minorHAnsi"/>
                <w:b w:val="0"/>
                <w:color w:val="auto"/>
                <w:sz w:val="22"/>
                <w:lang w:eastAsia="en-AU"/>
              </w:rPr>
              <w:tab/>
            </w:r>
            <w:r w:rsidRPr="002D4BC2">
              <w:rPr>
                <w:rStyle w:val="Hyperlink"/>
              </w:rPr>
              <w:t>Reasons for final decision</w:t>
            </w:r>
            <w:r>
              <w:rPr>
                <w:webHidden/>
              </w:rPr>
              <w:tab/>
            </w:r>
            <w:r>
              <w:rPr>
                <w:webHidden/>
              </w:rPr>
              <w:fldChar w:fldCharType="begin"/>
            </w:r>
            <w:r>
              <w:rPr>
                <w:webHidden/>
              </w:rPr>
              <w:instrText xml:space="preserve"> PAGEREF _Toc451762335 \h </w:instrText>
            </w:r>
            <w:r>
              <w:rPr>
                <w:webHidden/>
              </w:rPr>
            </w:r>
            <w:r>
              <w:rPr>
                <w:webHidden/>
              </w:rPr>
              <w:fldChar w:fldCharType="separate"/>
            </w:r>
            <w:r>
              <w:rPr>
                <w:webHidden/>
              </w:rPr>
              <w:t>10-9</w:t>
            </w:r>
            <w:r>
              <w:rPr>
                <w:webHidden/>
              </w:rPr>
              <w:fldChar w:fldCharType="end"/>
            </w:r>
          </w:hyperlink>
        </w:p>
        <w:p w:rsidR="00DF6537" w:rsidRDefault="00DF6537">
          <w:pPr>
            <w:pStyle w:val="TOC3"/>
            <w:rPr>
              <w:rFonts w:asciiTheme="minorHAnsi" w:eastAsiaTheme="minorEastAsia" w:hAnsiTheme="minorHAnsi"/>
              <w:lang w:eastAsia="en-AU"/>
            </w:rPr>
          </w:pPr>
          <w:hyperlink w:anchor="_Toc451762336" w:history="1">
            <w:r w:rsidRPr="002D4BC2">
              <w:rPr>
                <w:rStyle w:val="Hyperlink"/>
              </w:rPr>
              <w:t>10.4.1</w:t>
            </w:r>
            <w:r>
              <w:rPr>
                <w:rFonts w:asciiTheme="minorHAnsi" w:eastAsiaTheme="minorEastAsia" w:hAnsiTheme="minorHAnsi"/>
                <w:lang w:eastAsia="en-AU"/>
              </w:rPr>
              <w:tab/>
            </w:r>
            <w:r w:rsidRPr="002D4BC2">
              <w:rPr>
                <w:rStyle w:val="Hyperlink"/>
              </w:rPr>
              <w:t>Allocation of revenues and costs to reference tariffs</w:t>
            </w:r>
            <w:r>
              <w:rPr>
                <w:webHidden/>
              </w:rPr>
              <w:tab/>
            </w:r>
            <w:r>
              <w:rPr>
                <w:webHidden/>
              </w:rPr>
              <w:fldChar w:fldCharType="begin"/>
            </w:r>
            <w:r>
              <w:rPr>
                <w:webHidden/>
              </w:rPr>
              <w:instrText xml:space="preserve"> PAGEREF _Toc451762336 \h </w:instrText>
            </w:r>
            <w:r>
              <w:rPr>
                <w:webHidden/>
              </w:rPr>
            </w:r>
            <w:r>
              <w:rPr>
                <w:webHidden/>
              </w:rPr>
              <w:fldChar w:fldCharType="separate"/>
            </w:r>
            <w:r>
              <w:rPr>
                <w:webHidden/>
              </w:rPr>
              <w:t>10-11</w:t>
            </w:r>
            <w:r>
              <w:rPr>
                <w:webHidden/>
              </w:rPr>
              <w:fldChar w:fldCharType="end"/>
            </w:r>
          </w:hyperlink>
        </w:p>
        <w:p w:rsidR="00DF6537" w:rsidRDefault="00DF6537">
          <w:pPr>
            <w:pStyle w:val="TOC3"/>
            <w:rPr>
              <w:rFonts w:asciiTheme="minorHAnsi" w:eastAsiaTheme="minorEastAsia" w:hAnsiTheme="minorHAnsi"/>
              <w:lang w:eastAsia="en-AU"/>
            </w:rPr>
          </w:pPr>
          <w:hyperlink w:anchor="_Toc451762337" w:history="1">
            <w:r w:rsidRPr="002D4BC2">
              <w:rPr>
                <w:rStyle w:val="Hyperlink"/>
              </w:rPr>
              <w:t>10.4.2</w:t>
            </w:r>
            <w:r>
              <w:rPr>
                <w:rFonts w:asciiTheme="minorHAnsi" w:eastAsiaTheme="minorEastAsia" w:hAnsiTheme="minorHAnsi"/>
                <w:lang w:eastAsia="en-AU"/>
              </w:rPr>
              <w:tab/>
            </w:r>
            <w:r w:rsidRPr="002D4BC2">
              <w:rPr>
                <w:rStyle w:val="Hyperlink"/>
              </w:rPr>
              <w:t>Establishment of tariff classes</w:t>
            </w:r>
            <w:r>
              <w:rPr>
                <w:webHidden/>
              </w:rPr>
              <w:tab/>
            </w:r>
            <w:r>
              <w:rPr>
                <w:webHidden/>
              </w:rPr>
              <w:fldChar w:fldCharType="begin"/>
            </w:r>
            <w:r>
              <w:rPr>
                <w:webHidden/>
              </w:rPr>
              <w:instrText xml:space="preserve"> PAGEREF _Toc451762337 \h </w:instrText>
            </w:r>
            <w:r>
              <w:rPr>
                <w:webHidden/>
              </w:rPr>
            </w:r>
            <w:r>
              <w:rPr>
                <w:webHidden/>
              </w:rPr>
              <w:fldChar w:fldCharType="separate"/>
            </w:r>
            <w:r>
              <w:rPr>
                <w:webHidden/>
              </w:rPr>
              <w:t>10-12</w:t>
            </w:r>
            <w:r>
              <w:rPr>
                <w:webHidden/>
              </w:rPr>
              <w:fldChar w:fldCharType="end"/>
            </w:r>
          </w:hyperlink>
        </w:p>
        <w:p w:rsidR="00DF6537" w:rsidRDefault="00DF6537">
          <w:pPr>
            <w:pStyle w:val="TOC3"/>
            <w:rPr>
              <w:rFonts w:asciiTheme="minorHAnsi" w:eastAsiaTheme="minorEastAsia" w:hAnsiTheme="minorHAnsi"/>
              <w:lang w:eastAsia="en-AU"/>
            </w:rPr>
          </w:pPr>
          <w:hyperlink w:anchor="_Toc451762338" w:history="1">
            <w:r w:rsidRPr="002D4BC2">
              <w:rPr>
                <w:rStyle w:val="Hyperlink"/>
              </w:rPr>
              <w:t>10.4.3</w:t>
            </w:r>
            <w:r>
              <w:rPr>
                <w:rFonts w:asciiTheme="minorHAnsi" w:eastAsiaTheme="minorEastAsia" w:hAnsiTheme="minorHAnsi"/>
                <w:lang w:eastAsia="en-AU"/>
              </w:rPr>
              <w:tab/>
            </w:r>
            <w:r w:rsidRPr="002D4BC2">
              <w:rPr>
                <w:rStyle w:val="Hyperlink"/>
              </w:rPr>
              <w:t>Tariff classes and revenue limits</w:t>
            </w:r>
            <w:r>
              <w:rPr>
                <w:webHidden/>
              </w:rPr>
              <w:tab/>
            </w:r>
            <w:r>
              <w:rPr>
                <w:webHidden/>
              </w:rPr>
              <w:fldChar w:fldCharType="begin"/>
            </w:r>
            <w:r>
              <w:rPr>
                <w:webHidden/>
              </w:rPr>
              <w:instrText xml:space="preserve"> PAGEREF _Toc451762338 \h </w:instrText>
            </w:r>
            <w:r>
              <w:rPr>
                <w:webHidden/>
              </w:rPr>
            </w:r>
            <w:r>
              <w:rPr>
                <w:webHidden/>
              </w:rPr>
              <w:fldChar w:fldCharType="separate"/>
            </w:r>
            <w:r>
              <w:rPr>
                <w:webHidden/>
              </w:rPr>
              <w:t>10-12</w:t>
            </w:r>
            <w:r>
              <w:rPr>
                <w:webHidden/>
              </w:rPr>
              <w:fldChar w:fldCharType="end"/>
            </w:r>
          </w:hyperlink>
        </w:p>
        <w:p w:rsidR="00DE563D" w:rsidRDefault="00732369" w:rsidP="00732369">
          <w:pPr>
            <w:pStyle w:val="TOC1"/>
          </w:pPr>
          <w:r>
            <w:rPr>
              <w:color w:val="auto"/>
              <w:sz w:val="22"/>
            </w:rPr>
            <w:fldChar w:fldCharType="end"/>
          </w:r>
        </w:p>
      </w:sdtContent>
    </w:sdt>
    <w:p w:rsidR="00DE563D" w:rsidRDefault="00C84560">
      <w:pPr>
        <w:spacing w:line="240" w:lineRule="auto"/>
      </w:pPr>
      <w:r>
        <w:t xml:space="preserve"> </w:t>
      </w:r>
    </w:p>
    <w:p w:rsidR="00E7494F" w:rsidRDefault="00DE563D" w:rsidP="00DE772C">
      <w:pPr>
        <w:pStyle w:val="UnnumberedHeading"/>
        <w:numPr>
          <w:ilvl w:val="0"/>
          <w:numId w:val="23"/>
        </w:numPr>
      </w:pPr>
      <w:bookmarkStart w:id="7" w:name="_Toc404700925"/>
      <w:bookmarkStart w:id="8" w:name="_Toc451762330"/>
      <w:r>
        <w:t>Shortened forms</w:t>
      </w:r>
      <w:bookmarkEnd w:id="7"/>
      <w:bookmarkEnd w:id="8"/>
    </w:p>
    <w:tbl>
      <w:tblPr>
        <w:tblStyle w:val="AERtable-numbers"/>
        <w:tblW w:w="0" w:type="auto"/>
        <w:tblLook w:val="04A0" w:firstRow="1" w:lastRow="0" w:firstColumn="1" w:lastColumn="0" w:noHBand="0" w:noVBand="1"/>
      </w:tblPr>
      <w:tblGrid>
        <w:gridCol w:w="3652"/>
        <w:gridCol w:w="5041"/>
      </w:tblGrid>
      <w:tr w:rsidR="00C257CB" w:rsidTr="00C257C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257CB" w:rsidRPr="00C257CB" w:rsidRDefault="00C257CB" w:rsidP="00C257CB">
            <w:pPr>
              <w:numPr>
                <w:ilvl w:val="0"/>
                <w:numId w:val="24"/>
              </w:numPr>
            </w:pPr>
            <w:r w:rsidRPr="00C257CB">
              <w:t>Shortened form</w:t>
            </w:r>
          </w:p>
        </w:tc>
        <w:tc>
          <w:tcPr>
            <w:tcW w:w="5041" w:type="dxa"/>
            <w:tcBorders>
              <w:top w:val="nil"/>
              <w:left w:val="nil"/>
              <w:bottom w:val="nil"/>
              <w:right w:val="nil"/>
            </w:tcBorders>
            <w:hideMark/>
          </w:tcPr>
          <w:p w:rsidR="00C257CB" w:rsidRPr="00C257CB" w:rsidRDefault="00C257CB" w:rsidP="00C257CB">
            <w:pPr>
              <w:numPr>
                <w:ilvl w:val="0"/>
                <w:numId w:val="24"/>
              </w:numPr>
              <w:cnfStyle w:val="100000000000" w:firstRow="1" w:lastRow="0" w:firstColumn="0" w:lastColumn="0" w:oddVBand="0" w:evenVBand="0" w:oddHBand="0" w:evenHBand="0" w:firstRowFirstColumn="0" w:firstRowLastColumn="0" w:lastRowFirstColumn="0" w:lastRowLastColumn="0"/>
            </w:pPr>
            <w:r w:rsidRPr="00C257CB">
              <w:t>Extended form</w:t>
            </w:r>
          </w:p>
        </w:tc>
      </w:tr>
      <w:tr w:rsidR="00C257CB" w:rsidTr="00C257CB">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257CB" w:rsidRPr="00C257CB" w:rsidRDefault="00C257CB" w:rsidP="00C257CB">
            <w:pPr>
              <w:numPr>
                <w:ilvl w:val="0"/>
                <w:numId w:val="24"/>
              </w:numPr>
            </w:pPr>
            <w:r w:rsidRPr="00C257CB">
              <w:t>AA</w:t>
            </w:r>
          </w:p>
        </w:tc>
        <w:tc>
          <w:tcPr>
            <w:tcW w:w="5041" w:type="dxa"/>
            <w:tcBorders>
              <w:top w:val="nil"/>
              <w:left w:val="nil"/>
              <w:bottom w:val="nil"/>
              <w:right w:val="nil"/>
            </w:tcBorders>
            <w:hideMark/>
          </w:tcPr>
          <w:p w:rsidR="00C257CB" w:rsidRPr="00C257CB" w:rsidRDefault="00C257CB" w:rsidP="00C257CB">
            <w:pPr>
              <w:cnfStyle w:val="000000000000" w:firstRow="0" w:lastRow="0" w:firstColumn="0" w:lastColumn="0" w:oddVBand="0" w:evenVBand="0" w:oddHBand="0" w:evenHBand="0" w:firstRowFirstColumn="0" w:firstRowLastColumn="0" w:lastRowFirstColumn="0" w:lastRowLastColumn="0"/>
            </w:pPr>
            <w:r w:rsidRPr="00C257CB">
              <w:t>Access Arrangement</w:t>
            </w:r>
          </w:p>
        </w:tc>
      </w:tr>
      <w:tr w:rsidR="00C257CB" w:rsidTr="00C257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257CB" w:rsidRPr="00C257CB" w:rsidRDefault="00C257CB" w:rsidP="00C257CB">
            <w:pPr>
              <w:numPr>
                <w:ilvl w:val="0"/>
                <w:numId w:val="24"/>
              </w:numPr>
            </w:pPr>
            <w:r w:rsidRPr="00C257CB">
              <w:t>AAI</w:t>
            </w:r>
          </w:p>
        </w:tc>
        <w:tc>
          <w:tcPr>
            <w:tcW w:w="5041" w:type="dxa"/>
            <w:tcBorders>
              <w:top w:val="nil"/>
              <w:left w:val="nil"/>
              <w:bottom w:val="nil"/>
              <w:right w:val="nil"/>
            </w:tcBorders>
            <w:hideMark/>
          </w:tcPr>
          <w:p w:rsidR="00C257CB" w:rsidRPr="00C257CB" w:rsidRDefault="00C257CB" w:rsidP="00C257CB">
            <w:pPr>
              <w:cnfStyle w:val="000000010000" w:firstRow="0" w:lastRow="0" w:firstColumn="0" w:lastColumn="0" w:oddVBand="0" w:evenVBand="0" w:oddHBand="0" w:evenHBand="1" w:firstRowFirstColumn="0" w:firstRowLastColumn="0" w:lastRowFirstColumn="0" w:lastRowLastColumn="0"/>
            </w:pPr>
            <w:r w:rsidRPr="00C257CB">
              <w:t>Access Arrangement Information</w:t>
            </w:r>
          </w:p>
        </w:tc>
      </w:tr>
      <w:tr w:rsidR="00C257CB" w:rsidTr="00C257CB">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257CB" w:rsidRPr="00C257CB" w:rsidRDefault="00C257CB" w:rsidP="00C257CB">
            <w:pPr>
              <w:numPr>
                <w:ilvl w:val="0"/>
                <w:numId w:val="24"/>
              </w:numPr>
            </w:pPr>
            <w:r w:rsidRPr="00C257CB">
              <w:t>AER</w:t>
            </w:r>
          </w:p>
        </w:tc>
        <w:tc>
          <w:tcPr>
            <w:tcW w:w="5041" w:type="dxa"/>
            <w:tcBorders>
              <w:top w:val="nil"/>
              <w:left w:val="nil"/>
              <w:bottom w:val="nil"/>
              <w:right w:val="nil"/>
            </w:tcBorders>
            <w:hideMark/>
          </w:tcPr>
          <w:p w:rsidR="00C257CB" w:rsidRPr="00C257CB" w:rsidRDefault="00C257CB" w:rsidP="00C257CB">
            <w:pPr>
              <w:numPr>
                <w:ilvl w:val="0"/>
                <w:numId w:val="24"/>
              </w:numPr>
              <w:cnfStyle w:val="000000000000" w:firstRow="0" w:lastRow="0" w:firstColumn="0" w:lastColumn="0" w:oddVBand="0" w:evenVBand="0" w:oddHBand="0" w:evenHBand="0" w:firstRowFirstColumn="0" w:firstRowLastColumn="0" w:lastRowFirstColumn="0" w:lastRowLastColumn="0"/>
            </w:pPr>
            <w:r w:rsidRPr="00C257CB">
              <w:t>Australian Energy Regulator</w:t>
            </w:r>
          </w:p>
        </w:tc>
      </w:tr>
      <w:tr w:rsidR="00C257CB" w:rsidTr="00C257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257CB" w:rsidRPr="00C257CB" w:rsidRDefault="00C257CB" w:rsidP="00C257CB">
            <w:pPr>
              <w:numPr>
                <w:ilvl w:val="0"/>
                <w:numId w:val="24"/>
              </w:numPr>
            </w:pPr>
            <w:r w:rsidRPr="00C257CB">
              <w:t>ASA</w:t>
            </w:r>
          </w:p>
        </w:tc>
        <w:tc>
          <w:tcPr>
            <w:tcW w:w="5041" w:type="dxa"/>
            <w:tcBorders>
              <w:top w:val="nil"/>
              <w:left w:val="nil"/>
              <w:bottom w:val="nil"/>
              <w:right w:val="nil"/>
            </w:tcBorders>
            <w:hideMark/>
          </w:tcPr>
          <w:p w:rsidR="00C257CB" w:rsidRPr="00C257CB" w:rsidRDefault="00C257CB" w:rsidP="00C257CB">
            <w:pPr>
              <w:cnfStyle w:val="000000010000" w:firstRow="0" w:lastRow="0" w:firstColumn="0" w:lastColumn="0" w:oddVBand="0" w:evenVBand="0" w:oddHBand="0" w:evenHBand="1" w:firstRowFirstColumn="0" w:firstRowLastColumn="0" w:lastRowFirstColumn="0" w:lastRowLastColumn="0"/>
            </w:pPr>
            <w:r w:rsidRPr="00C257CB">
              <w:t>Asset Services Agreement</w:t>
            </w:r>
          </w:p>
        </w:tc>
      </w:tr>
      <w:tr w:rsidR="00C257CB" w:rsidTr="00C257CB">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257CB" w:rsidRPr="00C257CB" w:rsidRDefault="00C257CB" w:rsidP="00C257CB">
            <w:pPr>
              <w:numPr>
                <w:ilvl w:val="0"/>
                <w:numId w:val="24"/>
              </w:numPr>
            </w:pPr>
            <w:r w:rsidRPr="00C257CB">
              <w:t>ATO</w:t>
            </w:r>
          </w:p>
        </w:tc>
        <w:tc>
          <w:tcPr>
            <w:tcW w:w="5041" w:type="dxa"/>
            <w:tcBorders>
              <w:top w:val="nil"/>
              <w:left w:val="nil"/>
              <w:bottom w:val="nil"/>
              <w:right w:val="nil"/>
            </w:tcBorders>
            <w:hideMark/>
          </w:tcPr>
          <w:p w:rsidR="00C257CB" w:rsidRPr="00C257CB" w:rsidRDefault="00C257CB" w:rsidP="00C257CB">
            <w:pPr>
              <w:cnfStyle w:val="000000000000" w:firstRow="0" w:lastRow="0" w:firstColumn="0" w:lastColumn="0" w:oddVBand="0" w:evenVBand="0" w:oddHBand="0" w:evenHBand="0" w:firstRowFirstColumn="0" w:firstRowLastColumn="0" w:lastRowFirstColumn="0" w:lastRowLastColumn="0"/>
            </w:pPr>
            <w:r w:rsidRPr="00C257CB">
              <w:t>Australian Tax Office</w:t>
            </w:r>
          </w:p>
        </w:tc>
      </w:tr>
      <w:tr w:rsidR="00C257CB" w:rsidTr="00C257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257CB" w:rsidRPr="00C257CB" w:rsidRDefault="00C257CB" w:rsidP="00C257CB">
            <w:pPr>
              <w:numPr>
                <w:ilvl w:val="0"/>
                <w:numId w:val="24"/>
              </w:numPr>
            </w:pPr>
            <w:r w:rsidRPr="00C257CB">
              <w:t>capex</w:t>
            </w:r>
          </w:p>
        </w:tc>
        <w:tc>
          <w:tcPr>
            <w:tcW w:w="5041" w:type="dxa"/>
            <w:tcBorders>
              <w:top w:val="nil"/>
              <w:left w:val="nil"/>
              <w:bottom w:val="nil"/>
              <w:right w:val="nil"/>
            </w:tcBorders>
            <w:hideMark/>
          </w:tcPr>
          <w:p w:rsidR="00C257CB" w:rsidRPr="00C257CB" w:rsidRDefault="00C257CB" w:rsidP="00C257CB">
            <w:pPr>
              <w:numPr>
                <w:ilvl w:val="0"/>
                <w:numId w:val="24"/>
              </w:numPr>
              <w:cnfStyle w:val="000000010000" w:firstRow="0" w:lastRow="0" w:firstColumn="0" w:lastColumn="0" w:oddVBand="0" w:evenVBand="0" w:oddHBand="0" w:evenHBand="1" w:firstRowFirstColumn="0" w:firstRowLastColumn="0" w:lastRowFirstColumn="0" w:lastRowLastColumn="0"/>
            </w:pPr>
            <w:r w:rsidRPr="00C257CB">
              <w:t>capital expenditure</w:t>
            </w:r>
          </w:p>
        </w:tc>
      </w:tr>
      <w:tr w:rsidR="00C257CB" w:rsidTr="00C257CB">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257CB" w:rsidRPr="00C257CB" w:rsidRDefault="00C257CB" w:rsidP="00C257CB">
            <w:pPr>
              <w:numPr>
                <w:ilvl w:val="0"/>
                <w:numId w:val="24"/>
              </w:numPr>
            </w:pPr>
            <w:r w:rsidRPr="00C257CB">
              <w:t>CAPM</w:t>
            </w:r>
          </w:p>
        </w:tc>
        <w:tc>
          <w:tcPr>
            <w:tcW w:w="5041" w:type="dxa"/>
            <w:tcBorders>
              <w:top w:val="nil"/>
              <w:left w:val="nil"/>
              <w:bottom w:val="nil"/>
              <w:right w:val="nil"/>
            </w:tcBorders>
            <w:hideMark/>
          </w:tcPr>
          <w:p w:rsidR="00C257CB" w:rsidRPr="00C257CB" w:rsidRDefault="00C257CB" w:rsidP="00C257CB">
            <w:pPr>
              <w:numPr>
                <w:ilvl w:val="0"/>
                <w:numId w:val="24"/>
              </w:numPr>
              <w:cnfStyle w:val="000000000000" w:firstRow="0" w:lastRow="0" w:firstColumn="0" w:lastColumn="0" w:oddVBand="0" w:evenVBand="0" w:oddHBand="0" w:evenHBand="0" w:firstRowFirstColumn="0" w:firstRowLastColumn="0" w:lastRowFirstColumn="0" w:lastRowLastColumn="0"/>
            </w:pPr>
            <w:r w:rsidRPr="00C257CB">
              <w:t>capital asset pricing model</w:t>
            </w:r>
          </w:p>
        </w:tc>
      </w:tr>
      <w:tr w:rsidR="00C257CB" w:rsidTr="00C257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257CB" w:rsidRPr="00C257CB" w:rsidRDefault="00C257CB" w:rsidP="00C257CB">
            <w:pPr>
              <w:numPr>
                <w:ilvl w:val="0"/>
                <w:numId w:val="24"/>
              </w:numPr>
            </w:pPr>
            <w:r w:rsidRPr="00C257CB">
              <w:t>CCP</w:t>
            </w:r>
          </w:p>
        </w:tc>
        <w:tc>
          <w:tcPr>
            <w:tcW w:w="5041" w:type="dxa"/>
            <w:tcBorders>
              <w:top w:val="nil"/>
              <w:left w:val="nil"/>
              <w:bottom w:val="nil"/>
              <w:right w:val="nil"/>
            </w:tcBorders>
            <w:hideMark/>
          </w:tcPr>
          <w:p w:rsidR="00C257CB" w:rsidRPr="00C257CB" w:rsidRDefault="00C257CB" w:rsidP="00C257CB">
            <w:pPr>
              <w:numPr>
                <w:ilvl w:val="0"/>
                <w:numId w:val="24"/>
              </w:numPr>
              <w:cnfStyle w:val="000000010000" w:firstRow="0" w:lastRow="0" w:firstColumn="0" w:lastColumn="0" w:oddVBand="0" w:evenVBand="0" w:oddHBand="0" w:evenHBand="1" w:firstRowFirstColumn="0" w:firstRowLastColumn="0" w:lastRowFirstColumn="0" w:lastRowLastColumn="0"/>
            </w:pPr>
            <w:r w:rsidRPr="00C257CB">
              <w:t>Consumer Challenge Panel</w:t>
            </w:r>
          </w:p>
        </w:tc>
      </w:tr>
      <w:tr w:rsidR="00C257CB" w:rsidTr="00C257CB">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257CB" w:rsidRPr="00C257CB" w:rsidRDefault="00C257CB" w:rsidP="00C257CB">
            <w:pPr>
              <w:numPr>
                <w:ilvl w:val="0"/>
                <w:numId w:val="24"/>
              </w:numPr>
            </w:pPr>
            <w:r w:rsidRPr="00C257CB">
              <w:t>CMF</w:t>
            </w:r>
          </w:p>
        </w:tc>
        <w:tc>
          <w:tcPr>
            <w:tcW w:w="5041" w:type="dxa"/>
            <w:tcBorders>
              <w:top w:val="nil"/>
              <w:left w:val="nil"/>
              <w:bottom w:val="nil"/>
              <w:right w:val="nil"/>
            </w:tcBorders>
            <w:hideMark/>
          </w:tcPr>
          <w:p w:rsidR="00C257CB" w:rsidRPr="00C257CB" w:rsidRDefault="00C257CB" w:rsidP="00C257CB">
            <w:pPr>
              <w:cnfStyle w:val="000000000000" w:firstRow="0" w:lastRow="0" w:firstColumn="0" w:lastColumn="0" w:oddVBand="0" w:evenVBand="0" w:oddHBand="0" w:evenHBand="0" w:firstRowFirstColumn="0" w:firstRowLastColumn="0" w:lastRowFirstColumn="0" w:lastRowLastColumn="0"/>
            </w:pPr>
            <w:r w:rsidRPr="00C257CB">
              <w:t>construction management fee</w:t>
            </w:r>
          </w:p>
        </w:tc>
      </w:tr>
      <w:tr w:rsidR="00C257CB" w:rsidTr="00C257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257CB" w:rsidRPr="00C257CB" w:rsidRDefault="00C257CB" w:rsidP="00C257CB">
            <w:pPr>
              <w:numPr>
                <w:ilvl w:val="0"/>
                <w:numId w:val="24"/>
              </w:numPr>
            </w:pPr>
            <w:r w:rsidRPr="00C257CB">
              <w:t>CPI</w:t>
            </w:r>
          </w:p>
        </w:tc>
        <w:tc>
          <w:tcPr>
            <w:tcW w:w="5041" w:type="dxa"/>
            <w:tcBorders>
              <w:top w:val="nil"/>
              <w:left w:val="nil"/>
              <w:bottom w:val="nil"/>
              <w:right w:val="nil"/>
            </w:tcBorders>
            <w:hideMark/>
          </w:tcPr>
          <w:p w:rsidR="00C257CB" w:rsidRPr="00C257CB" w:rsidRDefault="00C257CB" w:rsidP="00C257CB">
            <w:pPr>
              <w:numPr>
                <w:ilvl w:val="0"/>
                <w:numId w:val="24"/>
              </w:numPr>
              <w:cnfStyle w:val="000000010000" w:firstRow="0" w:lastRow="0" w:firstColumn="0" w:lastColumn="0" w:oddVBand="0" w:evenVBand="0" w:oddHBand="0" w:evenHBand="1" w:firstRowFirstColumn="0" w:firstRowLastColumn="0" w:lastRowFirstColumn="0" w:lastRowLastColumn="0"/>
            </w:pPr>
            <w:r w:rsidRPr="00C257CB">
              <w:t>consumer price index</w:t>
            </w:r>
          </w:p>
        </w:tc>
      </w:tr>
      <w:tr w:rsidR="00C257CB" w:rsidTr="00C257CB">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257CB" w:rsidRPr="00C257CB" w:rsidRDefault="00C257CB" w:rsidP="00C257CB">
            <w:pPr>
              <w:numPr>
                <w:ilvl w:val="0"/>
                <w:numId w:val="24"/>
              </w:numPr>
            </w:pPr>
            <w:r w:rsidRPr="00C257CB">
              <w:t>DAMS</w:t>
            </w:r>
          </w:p>
        </w:tc>
        <w:tc>
          <w:tcPr>
            <w:tcW w:w="5041" w:type="dxa"/>
            <w:tcBorders>
              <w:top w:val="nil"/>
              <w:left w:val="nil"/>
              <w:bottom w:val="nil"/>
              <w:right w:val="nil"/>
            </w:tcBorders>
            <w:hideMark/>
          </w:tcPr>
          <w:p w:rsidR="00C257CB" w:rsidRPr="00C257CB" w:rsidRDefault="00C257CB" w:rsidP="00C257CB">
            <w:pPr>
              <w:cnfStyle w:val="000000000000" w:firstRow="0" w:lastRow="0" w:firstColumn="0" w:lastColumn="0" w:oddVBand="0" w:evenVBand="0" w:oddHBand="0" w:evenHBand="0" w:firstRowFirstColumn="0" w:firstRowLastColumn="0" w:lastRowFirstColumn="0" w:lastRowLastColumn="0"/>
            </w:pPr>
            <w:r w:rsidRPr="00C257CB">
              <w:t>Distribution Asset Management Services</w:t>
            </w:r>
          </w:p>
        </w:tc>
      </w:tr>
      <w:tr w:rsidR="00C257CB" w:rsidTr="00C257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257CB" w:rsidRPr="00C257CB" w:rsidRDefault="00C257CB" w:rsidP="00C257CB">
            <w:pPr>
              <w:numPr>
                <w:ilvl w:val="0"/>
                <w:numId w:val="24"/>
              </w:numPr>
            </w:pPr>
            <w:r w:rsidRPr="00C257CB">
              <w:t>DRP</w:t>
            </w:r>
          </w:p>
        </w:tc>
        <w:tc>
          <w:tcPr>
            <w:tcW w:w="5041" w:type="dxa"/>
            <w:tcBorders>
              <w:top w:val="nil"/>
              <w:left w:val="nil"/>
              <w:bottom w:val="nil"/>
              <w:right w:val="nil"/>
            </w:tcBorders>
            <w:hideMark/>
          </w:tcPr>
          <w:p w:rsidR="00C257CB" w:rsidRPr="00C257CB" w:rsidRDefault="00C257CB" w:rsidP="00C257CB">
            <w:pPr>
              <w:numPr>
                <w:ilvl w:val="0"/>
                <w:numId w:val="24"/>
              </w:numPr>
              <w:cnfStyle w:val="000000010000" w:firstRow="0" w:lastRow="0" w:firstColumn="0" w:lastColumn="0" w:oddVBand="0" w:evenVBand="0" w:oddHBand="0" w:evenHBand="1" w:firstRowFirstColumn="0" w:firstRowLastColumn="0" w:lastRowFirstColumn="0" w:lastRowLastColumn="0"/>
            </w:pPr>
            <w:r w:rsidRPr="00C257CB">
              <w:t>debt risk premium</w:t>
            </w:r>
          </w:p>
        </w:tc>
      </w:tr>
      <w:tr w:rsidR="00C257CB" w:rsidTr="00C257CB">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257CB" w:rsidRPr="00C257CB" w:rsidRDefault="00C257CB" w:rsidP="00C257CB">
            <w:pPr>
              <w:numPr>
                <w:ilvl w:val="0"/>
                <w:numId w:val="24"/>
              </w:numPr>
            </w:pPr>
            <w:r w:rsidRPr="00C257CB">
              <w:t>EBSS</w:t>
            </w:r>
          </w:p>
        </w:tc>
        <w:tc>
          <w:tcPr>
            <w:tcW w:w="5041" w:type="dxa"/>
            <w:tcBorders>
              <w:top w:val="nil"/>
              <w:left w:val="nil"/>
              <w:bottom w:val="nil"/>
              <w:right w:val="nil"/>
            </w:tcBorders>
            <w:hideMark/>
          </w:tcPr>
          <w:p w:rsidR="00C257CB" w:rsidRPr="00C257CB" w:rsidRDefault="00C257CB" w:rsidP="00C257CB">
            <w:pPr>
              <w:cnfStyle w:val="000000000000" w:firstRow="0" w:lastRow="0" w:firstColumn="0" w:lastColumn="0" w:oddVBand="0" w:evenVBand="0" w:oddHBand="0" w:evenHBand="0" w:firstRowFirstColumn="0" w:firstRowLastColumn="0" w:lastRowFirstColumn="0" w:lastRowLastColumn="0"/>
            </w:pPr>
            <w:r w:rsidRPr="00C257CB">
              <w:t>Efficiency Benefit Sharing Scheme</w:t>
            </w:r>
          </w:p>
        </w:tc>
      </w:tr>
      <w:tr w:rsidR="00C257CB" w:rsidTr="00C257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257CB" w:rsidRPr="00C257CB" w:rsidRDefault="00C257CB" w:rsidP="00C257CB">
            <w:pPr>
              <w:numPr>
                <w:ilvl w:val="0"/>
                <w:numId w:val="24"/>
              </w:numPr>
            </w:pPr>
            <w:r w:rsidRPr="00C257CB">
              <w:t>ECM</w:t>
            </w:r>
          </w:p>
        </w:tc>
        <w:tc>
          <w:tcPr>
            <w:tcW w:w="5041" w:type="dxa"/>
            <w:tcBorders>
              <w:top w:val="nil"/>
              <w:left w:val="nil"/>
              <w:bottom w:val="nil"/>
              <w:right w:val="nil"/>
            </w:tcBorders>
            <w:hideMark/>
          </w:tcPr>
          <w:p w:rsidR="00C257CB" w:rsidRPr="00C257CB" w:rsidRDefault="00C257CB" w:rsidP="00C257CB">
            <w:pPr>
              <w:cnfStyle w:val="000000010000" w:firstRow="0" w:lastRow="0" w:firstColumn="0" w:lastColumn="0" w:oddVBand="0" w:evenVBand="0" w:oddHBand="0" w:evenHBand="1" w:firstRowFirstColumn="0" w:firstRowLastColumn="0" w:lastRowFirstColumn="0" w:lastRowLastColumn="0"/>
            </w:pPr>
            <w:r w:rsidRPr="00C257CB">
              <w:t>Efficiency Carryover Mechanism</w:t>
            </w:r>
          </w:p>
        </w:tc>
      </w:tr>
      <w:tr w:rsidR="00C257CB" w:rsidTr="00C257CB">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257CB" w:rsidRPr="00C257CB" w:rsidRDefault="00C257CB" w:rsidP="00C257CB">
            <w:pPr>
              <w:numPr>
                <w:ilvl w:val="0"/>
                <w:numId w:val="24"/>
              </w:numPr>
            </w:pPr>
            <w:r w:rsidRPr="00C257CB">
              <w:t>EIL</w:t>
            </w:r>
          </w:p>
        </w:tc>
        <w:tc>
          <w:tcPr>
            <w:tcW w:w="5041" w:type="dxa"/>
            <w:tcBorders>
              <w:top w:val="nil"/>
              <w:left w:val="nil"/>
              <w:bottom w:val="nil"/>
              <w:right w:val="nil"/>
            </w:tcBorders>
            <w:hideMark/>
          </w:tcPr>
          <w:p w:rsidR="00C257CB" w:rsidRPr="00C257CB" w:rsidRDefault="00C257CB" w:rsidP="00C257CB">
            <w:pPr>
              <w:cnfStyle w:val="000000000000" w:firstRow="0" w:lastRow="0" w:firstColumn="0" w:lastColumn="0" w:oddVBand="0" w:evenVBand="0" w:oddHBand="0" w:evenHBand="0" w:firstRowFirstColumn="0" w:firstRowLastColumn="0" w:lastRowFirstColumn="0" w:lastRowLastColumn="0"/>
            </w:pPr>
            <w:r w:rsidRPr="00C257CB">
              <w:t>Energy Industry Levy</w:t>
            </w:r>
          </w:p>
        </w:tc>
      </w:tr>
      <w:tr w:rsidR="00C257CB" w:rsidTr="00C257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257CB" w:rsidRPr="00C257CB" w:rsidRDefault="00C257CB" w:rsidP="00C257CB">
            <w:pPr>
              <w:numPr>
                <w:ilvl w:val="0"/>
                <w:numId w:val="24"/>
              </w:numPr>
            </w:pPr>
            <w:r w:rsidRPr="00C257CB">
              <w:t>ERP</w:t>
            </w:r>
          </w:p>
        </w:tc>
        <w:tc>
          <w:tcPr>
            <w:tcW w:w="5041" w:type="dxa"/>
            <w:tcBorders>
              <w:top w:val="nil"/>
              <w:left w:val="nil"/>
              <w:bottom w:val="nil"/>
              <w:right w:val="nil"/>
            </w:tcBorders>
            <w:hideMark/>
          </w:tcPr>
          <w:p w:rsidR="00C257CB" w:rsidRPr="00C257CB" w:rsidRDefault="00C257CB" w:rsidP="00C257CB">
            <w:pPr>
              <w:numPr>
                <w:ilvl w:val="0"/>
                <w:numId w:val="24"/>
              </w:numPr>
              <w:cnfStyle w:val="000000010000" w:firstRow="0" w:lastRow="0" w:firstColumn="0" w:lastColumn="0" w:oddVBand="0" w:evenVBand="0" w:oddHBand="0" w:evenHBand="1" w:firstRowFirstColumn="0" w:firstRowLastColumn="0" w:lastRowFirstColumn="0" w:lastRowLastColumn="0"/>
            </w:pPr>
            <w:r w:rsidRPr="00C257CB">
              <w:t>equity risk premium</w:t>
            </w:r>
          </w:p>
        </w:tc>
      </w:tr>
      <w:tr w:rsidR="00C257CB" w:rsidTr="00C257CB">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257CB" w:rsidRPr="00C257CB" w:rsidRDefault="00C257CB" w:rsidP="00C257CB">
            <w:pPr>
              <w:numPr>
                <w:ilvl w:val="0"/>
                <w:numId w:val="24"/>
              </w:numPr>
            </w:pPr>
            <w:r w:rsidRPr="00C257CB">
              <w:t>Expenditure Guideline</w:t>
            </w:r>
          </w:p>
        </w:tc>
        <w:tc>
          <w:tcPr>
            <w:tcW w:w="5041" w:type="dxa"/>
            <w:tcBorders>
              <w:top w:val="nil"/>
              <w:left w:val="nil"/>
              <w:bottom w:val="nil"/>
              <w:right w:val="nil"/>
            </w:tcBorders>
            <w:hideMark/>
          </w:tcPr>
          <w:p w:rsidR="00C257CB" w:rsidRPr="00C257CB" w:rsidRDefault="00C257CB" w:rsidP="00C257CB">
            <w:pPr>
              <w:cnfStyle w:val="000000000000" w:firstRow="0" w:lastRow="0" w:firstColumn="0" w:lastColumn="0" w:oddVBand="0" w:evenVBand="0" w:oddHBand="0" w:evenHBand="0" w:firstRowFirstColumn="0" w:firstRowLastColumn="0" w:lastRowFirstColumn="0" w:lastRowLastColumn="0"/>
            </w:pPr>
            <w:r w:rsidRPr="00C257CB">
              <w:t>Expenditure Forecast Assessment Guideline</w:t>
            </w:r>
          </w:p>
        </w:tc>
      </w:tr>
      <w:tr w:rsidR="00C257CB" w:rsidTr="00C257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257CB" w:rsidRPr="00C257CB" w:rsidRDefault="00C257CB" w:rsidP="00C257CB">
            <w:pPr>
              <w:numPr>
                <w:ilvl w:val="0"/>
                <w:numId w:val="24"/>
              </w:numPr>
            </w:pPr>
            <w:r w:rsidRPr="00C257CB">
              <w:t>gamma</w:t>
            </w:r>
          </w:p>
        </w:tc>
        <w:tc>
          <w:tcPr>
            <w:tcW w:w="5041" w:type="dxa"/>
            <w:tcBorders>
              <w:top w:val="nil"/>
              <w:left w:val="nil"/>
              <w:bottom w:val="nil"/>
              <w:right w:val="nil"/>
            </w:tcBorders>
            <w:hideMark/>
          </w:tcPr>
          <w:p w:rsidR="00C257CB" w:rsidRPr="00C257CB" w:rsidRDefault="00C257CB" w:rsidP="00C257CB">
            <w:pPr>
              <w:cnfStyle w:val="000000010000" w:firstRow="0" w:lastRow="0" w:firstColumn="0" w:lastColumn="0" w:oddVBand="0" w:evenVBand="0" w:oddHBand="0" w:evenHBand="1" w:firstRowFirstColumn="0" w:firstRowLastColumn="0" w:lastRowFirstColumn="0" w:lastRowLastColumn="0"/>
            </w:pPr>
            <w:r w:rsidRPr="00C257CB">
              <w:t>value of imputation credits</w:t>
            </w:r>
          </w:p>
        </w:tc>
      </w:tr>
      <w:tr w:rsidR="00C257CB" w:rsidTr="00C257CB">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257CB" w:rsidRPr="00C257CB" w:rsidRDefault="00C257CB" w:rsidP="00C257CB">
            <w:pPr>
              <w:numPr>
                <w:ilvl w:val="0"/>
                <w:numId w:val="24"/>
              </w:numPr>
            </w:pPr>
            <w:r w:rsidRPr="00C257CB">
              <w:t>GSL</w:t>
            </w:r>
          </w:p>
        </w:tc>
        <w:tc>
          <w:tcPr>
            <w:tcW w:w="5041" w:type="dxa"/>
            <w:tcBorders>
              <w:top w:val="nil"/>
              <w:left w:val="nil"/>
              <w:bottom w:val="nil"/>
              <w:right w:val="nil"/>
            </w:tcBorders>
            <w:hideMark/>
          </w:tcPr>
          <w:p w:rsidR="00C257CB" w:rsidRPr="00C257CB" w:rsidRDefault="00C257CB" w:rsidP="00C257CB">
            <w:pPr>
              <w:cnfStyle w:val="000000000000" w:firstRow="0" w:lastRow="0" w:firstColumn="0" w:lastColumn="0" w:oddVBand="0" w:evenVBand="0" w:oddHBand="0" w:evenHBand="0" w:firstRowFirstColumn="0" w:firstRowLastColumn="0" w:lastRowFirstColumn="0" w:lastRowLastColumn="0"/>
            </w:pPr>
            <w:r w:rsidRPr="00C257CB">
              <w:t>Guaranteed Service Level</w:t>
            </w:r>
          </w:p>
        </w:tc>
      </w:tr>
      <w:tr w:rsidR="00C257CB" w:rsidTr="00C257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257CB" w:rsidRPr="00C257CB" w:rsidRDefault="00C257CB" w:rsidP="00C257CB">
            <w:pPr>
              <w:numPr>
                <w:ilvl w:val="0"/>
                <w:numId w:val="24"/>
              </w:numPr>
            </w:pPr>
            <w:r w:rsidRPr="00C257CB">
              <w:t>GTA</w:t>
            </w:r>
          </w:p>
        </w:tc>
        <w:tc>
          <w:tcPr>
            <w:tcW w:w="5041" w:type="dxa"/>
            <w:tcBorders>
              <w:top w:val="nil"/>
              <w:left w:val="nil"/>
              <w:bottom w:val="nil"/>
              <w:right w:val="nil"/>
            </w:tcBorders>
            <w:hideMark/>
          </w:tcPr>
          <w:p w:rsidR="00C257CB" w:rsidRPr="00C257CB" w:rsidRDefault="00C257CB" w:rsidP="00C257CB">
            <w:pPr>
              <w:cnfStyle w:val="000000010000" w:firstRow="0" w:lastRow="0" w:firstColumn="0" w:lastColumn="0" w:oddVBand="0" w:evenVBand="0" w:oddHBand="0" w:evenHBand="1" w:firstRowFirstColumn="0" w:firstRowLastColumn="0" w:lastRowFirstColumn="0" w:lastRowLastColumn="0"/>
            </w:pPr>
            <w:r w:rsidRPr="00C257CB">
              <w:t>Gas Transport Services Agreement</w:t>
            </w:r>
          </w:p>
        </w:tc>
      </w:tr>
      <w:tr w:rsidR="00C257CB" w:rsidTr="00C257CB">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257CB" w:rsidRPr="00C257CB" w:rsidRDefault="00C257CB" w:rsidP="00C257CB">
            <w:pPr>
              <w:numPr>
                <w:ilvl w:val="0"/>
                <w:numId w:val="24"/>
              </w:numPr>
            </w:pPr>
            <w:r w:rsidRPr="00C257CB">
              <w:t>ICRC</w:t>
            </w:r>
          </w:p>
        </w:tc>
        <w:tc>
          <w:tcPr>
            <w:tcW w:w="5041" w:type="dxa"/>
            <w:tcBorders>
              <w:top w:val="nil"/>
              <w:left w:val="nil"/>
              <w:bottom w:val="nil"/>
              <w:right w:val="nil"/>
            </w:tcBorders>
            <w:hideMark/>
          </w:tcPr>
          <w:p w:rsidR="00C257CB" w:rsidRPr="00C257CB" w:rsidRDefault="00C257CB" w:rsidP="00C257CB">
            <w:pPr>
              <w:cnfStyle w:val="000000000000" w:firstRow="0" w:lastRow="0" w:firstColumn="0" w:lastColumn="0" w:oddVBand="0" w:evenVBand="0" w:oddHBand="0" w:evenHBand="0" w:firstRowFirstColumn="0" w:firstRowLastColumn="0" w:lastRowFirstColumn="0" w:lastRowLastColumn="0"/>
            </w:pPr>
            <w:r w:rsidRPr="00C257CB">
              <w:t>Independent Competition and Regulatory Commission</w:t>
            </w:r>
          </w:p>
        </w:tc>
      </w:tr>
      <w:tr w:rsidR="00C257CB" w:rsidTr="00C257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257CB" w:rsidRPr="00C257CB" w:rsidRDefault="00C257CB" w:rsidP="00C257CB">
            <w:pPr>
              <w:numPr>
                <w:ilvl w:val="0"/>
                <w:numId w:val="24"/>
              </w:numPr>
            </w:pPr>
            <w:r w:rsidRPr="00C257CB">
              <w:t>MRP</w:t>
            </w:r>
          </w:p>
        </w:tc>
        <w:tc>
          <w:tcPr>
            <w:tcW w:w="5041" w:type="dxa"/>
            <w:tcBorders>
              <w:top w:val="nil"/>
              <w:left w:val="nil"/>
              <w:bottom w:val="nil"/>
              <w:right w:val="nil"/>
            </w:tcBorders>
            <w:hideMark/>
          </w:tcPr>
          <w:p w:rsidR="00C257CB" w:rsidRPr="00C257CB" w:rsidRDefault="00C257CB" w:rsidP="00C257CB">
            <w:pPr>
              <w:numPr>
                <w:ilvl w:val="0"/>
                <w:numId w:val="24"/>
              </w:numPr>
              <w:cnfStyle w:val="000000010000" w:firstRow="0" w:lastRow="0" w:firstColumn="0" w:lastColumn="0" w:oddVBand="0" w:evenVBand="0" w:oddHBand="0" w:evenHBand="1" w:firstRowFirstColumn="0" w:firstRowLastColumn="0" w:lastRowFirstColumn="0" w:lastRowLastColumn="0"/>
            </w:pPr>
            <w:r w:rsidRPr="00C257CB">
              <w:t>market risk premium</w:t>
            </w:r>
          </w:p>
        </w:tc>
      </w:tr>
      <w:tr w:rsidR="00C257CB" w:rsidTr="00C257CB">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257CB" w:rsidRPr="00C257CB" w:rsidRDefault="00C257CB" w:rsidP="00C257CB">
            <w:pPr>
              <w:numPr>
                <w:ilvl w:val="0"/>
                <w:numId w:val="24"/>
              </w:numPr>
            </w:pPr>
            <w:r w:rsidRPr="00C257CB">
              <w:t>NECF</w:t>
            </w:r>
          </w:p>
        </w:tc>
        <w:tc>
          <w:tcPr>
            <w:tcW w:w="5041" w:type="dxa"/>
            <w:tcBorders>
              <w:top w:val="nil"/>
              <w:left w:val="nil"/>
              <w:bottom w:val="nil"/>
              <w:right w:val="nil"/>
            </w:tcBorders>
            <w:hideMark/>
          </w:tcPr>
          <w:p w:rsidR="00C257CB" w:rsidRPr="00C257CB" w:rsidRDefault="00C257CB" w:rsidP="00C257CB">
            <w:pPr>
              <w:cnfStyle w:val="000000000000" w:firstRow="0" w:lastRow="0" w:firstColumn="0" w:lastColumn="0" w:oddVBand="0" w:evenVBand="0" w:oddHBand="0" w:evenHBand="0" w:firstRowFirstColumn="0" w:firstRowLastColumn="0" w:lastRowFirstColumn="0" w:lastRowLastColumn="0"/>
            </w:pPr>
            <w:r w:rsidRPr="00C257CB">
              <w:t>National Energy Customer Framework</w:t>
            </w:r>
          </w:p>
        </w:tc>
      </w:tr>
      <w:tr w:rsidR="00C257CB" w:rsidTr="00C257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257CB" w:rsidRPr="00C257CB" w:rsidRDefault="00C257CB" w:rsidP="00C257CB">
            <w:pPr>
              <w:numPr>
                <w:ilvl w:val="0"/>
                <w:numId w:val="24"/>
              </w:numPr>
            </w:pPr>
            <w:r w:rsidRPr="00C257CB">
              <w:t>NERL</w:t>
            </w:r>
          </w:p>
        </w:tc>
        <w:tc>
          <w:tcPr>
            <w:tcW w:w="5041" w:type="dxa"/>
            <w:tcBorders>
              <w:top w:val="nil"/>
              <w:left w:val="nil"/>
              <w:bottom w:val="nil"/>
              <w:right w:val="nil"/>
            </w:tcBorders>
            <w:hideMark/>
          </w:tcPr>
          <w:p w:rsidR="00C257CB" w:rsidRPr="00C257CB" w:rsidRDefault="00C257CB" w:rsidP="00C257CB">
            <w:pPr>
              <w:cnfStyle w:val="000000010000" w:firstRow="0" w:lastRow="0" w:firstColumn="0" w:lastColumn="0" w:oddVBand="0" w:evenVBand="0" w:oddHBand="0" w:evenHBand="1" w:firstRowFirstColumn="0" w:firstRowLastColumn="0" w:lastRowFirstColumn="0" w:lastRowLastColumn="0"/>
            </w:pPr>
            <w:r w:rsidRPr="00C257CB">
              <w:t>National Energy Retail Law</w:t>
            </w:r>
          </w:p>
        </w:tc>
      </w:tr>
      <w:tr w:rsidR="00C257CB" w:rsidTr="00C257CB">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257CB" w:rsidRPr="00C257CB" w:rsidRDefault="00C257CB" w:rsidP="00C257CB">
            <w:pPr>
              <w:numPr>
                <w:ilvl w:val="0"/>
                <w:numId w:val="24"/>
              </w:numPr>
            </w:pPr>
            <w:r w:rsidRPr="00C257CB">
              <w:t>NERR</w:t>
            </w:r>
          </w:p>
        </w:tc>
        <w:tc>
          <w:tcPr>
            <w:tcW w:w="5041" w:type="dxa"/>
            <w:tcBorders>
              <w:top w:val="nil"/>
              <w:left w:val="nil"/>
              <w:bottom w:val="nil"/>
              <w:right w:val="nil"/>
            </w:tcBorders>
            <w:hideMark/>
          </w:tcPr>
          <w:p w:rsidR="00C257CB" w:rsidRPr="00C257CB" w:rsidRDefault="00C257CB" w:rsidP="00C257CB">
            <w:pPr>
              <w:numPr>
                <w:ilvl w:val="0"/>
                <w:numId w:val="24"/>
              </w:numPr>
              <w:cnfStyle w:val="000000000000" w:firstRow="0" w:lastRow="0" w:firstColumn="0" w:lastColumn="0" w:oddVBand="0" w:evenVBand="0" w:oddHBand="0" w:evenHBand="0" w:firstRowFirstColumn="0" w:firstRowLastColumn="0" w:lastRowFirstColumn="0" w:lastRowLastColumn="0"/>
            </w:pPr>
            <w:r w:rsidRPr="00C257CB">
              <w:t>National Energy Retail Rules</w:t>
            </w:r>
          </w:p>
        </w:tc>
      </w:tr>
      <w:tr w:rsidR="00C257CB" w:rsidTr="00C257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257CB" w:rsidRPr="00C257CB" w:rsidRDefault="00C257CB" w:rsidP="00C257CB">
            <w:pPr>
              <w:numPr>
                <w:ilvl w:val="0"/>
                <w:numId w:val="24"/>
              </w:numPr>
            </w:pPr>
            <w:r w:rsidRPr="00C257CB">
              <w:t>NGL</w:t>
            </w:r>
          </w:p>
        </w:tc>
        <w:tc>
          <w:tcPr>
            <w:tcW w:w="5041" w:type="dxa"/>
            <w:tcBorders>
              <w:top w:val="nil"/>
              <w:left w:val="nil"/>
              <w:bottom w:val="nil"/>
              <w:right w:val="nil"/>
            </w:tcBorders>
            <w:hideMark/>
          </w:tcPr>
          <w:p w:rsidR="00C257CB" w:rsidRPr="00C257CB" w:rsidRDefault="00C257CB" w:rsidP="00C257CB">
            <w:pPr>
              <w:numPr>
                <w:ilvl w:val="0"/>
                <w:numId w:val="24"/>
              </w:numPr>
              <w:cnfStyle w:val="000000010000" w:firstRow="0" w:lastRow="0" w:firstColumn="0" w:lastColumn="0" w:oddVBand="0" w:evenVBand="0" w:oddHBand="0" w:evenHBand="1" w:firstRowFirstColumn="0" w:firstRowLastColumn="0" w:lastRowFirstColumn="0" w:lastRowLastColumn="0"/>
            </w:pPr>
            <w:r w:rsidRPr="00C257CB">
              <w:t>National Gas Law</w:t>
            </w:r>
          </w:p>
        </w:tc>
      </w:tr>
      <w:tr w:rsidR="00C257CB" w:rsidTr="00C257CB">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257CB" w:rsidRPr="00C257CB" w:rsidRDefault="00C257CB" w:rsidP="00C257CB">
            <w:pPr>
              <w:numPr>
                <w:ilvl w:val="0"/>
                <w:numId w:val="24"/>
              </w:numPr>
            </w:pPr>
            <w:r w:rsidRPr="00C257CB">
              <w:t>NGO</w:t>
            </w:r>
          </w:p>
        </w:tc>
        <w:tc>
          <w:tcPr>
            <w:tcW w:w="5041" w:type="dxa"/>
            <w:tcBorders>
              <w:top w:val="nil"/>
              <w:left w:val="nil"/>
              <w:bottom w:val="nil"/>
              <w:right w:val="nil"/>
            </w:tcBorders>
            <w:hideMark/>
          </w:tcPr>
          <w:p w:rsidR="00C257CB" w:rsidRPr="00C257CB" w:rsidRDefault="00C257CB" w:rsidP="00C257CB">
            <w:pPr>
              <w:numPr>
                <w:ilvl w:val="0"/>
                <w:numId w:val="24"/>
              </w:numPr>
              <w:cnfStyle w:val="000000000000" w:firstRow="0" w:lastRow="0" w:firstColumn="0" w:lastColumn="0" w:oddVBand="0" w:evenVBand="0" w:oddHBand="0" w:evenHBand="0" w:firstRowFirstColumn="0" w:firstRowLastColumn="0" w:lastRowFirstColumn="0" w:lastRowLastColumn="0"/>
            </w:pPr>
            <w:r w:rsidRPr="00C257CB">
              <w:t>National Gas Objective</w:t>
            </w:r>
          </w:p>
        </w:tc>
      </w:tr>
      <w:tr w:rsidR="00C257CB" w:rsidTr="00C257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257CB" w:rsidRPr="00C257CB" w:rsidRDefault="00C257CB" w:rsidP="00C257CB">
            <w:pPr>
              <w:numPr>
                <w:ilvl w:val="0"/>
                <w:numId w:val="24"/>
              </w:numPr>
            </w:pPr>
            <w:r w:rsidRPr="00C257CB">
              <w:t>NGR</w:t>
            </w:r>
          </w:p>
        </w:tc>
        <w:tc>
          <w:tcPr>
            <w:tcW w:w="5041" w:type="dxa"/>
            <w:tcBorders>
              <w:top w:val="nil"/>
              <w:left w:val="nil"/>
              <w:bottom w:val="nil"/>
              <w:right w:val="nil"/>
            </w:tcBorders>
            <w:hideMark/>
          </w:tcPr>
          <w:p w:rsidR="00C257CB" w:rsidRPr="00C257CB" w:rsidRDefault="00C257CB" w:rsidP="00C257CB">
            <w:pPr>
              <w:numPr>
                <w:ilvl w:val="0"/>
                <w:numId w:val="24"/>
              </w:numPr>
              <w:cnfStyle w:val="000000010000" w:firstRow="0" w:lastRow="0" w:firstColumn="0" w:lastColumn="0" w:oddVBand="0" w:evenVBand="0" w:oddHBand="0" w:evenHBand="1" w:firstRowFirstColumn="0" w:firstRowLastColumn="0" w:lastRowFirstColumn="0" w:lastRowLastColumn="0"/>
            </w:pPr>
            <w:r w:rsidRPr="00C257CB">
              <w:t>National Gas Rules</w:t>
            </w:r>
          </w:p>
        </w:tc>
      </w:tr>
      <w:tr w:rsidR="00C257CB" w:rsidTr="00C257CB">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257CB" w:rsidRPr="00C257CB" w:rsidRDefault="00C257CB" w:rsidP="00C257CB">
            <w:pPr>
              <w:numPr>
                <w:ilvl w:val="0"/>
                <w:numId w:val="24"/>
              </w:numPr>
            </w:pPr>
            <w:r w:rsidRPr="00C257CB">
              <w:t>NPV</w:t>
            </w:r>
          </w:p>
        </w:tc>
        <w:tc>
          <w:tcPr>
            <w:tcW w:w="5041" w:type="dxa"/>
            <w:tcBorders>
              <w:top w:val="nil"/>
              <w:left w:val="nil"/>
              <w:bottom w:val="nil"/>
              <w:right w:val="nil"/>
            </w:tcBorders>
            <w:hideMark/>
          </w:tcPr>
          <w:p w:rsidR="00C257CB" w:rsidRPr="00C257CB" w:rsidRDefault="00C257CB" w:rsidP="00C257CB">
            <w:pPr>
              <w:cnfStyle w:val="000000000000" w:firstRow="0" w:lastRow="0" w:firstColumn="0" w:lastColumn="0" w:oddVBand="0" w:evenVBand="0" w:oddHBand="0" w:evenHBand="0" w:firstRowFirstColumn="0" w:firstRowLastColumn="0" w:lastRowFirstColumn="0" w:lastRowLastColumn="0"/>
            </w:pPr>
            <w:r w:rsidRPr="00C257CB">
              <w:t>net present value</w:t>
            </w:r>
          </w:p>
        </w:tc>
      </w:tr>
      <w:tr w:rsidR="00C257CB" w:rsidTr="00C257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257CB" w:rsidRPr="00C257CB" w:rsidRDefault="00C257CB" w:rsidP="00C257CB">
            <w:pPr>
              <w:numPr>
                <w:ilvl w:val="0"/>
                <w:numId w:val="24"/>
              </w:numPr>
            </w:pPr>
            <w:r w:rsidRPr="00C257CB">
              <w:t>opex</w:t>
            </w:r>
          </w:p>
        </w:tc>
        <w:tc>
          <w:tcPr>
            <w:tcW w:w="5041" w:type="dxa"/>
            <w:tcBorders>
              <w:top w:val="nil"/>
              <w:left w:val="nil"/>
              <w:bottom w:val="nil"/>
              <w:right w:val="nil"/>
            </w:tcBorders>
            <w:hideMark/>
          </w:tcPr>
          <w:p w:rsidR="00C257CB" w:rsidRPr="00C257CB" w:rsidRDefault="00C257CB" w:rsidP="00C257CB">
            <w:pPr>
              <w:numPr>
                <w:ilvl w:val="0"/>
                <w:numId w:val="24"/>
              </w:numPr>
              <w:cnfStyle w:val="000000010000" w:firstRow="0" w:lastRow="0" w:firstColumn="0" w:lastColumn="0" w:oddVBand="0" w:evenVBand="0" w:oddHBand="0" w:evenHBand="1" w:firstRowFirstColumn="0" w:firstRowLastColumn="0" w:lastRowFirstColumn="0" w:lastRowLastColumn="0"/>
            </w:pPr>
            <w:r w:rsidRPr="00C257CB">
              <w:t>operating expenditure</w:t>
            </w:r>
          </w:p>
        </w:tc>
      </w:tr>
      <w:tr w:rsidR="00C257CB" w:rsidTr="00C257CB">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257CB" w:rsidRPr="00C257CB" w:rsidRDefault="00C257CB" w:rsidP="00C257CB">
            <w:pPr>
              <w:numPr>
                <w:ilvl w:val="0"/>
                <w:numId w:val="24"/>
              </w:numPr>
            </w:pPr>
            <w:r w:rsidRPr="00C257CB">
              <w:t>PFP</w:t>
            </w:r>
          </w:p>
        </w:tc>
        <w:tc>
          <w:tcPr>
            <w:tcW w:w="5041" w:type="dxa"/>
            <w:tcBorders>
              <w:top w:val="nil"/>
              <w:left w:val="nil"/>
              <w:bottom w:val="nil"/>
              <w:right w:val="nil"/>
            </w:tcBorders>
            <w:hideMark/>
          </w:tcPr>
          <w:p w:rsidR="00C257CB" w:rsidRPr="00C257CB" w:rsidRDefault="00C257CB" w:rsidP="00C257CB">
            <w:pPr>
              <w:cnfStyle w:val="000000000000" w:firstRow="0" w:lastRow="0" w:firstColumn="0" w:lastColumn="0" w:oddVBand="0" w:evenVBand="0" w:oddHBand="0" w:evenHBand="0" w:firstRowFirstColumn="0" w:firstRowLastColumn="0" w:lastRowFirstColumn="0" w:lastRowLastColumn="0"/>
            </w:pPr>
            <w:r w:rsidRPr="00C257CB">
              <w:t>partial factor productivity</w:t>
            </w:r>
          </w:p>
        </w:tc>
      </w:tr>
      <w:tr w:rsidR="00C257CB" w:rsidTr="00C257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257CB" w:rsidRPr="00C257CB" w:rsidRDefault="00C257CB" w:rsidP="00C257CB">
            <w:pPr>
              <w:numPr>
                <w:ilvl w:val="0"/>
                <w:numId w:val="24"/>
              </w:numPr>
            </w:pPr>
            <w:r w:rsidRPr="00C257CB">
              <w:t>PPI</w:t>
            </w:r>
          </w:p>
        </w:tc>
        <w:tc>
          <w:tcPr>
            <w:tcW w:w="5041" w:type="dxa"/>
            <w:tcBorders>
              <w:top w:val="nil"/>
              <w:left w:val="nil"/>
              <w:bottom w:val="nil"/>
              <w:right w:val="nil"/>
            </w:tcBorders>
            <w:hideMark/>
          </w:tcPr>
          <w:p w:rsidR="00C257CB" w:rsidRPr="00C257CB" w:rsidRDefault="00C257CB" w:rsidP="00C257CB">
            <w:pPr>
              <w:numPr>
                <w:ilvl w:val="0"/>
                <w:numId w:val="24"/>
              </w:numPr>
              <w:cnfStyle w:val="000000010000" w:firstRow="0" w:lastRow="0" w:firstColumn="0" w:lastColumn="0" w:oddVBand="0" w:evenVBand="0" w:oddHBand="0" w:evenHBand="1" w:firstRowFirstColumn="0" w:firstRowLastColumn="0" w:lastRowFirstColumn="0" w:lastRowLastColumn="0"/>
            </w:pPr>
            <w:r w:rsidRPr="00C257CB">
              <w:t>partial performance indicators</w:t>
            </w:r>
          </w:p>
        </w:tc>
      </w:tr>
      <w:tr w:rsidR="00C257CB" w:rsidTr="00C257CB">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257CB" w:rsidRPr="00C257CB" w:rsidRDefault="00C257CB" w:rsidP="00C257CB">
            <w:pPr>
              <w:numPr>
                <w:ilvl w:val="0"/>
                <w:numId w:val="24"/>
              </w:numPr>
            </w:pPr>
            <w:r w:rsidRPr="00C257CB">
              <w:t>PTRM</w:t>
            </w:r>
          </w:p>
        </w:tc>
        <w:tc>
          <w:tcPr>
            <w:tcW w:w="5041" w:type="dxa"/>
            <w:tcBorders>
              <w:top w:val="nil"/>
              <w:left w:val="nil"/>
              <w:bottom w:val="nil"/>
              <w:right w:val="nil"/>
            </w:tcBorders>
            <w:hideMark/>
          </w:tcPr>
          <w:p w:rsidR="00C257CB" w:rsidRPr="00C257CB" w:rsidRDefault="00C257CB" w:rsidP="00C257CB">
            <w:pPr>
              <w:numPr>
                <w:ilvl w:val="0"/>
                <w:numId w:val="24"/>
              </w:numPr>
              <w:cnfStyle w:val="000000000000" w:firstRow="0" w:lastRow="0" w:firstColumn="0" w:lastColumn="0" w:oddVBand="0" w:evenVBand="0" w:oddHBand="0" w:evenHBand="0" w:firstRowFirstColumn="0" w:firstRowLastColumn="0" w:lastRowFirstColumn="0" w:lastRowLastColumn="0"/>
            </w:pPr>
            <w:r w:rsidRPr="00C257CB">
              <w:t>post-tax revenue model</w:t>
            </w:r>
          </w:p>
        </w:tc>
      </w:tr>
      <w:tr w:rsidR="00C257CB" w:rsidTr="00C257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257CB" w:rsidRPr="00C257CB" w:rsidRDefault="00C257CB" w:rsidP="00C257CB">
            <w:pPr>
              <w:numPr>
                <w:ilvl w:val="0"/>
                <w:numId w:val="24"/>
              </w:numPr>
            </w:pPr>
            <w:r w:rsidRPr="00C257CB">
              <w:t>RBA</w:t>
            </w:r>
          </w:p>
        </w:tc>
        <w:tc>
          <w:tcPr>
            <w:tcW w:w="5041" w:type="dxa"/>
            <w:tcBorders>
              <w:top w:val="nil"/>
              <w:left w:val="nil"/>
              <w:bottom w:val="nil"/>
              <w:right w:val="nil"/>
            </w:tcBorders>
            <w:hideMark/>
          </w:tcPr>
          <w:p w:rsidR="00C257CB" w:rsidRPr="00C257CB" w:rsidRDefault="00C257CB" w:rsidP="00C257CB">
            <w:pPr>
              <w:numPr>
                <w:ilvl w:val="0"/>
                <w:numId w:val="24"/>
              </w:numPr>
              <w:cnfStyle w:val="000000010000" w:firstRow="0" w:lastRow="0" w:firstColumn="0" w:lastColumn="0" w:oddVBand="0" w:evenVBand="0" w:oddHBand="0" w:evenHBand="1" w:firstRowFirstColumn="0" w:firstRowLastColumn="0" w:lastRowFirstColumn="0" w:lastRowLastColumn="0"/>
            </w:pPr>
            <w:r w:rsidRPr="00C257CB">
              <w:t>Reserve Bank of Australia</w:t>
            </w:r>
          </w:p>
        </w:tc>
      </w:tr>
      <w:tr w:rsidR="00C257CB" w:rsidTr="00C257CB">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257CB" w:rsidRPr="00C257CB" w:rsidRDefault="00C257CB" w:rsidP="00C257CB">
            <w:pPr>
              <w:numPr>
                <w:ilvl w:val="0"/>
                <w:numId w:val="24"/>
              </w:numPr>
            </w:pPr>
            <w:r w:rsidRPr="00C257CB">
              <w:t>RFM</w:t>
            </w:r>
          </w:p>
        </w:tc>
        <w:tc>
          <w:tcPr>
            <w:tcW w:w="5041" w:type="dxa"/>
            <w:tcBorders>
              <w:top w:val="nil"/>
              <w:left w:val="nil"/>
              <w:bottom w:val="nil"/>
              <w:right w:val="nil"/>
            </w:tcBorders>
            <w:hideMark/>
          </w:tcPr>
          <w:p w:rsidR="00C257CB" w:rsidRPr="00C257CB" w:rsidRDefault="00C257CB" w:rsidP="00C257CB">
            <w:pPr>
              <w:numPr>
                <w:ilvl w:val="0"/>
                <w:numId w:val="24"/>
              </w:numPr>
              <w:cnfStyle w:val="000000000000" w:firstRow="0" w:lastRow="0" w:firstColumn="0" w:lastColumn="0" w:oddVBand="0" w:evenVBand="0" w:oddHBand="0" w:evenHBand="0" w:firstRowFirstColumn="0" w:firstRowLastColumn="0" w:lastRowFirstColumn="0" w:lastRowLastColumn="0"/>
            </w:pPr>
            <w:r w:rsidRPr="00C257CB">
              <w:t>roll forward model</w:t>
            </w:r>
          </w:p>
        </w:tc>
      </w:tr>
      <w:tr w:rsidR="00C257CB" w:rsidTr="00C257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257CB" w:rsidRPr="00C257CB" w:rsidRDefault="00C257CB" w:rsidP="00C257CB">
            <w:pPr>
              <w:numPr>
                <w:ilvl w:val="0"/>
                <w:numId w:val="24"/>
              </w:numPr>
            </w:pPr>
            <w:r w:rsidRPr="00C257CB">
              <w:t>RIN</w:t>
            </w:r>
          </w:p>
        </w:tc>
        <w:tc>
          <w:tcPr>
            <w:tcW w:w="5041" w:type="dxa"/>
            <w:tcBorders>
              <w:top w:val="nil"/>
              <w:left w:val="nil"/>
              <w:bottom w:val="nil"/>
              <w:right w:val="nil"/>
            </w:tcBorders>
            <w:hideMark/>
          </w:tcPr>
          <w:p w:rsidR="00C257CB" w:rsidRPr="00C257CB" w:rsidRDefault="00C257CB" w:rsidP="00C257CB">
            <w:pPr>
              <w:numPr>
                <w:ilvl w:val="0"/>
                <w:numId w:val="24"/>
              </w:numPr>
              <w:cnfStyle w:val="000000010000" w:firstRow="0" w:lastRow="0" w:firstColumn="0" w:lastColumn="0" w:oddVBand="0" w:evenVBand="0" w:oddHBand="0" w:evenHBand="1" w:firstRowFirstColumn="0" w:firstRowLastColumn="0" w:lastRowFirstColumn="0" w:lastRowLastColumn="0"/>
            </w:pPr>
            <w:r w:rsidRPr="00C257CB">
              <w:t>regulatory information notice</w:t>
            </w:r>
          </w:p>
        </w:tc>
      </w:tr>
      <w:tr w:rsidR="00C257CB" w:rsidTr="00C257CB">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257CB" w:rsidRPr="00C257CB" w:rsidRDefault="00C257CB" w:rsidP="00C257CB">
            <w:pPr>
              <w:numPr>
                <w:ilvl w:val="0"/>
                <w:numId w:val="24"/>
              </w:numPr>
            </w:pPr>
            <w:proofErr w:type="spellStart"/>
            <w:r w:rsidRPr="00C257CB">
              <w:t>RoLR</w:t>
            </w:r>
            <w:proofErr w:type="spellEnd"/>
          </w:p>
        </w:tc>
        <w:tc>
          <w:tcPr>
            <w:tcW w:w="5041" w:type="dxa"/>
            <w:tcBorders>
              <w:top w:val="nil"/>
              <w:left w:val="nil"/>
              <w:bottom w:val="nil"/>
              <w:right w:val="nil"/>
            </w:tcBorders>
            <w:hideMark/>
          </w:tcPr>
          <w:p w:rsidR="00C257CB" w:rsidRPr="00C257CB" w:rsidRDefault="00C257CB" w:rsidP="00C257CB">
            <w:pPr>
              <w:cnfStyle w:val="000000000000" w:firstRow="0" w:lastRow="0" w:firstColumn="0" w:lastColumn="0" w:oddVBand="0" w:evenVBand="0" w:oddHBand="0" w:evenHBand="0" w:firstRowFirstColumn="0" w:firstRowLastColumn="0" w:lastRowFirstColumn="0" w:lastRowLastColumn="0"/>
            </w:pPr>
            <w:r w:rsidRPr="00C257CB">
              <w:t>retailer of last resort</w:t>
            </w:r>
          </w:p>
        </w:tc>
      </w:tr>
      <w:tr w:rsidR="00C257CB" w:rsidTr="00C257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257CB" w:rsidRPr="00C257CB" w:rsidRDefault="00C257CB" w:rsidP="00C257CB">
            <w:pPr>
              <w:numPr>
                <w:ilvl w:val="0"/>
                <w:numId w:val="24"/>
              </w:numPr>
            </w:pPr>
            <w:r w:rsidRPr="00C257CB">
              <w:t>RSA</w:t>
            </w:r>
          </w:p>
        </w:tc>
        <w:tc>
          <w:tcPr>
            <w:tcW w:w="5041" w:type="dxa"/>
            <w:tcBorders>
              <w:top w:val="nil"/>
              <w:left w:val="nil"/>
              <w:bottom w:val="nil"/>
              <w:right w:val="nil"/>
            </w:tcBorders>
            <w:hideMark/>
          </w:tcPr>
          <w:p w:rsidR="00C257CB" w:rsidRPr="00C257CB" w:rsidRDefault="00C257CB" w:rsidP="00C257CB">
            <w:pPr>
              <w:cnfStyle w:val="000000010000" w:firstRow="0" w:lastRow="0" w:firstColumn="0" w:lastColumn="0" w:oddVBand="0" w:evenVBand="0" w:oddHBand="0" w:evenHBand="1" w:firstRowFirstColumn="0" w:firstRowLastColumn="0" w:lastRowFirstColumn="0" w:lastRowLastColumn="0"/>
            </w:pPr>
            <w:r w:rsidRPr="00C257CB">
              <w:t>Reference Service Agreement</w:t>
            </w:r>
          </w:p>
        </w:tc>
      </w:tr>
      <w:tr w:rsidR="00C257CB" w:rsidTr="00C257CB">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257CB" w:rsidRPr="00C257CB" w:rsidRDefault="00C257CB" w:rsidP="00C257CB">
            <w:pPr>
              <w:numPr>
                <w:ilvl w:val="0"/>
                <w:numId w:val="24"/>
              </w:numPr>
            </w:pPr>
            <w:r w:rsidRPr="00C257CB">
              <w:t>RPP</w:t>
            </w:r>
          </w:p>
        </w:tc>
        <w:tc>
          <w:tcPr>
            <w:tcW w:w="5041" w:type="dxa"/>
            <w:tcBorders>
              <w:top w:val="nil"/>
              <w:left w:val="nil"/>
              <w:bottom w:val="nil"/>
              <w:right w:val="nil"/>
            </w:tcBorders>
            <w:hideMark/>
          </w:tcPr>
          <w:p w:rsidR="00C257CB" w:rsidRPr="00C257CB" w:rsidRDefault="00C257CB" w:rsidP="00C257CB">
            <w:pPr>
              <w:numPr>
                <w:ilvl w:val="0"/>
                <w:numId w:val="24"/>
              </w:numPr>
              <w:cnfStyle w:val="000000000000" w:firstRow="0" w:lastRow="0" w:firstColumn="0" w:lastColumn="0" w:oddVBand="0" w:evenVBand="0" w:oddHBand="0" w:evenHBand="0" w:firstRowFirstColumn="0" w:firstRowLastColumn="0" w:lastRowFirstColumn="0" w:lastRowLastColumn="0"/>
            </w:pPr>
            <w:r w:rsidRPr="00C257CB">
              <w:t>revenue and pricing principles</w:t>
            </w:r>
          </w:p>
        </w:tc>
      </w:tr>
      <w:tr w:rsidR="00C257CB" w:rsidTr="00C257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257CB" w:rsidRPr="00C257CB" w:rsidRDefault="00C257CB" w:rsidP="00C257CB">
            <w:pPr>
              <w:numPr>
                <w:ilvl w:val="0"/>
                <w:numId w:val="24"/>
              </w:numPr>
            </w:pPr>
            <w:r w:rsidRPr="00C257CB">
              <w:t>SLCAPM</w:t>
            </w:r>
          </w:p>
        </w:tc>
        <w:tc>
          <w:tcPr>
            <w:tcW w:w="5041" w:type="dxa"/>
            <w:tcBorders>
              <w:top w:val="nil"/>
              <w:left w:val="nil"/>
              <w:bottom w:val="nil"/>
              <w:right w:val="nil"/>
            </w:tcBorders>
            <w:hideMark/>
          </w:tcPr>
          <w:p w:rsidR="00C257CB" w:rsidRPr="00C257CB" w:rsidRDefault="00C257CB" w:rsidP="00C257CB">
            <w:pPr>
              <w:numPr>
                <w:ilvl w:val="0"/>
                <w:numId w:val="24"/>
              </w:numPr>
              <w:cnfStyle w:val="000000010000" w:firstRow="0" w:lastRow="0" w:firstColumn="0" w:lastColumn="0" w:oddVBand="0" w:evenVBand="0" w:oddHBand="0" w:evenHBand="1" w:firstRowFirstColumn="0" w:firstRowLastColumn="0" w:lastRowFirstColumn="0" w:lastRowLastColumn="0"/>
            </w:pPr>
            <w:r w:rsidRPr="00C257CB">
              <w:t>Sharpe-</w:t>
            </w:r>
            <w:proofErr w:type="spellStart"/>
            <w:r w:rsidRPr="00C257CB">
              <w:t>Lintner</w:t>
            </w:r>
            <w:proofErr w:type="spellEnd"/>
            <w:r w:rsidRPr="00C257CB">
              <w:t xml:space="preserve"> capital asset pricing model</w:t>
            </w:r>
          </w:p>
        </w:tc>
      </w:tr>
      <w:tr w:rsidR="00C257CB" w:rsidTr="00C257CB">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257CB" w:rsidRPr="00C257CB" w:rsidRDefault="00C257CB" w:rsidP="00C257CB">
            <w:pPr>
              <w:numPr>
                <w:ilvl w:val="0"/>
                <w:numId w:val="24"/>
              </w:numPr>
            </w:pPr>
            <w:r w:rsidRPr="00C257CB">
              <w:t>STTM</w:t>
            </w:r>
          </w:p>
        </w:tc>
        <w:tc>
          <w:tcPr>
            <w:tcW w:w="5041" w:type="dxa"/>
            <w:tcBorders>
              <w:top w:val="nil"/>
              <w:left w:val="nil"/>
              <w:bottom w:val="nil"/>
              <w:right w:val="nil"/>
            </w:tcBorders>
            <w:hideMark/>
          </w:tcPr>
          <w:p w:rsidR="00C257CB" w:rsidRPr="00C257CB" w:rsidRDefault="00C257CB" w:rsidP="00C257CB">
            <w:pPr>
              <w:cnfStyle w:val="000000000000" w:firstRow="0" w:lastRow="0" w:firstColumn="0" w:lastColumn="0" w:oddVBand="0" w:evenVBand="0" w:oddHBand="0" w:evenHBand="0" w:firstRowFirstColumn="0" w:firstRowLastColumn="0" w:lastRowFirstColumn="0" w:lastRowLastColumn="0"/>
            </w:pPr>
            <w:r w:rsidRPr="00C257CB">
              <w:t>Short Term Trading Market</w:t>
            </w:r>
          </w:p>
        </w:tc>
      </w:tr>
      <w:tr w:rsidR="00C257CB" w:rsidTr="00C257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257CB" w:rsidRPr="00C257CB" w:rsidRDefault="00C257CB" w:rsidP="00C257CB">
            <w:pPr>
              <w:numPr>
                <w:ilvl w:val="0"/>
                <w:numId w:val="24"/>
              </w:numPr>
            </w:pPr>
            <w:r w:rsidRPr="00C257CB">
              <w:t>TAB</w:t>
            </w:r>
          </w:p>
        </w:tc>
        <w:tc>
          <w:tcPr>
            <w:tcW w:w="5041" w:type="dxa"/>
            <w:tcBorders>
              <w:top w:val="nil"/>
              <w:left w:val="nil"/>
              <w:bottom w:val="nil"/>
              <w:right w:val="nil"/>
            </w:tcBorders>
            <w:hideMark/>
          </w:tcPr>
          <w:p w:rsidR="00C257CB" w:rsidRPr="00C257CB" w:rsidRDefault="00C257CB" w:rsidP="00C257CB">
            <w:pPr>
              <w:cnfStyle w:val="000000010000" w:firstRow="0" w:lastRow="0" w:firstColumn="0" w:lastColumn="0" w:oddVBand="0" w:evenVBand="0" w:oddHBand="0" w:evenHBand="1" w:firstRowFirstColumn="0" w:firstRowLastColumn="0" w:lastRowFirstColumn="0" w:lastRowLastColumn="0"/>
            </w:pPr>
            <w:r w:rsidRPr="00C257CB">
              <w:t>tax asset base</w:t>
            </w:r>
          </w:p>
        </w:tc>
      </w:tr>
      <w:tr w:rsidR="00C257CB" w:rsidTr="00C257CB">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257CB" w:rsidRPr="00C257CB" w:rsidRDefault="00C257CB" w:rsidP="00C257CB">
            <w:pPr>
              <w:numPr>
                <w:ilvl w:val="0"/>
                <w:numId w:val="24"/>
              </w:numPr>
            </w:pPr>
            <w:r w:rsidRPr="00C257CB">
              <w:t>UAFG</w:t>
            </w:r>
          </w:p>
        </w:tc>
        <w:tc>
          <w:tcPr>
            <w:tcW w:w="5041" w:type="dxa"/>
            <w:tcBorders>
              <w:top w:val="nil"/>
              <w:left w:val="nil"/>
              <w:bottom w:val="nil"/>
              <w:right w:val="nil"/>
            </w:tcBorders>
            <w:hideMark/>
          </w:tcPr>
          <w:p w:rsidR="00C257CB" w:rsidRPr="00C257CB" w:rsidRDefault="00C257CB" w:rsidP="00C257CB">
            <w:pPr>
              <w:cnfStyle w:val="000000000000" w:firstRow="0" w:lastRow="0" w:firstColumn="0" w:lastColumn="0" w:oddVBand="0" w:evenVBand="0" w:oddHBand="0" w:evenHBand="0" w:firstRowFirstColumn="0" w:firstRowLastColumn="0" w:lastRowFirstColumn="0" w:lastRowLastColumn="0"/>
            </w:pPr>
            <w:r w:rsidRPr="00C257CB">
              <w:t>unaccounted for gas</w:t>
            </w:r>
          </w:p>
        </w:tc>
      </w:tr>
      <w:tr w:rsidR="00C257CB" w:rsidTr="00C257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257CB" w:rsidRPr="00C257CB" w:rsidRDefault="00C257CB" w:rsidP="00C257CB">
            <w:pPr>
              <w:numPr>
                <w:ilvl w:val="0"/>
                <w:numId w:val="24"/>
              </w:numPr>
            </w:pPr>
            <w:r w:rsidRPr="00C257CB">
              <w:t>UNFT</w:t>
            </w:r>
          </w:p>
        </w:tc>
        <w:tc>
          <w:tcPr>
            <w:tcW w:w="5041" w:type="dxa"/>
            <w:tcBorders>
              <w:top w:val="nil"/>
              <w:left w:val="nil"/>
              <w:bottom w:val="nil"/>
              <w:right w:val="nil"/>
            </w:tcBorders>
            <w:hideMark/>
          </w:tcPr>
          <w:p w:rsidR="00C257CB" w:rsidRPr="00C257CB" w:rsidRDefault="00C257CB" w:rsidP="00C257CB">
            <w:pPr>
              <w:cnfStyle w:val="000000010000" w:firstRow="0" w:lastRow="0" w:firstColumn="0" w:lastColumn="0" w:oddVBand="0" w:evenVBand="0" w:oddHBand="0" w:evenHBand="1" w:firstRowFirstColumn="0" w:firstRowLastColumn="0" w:lastRowFirstColumn="0" w:lastRowLastColumn="0"/>
            </w:pPr>
            <w:r w:rsidRPr="00C257CB">
              <w:t>Utilities Network Facilities Tax</w:t>
            </w:r>
          </w:p>
        </w:tc>
      </w:tr>
      <w:tr w:rsidR="00C257CB" w:rsidTr="00C257CB">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C257CB" w:rsidRPr="00C257CB" w:rsidRDefault="00C257CB" w:rsidP="00C257CB">
            <w:pPr>
              <w:numPr>
                <w:ilvl w:val="0"/>
                <w:numId w:val="24"/>
              </w:numPr>
            </w:pPr>
            <w:r w:rsidRPr="00C257CB">
              <w:t>WACC</w:t>
            </w:r>
          </w:p>
        </w:tc>
        <w:tc>
          <w:tcPr>
            <w:tcW w:w="5041" w:type="dxa"/>
            <w:tcBorders>
              <w:top w:val="nil"/>
              <w:left w:val="nil"/>
              <w:bottom w:val="nil"/>
              <w:right w:val="nil"/>
            </w:tcBorders>
            <w:hideMark/>
          </w:tcPr>
          <w:p w:rsidR="00C257CB" w:rsidRPr="00C257CB" w:rsidRDefault="00C257CB" w:rsidP="00C257CB">
            <w:pPr>
              <w:numPr>
                <w:ilvl w:val="0"/>
                <w:numId w:val="24"/>
              </w:numPr>
              <w:cnfStyle w:val="000000000000" w:firstRow="0" w:lastRow="0" w:firstColumn="0" w:lastColumn="0" w:oddVBand="0" w:evenVBand="0" w:oddHBand="0" w:evenHBand="0" w:firstRowFirstColumn="0" w:firstRowLastColumn="0" w:lastRowFirstColumn="0" w:lastRowLastColumn="0"/>
            </w:pPr>
            <w:r w:rsidRPr="00C257CB">
              <w:t>weighted average cost of capital</w:t>
            </w:r>
          </w:p>
        </w:tc>
      </w:tr>
      <w:tr w:rsidR="00C257CB" w:rsidTr="00C257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single" w:sz="4" w:space="0" w:color="365F91"/>
              <w:right w:val="nil"/>
            </w:tcBorders>
            <w:hideMark/>
          </w:tcPr>
          <w:p w:rsidR="00C257CB" w:rsidRPr="00C257CB" w:rsidRDefault="00C257CB" w:rsidP="00C257CB">
            <w:pPr>
              <w:numPr>
                <w:ilvl w:val="0"/>
                <w:numId w:val="24"/>
              </w:numPr>
            </w:pPr>
            <w:r w:rsidRPr="00C257CB">
              <w:t>WPI</w:t>
            </w:r>
          </w:p>
        </w:tc>
        <w:tc>
          <w:tcPr>
            <w:tcW w:w="5041" w:type="dxa"/>
            <w:tcBorders>
              <w:top w:val="nil"/>
              <w:left w:val="nil"/>
              <w:bottom w:val="single" w:sz="4" w:space="0" w:color="365F91"/>
              <w:right w:val="nil"/>
            </w:tcBorders>
            <w:hideMark/>
          </w:tcPr>
          <w:p w:rsidR="00C257CB" w:rsidRPr="00C257CB" w:rsidRDefault="00C257CB" w:rsidP="00C257CB">
            <w:pPr>
              <w:cnfStyle w:val="000000010000" w:firstRow="0" w:lastRow="0" w:firstColumn="0" w:lastColumn="0" w:oddVBand="0" w:evenVBand="0" w:oddHBand="0" w:evenHBand="1" w:firstRowFirstColumn="0" w:firstRowLastColumn="0" w:lastRowFirstColumn="0" w:lastRowLastColumn="0"/>
            </w:pPr>
            <w:r w:rsidRPr="00C257CB">
              <w:t>Wage Price Index</w:t>
            </w:r>
          </w:p>
        </w:tc>
      </w:tr>
    </w:tbl>
    <w:p w:rsidR="00C257CB" w:rsidRPr="00C257CB" w:rsidRDefault="00C257CB" w:rsidP="00C257CB"/>
    <w:p w:rsidR="00DE563D" w:rsidRDefault="009D2B38" w:rsidP="00301F1F">
      <w:pPr>
        <w:pStyle w:val="Heading1"/>
      </w:pPr>
      <w:bookmarkStart w:id="9" w:name="_Toc451762331"/>
      <w:r>
        <w:t xml:space="preserve">Reference tariff </w:t>
      </w:r>
      <w:r w:rsidR="00CF598F">
        <w:t>setting</w:t>
      </w:r>
      <w:bookmarkEnd w:id="9"/>
    </w:p>
    <w:p w:rsidR="000A59A7" w:rsidRPr="00C722AA" w:rsidRDefault="000A59A7" w:rsidP="000A59A7">
      <w:r w:rsidRPr="00C722AA">
        <w:t>This attachment outlines our assessment of the r</w:t>
      </w:r>
      <w:r>
        <w:t>eference tariffs proposed by ActewAGL Distribution (ActewAGL)</w:t>
      </w:r>
      <w:r w:rsidRPr="00C722AA">
        <w:t xml:space="preserve"> against the requirements of the N</w:t>
      </w:r>
      <w:r>
        <w:t xml:space="preserve">ational </w:t>
      </w:r>
      <w:r w:rsidRPr="00C722AA">
        <w:t>G</w:t>
      </w:r>
      <w:r>
        <w:t xml:space="preserve">as </w:t>
      </w:r>
      <w:r w:rsidRPr="00C722AA">
        <w:t>R</w:t>
      </w:r>
      <w:r>
        <w:t>ules</w:t>
      </w:r>
      <w:r w:rsidR="00732369">
        <w:t xml:space="preserve"> (NGR)</w:t>
      </w:r>
      <w:r w:rsidRPr="00C722AA">
        <w:t>. Our assessment focuses on the structure of reference tariffs and takes into account the revenue and pricing principles.</w:t>
      </w:r>
      <w:r>
        <w:rPr>
          <w:rStyle w:val="FootnoteReference"/>
        </w:rPr>
        <w:footnoteReference w:id="1"/>
      </w:r>
    </w:p>
    <w:p w:rsidR="00A2303E" w:rsidRDefault="00A2303E" w:rsidP="00A2303E">
      <w:pPr>
        <w:pStyle w:val="Heading2"/>
      </w:pPr>
      <w:bookmarkStart w:id="10" w:name="_Toc408404320"/>
      <w:bookmarkStart w:id="11" w:name="_Toc419366913"/>
      <w:bookmarkStart w:id="12" w:name="_Toc451762332"/>
      <w:r>
        <w:t>Final</w:t>
      </w:r>
      <w:r w:rsidRPr="0074565D">
        <w:t xml:space="preserve"> decision</w:t>
      </w:r>
      <w:bookmarkEnd w:id="10"/>
      <w:bookmarkEnd w:id="11"/>
      <w:bookmarkEnd w:id="12"/>
    </w:p>
    <w:p w:rsidR="00A62F2E" w:rsidRDefault="002D59C4" w:rsidP="00A62F2E">
      <w:r>
        <w:t>For the reasons set out in</w:t>
      </w:r>
      <w:r w:rsidR="00A62F2E">
        <w:t xml:space="preserve"> our draft decision, we accept ActewAGL's </w:t>
      </w:r>
      <w:r w:rsidR="00A62F2E" w:rsidRPr="00A62F2E">
        <w:t xml:space="preserve">proposed structure of reference tariffs for the 2016–21 access arrangement </w:t>
      </w:r>
      <w:proofErr w:type="gramStart"/>
      <w:r w:rsidR="00A62F2E" w:rsidRPr="00A62F2E">
        <w:t>period</w:t>
      </w:r>
      <w:proofErr w:type="gramEnd"/>
      <w:r w:rsidR="00A62F2E" w:rsidRPr="00A62F2E">
        <w:t>. We are satisfied the proposed structure of the reference tariffs complies with the requirements of the NGR.</w:t>
      </w:r>
      <w:r w:rsidR="00A62F2E">
        <w:rPr>
          <w:rStyle w:val="FootnoteReference"/>
        </w:rPr>
        <w:footnoteReference w:id="2"/>
      </w:r>
    </w:p>
    <w:p w:rsidR="002D59C4" w:rsidRDefault="00A62F2E" w:rsidP="002D59C4">
      <w:r w:rsidRPr="00A62F2E">
        <w:t>Nevertheless, the quantum of the proposed reference tariffs</w:t>
      </w:r>
      <w:r w:rsidR="002D59C4">
        <w:t xml:space="preserve"> must be amended to reflect our final decision forecast demand and </w:t>
      </w:r>
      <w:r w:rsidRPr="00A62F2E">
        <w:t xml:space="preserve">revised revenue allowance set out in this </w:t>
      </w:r>
      <w:r w:rsidR="008937CB">
        <w:t xml:space="preserve">final </w:t>
      </w:r>
      <w:r w:rsidRPr="00A62F2E">
        <w:t>decision.</w:t>
      </w:r>
      <w:r w:rsidR="002D59C4">
        <w:t xml:space="preserve"> Our revisions are reflected in schedule 3</w:t>
      </w:r>
      <w:r w:rsidR="002D59C4" w:rsidRPr="00546678">
        <w:t xml:space="preserve"> of the </w:t>
      </w:r>
      <w:r w:rsidR="002D59C4" w:rsidRPr="0019333B">
        <w:rPr>
          <w:rStyle w:val="Emphasis"/>
        </w:rPr>
        <w:t>Approved Access arrangement for the ACT, Queanbeyan and Palerang gas distribution network 1 July 2016 - 30 June 2021</w:t>
      </w:r>
      <w:r w:rsidR="002D59C4" w:rsidRPr="0019333B">
        <w:t xml:space="preserve">, </w:t>
      </w:r>
      <w:r w:rsidR="002D59C4">
        <w:t>which gives effect to this decision.</w:t>
      </w:r>
    </w:p>
    <w:p w:rsidR="00A62F2E" w:rsidRPr="00A62F2E" w:rsidRDefault="00732369" w:rsidP="00A62F2E">
      <w:r>
        <w:t>As in o</w:t>
      </w:r>
      <w:r w:rsidR="006F621F">
        <w:t>ur draft decision</w:t>
      </w:r>
      <w:r>
        <w:t>, we</w:t>
      </w:r>
      <w:r w:rsidR="006F621F">
        <w:t xml:space="preserve"> also approve </w:t>
      </w:r>
      <w:r w:rsidR="00A62F2E" w:rsidRPr="00A62F2E">
        <w:t>ActewAGL</w:t>
      </w:r>
      <w:r w:rsidR="006F621F">
        <w:t xml:space="preserve">'s proposal </w:t>
      </w:r>
      <w:r w:rsidR="00A62F2E" w:rsidRPr="00A62F2E">
        <w:t>to introduce and withdraw reference tariffs classes and tariffs after commencement of the 2016–21 access arrangement but only where they have been pre-approved by us.</w:t>
      </w:r>
    </w:p>
    <w:p w:rsidR="00A2303E" w:rsidRDefault="00DE50D7" w:rsidP="00A2303E">
      <w:pPr>
        <w:pStyle w:val="Heading2"/>
      </w:pPr>
      <w:bookmarkStart w:id="13" w:name="_Toc419366914"/>
      <w:bookmarkStart w:id="14" w:name="_Toc451762333"/>
      <w:r>
        <w:t>ActewAGL</w:t>
      </w:r>
      <w:r w:rsidR="00A2303E">
        <w:t>’s</w:t>
      </w:r>
      <w:r w:rsidR="00312F0A">
        <w:t xml:space="preserve"> revised</w:t>
      </w:r>
      <w:r w:rsidR="00A2303E">
        <w:t xml:space="preserve"> proposal</w:t>
      </w:r>
      <w:bookmarkEnd w:id="13"/>
      <w:bookmarkEnd w:id="14"/>
    </w:p>
    <w:p w:rsidR="00973B99" w:rsidRDefault="00A62F2E" w:rsidP="00A62F2E">
      <w:r>
        <w:t>Actew</w:t>
      </w:r>
      <w:r w:rsidR="00973B99">
        <w:t>AGL</w:t>
      </w:r>
      <w:r w:rsidR="00732369">
        <w:t>’s revised proposal</w:t>
      </w:r>
      <w:r w:rsidR="00973B99">
        <w:t xml:space="preserve"> accepted our draft decision</w:t>
      </w:r>
      <w:r w:rsidR="00732369">
        <w:t>. I</w:t>
      </w:r>
      <w:r w:rsidR="00973B99">
        <w:t xml:space="preserve">ts </w:t>
      </w:r>
      <w:r w:rsidR="00973B99" w:rsidRPr="00973B99">
        <w:t xml:space="preserve">revised proposal did not contain any changes to </w:t>
      </w:r>
      <w:r w:rsidR="00732369">
        <w:t>the</w:t>
      </w:r>
      <w:r w:rsidR="00732369" w:rsidRPr="00973B99">
        <w:t xml:space="preserve"> </w:t>
      </w:r>
      <w:r w:rsidR="00973B99" w:rsidRPr="00973B99">
        <w:t>proposed structure of reference tariffs a</w:t>
      </w:r>
      <w:r w:rsidR="00973B99">
        <w:t>pproved in our draft decision.</w:t>
      </w:r>
      <w:r w:rsidR="00973B99">
        <w:rPr>
          <w:rStyle w:val="FootnoteReference"/>
        </w:rPr>
        <w:footnoteReference w:id="3"/>
      </w:r>
    </w:p>
    <w:p w:rsidR="00973B99" w:rsidRPr="00973B99" w:rsidRDefault="00973B99" w:rsidP="00973B99">
      <w:r>
        <w:t>ActewAGL</w:t>
      </w:r>
      <w:r w:rsidR="003857ED">
        <w:t>'s initial</w:t>
      </w:r>
      <w:r>
        <w:t xml:space="preserve"> </w:t>
      </w:r>
      <w:r w:rsidR="003857ED">
        <w:t>proposal contained</w:t>
      </w:r>
      <w:r w:rsidRPr="00973B99">
        <w:t xml:space="preserve"> significant changes to its reference tariffs for the 2016–21 access arrangement </w:t>
      </w:r>
      <w:proofErr w:type="gramStart"/>
      <w:r w:rsidRPr="00973B99">
        <w:t>period</w:t>
      </w:r>
      <w:proofErr w:type="gramEnd"/>
      <w:r w:rsidRPr="00973B99">
        <w:t>. It considered the changes:</w:t>
      </w:r>
    </w:p>
    <w:p w:rsidR="00973B99" w:rsidRPr="00973B99" w:rsidRDefault="00973B99" w:rsidP="00973B99">
      <w:pPr>
        <w:pStyle w:val="AERbulletlistfirststyle"/>
      </w:pPr>
      <w:r w:rsidRPr="00973B99">
        <w:t>simplifie</w:t>
      </w:r>
      <w:r w:rsidR="00732369">
        <w:t>d</w:t>
      </w:r>
      <w:r w:rsidRPr="00973B99">
        <w:t xml:space="preserve"> the charge components</w:t>
      </w:r>
    </w:p>
    <w:p w:rsidR="00973B99" w:rsidRPr="00973B99" w:rsidRDefault="00973B99" w:rsidP="00973B99">
      <w:pPr>
        <w:pStyle w:val="AERbulletlistfirststyle"/>
      </w:pPr>
      <w:r w:rsidRPr="00973B99">
        <w:t>create</w:t>
      </w:r>
      <w:r w:rsidR="00732369">
        <w:t>d</w:t>
      </w:r>
      <w:r w:rsidRPr="00973B99">
        <w:t xml:space="preserve"> a tariff structure that recognises differences in which consumers use gas</w:t>
      </w:r>
    </w:p>
    <w:p w:rsidR="00973B99" w:rsidRPr="00973B99" w:rsidRDefault="00973B99" w:rsidP="00973B99">
      <w:pPr>
        <w:pStyle w:val="AERbulletlistfirststyle"/>
      </w:pPr>
      <w:r w:rsidRPr="00973B99">
        <w:t>provide</w:t>
      </w:r>
      <w:r w:rsidR="00732369">
        <w:t>d</w:t>
      </w:r>
      <w:r w:rsidRPr="00973B99">
        <w:t xml:space="preserve"> customers with cost reflective tariffs that encourage the efficient use and growth of the network overtime</w:t>
      </w:r>
    </w:p>
    <w:p w:rsidR="00973B99" w:rsidRPr="00973B99" w:rsidRDefault="00973B99" w:rsidP="00973B99">
      <w:pPr>
        <w:pStyle w:val="AERbulletlistfirststyle"/>
      </w:pPr>
      <w:r w:rsidRPr="00973B99">
        <w:t>streamline</w:t>
      </w:r>
      <w:r w:rsidR="00732369">
        <w:t>d</w:t>
      </w:r>
      <w:r w:rsidRPr="00973B99">
        <w:t xml:space="preserve"> the process for major customers to seek additional gas capacity on the network, and</w:t>
      </w:r>
    </w:p>
    <w:p w:rsidR="00973B99" w:rsidRPr="00973B99" w:rsidRDefault="00973B99" w:rsidP="00973B99">
      <w:pPr>
        <w:pStyle w:val="AERbulletlistfirststyle"/>
      </w:pPr>
      <w:proofErr w:type="gramStart"/>
      <w:r w:rsidRPr="00973B99">
        <w:t>create</w:t>
      </w:r>
      <w:r w:rsidR="00732369">
        <w:t>d</w:t>
      </w:r>
      <w:proofErr w:type="gramEnd"/>
      <w:r w:rsidRPr="00973B99">
        <w:t xml:space="preserve"> a tariff assignment process to enable customers to respond t</w:t>
      </w:r>
      <w:r>
        <w:t>o ActewAGL’s reference tariffs.</w:t>
      </w:r>
      <w:r>
        <w:rPr>
          <w:rStyle w:val="FootnoteReference"/>
        </w:rPr>
        <w:footnoteReference w:id="4"/>
      </w:r>
    </w:p>
    <w:p w:rsidR="00973B99" w:rsidRPr="00A62F2E" w:rsidRDefault="003857ED" w:rsidP="00973B99">
      <w:r>
        <w:t>ActewAGL’s proposal also contained a new</w:t>
      </w:r>
      <w:r w:rsidR="00973B99" w:rsidRPr="00973B99">
        <w:t xml:space="preserve"> ancillary reference service for the decommissioning and removal of meters.</w:t>
      </w:r>
      <w:r>
        <w:rPr>
          <w:rStyle w:val="FootnoteReference"/>
        </w:rPr>
        <w:footnoteReference w:id="5"/>
      </w:r>
    </w:p>
    <w:p w:rsidR="00A2303E" w:rsidRDefault="00A2303E" w:rsidP="00A2303E">
      <w:pPr>
        <w:pStyle w:val="Heading2"/>
      </w:pPr>
      <w:bookmarkStart w:id="15" w:name="_Toc408404322"/>
      <w:bookmarkStart w:id="16" w:name="_Toc419366915"/>
      <w:bookmarkStart w:id="17" w:name="_Toc451762334"/>
      <w:r w:rsidRPr="0074565D">
        <w:t>AER’s assessment approach</w:t>
      </w:r>
      <w:bookmarkEnd w:id="15"/>
      <w:bookmarkEnd w:id="16"/>
      <w:bookmarkEnd w:id="17"/>
    </w:p>
    <w:p w:rsidR="000A59A7" w:rsidRDefault="000A59A7" w:rsidP="000A59A7">
      <w:r w:rsidRPr="00BB330E">
        <w:t>In a</w:t>
      </w:r>
      <w:r>
        <w:t>n</w:t>
      </w:r>
      <w:r w:rsidRPr="00BB330E">
        <w:t xml:space="preserve"> access arrangement, a service provider is required to specify for each reference service the reference tariff and the proposed approach to the setting </w:t>
      </w:r>
      <w:r w:rsidR="00D272AC">
        <w:t xml:space="preserve">of </w:t>
      </w:r>
      <w:r w:rsidRPr="00BB330E">
        <w:t>reference tariffs.</w:t>
      </w:r>
      <w:r>
        <w:rPr>
          <w:rStyle w:val="FootnoteReference"/>
        </w:rPr>
        <w:footnoteReference w:id="6"/>
      </w:r>
      <w:r w:rsidRPr="00BB330E">
        <w:t xml:space="preserve"> This is done by:</w:t>
      </w:r>
    </w:p>
    <w:p w:rsidR="000A59A7" w:rsidRPr="000A59A7" w:rsidRDefault="000A59A7" w:rsidP="000A59A7">
      <w:pPr>
        <w:pStyle w:val="AERbulletlistfirststyle"/>
      </w:pPr>
      <w:r w:rsidRPr="00BB330E">
        <w:t xml:space="preserve">explaining how revenues and costs are allocated, including the </w:t>
      </w:r>
      <w:r w:rsidRPr="000A59A7">
        <w:t>relationship between costs and tariffs</w:t>
      </w:r>
      <w:r w:rsidRPr="000A59A7">
        <w:rPr>
          <w:rStyle w:val="FootnoteReference"/>
        </w:rPr>
        <w:footnoteReference w:id="7"/>
      </w:r>
    </w:p>
    <w:p w:rsidR="000A59A7" w:rsidRPr="000A59A7" w:rsidRDefault="000A59A7" w:rsidP="000A59A7">
      <w:pPr>
        <w:pStyle w:val="AERbulletlistfirststyle"/>
      </w:pPr>
      <w:r>
        <w:t>d</w:t>
      </w:r>
      <w:r w:rsidRPr="000A59A7">
        <w:t>efining the tariff classes</w:t>
      </w:r>
      <w:r w:rsidRPr="000A59A7">
        <w:rPr>
          <w:rStyle w:val="FootnoteReference"/>
        </w:rPr>
        <w:footnoteReference w:id="8"/>
      </w:r>
    </w:p>
    <w:p w:rsidR="000A59A7" w:rsidRPr="000A59A7" w:rsidRDefault="000A59A7" w:rsidP="000A59A7">
      <w:pPr>
        <w:pStyle w:val="AERbulletlistfirststyle"/>
      </w:pPr>
      <w:r w:rsidRPr="00BB330E">
        <w:t>comparing the revenue to be raised by each reference tariff with the cost of providing each individual reference service</w:t>
      </w:r>
      <w:r w:rsidRPr="000A59A7">
        <w:rPr>
          <w:rStyle w:val="FootnoteReference"/>
        </w:rPr>
        <w:footnoteReference w:id="9"/>
      </w:r>
    </w:p>
    <w:p w:rsidR="000A59A7" w:rsidRPr="000A59A7" w:rsidRDefault="000A59A7" w:rsidP="000A59A7">
      <w:pPr>
        <w:pStyle w:val="AERbulletlistfirststyle"/>
      </w:pPr>
      <w:proofErr w:type="gramStart"/>
      <w:r w:rsidRPr="00BB330E">
        <w:t>explaining</w:t>
      </w:r>
      <w:proofErr w:type="gramEnd"/>
      <w:r w:rsidRPr="00BB330E">
        <w:t xml:space="preserve"> and describing any pricing principles it employed</w:t>
      </w:r>
      <w:r w:rsidRPr="000A59A7">
        <w:t>.</w:t>
      </w:r>
      <w:r w:rsidRPr="000A59A7">
        <w:rPr>
          <w:rStyle w:val="FootnoteReference"/>
        </w:rPr>
        <w:footnoteReference w:id="10"/>
      </w:r>
      <w:r w:rsidR="00D272AC" w:rsidRPr="00095166">
        <w:rPr>
          <w:rStyle w:val="AERsuperscript"/>
        </w:rPr>
        <w:t>,</w:t>
      </w:r>
      <w:r w:rsidRPr="000A59A7">
        <w:rPr>
          <w:rStyle w:val="FootnoteReference"/>
        </w:rPr>
        <w:footnoteReference w:id="11"/>
      </w:r>
    </w:p>
    <w:p w:rsidR="000A59A7" w:rsidRPr="00BB330E" w:rsidRDefault="000A59A7" w:rsidP="000A59A7">
      <w:r>
        <w:t>We are required to assess ActewAGL’s</w:t>
      </w:r>
      <w:r w:rsidRPr="00BB330E">
        <w:t xml:space="preserve"> proposed reference tar</w:t>
      </w:r>
      <w:r>
        <w:t xml:space="preserve">iffs. Where we do not accept them, </w:t>
      </w:r>
      <w:r w:rsidRPr="00BB330E">
        <w:t>we must determine the initial reference tariffs</w:t>
      </w:r>
      <w:r>
        <w:t xml:space="preserve"> to apply for each reference service</w:t>
      </w:r>
      <w:r w:rsidRPr="00BB330E">
        <w:t>.</w:t>
      </w:r>
    </w:p>
    <w:p w:rsidR="000A59A7" w:rsidRDefault="000A59A7" w:rsidP="000A59A7">
      <w:r w:rsidRPr="00BB330E">
        <w:t>In our assessment of the proposed r</w:t>
      </w:r>
      <w:r>
        <w:t>eference tariff</w:t>
      </w:r>
      <w:r w:rsidR="00DD5690">
        <w:t>s</w:t>
      </w:r>
      <w:r>
        <w:t>, we reviewed ActewAGL</w:t>
      </w:r>
      <w:r w:rsidRPr="00BB330E">
        <w:t>'s:</w:t>
      </w:r>
    </w:p>
    <w:p w:rsidR="000A59A7" w:rsidRPr="000A59A7" w:rsidRDefault="000A59A7" w:rsidP="000A59A7">
      <w:pPr>
        <w:pStyle w:val="AERbulletlistfirststyle"/>
      </w:pPr>
      <w:r>
        <w:t>access arrangement information</w:t>
      </w:r>
      <w:r w:rsidRPr="000A59A7">
        <w:rPr>
          <w:rStyle w:val="FootnoteReference"/>
        </w:rPr>
        <w:footnoteReference w:id="12"/>
      </w:r>
    </w:p>
    <w:p w:rsidR="000A59A7" w:rsidRPr="000A59A7" w:rsidRDefault="000A59A7" w:rsidP="000A59A7">
      <w:pPr>
        <w:pStyle w:val="AERbulletlistfirststyle"/>
      </w:pPr>
      <w:r>
        <w:t>access arrangement proposal</w:t>
      </w:r>
      <w:r w:rsidRPr="000A59A7">
        <w:rPr>
          <w:rStyle w:val="FootnoteReference"/>
        </w:rPr>
        <w:footnoteReference w:id="13"/>
      </w:r>
    </w:p>
    <w:p w:rsidR="000A59A7" w:rsidRPr="000A59A7" w:rsidRDefault="000A59A7" w:rsidP="000A59A7">
      <w:pPr>
        <w:pStyle w:val="AERbulletlistfirststyle"/>
      </w:pPr>
      <w:r>
        <w:t>tariff structure</w:t>
      </w:r>
      <w:r w:rsidR="00C7389D">
        <w:t>s</w:t>
      </w:r>
      <w:r>
        <w:t xml:space="preserve"> statement</w:t>
      </w:r>
      <w:r w:rsidRPr="000A59A7">
        <w:rPr>
          <w:rStyle w:val="FootnoteReference"/>
        </w:rPr>
        <w:footnoteReference w:id="14"/>
      </w:r>
    </w:p>
    <w:p w:rsidR="000A59A7" w:rsidRPr="000A59A7" w:rsidRDefault="000A59A7" w:rsidP="000A59A7">
      <w:pPr>
        <w:pStyle w:val="AERbulletlistfirststyle"/>
      </w:pPr>
      <w:proofErr w:type="gramStart"/>
      <w:r>
        <w:t>explanation</w:t>
      </w:r>
      <w:proofErr w:type="gramEnd"/>
      <w:r>
        <w:t xml:space="preserve"> of proposed revisions to the 2010 access arrangement.</w:t>
      </w:r>
    </w:p>
    <w:p w:rsidR="000A59A7" w:rsidRDefault="000A59A7" w:rsidP="000A59A7">
      <w:r>
        <w:t>We also had regard to submissions received in the course of our consultation on the proposed access arrangement.</w:t>
      </w:r>
      <w:r>
        <w:rPr>
          <w:rStyle w:val="FootnoteReference"/>
        </w:rPr>
        <w:footnoteReference w:id="15"/>
      </w:r>
    </w:p>
    <w:p w:rsidR="000A59A7" w:rsidRPr="008C5837" w:rsidRDefault="000A59A7" w:rsidP="00095166">
      <w:pPr>
        <w:pStyle w:val="HeadingBoldBlue"/>
        <w:keepNext/>
      </w:pPr>
      <w:bookmarkStart w:id="18" w:name="_Toc435442872"/>
      <w:bookmarkStart w:id="19" w:name="_Toc435442911"/>
      <w:r w:rsidRPr="008C5837">
        <w:t>Identifying the reference service</w:t>
      </w:r>
      <w:bookmarkEnd w:id="18"/>
      <w:bookmarkEnd w:id="19"/>
    </w:p>
    <w:p w:rsidR="000A59A7" w:rsidRPr="00B404D1" w:rsidRDefault="000A59A7" w:rsidP="00095166">
      <w:pPr>
        <w:keepNext/>
      </w:pPr>
      <w:r>
        <w:t>Service providers are required by the NGR to specify a reference tariff for each reference service.</w:t>
      </w:r>
      <w:r>
        <w:rPr>
          <w:rStyle w:val="FootnoteReference"/>
        </w:rPr>
        <w:footnoteReference w:id="16"/>
      </w:r>
      <w:r>
        <w:t xml:space="preserve"> We first consider what is (or are) the reference service(s) for the purpose of the NGR when undertaking our review.</w:t>
      </w:r>
      <w:r>
        <w:rPr>
          <w:rStyle w:val="FootnoteReference"/>
        </w:rPr>
        <w:footnoteReference w:id="17"/>
      </w:r>
      <w:r>
        <w:t xml:space="preserve"> Our decision on what constitutes the reference service is set out in </w:t>
      </w:r>
      <w:r w:rsidR="00C7389D">
        <w:t>A</w:t>
      </w:r>
      <w:r>
        <w:t>ttachment 1</w:t>
      </w:r>
      <w:r w:rsidR="00C7389D">
        <w:t xml:space="preserve"> to this final decision</w:t>
      </w:r>
      <w:r>
        <w:t>.</w:t>
      </w:r>
    </w:p>
    <w:p w:rsidR="000A59A7" w:rsidRDefault="000A59A7" w:rsidP="000A59A7">
      <w:pPr>
        <w:pStyle w:val="HeadingBoldBlue"/>
      </w:pPr>
      <w:bookmarkStart w:id="20" w:name="_Toc435442873"/>
      <w:bookmarkStart w:id="21" w:name="_Toc435442912"/>
      <w:r>
        <w:t>Assessing the tariff setting method for the reference service</w:t>
      </w:r>
      <w:bookmarkEnd w:id="20"/>
      <w:bookmarkEnd w:id="21"/>
    </w:p>
    <w:p w:rsidR="000A59A7" w:rsidRDefault="000A59A7" w:rsidP="000A59A7">
      <w:r>
        <w:t>The reference tariffs for a full access arrangement must be designed to meet the requirements of the NGR. Our discretion on tariff design is limited.</w:t>
      </w:r>
      <w:r>
        <w:rPr>
          <w:rStyle w:val="FootnoteReference"/>
        </w:rPr>
        <w:footnoteReference w:id="18"/>
      </w:r>
    </w:p>
    <w:p w:rsidR="000A59A7" w:rsidRDefault="000A59A7" w:rsidP="000A59A7">
      <w:r>
        <w:t>Consequently, we consider how ActewAGL intends to charge for reference services by:</w:t>
      </w:r>
    </w:p>
    <w:p w:rsidR="000A59A7" w:rsidRDefault="000A59A7" w:rsidP="000A59A7">
      <w:pPr>
        <w:pStyle w:val="ListNumber"/>
      </w:pPr>
      <w:proofErr w:type="gramStart"/>
      <w:r>
        <w:t>assessing</w:t>
      </w:r>
      <w:proofErr w:type="gramEnd"/>
      <w:r>
        <w:t xml:space="preserve"> how ActewAGL intends to allocate costs and revenues between reference services and other services. It must demonstrate that total revenue is allocated between reference and other services in the ratio in which costs are allocated between reference services and other services. Furthermore, costs must also be allocated to the reference service and other services to which the cost is directly attributable.</w:t>
      </w:r>
      <w:r>
        <w:rPr>
          <w:rStyle w:val="FootnoteReference"/>
        </w:rPr>
        <w:footnoteReference w:id="19"/>
      </w:r>
    </w:p>
    <w:p w:rsidR="000A59A7" w:rsidRDefault="000A59A7" w:rsidP="000A59A7">
      <w:pPr>
        <w:pStyle w:val="ListNumber"/>
      </w:pPr>
      <w:proofErr w:type="gramStart"/>
      <w:r>
        <w:t>assessing</w:t>
      </w:r>
      <w:proofErr w:type="gramEnd"/>
      <w:r>
        <w:t xml:space="preserve"> how ActewAGL grouped its customers into tariff classes. ActewAGL is required to group together customers for reference services on an economically efficient basis and to avoid unnecessary transaction costs.</w:t>
      </w:r>
      <w:r>
        <w:rPr>
          <w:rStyle w:val="FootnoteReference"/>
        </w:rPr>
        <w:footnoteReference w:id="20"/>
      </w:r>
      <w:r>
        <w:t xml:space="preserve"> We consider the nature of the reference service (e.g. volume and demand tariff classes) are consistent with the need to group customers for reference services together on an economically efficiently basis and avoid unnecessary transaction costs.</w:t>
      </w:r>
    </w:p>
    <w:p w:rsidR="000A59A7" w:rsidRDefault="000A59A7" w:rsidP="000A59A7">
      <w:pPr>
        <w:pStyle w:val="ListNumber"/>
      </w:pPr>
      <w:r>
        <w:t>assessing how:</w:t>
      </w:r>
    </w:p>
    <w:p w:rsidR="000A59A7" w:rsidRDefault="000A59A7" w:rsidP="000A59A7">
      <w:pPr>
        <w:pStyle w:val="AERnumberedlistsecondstyle"/>
      </w:pPr>
      <w:r>
        <w:t>the expected average revenue of a tariff class compares with the stand alone cost and avoidable cost of providing the reference service to that tariff class</w:t>
      </w:r>
    </w:p>
    <w:p w:rsidR="000A59A7" w:rsidRDefault="000A59A7" w:rsidP="000A59A7">
      <w:pPr>
        <w:pStyle w:val="AERnumberedlistsecondstyle"/>
      </w:pPr>
      <w:r>
        <w:t>whether the tariff takes into account transaction costs associated with developing and applying the tariff</w:t>
      </w:r>
    </w:p>
    <w:p w:rsidR="000A59A7" w:rsidRDefault="000A59A7" w:rsidP="000A59A7">
      <w:pPr>
        <w:pStyle w:val="AERnumberedlistsecondstyle"/>
      </w:pPr>
      <w:r>
        <w:t>whether the tariffs take into account the long run marginal costs of providing reference services</w:t>
      </w:r>
    </w:p>
    <w:p w:rsidR="000A59A7" w:rsidRPr="00621A58" w:rsidRDefault="000A59A7" w:rsidP="000A59A7">
      <w:pPr>
        <w:pStyle w:val="AERnumberedlistsecondstyle"/>
      </w:pPr>
      <w:proofErr w:type="gramStart"/>
      <w:r>
        <w:t>whether</w:t>
      </w:r>
      <w:proofErr w:type="gramEnd"/>
      <w:r>
        <w:t xml:space="preserve"> customers belonging to the relevant tariff class are able </w:t>
      </w:r>
      <w:r w:rsidR="005E6D89">
        <w:t xml:space="preserve">or </w:t>
      </w:r>
      <w:r>
        <w:t>likely to respond to price signals.</w:t>
      </w:r>
      <w:r>
        <w:rPr>
          <w:rStyle w:val="FootnoteReference"/>
        </w:rPr>
        <w:footnoteReference w:id="21"/>
      </w:r>
    </w:p>
    <w:p w:rsidR="00A2303E" w:rsidRDefault="00A2303E" w:rsidP="00A2303E">
      <w:pPr>
        <w:pStyle w:val="Heading2"/>
      </w:pPr>
      <w:bookmarkStart w:id="22" w:name="_Toc408404324"/>
      <w:bookmarkStart w:id="23" w:name="_Toc419366917"/>
      <w:bookmarkStart w:id="24" w:name="_Toc451762335"/>
      <w:r w:rsidRPr="0074565D">
        <w:t xml:space="preserve">Reasons for </w:t>
      </w:r>
      <w:r>
        <w:t>final</w:t>
      </w:r>
      <w:r w:rsidRPr="0074565D">
        <w:t xml:space="preserve"> decision</w:t>
      </w:r>
      <w:bookmarkEnd w:id="22"/>
      <w:bookmarkEnd w:id="23"/>
      <w:bookmarkEnd w:id="24"/>
    </w:p>
    <w:p w:rsidR="00660C7A" w:rsidRDefault="00660C7A" w:rsidP="00660C7A">
      <w:r w:rsidRPr="00660C7A">
        <w:t xml:space="preserve">As per our draft decision, we accept </w:t>
      </w:r>
      <w:r>
        <w:t>ActewAGL</w:t>
      </w:r>
      <w:r w:rsidRPr="00660C7A">
        <w:t>’s proposed reference tariff structure because we are satisfied that it complies with the NGR requirements.</w:t>
      </w:r>
      <w:r>
        <w:rPr>
          <w:rStyle w:val="FootnoteReference"/>
        </w:rPr>
        <w:footnoteReference w:id="22"/>
      </w:r>
      <w:r w:rsidR="00E975A6" w:rsidRPr="00E975A6">
        <w:t xml:space="preserve"> While it involves significant changes to the tariff structure in ActewAGL’s current access arrangement, the new tariff structure is consistent with those applied by other gas distribution networks in recent years.</w:t>
      </w:r>
      <w:r w:rsidR="00E975A6">
        <w:rPr>
          <w:rStyle w:val="FootnoteReference"/>
        </w:rPr>
        <w:footnoteReference w:id="23"/>
      </w:r>
      <w:r w:rsidR="00CA59F8">
        <w:t xml:space="preserve"> </w:t>
      </w:r>
      <w:r w:rsidR="00CA59F8" w:rsidRPr="00CA59F8">
        <w:t>However, the quantum of the proposed initial reference tariff</w:t>
      </w:r>
      <w:r w:rsidR="00CA59F8">
        <w:t>s</w:t>
      </w:r>
      <w:r w:rsidR="00CA59F8" w:rsidRPr="00CA59F8">
        <w:t xml:space="preserve"> must be amended to reflect the final decision forecast demand and revised revenue allowance.</w:t>
      </w:r>
    </w:p>
    <w:p w:rsidR="00E975A6" w:rsidRDefault="00CA59F8" w:rsidP="00660C7A">
      <w:r>
        <w:t xml:space="preserve">We maintain our draft decision </w:t>
      </w:r>
      <w:r w:rsidR="00E975A6" w:rsidRPr="00E975A6">
        <w:t>to permit ActewAGL to introduce or withdraw tariff classes and/or tariffs during the 2016–21 access arrangement. However, these will be limited to those we have pre-approved.</w:t>
      </w:r>
    </w:p>
    <w:p w:rsidR="002314A3" w:rsidRDefault="009159FC" w:rsidP="00660C7A">
      <w:r>
        <w:t xml:space="preserve">We note </w:t>
      </w:r>
      <w:r w:rsidR="00665166">
        <w:t>Origin Energy</w:t>
      </w:r>
      <w:r>
        <w:t xml:space="preserve"> reiterated </w:t>
      </w:r>
      <w:r w:rsidR="00665166">
        <w:t>its</w:t>
      </w:r>
      <w:r w:rsidR="00257FE3">
        <w:t xml:space="preserve"> </w:t>
      </w:r>
      <w:r w:rsidR="00665166">
        <w:t xml:space="preserve">concerns </w:t>
      </w:r>
      <w:r w:rsidR="00257FE3">
        <w:t xml:space="preserve">that </w:t>
      </w:r>
      <w:r w:rsidR="006C30BA">
        <w:t>ActewAGL</w:t>
      </w:r>
      <w:r w:rsidR="00257FE3">
        <w:t xml:space="preserve">'s </w:t>
      </w:r>
      <w:r w:rsidR="00665166" w:rsidRPr="00665166">
        <w:t>proposed multi–appliance tariffs</w:t>
      </w:r>
      <w:r w:rsidR="00665166">
        <w:rPr>
          <w:rStyle w:val="FootnoteReference"/>
        </w:rPr>
        <w:footnoteReference w:id="24"/>
      </w:r>
      <w:r w:rsidR="00665166" w:rsidRPr="00665166">
        <w:t xml:space="preserve"> should be based on a customer’s usage</w:t>
      </w:r>
      <w:r w:rsidR="00EF34FB">
        <w:t>,</w:t>
      </w:r>
      <w:r w:rsidR="00665166" w:rsidRPr="00665166">
        <w:t xml:space="preserve"> not the number of appliances installed.</w:t>
      </w:r>
      <w:r w:rsidR="00665166">
        <w:rPr>
          <w:rStyle w:val="FootnoteReference"/>
        </w:rPr>
        <w:footnoteReference w:id="25"/>
      </w:r>
      <w:r w:rsidR="00223F05">
        <w:t xml:space="preserve"> </w:t>
      </w:r>
      <w:r w:rsidR="0054513A">
        <w:t xml:space="preserve">However, </w:t>
      </w:r>
      <w:r w:rsidR="006F621F">
        <w:t>a</w:t>
      </w:r>
      <w:r w:rsidR="00223F05">
        <w:t>s per our draft decision, we consider ActewAGL's proposed tariff structures have been based on customer usage characteristics.</w:t>
      </w:r>
      <w:r w:rsidR="00223F05">
        <w:rPr>
          <w:rStyle w:val="FootnoteReference"/>
        </w:rPr>
        <w:footnoteReference w:id="26"/>
      </w:r>
      <w:r w:rsidR="00472A5D">
        <w:t xml:space="preserve"> </w:t>
      </w:r>
      <w:r w:rsidR="00257FE3">
        <w:t>T</w:t>
      </w:r>
      <w:r w:rsidR="00472A5D">
        <w:t>he intent of the</w:t>
      </w:r>
      <w:r w:rsidR="00472A5D" w:rsidRPr="00B114ED">
        <w:t xml:space="preserve"> multi–appliance tariff categories</w:t>
      </w:r>
      <w:r w:rsidR="00472A5D">
        <w:t xml:space="preserve"> is to incentivise </w:t>
      </w:r>
      <w:r w:rsidR="00472A5D" w:rsidRPr="00B114ED">
        <w:t xml:space="preserve">customers to install multiple gas appliances </w:t>
      </w:r>
      <w:r w:rsidR="00472A5D">
        <w:t xml:space="preserve">in order to bring about </w:t>
      </w:r>
      <w:r w:rsidR="00472A5D" w:rsidRPr="00B114ED">
        <w:t>greater utilisation of the network throughout the year.</w:t>
      </w:r>
      <w:r w:rsidR="00472A5D">
        <w:rPr>
          <w:rStyle w:val="FootnoteReference"/>
        </w:rPr>
        <w:footnoteReference w:id="27"/>
      </w:r>
      <w:r w:rsidR="00472A5D">
        <w:t xml:space="preserve"> ActewAGL's particular focus is</w:t>
      </w:r>
      <w:r w:rsidR="00257FE3">
        <w:t xml:space="preserve"> to encourage</w:t>
      </w:r>
      <w:r w:rsidR="00472A5D">
        <w:t xml:space="preserve"> greater utilisation over the low gas usage periods of spring and summer.</w:t>
      </w:r>
      <w:r w:rsidR="00472A5D">
        <w:rPr>
          <w:rStyle w:val="FootnoteReference"/>
        </w:rPr>
        <w:footnoteReference w:id="28"/>
      </w:r>
    </w:p>
    <w:p w:rsidR="00472A5D" w:rsidRDefault="00223F05" w:rsidP="00660C7A">
      <w:r>
        <w:t>Further,</w:t>
      </w:r>
      <w:r w:rsidR="009159FC">
        <w:t xml:space="preserve"> as noted in our</w:t>
      </w:r>
      <w:r w:rsidR="00B114ED">
        <w:t xml:space="preserve"> draft decision</w:t>
      </w:r>
      <w:r w:rsidR="009159FC">
        <w:t>,</w:t>
      </w:r>
      <w:r w:rsidR="00B114ED">
        <w:t xml:space="preserve"> </w:t>
      </w:r>
      <w:r w:rsidR="001F5239">
        <w:t xml:space="preserve">the multi–appliance tariffs are </w:t>
      </w:r>
      <w:r w:rsidR="00B114ED">
        <w:t>optional tariffs.</w:t>
      </w:r>
      <w:r w:rsidR="00B114ED">
        <w:rPr>
          <w:rStyle w:val="FootnoteReference"/>
        </w:rPr>
        <w:footnoteReference w:id="29"/>
      </w:r>
      <w:r w:rsidR="00B114ED">
        <w:t xml:space="preserve"> The default tariff for customers</w:t>
      </w:r>
      <w:r w:rsidR="009159FC">
        <w:t xml:space="preserve"> will</w:t>
      </w:r>
      <w:r w:rsidR="00B114ED">
        <w:t xml:space="preserve"> remain consistent with </w:t>
      </w:r>
      <w:r w:rsidR="00441BA0" w:rsidRPr="00441BA0">
        <w:t>the tariffs these customers incur in the current access arrangement period.</w:t>
      </w:r>
      <w:r w:rsidR="00441BA0">
        <w:t xml:space="preserve"> Therefore, </w:t>
      </w:r>
      <w:r w:rsidR="00441BA0" w:rsidRPr="00441BA0">
        <w:t xml:space="preserve">customers will not </w:t>
      </w:r>
      <w:r w:rsidR="009159FC">
        <w:t>be discriminated against as</w:t>
      </w:r>
      <w:r w:rsidR="00441BA0" w:rsidRPr="00441BA0">
        <w:t xml:space="preserve"> they have</w:t>
      </w:r>
      <w:r w:rsidR="009159FC">
        <w:t xml:space="preserve"> a</w:t>
      </w:r>
      <w:r w:rsidR="00441BA0" w:rsidRPr="00441BA0">
        <w:t xml:space="preserve"> choice about assignment to a multi–appliance tariff category.</w:t>
      </w:r>
      <w:r w:rsidR="00257FE3">
        <w:t xml:space="preserve"> </w:t>
      </w:r>
    </w:p>
    <w:p w:rsidR="00975431" w:rsidRDefault="00975431" w:rsidP="00975431">
      <w:bookmarkStart w:id="25" w:name="_Ref445295241"/>
      <w:r>
        <w:t xml:space="preserve">Our final decision for ActewAGL's reference tariffs are set out in </w:t>
      </w:r>
      <w:r>
        <w:fldChar w:fldCharType="begin"/>
      </w:r>
      <w:r>
        <w:instrText xml:space="preserve"> REF  _Ref445295910 \* Lower \h </w:instrText>
      </w:r>
      <w:r>
        <w:fldChar w:fldCharType="separate"/>
      </w:r>
      <w:r w:rsidR="00DF6537">
        <w:t xml:space="preserve">table </w:t>
      </w:r>
      <w:r w:rsidR="00DF6537">
        <w:rPr>
          <w:noProof/>
        </w:rPr>
        <w:t>10</w:t>
      </w:r>
      <w:r w:rsidR="00DF6537">
        <w:t>.</w:t>
      </w:r>
      <w:r w:rsidR="00DF6537">
        <w:rPr>
          <w:noProof/>
        </w:rPr>
        <w:t>1</w:t>
      </w:r>
      <w:r>
        <w:fldChar w:fldCharType="end"/>
      </w:r>
      <w:r w:rsidR="00B1133A">
        <w:t xml:space="preserve">. </w:t>
      </w:r>
    </w:p>
    <w:p w:rsidR="00975431" w:rsidRDefault="00975431" w:rsidP="00975431">
      <w:pPr>
        <w:pStyle w:val="Caption"/>
      </w:pPr>
      <w:bookmarkStart w:id="26" w:name="_Ref445295910"/>
      <w:proofErr w:type="gramStart"/>
      <w:r>
        <w:t xml:space="preserve">Table </w:t>
      </w:r>
      <w:proofErr w:type="gramEnd"/>
      <w:r w:rsidR="00D544F3">
        <w:fldChar w:fldCharType="begin"/>
      </w:r>
      <w:r w:rsidR="00D544F3">
        <w:instrText xml:space="preserve"> STYLEREF 1 \s </w:instrText>
      </w:r>
      <w:r w:rsidR="00D544F3">
        <w:fldChar w:fldCharType="separate"/>
      </w:r>
      <w:r w:rsidR="00DF6537">
        <w:rPr>
          <w:noProof/>
        </w:rPr>
        <w:t>10</w:t>
      </w:r>
      <w:r w:rsidR="00D544F3">
        <w:rPr>
          <w:noProof/>
        </w:rPr>
        <w:fldChar w:fldCharType="end"/>
      </w:r>
      <w:proofErr w:type="gramStart"/>
      <w:r>
        <w:t>.</w:t>
      </w:r>
      <w:proofErr w:type="gramEnd"/>
      <w:r w:rsidR="00732369">
        <w:fldChar w:fldCharType="begin"/>
      </w:r>
      <w:r w:rsidR="00732369">
        <w:instrText xml:space="preserve"> SEQ Table \* ARABIC \s 1 </w:instrText>
      </w:r>
      <w:r w:rsidR="00732369">
        <w:fldChar w:fldCharType="separate"/>
      </w:r>
      <w:r w:rsidR="00DF6537">
        <w:rPr>
          <w:noProof/>
        </w:rPr>
        <w:t>1</w:t>
      </w:r>
      <w:r w:rsidR="00732369">
        <w:rPr>
          <w:noProof/>
        </w:rPr>
        <w:fldChar w:fldCharType="end"/>
      </w:r>
      <w:bookmarkEnd w:id="26"/>
      <w:r>
        <w:tab/>
        <w:t xml:space="preserve">AER final decision for ActewAGL's initial tariff classes and tariff charge components for the 2016–21 access arrangement </w:t>
      </w:r>
      <w:proofErr w:type="gramStart"/>
      <w:r>
        <w:t>period</w:t>
      </w:r>
      <w:proofErr w:type="gramEnd"/>
    </w:p>
    <w:tbl>
      <w:tblPr>
        <w:tblStyle w:val="AERtable-text0"/>
        <w:tblW w:w="0" w:type="auto"/>
        <w:tblLook w:val="04A0" w:firstRow="1" w:lastRow="0" w:firstColumn="1" w:lastColumn="0" w:noHBand="0" w:noVBand="1"/>
      </w:tblPr>
      <w:tblGrid>
        <w:gridCol w:w="1809"/>
        <w:gridCol w:w="1418"/>
        <w:gridCol w:w="2693"/>
        <w:gridCol w:w="2773"/>
      </w:tblGrid>
      <w:tr w:rsidR="00975431" w:rsidTr="00EE79A1">
        <w:trPr>
          <w:cnfStyle w:val="100000000000" w:firstRow="1" w:lastRow="0" w:firstColumn="0" w:lastColumn="0" w:oddVBand="0" w:evenVBand="0" w:oddHBand="0" w:evenHBand="0" w:firstRowFirstColumn="0" w:firstRowLastColumn="0" w:lastRowFirstColumn="0" w:lastRowLastColumn="0"/>
        </w:trPr>
        <w:tc>
          <w:tcPr>
            <w:tcW w:w="1809" w:type="dxa"/>
          </w:tcPr>
          <w:p w:rsidR="00975431" w:rsidRPr="00975431" w:rsidRDefault="00975431" w:rsidP="00975431">
            <w:r>
              <w:t>Customer category</w:t>
            </w:r>
          </w:p>
        </w:tc>
        <w:tc>
          <w:tcPr>
            <w:tcW w:w="1418" w:type="dxa"/>
          </w:tcPr>
          <w:p w:rsidR="00975431" w:rsidRPr="00975431" w:rsidRDefault="00975431" w:rsidP="00975431">
            <w:r>
              <w:t>Tariff class</w:t>
            </w:r>
          </w:p>
        </w:tc>
        <w:tc>
          <w:tcPr>
            <w:tcW w:w="2693" w:type="dxa"/>
          </w:tcPr>
          <w:p w:rsidR="00975431" w:rsidRPr="00975431" w:rsidRDefault="00975431" w:rsidP="00975431">
            <w:r>
              <w:t>Tariff category</w:t>
            </w:r>
          </w:p>
        </w:tc>
        <w:tc>
          <w:tcPr>
            <w:tcW w:w="2773" w:type="dxa"/>
          </w:tcPr>
          <w:p w:rsidR="00975431" w:rsidRPr="00975431" w:rsidRDefault="00975431" w:rsidP="00975431">
            <w:r>
              <w:t>Charge components</w:t>
            </w:r>
          </w:p>
        </w:tc>
      </w:tr>
      <w:tr w:rsidR="00EE79A1" w:rsidTr="00EE79A1">
        <w:tc>
          <w:tcPr>
            <w:tcW w:w="1809" w:type="dxa"/>
          </w:tcPr>
          <w:p w:rsidR="00975431" w:rsidRPr="00975431" w:rsidRDefault="00975431" w:rsidP="00975431">
            <w:pPr>
              <w:rPr>
                <w:rStyle w:val="Strong"/>
              </w:rPr>
            </w:pPr>
            <w:r w:rsidRPr="00E10A45">
              <w:rPr>
                <w:rStyle w:val="Strong"/>
              </w:rPr>
              <w:t>Volume (V)</w:t>
            </w:r>
          </w:p>
        </w:tc>
        <w:tc>
          <w:tcPr>
            <w:tcW w:w="1418" w:type="dxa"/>
          </w:tcPr>
          <w:p w:rsidR="00975431" w:rsidRPr="00975431" w:rsidRDefault="00975431" w:rsidP="00975431">
            <w:pPr>
              <w:rPr>
                <w:rStyle w:val="Strong"/>
              </w:rPr>
            </w:pPr>
            <w:r w:rsidRPr="00E10A45">
              <w:rPr>
                <w:rStyle w:val="Strong"/>
              </w:rPr>
              <w:t>Residential (R)</w:t>
            </w:r>
          </w:p>
        </w:tc>
        <w:tc>
          <w:tcPr>
            <w:tcW w:w="2693" w:type="dxa"/>
          </w:tcPr>
          <w:p w:rsidR="00975431" w:rsidRPr="00975431" w:rsidRDefault="00975431" w:rsidP="00975431">
            <w:r>
              <w:t>Residential individually metered (VRI)</w:t>
            </w:r>
          </w:p>
        </w:tc>
        <w:tc>
          <w:tcPr>
            <w:tcW w:w="2773" w:type="dxa"/>
          </w:tcPr>
          <w:p w:rsidR="00975431" w:rsidRPr="00975431" w:rsidRDefault="00975431" w:rsidP="00975431">
            <w:r>
              <w:t>One fixed charge</w:t>
            </w:r>
          </w:p>
          <w:p w:rsidR="00975431" w:rsidRPr="00975431" w:rsidRDefault="00975431" w:rsidP="00975431">
            <w:r>
              <w:t xml:space="preserve">Four </w:t>
            </w:r>
            <w:r w:rsidRPr="00975431">
              <w:t>volume block charges</w:t>
            </w:r>
          </w:p>
          <w:p w:rsidR="00975431" w:rsidRPr="00975431" w:rsidRDefault="00975431" w:rsidP="00975431">
            <w:r>
              <w:t xml:space="preserve">Ancillary </w:t>
            </w:r>
            <w:r w:rsidRPr="00975431">
              <w:t>reference charges</w:t>
            </w:r>
          </w:p>
        </w:tc>
      </w:tr>
      <w:tr w:rsidR="00975431" w:rsidTr="00EE79A1">
        <w:trPr>
          <w:cnfStyle w:val="000000010000" w:firstRow="0" w:lastRow="0" w:firstColumn="0" w:lastColumn="0" w:oddVBand="0" w:evenVBand="0" w:oddHBand="0" w:evenHBand="1" w:firstRowFirstColumn="0" w:firstRowLastColumn="0" w:lastRowFirstColumn="0" w:lastRowLastColumn="0"/>
        </w:trPr>
        <w:tc>
          <w:tcPr>
            <w:tcW w:w="1809" w:type="dxa"/>
          </w:tcPr>
          <w:p w:rsidR="00975431" w:rsidRDefault="00975431" w:rsidP="00975431"/>
        </w:tc>
        <w:tc>
          <w:tcPr>
            <w:tcW w:w="1418" w:type="dxa"/>
          </w:tcPr>
          <w:p w:rsidR="00975431" w:rsidRDefault="00975431" w:rsidP="00975431"/>
        </w:tc>
        <w:tc>
          <w:tcPr>
            <w:tcW w:w="2693" w:type="dxa"/>
          </w:tcPr>
          <w:p w:rsidR="00975431" w:rsidRPr="00975431" w:rsidRDefault="00975431" w:rsidP="00975431">
            <w:r>
              <w:t>Residential individually metered with gas heating and other gas appliances (VRH)</w:t>
            </w:r>
          </w:p>
        </w:tc>
        <w:tc>
          <w:tcPr>
            <w:tcW w:w="2773" w:type="dxa"/>
          </w:tcPr>
          <w:p w:rsidR="00975431" w:rsidRDefault="00975431" w:rsidP="00975431">
            <w:r>
              <w:t>One fixed charge</w:t>
            </w:r>
          </w:p>
          <w:p w:rsidR="00975431" w:rsidRDefault="00975431" w:rsidP="00975431">
            <w:r>
              <w:t>Three volume block charges</w:t>
            </w:r>
          </w:p>
          <w:p w:rsidR="00975431" w:rsidRPr="00975431" w:rsidRDefault="00975431" w:rsidP="00975431">
            <w:r>
              <w:t>Ancillary reference charges</w:t>
            </w:r>
          </w:p>
        </w:tc>
      </w:tr>
      <w:tr w:rsidR="00EE79A1" w:rsidTr="00EE79A1">
        <w:tc>
          <w:tcPr>
            <w:tcW w:w="1809" w:type="dxa"/>
          </w:tcPr>
          <w:p w:rsidR="00975431" w:rsidRDefault="00975431" w:rsidP="00975431"/>
        </w:tc>
        <w:tc>
          <w:tcPr>
            <w:tcW w:w="1418" w:type="dxa"/>
          </w:tcPr>
          <w:p w:rsidR="00975431" w:rsidRDefault="00975431" w:rsidP="00975431"/>
        </w:tc>
        <w:tc>
          <w:tcPr>
            <w:tcW w:w="2693" w:type="dxa"/>
          </w:tcPr>
          <w:p w:rsidR="00975431" w:rsidRPr="00975431" w:rsidRDefault="00975431" w:rsidP="00975431">
            <w:r>
              <w:t>Residential boundary metered (VRB)</w:t>
            </w:r>
          </w:p>
        </w:tc>
        <w:tc>
          <w:tcPr>
            <w:tcW w:w="2773" w:type="dxa"/>
          </w:tcPr>
          <w:p w:rsidR="00975431" w:rsidRDefault="00975431" w:rsidP="00975431">
            <w:r>
              <w:t>One fixed charge</w:t>
            </w:r>
          </w:p>
          <w:p w:rsidR="00975431" w:rsidRDefault="00975431" w:rsidP="00975431">
            <w:r>
              <w:t>Three volume block charges</w:t>
            </w:r>
          </w:p>
          <w:p w:rsidR="00975431" w:rsidRPr="00975431" w:rsidRDefault="00975431" w:rsidP="00975431">
            <w:r>
              <w:t>Ancillary reference charges</w:t>
            </w:r>
          </w:p>
        </w:tc>
      </w:tr>
      <w:tr w:rsidR="00975431" w:rsidTr="00EE79A1">
        <w:trPr>
          <w:cnfStyle w:val="000000010000" w:firstRow="0" w:lastRow="0" w:firstColumn="0" w:lastColumn="0" w:oddVBand="0" w:evenVBand="0" w:oddHBand="0" w:evenHBand="1" w:firstRowFirstColumn="0" w:firstRowLastColumn="0" w:lastRowFirstColumn="0" w:lastRowLastColumn="0"/>
        </w:trPr>
        <w:tc>
          <w:tcPr>
            <w:tcW w:w="1809" w:type="dxa"/>
          </w:tcPr>
          <w:p w:rsidR="00975431" w:rsidRDefault="00975431" w:rsidP="00975431"/>
        </w:tc>
        <w:tc>
          <w:tcPr>
            <w:tcW w:w="1418" w:type="dxa"/>
          </w:tcPr>
          <w:p w:rsidR="00975431" w:rsidRDefault="00975431" w:rsidP="00975431"/>
        </w:tc>
        <w:tc>
          <w:tcPr>
            <w:tcW w:w="2693" w:type="dxa"/>
          </w:tcPr>
          <w:p w:rsidR="00975431" w:rsidRPr="00975431" w:rsidRDefault="00975431" w:rsidP="00975431">
            <w:r>
              <w:t>Large scale generation principally for residential end customers (VRG)</w:t>
            </w:r>
          </w:p>
        </w:tc>
        <w:tc>
          <w:tcPr>
            <w:tcW w:w="2773" w:type="dxa"/>
          </w:tcPr>
          <w:p w:rsidR="00975431" w:rsidRDefault="00975431" w:rsidP="00975431">
            <w:r>
              <w:t>One fixed charge</w:t>
            </w:r>
          </w:p>
          <w:p w:rsidR="00975431" w:rsidRPr="00975431" w:rsidRDefault="00975431" w:rsidP="00975431">
            <w:r>
              <w:t>Three capacity</w:t>
            </w:r>
            <w:r w:rsidRPr="00975431">
              <w:t xml:space="preserve"> block charges</w:t>
            </w:r>
          </w:p>
          <w:p w:rsidR="00975431" w:rsidRPr="00975431" w:rsidRDefault="00975431" w:rsidP="00975431">
            <w:r>
              <w:t>Ancillary reference charges</w:t>
            </w:r>
          </w:p>
        </w:tc>
      </w:tr>
      <w:tr w:rsidR="00EE79A1" w:rsidTr="00EE79A1">
        <w:tc>
          <w:tcPr>
            <w:tcW w:w="1809" w:type="dxa"/>
          </w:tcPr>
          <w:p w:rsidR="00975431" w:rsidRDefault="00975431" w:rsidP="00975431"/>
        </w:tc>
        <w:tc>
          <w:tcPr>
            <w:tcW w:w="1418" w:type="dxa"/>
          </w:tcPr>
          <w:p w:rsidR="00975431" w:rsidRPr="00975431" w:rsidRDefault="00975431" w:rsidP="00975431">
            <w:pPr>
              <w:rPr>
                <w:rStyle w:val="Strong"/>
              </w:rPr>
            </w:pPr>
            <w:r w:rsidRPr="00E10A45">
              <w:rPr>
                <w:rStyle w:val="Strong"/>
              </w:rPr>
              <w:t>Business (B)</w:t>
            </w:r>
          </w:p>
        </w:tc>
        <w:tc>
          <w:tcPr>
            <w:tcW w:w="2693" w:type="dxa"/>
          </w:tcPr>
          <w:p w:rsidR="00975431" w:rsidRPr="00975431" w:rsidRDefault="00975431" w:rsidP="00975431">
            <w:r>
              <w:t>Small business individually metered (VBS)</w:t>
            </w:r>
          </w:p>
        </w:tc>
        <w:tc>
          <w:tcPr>
            <w:tcW w:w="2773" w:type="dxa"/>
          </w:tcPr>
          <w:p w:rsidR="00975431" w:rsidRDefault="00975431" w:rsidP="00975431">
            <w:r>
              <w:t>One fixed charge</w:t>
            </w:r>
          </w:p>
          <w:p w:rsidR="00975431" w:rsidRDefault="00975431" w:rsidP="00975431">
            <w:r>
              <w:t>Three volume block charges</w:t>
            </w:r>
          </w:p>
          <w:p w:rsidR="00975431" w:rsidRPr="00975431" w:rsidRDefault="00975431" w:rsidP="00975431">
            <w:r>
              <w:t>Ancillary reference charges</w:t>
            </w:r>
          </w:p>
        </w:tc>
      </w:tr>
      <w:tr w:rsidR="00975431" w:rsidTr="00EE79A1">
        <w:trPr>
          <w:cnfStyle w:val="000000010000" w:firstRow="0" w:lastRow="0" w:firstColumn="0" w:lastColumn="0" w:oddVBand="0" w:evenVBand="0" w:oddHBand="0" w:evenHBand="1" w:firstRowFirstColumn="0" w:firstRowLastColumn="0" w:lastRowFirstColumn="0" w:lastRowLastColumn="0"/>
        </w:trPr>
        <w:tc>
          <w:tcPr>
            <w:tcW w:w="1809" w:type="dxa"/>
          </w:tcPr>
          <w:p w:rsidR="00975431" w:rsidRDefault="00975431" w:rsidP="00975431"/>
        </w:tc>
        <w:tc>
          <w:tcPr>
            <w:tcW w:w="1418" w:type="dxa"/>
          </w:tcPr>
          <w:p w:rsidR="00975431" w:rsidRDefault="00975431" w:rsidP="00975431"/>
        </w:tc>
        <w:tc>
          <w:tcPr>
            <w:tcW w:w="2693" w:type="dxa"/>
          </w:tcPr>
          <w:p w:rsidR="00975431" w:rsidRPr="00975431" w:rsidRDefault="00975431" w:rsidP="00975431">
            <w:r>
              <w:t>Medium business individually metered (VBM)</w:t>
            </w:r>
          </w:p>
        </w:tc>
        <w:tc>
          <w:tcPr>
            <w:tcW w:w="2773" w:type="dxa"/>
          </w:tcPr>
          <w:p w:rsidR="00975431" w:rsidRDefault="00975431" w:rsidP="00975431">
            <w:r>
              <w:t>One fixed charge</w:t>
            </w:r>
          </w:p>
          <w:p w:rsidR="00975431" w:rsidRDefault="00975431" w:rsidP="00975431">
            <w:r>
              <w:t>Three volume block charges</w:t>
            </w:r>
          </w:p>
          <w:p w:rsidR="00975431" w:rsidRPr="00975431" w:rsidRDefault="00975431" w:rsidP="00975431">
            <w:r>
              <w:t>Ancillary reference charges</w:t>
            </w:r>
          </w:p>
        </w:tc>
      </w:tr>
      <w:tr w:rsidR="00EE79A1" w:rsidTr="00EE79A1">
        <w:tc>
          <w:tcPr>
            <w:tcW w:w="1809" w:type="dxa"/>
          </w:tcPr>
          <w:p w:rsidR="00975431" w:rsidRPr="00975431" w:rsidRDefault="00975431" w:rsidP="00975431">
            <w:pPr>
              <w:rPr>
                <w:rStyle w:val="Strong"/>
              </w:rPr>
            </w:pPr>
            <w:r w:rsidRPr="00E10A45">
              <w:rPr>
                <w:rStyle w:val="Strong"/>
              </w:rPr>
              <w:t>Demand (D)</w:t>
            </w:r>
          </w:p>
        </w:tc>
        <w:tc>
          <w:tcPr>
            <w:tcW w:w="1418" w:type="dxa"/>
          </w:tcPr>
          <w:p w:rsidR="00975431" w:rsidRPr="00975431" w:rsidRDefault="00975431" w:rsidP="00975431">
            <w:pPr>
              <w:rPr>
                <w:rStyle w:val="Strong"/>
              </w:rPr>
            </w:pPr>
            <w:r w:rsidRPr="00E10A45">
              <w:rPr>
                <w:rStyle w:val="Strong"/>
              </w:rPr>
              <w:t>Business (B)</w:t>
            </w:r>
          </w:p>
        </w:tc>
        <w:tc>
          <w:tcPr>
            <w:tcW w:w="2693" w:type="dxa"/>
          </w:tcPr>
          <w:p w:rsidR="00975431" w:rsidRPr="00975431" w:rsidRDefault="00975431" w:rsidP="00975431">
            <w:r>
              <w:t>Major customer capacity (DBC)</w:t>
            </w:r>
          </w:p>
        </w:tc>
        <w:tc>
          <w:tcPr>
            <w:tcW w:w="2773" w:type="dxa"/>
          </w:tcPr>
          <w:p w:rsidR="00975431" w:rsidRDefault="00975431" w:rsidP="00975431">
            <w:r>
              <w:t>One provision of basic metering equipment charge</w:t>
            </w:r>
          </w:p>
          <w:p w:rsidR="00975431" w:rsidRPr="00975431" w:rsidRDefault="00975431" w:rsidP="00975431">
            <w:r>
              <w:t xml:space="preserve">Three demand capacity </w:t>
            </w:r>
            <w:r w:rsidRPr="00975431">
              <w:t>block charges</w:t>
            </w:r>
          </w:p>
          <w:p w:rsidR="00975431" w:rsidRPr="00975431" w:rsidRDefault="00975431" w:rsidP="00975431">
            <w:r>
              <w:t>Ancillary reference charges</w:t>
            </w:r>
          </w:p>
        </w:tc>
      </w:tr>
      <w:tr w:rsidR="00975431" w:rsidTr="00EE79A1">
        <w:trPr>
          <w:cnfStyle w:val="000000010000" w:firstRow="0" w:lastRow="0" w:firstColumn="0" w:lastColumn="0" w:oddVBand="0" w:evenVBand="0" w:oddHBand="0" w:evenHBand="1" w:firstRowFirstColumn="0" w:firstRowLastColumn="0" w:lastRowFirstColumn="0" w:lastRowLastColumn="0"/>
        </w:trPr>
        <w:tc>
          <w:tcPr>
            <w:tcW w:w="1809" w:type="dxa"/>
          </w:tcPr>
          <w:p w:rsidR="00975431" w:rsidRDefault="00975431" w:rsidP="00975431"/>
        </w:tc>
        <w:tc>
          <w:tcPr>
            <w:tcW w:w="1418" w:type="dxa"/>
          </w:tcPr>
          <w:p w:rsidR="00975431" w:rsidRDefault="00975431" w:rsidP="00975431"/>
        </w:tc>
        <w:tc>
          <w:tcPr>
            <w:tcW w:w="2693" w:type="dxa"/>
          </w:tcPr>
          <w:p w:rsidR="00975431" w:rsidRPr="00975431" w:rsidRDefault="00975431" w:rsidP="00975431">
            <w:r>
              <w:t>Major customer throughput (DBT)</w:t>
            </w:r>
          </w:p>
        </w:tc>
        <w:tc>
          <w:tcPr>
            <w:tcW w:w="2773" w:type="dxa"/>
          </w:tcPr>
          <w:p w:rsidR="00975431" w:rsidRDefault="00975431" w:rsidP="00975431">
            <w:r>
              <w:t>One provision of basic metering equipment charge</w:t>
            </w:r>
          </w:p>
          <w:p w:rsidR="00975431" w:rsidRPr="00975431" w:rsidRDefault="00975431" w:rsidP="00975431">
            <w:r>
              <w:t xml:space="preserve">One volume </w:t>
            </w:r>
            <w:r w:rsidRPr="00975431">
              <w:t>charge</w:t>
            </w:r>
          </w:p>
          <w:p w:rsidR="00975431" w:rsidRPr="00975431" w:rsidRDefault="00975431" w:rsidP="00975431">
            <w:r>
              <w:t>Ancillary reference charges</w:t>
            </w:r>
          </w:p>
        </w:tc>
      </w:tr>
      <w:tr w:rsidR="00EE79A1" w:rsidTr="00EE79A1">
        <w:tc>
          <w:tcPr>
            <w:tcW w:w="1809" w:type="dxa"/>
          </w:tcPr>
          <w:p w:rsidR="00975431" w:rsidRDefault="00975431" w:rsidP="00975431"/>
        </w:tc>
        <w:tc>
          <w:tcPr>
            <w:tcW w:w="1418" w:type="dxa"/>
          </w:tcPr>
          <w:p w:rsidR="00975431" w:rsidRDefault="00975431" w:rsidP="00975431"/>
        </w:tc>
        <w:tc>
          <w:tcPr>
            <w:tcW w:w="2693" w:type="dxa"/>
          </w:tcPr>
          <w:p w:rsidR="00975431" w:rsidRPr="00975431" w:rsidRDefault="00975431" w:rsidP="00975431">
            <w:r>
              <w:t xml:space="preserve">Demand </w:t>
            </w:r>
            <w:r w:rsidRPr="00975431">
              <w:t>business large scale generation (DBG)</w:t>
            </w:r>
          </w:p>
        </w:tc>
        <w:tc>
          <w:tcPr>
            <w:tcW w:w="2773" w:type="dxa"/>
          </w:tcPr>
          <w:p w:rsidR="00975431" w:rsidRDefault="00975431" w:rsidP="00975431">
            <w:r>
              <w:t>One provision of basic metering equipment charge</w:t>
            </w:r>
          </w:p>
          <w:p w:rsidR="00975431" w:rsidRPr="00975431" w:rsidRDefault="00975431" w:rsidP="00975431">
            <w:r>
              <w:t xml:space="preserve">Three demand capacity </w:t>
            </w:r>
            <w:r w:rsidRPr="00975431">
              <w:t>block charges</w:t>
            </w:r>
          </w:p>
          <w:p w:rsidR="00975431" w:rsidRPr="00975431" w:rsidRDefault="00975431" w:rsidP="00975431">
            <w:r>
              <w:t>Ancillary reference charges</w:t>
            </w:r>
          </w:p>
        </w:tc>
      </w:tr>
    </w:tbl>
    <w:p w:rsidR="00DA70BD" w:rsidRDefault="00975431" w:rsidP="00975431">
      <w:pPr>
        <w:pStyle w:val="AERtablesource"/>
      </w:pPr>
      <w:r>
        <w:t>Source:</w:t>
      </w:r>
      <w:r>
        <w:tab/>
      </w:r>
      <w:r w:rsidRPr="00975431">
        <w:t xml:space="preserve">AER, </w:t>
      </w:r>
      <w:r w:rsidRPr="00975431">
        <w:rPr>
          <w:rStyle w:val="AERtextitalic"/>
        </w:rPr>
        <w:t>Draft decision: ActewAGL Distribution access arrangement 2016 to 2021: Attachment 10–Reference tariff setting</w:t>
      </w:r>
      <w:r w:rsidRPr="00975431">
        <w:t>,</w:t>
      </w:r>
      <w:r>
        <w:t xml:space="preserve"> November 2015, p. </w:t>
      </w:r>
      <w:r w:rsidR="00432A98">
        <w:t>10-</w:t>
      </w:r>
      <w:r>
        <w:t>8, Table 10.1;</w:t>
      </w:r>
      <w:r w:rsidR="00DA70BD">
        <w:t xml:space="preserve"> </w:t>
      </w:r>
      <w:r w:rsidR="00DA70BD" w:rsidRPr="00DA70BD">
        <w:t>ActewAGL</w:t>
      </w:r>
      <w:r w:rsidR="00DA70BD">
        <w:t xml:space="preserve"> Distribution</w:t>
      </w:r>
      <w:r w:rsidR="00DA70BD" w:rsidRPr="00DA70BD">
        <w:t xml:space="preserve">, </w:t>
      </w:r>
      <w:r w:rsidR="00DA70BD" w:rsidRPr="00DA70BD">
        <w:rPr>
          <w:rStyle w:val="AERtextitalic"/>
        </w:rPr>
        <w:t>Access arrangement</w:t>
      </w:r>
      <w:r w:rsidR="00DA70BD">
        <w:rPr>
          <w:rStyle w:val="AERtextitalic"/>
        </w:rPr>
        <w:t xml:space="preserve"> for the </w:t>
      </w:r>
      <w:r w:rsidR="00DA70BD" w:rsidRPr="00DA70BD">
        <w:rPr>
          <w:rStyle w:val="AERtextitalic"/>
        </w:rPr>
        <w:t>ACT, Queanbeyan and Palerang</w:t>
      </w:r>
      <w:r w:rsidR="00DA70BD">
        <w:rPr>
          <w:rStyle w:val="AERtextitalic"/>
        </w:rPr>
        <w:t xml:space="preserve"> gas distribution network 1 July 2016 – 30 June 2021 — (incorporating revisions that address matters raised in the AER draft decision)</w:t>
      </w:r>
      <w:r w:rsidR="00DA70BD">
        <w:t>, January 2016, Schedule 3.</w:t>
      </w:r>
    </w:p>
    <w:p w:rsidR="00095166" w:rsidRDefault="00095166" w:rsidP="00095166">
      <w:bookmarkStart w:id="27" w:name="_Ref445295918"/>
      <w:r>
        <w:t xml:space="preserve">Our final decision for </w:t>
      </w:r>
      <w:proofErr w:type="spellStart"/>
      <w:r>
        <w:t>ActewAGL's</w:t>
      </w:r>
      <w:proofErr w:type="spellEnd"/>
      <w:r>
        <w:t xml:space="preserve"> ancillary reference tariffs are set out in</w:t>
      </w:r>
      <w:r w:rsidR="00E614BC">
        <w:t xml:space="preserve"> </w:t>
      </w:r>
      <w:r w:rsidR="00E614BC">
        <w:fldChar w:fldCharType="begin"/>
      </w:r>
      <w:r w:rsidR="00E614BC">
        <w:instrText xml:space="preserve"> REF _Ref451762300 \h </w:instrText>
      </w:r>
      <w:r w:rsidR="00E614BC">
        <w:fldChar w:fldCharType="separate"/>
      </w:r>
      <w:r w:rsidR="00DF6537">
        <w:t xml:space="preserve">Table </w:t>
      </w:r>
      <w:r w:rsidR="00DF6537">
        <w:rPr>
          <w:noProof/>
        </w:rPr>
        <w:t>10</w:t>
      </w:r>
      <w:r w:rsidR="00DF6537">
        <w:t>.</w:t>
      </w:r>
      <w:r w:rsidR="00DF6537">
        <w:rPr>
          <w:noProof/>
        </w:rPr>
        <w:t>2</w:t>
      </w:r>
      <w:r w:rsidR="00E614BC">
        <w:fldChar w:fldCharType="end"/>
      </w:r>
      <w:r>
        <w:t>.</w:t>
      </w:r>
    </w:p>
    <w:p w:rsidR="00654DEB" w:rsidRDefault="00654DEB" w:rsidP="00654DEB">
      <w:pPr>
        <w:pStyle w:val="Caption"/>
      </w:pPr>
      <w:bookmarkStart w:id="28" w:name="_Ref451762300"/>
      <w:proofErr w:type="gramStart"/>
      <w:r>
        <w:t xml:space="preserve">Table </w:t>
      </w:r>
      <w:proofErr w:type="gramEnd"/>
      <w:r w:rsidR="00D544F3">
        <w:fldChar w:fldCharType="begin"/>
      </w:r>
      <w:r w:rsidR="00D544F3">
        <w:instrText xml:space="preserve"> STYLEREF 1 \s </w:instrText>
      </w:r>
      <w:r w:rsidR="00D544F3">
        <w:fldChar w:fldCharType="separate"/>
      </w:r>
      <w:r w:rsidR="00DF6537">
        <w:rPr>
          <w:noProof/>
        </w:rPr>
        <w:t>10</w:t>
      </w:r>
      <w:r w:rsidR="00D544F3">
        <w:rPr>
          <w:noProof/>
        </w:rPr>
        <w:fldChar w:fldCharType="end"/>
      </w:r>
      <w:proofErr w:type="gramStart"/>
      <w:r>
        <w:t>.</w:t>
      </w:r>
      <w:proofErr w:type="gramEnd"/>
      <w:r w:rsidR="00732369">
        <w:fldChar w:fldCharType="begin"/>
      </w:r>
      <w:r w:rsidR="00732369">
        <w:instrText xml:space="preserve"> SEQ Table \* ARABIC \s 1 </w:instrText>
      </w:r>
      <w:r w:rsidR="00732369">
        <w:fldChar w:fldCharType="separate"/>
      </w:r>
      <w:r w:rsidR="00DF6537">
        <w:rPr>
          <w:noProof/>
        </w:rPr>
        <w:t>2</w:t>
      </w:r>
      <w:r w:rsidR="00732369">
        <w:rPr>
          <w:noProof/>
        </w:rPr>
        <w:fldChar w:fldCharType="end"/>
      </w:r>
      <w:bookmarkEnd w:id="25"/>
      <w:bookmarkEnd w:id="27"/>
      <w:bookmarkEnd w:id="28"/>
      <w:proofErr w:type="gramStart"/>
      <w:r>
        <w:t xml:space="preserve"> AER final decision</w:t>
      </w:r>
      <w:proofErr w:type="gramEnd"/>
      <w:r>
        <w:t xml:space="preserve"> for ActewAGL's ancillary reference services for the 2016–21 access arrangement period</w:t>
      </w:r>
    </w:p>
    <w:tbl>
      <w:tblPr>
        <w:tblStyle w:val="AERtable-text0"/>
        <w:tblW w:w="0" w:type="auto"/>
        <w:tblLook w:val="04A0" w:firstRow="1" w:lastRow="0" w:firstColumn="1" w:lastColumn="0" w:noHBand="0" w:noVBand="1"/>
      </w:tblPr>
      <w:tblGrid>
        <w:gridCol w:w="4346"/>
        <w:gridCol w:w="4347"/>
      </w:tblGrid>
      <w:tr w:rsidR="00654DEB" w:rsidTr="00654DEB">
        <w:trPr>
          <w:cnfStyle w:val="100000000000" w:firstRow="1" w:lastRow="0" w:firstColumn="0" w:lastColumn="0" w:oddVBand="0" w:evenVBand="0" w:oddHBand="0" w:evenHBand="0" w:firstRowFirstColumn="0" w:firstRowLastColumn="0" w:lastRowFirstColumn="0" w:lastRowLastColumn="0"/>
        </w:trPr>
        <w:tc>
          <w:tcPr>
            <w:tcW w:w="4346" w:type="dxa"/>
          </w:tcPr>
          <w:p w:rsidR="00654DEB" w:rsidRDefault="00654DEB" w:rsidP="00654DEB">
            <w:r>
              <w:t>Ancillary reference service</w:t>
            </w:r>
          </w:p>
        </w:tc>
        <w:tc>
          <w:tcPr>
            <w:tcW w:w="4347" w:type="dxa"/>
          </w:tcPr>
          <w:p w:rsidR="00654DEB" w:rsidRDefault="00654DEB" w:rsidP="00654DEB">
            <w:r>
              <w:t>Description of service</w:t>
            </w:r>
          </w:p>
        </w:tc>
      </w:tr>
      <w:tr w:rsidR="00654DEB" w:rsidTr="00654DEB">
        <w:tc>
          <w:tcPr>
            <w:tcW w:w="4346" w:type="dxa"/>
          </w:tcPr>
          <w:p w:rsidR="00654DEB" w:rsidRDefault="00654DEB" w:rsidP="00654DEB">
            <w:r>
              <w:t>Special meter reads</w:t>
            </w:r>
          </w:p>
        </w:tc>
        <w:tc>
          <w:tcPr>
            <w:tcW w:w="4347" w:type="dxa"/>
          </w:tcPr>
          <w:p w:rsidR="00654DEB" w:rsidRPr="00654DEB" w:rsidRDefault="00654DEB" w:rsidP="00654DEB">
            <w:r>
              <w:t xml:space="preserve">Meter reading for a delivery point that is in addition </w:t>
            </w:r>
            <w:r w:rsidRPr="00654DEB">
              <w:t>to the scheduled meter reading</w:t>
            </w:r>
          </w:p>
        </w:tc>
      </w:tr>
      <w:tr w:rsidR="00654DEB" w:rsidTr="00654DEB">
        <w:trPr>
          <w:cnfStyle w:val="000000010000" w:firstRow="0" w:lastRow="0" w:firstColumn="0" w:lastColumn="0" w:oddVBand="0" w:evenVBand="0" w:oddHBand="0" w:evenHBand="1" w:firstRowFirstColumn="0" w:firstRowLastColumn="0" w:lastRowFirstColumn="0" w:lastRowLastColumn="0"/>
        </w:trPr>
        <w:tc>
          <w:tcPr>
            <w:tcW w:w="4346" w:type="dxa"/>
          </w:tcPr>
          <w:p w:rsidR="00654DEB" w:rsidRPr="00654DEB" w:rsidRDefault="00654DEB" w:rsidP="00654DEB">
            <w:r>
              <w:t>Disconnections</w:t>
            </w:r>
          </w:p>
        </w:tc>
        <w:tc>
          <w:tcPr>
            <w:tcW w:w="4347" w:type="dxa"/>
          </w:tcPr>
          <w:p w:rsidR="00654DEB" w:rsidRPr="00654DEB" w:rsidRDefault="00654DEB" w:rsidP="00654DEB">
            <w:r>
              <w:t>Disconnection to prevent the withdrawal of gas at the delivery point (the method of disconnection is at the discretion of ActewAGL)</w:t>
            </w:r>
          </w:p>
        </w:tc>
      </w:tr>
      <w:tr w:rsidR="00654DEB" w:rsidTr="00654DEB">
        <w:tc>
          <w:tcPr>
            <w:tcW w:w="4346" w:type="dxa"/>
          </w:tcPr>
          <w:p w:rsidR="00654DEB" w:rsidRPr="00654DEB" w:rsidRDefault="00654DEB" w:rsidP="00654DEB">
            <w:r>
              <w:t>Reconnections</w:t>
            </w:r>
          </w:p>
        </w:tc>
        <w:tc>
          <w:tcPr>
            <w:tcW w:w="4347" w:type="dxa"/>
          </w:tcPr>
          <w:p w:rsidR="00654DEB" w:rsidRPr="00654DEB" w:rsidRDefault="00654DEB" w:rsidP="00654DEB">
            <w:r>
              <w:t>Reconnection to allow the withdrawal of gas at the delivery point but only where the equipment to allow the withdrawal of gas is still present at the delivery point</w:t>
            </w:r>
          </w:p>
        </w:tc>
      </w:tr>
      <w:tr w:rsidR="00654DEB" w:rsidTr="00654DEB">
        <w:trPr>
          <w:cnfStyle w:val="000000010000" w:firstRow="0" w:lastRow="0" w:firstColumn="0" w:lastColumn="0" w:oddVBand="0" w:evenVBand="0" w:oddHBand="0" w:evenHBand="1" w:firstRowFirstColumn="0" w:firstRowLastColumn="0" w:lastRowFirstColumn="0" w:lastRowLastColumn="0"/>
        </w:trPr>
        <w:tc>
          <w:tcPr>
            <w:tcW w:w="4346" w:type="dxa"/>
          </w:tcPr>
          <w:p w:rsidR="00654DEB" w:rsidRPr="00654DEB" w:rsidRDefault="00654DEB" w:rsidP="00654DEB">
            <w:r>
              <w:t>Decommissioning and meter removals (new)</w:t>
            </w:r>
          </w:p>
        </w:tc>
        <w:tc>
          <w:tcPr>
            <w:tcW w:w="4347" w:type="dxa"/>
          </w:tcPr>
          <w:p w:rsidR="00654DEB" w:rsidRPr="00654DEB" w:rsidRDefault="00654DEB" w:rsidP="00654DEB">
            <w:r>
              <w:t xml:space="preserve">Removal of a </w:t>
            </w:r>
            <w:bookmarkStart w:id="29" w:name="_GoBack"/>
            <w:bookmarkEnd w:id="29"/>
            <w:r>
              <w:t>meter and the permanent decommissioning of a network connection (the method of disconnection is at the discretion of ActewAGL)</w:t>
            </w:r>
          </w:p>
        </w:tc>
      </w:tr>
      <w:tr w:rsidR="00654DEB" w:rsidTr="00654DEB">
        <w:tc>
          <w:tcPr>
            <w:tcW w:w="4346" w:type="dxa"/>
          </w:tcPr>
          <w:p w:rsidR="00654DEB" w:rsidRPr="00654DEB" w:rsidRDefault="00654DEB" w:rsidP="00654DEB">
            <w:r>
              <w:t>Request for service</w:t>
            </w:r>
          </w:p>
        </w:tc>
        <w:tc>
          <w:tcPr>
            <w:tcW w:w="4347" w:type="dxa"/>
          </w:tcPr>
          <w:p w:rsidR="00654DEB" w:rsidRPr="00654DEB" w:rsidRDefault="00654DEB" w:rsidP="00654DEB">
            <w:r>
              <w:t>Network users wishing to obtain a transport service for a delivery point must submit a request for service in accordance with the request</w:t>
            </w:r>
            <w:r>
              <w:noBreakHyphen/>
              <w:t>for</w:t>
            </w:r>
            <w:r>
              <w:noBreakHyphen/>
              <w:t>service procedure set out in the access arrangement.</w:t>
            </w:r>
          </w:p>
        </w:tc>
      </w:tr>
    </w:tbl>
    <w:p w:rsidR="00654DEB" w:rsidRPr="00654DEB" w:rsidRDefault="00654DEB" w:rsidP="00975431">
      <w:pPr>
        <w:pStyle w:val="AERtablesource"/>
      </w:pPr>
      <w:r>
        <w:t>Source:</w:t>
      </w:r>
      <w:r>
        <w:tab/>
      </w:r>
      <w:r w:rsidRPr="00654DEB">
        <w:t xml:space="preserve">AER, </w:t>
      </w:r>
      <w:r w:rsidRPr="00975431">
        <w:rPr>
          <w:rStyle w:val="AERtextitalic"/>
        </w:rPr>
        <w:t>Draft decision: ActewAGL Distribution access arrangement 2016 to 2021: Attachment 10–Reference tariff setting</w:t>
      </w:r>
      <w:r w:rsidRPr="00654DEB">
        <w:t xml:space="preserve">, November 2015, p. </w:t>
      </w:r>
      <w:r w:rsidR="00432A98">
        <w:t>10-</w:t>
      </w:r>
      <w:r w:rsidRPr="00654DEB">
        <w:t>8</w:t>
      </w:r>
      <w:r w:rsidR="00975431">
        <w:t xml:space="preserve">, Table 10.2; </w:t>
      </w:r>
      <w:r w:rsidR="00DA70BD" w:rsidRPr="00DA70BD">
        <w:t>ActewAGL</w:t>
      </w:r>
      <w:r w:rsidR="00DA70BD">
        <w:t xml:space="preserve"> Distribution</w:t>
      </w:r>
      <w:r w:rsidR="00DA70BD" w:rsidRPr="00DA70BD">
        <w:t xml:space="preserve">, </w:t>
      </w:r>
      <w:r w:rsidR="00DA70BD" w:rsidRPr="00DA70BD">
        <w:rPr>
          <w:rStyle w:val="AERtextitalic"/>
        </w:rPr>
        <w:t>Access arrangement</w:t>
      </w:r>
      <w:r w:rsidR="00DA70BD">
        <w:rPr>
          <w:rStyle w:val="AERtextitalic"/>
        </w:rPr>
        <w:t xml:space="preserve"> for the </w:t>
      </w:r>
      <w:r w:rsidR="00DA70BD" w:rsidRPr="00DA70BD">
        <w:rPr>
          <w:rStyle w:val="AERtextitalic"/>
        </w:rPr>
        <w:t>ACT, Queanbeyan and Palerang</w:t>
      </w:r>
      <w:r w:rsidR="00DA70BD">
        <w:rPr>
          <w:rStyle w:val="AERtextitalic"/>
        </w:rPr>
        <w:t xml:space="preserve"> gas distribution network 1 July 2016 – 30 June 2021 — (incorporating revisions that address matters raised in the AER draft decision)</w:t>
      </w:r>
      <w:r w:rsidR="00DA70BD">
        <w:t>, January 2016, Schedule 3.</w:t>
      </w:r>
    </w:p>
    <w:p w:rsidR="00E975A6" w:rsidRDefault="00E975A6" w:rsidP="00E975A6">
      <w:pPr>
        <w:pStyle w:val="Heading3"/>
      </w:pPr>
      <w:bookmarkStart w:id="30" w:name="_Toc451762336"/>
      <w:r>
        <w:t>Allocation of revenues and costs to reference tariffs</w:t>
      </w:r>
      <w:bookmarkEnd w:id="30"/>
    </w:p>
    <w:p w:rsidR="00E975A6" w:rsidRPr="00E975A6" w:rsidRDefault="002A4736" w:rsidP="00E975A6">
      <w:r>
        <w:t xml:space="preserve">For the reasons set out in </w:t>
      </w:r>
      <w:r w:rsidR="00E975A6" w:rsidRPr="00E975A6">
        <w:t>our draf</w:t>
      </w:r>
      <w:r w:rsidR="00E975A6">
        <w:t>t decision, we are satisfied ActewAGL</w:t>
      </w:r>
      <w:r w:rsidR="00E975A6" w:rsidRPr="00E975A6">
        <w:t>’s approach to allocating revenue and costs bet</w:t>
      </w:r>
      <w:r w:rsidR="00E975A6">
        <w:t>ween reference services and non</w:t>
      </w:r>
      <w:r w:rsidR="00E975A6">
        <w:noBreakHyphen/>
      </w:r>
      <w:r w:rsidR="00E975A6" w:rsidRPr="00E975A6">
        <w:t>reference services comply with the NGR</w:t>
      </w:r>
      <w:r w:rsidR="00D306E3">
        <w:rPr>
          <w:rStyle w:val="FootnoteReference"/>
        </w:rPr>
        <w:footnoteReference w:id="30"/>
      </w:r>
      <w:r w:rsidR="00E975A6" w:rsidRPr="00E975A6">
        <w:t xml:space="preserve"> for the following reasons:</w:t>
      </w:r>
    </w:p>
    <w:p w:rsidR="00E975A6" w:rsidRPr="00E975A6" w:rsidRDefault="00D306E3" w:rsidP="00E975A6">
      <w:pPr>
        <w:pStyle w:val="AERbulletlistfirststyle"/>
      </w:pPr>
      <w:r>
        <w:t>ActewAGL</w:t>
      </w:r>
      <w:r w:rsidR="00E975A6" w:rsidRPr="00E975A6">
        <w:t>’s proposed costs relating to its reference services do not include costs incurred (and recovered) from the provision of its non–reference services.</w:t>
      </w:r>
    </w:p>
    <w:p w:rsidR="00E975A6" w:rsidRPr="00E975A6" w:rsidRDefault="00D306E3" w:rsidP="00E975A6">
      <w:pPr>
        <w:pStyle w:val="AERbulletlistfirststyle"/>
      </w:pPr>
      <w:r>
        <w:t>ActewAGL</w:t>
      </w:r>
      <w:r w:rsidR="00E975A6" w:rsidRPr="00E975A6">
        <w:t xml:space="preserve"> has not allocated the non–reference service revenue to a reference service because the underlying cos</w:t>
      </w:r>
      <w:r>
        <w:t>ts have not been included in ActewAGL</w:t>
      </w:r>
      <w:r w:rsidR="00E975A6" w:rsidRPr="00E975A6">
        <w:t>’s building block revenues.</w:t>
      </w:r>
    </w:p>
    <w:p w:rsidR="00E975A6" w:rsidRPr="00E975A6" w:rsidRDefault="00D306E3" w:rsidP="00E975A6">
      <w:pPr>
        <w:pStyle w:val="AERbulletlistfirststyle"/>
      </w:pPr>
      <w:r>
        <w:t>ActewAGL</w:t>
      </w:r>
      <w:r w:rsidR="00E975A6" w:rsidRPr="00E975A6">
        <w:t>'s proposal included information outlining its stand–alone costs, long run marginal costs and incremental costs which we have no objection to.</w:t>
      </w:r>
    </w:p>
    <w:p w:rsidR="00E975A6" w:rsidRDefault="00E975A6" w:rsidP="00095166">
      <w:pPr>
        <w:pStyle w:val="Heading3"/>
        <w:keepNext/>
      </w:pPr>
      <w:bookmarkStart w:id="31" w:name="_Toc451762337"/>
      <w:r>
        <w:t>Establishment of tariff classes</w:t>
      </w:r>
      <w:bookmarkEnd w:id="31"/>
    </w:p>
    <w:p w:rsidR="00D306E3" w:rsidRPr="00D306E3" w:rsidRDefault="00D306E3" w:rsidP="00095166">
      <w:pPr>
        <w:keepNext/>
      </w:pPr>
      <w:r w:rsidRPr="00D306E3">
        <w:t>ActewAGL groups its customers by the nature of the haulage reference service (volume or demand) and classifies them by the type of end user (residential or business).</w:t>
      </w:r>
      <w:r w:rsidR="005C22FD">
        <w:rPr>
          <w:rStyle w:val="FootnoteReference"/>
        </w:rPr>
        <w:footnoteReference w:id="31"/>
      </w:r>
      <w:r w:rsidRPr="00D306E3">
        <w:t xml:space="preserve"> We consider that these characteristics are likely to be the driver of costs within ActewAGL's gas distribution network. Therefore, using them to group customers into tariff classes is appropriate. We note ActewAGL’s proposed tariff classes are consistent with the tariff classes applied by other gas distribution networks.</w:t>
      </w:r>
      <w:r>
        <w:rPr>
          <w:rStyle w:val="FootnoteReference"/>
        </w:rPr>
        <w:footnoteReference w:id="32"/>
      </w:r>
    </w:p>
    <w:p w:rsidR="00E975A6" w:rsidRDefault="00D306E3" w:rsidP="00D306E3">
      <w:r w:rsidRPr="00D306E3">
        <w:t>Based on the above reasons, we are satisfied that the proposed tariff classes are consistent with the requirements of the NGR.</w:t>
      </w:r>
      <w:r>
        <w:rPr>
          <w:rStyle w:val="FootnoteReference"/>
        </w:rPr>
        <w:footnoteReference w:id="33"/>
      </w:r>
    </w:p>
    <w:p w:rsidR="00E975A6" w:rsidRDefault="00E975A6" w:rsidP="00E975A6">
      <w:pPr>
        <w:pStyle w:val="Heading3"/>
      </w:pPr>
      <w:bookmarkStart w:id="32" w:name="_Toc451762338"/>
      <w:r>
        <w:t>Tariff classes and revenue limits</w:t>
      </w:r>
      <w:bookmarkEnd w:id="32"/>
    </w:p>
    <w:p w:rsidR="00D306E3" w:rsidRPr="00D306E3" w:rsidRDefault="00D306E3" w:rsidP="00D306E3">
      <w:r w:rsidRPr="00D306E3">
        <w:t>O</w:t>
      </w:r>
      <w:r>
        <w:t>ur draft decision considered ActewAGL</w:t>
      </w:r>
      <w:r w:rsidRPr="00D306E3">
        <w:t>'s initial proposed reference tariffs were consistent with the NGR requirements for tariff classes and revenue limits.</w:t>
      </w:r>
      <w:r>
        <w:rPr>
          <w:rStyle w:val="FootnoteReference"/>
        </w:rPr>
        <w:footnoteReference w:id="34"/>
      </w:r>
      <w:r w:rsidRPr="00D306E3">
        <w:t xml:space="preserve"> Our final decision maintains this consideration.</w:t>
      </w:r>
    </w:p>
    <w:p w:rsidR="00D306E3" w:rsidRPr="00D306E3" w:rsidRDefault="00D306E3" w:rsidP="00D306E3">
      <w:r>
        <w:t>Our draft decision assessed ActewAGL</w:t>
      </w:r>
      <w:r w:rsidRPr="00D306E3">
        <w:t>'s tariff classes and revenue limits against the following NGR considerations:</w:t>
      </w:r>
    </w:p>
    <w:p w:rsidR="00D306E3" w:rsidRPr="00D306E3" w:rsidRDefault="005C22FD" w:rsidP="000107B7">
      <w:pPr>
        <w:pStyle w:val="AERnumberedlistsecondstyle"/>
        <w:numPr>
          <w:ilvl w:val="0"/>
          <w:numId w:val="29"/>
        </w:numPr>
      </w:pPr>
      <w:r>
        <w:t xml:space="preserve">whether </w:t>
      </w:r>
      <w:r w:rsidR="00D306E3" w:rsidRPr="00D306E3">
        <w:t>the expected average revenue of a tariff class compares with the stand–alone cost and avoidable cost of providing the reference service to that tariff class</w:t>
      </w:r>
    </w:p>
    <w:p w:rsidR="00D306E3" w:rsidRPr="00D306E3" w:rsidRDefault="00D306E3" w:rsidP="000107B7">
      <w:pPr>
        <w:pStyle w:val="AERnumberedlistsecondstyle"/>
        <w:numPr>
          <w:ilvl w:val="0"/>
          <w:numId w:val="29"/>
        </w:numPr>
      </w:pPr>
      <w:r w:rsidRPr="00D306E3">
        <w:t>whether the tariff takes into account transaction costs associated with developing and applying the tariff</w:t>
      </w:r>
    </w:p>
    <w:p w:rsidR="00D306E3" w:rsidRPr="00D306E3" w:rsidRDefault="00D306E3" w:rsidP="000107B7">
      <w:pPr>
        <w:pStyle w:val="AERnumberedlistsecondstyle"/>
        <w:numPr>
          <w:ilvl w:val="0"/>
          <w:numId w:val="29"/>
        </w:numPr>
      </w:pPr>
      <w:r w:rsidRPr="00D306E3">
        <w:t>whether the tariffs take into account the long run marginal costs of reference services</w:t>
      </w:r>
    </w:p>
    <w:p w:rsidR="00E975A6" w:rsidRDefault="00D306E3" w:rsidP="000107B7">
      <w:pPr>
        <w:pStyle w:val="AERnumberedlistsecondstyle"/>
        <w:numPr>
          <w:ilvl w:val="0"/>
          <w:numId w:val="29"/>
        </w:numPr>
      </w:pPr>
      <w:proofErr w:type="gramStart"/>
      <w:r w:rsidRPr="00D306E3">
        <w:t>whether</w:t>
      </w:r>
      <w:proofErr w:type="gramEnd"/>
      <w:r w:rsidRPr="00D306E3">
        <w:t xml:space="preserve"> customers belonging to the relevant tariff class are able, or likely, to respond to price signals.</w:t>
      </w:r>
      <w:r>
        <w:rPr>
          <w:rStyle w:val="FootnoteReference"/>
        </w:rPr>
        <w:footnoteReference w:id="35"/>
      </w:r>
    </w:p>
    <w:p w:rsidR="00E975A6" w:rsidRDefault="00E975A6" w:rsidP="00095166">
      <w:pPr>
        <w:pStyle w:val="HeadingBoldBlue"/>
        <w:keepNext/>
      </w:pPr>
      <w:r>
        <w:t>Stand–alone and avoidable costs</w:t>
      </w:r>
    </w:p>
    <w:p w:rsidR="00D306E3" w:rsidRPr="00D306E3" w:rsidRDefault="00D306E3" w:rsidP="00095166">
      <w:pPr>
        <w:keepNext/>
      </w:pPr>
      <w:r w:rsidRPr="00D306E3">
        <w:t>We maintain our draft decision consideration</w:t>
      </w:r>
      <w:r>
        <w:rPr>
          <w:rStyle w:val="FootnoteReference"/>
        </w:rPr>
        <w:footnoteReference w:id="36"/>
      </w:r>
      <w:r w:rsidR="000C20AF">
        <w:t xml:space="preserve"> that ActewAGL</w:t>
      </w:r>
      <w:r w:rsidRPr="00D306E3">
        <w:t>'s proposed reference tariffs are consistent with the NGR requirements</w:t>
      </w:r>
      <w:r w:rsidR="00C6399A">
        <w:rPr>
          <w:rStyle w:val="FootnoteReference"/>
        </w:rPr>
        <w:footnoteReference w:id="37"/>
      </w:r>
      <w:r w:rsidRPr="00D306E3">
        <w:t xml:space="preserve"> because the expected revenue to be recovered lies on or between:</w:t>
      </w:r>
    </w:p>
    <w:p w:rsidR="00D306E3" w:rsidRPr="00D306E3" w:rsidRDefault="00D306E3" w:rsidP="00095166">
      <w:pPr>
        <w:pStyle w:val="AERbulletlistfirststyle"/>
        <w:keepNext/>
      </w:pPr>
      <w:r w:rsidRPr="00D306E3">
        <w:t>an upper bound representing the stand–alone cost of providing the reference service to customers who belong to that tariff class</w:t>
      </w:r>
    </w:p>
    <w:p w:rsidR="00E975A6" w:rsidRDefault="00D306E3" w:rsidP="00D306E3">
      <w:pPr>
        <w:pStyle w:val="AERbulletlistfirststyle"/>
      </w:pPr>
      <w:proofErr w:type="gramStart"/>
      <w:r w:rsidRPr="00D306E3">
        <w:t>a</w:t>
      </w:r>
      <w:proofErr w:type="gramEnd"/>
      <w:r w:rsidRPr="00D306E3">
        <w:t xml:space="preserve"> lower bound representing the avoidable cost of not providing the referen</w:t>
      </w:r>
      <w:r w:rsidR="00C6399A">
        <w:t>ce service to those customers.</w:t>
      </w:r>
      <w:r w:rsidR="00C6399A">
        <w:rPr>
          <w:rStyle w:val="FootnoteReference"/>
        </w:rPr>
        <w:footnoteReference w:id="38"/>
      </w:r>
    </w:p>
    <w:p w:rsidR="00E975A6" w:rsidRDefault="00E975A6" w:rsidP="00E975A6">
      <w:pPr>
        <w:pStyle w:val="HeadingBoldBlue"/>
      </w:pPr>
      <w:r>
        <w:t>Transaction costs</w:t>
      </w:r>
    </w:p>
    <w:p w:rsidR="00765CEE" w:rsidRDefault="002F2F7F" w:rsidP="00E975A6">
      <w:r>
        <w:t>In o</w:t>
      </w:r>
      <w:r w:rsidR="00B00298" w:rsidRPr="00B00298">
        <w:t>ur draft</w:t>
      </w:r>
      <w:r w:rsidR="00B00298">
        <w:t xml:space="preserve"> decision </w:t>
      </w:r>
      <w:r>
        <w:t>we were</w:t>
      </w:r>
      <w:r w:rsidR="00B00298">
        <w:t xml:space="preserve"> satisfied that ActewAGL</w:t>
      </w:r>
      <w:r w:rsidR="00B00298" w:rsidRPr="00B00298">
        <w:t>’s proposed reference tariffs took into account transaction costs associated with the tariff and the need to avoid them where possible.</w:t>
      </w:r>
      <w:r w:rsidR="00B00298">
        <w:rPr>
          <w:rStyle w:val="FootnoteReference"/>
        </w:rPr>
        <w:footnoteReference w:id="39"/>
      </w:r>
      <w:r w:rsidR="00765CEE">
        <w:t xml:space="preserve"> </w:t>
      </w:r>
      <w:r w:rsidR="00B00298" w:rsidRPr="00B00298">
        <w:t>We consider</w:t>
      </w:r>
      <w:r w:rsidR="00765CEE">
        <w:t>ed</w:t>
      </w:r>
      <w:r w:rsidR="00B00298" w:rsidRPr="00B00298">
        <w:t xml:space="preserve"> ActewAGL has undertaken best endeavours to minimise transaction costs across access arrangements. </w:t>
      </w:r>
    </w:p>
    <w:p w:rsidR="00E975A6" w:rsidRDefault="00B00298" w:rsidP="00E975A6">
      <w:r w:rsidRPr="00B00298">
        <w:t>However, we acknowledge that additional administrative costs will be incurred in the transition to the new tariff structure. We consider these to be one</w:t>
      </w:r>
      <w:r w:rsidR="001D396A">
        <w:t>-</w:t>
      </w:r>
      <w:r w:rsidRPr="00B00298">
        <w:t>off costs and are unavoidable. We also consider the benefits of the proposed tariff structure—such as more cost reflective pricing and increasing customers’ ability to respond to price signals—outweigh these incremental administrative costs.</w:t>
      </w:r>
    </w:p>
    <w:p w:rsidR="00E975A6" w:rsidRDefault="00E975A6" w:rsidP="00E975A6">
      <w:pPr>
        <w:pStyle w:val="HeadingBoldBlue"/>
      </w:pPr>
      <w:r>
        <w:t>Long run marginal cost</w:t>
      </w:r>
    </w:p>
    <w:p w:rsidR="00B00298" w:rsidRDefault="00B00298" w:rsidP="00B00298">
      <w:r>
        <w:t>ActewAGL</w:t>
      </w:r>
      <w:r w:rsidRPr="00B00298">
        <w:t xml:space="preserve"> used the Average Incremental Cost approach to calculate the long run marginal cost (LRMC) by tariff class.</w:t>
      </w:r>
      <w:r>
        <w:rPr>
          <w:rStyle w:val="FootnoteReference"/>
        </w:rPr>
        <w:footnoteReference w:id="40"/>
      </w:r>
    </w:p>
    <w:p w:rsidR="00B00298" w:rsidRDefault="00B00298" w:rsidP="00B00298">
      <w:r w:rsidRPr="00B00298">
        <w:t xml:space="preserve">We note our discretion under the NGR on </w:t>
      </w:r>
      <w:r w:rsidR="00825B58" w:rsidRPr="00B00298">
        <w:t>L</w:t>
      </w:r>
      <w:r w:rsidR="00825B58">
        <w:t>RM</w:t>
      </w:r>
      <w:r w:rsidR="00825B58" w:rsidRPr="00B00298">
        <w:t xml:space="preserve">C </w:t>
      </w:r>
      <w:r w:rsidRPr="00B00298">
        <w:t>is limited.</w:t>
      </w:r>
      <w:r>
        <w:rPr>
          <w:rStyle w:val="FootnoteReference"/>
        </w:rPr>
        <w:footnoteReference w:id="41"/>
      </w:r>
      <w:r w:rsidRPr="00B00298">
        <w:t xml:space="preserve"> However, we consider the approach taken by ActewAGL is generally consistent with that applied by other gas distribution networks and has historical precedent in past access arrangements. At any rate we observe that the calculated values of LRMC are sensitive to the assumptions made around a number of different variables. As such, these should only be used as a guide when assessing price levels and structures, rather than be considered definitive.</w:t>
      </w:r>
    </w:p>
    <w:p w:rsidR="00E975A6" w:rsidRDefault="00E975A6" w:rsidP="00E975A6">
      <w:pPr>
        <w:pStyle w:val="HeadingBoldBlue"/>
      </w:pPr>
      <w:r>
        <w:t>Response to price signals</w:t>
      </w:r>
    </w:p>
    <w:p w:rsidR="00341843" w:rsidRPr="00341843" w:rsidRDefault="00341843" w:rsidP="00341843">
      <w:r w:rsidRPr="00341843">
        <w:t>We are satisfied ActewAGL’s proposed reference tariffs have been determined having regard to whether customers are able or like</w:t>
      </w:r>
      <w:r>
        <w:t>ly to respond to price signals.</w:t>
      </w:r>
      <w:r>
        <w:rPr>
          <w:rStyle w:val="FootnoteReference"/>
        </w:rPr>
        <w:footnoteReference w:id="42"/>
      </w:r>
    </w:p>
    <w:p w:rsidR="00341843" w:rsidRPr="00341843" w:rsidRDefault="00341843" w:rsidP="00341843">
      <w:r>
        <w:t>T</w:t>
      </w:r>
      <w:r w:rsidRPr="00341843">
        <w:t>he proposed tariff structure provides for more cost reflective tariffs which will send more appropriate price signals to end customers about their use of the network. These price signals will allow customers to make more informed choices about how they utilise the network.</w:t>
      </w:r>
    </w:p>
    <w:p w:rsidR="007704F3" w:rsidRPr="007704F3" w:rsidRDefault="00341843" w:rsidP="007704F3">
      <w:r w:rsidRPr="00341843">
        <w:t>We also consider the structure of declining b</w:t>
      </w:r>
      <w:r w:rsidR="00C437AC">
        <w:t>l</w:t>
      </w:r>
      <w:r w:rsidRPr="00341843">
        <w:t>ock tariffs is well known to ActewAGL’s customers and their continuation in the 2016–21 access arrangement will allow them to respond to the prices within each block (or band) by adjusting their consumption. Doing so will reduce or increase their overall network charges.</w:t>
      </w:r>
    </w:p>
    <w:sectPr w:rsidR="007704F3" w:rsidRPr="007704F3" w:rsidSect="00B757A6">
      <w:headerReference w:type="even" r:id="rId12"/>
      <w:footerReference w:type="even" r:id="rId13"/>
      <w:footerReference w:type="default" r:id="rId14"/>
      <w:headerReference w:type="first" r:id="rId15"/>
      <w:pgSz w:w="11906" w:h="16838" w:code="9"/>
      <w:pgMar w:top="1440" w:right="1700"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369" w:rsidRPr="00290C63" w:rsidRDefault="00732369" w:rsidP="00290C63">
      <w:r>
        <w:separator/>
      </w:r>
    </w:p>
    <w:p w:rsidR="00732369" w:rsidRDefault="00732369"/>
  </w:endnote>
  <w:endnote w:type="continuationSeparator" w:id="0">
    <w:p w:rsidR="00732369" w:rsidRPr="00290C63" w:rsidRDefault="00732369" w:rsidP="00290C63">
      <w:r>
        <w:continuationSeparator/>
      </w:r>
    </w:p>
    <w:p w:rsidR="00732369" w:rsidRDefault="007323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dge Round">
    <w:altName w:val="Calibri"/>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369" w:rsidRDefault="00732369">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732369" w:rsidRDefault="00732369">
    <w:pPr>
      <w:pStyle w:val="Footer"/>
    </w:pPr>
  </w:p>
  <w:p w:rsidR="00732369" w:rsidRDefault="00732369">
    <w:pPr>
      <w:pStyle w:val="Footer"/>
    </w:pPr>
    <w:r>
      <w:fldChar w:fldCharType="begin"/>
    </w:r>
    <w:r>
      <w:instrText xml:space="preserve"> DOCPROPERTY DocumentID \* MERGEFORMAT </w:instrText>
    </w:r>
    <w:r>
      <w:fldChar w:fldCharType="separate"/>
    </w:r>
    <w:r>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732369" w:rsidRPr="00CA52A2" w:rsidRDefault="00732369" w:rsidP="00CA52A2">
        <w:pPr>
          <w:pStyle w:val="Footer"/>
        </w:pPr>
        <w:r w:rsidRPr="00CA52A2">
          <w:fldChar w:fldCharType="begin"/>
        </w:r>
        <w:r>
          <w:instrText xml:space="preserve"> PAGE   \* MERGEFORMAT </w:instrText>
        </w:r>
        <w:r w:rsidRPr="00CA52A2">
          <w:fldChar w:fldCharType="separate"/>
        </w:r>
        <w:r w:rsidR="00DF6537">
          <w:rPr>
            <w:noProof/>
          </w:rPr>
          <w:t>10-11</w:t>
        </w:r>
        <w:r w:rsidRPr="00CA52A2">
          <w:fldChar w:fldCharType="end"/>
        </w:r>
        <w:r w:rsidRPr="00CA52A2">
          <w:t xml:space="preserve">          Attachment </w:t>
        </w:r>
        <w:r>
          <w:t xml:space="preserve">10 </w:t>
        </w:r>
        <w:r w:rsidRPr="00CA52A2">
          <w:t xml:space="preserve">– </w:t>
        </w:r>
        <w:r>
          <w:t>Reference tariff setting</w:t>
        </w:r>
        <w:r w:rsidRPr="00CA52A2">
          <w:t xml:space="preserve"> | </w:t>
        </w:r>
        <w:r>
          <w:t>Final decision: ActewAGL Distribution Access Arrangement 2016</w:t>
        </w:r>
        <w:r w:rsidRPr="00CA52A2">
          <w:t>–</w:t>
        </w:r>
        <w:r>
          <w:t>21</w:t>
        </w:r>
      </w:p>
    </w:sdtContent>
  </w:sdt>
  <w:p w:rsidR="00732369" w:rsidRDefault="00732369">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369" w:rsidRPr="00290C63" w:rsidRDefault="00732369" w:rsidP="00290C63">
      <w:r>
        <w:separator/>
      </w:r>
    </w:p>
    <w:p w:rsidR="00732369" w:rsidRDefault="00732369"/>
  </w:footnote>
  <w:footnote w:type="continuationSeparator" w:id="0">
    <w:p w:rsidR="00732369" w:rsidRPr="00290C63" w:rsidRDefault="00732369" w:rsidP="00290C63">
      <w:r>
        <w:continuationSeparator/>
      </w:r>
    </w:p>
    <w:p w:rsidR="00732369" w:rsidRDefault="00732369"/>
  </w:footnote>
  <w:footnote w:id="1">
    <w:p w:rsidR="00732369" w:rsidRDefault="00732369" w:rsidP="000A59A7">
      <w:pPr>
        <w:pStyle w:val="FootnoteText"/>
      </w:pPr>
      <w:r>
        <w:rPr>
          <w:rStyle w:val="FootnoteReference"/>
        </w:rPr>
        <w:footnoteRef/>
      </w:r>
      <w:r>
        <w:t xml:space="preserve"> </w:t>
      </w:r>
      <w:r>
        <w:tab/>
      </w:r>
      <w:proofErr w:type="gramStart"/>
      <w:r>
        <w:t>NGL</w:t>
      </w:r>
      <w:r w:rsidRPr="00C722AA">
        <w:t>, ss. 24(2)</w:t>
      </w:r>
      <w:r>
        <w:t>,</w:t>
      </w:r>
      <w:r w:rsidRPr="00C722AA">
        <w:t xml:space="preserve"> 24(5).</w:t>
      </w:r>
      <w:proofErr w:type="gramEnd"/>
    </w:p>
  </w:footnote>
  <w:footnote w:id="2">
    <w:p w:rsidR="00732369" w:rsidRDefault="00732369">
      <w:pPr>
        <w:pStyle w:val="FootnoteText"/>
      </w:pPr>
      <w:r>
        <w:rPr>
          <w:rStyle w:val="FootnoteReference"/>
        </w:rPr>
        <w:footnoteRef/>
      </w:r>
      <w:r w:rsidR="00340122">
        <w:t xml:space="preserve"> </w:t>
      </w:r>
      <w:r w:rsidR="00340122">
        <w:tab/>
        <w:t xml:space="preserve">NGR, </w:t>
      </w:r>
      <w:proofErr w:type="gramStart"/>
      <w:r w:rsidR="00340122">
        <w:t>rr</w:t>
      </w:r>
      <w:proofErr w:type="gramEnd"/>
      <w:r w:rsidR="00340122">
        <w:t xml:space="preserve">. </w:t>
      </w:r>
      <w:proofErr w:type="gramStart"/>
      <w:r w:rsidR="00340122">
        <w:t>93,</w:t>
      </w:r>
      <w:r w:rsidRPr="00C722AA">
        <w:t xml:space="preserve"> 94.</w:t>
      </w:r>
      <w:proofErr w:type="gramEnd"/>
    </w:p>
  </w:footnote>
  <w:footnote w:id="3">
    <w:p w:rsidR="00732369" w:rsidRDefault="00732369">
      <w:pPr>
        <w:pStyle w:val="FootnoteText"/>
      </w:pPr>
      <w:r>
        <w:rPr>
          <w:rStyle w:val="FootnoteReference"/>
        </w:rPr>
        <w:footnoteRef/>
      </w:r>
      <w:r>
        <w:t xml:space="preserve"> </w:t>
      </w:r>
      <w:r>
        <w:tab/>
      </w:r>
      <w:r w:rsidRPr="000E06AA">
        <w:t xml:space="preserve">ActewAGL Distribution, </w:t>
      </w:r>
      <w:r w:rsidRPr="000E06AA">
        <w:rPr>
          <w:rStyle w:val="AERtextitalic"/>
        </w:rPr>
        <w:t>Response to the AER's draft decision: 2016–21 ACT, Queanbeyan and Palerang gas network access arrangement,</w:t>
      </w:r>
      <w:r w:rsidRPr="000E06AA">
        <w:t xml:space="preserve"> January 2016, p</w:t>
      </w:r>
      <w:r>
        <w:t>p</w:t>
      </w:r>
      <w:r w:rsidRPr="000E06AA">
        <w:t xml:space="preserve">. </w:t>
      </w:r>
      <w:r>
        <w:t>103–105</w:t>
      </w:r>
      <w:r w:rsidRPr="000E06AA">
        <w:t>.</w:t>
      </w:r>
    </w:p>
  </w:footnote>
  <w:footnote w:id="4">
    <w:p w:rsidR="00732369" w:rsidRDefault="00732369" w:rsidP="00732369">
      <w:pPr>
        <w:pStyle w:val="FootnoteText"/>
      </w:pPr>
      <w:r>
        <w:rPr>
          <w:rStyle w:val="FootnoteReference"/>
        </w:rPr>
        <w:footnoteRef/>
      </w:r>
      <w:r>
        <w:t xml:space="preserve"> </w:t>
      </w:r>
      <w:r>
        <w:tab/>
      </w:r>
      <w:r w:rsidRPr="00973B99">
        <w:t>ActewAGL</w:t>
      </w:r>
      <w:r>
        <w:t xml:space="preserve"> Distribution</w:t>
      </w:r>
      <w:r w:rsidRPr="00973B99">
        <w:t xml:space="preserve">, </w:t>
      </w:r>
      <w:r w:rsidRPr="00095166">
        <w:rPr>
          <w:rStyle w:val="AERtextitalic"/>
        </w:rPr>
        <w:t>Access Arrangement Information for the 2016-21 ACT, Queanbeyan and Palerang Access Arrangement</w:t>
      </w:r>
      <w:r w:rsidRPr="00732369">
        <w:rPr>
          <w:rStyle w:val="AERtextitalic"/>
        </w:rPr>
        <w:t>,</w:t>
      </w:r>
      <w:r w:rsidRPr="00973B99">
        <w:rPr>
          <w:rStyle w:val="AERtextitalic"/>
        </w:rPr>
        <w:t xml:space="preserve"> Attachment 12: Reference tariffs</w:t>
      </w:r>
      <w:r w:rsidRPr="00973B99">
        <w:t>, June 2015, p. 5.</w:t>
      </w:r>
    </w:p>
  </w:footnote>
  <w:footnote w:id="5">
    <w:p w:rsidR="00732369" w:rsidRDefault="00732369">
      <w:pPr>
        <w:pStyle w:val="FootnoteText"/>
      </w:pPr>
      <w:r>
        <w:rPr>
          <w:rStyle w:val="FootnoteReference"/>
        </w:rPr>
        <w:footnoteRef/>
      </w:r>
      <w:r>
        <w:t xml:space="preserve"> </w:t>
      </w:r>
      <w:r>
        <w:tab/>
      </w:r>
      <w:r w:rsidRPr="003857ED">
        <w:t>ActewAGL</w:t>
      </w:r>
      <w:r>
        <w:t xml:space="preserve"> Distribution</w:t>
      </w:r>
      <w:r w:rsidRPr="003857ED">
        <w:t xml:space="preserve">, </w:t>
      </w:r>
      <w:r w:rsidRPr="00DD10F6">
        <w:rPr>
          <w:rStyle w:val="AERtextitalic"/>
        </w:rPr>
        <w:t xml:space="preserve">Access Arrangement Information for the 2016-21 ACT, Queanbeyan and </w:t>
      </w:r>
      <w:proofErr w:type="spellStart"/>
      <w:r w:rsidRPr="00DD10F6">
        <w:rPr>
          <w:rStyle w:val="AERtextitalic"/>
        </w:rPr>
        <w:t>Palerang</w:t>
      </w:r>
      <w:proofErr w:type="spellEnd"/>
      <w:r w:rsidRPr="00DD10F6">
        <w:rPr>
          <w:rStyle w:val="AERtextitalic"/>
        </w:rPr>
        <w:t xml:space="preserve"> Access Arrangement</w:t>
      </w:r>
      <w:r w:rsidRPr="003857ED">
        <w:rPr>
          <w:rStyle w:val="AERtextitalic"/>
        </w:rPr>
        <w:t>, Attachment 2: Services policy</w:t>
      </w:r>
      <w:r w:rsidRPr="003857ED">
        <w:t>, June 2015, pp. 8–9.</w:t>
      </w:r>
    </w:p>
  </w:footnote>
  <w:footnote w:id="6">
    <w:p w:rsidR="00732369" w:rsidRDefault="00732369" w:rsidP="000A59A7">
      <w:pPr>
        <w:pStyle w:val="FootnoteText"/>
      </w:pPr>
      <w:r>
        <w:rPr>
          <w:rStyle w:val="FootnoteReference"/>
        </w:rPr>
        <w:footnoteRef/>
      </w:r>
      <w:r>
        <w:t xml:space="preserve"> </w:t>
      </w:r>
      <w:r>
        <w:tab/>
      </w:r>
      <w:r w:rsidRPr="00BB330E">
        <w:t xml:space="preserve">NGR, </w:t>
      </w:r>
      <w:proofErr w:type="gramStart"/>
      <w:r w:rsidRPr="00BB330E">
        <w:t>r</w:t>
      </w:r>
      <w:r>
        <w:t>r</w:t>
      </w:r>
      <w:proofErr w:type="gramEnd"/>
      <w:r w:rsidRPr="00BB330E">
        <w:t>. 48(1</w:t>
      </w:r>
      <w:proofErr w:type="gramStart"/>
      <w:r w:rsidRPr="00BB330E">
        <w:t>)(</w:t>
      </w:r>
      <w:proofErr w:type="gramEnd"/>
      <w:r w:rsidRPr="00BB330E">
        <w:t>d)(</w:t>
      </w:r>
      <w:proofErr w:type="spellStart"/>
      <w:r w:rsidRPr="00BB330E">
        <w:t>i</w:t>
      </w:r>
      <w:proofErr w:type="spellEnd"/>
      <w:r w:rsidRPr="00BB330E">
        <w:t>); 72(1)(j)(</w:t>
      </w:r>
      <w:proofErr w:type="spellStart"/>
      <w:r w:rsidRPr="00BB330E">
        <w:t>i</w:t>
      </w:r>
      <w:proofErr w:type="spellEnd"/>
      <w:r w:rsidRPr="00BB330E">
        <w:t>); 72(1)(j)(ii).</w:t>
      </w:r>
    </w:p>
  </w:footnote>
  <w:footnote w:id="7">
    <w:p w:rsidR="00732369" w:rsidRDefault="00732369" w:rsidP="000A59A7">
      <w:pPr>
        <w:pStyle w:val="FootnoteText"/>
      </w:pPr>
      <w:r>
        <w:rPr>
          <w:rStyle w:val="FootnoteReference"/>
        </w:rPr>
        <w:footnoteRef/>
      </w:r>
      <w:r>
        <w:t xml:space="preserve"> </w:t>
      </w:r>
      <w:r>
        <w:tab/>
      </w:r>
      <w:r w:rsidRPr="00BB330E">
        <w:t xml:space="preserve">NGR, </w:t>
      </w:r>
      <w:proofErr w:type="spellStart"/>
      <w:proofErr w:type="gramStart"/>
      <w:r w:rsidRPr="00BB330E">
        <w:t>r</w:t>
      </w:r>
      <w:r w:rsidR="00340122">
        <w:t>r</w:t>
      </w:r>
      <w:proofErr w:type="spellEnd"/>
      <w:proofErr w:type="gramEnd"/>
      <w:r w:rsidRPr="00BB330E">
        <w:t>. 93(1)–(2).</w:t>
      </w:r>
    </w:p>
  </w:footnote>
  <w:footnote w:id="8">
    <w:p w:rsidR="00732369" w:rsidRDefault="00732369" w:rsidP="000A59A7">
      <w:pPr>
        <w:pStyle w:val="FootnoteText"/>
      </w:pPr>
      <w:r>
        <w:rPr>
          <w:rStyle w:val="FootnoteReference"/>
        </w:rPr>
        <w:footnoteRef/>
      </w:r>
      <w:r>
        <w:t xml:space="preserve"> </w:t>
      </w:r>
      <w:r>
        <w:tab/>
      </w:r>
      <w:r w:rsidRPr="00BB330E">
        <w:t>NGR</w:t>
      </w:r>
      <w:r>
        <w:t>,</w:t>
      </w:r>
      <w:r w:rsidRPr="00BB330E">
        <w:t xml:space="preserve"> </w:t>
      </w:r>
      <w:proofErr w:type="spellStart"/>
      <w:proofErr w:type="gramStart"/>
      <w:r w:rsidRPr="00BB330E">
        <w:t>r</w:t>
      </w:r>
      <w:r w:rsidR="00340122">
        <w:t>r</w:t>
      </w:r>
      <w:proofErr w:type="spellEnd"/>
      <w:proofErr w:type="gramEnd"/>
      <w:r w:rsidRPr="00BB330E">
        <w:t>. 94(1)–(2).</w:t>
      </w:r>
    </w:p>
  </w:footnote>
  <w:footnote w:id="9">
    <w:p w:rsidR="00732369" w:rsidRDefault="00732369" w:rsidP="000A59A7">
      <w:pPr>
        <w:pStyle w:val="FootnoteText"/>
      </w:pPr>
      <w:r>
        <w:rPr>
          <w:rStyle w:val="FootnoteReference"/>
        </w:rPr>
        <w:footnoteRef/>
      </w:r>
      <w:r>
        <w:t xml:space="preserve"> </w:t>
      </w:r>
      <w:r>
        <w:tab/>
      </w:r>
      <w:proofErr w:type="gramStart"/>
      <w:r w:rsidRPr="00BB330E">
        <w:t>NGR, r. 94(3).</w:t>
      </w:r>
      <w:proofErr w:type="gramEnd"/>
    </w:p>
  </w:footnote>
  <w:footnote w:id="10">
    <w:p w:rsidR="00732369" w:rsidRDefault="00732369" w:rsidP="000A59A7">
      <w:pPr>
        <w:pStyle w:val="FootnoteText"/>
      </w:pPr>
      <w:r>
        <w:rPr>
          <w:rStyle w:val="FootnoteReference"/>
        </w:rPr>
        <w:footnoteRef/>
      </w:r>
      <w:r>
        <w:t xml:space="preserve"> </w:t>
      </w:r>
      <w:r>
        <w:tab/>
      </w:r>
      <w:r w:rsidRPr="00BB330E">
        <w:t xml:space="preserve">NGR, </w:t>
      </w:r>
      <w:proofErr w:type="spellStart"/>
      <w:proofErr w:type="gramStart"/>
      <w:r w:rsidRPr="00BB330E">
        <w:t>r</w:t>
      </w:r>
      <w:r w:rsidR="00340122">
        <w:t>r</w:t>
      </w:r>
      <w:proofErr w:type="spellEnd"/>
      <w:proofErr w:type="gramEnd"/>
      <w:r w:rsidRPr="00BB330E">
        <w:t>. 94(3)–(4).</w:t>
      </w:r>
    </w:p>
  </w:footnote>
  <w:footnote w:id="11">
    <w:p w:rsidR="00732369" w:rsidRDefault="00732369" w:rsidP="000A59A7">
      <w:pPr>
        <w:pStyle w:val="FootnoteText"/>
      </w:pPr>
      <w:r>
        <w:rPr>
          <w:rStyle w:val="FootnoteReference"/>
        </w:rPr>
        <w:footnoteRef/>
      </w:r>
      <w:r>
        <w:t xml:space="preserve"> </w:t>
      </w:r>
      <w:r>
        <w:tab/>
      </w:r>
      <w:r w:rsidRPr="00BB330E">
        <w:t xml:space="preserve">NGR, </w:t>
      </w:r>
      <w:proofErr w:type="gramStart"/>
      <w:r w:rsidRPr="00BB330E">
        <w:t>rr</w:t>
      </w:r>
      <w:proofErr w:type="gramEnd"/>
      <w:r w:rsidRPr="00BB330E">
        <w:t>. 48(1</w:t>
      </w:r>
      <w:proofErr w:type="gramStart"/>
      <w:r w:rsidRPr="00BB330E">
        <w:t>)(</w:t>
      </w:r>
      <w:proofErr w:type="gramEnd"/>
      <w:r w:rsidRPr="00BB330E">
        <w:t>d)(</w:t>
      </w:r>
      <w:proofErr w:type="spellStart"/>
      <w:r w:rsidRPr="00BB330E">
        <w:t>i</w:t>
      </w:r>
      <w:proofErr w:type="spellEnd"/>
      <w:r w:rsidRPr="00BB330E">
        <w:t>); 72(1)(j)(</w:t>
      </w:r>
      <w:proofErr w:type="spellStart"/>
      <w:r w:rsidRPr="00BB330E">
        <w:t>i</w:t>
      </w:r>
      <w:proofErr w:type="spellEnd"/>
      <w:r w:rsidRPr="00BB330E">
        <w:t>); 72(1)(j)(ii).</w:t>
      </w:r>
    </w:p>
  </w:footnote>
  <w:footnote w:id="12">
    <w:p w:rsidR="00732369" w:rsidRDefault="00732369" w:rsidP="000A59A7">
      <w:pPr>
        <w:pStyle w:val="FootnoteText"/>
      </w:pPr>
      <w:r>
        <w:rPr>
          <w:rStyle w:val="FootnoteReference"/>
        </w:rPr>
        <w:footnoteRef/>
      </w:r>
      <w:r>
        <w:t xml:space="preserve"> </w:t>
      </w:r>
      <w:r>
        <w:tab/>
        <w:t>ActewAGL</w:t>
      </w:r>
      <w:r w:rsidR="00C7389D">
        <w:t xml:space="preserve"> Distribution</w:t>
      </w:r>
      <w:r>
        <w:t xml:space="preserve">, </w:t>
      </w:r>
      <w:r w:rsidRPr="00DD10F6">
        <w:rPr>
          <w:rStyle w:val="AERtextitalic"/>
        </w:rPr>
        <w:t xml:space="preserve">Access Arrangement Information for the 2016-21 ACT, Queanbeyan and </w:t>
      </w:r>
      <w:proofErr w:type="spellStart"/>
      <w:r w:rsidRPr="00DD10F6">
        <w:rPr>
          <w:rStyle w:val="AERtextitalic"/>
        </w:rPr>
        <w:t>Palerang</w:t>
      </w:r>
      <w:proofErr w:type="spellEnd"/>
      <w:r w:rsidRPr="00DD10F6">
        <w:rPr>
          <w:rStyle w:val="AERtextitalic"/>
        </w:rPr>
        <w:t xml:space="preserve"> Access Arrangement,</w:t>
      </w:r>
      <w:r w:rsidRPr="00473D7B">
        <w:rPr>
          <w:rStyle w:val="AERtextitalic"/>
        </w:rPr>
        <w:t xml:space="preserve"> Overview</w:t>
      </w:r>
      <w:r>
        <w:t xml:space="preserve">, June 2015, section 1.19; ActewAGL, </w:t>
      </w:r>
      <w:r w:rsidRPr="00DD10F6">
        <w:rPr>
          <w:rStyle w:val="AERtextitalic"/>
        </w:rPr>
        <w:t xml:space="preserve">Access Arrangement Information for the 2016-21 ACT, Queanbeyan and </w:t>
      </w:r>
      <w:proofErr w:type="spellStart"/>
      <w:r w:rsidRPr="00DD10F6">
        <w:rPr>
          <w:rStyle w:val="AERtextitalic"/>
        </w:rPr>
        <w:t>Palerang</w:t>
      </w:r>
      <w:proofErr w:type="spellEnd"/>
      <w:r w:rsidRPr="00DD10F6">
        <w:rPr>
          <w:rStyle w:val="AERtextitalic"/>
        </w:rPr>
        <w:t xml:space="preserve"> Access Arrangement</w:t>
      </w:r>
      <w:r w:rsidRPr="00621A58">
        <w:rPr>
          <w:rStyle w:val="AERtextitalic"/>
        </w:rPr>
        <w:t>, Attachment 12: Reference tariffs</w:t>
      </w:r>
      <w:r>
        <w:t>, June 2015.</w:t>
      </w:r>
    </w:p>
  </w:footnote>
  <w:footnote w:id="13">
    <w:p w:rsidR="00732369" w:rsidRDefault="00732369" w:rsidP="000A59A7">
      <w:pPr>
        <w:pStyle w:val="FootnoteText"/>
      </w:pPr>
      <w:r>
        <w:rPr>
          <w:rStyle w:val="FootnoteReference"/>
        </w:rPr>
        <w:footnoteRef/>
      </w:r>
      <w:r>
        <w:t xml:space="preserve"> </w:t>
      </w:r>
      <w:r>
        <w:tab/>
      </w:r>
      <w:r w:rsidRPr="00473D7B">
        <w:t>ActewAGL</w:t>
      </w:r>
      <w:r w:rsidR="00C7389D">
        <w:t xml:space="preserve"> Distribution</w:t>
      </w:r>
      <w:r>
        <w:t xml:space="preserve">, </w:t>
      </w:r>
      <w:r w:rsidRPr="00473D7B">
        <w:rPr>
          <w:rStyle w:val="AERtextitalic"/>
        </w:rPr>
        <w:t>Access arrangement for the ACT Queanbeyan and Palerang gas distribution network 1 July 2016 to 30 June 2021</w:t>
      </w:r>
      <w:r>
        <w:t xml:space="preserve">, </w:t>
      </w:r>
      <w:r w:rsidRPr="00473D7B">
        <w:t>July 2015</w:t>
      </w:r>
      <w:r>
        <w:t>.</w:t>
      </w:r>
    </w:p>
  </w:footnote>
  <w:footnote w:id="14">
    <w:p w:rsidR="00732369" w:rsidRDefault="00732369" w:rsidP="000A59A7">
      <w:pPr>
        <w:pStyle w:val="FootnoteText"/>
      </w:pPr>
      <w:r>
        <w:rPr>
          <w:rStyle w:val="FootnoteReference"/>
        </w:rPr>
        <w:footnoteRef/>
      </w:r>
      <w:r>
        <w:t xml:space="preserve"> </w:t>
      </w:r>
      <w:r>
        <w:tab/>
        <w:t>ActewAGL</w:t>
      </w:r>
      <w:r w:rsidR="00C7389D">
        <w:t xml:space="preserve"> Distribution</w:t>
      </w:r>
      <w:r>
        <w:t xml:space="preserve">, </w:t>
      </w:r>
      <w:r w:rsidR="00C7389D" w:rsidRPr="00DD10F6">
        <w:rPr>
          <w:rStyle w:val="AERtextitalic"/>
        </w:rPr>
        <w:t xml:space="preserve">Access Arrangement Information for the 2016-21 ACT, Queanbeyan and </w:t>
      </w:r>
      <w:proofErr w:type="spellStart"/>
      <w:r w:rsidR="00C7389D" w:rsidRPr="00DD10F6">
        <w:rPr>
          <w:rStyle w:val="AERtextitalic"/>
        </w:rPr>
        <w:t>Palerang</w:t>
      </w:r>
      <w:proofErr w:type="spellEnd"/>
      <w:r w:rsidR="00C7389D" w:rsidRPr="00DD10F6">
        <w:rPr>
          <w:rStyle w:val="AERtextitalic"/>
        </w:rPr>
        <w:t xml:space="preserve"> Access Arrangement,</w:t>
      </w:r>
      <w:r w:rsidRPr="00473D7B">
        <w:rPr>
          <w:rStyle w:val="AERtextitalic"/>
        </w:rPr>
        <w:t xml:space="preserve"> Appendix 12.01: Tariff structures statement</w:t>
      </w:r>
      <w:r>
        <w:t>, June 2015.</w:t>
      </w:r>
    </w:p>
  </w:footnote>
  <w:footnote w:id="15">
    <w:p w:rsidR="00732369" w:rsidRDefault="00732369" w:rsidP="000A59A7">
      <w:pPr>
        <w:pStyle w:val="FootnoteText"/>
      </w:pPr>
      <w:r>
        <w:rPr>
          <w:rStyle w:val="FootnoteReference"/>
        </w:rPr>
        <w:footnoteRef/>
      </w:r>
      <w:r>
        <w:t xml:space="preserve"> </w:t>
      </w:r>
      <w:r>
        <w:tab/>
      </w:r>
      <w:proofErr w:type="gramStart"/>
      <w:r w:rsidRPr="000E0AE4">
        <w:t>NGR, r. 59.</w:t>
      </w:r>
      <w:proofErr w:type="gramEnd"/>
    </w:p>
  </w:footnote>
  <w:footnote w:id="16">
    <w:p w:rsidR="00732369" w:rsidRDefault="00732369" w:rsidP="000A59A7">
      <w:pPr>
        <w:pStyle w:val="FootnoteText"/>
      </w:pPr>
      <w:r>
        <w:rPr>
          <w:rStyle w:val="FootnoteReference"/>
        </w:rPr>
        <w:footnoteRef/>
      </w:r>
      <w:r>
        <w:t xml:space="preserve"> </w:t>
      </w:r>
      <w:r>
        <w:tab/>
        <w:t>NGR, r. 48(1</w:t>
      </w:r>
      <w:proofErr w:type="gramStart"/>
      <w:r>
        <w:t>)(</w:t>
      </w:r>
      <w:proofErr w:type="gramEnd"/>
      <w:r>
        <w:t>d)(</w:t>
      </w:r>
      <w:proofErr w:type="spellStart"/>
      <w:r>
        <w:t>i</w:t>
      </w:r>
      <w:proofErr w:type="spellEnd"/>
      <w:r>
        <w:t>).</w:t>
      </w:r>
    </w:p>
  </w:footnote>
  <w:footnote w:id="17">
    <w:p w:rsidR="00732369" w:rsidRDefault="00732369" w:rsidP="000A59A7">
      <w:pPr>
        <w:pStyle w:val="FootnoteText"/>
      </w:pPr>
      <w:r>
        <w:rPr>
          <w:rStyle w:val="FootnoteReference"/>
        </w:rPr>
        <w:footnoteRef/>
      </w:r>
      <w:r>
        <w:t xml:space="preserve"> </w:t>
      </w:r>
      <w:r>
        <w:tab/>
      </w:r>
      <w:proofErr w:type="gramStart"/>
      <w:r w:rsidR="00B1133A" w:rsidRPr="00473D7B">
        <w:rPr>
          <w:rStyle w:val="AERtextitalic"/>
        </w:rPr>
        <w:t>Access arrangement for the ACT Queanbeyan and Palerang gas distribution network 1 July 2016 to 30 June 2021</w:t>
      </w:r>
      <w:r>
        <w:t>, sections 2 and 3.</w:t>
      </w:r>
      <w:proofErr w:type="gramEnd"/>
    </w:p>
  </w:footnote>
  <w:footnote w:id="18">
    <w:p w:rsidR="00732369" w:rsidRDefault="00732369" w:rsidP="000A59A7">
      <w:pPr>
        <w:pStyle w:val="FootnoteText"/>
      </w:pPr>
      <w:r>
        <w:rPr>
          <w:rStyle w:val="FootnoteReference"/>
        </w:rPr>
        <w:footnoteRef/>
      </w:r>
      <w:r>
        <w:t xml:space="preserve"> </w:t>
      </w:r>
      <w:r>
        <w:tab/>
      </w:r>
      <w:proofErr w:type="gramStart"/>
      <w:r w:rsidRPr="006F621F">
        <w:t>NGR, r. 94(6).</w:t>
      </w:r>
      <w:proofErr w:type="gramEnd"/>
    </w:p>
  </w:footnote>
  <w:footnote w:id="19">
    <w:p w:rsidR="00732369" w:rsidRDefault="00732369" w:rsidP="000A59A7">
      <w:pPr>
        <w:pStyle w:val="FootnoteText"/>
      </w:pPr>
      <w:r>
        <w:rPr>
          <w:rStyle w:val="FootnoteReference"/>
        </w:rPr>
        <w:footnoteRef/>
      </w:r>
      <w:r>
        <w:t xml:space="preserve"> </w:t>
      </w:r>
      <w:r>
        <w:tab/>
      </w:r>
      <w:proofErr w:type="gramStart"/>
      <w:r>
        <w:t>NGR, r. 93(2).</w:t>
      </w:r>
      <w:proofErr w:type="gramEnd"/>
    </w:p>
  </w:footnote>
  <w:footnote w:id="20">
    <w:p w:rsidR="00732369" w:rsidRDefault="00732369" w:rsidP="000A59A7">
      <w:pPr>
        <w:pStyle w:val="FootnoteText"/>
      </w:pPr>
      <w:r>
        <w:rPr>
          <w:rStyle w:val="FootnoteReference"/>
        </w:rPr>
        <w:footnoteRef/>
      </w:r>
      <w:r>
        <w:t xml:space="preserve"> </w:t>
      </w:r>
      <w:r>
        <w:tab/>
      </w:r>
      <w:proofErr w:type="gramStart"/>
      <w:r>
        <w:t>NGR, r. 94(2).</w:t>
      </w:r>
      <w:proofErr w:type="gramEnd"/>
    </w:p>
  </w:footnote>
  <w:footnote w:id="21">
    <w:p w:rsidR="00732369" w:rsidRDefault="00732369" w:rsidP="000A59A7">
      <w:pPr>
        <w:pStyle w:val="FootnoteText"/>
      </w:pPr>
      <w:r>
        <w:rPr>
          <w:rStyle w:val="FootnoteReference"/>
        </w:rPr>
        <w:footnoteRef/>
      </w:r>
      <w:r>
        <w:t xml:space="preserve"> </w:t>
      </w:r>
      <w:r>
        <w:tab/>
        <w:t xml:space="preserve">NGR, </w:t>
      </w:r>
      <w:proofErr w:type="spellStart"/>
      <w:proofErr w:type="gramStart"/>
      <w:r w:rsidR="00340122">
        <w:t>r</w:t>
      </w:r>
      <w:r>
        <w:t>r</w:t>
      </w:r>
      <w:proofErr w:type="spellEnd"/>
      <w:proofErr w:type="gramEnd"/>
      <w:r>
        <w:t>. 94(3)–(4).</w:t>
      </w:r>
    </w:p>
  </w:footnote>
  <w:footnote w:id="22">
    <w:p w:rsidR="00732369" w:rsidRDefault="00732369">
      <w:pPr>
        <w:pStyle w:val="FootnoteText"/>
      </w:pPr>
      <w:r>
        <w:rPr>
          <w:rStyle w:val="FootnoteReference"/>
        </w:rPr>
        <w:footnoteRef/>
      </w:r>
      <w:r>
        <w:t xml:space="preserve"> </w:t>
      </w:r>
      <w:r>
        <w:tab/>
      </w:r>
      <w:r w:rsidRPr="00660C7A">
        <w:t xml:space="preserve">NGR, </w:t>
      </w:r>
      <w:proofErr w:type="gramStart"/>
      <w:r w:rsidRPr="00660C7A">
        <w:t>rr</w:t>
      </w:r>
      <w:proofErr w:type="gramEnd"/>
      <w:r w:rsidRPr="00660C7A">
        <w:t xml:space="preserve">. </w:t>
      </w:r>
      <w:proofErr w:type="gramStart"/>
      <w:r w:rsidRPr="00660C7A">
        <w:t>93, 95.</w:t>
      </w:r>
      <w:proofErr w:type="gramEnd"/>
    </w:p>
  </w:footnote>
  <w:footnote w:id="23">
    <w:p w:rsidR="00732369" w:rsidRDefault="00732369">
      <w:pPr>
        <w:pStyle w:val="FootnoteText"/>
      </w:pPr>
      <w:r>
        <w:rPr>
          <w:rStyle w:val="FootnoteReference"/>
        </w:rPr>
        <w:footnoteRef/>
      </w:r>
      <w:r>
        <w:t xml:space="preserve"> </w:t>
      </w:r>
      <w:r>
        <w:tab/>
      </w:r>
      <w:r w:rsidRPr="00E975A6">
        <w:t xml:space="preserve">For example see: Jemena Gas Networks (New South Wales), </w:t>
      </w:r>
      <w:r w:rsidRPr="00E975A6">
        <w:rPr>
          <w:rStyle w:val="AERtextitalic"/>
        </w:rPr>
        <w:t>Access arrangement: JGN’s NSW gas distribution networks 1 July 2015–30 June 2020—(Incorporating revisions required by AER Final Decision 3 June 2015)</w:t>
      </w:r>
      <w:r w:rsidRPr="00E975A6">
        <w:t>, June 2015, schedule 2.</w:t>
      </w:r>
    </w:p>
  </w:footnote>
  <w:footnote w:id="24">
    <w:p w:rsidR="00732369" w:rsidRDefault="00732369">
      <w:pPr>
        <w:pStyle w:val="FootnoteText"/>
      </w:pPr>
      <w:r>
        <w:rPr>
          <w:rStyle w:val="FootnoteReference"/>
        </w:rPr>
        <w:footnoteRef/>
      </w:r>
      <w:r>
        <w:t xml:space="preserve"> </w:t>
      </w:r>
      <w:r>
        <w:tab/>
      </w:r>
      <w:r w:rsidRPr="00665166">
        <w:t>Multi–appliance tariff category is the term we have used to distinguish these tariff categories from other types of tariff categories. We note ActewAGL simply refers to the multi–appliance tariff categories as ‘other proposed tariff categories’.</w:t>
      </w:r>
    </w:p>
  </w:footnote>
  <w:footnote w:id="25">
    <w:p w:rsidR="00732369" w:rsidRDefault="00732369">
      <w:pPr>
        <w:pStyle w:val="FootnoteText"/>
      </w:pPr>
      <w:r>
        <w:rPr>
          <w:rStyle w:val="FootnoteReference"/>
        </w:rPr>
        <w:footnoteRef/>
      </w:r>
      <w:r>
        <w:t xml:space="preserve"> </w:t>
      </w:r>
      <w:r>
        <w:tab/>
        <w:t xml:space="preserve">Origin Energy, </w:t>
      </w:r>
      <w:r w:rsidRPr="00223F05">
        <w:rPr>
          <w:rStyle w:val="AERtextitalic"/>
        </w:rPr>
        <w:t>RE: ActewAGL revised access arrangement</w:t>
      </w:r>
      <w:r>
        <w:t>, 4 February 2016, p. 3.</w:t>
      </w:r>
    </w:p>
  </w:footnote>
  <w:footnote w:id="26">
    <w:p w:rsidR="00732369" w:rsidRDefault="00732369">
      <w:pPr>
        <w:pStyle w:val="FootnoteText"/>
      </w:pPr>
      <w:r>
        <w:rPr>
          <w:rStyle w:val="FootnoteReference"/>
        </w:rPr>
        <w:footnoteRef/>
      </w:r>
      <w:r>
        <w:t xml:space="preserve"> </w:t>
      </w:r>
      <w:r>
        <w:tab/>
        <w:t xml:space="preserve">AER, </w:t>
      </w:r>
      <w:r w:rsidRPr="00D306E3">
        <w:rPr>
          <w:rStyle w:val="AERtextitalic"/>
        </w:rPr>
        <w:t>Draft decision: ActewAGL Distribution access arrangement 2016 to 2021: Attachment 10–Reference tariff setting</w:t>
      </w:r>
      <w:r>
        <w:t>, November 2015, pp. 10-13 to 10</w:t>
      </w:r>
      <w:r w:rsidR="00340122">
        <w:t>-</w:t>
      </w:r>
      <w:r>
        <w:t>15</w:t>
      </w:r>
      <w:r w:rsidRPr="00D306E3">
        <w:t>.</w:t>
      </w:r>
    </w:p>
  </w:footnote>
  <w:footnote w:id="27">
    <w:p w:rsidR="00732369" w:rsidRDefault="00732369" w:rsidP="00472A5D">
      <w:pPr>
        <w:pStyle w:val="FootnoteText"/>
      </w:pPr>
      <w:r>
        <w:rPr>
          <w:rStyle w:val="FootnoteReference"/>
        </w:rPr>
        <w:footnoteRef/>
      </w:r>
      <w:r>
        <w:t xml:space="preserve"> </w:t>
      </w:r>
      <w:r>
        <w:tab/>
        <w:t xml:space="preserve">AER, </w:t>
      </w:r>
      <w:r w:rsidRPr="00D306E3">
        <w:rPr>
          <w:rStyle w:val="AERtextitalic"/>
        </w:rPr>
        <w:t>Draft decision: ActewAGL Distribution access arrangement 2016 to 2021: Attachment 10–Reference tariff setting</w:t>
      </w:r>
      <w:r>
        <w:t>, November 2015, p. 10-13</w:t>
      </w:r>
      <w:r w:rsidRPr="00D306E3">
        <w:t>.</w:t>
      </w:r>
    </w:p>
  </w:footnote>
  <w:footnote w:id="28">
    <w:p w:rsidR="00732369" w:rsidRDefault="00732369" w:rsidP="00472A5D">
      <w:pPr>
        <w:pStyle w:val="FootnoteText"/>
      </w:pPr>
      <w:r>
        <w:rPr>
          <w:rStyle w:val="FootnoteReference"/>
        </w:rPr>
        <w:footnoteRef/>
      </w:r>
      <w:r>
        <w:t xml:space="preserve"> </w:t>
      </w:r>
      <w:r>
        <w:tab/>
        <w:t xml:space="preserve">ActewAGL, </w:t>
      </w:r>
      <w:r w:rsidR="00B1133A" w:rsidRPr="00DD10F6">
        <w:rPr>
          <w:rStyle w:val="AERtextitalic"/>
        </w:rPr>
        <w:t xml:space="preserve">Access Arrangement Information for the 2016-21 ACT, Queanbeyan and </w:t>
      </w:r>
      <w:proofErr w:type="spellStart"/>
      <w:r w:rsidR="00B1133A" w:rsidRPr="00DD10F6">
        <w:rPr>
          <w:rStyle w:val="AERtextitalic"/>
        </w:rPr>
        <w:t>Palerang</w:t>
      </w:r>
      <w:proofErr w:type="spellEnd"/>
      <w:r w:rsidR="00B1133A" w:rsidRPr="00DD10F6">
        <w:rPr>
          <w:rStyle w:val="AERtextitalic"/>
        </w:rPr>
        <w:t xml:space="preserve"> Access Arrangement</w:t>
      </w:r>
      <w:r w:rsidRPr="00621A58">
        <w:rPr>
          <w:rStyle w:val="AERtextitalic"/>
        </w:rPr>
        <w:t>, Attachment 12: Reference tariffs</w:t>
      </w:r>
      <w:r>
        <w:t>, June 2015, p. 23.</w:t>
      </w:r>
    </w:p>
  </w:footnote>
  <w:footnote w:id="29">
    <w:p w:rsidR="00732369" w:rsidRDefault="00732369">
      <w:pPr>
        <w:pStyle w:val="FootnoteText"/>
      </w:pPr>
      <w:r>
        <w:rPr>
          <w:rStyle w:val="FootnoteReference"/>
        </w:rPr>
        <w:footnoteRef/>
      </w:r>
      <w:r>
        <w:t xml:space="preserve"> </w:t>
      </w:r>
      <w:r>
        <w:tab/>
        <w:t xml:space="preserve">AER, </w:t>
      </w:r>
      <w:r w:rsidRPr="00D306E3">
        <w:rPr>
          <w:rStyle w:val="AERtextitalic"/>
        </w:rPr>
        <w:t>Draft decision: ActewAGL Distribution access arrangement 2016 to 2021: Attachment 10–Reference tariff setting</w:t>
      </w:r>
      <w:r>
        <w:t>, November 2015, pp. 10-13 to 10</w:t>
      </w:r>
      <w:r w:rsidR="00340122">
        <w:t>-</w:t>
      </w:r>
      <w:r>
        <w:t>14</w:t>
      </w:r>
      <w:r w:rsidRPr="00D306E3">
        <w:t>.</w:t>
      </w:r>
    </w:p>
  </w:footnote>
  <w:footnote w:id="30">
    <w:p w:rsidR="00732369" w:rsidRDefault="00732369">
      <w:pPr>
        <w:pStyle w:val="FootnoteText"/>
      </w:pPr>
      <w:r>
        <w:rPr>
          <w:rStyle w:val="FootnoteReference"/>
        </w:rPr>
        <w:footnoteRef/>
      </w:r>
      <w:r>
        <w:t xml:space="preserve"> </w:t>
      </w:r>
      <w:r>
        <w:tab/>
      </w:r>
      <w:r w:rsidRPr="00D306E3">
        <w:t xml:space="preserve">NGR, </w:t>
      </w:r>
      <w:proofErr w:type="gramStart"/>
      <w:r w:rsidRPr="00D306E3">
        <w:t>rr</w:t>
      </w:r>
      <w:proofErr w:type="gramEnd"/>
      <w:r w:rsidRPr="00D306E3">
        <w:t xml:space="preserve">. </w:t>
      </w:r>
      <w:proofErr w:type="gramStart"/>
      <w:r w:rsidRPr="00D306E3">
        <w:t>93(1), (2).</w:t>
      </w:r>
      <w:proofErr w:type="gramEnd"/>
    </w:p>
  </w:footnote>
  <w:footnote w:id="31">
    <w:p w:rsidR="00732369" w:rsidRDefault="00732369">
      <w:pPr>
        <w:pStyle w:val="FootnoteText"/>
      </w:pPr>
      <w:r>
        <w:rPr>
          <w:rStyle w:val="FootnoteReference"/>
        </w:rPr>
        <w:footnoteRef/>
      </w:r>
      <w:r>
        <w:t xml:space="preserve"> </w:t>
      </w:r>
      <w:r>
        <w:tab/>
        <w:t xml:space="preserve">ActewAGL, </w:t>
      </w:r>
      <w:r w:rsidR="000107B7" w:rsidRPr="00DD10F6">
        <w:rPr>
          <w:rStyle w:val="AERtextitalic"/>
        </w:rPr>
        <w:t xml:space="preserve">Access Arrangement Information for the 2016-21 ACT, Queanbeyan and </w:t>
      </w:r>
      <w:proofErr w:type="spellStart"/>
      <w:r w:rsidR="000107B7" w:rsidRPr="00DD10F6">
        <w:rPr>
          <w:rStyle w:val="AERtextitalic"/>
        </w:rPr>
        <w:t>Palerang</w:t>
      </w:r>
      <w:proofErr w:type="spellEnd"/>
      <w:r w:rsidR="000107B7" w:rsidRPr="00DD10F6">
        <w:rPr>
          <w:rStyle w:val="AERtextitalic"/>
        </w:rPr>
        <w:t xml:space="preserve"> Access Arrangement</w:t>
      </w:r>
      <w:r w:rsidR="000107B7" w:rsidRPr="00732369">
        <w:rPr>
          <w:rStyle w:val="AERtextitalic"/>
        </w:rPr>
        <w:t>,</w:t>
      </w:r>
      <w:r w:rsidRPr="00621A58">
        <w:rPr>
          <w:rStyle w:val="AERtextitalic"/>
        </w:rPr>
        <w:t xml:space="preserve"> Attachment 12: Reference tariffs</w:t>
      </w:r>
      <w:r>
        <w:t>, June 2015, pp. 9–23.</w:t>
      </w:r>
    </w:p>
  </w:footnote>
  <w:footnote w:id="32">
    <w:p w:rsidR="00732369" w:rsidRDefault="00732369">
      <w:pPr>
        <w:pStyle w:val="FootnoteText"/>
      </w:pPr>
      <w:r>
        <w:rPr>
          <w:rStyle w:val="FootnoteReference"/>
        </w:rPr>
        <w:footnoteRef/>
      </w:r>
      <w:r>
        <w:t xml:space="preserve"> </w:t>
      </w:r>
      <w:r>
        <w:tab/>
      </w:r>
      <w:r w:rsidRPr="00E975A6">
        <w:t xml:space="preserve">For example see: Jemena Gas Networks (New South Wales), </w:t>
      </w:r>
      <w:r w:rsidRPr="00E975A6">
        <w:rPr>
          <w:rStyle w:val="AERtextitalic"/>
        </w:rPr>
        <w:t>Access arrangement: JGN’s NSW gas distribution networks 1 July 2015–30 June 2020—(Incorporating revisions required by AER Final Decision 3 June 2015)</w:t>
      </w:r>
      <w:r w:rsidRPr="00E975A6">
        <w:t>, June 2015, schedule 2.</w:t>
      </w:r>
    </w:p>
  </w:footnote>
  <w:footnote w:id="33">
    <w:p w:rsidR="00732369" w:rsidRDefault="00732369">
      <w:pPr>
        <w:pStyle w:val="FootnoteText"/>
      </w:pPr>
      <w:r>
        <w:rPr>
          <w:rStyle w:val="FootnoteReference"/>
        </w:rPr>
        <w:footnoteRef/>
      </w:r>
      <w:r>
        <w:t xml:space="preserve"> </w:t>
      </w:r>
      <w:r>
        <w:tab/>
      </w:r>
      <w:r w:rsidRPr="00D306E3">
        <w:t xml:space="preserve">NGR, </w:t>
      </w:r>
      <w:proofErr w:type="gramStart"/>
      <w:r w:rsidRPr="00D306E3">
        <w:t>rr</w:t>
      </w:r>
      <w:proofErr w:type="gramEnd"/>
      <w:r w:rsidRPr="00D306E3">
        <w:t>. 94(1)–(2).</w:t>
      </w:r>
    </w:p>
  </w:footnote>
  <w:footnote w:id="34">
    <w:p w:rsidR="00732369" w:rsidRDefault="00732369">
      <w:pPr>
        <w:pStyle w:val="FootnoteText"/>
      </w:pPr>
      <w:r>
        <w:rPr>
          <w:rStyle w:val="FootnoteReference"/>
        </w:rPr>
        <w:footnoteRef/>
      </w:r>
      <w:r>
        <w:t xml:space="preserve"> </w:t>
      </w:r>
      <w:r>
        <w:tab/>
      </w:r>
      <w:r w:rsidRPr="00D306E3">
        <w:t xml:space="preserve">AER, </w:t>
      </w:r>
      <w:r w:rsidRPr="00D306E3">
        <w:rPr>
          <w:rStyle w:val="AERtextitalic"/>
        </w:rPr>
        <w:t>Draft decision: ActewAGL Distribution access arrangement 2016 to 2021: Attachment 10–Reference tariff setting</w:t>
      </w:r>
      <w:r>
        <w:t>, November 2015, pp. 10-16 to 10</w:t>
      </w:r>
      <w:r w:rsidR="00340122">
        <w:t>-</w:t>
      </w:r>
      <w:r>
        <w:t>18</w:t>
      </w:r>
      <w:r w:rsidRPr="00D306E3">
        <w:t>.</w:t>
      </w:r>
    </w:p>
  </w:footnote>
  <w:footnote w:id="35">
    <w:p w:rsidR="00732369" w:rsidRDefault="00732369">
      <w:pPr>
        <w:pStyle w:val="FootnoteText"/>
      </w:pPr>
      <w:r>
        <w:rPr>
          <w:rStyle w:val="FootnoteReference"/>
        </w:rPr>
        <w:footnoteRef/>
      </w:r>
      <w:r>
        <w:t xml:space="preserve"> </w:t>
      </w:r>
      <w:r>
        <w:tab/>
      </w:r>
      <w:proofErr w:type="gramStart"/>
      <w:r w:rsidRPr="00D306E3">
        <w:t>NGR, r. 94.</w:t>
      </w:r>
      <w:proofErr w:type="gramEnd"/>
    </w:p>
  </w:footnote>
  <w:footnote w:id="36">
    <w:p w:rsidR="00732369" w:rsidRDefault="00732369">
      <w:pPr>
        <w:pStyle w:val="FootnoteText"/>
      </w:pPr>
      <w:r>
        <w:rPr>
          <w:rStyle w:val="FootnoteReference"/>
        </w:rPr>
        <w:footnoteRef/>
      </w:r>
      <w:r>
        <w:t xml:space="preserve"> </w:t>
      </w:r>
      <w:r>
        <w:tab/>
      </w:r>
      <w:r w:rsidRPr="00D306E3">
        <w:t xml:space="preserve">AER, </w:t>
      </w:r>
      <w:r w:rsidRPr="00D306E3">
        <w:rPr>
          <w:rStyle w:val="AERtextitalic"/>
        </w:rPr>
        <w:t>Draft decision: ActewAGL Distribution access arrangement 2016 to 2021: Attachment 10–Reference tariff setting</w:t>
      </w:r>
      <w:r>
        <w:t>, November 2015, p. 10-17</w:t>
      </w:r>
      <w:r w:rsidRPr="00D306E3">
        <w:t>.</w:t>
      </w:r>
    </w:p>
  </w:footnote>
  <w:footnote w:id="37">
    <w:p w:rsidR="00732369" w:rsidRDefault="00732369">
      <w:pPr>
        <w:pStyle w:val="FootnoteText"/>
      </w:pPr>
      <w:r>
        <w:rPr>
          <w:rStyle w:val="FootnoteReference"/>
        </w:rPr>
        <w:footnoteRef/>
      </w:r>
      <w:r>
        <w:t xml:space="preserve"> </w:t>
      </w:r>
      <w:r>
        <w:tab/>
      </w:r>
      <w:proofErr w:type="gramStart"/>
      <w:r>
        <w:t>NGR, r. 94(3).</w:t>
      </w:r>
      <w:proofErr w:type="gramEnd"/>
    </w:p>
  </w:footnote>
  <w:footnote w:id="38">
    <w:p w:rsidR="00732369" w:rsidRDefault="00732369">
      <w:pPr>
        <w:pStyle w:val="FootnoteText"/>
      </w:pPr>
      <w:r>
        <w:rPr>
          <w:rStyle w:val="FootnoteReference"/>
        </w:rPr>
        <w:footnoteRef/>
      </w:r>
      <w:r>
        <w:t xml:space="preserve"> </w:t>
      </w:r>
      <w:r>
        <w:tab/>
      </w:r>
      <w:r w:rsidRPr="00C6399A">
        <w:t>ActewAGL</w:t>
      </w:r>
      <w:r>
        <w:t xml:space="preserve"> Distribution</w:t>
      </w:r>
      <w:r w:rsidRPr="00C6399A">
        <w:t xml:space="preserve">, </w:t>
      </w:r>
      <w:r w:rsidRPr="00C6399A">
        <w:rPr>
          <w:rStyle w:val="AERtextitalic"/>
        </w:rPr>
        <w:t>Access arrangement information</w:t>
      </w:r>
      <w:r>
        <w:rPr>
          <w:rStyle w:val="AERtextitalic"/>
        </w:rPr>
        <w:t xml:space="preserve"> </w:t>
      </w:r>
      <w:r w:rsidR="00825B58">
        <w:rPr>
          <w:rStyle w:val="AERtextitalic"/>
        </w:rPr>
        <w:t>f</w:t>
      </w:r>
      <w:r>
        <w:rPr>
          <w:rStyle w:val="AERtextitalic"/>
        </w:rPr>
        <w:t>or the ACT Queanbeyan and Palerang access arrangement—Revised in response to the AER's draft decision</w:t>
      </w:r>
      <w:r>
        <w:t>, January</w:t>
      </w:r>
      <w:r w:rsidRPr="00C6399A">
        <w:t xml:space="preserve"> 2</w:t>
      </w:r>
      <w:r>
        <w:t xml:space="preserve">016, pp. 34–35; </w:t>
      </w:r>
      <w:proofErr w:type="spellStart"/>
      <w:r w:rsidRPr="00C6399A">
        <w:t>HoustonKemp</w:t>
      </w:r>
      <w:proofErr w:type="spellEnd"/>
      <w:r w:rsidRPr="00C6399A">
        <w:rPr>
          <w:rStyle w:val="AERtextitalic"/>
        </w:rPr>
        <w:t>, Development of a cost of service model for the ACT, Queanbeyan and Palerang gas distribution network: A report for ActewAGL Distribution</w:t>
      </w:r>
      <w:r w:rsidRPr="00C6399A">
        <w:t>, June 2015, pp. 4–7, 17.</w:t>
      </w:r>
    </w:p>
  </w:footnote>
  <w:footnote w:id="39">
    <w:p w:rsidR="00732369" w:rsidRDefault="00732369">
      <w:pPr>
        <w:pStyle w:val="FootnoteText"/>
      </w:pPr>
      <w:r>
        <w:rPr>
          <w:rStyle w:val="FootnoteReference"/>
        </w:rPr>
        <w:footnoteRef/>
      </w:r>
      <w:r>
        <w:t xml:space="preserve"> </w:t>
      </w:r>
      <w:r>
        <w:tab/>
      </w:r>
      <w:r w:rsidRPr="00B00298">
        <w:t xml:space="preserve">NGR, </w:t>
      </w:r>
      <w:proofErr w:type="gramStart"/>
      <w:r w:rsidRPr="00B00298">
        <w:t>rr</w:t>
      </w:r>
      <w:proofErr w:type="gramEnd"/>
      <w:r w:rsidRPr="00B00298">
        <w:t xml:space="preserve">. </w:t>
      </w:r>
      <w:proofErr w:type="gramStart"/>
      <w:r w:rsidRPr="00B00298">
        <w:t>94(2), 94(4).</w:t>
      </w:r>
      <w:proofErr w:type="gramEnd"/>
    </w:p>
  </w:footnote>
  <w:footnote w:id="40">
    <w:p w:rsidR="00732369" w:rsidRDefault="00732369">
      <w:pPr>
        <w:pStyle w:val="FootnoteText"/>
      </w:pPr>
      <w:r>
        <w:rPr>
          <w:rStyle w:val="FootnoteReference"/>
        </w:rPr>
        <w:footnoteRef/>
      </w:r>
      <w:r>
        <w:t xml:space="preserve"> </w:t>
      </w:r>
      <w:r>
        <w:tab/>
      </w:r>
      <w:r w:rsidRPr="00B00298">
        <w:t>ActewAGL</w:t>
      </w:r>
      <w:r>
        <w:t xml:space="preserve"> Distribution</w:t>
      </w:r>
      <w:r w:rsidRPr="00B00298">
        <w:t xml:space="preserve">, </w:t>
      </w:r>
      <w:r w:rsidR="00825B58" w:rsidRPr="00C6399A">
        <w:rPr>
          <w:rStyle w:val="AERtextitalic"/>
        </w:rPr>
        <w:t>Access arrangement information</w:t>
      </w:r>
      <w:r w:rsidR="00825B58">
        <w:rPr>
          <w:rStyle w:val="AERtextitalic"/>
        </w:rPr>
        <w:t xml:space="preserve"> for the ACT Queanbeyan and Palerang access arrangement—Revised in response to the AER's draft decision</w:t>
      </w:r>
      <w:r>
        <w:t>, January 2016</w:t>
      </w:r>
      <w:r w:rsidRPr="00B00298">
        <w:t>, pp. 3</w:t>
      </w:r>
      <w:r>
        <w:t>5</w:t>
      </w:r>
      <w:r w:rsidRPr="00B00298">
        <w:t>–</w:t>
      </w:r>
      <w:r>
        <w:t>37</w:t>
      </w:r>
      <w:r w:rsidRPr="00B00298">
        <w:t xml:space="preserve">; </w:t>
      </w:r>
      <w:proofErr w:type="spellStart"/>
      <w:r w:rsidRPr="00B00298">
        <w:t>HoustonKemp</w:t>
      </w:r>
      <w:proofErr w:type="spellEnd"/>
      <w:r w:rsidRPr="00B00298">
        <w:t xml:space="preserve">, </w:t>
      </w:r>
      <w:r w:rsidRPr="00B00298">
        <w:rPr>
          <w:rStyle w:val="AERtextitalic"/>
        </w:rPr>
        <w:t>Development of a cost of service model for the ACT, Queanbeyan and Palerang gas distribution network: A report for ActewAGL Distribution</w:t>
      </w:r>
      <w:r w:rsidRPr="00B00298">
        <w:t>, June 2015, pp. 8–17.</w:t>
      </w:r>
    </w:p>
  </w:footnote>
  <w:footnote w:id="41">
    <w:p w:rsidR="00732369" w:rsidRDefault="00732369">
      <w:pPr>
        <w:pStyle w:val="FootnoteText"/>
      </w:pPr>
      <w:r>
        <w:rPr>
          <w:rStyle w:val="FootnoteReference"/>
        </w:rPr>
        <w:footnoteRef/>
      </w:r>
      <w:r>
        <w:t xml:space="preserve"> </w:t>
      </w:r>
      <w:r>
        <w:tab/>
      </w:r>
      <w:proofErr w:type="gramStart"/>
      <w:r w:rsidRPr="00341843">
        <w:t>NGR, r. 94(6).</w:t>
      </w:r>
      <w:proofErr w:type="gramEnd"/>
    </w:p>
  </w:footnote>
  <w:footnote w:id="42">
    <w:p w:rsidR="00732369" w:rsidRDefault="00732369">
      <w:pPr>
        <w:pStyle w:val="FootnoteText"/>
      </w:pPr>
      <w:r>
        <w:rPr>
          <w:rStyle w:val="FootnoteReference"/>
        </w:rPr>
        <w:footnoteRef/>
      </w:r>
      <w:r>
        <w:t xml:space="preserve"> </w:t>
      </w:r>
      <w:r>
        <w:tab/>
      </w:r>
      <w:r w:rsidRPr="00341843">
        <w:t>NGR, r. 94(4</w:t>
      </w:r>
      <w:proofErr w:type="gramStart"/>
      <w:r w:rsidRPr="00341843">
        <w:t>)(</w:t>
      </w:r>
      <w:proofErr w:type="gramEnd"/>
      <w:r w:rsidRPr="00341843">
        <w:t>b)(ii).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369" w:rsidRDefault="00061840">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732369">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369" w:rsidRDefault="00061840">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1">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3">
    <w:nsid w:val="5ECE4384"/>
    <w:multiLevelType w:val="multilevel"/>
    <w:tmpl w:val="E29C3454"/>
    <w:lvl w:ilvl="0">
      <w:start w:val="10"/>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5">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E2819EC"/>
    <w:multiLevelType w:val="multilevel"/>
    <w:tmpl w:val="1250F310"/>
    <w:lvl w:ilvl="0">
      <w:start w:val="1"/>
      <w:numFmt w:val="bullet"/>
      <w:pStyle w:val="AERbulletlistfirststyle"/>
      <w:lvlText w:val=""/>
      <w:lvlJc w:val="left"/>
      <w:pPr>
        <w:ind w:left="644"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7"/>
  </w:num>
  <w:num w:numId="14">
    <w:abstractNumId w:val="10"/>
  </w:num>
  <w:num w:numId="15">
    <w:abstractNumId w:val="12"/>
  </w:num>
  <w:num w:numId="16">
    <w:abstractNumId w:val="18"/>
  </w:num>
  <w:num w:numId="17">
    <w:abstractNumId w:val="9"/>
  </w:num>
  <w:num w:numId="18">
    <w:abstractNumId w:val="14"/>
  </w:num>
  <w:num w:numId="19">
    <w:abstractNumId w:val="19"/>
  </w:num>
  <w:num w:numId="20">
    <w:abstractNumId w:val="25"/>
  </w:num>
  <w:num w:numId="21">
    <w:abstractNumId w:val="22"/>
  </w:num>
  <w:num w:numId="22">
    <w:abstractNumId w:val="20"/>
  </w:num>
  <w:num w:numId="23">
    <w:abstractNumId w:val="15"/>
  </w:num>
  <w:num w:numId="24">
    <w:abstractNumId w:val="21"/>
  </w:num>
  <w:num w:numId="25">
    <w:abstractNumId w:val="23"/>
  </w:num>
  <w:num w:numId="26">
    <w:abstractNumId w:val="16"/>
  </w:num>
  <w:num w:numId="27">
    <w:abstractNumId w:val="13"/>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UZBS0xLLQZF66U8+7j+sDE80RsByUQPXb/6/n65xYi4=" w:saltValue="+Y8UAz08pE5nmxaIqf4dxw==" w:algorithmName="SHA-256"/>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6688\AER15 4323  AER - Final decision Amadeus Gas Pipeline Access Arrangement - Attachment 10 - Reference tariff setting - April 2016.DOCX"/>
  </w:docVars>
  <w:rsids>
    <w:rsidRoot w:val="00961A4A"/>
    <w:rsid w:val="00004633"/>
    <w:rsid w:val="00010286"/>
    <w:rsid w:val="000107B7"/>
    <w:rsid w:val="0001325C"/>
    <w:rsid w:val="00021202"/>
    <w:rsid w:val="00021C2B"/>
    <w:rsid w:val="0002517F"/>
    <w:rsid w:val="00026495"/>
    <w:rsid w:val="0003578C"/>
    <w:rsid w:val="000401AF"/>
    <w:rsid w:val="00041DDA"/>
    <w:rsid w:val="00050BC7"/>
    <w:rsid w:val="000534B7"/>
    <w:rsid w:val="00061840"/>
    <w:rsid w:val="00063247"/>
    <w:rsid w:val="00063A92"/>
    <w:rsid w:val="00070F9F"/>
    <w:rsid w:val="0007137B"/>
    <w:rsid w:val="00085663"/>
    <w:rsid w:val="00085EBF"/>
    <w:rsid w:val="00085F93"/>
    <w:rsid w:val="00091B15"/>
    <w:rsid w:val="00095166"/>
    <w:rsid w:val="000A1E7C"/>
    <w:rsid w:val="000A3020"/>
    <w:rsid w:val="000A59A7"/>
    <w:rsid w:val="000A6C7B"/>
    <w:rsid w:val="000B0360"/>
    <w:rsid w:val="000C20AF"/>
    <w:rsid w:val="000C2B40"/>
    <w:rsid w:val="000D01F4"/>
    <w:rsid w:val="000D06C1"/>
    <w:rsid w:val="000D122C"/>
    <w:rsid w:val="000D3016"/>
    <w:rsid w:val="000D64F2"/>
    <w:rsid w:val="000D7F32"/>
    <w:rsid w:val="000E06AA"/>
    <w:rsid w:val="000E1819"/>
    <w:rsid w:val="000E4821"/>
    <w:rsid w:val="000E6C72"/>
    <w:rsid w:val="000F0B2B"/>
    <w:rsid w:val="000F3E72"/>
    <w:rsid w:val="000F48B1"/>
    <w:rsid w:val="000F723D"/>
    <w:rsid w:val="00103A67"/>
    <w:rsid w:val="00116EB2"/>
    <w:rsid w:val="00124609"/>
    <w:rsid w:val="00126A4C"/>
    <w:rsid w:val="0013423C"/>
    <w:rsid w:val="00142AB6"/>
    <w:rsid w:val="0014573B"/>
    <w:rsid w:val="00147E70"/>
    <w:rsid w:val="00156DCC"/>
    <w:rsid w:val="001573E4"/>
    <w:rsid w:val="00160756"/>
    <w:rsid w:val="0017232E"/>
    <w:rsid w:val="00174102"/>
    <w:rsid w:val="0017480F"/>
    <w:rsid w:val="00175430"/>
    <w:rsid w:val="001754EE"/>
    <w:rsid w:val="00180157"/>
    <w:rsid w:val="00182467"/>
    <w:rsid w:val="00185CB9"/>
    <w:rsid w:val="00186F77"/>
    <w:rsid w:val="001926A4"/>
    <w:rsid w:val="00192AD5"/>
    <w:rsid w:val="00193224"/>
    <w:rsid w:val="001B3F62"/>
    <w:rsid w:val="001B45A0"/>
    <w:rsid w:val="001B45C0"/>
    <w:rsid w:val="001B6F2E"/>
    <w:rsid w:val="001B7D00"/>
    <w:rsid w:val="001C17E7"/>
    <w:rsid w:val="001D055E"/>
    <w:rsid w:val="001D396A"/>
    <w:rsid w:val="001E009C"/>
    <w:rsid w:val="001E5FE2"/>
    <w:rsid w:val="001F05A4"/>
    <w:rsid w:val="001F492E"/>
    <w:rsid w:val="001F5239"/>
    <w:rsid w:val="001F6DA3"/>
    <w:rsid w:val="002010BC"/>
    <w:rsid w:val="002016E7"/>
    <w:rsid w:val="00201F98"/>
    <w:rsid w:val="00202E03"/>
    <w:rsid w:val="0020478D"/>
    <w:rsid w:val="0020492C"/>
    <w:rsid w:val="00205A33"/>
    <w:rsid w:val="00215468"/>
    <w:rsid w:val="00223F05"/>
    <w:rsid w:val="0022444D"/>
    <w:rsid w:val="00224DB9"/>
    <w:rsid w:val="00227DCE"/>
    <w:rsid w:val="002314A3"/>
    <w:rsid w:val="0023276C"/>
    <w:rsid w:val="00233775"/>
    <w:rsid w:val="00251745"/>
    <w:rsid w:val="00257FE3"/>
    <w:rsid w:val="00263AC0"/>
    <w:rsid w:val="00264264"/>
    <w:rsid w:val="0026460E"/>
    <w:rsid w:val="0026772D"/>
    <w:rsid w:val="00277554"/>
    <w:rsid w:val="00277888"/>
    <w:rsid w:val="00286874"/>
    <w:rsid w:val="00290C63"/>
    <w:rsid w:val="00296B65"/>
    <w:rsid w:val="0029724D"/>
    <w:rsid w:val="002A4736"/>
    <w:rsid w:val="002A6688"/>
    <w:rsid w:val="002A7DEF"/>
    <w:rsid w:val="002B1003"/>
    <w:rsid w:val="002B573C"/>
    <w:rsid w:val="002C233C"/>
    <w:rsid w:val="002D59C4"/>
    <w:rsid w:val="002D72E8"/>
    <w:rsid w:val="002E7B22"/>
    <w:rsid w:val="002F2F7F"/>
    <w:rsid w:val="002F7986"/>
    <w:rsid w:val="00301B40"/>
    <w:rsid w:val="00301F1F"/>
    <w:rsid w:val="003029A5"/>
    <w:rsid w:val="003029EE"/>
    <w:rsid w:val="0030370B"/>
    <w:rsid w:val="00305CC8"/>
    <w:rsid w:val="00307F6D"/>
    <w:rsid w:val="00312F0A"/>
    <w:rsid w:val="003130C9"/>
    <w:rsid w:val="003177A2"/>
    <w:rsid w:val="00320869"/>
    <w:rsid w:val="00326B1D"/>
    <w:rsid w:val="003271B5"/>
    <w:rsid w:val="00327A1E"/>
    <w:rsid w:val="00331264"/>
    <w:rsid w:val="003338A2"/>
    <w:rsid w:val="00334C8D"/>
    <w:rsid w:val="0033548E"/>
    <w:rsid w:val="00340122"/>
    <w:rsid w:val="00341843"/>
    <w:rsid w:val="00343A18"/>
    <w:rsid w:val="00344473"/>
    <w:rsid w:val="00344D08"/>
    <w:rsid w:val="003457F9"/>
    <w:rsid w:val="00347114"/>
    <w:rsid w:val="003518B3"/>
    <w:rsid w:val="003578CD"/>
    <w:rsid w:val="003666F2"/>
    <w:rsid w:val="003717D8"/>
    <w:rsid w:val="00383450"/>
    <w:rsid w:val="003846F1"/>
    <w:rsid w:val="003857ED"/>
    <w:rsid w:val="003903D4"/>
    <w:rsid w:val="00391BF0"/>
    <w:rsid w:val="003931A7"/>
    <w:rsid w:val="00393646"/>
    <w:rsid w:val="00394867"/>
    <w:rsid w:val="003B484F"/>
    <w:rsid w:val="003B7FBA"/>
    <w:rsid w:val="003F174D"/>
    <w:rsid w:val="003F572D"/>
    <w:rsid w:val="003F7442"/>
    <w:rsid w:val="00415F31"/>
    <w:rsid w:val="0042205D"/>
    <w:rsid w:val="00423A77"/>
    <w:rsid w:val="00432A98"/>
    <w:rsid w:val="00436ECD"/>
    <w:rsid w:val="0044191D"/>
    <w:rsid w:val="00441BA0"/>
    <w:rsid w:val="00452473"/>
    <w:rsid w:val="0045777E"/>
    <w:rsid w:val="00461B0F"/>
    <w:rsid w:val="00461C29"/>
    <w:rsid w:val="00472A5D"/>
    <w:rsid w:val="00474EC7"/>
    <w:rsid w:val="00480B4B"/>
    <w:rsid w:val="00485DC4"/>
    <w:rsid w:val="004A0A5E"/>
    <w:rsid w:val="004A43D1"/>
    <w:rsid w:val="004B355D"/>
    <w:rsid w:val="004B4412"/>
    <w:rsid w:val="004C0C43"/>
    <w:rsid w:val="004C348C"/>
    <w:rsid w:val="004C6A30"/>
    <w:rsid w:val="004D01F3"/>
    <w:rsid w:val="004D1A96"/>
    <w:rsid w:val="004D55BA"/>
    <w:rsid w:val="004E22EC"/>
    <w:rsid w:val="004E2A4C"/>
    <w:rsid w:val="004F3518"/>
    <w:rsid w:val="004F6A0E"/>
    <w:rsid w:val="00530128"/>
    <w:rsid w:val="00532467"/>
    <w:rsid w:val="00537FD6"/>
    <w:rsid w:val="0054513A"/>
    <w:rsid w:val="00553196"/>
    <w:rsid w:val="00564A4D"/>
    <w:rsid w:val="0056588A"/>
    <w:rsid w:val="00567BA5"/>
    <w:rsid w:val="00571B35"/>
    <w:rsid w:val="00571D57"/>
    <w:rsid w:val="00577A09"/>
    <w:rsid w:val="005828FB"/>
    <w:rsid w:val="005829C2"/>
    <w:rsid w:val="00584D8F"/>
    <w:rsid w:val="00585A4E"/>
    <w:rsid w:val="00586819"/>
    <w:rsid w:val="0059704C"/>
    <w:rsid w:val="005A404D"/>
    <w:rsid w:val="005B1E3C"/>
    <w:rsid w:val="005B3FB7"/>
    <w:rsid w:val="005B4D33"/>
    <w:rsid w:val="005B704A"/>
    <w:rsid w:val="005C0A7F"/>
    <w:rsid w:val="005C22FD"/>
    <w:rsid w:val="005C26CC"/>
    <w:rsid w:val="005C4C9C"/>
    <w:rsid w:val="005C6218"/>
    <w:rsid w:val="005D7BA2"/>
    <w:rsid w:val="005E36C2"/>
    <w:rsid w:val="005E6D89"/>
    <w:rsid w:val="005F0183"/>
    <w:rsid w:val="005F391D"/>
    <w:rsid w:val="005F727F"/>
    <w:rsid w:val="006007DE"/>
    <w:rsid w:val="00601638"/>
    <w:rsid w:val="00610EF9"/>
    <w:rsid w:val="00612F4F"/>
    <w:rsid w:val="00615C6B"/>
    <w:rsid w:val="00620DC3"/>
    <w:rsid w:val="00621DCE"/>
    <w:rsid w:val="00632D6D"/>
    <w:rsid w:val="00640812"/>
    <w:rsid w:val="00642C3E"/>
    <w:rsid w:val="00651C3A"/>
    <w:rsid w:val="00651CB2"/>
    <w:rsid w:val="006524DA"/>
    <w:rsid w:val="00654DEB"/>
    <w:rsid w:val="006560CA"/>
    <w:rsid w:val="00660C7A"/>
    <w:rsid w:val="0066104A"/>
    <w:rsid w:val="00663DAD"/>
    <w:rsid w:val="00665166"/>
    <w:rsid w:val="00665649"/>
    <w:rsid w:val="00666E20"/>
    <w:rsid w:val="006672AA"/>
    <w:rsid w:val="00675E20"/>
    <w:rsid w:val="00676679"/>
    <w:rsid w:val="006812E7"/>
    <w:rsid w:val="00683C89"/>
    <w:rsid w:val="00684C16"/>
    <w:rsid w:val="00691D9A"/>
    <w:rsid w:val="006A7CB9"/>
    <w:rsid w:val="006A7D76"/>
    <w:rsid w:val="006B2395"/>
    <w:rsid w:val="006B45A4"/>
    <w:rsid w:val="006B4CF9"/>
    <w:rsid w:val="006B785B"/>
    <w:rsid w:val="006B7AC8"/>
    <w:rsid w:val="006C1736"/>
    <w:rsid w:val="006C30BA"/>
    <w:rsid w:val="006C4798"/>
    <w:rsid w:val="006C774D"/>
    <w:rsid w:val="006D22F2"/>
    <w:rsid w:val="006D550F"/>
    <w:rsid w:val="006E3F76"/>
    <w:rsid w:val="006F1F83"/>
    <w:rsid w:val="006F3AD1"/>
    <w:rsid w:val="006F3FC8"/>
    <w:rsid w:val="006F6183"/>
    <w:rsid w:val="006F621F"/>
    <w:rsid w:val="0070011E"/>
    <w:rsid w:val="00701CAB"/>
    <w:rsid w:val="00707563"/>
    <w:rsid w:val="0072348C"/>
    <w:rsid w:val="00724A37"/>
    <w:rsid w:val="007303C3"/>
    <w:rsid w:val="00732369"/>
    <w:rsid w:val="00741C46"/>
    <w:rsid w:val="00741E23"/>
    <w:rsid w:val="007429BE"/>
    <w:rsid w:val="00743223"/>
    <w:rsid w:val="00746E01"/>
    <w:rsid w:val="00747EEA"/>
    <w:rsid w:val="00752C8D"/>
    <w:rsid w:val="00757364"/>
    <w:rsid w:val="00757BDF"/>
    <w:rsid w:val="007609D0"/>
    <w:rsid w:val="00763618"/>
    <w:rsid w:val="00763E5D"/>
    <w:rsid w:val="00765CEE"/>
    <w:rsid w:val="00767740"/>
    <w:rsid w:val="007704F3"/>
    <w:rsid w:val="00777EE6"/>
    <w:rsid w:val="00782EEA"/>
    <w:rsid w:val="00791B64"/>
    <w:rsid w:val="00792FD0"/>
    <w:rsid w:val="007A7002"/>
    <w:rsid w:val="007A7136"/>
    <w:rsid w:val="007A7F63"/>
    <w:rsid w:val="007B011C"/>
    <w:rsid w:val="007B186E"/>
    <w:rsid w:val="007B2C72"/>
    <w:rsid w:val="007B4400"/>
    <w:rsid w:val="007B6C52"/>
    <w:rsid w:val="007C1C53"/>
    <w:rsid w:val="007C74BB"/>
    <w:rsid w:val="007D456E"/>
    <w:rsid w:val="007E42F4"/>
    <w:rsid w:val="007E4904"/>
    <w:rsid w:val="007E4CB5"/>
    <w:rsid w:val="007F066B"/>
    <w:rsid w:val="007F213A"/>
    <w:rsid w:val="007F75C4"/>
    <w:rsid w:val="008033C4"/>
    <w:rsid w:val="008057DE"/>
    <w:rsid w:val="00806C88"/>
    <w:rsid w:val="00810070"/>
    <w:rsid w:val="0081034E"/>
    <w:rsid w:val="00812B03"/>
    <w:rsid w:val="00815CAC"/>
    <w:rsid w:val="008168E7"/>
    <w:rsid w:val="00821004"/>
    <w:rsid w:val="008221F2"/>
    <w:rsid w:val="00825985"/>
    <w:rsid w:val="00825B58"/>
    <w:rsid w:val="008301A7"/>
    <w:rsid w:val="008301B2"/>
    <w:rsid w:val="008344F6"/>
    <w:rsid w:val="0083510F"/>
    <w:rsid w:val="008408C5"/>
    <w:rsid w:val="008414FC"/>
    <w:rsid w:val="00847887"/>
    <w:rsid w:val="00851209"/>
    <w:rsid w:val="0085722A"/>
    <w:rsid w:val="00862B19"/>
    <w:rsid w:val="00864B35"/>
    <w:rsid w:val="00866D99"/>
    <w:rsid w:val="00867CF6"/>
    <w:rsid w:val="008749E0"/>
    <w:rsid w:val="00874CD0"/>
    <w:rsid w:val="00882481"/>
    <w:rsid w:val="008837AC"/>
    <w:rsid w:val="008937CB"/>
    <w:rsid w:val="008A587D"/>
    <w:rsid w:val="008B35CD"/>
    <w:rsid w:val="008B5FCC"/>
    <w:rsid w:val="008B7544"/>
    <w:rsid w:val="008C3374"/>
    <w:rsid w:val="008C39F0"/>
    <w:rsid w:val="008C5486"/>
    <w:rsid w:val="008C63DF"/>
    <w:rsid w:val="008C708B"/>
    <w:rsid w:val="008D1661"/>
    <w:rsid w:val="008D6800"/>
    <w:rsid w:val="008E7031"/>
    <w:rsid w:val="008E77DE"/>
    <w:rsid w:val="008F07A3"/>
    <w:rsid w:val="008F16B3"/>
    <w:rsid w:val="008F34DD"/>
    <w:rsid w:val="009001B6"/>
    <w:rsid w:val="00900E1B"/>
    <w:rsid w:val="00901C3C"/>
    <w:rsid w:val="009038ED"/>
    <w:rsid w:val="009159FC"/>
    <w:rsid w:val="009233EE"/>
    <w:rsid w:val="00923CFC"/>
    <w:rsid w:val="00923FA9"/>
    <w:rsid w:val="009272AD"/>
    <w:rsid w:val="009277DC"/>
    <w:rsid w:val="009460AA"/>
    <w:rsid w:val="0094641C"/>
    <w:rsid w:val="00951978"/>
    <w:rsid w:val="00961115"/>
    <w:rsid w:val="00961A4A"/>
    <w:rsid w:val="009661DE"/>
    <w:rsid w:val="00973B99"/>
    <w:rsid w:val="00975431"/>
    <w:rsid w:val="00983C25"/>
    <w:rsid w:val="009856B7"/>
    <w:rsid w:val="00985C86"/>
    <w:rsid w:val="00996BAF"/>
    <w:rsid w:val="009972D8"/>
    <w:rsid w:val="009A3062"/>
    <w:rsid w:val="009A4FAA"/>
    <w:rsid w:val="009A5113"/>
    <w:rsid w:val="009A539D"/>
    <w:rsid w:val="009A5FC3"/>
    <w:rsid w:val="009B5DC8"/>
    <w:rsid w:val="009B6F84"/>
    <w:rsid w:val="009B7343"/>
    <w:rsid w:val="009B74B0"/>
    <w:rsid w:val="009C691D"/>
    <w:rsid w:val="009D2B38"/>
    <w:rsid w:val="009D3906"/>
    <w:rsid w:val="009D6B46"/>
    <w:rsid w:val="009F4940"/>
    <w:rsid w:val="009F5BA1"/>
    <w:rsid w:val="00A02A88"/>
    <w:rsid w:val="00A0562E"/>
    <w:rsid w:val="00A06085"/>
    <w:rsid w:val="00A0726D"/>
    <w:rsid w:val="00A16596"/>
    <w:rsid w:val="00A2303E"/>
    <w:rsid w:val="00A32FBB"/>
    <w:rsid w:val="00A428EE"/>
    <w:rsid w:val="00A4478A"/>
    <w:rsid w:val="00A44852"/>
    <w:rsid w:val="00A4650A"/>
    <w:rsid w:val="00A50502"/>
    <w:rsid w:val="00A57D04"/>
    <w:rsid w:val="00A60A26"/>
    <w:rsid w:val="00A61598"/>
    <w:rsid w:val="00A62F2E"/>
    <w:rsid w:val="00A84A99"/>
    <w:rsid w:val="00A84F46"/>
    <w:rsid w:val="00A871F4"/>
    <w:rsid w:val="00A90AA4"/>
    <w:rsid w:val="00A9109B"/>
    <w:rsid w:val="00A923BF"/>
    <w:rsid w:val="00AB47E1"/>
    <w:rsid w:val="00AC1B2C"/>
    <w:rsid w:val="00AC3264"/>
    <w:rsid w:val="00AD3884"/>
    <w:rsid w:val="00AD7B56"/>
    <w:rsid w:val="00AE1BF1"/>
    <w:rsid w:val="00AF0DD2"/>
    <w:rsid w:val="00B00298"/>
    <w:rsid w:val="00B0209D"/>
    <w:rsid w:val="00B02961"/>
    <w:rsid w:val="00B04908"/>
    <w:rsid w:val="00B04B4C"/>
    <w:rsid w:val="00B07CEA"/>
    <w:rsid w:val="00B1133A"/>
    <w:rsid w:val="00B114ED"/>
    <w:rsid w:val="00B13048"/>
    <w:rsid w:val="00B1716D"/>
    <w:rsid w:val="00B17A1D"/>
    <w:rsid w:val="00B207A0"/>
    <w:rsid w:val="00B40CAA"/>
    <w:rsid w:val="00B514DD"/>
    <w:rsid w:val="00B51F3F"/>
    <w:rsid w:val="00B52AF0"/>
    <w:rsid w:val="00B561BD"/>
    <w:rsid w:val="00B56E03"/>
    <w:rsid w:val="00B61EDF"/>
    <w:rsid w:val="00B74AC5"/>
    <w:rsid w:val="00B757A6"/>
    <w:rsid w:val="00B8080B"/>
    <w:rsid w:val="00B82223"/>
    <w:rsid w:val="00B87BA5"/>
    <w:rsid w:val="00B87C39"/>
    <w:rsid w:val="00B9562D"/>
    <w:rsid w:val="00BA0731"/>
    <w:rsid w:val="00BA4665"/>
    <w:rsid w:val="00BA47EE"/>
    <w:rsid w:val="00BB2FB2"/>
    <w:rsid w:val="00BB3304"/>
    <w:rsid w:val="00BB3FD7"/>
    <w:rsid w:val="00BB6848"/>
    <w:rsid w:val="00BB7528"/>
    <w:rsid w:val="00BC18DE"/>
    <w:rsid w:val="00BC2FAF"/>
    <w:rsid w:val="00BC42EF"/>
    <w:rsid w:val="00BD0920"/>
    <w:rsid w:val="00BD0C45"/>
    <w:rsid w:val="00BD2F86"/>
    <w:rsid w:val="00BD310B"/>
    <w:rsid w:val="00BD3446"/>
    <w:rsid w:val="00BE1F1B"/>
    <w:rsid w:val="00BE47B5"/>
    <w:rsid w:val="00BF0C8F"/>
    <w:rsid w:val="00BF0CD7"/>
    <w:rsid w:val="00C04223"/>
    <w:rsid w:val="00C15596"/>
    <w:rsid w:val="00C257CB"/>
    <w:rsid w:val="00C25FA6"/>
    <w:rsid w:val="00C275C4"/>
    <w:rsid w:val="00C30637"/>
    <w:rsid w:val="00C36F19"/>
    <w:rsid w:val="00C42ACA"/>
    <w:rsid w:val="00C437AC"/>
    <w:rsid w:val="00C5122C"/>
    <w:rsid w:val="00C51DEC"/>
    <w:rsid w:val="00C538A9"/>
    <w:rsid w:val="00C53B5A"/>
    <w:rsid w:val="00C54F5A"/>
    <w:rsid w:val="00C569B4"/>
    <w:rsid w:val="00C56A01"/>
    <w:rsid w:val="00C56A3E"/>
    <w:rsid w:val="00C6399A"/>
    <w:rsid w:val="00C67A92"/>
    <w:rsid w:val="00C7389D"/>
    <w:rsid w:val="00C7497E"/>
    <w:rsid w:val="00C74D43"/>
    <w:rsid w:val="00C81568"/>
    <w:rsid w:val="00C84560"/>
    <w:rsid w:val="00C84F52"/>
    <w:rsid w:val="00C86679"/>
    <w:rsid w:val="00C97CDF"/>
    <w:rsid w:val="00CA2ABF"/>
    <w:rsid w:val="00CA2C1D"/>
    <w:rsid w:val="00CA489E"/>
    <w:rsid w:val="00CA52A2"/>
    <w:rsid w:val="00CA59F8"/>
    <w:rsid w:val="00CB0279"/>
    <w:rsid w:val="00CB666B"/>
    <w:rsid w:val="00CC7F1D"/>
    <w:rsid w:val="00CD19EE"/>
    <w:rsid w:val="00CD3E0D"/>
    <w:rsid w:val="00CE484B"/>
    <w:rsid w:val="00CE4900"/>
    <w:rsid w:val="00CF0DEE"/>
    <w:rsid w:val="00CF2C05"/>
    <w:rsid w:val="00CF598F"/>
    <w:rsid w:val="00CF6EDE"/>
    <w:rsid w:val="00D006AE"/>
    <w:rsid w:val="00D01CF0"/>
    <w:rsid w:val="00D01EFD"/>
    <w:rsid w:val="00D0442A"/>
    <w:rsid w:val="00D06055"/>
    <w:rsid w:val="00D066B7"/>
    <w:rsid w:val="00D16AC1"/>
    <w:rsid w:val="00D17683"/>
    <w:rsid w:val="00D272AC"/>
    <w:rsid w:val="00D306E3"/>
    <w:rsid w:val="00D36FCC"/>
    <w:rsid w:val="00D41E80"/>
    <w:rsid w:val="00D45694"/>
    <w:rsid w:val="00D544F3"/>
    <w:rsid w:val="00D608F6"/>
    <w:rsid w:val="00D60EFF"/>
    <w:rsid w:val="00D61388"/>
    <w:rsid w:val="00D61A54"/>
    <w:rsid w:val="00D64275"/>
    <w:rsid w:val="00D64DEA"/>
    <w:rsid w:val="00D7168E"/>
    <w:rsid w:val="00D71E57"/>
    <w:rsid w:val="00D75AA2"/>
    <w:rsid w:val="00D7645E"/>
    <w:rsid w:val="00D80893"/>
    <w:rsid w:val="00D84854"/>
    <w:rsid w:val="00D848B4"/>
    <w:rsid w:val="00D92CF1"/>
    <w:rsid w:val="00D92D38"/>
    <w:rsid w:val="00D950F5"/>
    <w:rsid w:val="00DA0BCC"/>
    <w:rsid w:val="00DA4752"/>
    <w:rsid w:val="00DA61F3"/>
    <w:rsid w:val="00DA6B93"/>
    <w:rsid w:val="00DA6F94"/>
    <w:rsid w:val="00DA70BD"/>
    <w:rsid w:val="00DA7D89"/>
    <w:rsid w:val="00DB0F93"/>
    <w:rsid w:val="00DB1A67"/>
    <w:rsid w:val="00DB5074"/>
    <w:rsid w:val="00DB5B21"/>
    <w:rsid w:val="00DC7981"/>
    <w:rsid w:val="00DD1C15"/>
    <w:rsid w:val="00DD5690"/>
    <w:rsid w:val="00DE1093"/>
    <w:rsid w:val="00DE4EFA"/>
    <w:rsid w:val="00DE50D7"/>
    <w:rsid w:val="00DE5520"/>
    <w:rsid w:val="00DE563D"/>
    <w:rsid w:val="00DE5E2E"/>
    <w:rsid w:val="00DE772C"/>
    <w:rsid w:val="00DF1D9A"/>
    <w:rsid w:val="00DF312A"/>
    <w:rsid w:val="00DF6537"/>
    <w:rsid w:val="00E04818"/>
    <w:rsid w:val="00E06442"/>
    <w:rsid w:val="00E06BCF"/>
    <w:rsid w:val="00E0767F"/>
    <w:rsid w:val="00E1001C"/>
    <w:rsid w:val="00E23993"/>
    <w:rsid w:val="00E257D6"/>
    <w:rsid w:val="00E25B8C"/>
    <w:rsid w:val="00E3544F"/>
    <w:rsid w:val="00E37F21"/>
    <w:rsid w:val="00E51D65"/>
    <w:rsid w:val="00E60357"/>
    <w:rsid w:val="00E614BC"/>
    <w:rsid w:val="00E6200B"/>
    <w:rsid w:val="00E65C85"/>
    <w:rsid w:val="00E66199"/>
    <w:rsid w:val="00E711C7"/>
    <w:rsid w:val="00E72DF2"/>
    <w:rsid w:val="00E7494F"/>
    <w:rsid w:val="00E755EC"/>
    <w:rsid w:val="00E7624D"/>
    <w:rsid w:val="00E97242"/>
    <w:rsid w:val="00E975A6"/>
    <w:rsid w:val="00EA38F3"/>
    <w:rsid w:val="00EA3D42"/>
    <w:rsid w:val="00EA6B1B"/>
    <w:rsid w:val="00EB5BC8"/>
    <w:rsid w:val="00EB606C"/>
    <w:rsid w:val="00EC04F1"/>
    <w:rsid w:val="00EC1B2B"/>
    <w:rsid w:val="00EC32E5"/>
    <w:rsid w:val="00ED0EC2"/>
    <w:rsid w:val="00ED3474"/>
    <w:rsid w:val="00ED7323"/>
    <w:rsid w:val="00EE28F3"/>
    <w:rsid w:val="00EE50D1"/>
    <w:rsid w:val="00EE77FA"/>
    <w:rsid w:val="00EE79A1"/>
    <w:rsid w:val="00EE7A83"/>
    <w:rsid w:val="00EF1B7A"/>
    <w:rsid w:val="00EF34FB"/>
    <w:rsid w:val="00EF5110"/>
    <w:rsid w:val="00F0334E"/>
    <w:rsid w:val="00F07967"/>
    <w:rsid w:val="00F10411"/>
    <w:rsid w:val="00F15882"/>
    <w:rsid w:val="00F171E0"/>
    <w:rsid w:val="00F20BD3"/>
    <w:rsid w:val="00F2526A"/>
    <w:rsid w:val="00F35081"/>
    <w:rsid w:val="00F373A5"/>
    <w:rsid w:val="00F42E08"/>
    <w:rsid w:val="00F47559"/>
    <w:rsid w:val="00F57907"/>
    <w:rsid w:val="00F61176"/>
    <w:rsid w:val="00F62A30"/>
    <w:rsid w:val="00F64C7B"/>
    <w:rsid w:val="00F65B25"/>
    <w:rsid w:val="00F676DD"/>
    <w:rsid w:val="00F71667"/>
    <w:rsid w:val="00F73895"/>
    <w:rsid w:val="00F75A26"/>
    <w:rsid w:val="00F76706"/>
    <w:rsid w:val="00F768C8"/>
    <w:rsid w:val="00F81B8D"/>
    <w:rsid w:val="00F83FAD"/>
    <w:rsid w:val="00F8653A"/>
    <w:rsid w:val="00F91F55"/>
    <w:rsid w:val="00F92349"/>
    <w:rsid w:val="00F93B21"/>
    <w:rsid w:val="00F952A0"/>
    <w:rsid w:val="00FA3C7F"/>
    <w:rsid w:val="00FA655C"/>
    <w:rsid w:val="00FB1BF3"/>
    <w:rsid w:val="00FB4402"/>
    <w:rsid w:val="00FB60FE"/>
    <w:rsid w:val="00FB74E2"/>
    <w:rsid w:val="00FC71DC"/>
    <w:rsid w:val="00FD2ED2"/>
    <w:rsid w:val="00FD5614"/>
    <w:rsid w:val="00FD5E78"/>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footnote reference"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60"/>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footnote reference"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60"/>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21515850">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80888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A1AE80-47E4-42F9-8932-7CF0C2F93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DC5C1CA1</Template>
  <TotalTime>0</TotalTime>
  <Pages>15</Pages>
  <Words>2996</Words>
  <Characters>17078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2016-05-23T00:02:00Z</dcterms:created>
  <dcterms:modified xsi:type="dcterms:W3CDTF">2016-05-23T00:23:00Z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