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22A66E91" wp14:editId="65EC6A85">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327A1E" w:rsidRDefault="001754EE" w:rsidP="001754EE">
          <w:pPr>
            <w:pStyle w:val="ReportSubtitle"/>
            <w:tabs>
              <w:tab w:val="left" w:pos="1122"/>
              <w:tab w:val="center" w:pos="4238"/>
            </w:tabs>
            <w:jc w:val="left"/>
          </w:pPr>
          <w:r>
            <w:tab/>
          </w:r>
          <w:r>
            <w:tab/>
          </w:r>
          <w:r w:rsidR="00A2303E">
            <w:t>FINAL</w:t>
          </w:r>
          <w:r w:rsidR="00DA4752">
            <w:t xml:space="preserve"> DECISION</w:t>
          </w:r>
        </w:p>
        <w:p w:rsidR="008967FA" w:rsidRDefault="008967FA" w:rsidP="008967FA">
          <w:pPr>
            <w:pStyle w:val="ReportSubtitle"/>
          </w:pPr>
          <w:r>
            <w:t xml:space="preserve">ActewAGL Distribution </w:t>
          </w:r>
        </w:p>
        <w:p w:rsidR="00415F31" w:rsidRDefault="00CF2C05" w:rsidP="008F07A3">
          <w:pPr>
            <w:pStyle w:val="ReportSubtitle"/>
          </w:pPr>
          <w:r>
            <w:t>Access Arrangement</w:t>
          </w:r>
        </w:p>
        <w:p w:rsidR="000A6C7B" w:rsidRDefault="005C0A7F" w:rsidP="008F07A3">
          <w:pPr>
            <w:pStyle w:val="ReportSubtitle"/>
          </w:pPr>
          <w:r>
            <w:t>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A06085">
            <w:t>13</w:t>
          </w:r>
          <w:r w:rsidR="00DA4752">
            <w:t xml:space="preserve"> </w:t>
          </w:r>
          <w:r w:rsidR="00415F31">
            <w:rPr>
              <w:rFonts w:cs="Arial"/>
            </w:rPr>
            <w:t>–</w:t>
          </w:r>
          <w:r w:rsidR="00DA4752">
            <w:t xml:space="preserve"> </w:t>
          </w:r>
          <w:r w:rsidR="00A06085">
            <w:t>Demand</w:t>
          </w:r>
        </w:p>
        <w:p w:rsidR="000A6C7B" w:rsidRPr="00327A1E" w:rsidRDefault="002748A6" w:rsidP="00327A1E">
          <w:pPr>
            <w:pStyle w:val="ReportDate"/>
          </w:pPr>
          <w:r>
            <w:t xml:space="preserve">May </w:t>
          </w:r>
          <w:r w:rsidR="00A2303E">
            <w:t>2016</w:t>
          </w:r>
        </w:p>
      </w:sdtContent>
    </w:sdt>
    <w:p w:rsidR="00327A1E" w:rsidRPr="00290C63" w:rsidRDefault="00327A1E" w:rsidP="00290C63">
      <w:r>
        <w:br w:type="page"/>
      </w:r>
    </w:p>
    <w:p w:rsidR="000A6C7B" w:rsidRDefault="00A75BA2" w:rsidP="00961A4A">
      <w:pPr>
        <w:pStyle w:val="Copyright"/>
      </w:pPr>
      <w:r>
        <w:lastRenderedPageBreak/>
        <w:t>© Commonwealth of Australia 2016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 xml:space="preserve">any </w:t>
      </w:r>
      <w:proofErr w:type="spellStart"/>
      <w:r w:rsidRPr="00983C25">
        <w:rPr>
          <w:sz w:val="20"/>
        </w:rPr>
        <w:t>illustratio</w:t>
      </w:r>
      <w:proofErr w:type="spellEnd"/>
      <w:r w:rsidR="00704979">
        <w:t>,</w:t>
      </w:r>
      <w:r w:rsidRPr="00983C25">
        <w:rPr>
          <w:sz w:val="20"/>
        </w:rPr>
        <w:t>,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51761524"/>
      <w:r>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A2303E">
        <w:t>final</w:t>
      </w:r>
      <w:r w:rsidR="00415F31">
        <w:t xml:space="preserve"> decision on </w:t>
      </w:r>
      <w:r w:rsidR="0033548E">
        <w:t>the</w:t>
      </w:r>
      <w:r w:rsidR="00415F31">
        <w:t xml:space="preserve"> </w:t>
      </w:r>
      <w:r w:rsidR="00CF2C05">
        <w:t>access</w:t>
      </w:r>
      <w:r w:rsidR="00415F31">
        <w:t xml:space="preserve"> </w:t>
      </w:r>
      <w:r w:rsidR="00CF2C05">
        <w:t>arrangement for</w:t>
      </w:r>
      <w:r w:rsidR="00415F31">
        <w:t xml:space="preserve"> </w:t>
      </w:r>
      <w:r w:rsidR="008967FA">
        <w:t xml:space="preserve">ActewAGL Distribution </w:t>
      </w:r>
      <w:r w:rsidR="0033548E">
        <w:t xml:space="preserve">for </w:t>
      </w:r>
      <w:r w:rsidR="00415F31">
        <w:t>201</w:t>
      </w:r>
      <w:r w:rsidR="005C0A7F">
        <w:t>6</w:t>
      </w:r>
      <w:r w:rsidR="00415F31" w:rsidRPr="00D904FA">
        <w:t>–</w:t>
      </w:r>
      <w:r w:rsidR="00103A67">
        <w:t>21</w:t>
      </w:r>
      <w:r w:rsidR="00415F31">
        <w:t xml:space="preserve">. It should be read with </w:t>
      </w:r>
      <w:r w:rsidR="005C0A7F">
        <w:t xml:space="preserve">all </w:t>
      </w:r>
      <w:r w:rsidR="00415F31">
        <w:t xml:space="preserve">other parts of the </w:t>
      </w:r>
      <w:r w:rsidR="00A2303E">
        <w:t>final</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A2303E">
        <w:t>final</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5" w:name="_Toc403144133"/>
      <w:bookmarkStart w:id="6" w:name="_Toc451761525"/>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E022CC"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51761524" w:history="1">
            <w:r w:rsidR="00E022CC" w:rsidRPr="00E61EC2">
              <w:rPr>
                <w:rStyle w:val="Hyperlink"/>
              </w:rPr>
              <w:t>Note</w:t>
            </w:r>
            <w:r w:rsidR="00E022CC">
              <w:rPr>
                <w:webHidden/>
              </w:rPr>
              <w:tab/>
            </w:r>
            <w:r w:rsidR="00E022CC">
              <w:rPr>
                <w:webHidden/>
              </w:rPr>
              <w:fldChar w:fldCharType="begin"/>
            </w:r>
            <w:r w:rsidR="00E022CC">
              <w:rPr>
                <w:webHidden/>
              </w:rPr>
              <w:instrText xml:space="preserve"> PAGEREF _Toc451761524 \h </w:instrText>
            </w:r>
            <w:r w:rsidR="00E022CC">
              <w:rPr>
                <w:webHidden/>
              </w:rPr>
            </w:r>
            <w:r w:rsidR="00E022CC">
              <w:rPr>
                <w:webHidden/>
              </w:rPr>
              <w:fldChar w:fldCharType="separate"/>
            </w:r>
            <w:r w:rsidR="00E022CC">
              <w:rPr>
                <w:webHidden/>
              </w:rPr>
              <w:t>13-2</w:t>
            </w:r>
            <w:r w:rsidR="00E022CC">
              <w:rPr>
                <w:webHidden/>
              </w:rPr>
              <w:fldChar w:fldCharType="end"/>
            </w:r>
          </w:hyperlink>
        </w:p>
        <w:p w:rsidR="00E022CC" w:rsidRDefault="00E022CC">
          <w:pPr>
            <w:pStyle w:val="TOC1"/>
            <w:rPr>
              <w:rFonts w:asciiTheme="minorHAnsi" w:eastAsiaTheme="minorEastAsia" w:hAnsiTheme="minorHAnsi"/>
              <w:b w:val="0"/>
              <w:color w:val="auto"/>
              <w:sz w:val="22"/>
              <w:lang w:val="en-AU" w:eastAsia="en-AU"/>
            </w:rPr>
          </w:pPr>
          <w:hyperlink w:anchor="_Toc451761525" w:history="1">
            <w:r w:rsidRPr="00E61EC2">
              <w:rPr>
                <w:rStyle w:val="Hyperlink"/>
              </w:rPr>
              <w:t>Contents</w:t>
            </w:r>
            <w:r>
              <w:rPr>
                <w:webHidden/>
              </w:rPr>
              <w:tab/>
            </w:r>
            <w:r>
              <w:rPr>
                <w:webHidden/>
              </w:rPr>
              <w:fldChar w:fldCharType="begin"/>
            </w:r>
            <w:r>
              <w:rPr>
                <w:webHidden/>
              </w:rPr>
              <w:instrText xml:space="preserve"> PAGEREF _Toc451761525 \h </w:instrText>
            </w:r>
            <w:r>
              <w:rPr>
                <w:webHidden/>
              </w:rPr>
            </w:r>
            <w:r>
              <w:rPr>
                <w:webHidden/>
              </w:rPr>
              <w:fldChar w:fldCharType="separate"/>
            </w:r>
            <w:r>
              <w:rPr>
                <w:webHidden/>
              </w:rPr>
              <w:t>13-3</w:t>
            </w:r>
            <w:r>
              <w:rPr>
                <w:webHidden/>
              </w:rPr>
              <w:fldChar w:fldCharType="end"/>
            </w:r>
          </w:hyperlink>
        </w:p>
        <w:p w:rsidR="00E022CC" w:rsidRDefault="00E022CC">
          <w:pPr>
            <w:pStyle w:val="TOC1"/>
            <w:rPr>
              <w:rFonts w:asciiTheme="minorHAnsi" w:eastAsiaTheme="minorEastAsia" w:hAnsiTheme="minorHAnsi"/>
              <w:b w:val="0"/>
              <w:color w:val="auto"/>
              <w:sz w:val="22"/>
              <w:lang w:val="en-AU" w:eastAsia="en-AU"/>
            </w:rPr>
          </w:pPr>
          <w:hyperlink w:anchor="_Toc451761526" w:history="1">
            <w:r w:rsidRPr="00E61EC2">
              <w:rPr>
                <w:rStyle w:val="Hyperlink"/>
              </w:rPr>
              <w:t>Shortened forms</w:t>
            </w:r>
            <w:r>
              <w:rPr>
                <w:webHidden/>
              </w:rPr>
              <w:tab/>
            </w:r>
            <w:r>
              <w:rPr>
                <w:webHidden/>
              </w:rPr>
              <w:fldChar w:fldCharType="begin"/>
            </w:r>
            <w:r>
              <w:rPr>
                <w:webHidden/>
              </w:rPr>
              <w:instrText xml:space="preserve"> PAGEREF _Toc451761526 \h </w:instrText>
            </w:r>
            <w:r>
              <w:rPr>
                <w:webHidden/>
              </w:rPr>
            </w:r>
            <w:r>
              <w:rPr>
                <w:webHidden/>
              </w:rPr>
              <w:fldChar w:fldCharType="separate"/>
            </w:r>
            <w:r>
              <w:rPr>
                <w:webHidden/>
              </w:rPr>
              <w:t>13-4</w:t>
            </w:r>
            <w:r>
              <w:rPr>
                <w:webHidden/>
              </w:rPr>
              <w:fldChar w:fldCharType="end"/>
            </w:r>
          </w:hyperlink>
        </w:p>
        <w:p w:rsidR="00E022CC" w:rsidRDefault="00E022CC">
          <w:pPr>
            <w:pStyle w:val="TOC1"/>
            <w:rPr>
              <w:rFonts w:asciiTheme="minorHAnsi" w:eastAsiaTheme="minorEastAsia" w:hAnsiTheme="minorHAnsi"/>
              <w:b w:val="0"/>
              <w:color w:val="auto"/>
              <w:sz w:val="22"/>
              <w:lang w:val="en-AU" w:eastAsia="en-AU"/>
            </w:rPr>
          </w:pPr>
          <w:hyperlink w:anchor="_Toc451761527" w:history="1">
            <w:r w:rsidRPr="00E61EC2">
              <w:rPr>
                <w:rStyle w:val="Hyperlink"/>
              </w:rPr>
              <w:t>13</w:t>
            </w:r>
            <w:r>
              <w:rPr>
                <w:rFonts w:asciiTheme="minorHAnsi" w:eastAsiaTheme="minorEastAsia" w:hAnsiTheme="minorHAnsi"/>
                <w:b w:val="0"/>
                <w:color w:val="auto"/>
                <w:sz w:val="22"/>
                <w:lang w:val="en-AU" w:eastAsia="en-AU"/>
              </w:rPr>
              <w:tab/>
            </w:r>
            <w:r w:rsidRPr="00E61EC2">
              <w:rPr>
                <w:rStyle w:val="Hyperlink"/>
              </w:rPr>
              <w:t>Demand</w:t>
            </w:r>
            <w:r>
              <w:rPr>
                <w:webHidden/>
              </w:rPr>
              <w:tab/>
            </w:r>
            <w:r>
              <w:rPr>
                <w:webHidden/>
              </w:rPr>
              <w:fldChar w:fldCharType="begin"/>
            </w:r>
            <w:r>
              <w:rPr>
                <w:webHidden/>
              </w:rPr>
              <w:instrText xml:space="preserve"> PAGEREF _Toc451761527 \h </w:instrText>
            </w:r>
            <w:r>
              <w:rPr>
                <w:webHidden/>
              </w:rPr>
            </w:r>
            <w:r>
              <w:rPr>
                <w:webHidden/>
              </w:rPr>
              <w:fldChar w:fldCharType="separate"/>
            </w:r>
            <w:r>
              <w:rPr>
                <w:webHidden/>
              </w:rPr>
              <w:t>13-6</w:t>
            </w:r>
            <w:r>
              <w:rPr>
                <w:webHidden/>
              </w:rPr>
              <w:fldChar w:fldCharType="end"/>
            </w:r>
          </w:hyperlink>
        </w:p>
        <w:p w:rsidR="00E022CC" w:rsidRDefault="00E022CC">
          <w:pPr>
            <w:pStyle w:val="TOC2"/>
            <w:tabs>
              <w:tab w:val="left" w:pos="1276"/>
            </w:tabs>
            <w:rPr>
              <w:rFonts w:asciiTheme="minorHAnsi" w:eastAsiaTheme="minorEastAsia" w:hAnsiTheme="minorHAnsi"/>
              <w:b w:val="0"/>
              <w:color w:val="auto"/>
              <w:sz w:val="22"/>
              <w:lang w:eastAsia="en-AU"/>
            </w:rPr>
          </w:pPr>
          <w:hyperlink w:anchor="_Toc451761528" w:history="1">
            <w:r w:rsidRPr="00E61EC2">
              <w:rPr>
                <w:rStyle w:val="Hyperlink"/>
              </w:rPr>
              <w:t>13.1</w:t>
            </w:r>
            <w:r>
              <w:rPr>
                <w:rFonts w:asciiTheme="minorHAnsi" w:eastAsiaTheme="minorEastAsia" w:hAnsiTheme="minorHAnsi"/>
                <w:b w:val="0"/>
                <w:color w:val="auto"/>
                <w:sz w:val="22"/>
                <w:lang w:eastAsia="en-AU"/>
              </w:rPr>
              <w:tab/>
            </w:r>
            <w:r w:rsidRPr="00E61EC2">
              <w:rPr>
                <w:rStyle w:val="Hyperlink"/>
              </w:rPr>
              <w:t>Final decision</w:t>
            </w:r>
            <w:r>
              <w:rPr>
                <w:webHidden/>
              </w:rPr>
              <w:tab/>
            </w:r>
            <w:r>
              <w:rPr>
                <w:webHidden/>
              </w:rPr>
              <w:fldChar w:fldCharType="begin"/>
            </w:r>
            <w:r>
              <w:rPr>
                <w:webHidden/>
              </w:rPr>
              <w:instrText xml:space="preserve"> PAGEREF _Toc451761528 \h </w:instrText>
            </w:r>
            <w:r>
              <w:rPr>
                <w:webHidden/>
              </w:rPr>
            </w:r>
            <w:r>
              <w:rPr>
                <w:webHidden/>
              </w:rPr>
              <w:fldChar w:fldCharType="separate"/>
            </w:r>
            <w:r>
              <w:rPr>
                <w:webHidden/>
              </w:rPr>
              <w:t>13-6</w:t>
            </w:r>
            <w:r>
              <w:rPr>
                <w:webHidden/>
              </w:rPr>
              <w:fldChar w:fldCharType="end"/>
            </w:r>
          </w:hyperlink>
        </w:p>
        <w:p w:rsidR="00E022CC" w:rsidRDefault="00E022CC">
          <w:pPr>
            <w:pStyle w:val="TOC2"/>
            <w:tabs>
              <w:tab w:val="left" w:pos="1276"/>
            </w:tabs>
            <w:rPr>
              <w:rFonts w:asciiTheme="minorHAnsi" w:eastAsiaTheme="minorEastAsia" w:hAnsiTheme="minorHAnsi"/>
              <w:b w:val="0"/>
              <w:color w:val="auto"/>
              <w:sz w:val="22"/>
              <w:lang w:eastAsia="en-AU"/>
            </w:rPr>
          </w:pPr>
          <w:hyperlink w:anchor="_Toc451761529" w:history="1">
            <w:r w:rsidRPr="00E61EC2">
              <w:rPr>
                <w:rStyle w:val="Hyperlink"/>
              </w:rPr>
              <w:t>13.2</w:t>
            </w:r>
            <w:r>
              <w:rPr>
                <w:rFonts w:asciiTheme="minorHAnsi" w:eastAsiaTheme="minorEastAsia" w:hAnsiTheme="minorHAnsi"/>
                <w:b w:val="0"/>
                <w:color w:val="auto"/>
                <w:sz w:val="22"/>
                <w:lang w:eastAsia="en-AU"/>
              </w:rPr>
              <w:tab/>
            </w:r>
            <w:r w:rsidRPr="00E61EC2">
              <w:rPr>
                <w:rStyle w:val="Hyperlink"/>
              </w:rPr>
              <w:t>ActewAGL's revised proposal</w:t>
            </w:r>
            <w:r>
              <w:rPr>
                <w:webHidden/>
              </w:rPr>
              <w:tab/>
            </w:r>
            <w:r>
              <w:rPr>
                <w:webHidden/>
              </w:rPr>
              <w:fldChar w:fldCharType="begin"/>
            </w:r>
            <w:r>
              <w:rPr>
                <w:webHidden/>
              </w:rPr>
              <w:instrText xml:space="preserve"> PAGEREF _Toc451761529 \h </w:instrText>
            </w:r>
            <w:r>
              <w:rPr>
                <w:webHidden/>
              </w:rPr>
            </w:r>
            <w:r>
              <w:rPr>
                <w:webHidden/>
              </w:rPr>
              <w:fldChar w:fldCharType="separate"/>
            </w:r>
            <w:r>
              <w:rPr>
                <w:webHidden/>
              </w:rPr>
              <w:t>13-8</w:t>
            </w:r>
            <w:r>
              <w:rPr>
                <w:webHidden/>
              </w:rPr>
              <w:fldChar w:fldCharType="end"/>
            </w:r>
          </w:hyperlink>
        </w:p>
        <w:p w:rsidR="00E022CC" w:rsidRDefault="00E022CC">
          <w:pPr>
            <w:pStyle w:val="TOC2"/>
            <w:tabs>
              <w:tab w:val="left" w:pos="1276"/>
            </w:tabs>
            <w:rPr>
              <w:rFonts w:asciiTheme="minorHAnsi" w:eastAsiaTheme="minorEastAsia" w:hAnsiTheme="minorHAnsi"/>
              <w:b w:val="0"/>
              <w:color w:val="auto"/>
              <w:sz w:val="22"/>
              <w:lang w:eastAsia="en-AU"/>
            </w:rPr>
          </w:pPr>
          <w:hyperlink w:anchor="_Toc451761530" w:history="1">
            <w:r w:rsidRPr="00E61EC2">
              <w:rPr>
                <w:rStyle w:val="Hyperlink"/>
              </w:rPr>
              <w:t>13.3</w:t>
            </w:r>
            <w:r>
              <w:rPr>
                <w:rFonts w:asciiTheme="minorHAnsi" w:eastAsiaTheme="minorEastAsia" w:hAnsiTheme="minorHAnsi"/>
                <w:b w:val="0"/>
                <w:color w:val="auto"/>
                <w:sz w:val="22"/>
                <w:lang w:eastAsia="en-AU"/>
              </w:rPr>
              <w:tab/>
            </w:r>
            <w:r w:rsidRPr="00E61EC2">
              <w:rPr>
                <w:rStyle w:val="Hyperlink"/>
              </w:rPr>
              <w:t>AER’s assessment approach</w:t>
            </w:r>
            <w:r>
              <w:rPr>
                <w:webHidden/>
              </w:rPr>
              <w:tab/>
            </w:r>
            <w:r>
              <w:rPr>
                <w:webHidden/>
              </w:rPr>
              <w:fldChar w:fldCharType="begin"/>
            </w:r>
            <w:r>
              <w:rPr>
                <w:webHidden/>
              </w:rPr>
              <w:instrText xml:space="preserve"> PAGEREF _Toc451761530 \h </w:instrText>
            </w:r>
            <w:r>
              <w:rPr>
                <w:webHidden/>
              </w:rPr>
            </w:r>
            <w:r>
              <w:rPr>
                <w:webHidden/>
              </w:rPr>
              <w:fldChar w:fldCharType="separate"/>
            </w:r>
            <w:r>
              <w:rPr>
                <w:webHidden/>
              </w:rPr>
              <w:t>13-9</w:t>
            </w:r>
            <w:r>
              <w:rPr>
                <w:webHidden/>
              </w:rPr>
              <w:fldChar w:fldCharType="end"/>
            </w:r>
          </w:hyperlink>
        </w:p>
        <w:p w:rsidR="00E022CC" w:rsidRDefault="00E022CC">
          <w:pPr>
            <w:pStyle w:val="TOC3"/>
            <w:rPr>
              <w:rFonts w:asciiTheme="minorHAnsi" w:eastAsiaTheme="minorEastAsia" w:hAnsiTheme="minorHAnsi"/>
              <w:lang w:eastAsia="en-AU"/>
            </w:rPr>
          </w:pPr>
          <w:hyperlink w:anchor="_Toc451761531" w:history="1">
            <w:r w:rsidRPr="00E61EC2">
              <w:rPr>
                <w:rStyle w:val="Hyperlink"/>
              </w:rPr>
              <w:t>13.3.1</w:t>
            </w:r>
            <w:r>
              <w:rPr>
                <w:rFonts w:asciiTheme="minorHAnsi" w:eastAsiaTheme="minorEastAsia" w:hAnsiTheme="minorHAnsi"/>
                <w:lang w:eastAsia="en-AU"/>
              </w:rPr>
              <w:tab/>
            </w:r>
            <w:r w:rsidRPr="00E61EC2">
              <w:rPr>
                <w:rStyle w:val="Hyperlink"/>
              </w:rPr>
              <w:t>Interrelationships</w:t>
            </w:r>
            <w:r>
              <w:rPr>
                <w:webHidden/>
              </w:rPr>
              <w:tab/>
            </w:r>
            <w:r>
              <w:rPr>
                <w:webHidden/>
              </w:rPr>
              <w:fldChar w:fldCharType="begin"/>
            </w:r>
            <w:r>
              <w:rPr>
                <w:webHidden/>
              </w:rPr>
              <w:instrText xml:space="preserve"> PAGEREF _Toc451761531 \h </w:instrText>
            </w:r>
            <w:r>
              <w:rPr>
                <w:webHidden/>
              </w:rPr>
            </w:r>
            <w:r>
              <w:rPr>
                <w:webHidden/>
              </w:rPr>
              <w:fldChar w:fldCharType="separate"/>
            </w:r>
            <w:r>
              <w:rPr>
                <w:webHidden/>
              </w:rPr>
              <w:t>13-10</w:t>
            </w:r>
            <w:r>
              <w:rPr>
                <w:webHidden/>
              </w:rPr>
              <w:fldChar w:fldCharType="end"/>
            </w:r>
          </w:hyperlink>
        </w:p>
        <w:p w:rsidR="00E022CC" w:rsidRDefault="00E022CC">
          <w:pPr>
            <w:pStyle w:val="TOC2"/>
            <w:tabs>
              <w:tab w:val="left" w:pos="1276"/>
            </w:tabs>
            <w:rPr>
              <w:rFonts w:asciiTheme="minorHAnsi" w:eastAsiaTheme="minorEastAsia" w:hAnsiTheme="minorHAnsi"/>
              <w:b w:val="0"/>
              <w:color w:val="auto"/>
              <w:sz w:val="22"/>
              <w:lang w:eastAsia="en-AU"/>
            </w:rPr>
          </w:pPr>
          <w:hyperlink w:anchor="_Toc451761532" w:history="1">
            <w:r w:rsidRPr="00E61EC2">
              <w:rPr>
                <w:rStyle w:val="Hyperlink"/>
              </w:rPr>
              <w:t>13.4</w:t>
            </w:r>
            <w:r>
              <w:rPr>
                <w:rFonts w:asciiTheme="minorHAnsi" w:eastAsiaTheme="minorEastAsia" w:hAnsiTheme="minorHAnsi"/>
                <w:b w:val="0"/>
                <w:color w:val="auto"/>
                <w:sz w:val="22"/>
                <w:lang w:eastAsia="en-AU"/>
              </w:rPr>
              <w:tab/>
            </w:r>
            <w:r w:rsidRPr="00E61EC2">
              <w:rPr>
                <w:rStyle w:val="Hyperlink"/>
              </w:rPr>
              <w:t>Reasons for final decision</w:t>
            </w:r>
            <w:r>
              <w:rPr>
                <w:webHidden/>
              </w:rPr>
              <w:tab/>
            </w:r>
            <w:r>
              <w:rPr>
                <w:webHidden/>
              </w:rPr>
              <w:fldChar w:fldCharType="begin"/>
            </w:r>
            <w:r>
              <w:rPr>
                <w:webHidden/>
              </w:rPr>
              <w:instrText xml:space="preserve"> PAGEREF _Toc451761532 \h </w:instrText>
            </w:r>
            <w:r>
              <w:rPr>
                <w:webHidden/>
              </w:rPr>
            </w:r>
            <w:r>
              <w:rPr>
                <w:webHidden/>
              </w:rPr>
              <w:fldChar w:fldCharType="separate"/>
            </w:r>
            <w:r>
              <w:rPr>
                <w:webHidden/>
              </w:rPr>
              <w:t>13-11</w:t>
            </w:r>
            <w:r>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E7494F" w:rsidRDefault="00DE563D" w:rsidP="00DE772C">
      <w:pPr>
        <w:pStyle w:val="UnnumberedHeading"/>
        <w:numPr>
          <w:ilvl w:val="0"/>
          <w:numId w:val="23"/>
        </w:numPr>
      </w:pPr>
      <w:bookmarkStart w:id="7" w:name="_Toc404700925"/>
      <w:bookmarkStart w:id="8" w:name="_Toc451761526"/>
      <w:r>
        <w:t>Shortened forms</w:t>
      </w:r>
      <w:bookmarkEnd w:id="7"/>
      <w:bookmarkEnd w:id="8"/>
    </w:p>
    <w:tbl>
      <w:tblPr>
        <w:tblStyle w:val="AERtable-numbers"/>
        <w:tblW w:w="0" w:type="auto"/>
        <w:tblLook w:val="04A0" w:firstRow="1" w:lastRow="0" w:firstColumn="1" w:lastColumn="0" w:noHBand="0" w:noVBand="1"/>
      </w:tblPr>
      <w:tblGrid>
        <w:gridCol w:w="3652"/>
        <w:gridCol w:w="5041"/>
      </w:tblGrid>
      <w:tr w:rsidR="00D454EF" w:rsidTr="00D454E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Shortened form</w:t>
            </w:r>
          </w:p>
        </w:tc>
        <w:tc>
          <w:tcPr>
            <w:tcW w:w="5041" w:type="dxa"/>
            <w:tcBorders>
              <w:top w:val="nil"/>
              <w:left w:val="nil"/>
              <w:bottom w:val="nil"/>
              <w:right w:val="nil"/>
            </w:tcBorders>
            <w:hideMark/>
          </w:tcPr>
          <w:p w:rsidR="00D454EF" w:rsidRPr="00D454EF" w:rsidRDefault="00D454EF" w:rsidP="00D454EF">
            <w:pPr>
              <w:numPr>
                <w:ilvl w:val="0"/>
                <w:numId w:val="24"/>
              </w:numPr>
              <w:cnfStyle w:val="100000000000" w:firstRow="1" w:lastRow="0" w:firstColumn="0" w:lastColumn="0" w:oddVBand="0" w:evenVBand="0" w:oddHBand="0" w:evenHBand="0" w:firstRowFirstColumn="0" w:firstRowLastColumn="0" w:lastRowFirstColumn="0" w:lastRowLastColumn="0"/>
            </w:pPr>
            <w:r w:rsidRPr="00D454EF">
              <w:t>Extended form</w:t>
            </w:r>
          </w:p>
        </w:tc>
      </w:tr>
      <w:tr w:rsidR="00D454EF" w:rsidTr="00D454EF">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AA</w:t>
            </w:r>
          </w:p>
        </w:tc>
        <w:tc>
          <w:tcPr>
            <w:tcW w:w="5041" w:type="dxa"/>
            <w:tcBorders>
              <w:top w:val="nil"/>
              <w:left w:val="nil"/>
              <w:bottom w:val="nil"/>
              <w:right w:val="nil"/>
            </w:tcBorders>
            <w:hideMark/>
          </w:tcPr>
          <w:p w:rsidR="00D454EF" w:rsidRPr="00D454EF" w:rsidRDefault="00D454EF" w:rsidP="00D454EF">
            <w:pPr>
              <w:cnfStyle w:val="000000000000" w:firstRow="0" w:lastRow="0" w:firstColumn="0" w:lastColumn="0" w:oddVBand="0" w:evenVBand="0" w:oddHBand="0" w:evenHBand="0" w:firstRowFirstColumn="0" w:firstRowLastColumn="0" w:lastRowFirstColumn="0" w:lastRowLastColumn="0"/>
            </w:pPr>
            <w:r w:rsidRPr="00D454EF">
              <w:t>Access Arrangement</w:t>
            </w:r>
          </w:p>
        </w:tc>
      </w:tr>
      <w:tr w:rsidR="00D454EF" w:rsidTr="00D454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AAI</w:t>
            </w:r>
          </w:p>
        </w:tc>
        <w:tc>
          <w:tcPr>
            <w:tcW w:w="5041" w:type="dxa"/>
            <w:tcBorders>
              <w:top w:val="nil"/>
              <w:left w:val="nil"/>
              <w:bottom w:val="nil"/>
              <w:right w:val="nil"/>
            </w:tcBorders>
            <w:hideMark/>
          </w:tcPr>
          <w:p w:rsidR="00D454EF" w:rsidRPr="00D454EF" w:rsidRDefault="00D454EF" w:rsidP="00D454EF">
            <w:pPr>
              <w:cnfStyle w:val="000000010000" w:firstRow="0" w:lastRow="0" w:firstColumn="0" w:lastColumn="0" w:oddVBand="0" w:evenVBand="0" w:oddHBand="0" w:evenHBand="1" w:firstRowFirstColumn="0" w:firstRowLastColumn="0" w:lastRowFirstColumn="0" w:lastRowLastColumn="0"/>
            </w:pPr>
            <w:r w:rsidRPr="00D454EF">
              <w:t>Access Arrangement Information</w:t>
            </w:r>
          </w:p>
        </w:tc>
      </w:tr>
      <w:tr w:rsidR="00D454EF" w:rsidTr="00D454EF">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AER</w:t>
            </w:r>
          </w:p>
        </w:tc>
        <w:tc>
          <w:tcPr>
            <w:tcW w:w="5041" w:type="dxa"/>
            <w:tcBorders>
              <w:top w:val="nil"/>
              <w:left w:val="nil"/>
              <w:bottom w:val="nil"/>
              <w:right w:val="nil"/>
            </w:tcBorders>
            <w:hideMark/>
          </w:tcPr>
          <w:p w:rsidR="00D454EF" w:rsidRPr="00D454EF" w:rsidRDefault="00D454EF" w:rsidP="00D454EF">
            <w:pPr>
              <w:numPr>
                <w:ilvl w:val="0"/>
                <w:numId w:val="24"/>
              </w:numPr>
              <w:cnfStyle w:val="000000000000" w:firstRow="0" w:lastRow="0" w:firstColumn="0" w:lastColumn="0" w:oddVBand="0" w:evenVBand="0" w:oddHBand="0" w:evenHBand="0" w:firstRowFirstColumn="0" w:firstRowLastColumn="0" w:lastRowFirstColumn="0" w:lastRowLastColumn="0"/>
            </w:pPr>
            <w:r w:rsidRPr="00D454EF">
              <w:t>Australian Energy Regulator</w:t>
            </w:r>
          </w:p>
        </w:tc>
      </w:tr>
      <w:tr w:rsidR="00D454EF" w:rsidTr="00D454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ASA</w:t>
            </w:r>
          </w:p>
        </w:tc>
        <w:tc>
          <w:tcPr>
            <w:tcW w:w="5041" w:type="dxa"/>
            <w:tcBorders>
              <w:top w:val="nil"/>
              <w:left w:val="nil"/>
              <w:bottom w:val="nil"/>
              <w:right w:val="nil"/>
            </w:tcBorders>
            <w:hideMark/>
          </w:tcPr>
          <w:p w:rsidR="00D454EF" w:rsidRPr="00D454EF" w:rsidRDefault="00D454EF" w:rsidP="00D454EF">
            <w:pPr>
              <w:cnfStyle w:val="000000010000" w:firstRow="0" w:lastRow="0" w:firstColumn="0" w:lastColumn="0" w:oddVBand="0" w:evenVBand="0" w:oddHBand="0" w:evenHBand="1" w:firstRowFirstColumn="0" w:firstRowLastColumn="0" w:lastRowFirstColumn="0" w:lastRowLastColumn="0"/>
            </w:pPr>
            <w:r w:rsidRPr="00D454EF">
              <w:t>Asset Services Agreement</w:t>
            </w:r>
          </w:p>
        </w:tc>
      </w:tr>
      <w:tr w:rsidR="00D454EF" w:rsidTr="00D454EF">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ATO</w:t>
            </w:r>
          </w:p>
        </w:tc>
        <w:tc>
          <w:tcPr>
            <w:tcW w:w="5041" w:type="dxa"/>
            <w:tcBorders>
              <w:top w:val="nil"/>
              <w:left w:val="nil"/>
              <w:bottom w:val="nil"/>
              <w:right w:val="nil"/>
            </w:tcBorders>
            <w:hideMark/>
          </w:tcPr>
          <w:p w:rsidR="00D454EF" w:rsidRPr="00D454EF" w:rsidRDefault="00D454EF" w:rsidP="00D454EF">
            <w:pPr>
              <w:cnfStyle w:val="000000000000" w:firstRow="0" w:lastRow="0" w:firstColumn="0" w:lastColumn="0" w:oddVBand="0" w:evenVBand="0" w:oddHBand="0" w:evenHBand="0" w:firstRowFirstColumn="0" w:firstRowLastColumn="0" w:lastRowFirstColumn="0" w:lastRowLastColumn="0"/>
            </w:pPr>
            <w:r w:rsidRPr="00D454EF">
              <w:t>Australian Tax Office</w:t>
            </w:r>
          </w:p>
        </w:tc>
      </w:tr>
      <w:tr w:rsidR="00D454EF" w:rsidTr="00D454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capex</w:t>
            </w:r>
          </w:p>
        </w:tc>
        <w:tc>
          <w:tcPr>
            <w:tcW w:w="5041" w:type="dxa"/>
            <w:tcBorders>
              <w:top w:val="nil"/>
              <w:left w:val="nil"/>
              <w:bottom w:val="nil"/>
              <w:right w:val="nil"/>
            </w:tcBorders>
            <w:hideMark/>
          </w:tcPr>
          <w:p w:rsidR="00D454EF" w:rsidRPr="00D454EF" w:rsidRDefault="00D454EF" w:rsidP="00D454EF">
            <w:pPr>
              <w:numPr>
                <w:ilvl w:val="0"/>
                <w:numId w:val="24"/>
              </w:numPr>
              <w:cnfStyle w:val="000000010000" w:firstRow="0" w:lastRow="0" w:firstColumn="0" w:lastColumn="0" w:oddVBand="0" w:evenVBand="0" w:oddHBand="0" w:evenHBand="1" w:firstRowFirstColumn="0" w:firstRowLastColumn="0" w:lastRowFirstColumn="0" w:lastRowLastColumn="0"/>
            </w:pPr>
            <w:r w:rsidRPr="00D454EF">
              <w:t>capital expenditure</w:t>
            </w:r>
          </w:p>
        </w:tc>
      </w:tr>
      <w:tr w:rsidR="00D454EF" w:rsidTr="00D454EF">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CAPM</w:t>
            </w:r>
          </w:p>
        </w:tc>
        <w:tc>
          <w:tcPr>
            <w:tcW w:w="5041" w:type="dxa"/>
            <w:tcBorders>
              <w:top w:val="nil"/>
              <w:left w:val="nil"/>
              <w:bottom w:val="nil"/>
              <w:right w:val="nil"/>
            </w:tcBorders>
            <w:hideMark/>
          </w:tcPr>
          <w:p w:rsidR="00D454EF" w:rsidRPr="00D454EF" w:rsidRDefault="00D454EF" w:rsidP="00D454EF">
            <w:pPr>
              <w:numPr>
                <w:ilvl w:val="0"/>
                <w:numId w:val="24"/>
              </w:numPr>
              <w:cnfStyle w:val="000000000000" w:firstRow="0" w:lastRow="0" w:firstColumn="0" w:lastColumn="0" w:oddVBand="0" w:evenVBand="0" w:oddHBand="0" w:evenHBand="0" w:firstRowFirstColumn="0" w:firstRowLastColumn="0" w:lastRowFirstColumn="0" w:lastRowLastColumn="0"/>
            </w:pPr>
            <w:r w:rsidRPr="00D454EF">
              <w:t>capital asset pricing model</w:t>
            </w:r>
          </w:p>
        </w:tc>
      </w:tr>
      <w:tr w:rsidR="00D454EF" w:rsidTr="00D454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CCP</w:t>
            </w:r>
          </w:p>
        </w:tc>
        <w:tc>
          <w:tcPr>
            <w:tcW w:w="5041" w:type="dxa"/>
            <w:tcBorders>
              <w:top w:val="nil"/>
              <w:left w:val="nil"/>
              <w:bottom w:val="nil"/>
              <w:right w:val="nil"/>
            </w:tcBorders>
            <w:hideMark/>
          </w:tcPr>
          <w:p w:rsidR="00D454EF" w:rsidRPr="00D454EF" w:rsidRDefault="00D454EF" w:rsidP="00D454EF">
            <w:pPr>
              <w:numPr>
                <w:ilvl w:val="0"/>
                <w:numId w:val="24"/>
              </w:numPr>
              <w:cnfStyle w:val="000000010000" w:firstRow="0" w:lastRow="0" w:firstColumn="0" w:lastColumn="0" w:oddVBand="0" w:evenVBand="0" w:oddHBand="0" w:evenHBand="1" w:firstRowFirstColumn="0" w:firstRowLastColumn="0" w:lastRowFirstColumn="0" w:lastRowLastColumn="0"/>
            </w:pPr>
            <w:r w:rsidRPr="00D454EF">
              <w:t>Consumer Challenge Panel</w:t>
            </w:r>
          </w:p>
        </w:tc>
      </w:tr>
      <w:tr w:rsidR="00D454EF" w:rsidTr="00D454EF">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CMF</w:t>
            </w:r>
          </w:p>
        </w:tc>
        <w:tc>
          <w:tcPr>
            <w:tcW w:w="5041" w:type="dxa"/>
            <w:tcBorders>
              <w:top w:val="nil"/>
              <w:left w:val="nil"/>
              <w:bottom w:val="nil"/>
              <w:right w:val="nil"/>
            </w:tcBorders>
            <w:hideMark/>
          </w:tcPr>
          <w:p w:rsidR="00D454EF" w:rsidRPr="00D454EF" w:rsidRDefault="00D454EF" w:rsidP="00D454EF">
            <w:pPr>
              <w:cnfStyle w:val="000000000000" w:firstRow="0" w:lastRow="0" w:firstColumn="0" w:lastColumn="0" w:oddVBand="0" w:evenVBand="0" w:oddHBand="0" w:evenHBand="0" w:firstRowFirstColumn="0" w:firstRowLastColumn="0" w:lastRowFirstColumn="0" w:lastRowLastColumn="0"/>
            </w:pPr>
            <w:r w:rsidRPr="00D454EF">
              <w:t>construction management fee</w:t>
            </w:r>
          </w:p>
        </w:tc>
      </w:tr>
      <w:tr w:rsidR="00D454EF" w:rsidTr="00D454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CPI</w:t>
            </w:r>
          </w:p>
        </w:tc>
        <w:tc>
          <w:tcPr>
            <w:tcW w:w="5041" w:type="dxa"/>
            <w:tcBorders>
              <w:top w:val="nil"/>
              <w:left w:val="nil"/>
              <w:bottom w:val="nil"/>
              <w:right w:val="nil"/>
            </w:tcBorders>
            <w:hideMark/>
          </w:tcPr>
          <w:p w:rsidR="00D454EF" w:rsidRPr="00D454EF" w:rsidRDefault="00D454EF" w:rsidP="00D454EF">
            <w:pPr>
              <w:numPr>
                <w:ilvl w:val="0"/>
                <w:numId w:val="24"/>
              </w:numPr>
              <w:cnfStyle w:val="000000010000" w:firstRow="0" w:lastRow="0" w:firstColumn="0" w:lastColumn="0" w:oddVBand="0" w:evenVBand="0" w:oddHBand="0" w:evenHBand="1" w:firstRowFirstColumn="0" w:firstRowLastColumn="0" w:lastRowFirstColumn="0" w:lastRowLastColumn="0"/>
            </w:pPr>
            <w:r w:rsidRPr="00D454EF">
              <w:t>consumer price index</w:t>
            </w:r>
          </w:p>
        </w:tc>
      </w:tr>
      <w:tr w:rsidR="00D454EF" w:rsidTr="00D454EF">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DAMS</w:t>
            </w:r>
          </w:p>
        </w:tc>
        <w:tc>
          <w:tcPr>
            <w:tcW w:w="5041" w:type="dxa"/>
            <w:tcBorders>
              <w:top w:val="nil"/>
              <w:left w:val="nil"/>
              <w:bottom w:val="nil"/>
              <w:right w:val="nil"/>
            </w:tcBorders>
            <w:hideMark/>
          </w:tcPr>
          <w:p w:rsidR="00D454EF" w:rsidRPr="00D454EF" w:rsidRDefault="00D454EF" w:rsidP="00D454EF">
            <w:pPr>
              <w:cnfStyle w:val="000000000000" w:firstRow="0" w:lastRow="0" w:firstColumn="0" w:lastColumn="0" w:oddVBand="0" w:evenVBand="0" w:oddHBand="0" w:evenHBand="0" w:firstRowFirstColumn="0" w:firstRowLastColumn="0" w:lastRowFirstColumn="0" w:lastRowLastColumn="0"/>
            </w:pPr>
            <w:r w:rsidRPr="00D454EF">
              <w:t>Distribution Asset Management Services</w:t>
            </w:r>
          </w:p>
        </w:tc>
      </w:tr>
      <w:tr w:rsidR="00D454EF" w:rsidTr="00D454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DRP</w:t>
            </w:r>
          </w:p>
        </w:tc>
        <w:tc>
          <w:tcPr>
            <w:tcW w:w="5041" w:type="dxa"/>
            <w:tcBorders>
              <w:top w:val="nil"/>
              <w:left w:val="nil"/>
              <w:bottom w:val="nil"/>
              <w:right w:val="nil"/>
            </w:tcBorders>
            <w:hideMark/>
          </w:tcPr>
          <w:p w:rsidR="00D454EF" w:rsidRPr="00D454EF" w:rsidRDefault="00D454EF" w:rsidP="00D454EF">
            <w:pPr>
              <w:numPr>
                <w:ilvl w:val="0"/>
                <w:numId w:val="24"/>
              </w:numPr>
              <w:cnfStyle w:val="000000010000" w:firstRow="0" w:lastRow="0" w:firstColumn="0" w:lastColumn="0" w:oddVBand="0" w:evenVBand="0" w:oddHBand="0" w:evenHBand="1" w:firstRowFirstColumn="0" w:firstRowLastColumn="0" w:lastRowFirstColumn="0" w:lastRowLastColumn="0"/>
            </w:pPr>
            <w:r w:rsidRPr="00D454EF">
              <w:t>debt risk premium</w:t>
            </w:r>
          </w:p>
        </w:tc>
      </w:tr>
      <w:tr w:rsidR="00D454EF" w:rsidTr="00D454EF">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EBSS</w:t>
            </w:r>
          </w:p>
        </w:tc>
        <w:tc>
          <w:tcPr>
            <w:tcW w:w="5041" w:type="dxa"/>
            <w:tcBorders>
              <w:top w:val="nil"/>
              <w:left w:val="nil"/>
              <w:bottom w:val="nil"/>
              <w:right w:val="nil"/>
            </w:tcBorders>
            <w:hideMark/>
          </w:tcPr>
          <w:p w:rsidR="00D454EF" w:rsidRPr="00D454EF" w:rsidRDefault="00D454EF" w:rsidP="00D454EF">
            <w:pPr>
              <w:cnfStyle w:val="000000000000" w:firstRow="0" w:lastRow="0" w:firstColumn="0" w:lastColumn="0" w:oddVBand="0" w:evenVBand="0" w:oddHBand="0" w:evenHBand="0" w:firstRowFirstColumn="0" w:firstRowLastColumn="0" w:lastRowFirstColumn="0" w:lastRowLastColumn="0"/>
            </w:pPr>
            <w:r w:rsidRPr="00D454EF">
              <w:t>Efficiency Benefit Sharing Scheme</w:t>
            </w:r>
          </w:p>
        </w:tc>
      </w:tr>
      <w:tr w:rsidR="00D454EF" w:rsidTr="00D454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ECM</w:t>
            </w:r>
          </w:p>
        </w:tc>
        <w:tc>
          <w:tcPr>
            <w:tcW w:w="5041" w:type="dxa"/>
            <w:tcBorders>
              <w:top w:val="nil"/>
              <w:left w:val="nil"/>
              <w:bottom w:val="nil"/>
              <w:right w:val="nil"/>
            </w:tcBorders>
            <w:hideMark/>
          </w:tcPr>
          <w:p w:rsidR="00D454EF" w:rsidRPr="00D454EF" w:rsidRDefault="00D454EF" w:rsidP="00D454EF">
            <w:pPr>
              <w:cnfStyle w:val="000000010000" w:firstRow="0" w:lastRow="0" w:firstColumn="0" w:lastColumn="0" w:oddVBand="0" w:evenVBand="0" w:oddHBand="0" w:evenHBand="1" w:firstRowFirstColumn="0" w:firstRowLastColumn="0" w:lastRowFirstColumn="0" w:lastRowLastColumn="0"/>
            </w:pPr>
            <w:r w:rsidRPr="00D454EF">
              <w:t>Efficiency Carryover Mechanism</w:t>
            </w:r>
          </w:p>
        </w:tc>
      </w:tr>
      <w:tr w:rsidR="00D454EF" w:rsidTr="00D454EF">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EIL</w:t>
            </w:r>
          </w:p>
        </w:tc>
        <w:tc>
          <w:tcPr>
            <w:tcW w:w="5041" w:type="dxa"/>
            <w:tcBorders>
              <w:top w:val="nil"/>
              <w:left w:val="nil"/>
              <w:bottom w:val="nil"/>
              <w:right w:val="nil"/>
            </w:tcBorders>
            <w:hideMark/>
          </w:tcPr>
          <w:p w:rsidR="00D454EF" w:rsidRPr="00D454EF" w:rsidRDefault="00D454EF" w:rsidP="00D454EF">
            <w:pPr>
              <w:cnfStyle w:val="000000000000" w:firstRow="0" w:lastRow="0" w:firstColumn="0" w:lastColumn="0" w:oddVBand="0" w:evenVBand="0" w:oddHBand="0" w:evenHBand="0" w:firstRowFirstColumn="0" w:firstRowLastColumn="0" w:lastRowFirstColumn="0" w:lastRowLastColumn="0"/>
            </w:pPr>
            <w:r w:rsidRPr="00D454EF">
              <w:t>Energy Industry Levy</w:t>
            </w:r>
          </w:p>
        </w:tc>
      </w:tr>
      <w:tr w:rsidR="00D454EF" w:rsidTr="00D454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ERP</w:t>
            </w:r>
          </w:p>
        </w:tc>
        <w:tc>
          <w:tcPr>
            <w:tcW w:w="5041" w:type="dxa"/>
            <w:tcBorders>
              <w:top w:val="nil"/>
              <w:left w:val="nil"/>
              <w:bottom w:val="nil"/>
              <w:right w:val="nil"/>
            </w:tcBorders>
            <w:hideMark/>
          </w:tcPr>
          <w:p w:rsidR="00D454EF" w:rsidRPr="00D454EF" w:rsidRDefault="00D454EF" w:rsidP="00D454EF">
            <w:pPr>
              <w:numPr>
                <w:ilvl w:val="0"/>
                <w:numId w:val="24"/>
              </w:numPr>
              <w:cnfStyle w:val="000000010000" w:firstRow="0" w:lastRow="0" w:firstColumn="0" w:lastColumn="0" w:oddVBand="0" w:evenVBand="0" w:oddHBand="0" w:evenHBand="1" w:firstRowFirstColumn="0" w:firstRowLastColumn="0" w:lastRowFirstColumn="0" w:lastRowLastColumn="0"/>
            </w:pPr>
            <w:r w:rsidRPr="00D454EF">
              <w:t>equity risk premium</w:t>
            </w:r>
          </w:p>
        </w:tc>
      </w:tr>
      <w:tr w:rsidR="00D454EF" w:rsidTr="00D454EF">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Expenditure Guideline</w:t>
            </w:r>
          </w:p>
        </w:tc>
        <w:tc>
          <w:tcPr>
            <w:tcW w:w="5041" w:type="dxa"/>
            <w:tcBorders>
              <w:top w:val="nil"/>
              <w:left w:val="nil"/>
              <w:bottom w:val="nil"/>
              <w:right w:val="nil"/>
            </w:tcBorders>
            <w:hideMark/>
          </w:tcPr>
          <w:p w:rsidR="00D454EF" w:rsidRPr="00D454EF" w:rsidRDefault="00D454EF" w:rsidP="00D454EF">
            <w:pPr>
              <w:cnfStyle w:val="000000000000" w:firstRow="0" w:lastRow="0" w:firstColumn="0" w:lastColumn="0" w:oddVBand="0" w:evenVBand="0" w:oddHBand="0" w:evenHBand="0" w:firstRowFirstColumn="0" w:firstRowLastColumn="0" w:lastRowFirstColumn="0" w:lastRowLastColumn="0"/>
            </w:pPr>
            <w:r w:rsidRPr="00D454EF">
              <w:t>Expenditure Forecast Assessment Guideline</w:t>
            </w:r>
          </w:p>
        </w:tc>
      </w:tr>
      <w:tr w:rsidR="00D454EF" w:rsidTr="00D454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gamma</w:t>
            </w:r>
          </w:p>
        </w:tc>
        <w:tc>
          <w:tcPr>
            <w:tcW w:w="5041" w:type="dxa"/>
            <w:tcBorders>
              <w:top w:val="nil"/>
              <w:left w:val="nil"/>
              <w:bottom w:val="nil"/>
              <w:right w:val="nil"/>
            </w:tcBorders>
            <w:hideMark/>
          </w:tcPr>
          <w:p w:rsidR="00D454EF" w:rsidRPr="00D454EF" w:rsidRDefault="00D454EF" w:rsidP="00D454EF">
            <w:pPr>
              <w:cnfStyle w:val="000000010000" w:firstRow="0" w:lastRow="0" w:firstColumn="0" w:lastColumn="0" w:oddVBand="0" w:evenVBand="0" w:oddHBand="0" w:evenHBand="1" w:firstRowFirstColumn="0" w:firstRowLastColumn="0" w:lastRowFirstColumn="0" w:lastRowLastColumn="0"/>
            </w:pPr>
            <w:r w:rsidRPr="00D454EF">
              <w:t>value of imputation credits</w:t>
            </w:r>
          </w:p>
        </w:tc>
      </w:tr>
      <w:tr w:rsidR="00D454EF" w:rsidTr="00D454EF">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GSL</w:t>
            </w:r>
          </w:p>
        </w:tc>
        <w:tc>
          <w:tcPr>
            <w:tcW w:w="5041" w:type="dxa"/>
            <w:tcBorders>
              <w:top w:val="nil"/>
              <w:left w:val="nil"/>
              <w:bottom w:val="nil"/>
              <w:right w:val="nil"/>
            </w:tcBorders>
            <w:hideMark/>
          </w:tcPr>
          <w:p w:rsidR="00D454EF" w:rsidRPr="00D454EF" w:rsidRDefault="00D454EF" w:rsidP="00D454EF">
            <w:pPr>
              <w:cnfStyle w:val="000000000000" w:firstRow="0" w:lastRow="0" w:firstColumn="0" w:lastColumn="0" w:oddVBand="0" w:evenVBand="0" w:oddHBand="0" w:evenHBand="0" w:firstRowFirstColumn="0" w:firstRowLastColumn="0" w:lastRowFirstColumn="0" w:lastRowLastColumn="0"/>
            </w:pPr>
            <w:r w:rsidRPr="00D454EF">
              <w:t>Guaranteed Service Level</w:t>
            </w:r>
          </w:p>
        </w:tc>
      </w:tr>
      <w:tr w:rsidR="00D454EF" w:rsidTr="00D454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GTA</w:t>
            </w:r>
          </w:p>
        </w:tc>
        <w:tc>
          <w:tcPr>
            <w:tcW w:w="5041" w:type="dxa"/>
            <w:tcBorders>
              <w:top w:val="nil"/>
              <w:left w:val="nil"/>
              <w:bottom w:val="nil"/>
              <w:right w:val="nil"/>
            </w:tcBorders>
            <w:hideMark/>
          </w:tcPr>
          <w:p w:rsidR="00D454EF" w:rsidRPr="00D454EF" w:rsidRDefault="00D454EF" w:rsidP="00D454EF">
            <w:pPr>
              <w:cnfStyle w:val="000000010000" w:firstRow="0" w:lastRow="0" w:firstColumn="0" w:lastColumn="0" w:oddVBand="0" w:evenVBand="0" w:oddHBand="0" w:evenHBand="1" w:firstRowFirstColumn="0" w:firstRowLastColumn="0" w:lastRowFirstColumn="0" w:lastRowLastColumn="0"/>
            </w:pPr>
            <w:r w:rsidRPr="00D454EF">
              <w:t>Gas Transport Services Agreement</w:t>
            </w:r>
          </w:p>
        </w:tc>
      </w:tr>
      <w:tr w:rsidR="00D454EF" w:rsidTr="00D454EF">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ICRC</w:t>
            </w:r>
          </w:p>
        </w:tc>
        <w:tc>
          <w:tcPr>
            <w:tcW w:w="5041" w:type="dxa"/>
            <w:tcBorders>
              <w:top w:val="nil"/>
              <w:left w:val="nil"/>
              <w:bottom w:val="nil"/>
              <w:right w:val="nil"/>
            </w:tcBorders>
            <w:hideMark/>
          </w:tcPr>
          <w:p w:rsidR="00D454EF" w:rsidRPr="00D454EF" w:rsidRDefault="00D454EF" w:rsidP="00D454EF">
            <w:pPr>
              <w:cnfStyle w:val="000000000000" w:firstRow="0" w:lastRow="0" w:firstColumn="0" w:lastColumn="0" w:oddVBand="0" w:evenVBand="0" w:oddHBand="0" w:evenHBand="0" w:firstRowFirstColumn="0" w:firstRowLastColumn="0" w:lastRowFirstColumn="0" w:lastRowLastColumn="0"/>
            </w:pPr>
            <w:r w:rsidRPr="00D454EF">
              <w:t>Independent Competition and Regulatory Commission</w:t>
            </w:r>
          </w:p>
        </w:tc>
      </w:tr>
      <w:tr w:rsidR="00D454EF" w:rsidTr="00D454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MRP</w:t>
            </w:r>
          </w:p>
        </w:tc>
        <w:tc>
          <w:tcPr>
            <w:tcW w:w="5041" w:type="dxa"/>
            <w:tcBorders>
              <w:top w:val="nil"/>
              <w:left w:val="nil"/>
              <w:bottom w:val="nil"/>
              <w:right w:val="nil"/>
            </w:tcBorders>
            <w:hideMark/>
          </w:tcPr>
          <w:p w:rsidR="00D454EF" w:rsidRPr="00D454EF" w:rsidRDefault="00D454EF" w:rsidP="00D454EF">
            <w:pPr>
              <w:numPr>
                <w:ilvl w:val="0"/>
                <w:numId w:val="24"/>
              </w:numPr>
              <w:cnfStyle w:val="000000010000" w:firstRow="0" w:lastRow="0" w:firstColumn="0" w:lastColumn="0" w:oddVBand="0" w:evenVBand="0" w:oddHBand="0" w:evenHBand="1" w:firstRowFirstColumn="0" w:firstRowLastColumn="0" w:lastRowFirstColumn="0" w:lastRowLastColumn="0"/>
            </w:pPr>
            <w:r w:rsidRPr="00D454EF">
              <w:t>market risk premium</w:t>
            </w:r>
          </w:p>
        </w:tc>
      </w:tr>
      <w:tr w:rsidR="00D454EF" w:rsidTr="00D454EF">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NECF</w:t>
            </w:r>
          </w:p>
        </w:tc>
        <w:tc>
          <w:tcPr>
            <w:tcW w:w="5041" w:type="dxa"/>
            <w:tcBorders>
              <w:top w:val="nil"/>
              <w:left w:val="nil"/>
              <w:bottom w:val="nil"/>
              <w:right w:val="nil"/>
            </w:tcBorders>
            <w:hideMark/>
          </w:tcPr>
          <w:p w:rsidR="00D454EF" w:rsidRPr="00D454EF" w:rsidRDefault="00D454EF" w:rsidP="00D454EF">
            <w:pPr>
              <w:cnfStyle w:val="000000000000" w:firstRow="0" w:lastRow="0" w:firstColumn="0" w:lastColumn="0" w:oddVBand="0" w:evenVBand="0" w:oddHBand="0" w:evenHBand="0" w:firstRowFirstColumn="0" w:firstRowLastColumn="0" w:lastRowFirstColumn="0" w:lastRowLastColumn="0"/>
            </w:pPr>
            <w:r w:rsidRPr="00D454EF">
              <w:t>National Energy Customer Framework</w:t>
            </w:r>
          </w:p>
        </w:tc>
      </w:tr>
      <w:tr w:rsidR="00D454EF" w:rsidTr="00D454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NERL</w:t>
            </w:r>
          </w:p>
        </w:tc>
        <w:tc>
          <w:tcPr>
            <w:tcW w:w="5041" w:type="dxa"/>
            <w:tcBorders>
              <w:top w:val="nil"/>
              <w:left w:val="nil"/>
              <w:bottom w:val="nil"/>
              <w:right w:val="nil"/>
            </w:tcBorders>
            <w:hideMark/>
          </w:tcPr>
          <w:p w:rsidR="00D454EF" w:rsidRPr="00D454EF" w:rsidRDefault="00D454EF" w:rsidP="00D454EF">
            <w:pPr>
              <w:cnfStyle w:val="000000010000" w:firstRow="0" w:lastRow="0" w:firstColumn="0" w:lastColumn="0" w:oddVBand="0" w:evenVBand="0" w:oddHBand="0" w:evenHBand="1" w:firstRowFirstColumn="0" w:firstRowLastColumn="0" w:lastRowFirstColumn="0" w:lastRowLastColumn="0"/>
            </w:pPr>
            <w:r w:rsidRPr="00D454EF">
              <w:t>National Energy Retail Law</w:t>
            </w:r>
          </w:p>
        </w:tc>
      </w:tr>
      <w:tr w:rsidR="00D454EF" w:rsidTr="00D454EF">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NERR</w:t>
            </w:r>
          </w:p>
        </w:tc>
        <w:tc>
          <w:tcPr>
            <w:tcW w:w="5041" w:type="dxa"/>
            <w:tcBorders>
              <w:top w:val="nil"/>
              <w:left w:val="nil"/>
              <w:bottom w:val="nil"/>
              <w:right w:val="nil"/>
            </w:tcBorders>
            <w:hideMark/>
          </w:tcPr>
          <w:p w:rsidR="00D454EF" w:rsidRPr="00D454EF" w:rsidRDefault="00D454EF" w:rsidP="00D454EF">
            <w:pPr>
              <w:numPr>
                <w:ilvl w:val="0"/>
                <w:numId w:val="24"/>
              </w:numPr>
              <w:cnfStyle w:val="000000000000" w:firstRow="0" w:lastRow="0" w:firstColumn="0" w:lastColumn="0" w:oddVBand="0" w:evenVBand="0" w:oddHBand="0" w:evenHBand="0" w:firstRowFirstColumn="0" w:firstRowLastColumn="0" w:lastRowFirstColumn="0" w:lastRowLastColumn="0"/>
            </w:pPr>
            <w:r w:rsidRPr="00D454EF">
              <w:t>National Energy Retail Rules</w:t>
            </w:r>
          </w:p>
        </w:tc>
      </w:tr>
      <w:tr w:rsidR="00D454EF" w:rsidTr="00D454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NGL</w:t>
            </w:r>
          </w:p>
        </w:tc>
        <w:tc>
          <w:tcPr>
            <w:tcW w:w="5041" w:type="dxa"/>
            <w:tcBorders>
              <w:top w:val="nil"/>
              <w:left w:val="nil"/>
              <w:bottom w:val="nil"/>
              <w:right w:val="nil"/>
            </w:tcBorders>
            <w:hideMark/>
          </w:tcPr>
          <w:p w:rsidR="00D454EF" w:rsidRPr="00D454EF" w:rsidRDefault="00D454EF" w:rsidP="00D454EF">
            <w:pPr>
              <w:numPr>
                <w:ilvl w:val="0"/>
                <w:numId w:val="24"/>
              </w:numPr>
              <w:cnfStyle w:val="000000010000" w:firstRow="0" w:lastRow="0" w:firstColumn="0" w:lastColumn="0" w:oddVBand="0" w:evenVBand="0" w:oddHBand="0" w:evenHBand="1" w:firstRowFirstColumn="0" w:firstRowLastColumn="0" w:lastRowFirstColumn="0" w:lastRowLastColumn="0"/>
            </w:pPr>
            <w:r w:rsidRPr="00D454EF">
              <w:t>National Gas Law</w:t>
            </w:r>
          </w:p>
        </w:tc>
      </w:tr>
      <w:tr w:rsidR="00D454EF" w:rsidTr="00D454EF">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NGO</w:t>
            </w:r>
          </w:p>
        </w:tc>
        <w:tc>
          <w:tcPr>
            <w:tcW w:w="5041" w:type="dxa"/>
            <w:tcBorders>
              <w:top w:val="nil"/>
              <w:left w:val="nil"/>
              <w:bottom w:val="nil"/>
              <w:right w:val="nil"/>
            </w:tcBorders>
            <w:hideMark/>
          </w:tcPr>
          <w:p w:rsidR="00D454EF" w:rsidRPr="00D454EF" w:rsidRDefault="00D454EF" w:rsidP="00D454EF">
            <w:pPr>
              <w:numPr>
                <w:ilvl w:val="0"/>
                <w:numId w:val="24"/>
              </w:numPr>
              <w:cnfStyle w:val="000000000000" w:firstRow="0" w:lastRow="0" w:firstColumn="0" w:lastColumn="0" w:oddVBand="0" w:evenVBand="0" w:oddHBand="0" w:evenHBand="0" w:firstRowFirstColumn="0" w:firstRowLastColumn="0" w:lastRowFirstColumn="0" w:lastRowLastColumn="0"/>
            </w:pPr>
            <w:r w:rsidRPr="00D454EF">
              <w:t>National Gas Objective</w:t>
            </w:r>
          </w:p>
        </w:tc>
      </w:tr>
      <w:tr w:rsidR="00D454EF" w:rsidTr="00D454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NGR</w:t>
            </w:r>
          </w:p>
        </w:tc>
        <w:tc>
          <w:tcPr>
            <w:tcW w:w="5041" w:type="dxa"/>
            <w:tcBorders>
              <w:top w:val="nil"/>
              <w:left w:val="nil"/>
              <w:bottom w:val="nil"/>
              <w:right w:val="nil"/>
            </w:tcBorders>
            <w:hideMark/>
          </w:tcPr>
          <w:p w:rsidR="00D454EF" w:rsidRPr="00D454EF" w:rsidRDefault="00D454EF" w:rsidP="00D454EF">
            <w:pPr>
              <w:numPr>
                <w:ilvl w:val="0"/>
                <w:numId w:val="24"/>
              </w:numPr>
              <w:cnfStyle w:val="000000010000" w:firstRow="0" w:lastRow="0" w:firstColumn="0" w:lastColumn="0" w:oddVBand="0" w:evenVBand="0" w:oddHBand="0" w:evenHBand="1" w:firstRowFirstColumn="0" w:firstRowLastColumn="0" w:lastRowFirstColumn="0" w:lastRowLastColumn="0"/>
            </w:pPr>
            <w:r w:rsidRPr="00D454EF">
              <w:t>National Gas Rules</w:t>
            </w:r>
          </w:p>
        </w:tc>
      </w:tr>
      <w:tr w:rsidR="00D454EF" w:rsidTr="00D454EF">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NPV</w:t>
            </w:r>
          </w:p>
        </w:tc>
        <w:tc>
          <w:tcPr>
            <w:tcW w:w="5041" w:type="dxa"/>
            <w:tcBorders>
              <w:top w:val="nil"/>
              <w:left w:val="nil"/>
              <w:bottom w:val="nil"/>
              <w:right w:val="nil"/>
            </w:tcBorders>
            <w:hideMark/>
          </w:tcPr>
          <w:p w:rsidR="00D454EF" w:rsidRPr="00D454EF" w:rsidRDefault="00D454EF" w:rsidP="00D454EF">
            <w:pPr>
              <w:cnfStyle w:val="000000000000" w:firstRow="0" w:lastRow="0" w:firstColumn="0" w:lastColumn="0" w:oddVBand="0" w:evenVBand="0" w:oddHBand="0" w:evenHBand="0" w:firstRowFirstColumn="0" w:firstRowLastColumn="0" w:lastRowFirstColumn="0" w:lastRowLastColumn="0"/>
            </w:pPr>
            <w:r w:rsidRPr="00D454EF">
              <w:t>net present value</w:t>
            </w:r>
          </w:p>
        </w:tc>
      </w:tr>
      <w:tr w:rsidR="00D454EF" w:rsidTr="00D454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opex</w:t>
            </w:r>
          </w:p>
        </w:tc>
        <w:tc>
          <w:tcPr>
            <w:tcW w:w="5041" w:type="dxa"/>
            <w:tcBorders>
              <w:top w:val="nil"/>
              <w:left w:val="nil"/>
              <w:bottom w:val="nil"/>
              <w:right w:val="nil"/>
            </w:tcBorders>
            <w:hideMark/>
          </w:tcPr>
          <w:p w:rsidR="00D454EF" w:rsidRPr="00D454EF" w:rsidRDefault="00D454EF" w:rsidP="00D454EF">
            <w:pPr>
              <w:numPr>
                <w:ilvl w:val="0"/>
                <w:numId w:val="24"/>
              </w:numPr>
              <w:cnfStyle w:val="000000010000" w:firstRow="0" w:lastRow="0" w:firstColumn="0" w:lastColumn="0" w:oddVBand="0" w:evenVBand="0" w:oddHBand="0" w:evenHBand="1" w:firstRowFirstColumn="0" w:firstRowLastColumn="0" w:lastRowFirstColumn="0" w:lastRowLastColumn="0"/>
            </w:pPr>
            <w:r w:rsidRPr="00D454EF">
              <w:t>operating expenditure</w:t>
            </w:r>
          </w:p>
        </w:tc>
      </w:tr>
      <w:tr w:rsidR="00D454EF" w:rsidTr="00D454EF">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PFP</w:t>
            </w:r>
          </w:p>
        </w:tc>
        <w:tc>
          <w:tcPr>
            <w:tcW w:w="5041" w:type="dxa"/>
            <w:tcBorders>
              <w:top w:val="nil"/>
              <w:left w:val="nil"/>
              <w:bottom w:val="nil"/>
              <w:right w:val="nil"/>
            </w:tcBorders>
            <w:hideMark/>
          </w:tcPr>
          <w:p w:rsidR="00D454EF" w:rsidRPr="00D454EF" w:rsidRDefault="00D454EF" w:rsidP="00D454EF">
            <w:pPr>
              <w:cnfStyle w:val="000000000000" w:firstRow="0" w:lastRow="0" w:firstColumn="0" w:lastColumn="0" w:oddVBand="0" w:evenVBand="0" w:oddHBand="0" w:evenHBand="0" w:firstRowFirstColumn="0" w:firstRowLastColumn="0" w:lastRowFirstColumn="0" w:lastRowLastColumn="0"/>
            </w:pPr>
            <w:r w:rsidRPr="00D454EF">
              <w:t>partial factor productivity</w:t>
            </w:r>
          </w:p>
        </w:tc>
      </w:tr>
      <w:tr w:rsidR="00D454EF" w:rsidTr="00D454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PPI</w:t>
            </w:r>
          </w:p>
        </w:tc>
        <w:tc>
          <w:tcPr>
            <w:tcW w:w="5041" w:type="dxa"/>
            <w:tcBorders>
              <w:top w:val="nil"/>
              <w:left w:val="nil"/>
              <w:bottom w:val="nil"/>
              <w:right w:val="nil"/>
            </w:tcBorders>
            <w:hideMark/>
          </w:tcPr>
          <w:p w:rsidR="00D454EF" w:rsidRPr="00D454EF" w:rsidRDefault="00D454EF" w:rsidP="00D454EF">
            <w:pPr>
              <w:numPr>
                <w:ilvl w:val="0"/>
                <w:numId w:val="24"/>
              </w:numPr>
              <w:cnfStyle w:val="000000010000" w:firstRow="0" w:lastRow="0" w:firstColumn="0" w:lastColumn="0" w:oddVBand="0" w:evenVBand="0" w:oddHBand="0" w:evenHBand="1" w:firstRowFirstColumn="0" w:firstRowLastColumn="0" w:lastRowFirstColumn="0" w:lastRowLastColumn="0"/>
            </w:pPr>
            <w:r w:rsidRPr="00D454EF">
              <w:t>partial performance indicators</w:t>
            </w:r>
          </w:p>
        </w:tc>
      </w:tr>
      <w:tr w:rsidR="00D454EF" w:rsidTr="00D454EF">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PTRM</w:t>
            </w:r>
          </w:p>
        </w:tc>
        <w:tc>
          <w:tcPr>
            <w:tcW w:w="5041" w:type="dxa"/>
            <w:tcBorders>
              <w:top w:val="nil"/>
              <w:left w:val="nil"/>
              <w:bottom w:val="nil"/>
              <w:right w:val="nil"/>
            </w:tcBorders>
            <w:hideMark/>
          </w:tcPr>
          <w:p w:rsidR="00D454EF" w:rsidRPr="00D454EF" w:rsidRDefault="00D454EF" w:rsidP="00D454EF">
            <w:pPr>
              <w:numPr>
                <w:ilvl w:val="0"/>
                <w:numId w:val="24"/>
              </w:numPr>
              <w:cnfStyle w:val="000000000000" w:firstRow="0" w:lastRow="0" w:firstColumn="0" w:lastColumn="0" w:oddVBand="0" w:evenVBand="0" w:oddHBand="0" w:evenHBand="0" w:firstRowFirstColumn="0" w:firstRowLastColumn="0" w:lastRowFirstColumn="0" w:lastRowLastColumn="0"/>
            </w:pPr>
            <w:r w:rsidRPr="00D454EF">
              <w:t>post-tax revenue model</w:t>
            </w:r>
          </w:p>
        </w:tc>
      </w:tr>
      <w:tr w:rsidR="00D454EF" w:rsidTr="00D454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RBA</w:t>
            </w:r>
          </w:p>
        </w:tc>
        <w:tc>
          <w:tcPr>
            <w:tcW w:w="5041" w:type="dxa"/>
            <w:tcBorders>
              <w:top w:val="nil"/>
              <w:left w:val="nil"/>
              <w:bottom w:val="nil"/>
              <w:right w:val="nil"/>
            </w:tcBorders>
            <w:hideMark/>
          </w:tcPr>
          <w:p w:rsidR="00D454EF" w:rsidRPr="00D454EF" w:rsidRDefault="00D454EF" w:rsidP="00D454EF">
            <w:pPr>
              <w:numPr>
                <w:ilvl w:val="0"/>
                <w:numId w:val="24"/>
              </w:numPr>
              <w:cnfStyle w:val="000000010000" w:firstRow="0" w:lastRow="0" w:firstColumn="0" w:lastColumn="0" w:oddVBand="0" w:evenVBand="0" w:oddHBand="0" w:evenHBand="1" w:firstRowFirstColumn="0" w:firstRowLastColumn="0" w:lastRowFirstColumn="0" w:lastRowLastColumn="0"/>
            </w:pPr>
            <w:r w:rsidRPr="00D454EF">
              <w:t>Reserve Bank of Australia</w:t>
            </w:r>
          </w:p>
        </w:tc>
      </w:tr>
      <w:tr w:rsidR="00D454EF" w:rsidTr="00D454EF">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RFM</w:t>
            </w:r>
          </w:p>
        </w:tc>
        <w:tc>
          <w:tcPr>
            <w:tcW w:w="5041" w:type="dxa"/>
            <w:tcBorders>
              <w:top w:val="nil"/>
              <w:left w:val="nil"/>
              <w:bottom w:val="nil"/>
              <w:right w:val="nil"/>
            </w:tcBorders>
            <w:hideMark/>
          </w:tcPr>
          <w:p w:rsidR="00D454EF" w:rsidRPr="00D454EF" w:rsidRDefault="00D454EF" w:rsidP="00D454EF">
            <w:pPr>
              <w:numPr>
                <w:ilvl w:val="0"/>
                <w:numId w:val="24"/>
              </w:numPr>
              <w:cnfStyle w:val="000000000000" w:firstRow="0" w:lastRow="0" w:firstColumn="0" w:lastColumn="0" w:oddVBand="0" w:evenVBand="0" w:oddHBand="0" w:evenHBand="0" w:firstRowFirstColumn="0" w:firstRowLastColumn="0" w:lastRowFirstColumn="0" w:lastRowLastColumn="0"/>
            </w:pPr>
            <w:r w:rsidRPr="00D454EF">
              <w:t>roll forward model</w:t>
            </w:r>
          </w:p>
        </w:tc>
      </w:tr>
      <w:tr w:rsidR="00D454EF" w:rsidTr="00D454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RIN</w:t>
            </w:r>
          </w:p>
        </w:tc>
        <w:tc>
          <w:tcPr>
            <w:tcW w:w="5041" w:type="dxa"/>
            <w:tcBorders>
              <w:top w:val="nil"/>
              <w:left w:val="nil"/>
              <w:bottom w:val="nil"/>
              <w:right w:val="nil"/>
            </w:tcBorders>
            <w:hideMark/>
          </w:tcPr>
          <w:p w:rsidR="00D454EF" w:rsidRPr="00D454EF" w:rsidRDefault="00D454EF" w:rsidP="00D454EF">
            <w:pPr>
              <w:numPr>
                <w:ilvl w:val="0"/>
                <w:numId w:val="24"/>
              </w:numPr>
              <w:cnfStyle w:val="000000010000" w:firstRow="0" w:lastRow="0" w:firstColumn="0" w:lastColumn="0" w:oddVBand="0" w:evenVBand="0" w:oddHBand="0" w:evenHBand="1" w:firstRowFirstColumn="0" w:firstRowLastColumn="0" w:lastRowFirstColumn="0" w:lastRowLastColumn="0"/>
            </w:pPr>
            <w:r w:rsidRPr="00D454EF">
              <w:t>regulatory information notice</w:t>
            </w:r>
          </w:p>
        </w:tc>
      </w:tr>
      <w:tr w:rsidR="00D454EF" w:rsidTr="00D454EF">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proofErr w:type="spellStart"/>
            <w:r w:rsidRPr="00D454EF">
              <w:t>RoLR</w:t>
            </w:r>
            <w:proofErr w:type="spellEnd"/>
          </w:p>
        </w:tc>
        <w:tc>
          <w:tcPr>
            <w:tcW w:w="5041" w:type="dxa"/>
            <w:tcBorders>
              <w:top w:val="nil"/>
              <w:left w:val="nil"/>
              <w:bottom w:val="nil"/>
              <w:right w:val="nil"/>
            </w:tcBorders>
            <w:hideMark/>
          </w:tcPr>
          <w:p w:rsidR="00D454EF" w:rsidRPr="00D454EF" w:rsidRDefault="00D454EF" w:rsidP="00D454EF">
            <w:pPr>
              <w:cnfStyle w:val="000000000000" w:firstRow="0" w:lastRow="0" w:firstColumn="0" w:lastColumn="0" w:oddVBand="0" w:evenVBand="0" w:oddHBand="0" w:evenHBand="0" w:firstRowFirstColumn="0" w:firstRowLastColumn="0" w:lastRowFirstColumn="0" w:lastRowLastColumn="0"/>
            </w:pPr>
            <w:r w:rsidRPr="00D454EF">
              <w:t>retailer of last resort</w:t>
            </w:r>
          </w:p>
        </w:tc>
      </w:tr>
      <w:tr w:rsidR="00D454EF" w:rsidTr="00D454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RSA</w:t>
            </w:r>
          </w:p>
        </w:tc>
        <w:tc>
          <w:tcPr>
            <w:tcW w:w="5041" w:type="dxa"/>
            <w:tcBorders>
              <w:top w:val="nil"/>
              <w:left w:val="nil"/>
              <w:bottom w:val="nil"/>
              <w:right w:val="nil"/>
            </w:tcBorders>
            <w:hideMark/>
          </w:tcPr>
          <w:p w:rsidR="00D454EF" w:rsidRPr="00D454EF" w:rsidRDefault="00D454EF" w:rsidP="00D454EF">
            <w:pPr>
              <w:cnfStyle w:val="000000010000" w:firstRow="0" w:lastRow="0" w:firstColumn="0" w:lastColumn="0" w:oddVBand="0" w:evenVBand="0" w:oddHBand="0" w:evenHBand="1" w:firstRowFirstColumn="0" w:firstRowLastColumn="0" w:lastRowFirstColumn="0" w:lastRowLastColumn="0"/>
            </w:pPr>
            <w:r w:rsidRPr="00D454EF">
              <w:t>Reference Service Agreement</w:t>
            </w:r>
          </w:p>
        </w:tc>
      </w:tr>
      <w:tr w:rsidR="00D454EF" w:rsidTr="00D454EF">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RPP</w:t>
            </w:r>
          </w:p>
        </w:tc>
        <w:tc>
          <w:tcPr>
            <w:tcW w:w="5041" w:type="dxa"/>
            <w:tcBorders>
              <w:top w:val="nil"/>
              <w:left w:val="nil"/>
              <w:bottom w:val="nil"/>
              <w:right w:val="nil"/>
            </w:tcBorders>
            <w:hideMark/>
          </w:tcPr>
          <w:p w:rsidR="00D454EF" w:rsidRPr="00D454EF" w:rsidRDefault="00D454EF" w:rsidP="00D454EF">
            <w:pPr>
              <w:numPr>
                <w:ilvl w:val="0"/>
                <w:numId w:val="24"/>
              </w:numPr>
              <w:cnfStyle w:val="000000000000" w:firstRow="0" w:lastRow="0" w:firstColumn="0" w:lastColumn="0" w:oddVBand="0" w:evenVBand="0" w:oddHBand="0" w:evenHBand="0" w:firstRowFirstColumn="0" w:firstRowLastColumn="0" w:lastRowFirstColumn="0" w:lastRowLastColumn="0"/>
            </w:pPr>
            <w:r w:rsidRPr="00D454EF">
              <w:t>revenue and pricing principles</w:t>
            </w:r>
          </w:p>
        </w:tc>
      </w:tr>
      <w:tr w:rsidR="00D454EF" w:rsidTr="00D454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SLCAPM</w:t>
            </w:r>
          </w:p>
        </w:tc>
        <w:tc>
          <w:tcPr>
            <w:tcW w:w="5041" w:type="dxa"/>
            <w:tcBorders>
              <w:top w:val="nil"/>
              <w:left w:val="nil"/>
              <w:bottom w:val="nil"/>
              <w:right w:val="nil"/>
            </w:tcBorders>
            <w:hideMark/>
          </w:tcPr>
          <w:p w:rsidR="00D454EF" w:rsidRPr="00D454EF" w:rsidRDefault="00D454EF" w:rsidP="00D454EF">
            <w:pPr>
              <w:numPr>
                <w:ilvl w:val="0"/>
                <w:numId w:val="24"/>
              </w:numPr>
              <w:cnfStyle w:val="000000010000" w:firstRow="0" w:lastRow="0" w:firstColumn="0" w:lastColumn="0" w:oddVBand="0" w:evenVBand="0" w:oddHBand="0" w:evenHBand="1" w:firstRowFirstColumn="0" w:firstRowLastColumn="0" w:lastRowFirstColumn="0" w:lastRowLastColumn="0"/>
            </w:pPr>
            <w:r w:rsidRPr="00D454EF">
              <w:t>Sharpe-</w:t>
            </w:r>
            <w:proofErr w:type="spellStart"/>
            <w:r w:rsidRPr="00D454EF">
              <w:t>Lintner</w:t>
            </w:r>
            <w:proofErr w:type="spellEnd"/>
            <w:r w:rsidRPr="00D454EF">
              <w:t xml:space="preserve"> capital asset pricing model</w:t>
            </w:r>
          </w:p>
        </w:tc>
      </w:tr>
      <w:tr w:rsidR="00D454EF" w:rsidTr="00D454EF">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STTM</w:t>
            </w:r>
          </w:p>
        </w:tc>
        <w:tc>
          <w:tcPr>
            <w:tcW w:w="5041" w:type="dxa"/>
            <w:tcBorders>
              <w:top w:val="nil"/>
              <w:left w:val="nil"/>
              <w:bottom w:val="nil"/>
              <w:right w:val="nil"/>
            </w:tcBorders>
            <w:hideMark/>
          </w:tcPr>
          <w:p w:rsidR="00D454EF" w:rsidRPr="00D454EF" w:rsidRDefault="00D454EF" w:rsidP="00D454EF">
            <w:pPr>
              <w:cnfStyle w:val="000000000000" w:firstRow="0" w:lastRow="0" w:firstColumn="0" w:lastColumn="0" w:oddVBand="0" w:evenVBand="0" w:oddHBand="0" w:evenHBand="0" w:firstRowFirstColumn="0" w:firstRowLastColumn="0" w:lastRowFirstColumn="0" w:lastRowLastColumn="0"/>
            </w:pPr>
            <w:r w:rsidRPr="00D454EF">
              <w:t>Short Term Trading Market</w:t>
            </w:r>
          </w:p>
        </w:tc>
      </w:tr>
      <w:tr w:rsidR="00D454EF" w:rsidTr="00D454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TAB</w:t>
            </w:r>
          </w:p>
        </w:tc>
        <w:tc>
          <w:tcPr>
            <w:tcW w:w="5041" w:type="dxa"/>
            <w:tcBorders>
              <w:top w:val="nil"/>
              <w:left w:val="nil"/>
              <w:bottom w:val="nil"/>
              <w:right w:val="nil"/>
            </w:tcBorders>
            <w:hideMark/>
          </w:tcPr>
          <w:p w:rsidR="00D454EF" w:rsidRPr="00D454EF" w:rsidRDefault="00D454EF" w:rsidP="00D454EF">
            <w:pPr>
              <w:cnfStyle w:val="000000010000" w:firstRow="0" w:lastRow="0" w:firstColumn="0" w:lastColumn="0" w:oddVBand="0" w:evenVBand="0" w:oddHBand="0" w:evenHBand="1" w:firstRowFirstColumn="0" w:firstRowLastColumn="0" w:lastRowFirstColumn="0" w:lastRowLastColumn="0"/>
            </w:pPr>
            <w:r w:rsidRPr="00D454EF">
              <w:t>tax asset base</w:t>
            </w:r>
          </w:p>
        </w:tc>
      </w:tr>
      <w:tr w:rsidR="00D454EF" w:rsidTr="00D454EF">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UAFG</w:t>
            </w:r>
          </w:p>
        </w:tc>
        <w:tc>
          <w:tcPr>
            <w:tcW w:w="5041" w:type="dxa"/>
            <w:tcBorders>
              <w:top w:val="nil"/>
              <w:left w:val="nil"/>
              <w:bottom w:val="nil"/>
              <w:right w:val="nil"/>
            </w:tcBorders>
            <w:hideMark/>
          </w:tcPr>
          <w:p w:rsidR="00D454EF" w:rsidRPr="00D454EF" w:rsidRDefault="00D454EF" w:rsidP="00D454EF">
            <w:pPr>
              <w:cnfStyle w:val="000000000000" w:firstRow="0" w:lastRow="0" w:firstColumn="0" w:lastColumn="0" w:oddVBand="0" w:evenVBand="0" w:oddHBand="0" w:evenHBand="0" w:firstRowFirstColumn="0" w:firstRowLastColumn="0" w:lastRowFirstColumn="0" w:lastRowLastColumn="0"/>
            </w:pPr>
            <w:r w:rsidRPr="00D454EF">
              <w:t>unaccounted for gas</w:t>
            </w:r>
          </w:p>
        </w:tc>
      </w:tr>
      <w:tr w:rsidR="00D454EF" w:rsidTr="00D454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UNFT</w:t>
            </w:r>
          </w:p>
        </w:tc>
        <w:tc>
          <w:tcPr>
            <w:tcW w:w="5041" w:type="dxa"/>
            <w:tcBorders>
              <w:top w:val="nil"/>
              <w:left w:val="nil"/>
              <w:bottom w:val="nil"/>
              <w:right w:val="nil"/>
            </w:tcBorders>
            <w:hideMark/>
          </w:tcPr>
          <w:p w:rsidR="00D454EF" w:rsidRPr="00D454EF" w:rsidRDefault="00D454EF" w:rsidP="00D454EF">
            <w:pPr>
              <w:cnfStyle w:val="000000010000" w:firstRow="0" w:lastRow="0" w:firstColumn="0" w:lastColumn="0" w:oddVBand="0" w:evenVBand="0" w:oddHBand="0" w:evenHBand="1" w:firstRowFirstColumn="0" w:firstRowLastColumn="0" w:lastRowFirstColumn="0" w:lastRowLastColumn="0"/>
            </w:pPr>
            <w:r w:rsidRPr="00D454EF">
              <w:t>Utilities Network Facilities Tax</w:t>
            </w:r>
          </w:p>
        </w:tc>
      </w:tr>
      <w:tr w:rsidR="00D454EF" w:rsidTr="00D454EF">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D454EF" w:rsidRPr="00D454EF" w:rsidRDefault="00D454EF" w:rsidP="00D454EF">
            <w:pPr>
              <w:numPr>
                <w:ilvl w:val="0"/>
                <w:numId w:val="24"/>
              </w:numPr>
            </w:pPr>
            <w:r w:rsidRPr="00D454EF">
              <w:t>WACC</w:t>
            </w:r>
          </w:p>
        </w:tc>
        <w:tc>
          <w:tcPr>
            <w:tcW w:w="5041" w:type="dxa"/>
            <w:tcBorders>
              <w:top w:val="nil"/>
              <w:left w:val="nil"/>
              <w:bottom w:val="nil"/>
              <w:right w:val="nil"/>
            </w:tcBorders>
            <w:hideMark/>
          </w:tcPr>
          <w:p w:rsidR="00D454EF" w:rsidRPr="00D454EF" w:rsidRDefault="00D454EF" w:rsidP="00D454EF">
            <w:pPr>
              <w:numPr>
                <w:ilvl w:val="0"/>
                <w:numId w:val="24"/>
              </w:numPr>
              <w:cnfStyle w:val="000000000000" w:firstRow="0" w:lastRow="0" w:firstColumn="0" w:lastColumn="0" w:oddVBand="0" w:evenVBand="0" w:oddHBand="0" w:evenHBand="0" w:firstRowFirstColumn="0" w:firstRowLastColumn="0" w:lastRowFirstColumn="0" w:lastRowLastColumn="0"/>
            </w:pPr>
            <w:r w:rsidRPr="00D454EF">
              <w:t>weighted average cost of capital</w:t>
            </w:r>
          </w:p>
        </w:tc>
      </w:tr>
      <w:tr w:rsidR="00D454EF" w:rsidTr="00D454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single" w:sz="4" w:space="0" w:color="365F91"/>
              <w:right w:val="nil"/>
            </w:tcBorders>
            <w:hideMark/>
          </w:tcPr>
          <w:p w:rsidR="00D454EF" w:rsidRPr="00D454EF" w:rsidRDefault="00D454EF" w:rsidP="00D454EF">
            <w:pPr>
              <w:numPr>
                <w:ilvl w:val="0"/>
                <w:numId w:val="24"/>
              </w:numPr>
            </w:pPr>
            <w:r w:rsidRPr="00D454EF">
              <w:t>WPI</w:t>
            </w:r>
          </w:p>
        </w:tc>
        <w:tc>
          <w:tcPr>
            <w:tcW w:w="5041" w:type="dxa"/>
            <w:tcBorders>
              <w:top w:val="nil"/>
              <w:left w:val="nil"/>
              <w:bottom w:val="single" w:sz="4" w:space="0" w:color="365F91"/>
              <w:right w:val="nil"/>
            </w:tcBorders>
            <w:hideMark/>
          </w:tcPr>
          <w:p w:rsidR="00D454EF" w:rsidRPr="00D454EF" w:rsidRDefault="00D454EF" w:rsidP="00D454EF">
            <w:pPr>
              <w:cnfStyle w:val="000000010000" w:firstRow="0" w:lastRow="0" w:firstColumn="0" w:lastColumn="0" w:oddVBand="0" w:evenVBand="0" w:oddHBand="0" w:evenHBand="1" w:firstRowFirstColumn="0" w:firstRowLastColumn="0" w:lastRowFirstColumn="0" w:lastRowLastColumn="0"/>
            </w:pPr>
            <w:r w:rsidRPr="00D454EF">
              <w:t>Wage Price Index</w:t>
            </w:r>
          </w:p>
        </w:tc>
      </w:tr>
    </w:tbl>
    <w:p w:rsidR="007606C0" w:rsidRPr="007606C0" w:rsidRDefault="007606C0" w:rsidP="007606C0"/>
    <w:p w:rsidR="00DE563D" w:rsidRDefault="00205A33" w:rsidP="00EE77FA">
      <w:pPr>
        <w:pStyle w:val="Heading1"/>
      </w:pPr>
      <w:bookmarkStart w:id="9" w:name="_Toc451761527"/>
      <w:r>
        <w:t>Demand</w:t>
      </w:r>
      <w:bookmarkEnd w:id="9"/>
    </w:p>
    <w:p w:rsidR="00B670B1" w:rsidRPr="00795676" w:rsidRDefault="00B670B1" w:rsidP="00B670B1">
      <w:r>
        <w:t>This attachment sets out our assessment of ActewAGL</w:t>
      </w:r>
      <w:r w:rsidR="00FC6843">
        <w:t>'s demand forecasts</w:t>
      </w:r>
      <w:r>
        <w:t xml:space="preserve"> for the 2016–21 access arrangement</w:t>
      </w:r>
      <w:r w:rsidR="00FB149E">
        <w:t xml:space="preserve"> </w:t>
      </w:r>
      <w:proofErr w:type="gramStart"/>
      <w:r>
        <w:t>period</w:t>
      </w:r>
      <w:proofErr w:type="gramEnd"/>
      <w:r>
        <w:t xml:space="preserve">. Demand is an important input into the derivation of ActewAGL’s reference tariffs. It </w:t>
      </w:r>
      <w:r w:rsidR="007606C0">
        <w:t xml:space="preserve">also </w:t>
      </w:r>
      <w:r>
        <w:t>affects operating expenditure (opex) and capital expenditure (capex) linked to network growth.</w:t>
      </w:r>
      <w:r>
        <w:rPr>
          <w:rStyle w:val="FootnoteReference"/>
        </w:rPr>
        <w:footnoteReference w:id="1"/>
      </w:r>
    </w:p>
    <w:p w:rsidR="00A2303E" w:rsidRDefault="00A2303E" w:rsidP="00A2303E">
      <w:pPr>
        <w:pStyle w:val="Heading2"/>
      </w:pPr>
      <w:bookmarkStart w:id="10" w:name="_Toc408404320"/>
      <w:bookmarkStart w:id="11" w:name="_Toc419366913"/>
      <w:bookmarkStart w:id="12" w:name="_Toc451761528"/>
      <w:r>
        <w:t>Final</w:t>
      </w:r>
      <w:r w:rsidRPr="0074565D">
        <w:t xml:space="preserve"> decision</w:t>
      </w:r>
      <w:bookmarkEnd w:id="10"/>
      <w:bookmarkEnd w:id="11"/>
      <w:bookmarkEnd w:id="12"/>
    </w:p>
    <w:p w:rsidR="00FC6843" w:rsidRDefault="00FC6843" w:rsidP="00FC6843">
      <w:r>
        <w:t xml:space="preserve">We </w:t>
      </w:r>
      <w:r w:rsidR="00FF44F5">
        <w:t xml:space="preserve">are satisfied that </w:t>
      </w:r>
      <w:r>
        <w:t>ActewAGL's demand forecasts for</w:t>
      </w:r>
      <w:r w:rsidR="003C76A6">
        <w:t xml:space="preserve"> Tariff V residential new connections for</w:t>
      </w:r>
      <w:r>
        <w:t xml:space="preserve"> </w:t>
      </w:r>
      <w:r w:rsidR="00646F0D">
        <w:t xml:space="preserve">medium density/high rise </w:t>
      </w:r>
      <w:r w:rsidR="00C33F56">
        <w:t xml:space="preserve">(MD/HR) </w:t>
      </w:r>
      <w:r w:rsidR="003C76A6">
        <w:t>dwellings</w:t>
      </w:r>
      <w:r w:rsidR="00646F0D">
        <w:t xml:space="preserve"> for the 2016-21 </w:t>
      </w:r>
      <w:r w:rsidR="003A49B1">
        <w:t>access arrangement</w:t>
      </w:r>
      <w:r w:rsidR="00646F0D">
        <w:t xml:space="preserve"> period</w:t>
      </w:r>
      <w:r w:rsidR="00FF44F5">
        <w:t xml:space="preserve"> comply with rule </w:t>
      </w:r>
      <w:bookmarkStart w:id="13" w:name="_GoBack"/>
      <w:bookmarkEnd w:id="13"/>
      <w:r w:rsidR="00FF44F5">
        <w:t>74(2) of the NGR</w:t>
      </w:r>
      <w:r w:rsidR="00646F0D">
        <w:t>.</w:t>
      </w:r>
      <w:r w:rsidR="00C33F56">
        <w:t xml:space="preserve"> </w:t>
      </w:r>
      <w:r w:rsidR="00091913">
        <w:t xml:space="preserve">This is the only issue that </w:t>
      </w:r>
      <w:r w:rsidR="00C33F56">
        <w:t xml:space="preserve">ActewAGL </w:t>
      </w:r>
      <w:r w:rsidR="00091913">
        <w:t xml:space="preserve">did not accept in our </w:t>
      </w:r>
      <w:r w:rsidR="00C33F56">
        <w:t>draft de</w:t>
      </w:r>
      <w:r w:rsidR="00091913">
        <w:t xml:space="preserve">cision on its demand forecasts </w:t>
      </w:r>
      <w:r w:rsidR="00C33F56">
        <w:t xml:space="preserve">for the 2016-21 </w:t>
      </w:r>
      <w:r w:rsidR="003A49B1">
        <w:t>access arrangement</w:t>
      </w:r>
      <w:r w:rsidR="00C33F56">
        <w:t xml:space="preserve"> </w:t>
      </w:r>
      <w:proofErr w:type="gramStart"/>
      <w:r w:rsidR="00C33F56">
        <w:t>p</w:t>
      </w:r>
      <w:r w:rsidR="00091913">
        <w:t>e</w:t>
      </w:r>
      <w:r w:rsidR="00C33F56">
        <w:t>riod</w:t>
      </w:r>
      <w:proofErr w:type="gramEnd"/>
      <w:r w:rsidR="00C33F56">
        <w:t>.</w:t>
      </w:r>
    </w:p>
    <w:p w:rsidR="00043D61" w:rsidRDefault="0040285B" w:rsidP="00043D61">
      <w:r>
        <w:t xml:space="preserve">ActewAGL </w:t>
      </w:r>
      <w:r w:rsidR="00FC5B04">
        <w:t>accepted our draft decision on T</w:t>
      </w:r>
      <w:r>
        <w:t xml:space="preserve">ariff V residential and commercial consumption per connection, where our alternative forecast for </w:t>
      </w:r>
      <w:r w:rsidR="00043D61">
        <w:t xml:space="preserve">all </w:t>
      </w:r>
      <w:r>
        <w:t xml:space="preserve">residential consumption per connection </w:t>
      </w:r>
      <w:r w:rsidR="00043D61">
        <w:t>was higher than Core Energy's (ActewAGL's consultant) estimate. Our alternative forecast for all commercial consumption per connection was lower than Core Energy's estimate.</w:t>
      </w:r>
      <w:r w:rsidR="00043D61">
        <w:rPr>
          <w:rStyle w:val="FootnoteReference"/>
        </w:rPr>
        <w:footnoteReference w:id="2"/>
      </w:r>
      <w:r w:rsidR="00043D61">
        <w:t xml:space="preserve"> </w:t>
      </w:r>
      <w:r w:rsidRPr="0040152D">
        <w:t xml:space="preserve"> </w:t>
      </w:r>
    </w:p>
    <w:p w:rsidR="007606C0" w:rsidRPr="0040285B" w:rsidRDefault="00043D61" w:rsidP="00043D61">
      <w:pPr>
        <w:rPr>
          <w:rStyle w:val="AERbody"/>
        </w:rPr>
      </w:pPr>
      <w:r>
        <w:t xml:space="preserve">In our draft decision, we accepted </w:t>
      </w:r>
      <w:r w:rsidR="0040285B" w:rsidRPr="0040285B">
        <w:rPr>
          <w:rStyle w:val="AERbody"/>
        </w:rPr>
        <w:t>Actew</w:t>
      </w:r>
      <w:r>
        <w:rPr>
          <w:rStyle w:val="AERbody"/>
        </w:rPr>
        <w:t>AGL’s Tariff D demand forecasts.</w:t>
      </w:r>
      <w:r>
        <w:rPr>
          <w:rStyle w:val="FootnoteReference"/>
        </w:rPr>
        <w:footnoteReference w:id="3"/>
      </w:r>
    </w:p>
    <w:p w:rsidR="009A4DD3" w:rsidRDefault="00091913" w:rsidP="00FC6843">
      <w:r>
        <w:t xml:space="preserve">ActewAGL </w:t>
      </w:r>
      <w:r w:rsidR="006A7724">
        <w:t>revised its new</w:t>
      </w:r>
      <w:r>
        <w:t xml:space="preserve"> connection numbers for MD/HR</w:t>
      </w:r>
      <w:r w:rsidR="006A7724">
        <w:t xml:space="preserve"> dwellings based on a new da</w:t>
      </w:r>
      <w:r w:rsidR="006119B3">
        <w:t>ta set. These numbers support a</w:t>
      </w:r>
      <w:r w:rsidR="006A7724">
        <w:t xml:space="preserve"> </w:t>
      </w:r>
      <w:r w:rsidR="0060561F">
        <w:t>71.4</w:t>
      </w:r>
      <w:r>
        <w:t xml:space="preserve"> per cent</w:t>
      </w:r>
      <w:r w:rsidR="00816203">
        <w:rPr>
          <w:rStyle w:val="FootnoteReference"/>
        </w:rPr>
        <w:footnoteReference w:id="4"/>
      </w:r>
      <w:r>
        <w:t xml:space="preserve"> </w:t>
      </w:r>
      <w:r w:rsidR="0018792E">
        <w:t xml:space="preserve">gas </w:t>
      </w:r>
      <w:r w:rsidR="009A4DD3">
        <w:t xml:space="preserve">connection rate for MD/HR dwellings over the 2016-21 </w:t>
      </w:r>
      <w:r w:rsidR="003A49B1">
        <w:t>access arrangement</w:t>
      </w:r>
      <w:r w:rsidR="009A4DD3">
        <w:t xml:space="preserve"> </w:t>
      </w:r>
      <w:proofErr w:type="gramStart"/>
      <w:r w:rsidR="009A4DD3">
        <w:t>period</w:t>
      </w:r>
      <w:proofErr w:type="gramEnd"/>
      <w:r>
        <w:t>.</w:t>
      </w:r>
      <w:r w:rsidR="006119B3">
        <w:rPr>
          <w:rStyle w:val="FootnoteReference"/>
        </w:rPr>
        <w:footnoteReference w:id="5"/>
      </w:r>
      <w:r>
        <w:t xml:space="preserve"> </w:t>
      </w:r>
      <w:r w:rsidR="009A4DD3">
        <w:t>Our draft decision position</w:t>
      </w:r>
      <w:r w:rsidR="0018792E">
        <w:t xml:space="preserve"> was a gas connection rate of 36</w:t>
      </w:r>
      <w:r w:rsidR="009A4DD3">
        <w:t xml:space="preserve"> per cent for that connection type.</w:t>
      </w:r>
      <w:r w:rsidR="009A4DD3">
        <w:rPr>
          <w:rStyle w:val="FootnoteReference"/>
        </w:rPr>
        <w:footnoteReference w:id="6"/>
      </w:r>
      <w:r w:rsidR="00DB3426">
        <w:t xml:space="preserve">  </w:t>
      </w:r>
    </w:p>
    <w:p w:rsidR="006119B3" w:rsidRDefault="00091913" w:rsidP="00FC6843">
      <w:r>
        <w:t>Upon reviewing this data, as well as material provided in response to our information requests, we accept ActewAGL's demand forecasts for MD/HR new connections for the 201</w:t>
      </w:r>
      <w:r w:rsidR="00D62599">
        <w:t>6</w:t>
      </w:r>
      <w:r w:rsidR="003F1184">
        <w:t>–</w:t>
      </w:r>
      <w:r w:rsidR="00D62599">
        <w:t xml:space="preserve">21 </w:t>
      </w:r>
      <w:r w:rsidR="003A49B1">
        <w:t>access arrangement</w:t>
      </w:r>
      <w:r w:rsidR="00D62599">
        <w:t xml:space="preserve"> </w:t>
      </w:r>
      <w:proofErr w:type="gramStart"/>
      <w:r w:rsidR="00D62599">
        <w:t>period</w:t>
      </w:r>
      <w:proofErr w:type="gramEnd"/>
      <w:r w:rsidR="00D62599">
        <w:t xml:space="preserve">. ActewAGL forecast a total of </w:t>
      </w:r>
      <w:r w:rsidR="000F01E8">
        <w:t xml:space="preserve">6265 </w:t>
      </w:r>
      <w:r w:rsidR="00D62599">
        <w:t xml:space="preserve">new connections for MD/HR </w:t>
      </w:r>
      <w:r w:rsidR="00F207A3">
        <w:t>dwellings for the 2016</w:t>
      </w:r>
      <w:r w:rsidR="003F1184">
        <w:t>–</w:t>
      </w:r>
      <w:r w:rsidR="00F207A3">
        <w:t>21</w:t>
      </w:r>
      <w:r w:rsidR="00FC5B04">
        <w:t xml:space="preserve"> </w:t>
      </w:r>
      <w:r w:rsidR="003A49B1">
        <w:t>access arrangement</w:t>
      </w:r>
      <w:r w:rsidR="00F207A3">
        <w:t xml:space="preserve"> </w:t>
      </w:r>
      <w:proofErr w:type="gramStart"/>
      <w:r w:rsidR="00F207A3">
        <w:t>period</w:t>
      </w:r>
      <w:proofErr w:type="gramEnd"/>
      <w:r w:rsidR="00F207A3">
        <w:t xml:space="preserve">, compared to our alternative estimate in the draft decision of </w:t>
      </w:r>
      <w:r w:rsidR="000F01E8">
        <w:t>3271</w:t>
      </w:r>
      <w:r w:rsidR="00F207A3">
        <w:t xml:space="preserve"> connections. Therefore, our final decision on new connections for MD/HR dwellings is </w:t>
      </w:r>
      <w:r w:rsidR="00545804">
        <w:t>92</w:t>
      </w:r>
      <w:r w:rsidR="00F207A3">
        <w:t xml:space="preserve"> per cent higher compared to the draft decision and </w:t>
      </w:r>
      <w:r w:rsidR="000F01E8">
        <w:t>29</w:t>
      </w:r>
      <w:r w:rsidR="00680368">
        <w:t xml:space="preserve"> per cent </w:t>
      </w:r>
      <w:r w:rsidR="00F207A3">
        <w:t xml:space="preserve">lower </w:t>
      </w:r>
      <w:r w:rsidR="00680368">
        <w:t xml:space="preserve">(8854 connections) </w:t>
      </w:r>
      <w:r w:rsidR="00F207A3">
        <w:t xml:space="preserve">compared to ActewAGL's forecast in its initial proposal. </w:t>
      </w:r>
    </w:p>
    <w:p w:rsidR="00FC5B04" w:rsidRDefault="00FC5B04" w:rsidP="00FC5B04">
      <w:r>
        <w:t xml:space="preserve">Notwithstanding our acceptance of ActewAGL's revised proposal on new connections for MD/HR, </w:t>
      </w:r>
      <w:r w:rsidRPr="00A20BAE">
        <w:t>we identified a number of inconsistencies with its modelling assumptions. These relate to ActewAGL's assumed forecast meter configuration for high rise dwellings and associated forecast gas consumption for this dwelling type over the 2016</w:t>
      </w:r>
      <w:r w:rsidR="003F1184">
        <w:t>–</w:t>
      </w:r>
      <w:r w:rsidRPr="00A20BAE">
        <w:t xml:space="preserve">21 </w:t>
      </w:r>
      <w:r w:rsidR="003A49B1">
        <w:t>access arrangement</w:t>
      </w:r>
      <w:r w:rsidRPr="00A20BAE">
        <w:t xml:space="preserve"> </w:t>
      </w:r>
      <w:proofErr w:type="gramStart"/>
      <w:r w:rsidRPr="00A20BAE">
        <w:t>period</w:t>
      </w:r>
      <w:proofErr w:type="gramEnd"/>
      <w:r w:rsidRPr="00A20BAE">
        <w:t xml:space="preserve">. </w:t>
      </w:r>
      <w:r>
        <w:t xml:space="preserve"> We have therefore made some modelling adjustments which increase total</w:t>
      </w:r>
      <w:r w:rsidR="007E55E9">
        <w:t xml:space="preserve"> residential</w:t>
      </w:r>
      <w:r>
        <w:t xml:space="preserve"> consumption and affect tariffs for most residential connection types.</w:t>
      </w:r>
    </w:p>
    <w:p w:rsidR="009A4DD3" w:rsidRDefault="00AA1662" w:rsidP="00FC6843">
      <w:r>
        <w:fldChar w:fldCharType="begin"/>
      </w:r>
      <w:r>
        <w:instrText xml:space="preserve"> REF _Ref450655872 \h </w:instrText>
      </w:r>
      <w:r>
        <w:fldChar w:fldCharType="separate"/>
      </w:r>
      <w:r w:rsidR="00E022CC">
        <w:t xml:space="preserve">Table </w:t>
      </w:r>
      <w:r w:rsidR="00E022CC">
        <w:rPr>
          <w:noProof/>
        </w:rPr>
        <w:t>13</w:t>
      </w:r>
      <w:r w:rsidR="00E022CC">
        <w:t>.</w:t>
      </w:r>
      <w:r w:rsidR="00E022CC">
        <w:rPr>
          <w:noProof/>
        </w:rPr>
        <w:t>1</w:t>
      </w:r>
      <w:r>
        <w:fldChar w:fldCharType="end"/>
      </w:r>
      <w:r>
        <w:t xml:space="preserve"> </w:t>
      </w:r>
      <w:r w:rsidR="00395CF8">
        <w:t xml:space="preserve">and </w:t>
      </w:r>
      <w:r>
        <w:fldChar w:fldCharType="begin"/>
      </w:r>
      <w:r>
        <w:instrText xml:space="preserve"> REF _Ref450655881 \h </w:instrText>
      </w:r>
      <w:r>
        <w:fldChar w:fldCharType="separate"/>
      </w:r>
      <w:r w:rsidR="00E022CC">
        <w:t xml:space="preserve">Table </w:t>
      </w:r>
      <w:r w:rsidR="00E022CC">
        <w:rPr>
          <w:noProof/>
        </w:rPr>
        <w:t>13</w:t>
      </w:r>
      <w:r w:rsidR="00E022CC">
        <w:t>.</w:t>
      </w:r>
      <w:r w:rsidR="00E022CC">
        <w:rPr>
          <w:noProof/>
        </w:rPr>
        <w:t>2</w:t>
      </w:r>
      <w:r>
        <w:fldChar w:fldCharType="end"/>
      </w:r>
      <w:r>
        <w:t xml:space="preserve"> </w:t>
      </w:r>
      <w:r w:rsidR="00FC5B04">
        <w:t>set out our final decisi</w:t>
      </w:r>
      <w:r w:rsidR="002266A1">
        <w:t xml:space="preserve">on </w:t>
      </w:r>
      <w:r>
        <w:t xml:space="preserve">on </w:t>
      </w:r>
      <w:proofErr w:type="spellStart"/>
      <w:r w:rsidR="002266A1">
        <w:t>ActewAGL's</w:t>
      </w:r>
      <w:proofErr w:type="spellEnd"/>
      <w:r w:rsidR="002266A1">
        <w:t xml:space="preserve"> demand forecasts for the 2016-21 </w:t>
      </w:r>
      <w:r w:rsidR="003A49B1">
        <w:t>access arrangement</w:t>
      </w:r>
      <w:r w:rsidR="002266A1">
        <w:t xml:space="preserve"> </w:t>
      </w:r>
      <w:proofErr w:type="gramStart"/>
      <w:r w:rsidR="002266A1">
        <w:t>period</w:t>
      </w:r>
      <w:proofErr w:type="gramEnd"/>
      <w:r w:rsidR="002266A1">
        <w:t xml:space="preserve">. </w:t>
      </w:r>
    </w:p>
    <w:p w:rsidR="00A12A00" w:rsidRPr="00A12A00" w:rsidRDefault="00AA1662" w:rsidP="00AA1662">
      <w:pPr>
        <w:pStyle w:val="Caption"/>
      </w:pPr>
      <w:bookmarkStart w:id="14" w:name="_Ref450655872"/>
      <w:proofErr w:type="gramStart"/>
      <w:r>
        <w:t xml:space="preserve">Table </w:t>
      </w:r>
      <w:proofErr w:type="gramEnd"/>
      <w:r>
        <w:fldChar w:fldCharType="begin"/>
      </w:r>
      <w:r>
        <w:instrText xml:space="preserve"> STYLEREF 1 \s </w:instrText>
      </w:r>
      <w:r>
        <w:fldChar w:fldCharType="separate"/>
      </w:r>
      <w:r w:rsidR="00E022CC">
        <w:rPr>
          <w:noProof/>
        </w:rPr>
        <w:t>13</w:t>
      </w:r>
      <w:r>
        <w:fldChar w:fldCharType="end"/>
      </w:r>
      <w:proofErr w:type="gramStart"/>
      <w:r>
        <w:t>.</w:t>
      </w:r>
      <w:proofErr w:type="gramEnd"/>
      <w:r>
        <w:fldChar w:fldCharType="begin"/>
      </w:r>
      <w:r>
        <w:instrText xml:space="preserve"> SEQ Table \* ARABIC \s 1 </w:instrText>
      </w:r>
      <w:r>
        <w:fldChar w:fldCharType="separate"/>
      </w:r>
      <w:r w:rsidR="00E022CC">
        <w:rPr>
          <w:noProof/>
        </w:rPr>
        <w:t>1</w:t>
      </w:r>
      <w:r>
        <w:fldChar w:fldCharType="end"/>
      </w:r>
      <w:bookmarkEnd w:id="14"/>
      <w:r w:rsidR="00A12A00">
        <w:tab/>
      </w:r>
      <w:r w:rsidR="00A12A00" w:rsidRPr="00A12A00">
        <w:t xml:space="preserve">Final decision on consumption and consumption per connection for tariff V and tariff D </w:t>
      </w:r>
    </w:p>
    <w:tbl>
      <w:tblPr>
        <w:tblStyle w:val="AERtable-numbers"/>
        <w:tblW w:w="8613" w:type="dxa"/>
        <w:tblLayout w:type="fixed"/>
        <w:tblLook w:val="04A0" w:firstRow="1" w:lastRow="0" w:firstColumn="1" w:lastColumn="0" w:noHBand="0" w:noVBand="1"/>
      </w:tblPr>
      <w:tblGrid>
        <w:gridCol w:w="3652"/>
        <w:gridCol w:w="992"/>
        <w:gridCol w:w="993"/>
        <w:gridCol w:w="992"/>
        <w:gridCol w:w="992"/>
        <w:gridCol w:w="992"/>
      </w:tblGrid>
      <w:tr w:rsidR="00A12A00" w:rsidRPr="0018218B" w:rsidTr="002748A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52" w:type="dxa"/>
            <w:noWrap/>
            <w:hideMark/>
          </w:tcPr>
          <w:p w:rsidR="00A12A00" w:rsidRPr="00A12A00" w:rsidRDefault="00A12A00" w:rsidP="00A12A00"/>
        </w:tc>
        <w:tc>
          <w:tcPr>
            <w:tcW w:w="992" w:type="dxa"/>
            <w:noWrap/>
            <w:hideMark/>
          </w:tcPr>
          <w:p w:rsidR="00A12A00" w:rsidRPr="00A12A00" w:rsidRDefault="00A12A00" w:rsidP="00A12A00">
            <w:pPr>
              <w:cnfStyle w:val="100000000000" w:firstRow="1" w:lastRow="0" w:firstColumn="0" w:lastColumn="0" w:oddVBand="0" w:evenVBand="0" w:oddHBand="0" w:evenHBand="0" w:firstRowFirstColumn="0" w:firstRowLastColumn="0" w:lastRowFirstColumn="0" w:lastRowLastColumn="0"/>
            </w:pPr>
            <w:r w:rsidRPr="00A12A00">
              <w:t>2016–17</w:t>
            </w:r>
          </w:p>
        </w:tc>
        <w:tc>
          <w:tcPr>
            <w:tcW w:w="993" w:type="dxa"/>
            <w:noWrap/>
            <w:hideMark/>
          </w:tcPr>
          <w:p w:rsidR="00A12A00" w:rsidRPr="00A12A00" w:rsidRDefault="00A12A00" w:rsidP="00A12A00">
            <w:pPr>
              <w:cnfStyle w:val="100000000000" w:firstRow="1" w:lastRow="0" w:firstColumn="0" w:lastColumn="0" w:oddVBand="0" w:evenVBand="0" w:oddHBand="0" w:evenHBand="0" w:firstRowFirstColumn="0" w:firstRowLastColumn="0" w:lastRowFirstColumn="0" w:lastRowLastColumn="0"/>
            </w:pPr>
            <w:r w:rsidRPr="00A12A00">
              <w:t>2017–18</w:t>
            </w:r>
          </w:p>
        </w:tc>
        <w:tc>
          <w:tcPr>
            <w:tcW w:w="992" w:type="dxa"/>
            <w:noWrap/>
            <w:hideMark/>
          </w:tcPr>
          <w:p w:rsidR="00A12A00" w:rsidRPr="00A12A00" w:rsidRDefault="00A12A00" w:rsidP="00A12A00">
            <w:pPr>
              <w:cnfStyle w:val="100000000000" w:firstRow="1" w:lastRow="0" w:firstColumn="0" w:lastColumn="0" w:oddVBand="0" w:evenVBand="0" w:oddHBand="0" w:evenHBand="0" w:firstRowFirstColumn="0" w:firstRowLastColumn="0" w:lastRowFirstColumn="0" w:lastRowLastColumn="0"/>
            </w:pPr>
            <w:r w:rsidRPr="00A12A00">
              <w:t>2018–19</w:t>
            </w:r>
          </w:p>
        </w:tc>
        <w:tc>
          <w:tcPr>
            <w:tcW w:w="992" w:type="dxa"/>
            <w:noWrap/>
            <w:hideMark/>
          </w:tcPr>
          <w:p w:rsidR="00A12A00" w:rsidRPr="00A12A00" w:rsidRDefault="00A12A00" w:rsidP="00A12A00">
            <w:pPr>
              <w:cnfStyle w:val="100000000000" w:firstRow="1" w:lastRow="0" w:firstColumn="0" w:lastColumn="0" w:oddVBand="0" w:evenVBand="0" w:oddHBand="0" w:evenHBand="0" w:firstRowFirstColumn="0" w:firstRowLastColumn="0" w:lastRowFirstColumn="0" w:lastRowLastColumn="0"/>
            </w:pPr>
            <w:r w:rsidRPr="00A12A00">
              <w:t>2019–20</w:t>
            </w:r>
          </w:p>
        </w:tc>
        <w:tc>
          <w:tcPr>
            <w:tcW w:w="992" w:type="dxa"/>
            <w:noWrap/>
            <w:hideMark/>
          </w:tcPr>
          <w:p w:rsidR="00A12A00" w:rsidRPr="00A12A00" w:rsidRDefault="00A12A00" w:rsidP="00A12A00">
            <w:pPr>
              <w:cnfStyle w:val="100000000000" w:firstRow="1" w:lastRow="0" w:firstColumn="0" w:lastColumn="0" w:oddVBand="0" w:evenVBand="0" w:oddHBand="0" w:evenHBand="0" w:firstRowFirstColumn="0" w:firstRowLastColumn="0" w:lastRowFirstColumn="0" w:lastRowLastColumn="0"/>
            </w:pPr>
            <w:r w:rsidRPr="00A12A00">
              <w:t>2020–21</w:t>
            </w:r>
          </w:p>
        </w:tc>
      </w:tr>
      <w:tr w:rsidR="00A12A00" w:rsidRPr="0018218B" w:rsidTr="002748A6">
        <w:trPr>
          <w:trHeight w:val="300"/>
        </w:trPr>
        <w:tc>
          <w:tcPr>
            <w:cnfStyle w:val="001000000000" w:firstRow="0" w:lastRow="0" w:firstColumn="1" w:lastColumn="0" w:oddVBand="0" w:evenVBand="0" w:oddHBand="0" w:evenHBand="0" w:firstRowFirstColumn="0" w:firstRowLastColumn="0" w:lastRowFirstColumn="0" w:lastRowLastColumn="0"/>
            <w:tcW w:w="3652" w:type="dxa"/>
            <w:noWrap/>
          </w:tcPr>
          <w:p w:rsidR="00A12A00" w:rsidRPr="00A12A00" w:rsidRDefault="00A12A00" w:rsidP="00A12A00">
            <w:pPr>
              <w:pStyle w:val="HeadingOrange"/>
            </w:pPr>
            <w:r w:rsidRPr="00A12A00">
              <w:t>Tariff V total consumption</w:t>
            </w:r>
          </w:p>
        </w:tc>
        <w:tc>
          <w:tcPr>
            <w:tcW w:w="992" w:type="dxa"/>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p>
        </w:tc>
        <w:tc>
          <w:tcPr>
            <w:tcW w:w="993" w:type="dxa"/>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p>
        </w:tc>
        <w:tc>
          <w:tcPr>
            <w:tcW w:w="992" w:type="dxa"/>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p>
        </w:tc>
        <w:tc>
          <w:tcPr>
            <w:tcW w:w="992" w:type="dxa"/>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p>
        </w:tc>
        <w:tc>
          <w:tcPr>
            <w:tcW w:w="992" w:type="dxa"/>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p>
        </w:tc>
      </w:tr>
      <w:tr w:rsidR="00A12A00" w:rsidRPr="0018218B" w:rsidTr="002748A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52" w:type="dxa"/>
            <w:noWrap/>
          </w:tcPr>
          <w:p w:rsidR="00A12A00" w:rsidRPr="00A12A00" w:rsidRDefault="00A12A00" w:rsidP="00A12A00">
            <w:pPr>
              <w:pStyle w:val="HeadingOrange"/>
            </w:pPr>
            <w:r w:rsidRPr="00A12A00">
              <w:t>Residential</w:t>
            </w:r>
          </w:p>
        </w:tc>
        <w:tc>
          <w:tcPr>
            <w:tcW w:w="992" w:type="dxa"/>
            <w:noWrap/>
            <w:vAlign w:val="to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4,852,698</w:t>
            </w:r>
          </w:p>
        </w:tc>
        <w:tc>
          <w:tcPr>
            <w:tcW w:w="993" w:type="dxa"/>
            <w:noWrap/>
            <w:vAlign w:val="to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4,750,130</w:t>
            </w:r>
          </w:p>
        </w:tc>
        <w:tc>
          <w:tcPr>
            <w:tcW w:w="992" w:type="dxa"/>
            <w:noWrap/>
            <w:vAlign w:val="to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4,669,829</w:t>
            </w:r>
          </w:p>
        </w:tc>
        <w:tc>
          <w:tcPr>
            <w:tcW w:w="992" w:type="dxa"/>
            <w:noWrap/>
            <w:vAlign w:val="to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4,610,255</w:t>
            </w:r>
          </w:p>
        </w:tc>
        <w:tc>
          <w:tcPr>
            <w:tcW w:w="992" w:type="dxa"/>
            <w:noWrap/>
            <w:vAlign w:val="to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4,551,839</w:t>
            </w:r>
          </w:p>
        </w:tc>
      </w:tr>
      <w:tr w:rsidR="00A12A00" w:rsidRPr="0018218B" w:rsidTr="002748A6">
        <w:trPr>
          <w:trHeight w:val="300"/>
        </w:trPr>
        <w:tc>
          <w:tcPr>
            <w:cnfStyle w:val="001000000000" w:firstRow="0" w:lastRow="0" w:firstColumn="1" w:lastColumn="0" w:oddVBand="0" w:evenVBand="0" w:oddHBand="0" w:evenHBand="0" w:firstRowFirstColumn="0" w:firstRowLastColumn="0" w:lastRowFirstColumn="0" w:lastRowLastColumn="0"/>
            <w:tcW w:w="3652" w:type="dxa"/>
            <w:noWrap/>
          </w:tcPr>
          <w:p w:rsidR="00A12A00" w:rsidRPr="00A12A00" w:rsidRDefault="00A12A00" w:rsidP="00A12A00">
            <w:pPr>
              <w:pStyle w:val="HeadingOrange"/>
            </w:pPr>
            <w:r w:rsidRPr="00A12A00">
              <w:t>Commercial</w:t>
            </w:r>
          </w:p>
        </w:tc>
        <w:tc>
          <w:tcPr>
            <w:tcW w:w="992" w:type="dxa"/>
            <w:noWrap/>
            <w:vAlign w:val="to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r w:rsidRPr="00A12A00">
              <w:t>1,455,376</w:t>
            </w:r>
          </w:p>
        </w:tc>
        <w:tc>
          <w:tcPr>
            <w:tcW w:w="993" w:type="dxa"/>
            <w:noWrap/>
            <w:vAlign w:val="to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r w:rsidRPr="00A12A00">
              <w:t>1,438,401</w:t>
            </w:r>
          </w:p>
        </w:tc>
        <w:tc>
          <w:tcPr>
            <w:tcW w:w="992" w:type="dxa"/>
            <w:noWrap/>
            <w:vAlign w:val="to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r w:rsidRPr="00A12A00">
              <w:t>1,414,171</w:t>
            </w:r>
          </w:p>
        </w:tc>
        <w:tc>
          <w:tcPr>
            <w:tcW w:w="992" w:type="dxa"/>
            <w:noWrap/>
            <w:vAlign w:val="to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r w:rsidRPr="00A12A00">
              <w:t>1,403,759</w:t>
            </w:r>
          </w:p>
        </w:tc>
        <w:tc>
          <w:tcPr>
            <w:tcW w:w="992" w:type="dxa"/>
            <w:noWrap/>
            <w:vAlign w:val="to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r w:rsidRPr="00A12A00">
              <w:t>1,402,929</w:t>
            </w:r>
          </w:p>
        </w:tc>
      </w:tr>
      <w:tr w:rsidR="00A12A00" w:rsidRPr="0018218B" w:rsidTr="002748A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52" w:type="dxa"/>
            <w:noWrap/>
          </w:tcPr>
          <w:p w:rsidR="00A12A00" w:rsidRPr="00A12A00" w:rsidRDefault="00A12A00" w:rsidP="00A12A00">
            <w:pPr>
              <w:pStyle w:val="HeadingOrange"/>
            </w:pPr>
            <w:r w:rsidRPr="00A12A00">
              <w:t>Tariff V consumption per connection</w:t>
            </w:r>
          </w:p>
        </w:tc>
        <w:tc>
          <w:tcPr>
            <w:tcW w:w="992" w:type="dxa"/>
            <w:noWra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p>
        </w:tc>
        <w:tc>
          <w:tcPr>
            <w:tcW w:w="993" w:type="dxa"/>
            <w:noWra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p>
        </w:tc>
        <w:tc>
          <w:tcPr>
            <w:tcW w:w="992" w:type="dxa"/>
            <w:noWra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p>
        </w:tc>
        <w:tc>
          <w:tcPr>
            <w:tcW w:w="992" w:type="dxa"/>
            <w:noWra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p>
        </w:tc>
        <w:tc>
          <w:tcPr>
            <w:tcW w:w="992" w:type="dxa"/>
            <w:noWra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p>
        </w:tc>
      </w:tr>
      <w:tr w:rsidR="00A12A00" w:rsidRPr="00DA24FF" w:rsidTr="002748A6">
        <w:trPr>
          <w:trHeight w:val="300"/>
        </w:trPr>
        <w:tc>
          <w:tcPr>
            <w:cnfStyle w:val="001000000000" w:firstRow="0" w:lastRow="0" w:firstColumn="1" w:lastColumn="0" w:oddVBand="0" w:evenVBand="0" w:oddHBand="0" w:evenHBand="0" w:firstRowFirstColumn="0" w:firstRowLastColumn="0" w:lastRowFirstColumn="0" w:lastRowLastColumn="0"/>
            <w:tcW w:w="3652" w:type="dxa"/>
            <w:noWrap/>
          </w:tcPr>
          <w:p w:rsidR="00A12A00" w:rsidRPr="00A12A00" w:rsidRDefault="00A12A00" w:rsidP="00A12A00">
            <w:r w:rsidRPr="00A12A00">
              <w:t>Existing Residential</w:t>
            </w:r>
          </w:p>
        </w:tc>
        <w:tc>
          <w:tcPr>
            <w:tcW w:w="992" w:type="dxa"/>
            <w:noWrap/>
            <w:vAlign w:val="bottom"/>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r w:rsidRPr="00A12A00">
              <w:t>-</w:t>
            </w:r>
          </w:p>
        </w:tc>
        <w:tc>
          <w:tcPr>
            <w:tcW w:w="993" w:type="dxa"/>
            <w:noWrap/>
            <w:vAlign w:val="bottom"/>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r w:rsidRPr="00A12A00">
              <w:t>-</w:t>
            </w:r>
          </w:p>
        </w:tc>
        <w:tc>
          <w:tcPr>
            <w:tcW w:w="992" w:type="dxa"/>
            <w:noWrap/>
            <w:vAlign w:val="bottom"/>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r w:rsidRPr="00A12A00">
              <w:t>-</w:t>
            </w:r>
          </w:p>
        </w:tc>
        <w:tc>
          <w:tcPr>
            <w:tcW w:w="992" w:type="dxa"/>
            <w:noWrap/>
            <w:vAlign w:val="bottom"/>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r w:rsidRPr="00A12A00">
              <w:t>-</w:t>
            </w:r>
          </w:p>
        </w:tc>
        <w:tc>
          <w:tcPr>
            <w:tcW w:w="992" w:type="dxa"/>
            <w:noWrap/>
            <w:vAlign w:val="bottom"/>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r w:rsidRPr="00A12A00">
              <w:t>-</w:t>
            </w:r>
          </w:p>
        </w:tc>
      </w:tr>
      <w:tr w:rsidR="00A12A00" w:rsidRPr="0018218B" w:rsidTr="002748A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52" w:type="dxa"/>
            <w:noWrap/>
          </w:tcPr>
          <w:p w:rsidR="00A12A00" w:rsidRPr="00A12A00" w:rsidRDefault="00A12A00" w:rsidP="00A12A00">
            <w:r w:rsidRPr="00A12A00">
              <w:t>New E-to-G</w:t>
            </w:r>
          </w:p>
        </w:tc>
        <w:tc>
          <w:tcPr>
            <w:tcW w:w="992" w:type="dxa"/>
            <w:noWrap/>
            <w:vAlign w:val="bottom"/>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w:t>
            </w:r>
          </w:p>
        </w:tc>
        <w:tc>
          <w:tcPr>
            <w:tcW w:w="993" w:type="dxa"/>
            <w:noWrap/>
            <w:vAlign w:val="bottom"/>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w:t>
            </w:r>
          </w:p>
        </w:tc>
        <w:tc>
          <w:tcPr>
            <w:tcW w:w="992" w:type="dxa"/>
            <w:noWrap/>
            <w:vAlign w:val="bottom"/>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w:t>
            </w:r>
          </w:p>
        </w:tc>
        <w:tc>
          <w:tcPr>
            <w:tcW w:w="992" w:type="dxa"/>
            <w:noWrap/>
            <w:vAlign w:val="bottom"/>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w:t>
            </w:r>
          </w:p>
        </w:tc>
        <w:tc>
          <w:tcPr>
            <w:tcW w:w="992" w:type="dxa"/>
            <w:noWrap/>
            <w:vAlign w:val="bottom"/>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w:t>
            </w:r>
          </w:p>
        </w:tc>
      </w:tr>
      <w:tr w:rsidR="00A12A00" w:rsidRPr="0018218B" w:rsidTr="002748A6">
        <w:trPr>
          <w:trHeight w:val="203"/>
        </w:trPr>
        <w:tc>
          <w:tcPr>
            <w:cnfStyle w:val="001000000000" w:firstRow="0" w:lastRow="0" w:firstColumn="1" w:lastColumn="0" w:oddVBand="0" w:evenVBand="0" w:oddHBand="0" w:evenHBand="0" w:firstRowFirstColumn="0" w:firstRowLastColumn="0" w:lastRowFirstColumn="0" w:lastRowLastColumn="0"/>
            <w:tcW w:w="3652" w:type="dxa"/>
            <w:noWrap/>
          </w:tcPr>
          <w:p w:rsidR="00A12A00" w:rsidRPr="00A12A00" w:rsidRDefault="00A12A00" w:rsidP="00A12A00">
            <w:r w:rsidRPr="00A12A00">
              <w:t>New Estates</w:t>
            </w:r>
          </w:p>
        </w:tc>
        <w:tc>
          <w:tcPr>
            <w:tcW w:w="992" w:type="dxa"/>
            <w:noWrap/>
            <w:vAlign w:val="bottom"/>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r w:rsidRPr="00A12A00">
              <w:t>-</w:t>
            </w:r>
          </w:p>
        </w:tc>
        <w:tc>
          <w:tcPr>
            <w:tcW w:w="993" w:type="dxa"/>
            <w:noWrap/>
            <w:vAlign w:val="bottom"/>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r w:rsidRPr="00A12A00">
              <w:t>-</w:t>
            </w:r>
          </w:p>
        </w:tc>
        <w:tc>
          <w:tcPr>
            <w:tcW w:w="992" w:type="dxa"/>
            <w:noWrap/>
            <w:vAlign w:val="bottom"/>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r w:rsidRPr="00A12A00">
              <w:t>-</w:t>
            </w:r>
          </w:p>
        </w:tc>
        <w:tc>
          <w:tcPr>
            <w:tcW w:w="992" w:type="dxa"/>
            <w:noWrap/>
            <w:vAlign w:val="bottom"/>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r w:rsidRPr="00A12A00">
              <w:t>-</w:t>
            </w:r>
          </w:p>
        </w:tc>
        <w:tc>
          <w:tcPr>
            <w:tcW w:w="992" w:type="dxa"/>
            <w:noWrap/>
            <w:vAlign w:val="bottom"/>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r w:rsidRPr="00A12A00">
              <w:t>-</w:t>
            </w:r>
          </w:p>
        </w:tc>
      </w:tr>
      <w:tr w:rsidR="00A12A00" w:rsidRPr="0018218B" w:rsidTr="002748A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52" w:type="dxa"/>
            <w:noWrap/>
          </w:tcPr>
          <w:p w:rsidR="00A12A00" w:rsidRPr="00A12A00" w:rsidRDefault="00A12A00" w:rsidP="00A12A00">
            <w:r w:rsidRPr="00A12A00">
              <w:t>New Med Density</w:t>
            </w:r>
          </w:p>
        </w:tc>
        <w:tc>
          <w:tcPr>
            <w:tcW w:w="992" w:type="dxa"/>
            <w:noWrap/>
            <w:vAlign w:val="bottom"/>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w:t>
            </w:r>
          </w:p>
        </w:tc>
        <w:tc>
          <w:tcPr>
            <w:tcW w:w="993" w:type="dxa"/>
            <w:noWrap/>
            <w:vAlign w:val="bottom"/>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w:t>
            </w:r>
          </w:p>
        </w:tc>
        <w:tc>
          <w:tcPr>
            <w:tcW w:w="992" w:type="dxa"/>
            <w:noWrap/>
            <w:vAlign w:val="bottom"/>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w:t>
            </w:r>
          </w:p>
        </w:tc>
        <w:tc>
          <w:tcPr>
            <w:tcW w:w="992" w:type="dxa"/>
            <w:noWrap/>
            <w:vAlign w:val="bottom"/>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w:t>
            </w:r>
          </w:p>
        </w:tc>
        <w:tc>
          <w:tcPr>
            <w:tcW w:w="992" w:type="dxa"/>
            <w:noWrap/>
            <w:vAlign w:val="bottom"/>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w:t>
            </w:r>
          </w:p>
        </w:tc>
      </w:tr>
      <w:tr w:rsidR="00A12A00" w:rsidRPr="0018218B" w:rsidTr="002748A6">
        <w:trPr>
          <w:trHeight w:val="300"/>
        </w:trPr>
        <w:tc>
          <w:tcPr>
            <w:cnfStyle w:val="001000000000" w:firstRow="0" w:lastRow="0" w:firstColumn="1" w:lastColumn="0" w:oddVBand="0" w:evenVBand="0" w:oddHBand="0" w:evenHBand="0" w:firstRowFirstColumn="0" w:firstRowLastColumn="0" w:lastRowFirstColumn="0" w:lastRowLastColumn="0"/>
            <w:tcW w:w="3652" w:type="dxa"/>
            <w:noWrap/>
          </w:tcPr>
          <w:p w:rsidR="00A12A00" w:rsidRPr="00A12A00" w:rsidRDefault="00A12A00" w:rsidP="00A12A00">
            <w:r w:rsidRPr="00A12A00">
              <w:t>Total Residential</w:t>
            </w:r>
            <w:r w:rsidRPr="00A12A00" w:rsidDel="00FF11FB">
              <w:rPr>
                <w:rStyle w:val="FootnoteReference"/>
              </w:rPr>
              <w:t xml:space="preserve"> </w:t>
            </w:r>
          </w:p>
        </w:tc>
        <w:tc>
          <w:tcPr>
            <w:tcW w:w="992" w:type="dxa"/>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bookmarkStart w:id="15" w:name="_Toc433930553"/>
            <w:bookmarkStart w:id="16" w:name="_Toc435427910"/>
            <w:bookmarkStart w:id="17" w:name="_Toc435450812"/>
            <w:r w:rsidRPr="00A12A00">
              <w:t>34.84</w:t>
            </w:r>
            <w:bookmarkEnd w:id="15"/>
            <w:bookmarkEnd w:id="16"/>
            <w:bookmarkEnd w:id="17"/>
          </w:p>
        </w:tc>
        <w:tc>
          <w:tcPr>
            <w:tcW w:w="993" w:type="dxa"/>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bookmarkStart w:id="18" w:name="_Toc433930554"/>
            <w:bookmarkStart w:id="19" w:name="_Toc435427911"/>
            <w:bookmarkStart w:id="20" w:name="_Toc435450813"/>
            <w:r w:rsidRPr="00A12A00">
              <w:t>33.39</w:t>
            </w:r>
            <w:bookmarkEnd w:id="18"/>
            <w:bookmarkEnd w:id="19"/>
            <w:bookmarkEnd w:id="20"/>
          </w:p>
        </w:tc>
        <w:tc>
          <w:tcPr>
            <w:tcW w:w="992" w:type="dxa"/>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bookmarkStart w:id="21" w:name="_Toc433930555"/>
            <w:bookmarkStart w:id="22" w:name="_Toc435427912"/>
            <w:bookmarkStart w:id="23" w:name="_Toc435450814"/>
            <w:r w:rsidRPr="00A12A00">
              <w:t>32.15</w:t>
            </w:r>
            <w:bookmarkEnd w:id="21"/>
            <w:bookmarkEnd w:id="22"/>
            <w:bookmarkEnd w:id="23"/>
          </w:p>
        </w:tc>
        <w:tc>
          <w:tcPr>
            <w:tcW w:w="992" w:type="dxa"/>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bookmarkStart w:id="24" w:name="_Toc433930556"/>
            <w:bookmarkStart w:id="25" w:name="_Toc435427913"/>
            <w:bookmarkStart w:id="26" w:name="_Toc435450815"/>
            <w:r w:rsidRPr="00A12A00">
              <w:t>31.05</w:t>
            </w:r>
            <w:bookmarkEnd w:id="24"/>
            <w:bookmarkEnd w:id="25"/>
            <w:bookmarkEnd w:id="26"/>
          </w:p>
        </w:tc>
        <w:tc>
          <w:tcPr>
            <w:tcW w:w="992" w:type="dxa"/>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bookmarkStart w:id="27" w:name="_Toc433930557"/>
            <w:bookmarkStart w:id="28" w:name="_Toc435427914"/>
            <w:bookmarkStart w:id="29" w:name="_Toc435450816"/>
            <w:r w:rsidRPr="00A12A00">
              <w:t>30.06</w:t>
            </w:r>
            <w:bookmarkEnd w:id="27"/>
            <w:bookmarkEnd w:id="28"/>
            <w:bookmarkEnd w:id="29"/>
          </w:p>
        </w:tc>
      </w:tr>
      <w:tr w:rsidR="00A12A00" w:rsidRPr="0018218B" w:rsidTr="002748A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52" w:type="dxa"/>
            <w:noWrap/>
          </w:tcPr>
          <w:p w:rsidR="00A12A00" w:rsidRPr="00A12A00" w:rsidRDefault="00A12A00" w:rsidP="00A12A00">
            <w:r w:rsidRPr="00A12A00">
              <w:t>Existing commercial</w:t>
            </w:r>
          </w:p>
        </w:tc>
        <w:tc>
          <w:tcPr>
            <w:tcW w:w="992" w:type="dxa"/>
            <w:noWrap/>
            <w:vAlign w:val="bottom"/>
          </w:tcPr>
          <w:p w:rsidR="00A12A00" w:rsidRPr="00A12A00" w:rsidRDefault="00A12A00" w:rsidP="00A12A00">
            <w:pPr>
              <w:pStyle w:val="HeadingOrange"/>
              <w:cnfStyle w:val="000000010000" w:firstRow="0" w:lastRow="0" w:firstColumn="0" w:lastColumn="0" w:oddVBand="0" w:evenVBand="0" w:oddHBand="0" w:evenHBand="1" w:firstRowFirstColumn="0" w:firstRowLastColumn="0" w:lastRowFirstColumn="0" w:lastRowLastColumn="0"/>
            </w:pPr>
            <w:r w:rsidRPr="00A12A00">
              <w:t>-</w:t>
            </w:r>
          </w:p>
        </w:tc>
        <w:tc>
          <w:tcPr>
            <w:tcW w:w="993" w:type="dxa"/>
            <w:noWrap/>
            <w:vAlign w:val="bottom"/>
          </w:tcPr>
          <w:p w:rsidR="00A12A00" w:rsidRPr="00A12A00" w:rsidRDefault="00A12A00" w:rsidP="00A12A00">
            <w:pPr>
              <w:pStyle w:val="HeadingOrange"/>
              <w:cnfStyle w:val="000000010000" w:firstRow="0" w:lastRow="0" w:firstColumn="0" w:lastColumn="0" w:oddVBand="0" w:evenVBand="0" w:oddHBand="0" w:evenHBand="1" w:firstRowFirstColumn="0" w:firstRowLastColumn="0" w:lastRowFirstColumn="0" w:lastRowLastColumn="0"/>
            </w:pPr>
            <w:r w:rsidRPr="00A12A00">
              <w:t>-</w:t>
            </w:r>
          </w:p>
        </w:tc>
        <w:tc>
          <w:tcPr>
            <w:tcW w:w="992" w:type="dxa"/>
            <w:noWrap/>
            <w:vAlign w:val="bottom"/>
          </w:tcPr>
          <w:p w:rsidR="00A12A00" w:rsidRPr="00A12A00" w:rsidRDefault="00A12A00" w:rsidP="00A12A00">
            <w:pPr>
              <w:pStyle w:val="HeadingOrange"/>
              <w:cnfStyle w:val="000000010000" w:firstRow="0" w:lastRow="0" w:firstColumn="0" w:lastColumn="0" w:oddVBand="0" w:evenVBand="0" w:oddHBand="0" w:evenHBand="1" w:firstRowFirstColumn="0" w:firstRowLastColumn="0" w:lastRowFirstColumn="0" w:lastRowLastColumn="0"/>
            </w:pPr>
            <w:r w:rsidRPr="00A12A00">
              <w:t>-</w:t>
            </w:r>
          </w:p>
        </w:tc>
        <w:tc>
          <w:tcPr>
            <w:tcW w:w="992" w:type="dxa"/>
            <w:noWrap/>
            <w:vAlign w:val="bottom"/>
          </w:tcPr>
          <w:p w:rsidR="00A12A00" w:rsidRPr="00A12A00" w:rsidRDefault="00A12A00" w:rsidP="00A12A00">
            <w:pPr>
              <w:pStyle w:val="HeadingOrange"/>
              <w:cnfStyle w:val="000000010000" w:firstRow="0" w:lastRow="0" w:firstColumn="0" w:lastColumn="0" w:oddVBand="0" w:evenVBand="0" w:oddHBand="0" w:evenHBand="1" w:firstRowFirstColumn="0" w:firstRowLastColumn="0" w:lastRowFirstColumn="0" w:lastRowLastColumn="0"/>
            </w:pPr>
            <w:r w:rsidRPr="00A12A00">
              <w:t>-</w:t>
            </w:r>
          </w:p>
        </w:tc>
        <w:tc>
          <w:tcPr>
            <w:tcW w:w="992" w:type="dxa"/>
            <w:noWrap/>
            <w:vAlign w:val="bottom"/>
          </w:tcPr>
          <w:p w:rsidR="00A12A00" w:rsidRPr="00A12A00" w:rsidRDefault="00A12A00" w:rsidP="00A12A00">
            <w:pPr>
              <w:pStyle w:val="HeadingOrange"/>
              <w:cnfStyle w:val="000000010000" w:firstRow="0" w:lastRow="0" w:firstColumn="0" w:lastColumn="0" w:oddVBand="0" w:evenVBand="0" w:oddHBand="0" w:evenHBand="1" w:firstRowFirstColumn="0" w:firstRowLastColumn="0" w:lastRowFirstColumn="0" w:lastRowLastColumn="0"/>
            </w:pPr>
            <w:r w:rsidRPr="00A12A00">
              <w:t>-</w:t>
            </w:r>
          </w:p>
        </w:tc>
      </w:tr>
      <w:tr w:rsidR="00A12A00" w:rsidRPr="0018218B" w:rsidTr="002748A6">
        <w:trPr>
          <w:trHeight w:val="300"/>
        </w:trPr>
        <w:tc>
          <w:tcPr>
            <w:cnfStyle w:val="001000000000" w:firstRow="0" w:lastRow="0" w:firstColumn="1" w:lastColumn="0" w:oddVBand="0" w:evenVBand="0" w:oddHBand="0" w:evenHBand="0" w:firstRowFirstColumn="0" w:firstRowLastColumn="0" w:lastRowFirstColumn="0" w:lastRowLastColumn="0"/>
            <w:tcW w:w="3652" w:type="dxa"/>
            <w:noWrap/>
          </w:tcPr>
          <w:p w:rsidR="00A12A00" w:rsidRPr="00A12A00" w:rsidRDefault="00A12A00" w:rsidP="00A12A00">
            <w:r w:rsidRPr="00A12A00">
              <w:t>New commercial</w:t>
            </w:r>
          </w:p>
        </w:tc>
        <w:tc>
          <w:tcPr>
            <w:tcW w:w="992" w:type="dxa"/>
            <w:noWrap/>
            <w:vAlign w:val="bottom"/>
          </w:tcPr>
          <w:p w:rsidR="00A12A00" w:rsidRPr="00A12A00" w:rsidRDefault="00A12A00" w:rsidP="00A12A00">
            <w:pPr>
              <w:pStyle w:val="HeadingOrange"/>
              <w:cnfStyle w:val="000000000000" w:firstRow="0" w:lastRow="0" w:firstColumn="0" w:lastColumn="0" w:oddVBand="0" w:evenVBand="0" w:oddHBand="0" w:evenHBand="0" w:firstRowFirstColumn="0" w:firstRowLastColumn="0" w:lastRowFirstColumn="0" w:lastRowLastColumn="0"/>
            </w:pPr>
            <w:r w:rsidRPr="00A12A00">
              <w:t>-</w:t>
            </w:r>
          </w:p>
        </w:tc>
        <w:tc>
          <w:tcPr>
            <w:tcW w:w="993" w:type="dxa"/>
            <w:noWrap/>
            <w:vAlign w:val="bottom"/>
          </w:tcPr>
          <w:p w:rsidR="00A12A00" w:rsidRPr="00A12A00" w:rsidRDefault="00A12A00" w:rsidP="00A12A00">
            <w:pPr>
              <w:pStyle w:val="HeadingOrange"/>
              <w:cnfStyle w:val="000000000000" w:firstRow="0" w:lastRow="0" w:firstColumn="0" w:lastColumn="0" w:oddVBand="0" w:evenVBand="0" w:oddHBand="0" w:evenHBand="0" w:firstRowFirstColumn="0" w:firstRowLastColumn="0" w:lastRowFirstColumn="0" w:lastRowLastColumn="0"/>
            </w:pPr>
            <w:r w:rsidRPr="00A12A00">
              <w:t>-</w:t>
            </w:r>
          </w:p>
        </w:tc>
        <w:tc>
          <w:tcPr>
            <w:tcW w:w="992" w:type="dxa"/>
            <w:noWrap/>
            <w:vAlign w:val="bottom"/>
          </w:tcPr>
          <w:p w:rsidR="00A12A00" w:rsidRPr="00A12A00" w:rsidRDefault="00A12A00" w:rsidP="00A12A00">
            <w:pPr>
              <w:pStyle w:val="HeadingOrange"/>
              <w:cnfStyle w:val="000000000000" w:firstRow="0" w:lastRow="0" w:firstColumn="0" w:lastColumn="0" w:oddVBand="0" w:evenVBand="0" w:oddHBand="0" w:evenHBand="0" w:firstRowFirstColumn="0" w:firstRowLastColumn="0" w:lastRowFirstColumn="0" w:lastRowLastColumn="0"/>
            </w:pPr>
            <w:r w:rsidRPr="00A12A00">
              <w:t>-</w:t>
            </w:r>
          </w:p>
        </w:tc>
        <w:tc>
          <w:tcPr>
            <w:tcW w:w="992" w:type="dxa"/>
            <w:noWrap/>
            <w:vAlign w:val="bottom"/>
          </w:tcPr>
          <w:p w:rsidR="00A12A00" w:rsidRPr="00A12A00" w:rsidRDefault="00A12A00" w:rsidP="00A12A00">
            <w:pPr>
              <w:pStyle w:val="HeadingOrange"/>
              <w:cnfStyle w:val="000000000000" w:firstRow="0" w:lastRow="0" w:firstColumn="0" w:lastColumn="0" w:oddVBand="0" w:evenVBand="0" w:oddHBand="0" w:evenHBand="0" w:firstRowFirstColumn="0" w:firstRowLastColumn="0" w:lastRowFirstColumn="0" w:lastRowLastColumn="0"/>
            </w:pPr>
            <w:r w:rsidRPr="00A12A00">
              <w:t>-</w:t>
            </w:r>
          </w:p>
        </w:tc>
        <w:tc>
          <w:tcPr>
            <w:tcW w:w="992" w:type="dxa"/>
            <w:noWrap/>
            <w:vAlign w:val="bottom"/>
          </w:tcPr>
          <w:p w:rsidR="00A12A00" w:rsidRPr="00A12A00" w:rsidRDefault="00A12A00" w:rsidP="00A12A00">
            <w:pPr>
              <w:pStyle w:val="HeadingOrange"/>
              <w:cnfStyle w:val="000000000000" w:firstRow="0" w:lastRow="0" w:firstColumn="0" w:lastColumn="0" w:oddVBand="0" w:evenVBand="0" w:oddHBand="0" w:evenHBand="0" w:firstRowFirstColumn="0" w:firstRowLastColumn="0" w:lastRowFirstColumn="0" w:lastRowLastColumn="0"/>
            </w:pPr>
            <w:r w:rsidRPr="00A12A00">
              <w:t>-</w:t>
            </w:r>
          </w:p>
        </w:tc>
      </w:tr>
      <w:tr w:rsidR="00A12A00" w:rsidRPr="0018218B" w:rsidTr="002748A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52" w:type="dxa"/>
            <w:noWrap/>
          </w:tcPr>
          <w:p w:rsidR="00A12A00" w:rsidRPr="00A12A00" w:rsidRDefault="00A12A00" w:rsidP="00A12A00">
            <w:pPr>
              <w:rPr>
                <w:rStyle w:val="AERsuperscript"/>
              </w:rPr>
            </w:pPr>
            <w:r w:rsidRPr="00A12A00">
              <w:t xml:space="preserve">Total </w:t>
            </w:r>
            <w:proofErr w:type="spellStart"/>
            <w:r w:rsidRPr="00A12A00">
              <w:t>commercial</w:t>
            </w:r>
            <w:r>
              <w:rPr>
                <w:rStyle w:val="AERsuperscript"/>
              </w:rPr>
              <w:t>a</w:t>
            </w:r>
            <w:proofErr w:type="spellEnd"/>
          </w:p>
        </w:tc>
        <w:tc>
          <w:tcPr>
            <w:tcW w:w="992" w:type="dxa"/>
            <w:noWra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bookmarkStart w:id="30" w:name="_Toc433930558"/>
            <w:bookmarkStart w:id="31" w:name="_Toc435427915"/>
            <w:bookmarkStart w:id="32" w:name="_Toc435450817"/>
            <w:r w:rsidRPr="00A12A00">
              <w:t>414</w:t>
            </w:r>
            <w:bookmarkEnd w:id="30"/>
            <w:bookmarkEnd w:id="31"/>
            <w:bookmarkEnd w:id="32"/>
          </w:p>
        </w:tc>
        <w:tc>
          <w:tcPr>
            <w:tcW w:w="993" w:type="dxa"/>
            <w:noWra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bookmarkStart w:id="33" w:name="_Toc433930559"/>
            <w:bookmarkStart w:id="34" w:name="_Toc435427916"/>
            <w:bookmarkStart w:id="35" w:name="_Toc435450818"/>
            <w:r w:rsidRPr="00A12A00">
              <w:t>398</w:t>
            </w:r>
            <w:bookmarkEnd w:id="33"/>
            <w:bookmarkEnd w:id="34"/>
            <w:bookmarkEnd w:id="35"/>
          </w:p>
        </w:tc>
        <w:tc>
          <w:tcPr>
            <w:tcW w:w="992" w:type="dxa"/>
            <w:noWra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bookmarkStart w:id="36" w:name="_Toc433930560"/>
            <w:bookmarkStart w:id="37" w:name="_Toc435427917"/>
            <w:bookmarkStart w:id="38" w:name="_Toc435450819"/>
            <w:r w:rsidRPr="00A12A00">
              <w:t>380</w:t>
            </w:r>
            <w:bookmarkEnd w:id="36"/>
            <w:bookmarkEnd w:id="37"/>
            <w:bookmarkEnd w:id="38"/>
          </w:p>
        </w:tc>
        <w:tc>
          <w:tcPr>
            <w:tcW w:w="992" w:type="dxa"/>
            <w:noWra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bookmarkStart w:id="39" w:name="_Toc433930561"/>
            <w:bookmarkStart w:id="40" w:name="_Toc435427918"/>
            <w:bookmarkStart w:id="41" w:name="_Toc435450820"/>
            <w:r w:rsidRPr="00A12A00">
              <w:t>366</w:t>
            </w:r>
            <w:bookmarkEnd w:id="39"/>
            <w:bookmarkEnd w:id="40"/>
            <w:bookmarkEnd w:id="41"/>
          </w:p>
        </w:tc>
        <w:tc>
          <w:tcPr>
            <w:tcW w:w="992" w:type="dxa"/>
            <w:noWra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bookmarkStart w:id="42" w:name="_Toc433930562"/>
            <w:bookmarkStart w:id="43" w:name="_Toc435427919"/>
            <w:bookmarkStart w:id="44" w:name="_Toc435450821"/>
            <w:r w:rsidRPr="00A12A00">
              <w:t>355</w:t>
            </w:r>
            <w:bookmarkEnd w:id="42"/>
            <w:bookmarkEnd w:id="43"/>
            <w:bookmarkEnd w:id="44"/>
          </w:p>
        </w:tc>
      </w:tr>
      <w:tr w:rsidR="00A12A00" w:rsidRPr="00A12A00" w:rsidTr="002748A6">
        <w:trPr>
          <w:trHeight w:val="300"/>
        </w:trPr>
        <w:tc>
          <w:tcPr>
            <w:cnfStyle w:val="001000000000" w:firstRow="0" w:lastRow="0" w:firstColumn="1" w:lastColumn="0" w:oddVBand="0" w:evenVBand="0" w:oddHBand="0" w:evenHBand="0" w:firstRowFirstColumn="0" w:firstRowLastColumn="0" w:lastRowFirstColumn="0" w:lastRowLastColumn="0"/>
            <w:tcW w:w="3652" w:type="dxa"/>
            <w:noWrap/>
          </w:tcPr>
          <w:p w:rsidR="00A12A00" w:rsidRPr="00A12A00" w:rsidRDefault="00A12A00" w:rsidP="00A12A00">
            <w:pPr>
              <w:rPr>
                <w:rStyle w:val="Strong"/>
              </w:rPr>
            </w:pPr>
            <w:r w:rsidRPr="00A12A00">
              <w:rPr>
                <w:rStyle w:val="Strong"/>
              </w:rPr>
              <w:t>Tariff D total consumption</w:t>
            </w:r>
          </w:p>
        </w:tc>
        <w:tc>
          <w:tcPr>
            <w:tcW w:w="992" w:type="dxa"/>
            <w:noWrap/>
            <w:vAlign w:val="bottom"/>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rPr>
                <w:rStyle w:val="Strong"/>
              </w:rPr>
            </w:pPr>
          </w:p>
        </w:tc>
        <w:tc>
          <w:tcPr>
            <w:tcW w:w="993" w:type="dxa"/>
            <w:noWrap/>
            <w:vAlign w:val="bottom"/>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rPr>
                <w:rStyle w:val="Strong"/>
              </w:rPr>
            </w:pPr>
          </w:p>
        </w:tc>
        <w:tc>
          <w:tcPr>
            <w:tcW w:w="992" w:type="dxa"/>
            <w:noWrap/>
            <w:vAlign w:val="bottom"/>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rPr>
                <w:rStyle w:val="Strong"/>
              </w:rPr>
            </w:pPr>
          </w:p>
        </w:tc>
        <w:tc>
          <w:tcPr>
            <w:tcW w:w="992" w:type="dxa"/>
            <w:noWrap/>
            <w:vAlign w:val="bottom"/>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rPr>
                <w:rStyle w:val="Strong"/>
              </w:rPr>
            </w:pPr>
          </w:p>
        </w:tc>
        <w:tc>
          <w:tcPr>
            <w:tcW w:w="992" w:type="dxa"/>
            <w:noWrap/>
            <w:vAlign w:val="bottom"/>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rPr>
                <w:rStyle w:val="Strong"/>
              </w:rPr>
            </w:pPr>
          </w:p>
        </w:tc>
      </w:tr>
      <w:tr w:rsidR="00A12A00" w:rsidRPr="0018218B" w:rsidTr="002748A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52" w:type="dxa"/>
            <w:noWrap/>
          </w:tcPr>
          <w:p w:rsidR="00A12A00" w:rsidRPr="00A12A00" w:rsidRDefault="00A12A00" w:rsidP="00A12A00">
            <w:r w:rsidRPr="00A12A00">
              <w:t>MDQ</w:t>
            </w:r>
          </w:p>
        </w:tc>
        <w:tc>
          <w:tcPr>
            <w:tcW w:w="992" w:type="dxa"/>
            <w:noWra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bookmarkStart w:id="45" w:name="_Toc433930563"/>
            <w:bookmarkStart w:id="46" w:name="_Toc435427920"/>
            <w:bookmarkStart w:id="47" w:name="_Toc435450822"/>
            <w:r w:rsidRPr="00A12A00">
              <w:t>7,951</w:t>
            </w:r>
            <w:bookmarkEnd w:id="45"/>
            <w:bookmarkEnd w:id="46"/>
            <w:bookmarkEnd w:id="47"/>
            <w:r w:rsidRPr="00A12A00">
              <w:t xml:space="preserve"> </w:t>
            </w:r>
          </w:p>
        </w:tc>
        <w:tc>
          <w:tcPr>
            <w:tcW w:w="993" w:type="dxa"/>
            <w:noWra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bookmarkStart w:id="48" w:name="_Toc433930564"/>
            <w:bookmarkStart w:id="49" w:name="_Toc435427921"/>
            <w:bookmarkStart w:id="50" w:name="_Toc435450823"/>
            <w:r w:rsidRPr="00A12A00">
              <w:t>7,956</w:t>
            </w:r>
            <w:bookmarkEnd w:id="48"/>
            <w:bookmarkEnd w:id="49"/>
            <w:bookmarkEnd w:id="50"/>
            <w:r w:rsidRPr="00A12A00">
              <w:t xml:space="preserve"> </w:t>
            </w:r>
          </w:p>
        </w:tc>
        <w:tc>
          <w:tcPr>
            <w:tcW w:w="992" w:type="dxa"/>
            <w:noWra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bookmarkStart w:id="51" w:name="_Toc433930565"/>
            <w:bookmarkStart w:id="52" w:name="_Toc435427922"/>
            <w:bookmarkStart w:id="53" w:name="_Toc435450824"/>
            <w:r w:rsidRPr="00A12A00">
              <w:t>8,201</w:t>
            </w:r>
            <w:bookmarkEnd w:id="51"/>
            <w:bookmarkEnd w:id="52"/>
            <w:bookmarkEnd w:id="53"/>
            <w:r w:rsidRPr="00A12A00">
              <w:t xml:space="preserve"> </w:t>
            </w:r>
          </w:p>
        </w:tc>
        <w:tc>
          <w:tcPr>
            <w:tcW w:w="992" w:type="dxa"/>
            <w:noWra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bookmarkStart w:id="54" w:name="_Toc433930566"/>
            <w:bookmarkStart w:id="55" w:name="_Toc435427923"/>
            <w:bookmarkStart w:id="56" w:name="_Toc435450825"/>
            <w:r w:rsidRPr="00A12A00">
              <w:t>8,206</w:t>
            </w:r>
            <w:bookmarkEnd w:id="54"/>
            <w:bookmarkEnd w:id="55"/>
            <w:bookmarkEnd w:id="56"/>
          </w:p>
        </w:tc>
        <w:tc>
          <w:tcPr>
            <w:tcW w:w="992" w:type="dxa"/>
            <w:noWra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bookmarkStart w:id="57" w:name="_Toc433930567"/>
            <w:bookmarkStart w:id="58" w:name="_Toc435427924"/>
            <w:bookmarkStart w:id="59" w:name="_Toc435450826"/>
            <w:r w:rsidRPr="00A12A00">
              <w:t>8,211</w:t>
            </w:r>
            <w:bookmarkEnd w:id="57"/>
            <w:bookmarkEnd w:id="58"/>
            <w:bookmarkEnd w:id="59"/>
          </w:p>
        </w:tc>
      </w:tr>
      <w:tr w:rsidR="00A12A00" w:rsidRPr="0018218B" w:rsidTr="002748A6">
        <w:trPr>
          <w:trHeight w:val="300"/>
        </w:trPr>
        <w:tc>
          <w:tcPr>
            <w:cnfStyle w:val="001000000000" w:firstRow="0" w:lastRow="0" w:firstColumn="1" w:lastColumn="0" w:oddVBand="0" w:evenVBand="0" w:oddHBand="0" w:evenHBand="0" w:firstRowFirstColumn="0" w:firstRowLastColumn="0" w:lastRowFirstColumn="0" w:lastRowLastColumn="0"/>
            <w:tcW w:w="3652" w:type="dxa"/>
            <w:noWrap/>
          </w:tcPr>
          <w:p w:rsidR="00A12A00" w:rsidRPr="00A12A00" w:rsidRDefault="00A12A00" w:rsidP="00A12A00">
            <w:r w:rsidRPr="00A12A00">
              <w:t>ACQ (GJ)</w:t>
            </w:r>
          </w:p>
        </w:tc>
        <w:tc>
          <w:tcPr>
            <w:tcW w:w="992" w:type="dxa"/>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bookmarkStart w:id="60" w:name="_Toc433930568"/>
            <w:bookmarkStart w:id="61" w:name="_Toc435427925"/>
            <w:bookmarkStart w:id="62" w:name="_Toc435450827"/>
            <w:r w:rsidRPr="00A12A00">
              <w:t>1,185,399</w:t>
            </w:r>
            <w:bookmarkEnd w:id="60"/>
            <w:bookmarkEnd w:id="61"/>
            <w:bookmarkEnd w:id="62"/>
            <w:r w:rsidRPr="00A12A00">
              <w:t xml:space="preserve"> </w:t>
            </w:r>
          </w:p>
        </w:tc>
        <w:tc>
          <w:tcPr>
            <w:tcW w:w="993" w:type="dxa"/>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bookmarkStart w:id="63" w:name="_Toc433930569"/>
            <w:bookmarkStart w:id="64" w:name="_Toc435427926"/>
            <w:bookmarkStart w:id="65" w:name="_Toc435450828"/>
            <w:r w:rsidRPr="00A12A00">
              <w:t>1,185,769</w:t>
            </w:r>
            <w:bookmarkEnd w:id="63"/>
            <w:bookmarkEnd w:id="64"/>
            <w:bookmarkEnd w:id="65"/>
          </w:p>
        </w:tc>
        <w:tc>
          <w:tcPr>
            <w:tcW w:w="992" w:type="dxa"/>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bookmarkStart w:id="66" w:name="_Toc433930570"/>
            <w:bookmarkStart w:id="67" w:name="_Toc435427927"/>
            <w:bookmarkStart w:id="68" w:name="_Toc435450829"/>
            <w:r w:rsidRPr="00A12A00">
              <w:t>1,231,356</w:t>
            </w:r>
            <w:bookmarkEnd w:id="66"/>
            <w:bookmarkEnd w:id="67"/>
            <w:bookmarkEnd w:id="68"/>
            <w:r w:rsidRPr="00A12A00">
              <w:t xml:space="preserve"> </w:t>
            </w:r>
          </w:p>
        </w:tc>
        <w:tc>
          <w:tcPr>
            <w:tcW w:w="992" w:type="dxa"/>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bookmarkStart w:id="69" w:name="_Toc433930571"/>
            <w:bookmarkStart w:id="70" w:name="_Toc435427928"/>
            <w:bookmarkStart w:id="71" w:name="_Toc435450830"/>
            <w:r w:rsidRPr="00A12A00">
              <w:t>1,231,764</w:t>
            </w:r>
            <w:bookmarkEnd w:id="69"/>
            <w:bookmarkEnd w:id="70"/>
            <w:bookmarkEnd w:id="71"/>
          </w:p>
        </w:tc>
        <w:tc>
          <w:tcPr>
            <w:tcW w:w="992" w:type="dxa"/>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bookmarkStart w:id="72" w:name="_Toc433930572"/>
            <w:bookmarkStart w:id="73" w:name="_Toc435427929"/>
            <w:bookmarkStart w:id="74" w:name="_Toc435450831"/>
            <w:r w:rsidRPr="00A12A00">
              <w:t>1,232,191</w:t>
            </w:r>
            <w:bookmarkEnd w:id="72"/>
            <w:bookmarkEnd w:id="73"/>
            <w:bookmarkEnd w:id="74"/>
          </w:p>
        </w:tc>
      </w:tr>
    </w:tbl>
    <w:p w:rsidR="00A12A00" w:rsidRPr="00A12A00" w:rsidRDefault="00A12A00" w:rsidP="00A12A00">
      <w:pPr>
        <w:pStyle w:val="AERtablesource"/>
      </w:pPr>
      <w:r w:rsidRPr="00A12A00">
        <w:t xml:space="preserve">Source: </w:t>
      </w:r>
      <w:r w:rsidRPr="00A12A00">
        <w:tab/>
        <w:t>AER analysis.</w:t>
      </w:r>
    </w:p>
    <w:p w:rsidR="00A12A00" w:rsidRPr="00A12A00" w:rsidRDefault="00A12A00" w:rsidP="00A12A00">
      <w:pPr>
        <w:pStyle w:val="AERtablesource"/>
      </w:pPr>
      <w:r w:rsidRPr="00A12A00">
        <w:t>Notes:</w:t>
      </w:r>
      <w:r w:rsidRPr="00A12A00">
        <w:tab/>
        <w:t>(a) This adjusts for tariff D movements.</w:t>
      </w:r>
    </w:p>
    <w:p w:rsidR="00A12A00" w:rsidRPr="00A12A00" w:rsidRDefault="00AA1662" w:rsidP="00AA1662">
      <w:pPr>
        <w:pStyle w:val="Caption"/>
      </w:pPr>
      <w:bookmarkStart w:id="75" w:name="_Ref450655881"/>
      <w:proofErr w:type="gramStart"/>
      <w:r>
        <w:t xml:space="preserve">Table </w:t>
      </w:r>
      <w:proofErr w:type="gramEnd"/>
      <w:r>
        <w:fldChar w:fldCharType="begin"/>
      </w:r>
      <w:r>
        <w:instrText xml:space="preserve"> STYLEREF 1 \s </w:instrText>
      </w:r>
      <w:r>
        <w:fldChar w:fldCharType="separate"/>
      </w:r>
      <w:r w:rsidR="00E022CC">
        <w:rPr>
          <w:noProof/>
        </w:rPr>
        <w:t>13</w:t>
      </w:r>
      <w:r>
        <w:fldChar w:fldCharType="end"/>
      </w:r>
      <w:proofErr w:type="gramStart"/>
      <w:r>
        <w:t>.</w:t>
      </w:r>
      <w:proofErr w:type="gramEnd"/>
      <w:r>
        <w:fldChar w:fldCharType="begin"/>
      </w:r>
      <w:r>
        <w:instrText xml:space="preserve"> SEQ Table \* ARABIC \s 1 </w:instrText>
      </w:r>
      <w:r>
        <w:fldChar w:fldCharType="separate"/>
      </w:r>
      <w:r w:rsidR="00E022CC">
        <w:rPr>
          <w:noProof/>
        </w:rPr>
        <w:t>2</w:t>
      </w:r>
      <w:r>
        <w:fldChar w:fldCharType="end"/>
      </w:r>
      <w:bookmarkEnd w:id="75"/>
      <w:r w:rsidR="00A12A00" w:rsidRPr="00A12A00">
        <w:tab/>
        <w:t xml:space="preserve">Final decision on total connections, new connections and disconnection numbers </w:t>
      </w:r>
    </w:p>
    <w:tbl>
      <w:tblPr>
        <w:tblStyle w:val="AERtable-numbers"/>
        <w:tblW w:w="5000" w:type="pct"/>
        <w:tblLayout w:type="fixed"/>
        <w:tblLook w:val="04A0" w:firstRow="1" w:lastRow="0" w:firstColumn="1" w:lastColumn="0" w:noHBand="0" w:noVBand="1"/>
      </w:tblPr>
      <w:tblGrid>
        <w:gridCol w:w="3255"/>
        <w:gridCol w:w="1087"/>
        <w:gridCol w:w="1088"/>
        <w:gridCol w:w="1088"/>
        <w:gridCol w:w="1088"/>
        <w:gridCol w:w="1087"/>
      </w:tblGrid>
      <w:tr w:rsidR="00A12A00" w:rsidRPr="0018218B" w:rsidTr="002748A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2" w:type="pct"/>
            <w:noWrap/>
            <w:hideMark/>
          </w:tcPr>
          <w:p w:rsidR="00A12A00" w:rsidRPr="00A12A00" w:rsidRDefault="00A12A00" w:rsidP="00A12A00"/>
        </w:tc>
        <w:tc>
          <w:tcPr>
            <w:tcW w:w="625" w:type="pct"/>
            <w:noWrap/>
            <w:hideMark/>
          </w:tcPr>
          <w:p w:rsidR="00A12A00" w:rsidRPr="00A12A00" w:rsidRDefault="00A12A00" w:rsidP="00A12A00">
            <w:pPr>
              <w:cnfStyle w:val="100000000000" w:firstRow="1" w:lastRow="0" w:firstColumn="0" w:lastColumn="0" w:oddVBand="0" w:evenVBand="0" w:oddHBand="0" w:evenHBand="0" w:firstRowFirstColumn="0" w:firstRowLastColumn="0" w:lastRowFirstColumn="0" w:lastRowLastColumn="0"/>
            </w:pPr>
            <w:r w:rsidRPr="00A12A00">
              <w:t>2016–17</w:t>
            </w:r>
          </w:p>
        </w:tc>
        <w:tc>
          <w:tcPr>
            <w:tcW w:w="626" w:type="pct"/>
            <w:noWrap/>
            <w:hideMark/>
          </w:tcPr>
          <w:p w:rsidR="00A12A00" w:rsidRPr="00A12A00" w:rsidRDefault="00A12A00" w:rsidP="00A12A00">
            <w:pPr>
              <w:cnfStyle w:val="100000000000" w:firstRow="1" w:lastRow="0" w:firstColumn="0" w:lastColumn="0" w:oddVBand="0" w:evenVBand="0" w:oddHBand="0" w:evenHBand="0" w:firstRowFirstColumn="0" w:firstRowLastColumn="0" w:lastRowFirstColumn="0" w:lastRowLastColumn="0"/>
            </w:pPr>
            <w:r w:rsidRPr="00A12A00">
              <w:t>2017–18</w:t>
            </w:r>
          </w:p>
        </w:tc>
        <w:tc>
          <w:tcPr>
            <w:tcW w:w="626" w:type="pct"/>
            <w:noWrap/>
            <w:hideMark/>
          </w:tcPr>
          <w:p w:rsidR="00A12A00" w:rsidRPr="00A12A00" w:rsidRDefault="00A12A00" w:rsidP="00A12A00">
            <w:pPr>
              <w:cnfStyle w:val="100000000000" w:firstRow="1" w:lastRow="0" w:firstColumn="0" w:lastColumn="0" w:oddVBand="0" w:evenVBand="0" w:oddHBand="0" w:evenHBand="0" w:firstRowFirstColumn="0" w:firstRowLastColumn="0" w:lastRowFirstColumn="0" w:lastRowLastColumn="0"/>
            </w:pPr>
            <w:r w:rsidRPr="00A12A00">
              <w:t>2018–19</w:t>
            </w:r>
          </w:p>
        </w:tc>
        <w:tc>
          <w:tcPr>
            <w:tcW w:w="626" w:type="pct"/>
            <w:noWrap/>
            <w:hideMark/>
          </w:tcPr>
          <w:p w:rsidR="00A12A00" w:rsidRPr="00A12A00" w:rsidRDefault="00A12A00" w:rsidP="00A12A00">
            <w:pPr>
              <w:cnfStyle w:val="100000000000" w:firstRow="1" w:lastRow="0" w:firstColumn="0" w:lastColumn="0" w:oddVBand="0" w:evenVBand="0" w:oddHBand="0" w:evenHBand="0" w:firstRowFirstColumn="0" w:firstRowLastColumn="0" w:lastRowFirstColumn="0" w:lastRowLastColumn="0"/>
            </w:pPr>
            <w:r w:rsidRPr="00A12A00">
              <w:t>2019–20</w:t>
            </w:r>
          </w:p>
        </w:tc>
        <w:tc>
          <w:tcPr>
            <w:tcW w:w="625" w:type="pct"/>
            <w:noWrap/>
            <w:hideMark/>
          </w:tcPr>
          <w:p w:rsidR="00A12A00" w:rsidRPr="00A12A00" w:rsidRDefault="00A12A00" w:rsidP="00A12A00">
            <w:pPr>
              <w:cnfStyle w:val="100000000000" w:firstRow="1" w:lastRow="0" w:firstColumn="0" w:lastColumn="0" w:oddVBand="0" w:evenVBand="0" w:oddHBand="0" w:evenHBand="0" w:firstRowFirstColumn="0" w:firstRowLastColumn="0" w:lastRowFirstColumn="0" w:lastRowLastColumn="0"/>
            </w:pPr>
            <w:r w:rsidRPr="00A12A00">
              <w:t>2020–21</w:t>
            </w:r>
          </w:p>
        </w:tc>
      </w:tr>
      <w:tr w:rsidR="00A12A00" w:rsidRPr="0018218B" w:rsidTr="002748A6">
        <w:trPr>
          <w:trHeight w:val="300"/>
        </w:trPr>
        <w:tc>
          <w:tcPr>
            <w:cnfStyle w:val="001000000000" w:firstRow="0" w:lastRow="0" w:firstColumn="1" w:lastColumn="0" w:oddVBand="0" w:evenVBand="0" w:oddHBand="0" w:evenHBand="0" w:firstRowFirstColumn="0" w:firstRowLastColumn="0" w:lastRowFirstColumn="0" w:lastRowLastColumn="0"/>
            <w:tcW w:w="1872" w:type="pct"/>
            <w:noWrap/>
          </w:tcPr>
          <w:p w:rsidR="00A12A00" w:rsidRPr="00A12A00" w:rsidRDefault="00A12A00" w:rsidP="00A12A00">
            <w:pPr>
              <w:pStyle w:val="HeadingOrange"/>
            </w:pPr>
            <w:r w:rsidRPr="00A12A00">
              <w:t>Total connections</w:t>
            </w:r>
          </w:p>
        </w:tc>
        <w:tc>
          <w:tcPr>
            <w:tcW w:w="625" w:type="pct"/>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p>
        </w:tc>
        <w:tc>
          <w:tcPr>
            <w:tcW w:w="626" w:type="pct"/>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p>
        </w:tc>
        <w:tc>
          <w:tcPr>
            <w:tcW w:w="626" w:type="pct"/>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p>
        </w:tc>
        <w:tc>
          <w:tcPr>
            <w:tcW w:w="626" w:type="pct"/>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p>
        </w:tc>
        <w:tc>
          <w:tcPr>
            <w:tcW w:w="625" w:type="pct"/>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p>
        </w:tc>
      </w:tr>
      <w:tr w:rsidR="00A12A00" w:rsidRPr="00FE595E" w:rsidTr="002748A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2" w:type="pct"/>
            <w:noWrap/>
          </w:tcPr>
          <w:p w:rsidR="00A12A00" w:rsidRPr="00A12A00" w:rsidRDefault="00A12A00" w:rsidP="00A12A00">
            <w:r w:rsidRPr="00A12A00">
              <w:t>Residential</w:t>
            </w:r>
          </w:p>
        </w:tc>
        <w:tc>
          <w:tcPr>
            <w:tcW w:w="625" w:type="pct"/>
            <w:noWrap/>
            <w:vAlign w:val="to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139,287</w:t>
            </w:r>
          </w:p>
        </w:tc>
        <w:tc>
          <w:tcPr>
            <w:tcW w:w="626" w:type="pct"/>
            <w:noWrap/>
            <w:vAlign w:val="to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142,272</w:t>
            </w:r>
          </w:p>
        </w:tc>
        <w:tc>
          <w:tcPr>
            <w:tcW w:w="626" w:type="pct"/>
            <w:noWrap/>
            <w:vAlign w:val="to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145,239</w:t>
            </w:r>
          </w:p>
        </w:tc>
        <w:tc>
          <w:tcPr>
            <w:tcW w:w="626" w:type="pct"/>
            <w:noWrap/>
            <w:vAlign w:val="to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148,473</w:t>
            </w:r>
          </w:p>
        </w:tc>
        <w:tc>
          <w:tcPr>
            <w:tcW w:w="625" w:type="pct"/>
            <w:noWrap/>
            <w:vAlign w:val="to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151,406</w:t>
            </w:r>
          </w:p>
        </w:tc>
      </w:tr>
      <w:tr w:rsidR="00A12A00" w:rsidRPr="0018218B" w:rsidTr="002748A6">
        <w:trPr>
          <w:trHeight w:val="300"/>
        </w:trPr>
        <w:tc>
          <w:tcPr>
            <w:cnfStyle w:val="001000000000" w:firstRow="0" w:lastRow="0" w:firstColumn="1" w:lastColumn="0" w:oddVBand="0" w:evenVBand="0" w:oddHBand="0" w:evenHBand="0" w:firstRowFirstColumn="0" w:firstRowLastColumn="0" w:lastRowFirstColumn="0" w:lastRowLastColumn="0"/>
            <w:tcW w:w="1872" w:type="pct"/>
            <w:noWrap/>
          </w:tcPr>
          <w:p w:rsidR="00A12A00" w:rsidRPr="00A12A00" w:rsidRDefault="00A12A00" w:rsidP="00A12A00">
            <w:r w:rsidRPr="00A12A00">
              <w:t xml:space="preserve">Commercial  </w:t>
            </w:r>
          </w:p>
        </w:tc>
        <w:tc>
          <w:tcPr>
            <w:tcW w:w="625" w:type="pct"/>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bookmarkStart w:id="76" w:name="_Toc433930578"/>
            <w:bookmarkStart w:id="77" w:name="_Toc435427935"/>
            <w:bookmarkStart w:id="78" w:name="_Toc435450837"/>
            <w:r w:rsidRPr="00A12A00">
              <w:t>3,572</w:t>
            </w:r>
            <w:bookmarkEnd w:id="76"/>
            <w:bookmarkEnd w:id="77"/>
            <w:bookmarkEnd w:id="78"/>
            <w:r w:rsidRPr="00A12A00">
              <w:t xml:space="preserve"> </w:t>
            </w:r>
          </w:p>
        </w:tc>
        <w:tc>
          <w:tcPr>
            <w:tcW w:w="626" w:type="pct"/>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bookmarkStart w:id="79" w:name="_Toc433930579"/>
            <w:bookmarkStart w:id="80" w:name="_Toc435427936"/>
            <w:bookmarkStart w:id="81" w:name="_Toc435450838"/>
            <w:r w:rsidRPr="00A12A00">
              <w:t>3,680</w:t>
            </w:r>
            <w:bookmarkEnd w:id="79"/>
            <w:bookmarkEnd w:id="80"/>
            <w:bookmarkEnd w:id="81"/>
            <w:r w:rsidRPr="00A12A00">
              <w:t xml:space="preserve"> </w:t>
            </w:r>
          </w:p>
        </w:tc>
        <w:tc>
          <w:tcPr>
            <w:tcW w:w="626" w:type="pct"/>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bookmarkStart w:id="82" w:name="_Toc433930580"/>
            <w:bookmarkStart w:id="83" w:name="_Toc435427937"/>
            <w:bookmarkStart w:id="84" w:name="_Toc435450839"/>
            <w:r w:rsidRPr="00A12A00">
              <w:t>3,792</w:t>
            </w:r>
            <w:bookmarkEnd w:id="82"/>
            <w:bookmarkEnd w:id="83"/>
            <w:bookmarkEnd w:id="84"/>
            <w:r w:rsidRPr="00A12A00">
              <w:t xml:space="preserve"> </w:t>
            </w:r>
          </w:p>
        </w:tc>
        <w:tc>
          <w:tcPr>
            <w:tcW w:w="626" w:type="pct"/>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bookmarkStart w:id="85" w:name="_Toc433930581"/>
            <w:bookmarkStart w:id="86" w:name="_Toc435427938"/>
            <w:bookmarkStart w:id="87" w:name="_Toc435450840"/>
            <w:r w:rsidRPr="00A12A00">
              <w:t>3,907</w:t>
            </w:r>
            <w:bookmarkEnd w:id="85"/>
            <w:bookmarkEnd w:id="86"/>
            <w:bookmarkEnd w:id="87"/>
            <w:r w:rsidRPr="00A12A00">
              <w:t xml:space="preserve"> </w:t>
            </w:r>
          </w:p>
        </w:tc>
        <w:tc>
          <w:tcPr>
            <w:tcW w:w="625" w:type="pct"/>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bookmarkStart w:id="88" w:name="_Toc433930582"/>
            <w:bookmarkStart w:id="89" w:name="_Toc435427939"/>
            <w:bookmarkStart w:id="90" w:name="_Toc435450841"/>
            <w:r w:rsidRPr="00A12A00">
              <w:t>4,025</w:t>
            </w:r>
            <w:bookmarkEnd w:id="88"/>
            <w:bookmarkEnd w:id="89"/>
            <w:bookmarkEnd w:id="90"/>
            <w:r w:rsidRPr="00A12A00">
              <w:t xml:space="preserve"> </w:t>
            </w:r>
          </w:p>
        </w:tc>
      </w:tr>
      <w:tr w:rsidR="00A12A00" w:rsidRPr="0018218B" w:rsidTr="002748A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2" w:type="pct"/>
            <w:noWrap/>
          </w:tcPr>
          <w:p w:rsidR="00A12A00" w:rsidRPr="00A12A00" w:rsidRDefault="00A12A00" w:rsidP="00A12A00">
            <w:r w:rsidRPr="00A12A00">
              <w:t xml:space="preserve">Tariff D </w:t>
            </w:r>
          </w:p>
        </w:tc>
        <w:tc>
          <w:tcPr>
            <w:tcW w:w="625" w:type="pct"/>
            <w:noWra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bookmarkStart w:id="91" w:name="_Toc433930583"/>
            <w:bookmarkStart w:id="92" w:name="_Toc435427940"/>
            <w:bookmarkStart w:id="93" w:name="_Toc435450842"/>
            <w:r w:rsidRPr="00A12A00">
              <w:t>40</w:t>
            </w:r>
            <w:bookmarkEnd w:id="91"/>
            <w:bookmarkEnd w:id="92"/>
            <w:bookmarkEnd w:id="93"/>
            <w:r w:rsidRPr="00A12A00">
              <w:t xml:space="preserve"> </w:t>
            </w:r>
          </w:p>
        </w:tc>
        <w:tc>
          <w:tcPr>
            <w:tcW w:w="626" w:type="pct"/>
            <w:noWra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bookmarkStart w:id="94" w:name="_Toc433930584"/>
            <w:bookmarkStart w:id="95" w:name="_Toc435427941"/>
            <w:bookmarkStart w:id="96" w:name="_Toc435450843"/>
            <w:r w:rsidRPr="00A12A00">
              <w:t>40</w:t>
            </w:r>
            <w:bookmarkEnd w:id="94"/>
            <w:bookmarkEnd w:id="95"/>
            <w:bookmarkEnd w:id="96"/>
            <w:r w:rsidRPr="00A12A00">
              <w:t xml:space="preserve"> </w:t>
            </w:r>
          </w:p>
        </w:tc>
        <w:tc>
          <w:tcPr>
            <w:tcW w:w="626" w:type="pct"/>
            <w:noWra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bookmarkStart w:id="97" w:name="_Toc433930585"/>
            <w:bookmarkStart w:id="98" w:name="_Toc435427942"/>
            <w:bookmarkStart w:id="99" w:name="_Toc435450844"/>
            <w:r w:rsidRPr="00A12A00">
              <w:t>40</w:t>
            </w:r>
            <w:bookmarkEnd w:id="97"/>
            <w:bookmarkEnd w:id="98"/>
            <w:bookmarkEnd w:id="99"/>
            <w:r w:rsidRPr="00A12A00">
              <w:t xml:space="preserve"> </w:t>
            </w:r>
          </w:p>
        </w:tc>
        <w:tc>
          <w:tcPr>
            <w:tcW w:w="626" w:type="pct"/>
            <w:noWra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bookmarkStart w:id="100" w:name="_Toc433930586"/>
            <w:bookmarkStart w:id="101" w:name="_Toc435427943"/>
            <w:bookmarkStart w:id="102" w:name="_Toc435450845"/>
            <w:r w:rsidRPr="00A12A00">
              <w:t>40</w:t>
            </w:r>
            <w:bookmarkEnd w:id="100"/>
            <w:bookmarkEnd w:id="101"/>
            <w:bookmarkEnd w:id="102"/>
            <w:r w:rsidRPr="00A12A00">
              <w:t xml:space="preserve"> </w:t>
            </w:r>
          </w:p>
        </w:tc>
        <w:tc>
          <w:tcPr>
            <w:tcW w:w="625" w:type="pct"/>
            <w:noWra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bookmarkStart w:id="103" w:name="_Toc433930587"/>
            <w:bookmarkStart w:id="104" w:name="_Toc435427944"/>
            <w:bookmarkStart w:id="105" w:name="_Toc435450846"/>
            <w:r w:rsidRPr="00A12A00">
              <w:t>40</w:t>
            </w:r>
            <w:bookmarkEnd w:id="103"/>
            <w:bookmarkEnd w:id="104"/>
            <w:bookmarkEnd w:id="105"/>
            <w:r w:rsidRPr="00A12A00">
              <w:t xml:space="preserve"> </w:t>
            </w:r>
          </w:p>
        </w:tc>
      </w:tr>
      <w:tr w:rsidR="00A12A00" w:rsidRPr="0018218B" w:rsidTr="002748A6">
        <w:trPr>
          <w:trHeight w:val="300"/>
        </w:trPr>
        <w:tc>
          <w:tcPr>
            <w:cnfStyle w:val="001000000000" w:firstRow="0" w:lastRow="0" w:firstColumn="1" w:lastColumn="0" w:oddVBand="0" w:evenVBand="0" w:oddHBand="0" w:evenHBand="0" w:firstRowFirstColumn="0" w:firstRowLastColumn="0" w:lastRowFirstColumn="0" w:lastRowLastColumn="0"/>
            <w:tcW w:w="1872" w:type="pct"/>
            <w:noWrap/>
          </w:tcPr>
          <w:p w:rsidR="00A12A00" w:rsidRPr="00A12A00" w:rsidRDefault="00A12A00" w:rsidP="00A12A00">
            <w:pPr>
              <w:pStyle w:val="HeadingOrange"/>
              <w:rPr>
                <w:rStyle w:val="AERtextitalic"/>
              </w:rPr>
            </w:pPr>
            <w:r w:rsidRPr="00A12A00">
              <w:t>New connections</w:t>
            </w:r>
          </w:p>
        </w:tc>
        <w:tc>
          <w:tcPr>
            <w:tcW w:w="625" w:type="pct"/>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p>
        </w:tc>
        <w:tc>
          <w:tcPr>
            <w:tcW w:w="626" w:type="pct"/>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p>
        </w:tc>
        <w:tc>
          <w:tcPr>
            <w:tcW w:w="626" w:type="pct"/>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p>
        </w:tc>
        <w:tc>
          <w:tcPr>
            <w:tcW w:w="626" w:type="pct"/>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p>
        </w:tc>
        <w:tc>
          <w:tcPr>
            <w:tcW w:w="625" w:type="pct"/>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p>
        </w:tc>
      </w:tr>
      <w:tr w:rsidR="00A12A00" w:rsidRPr="00FE595E" w:rsidTr="002748A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2" w:type="pct"/>
            <w:noWrap/>
          </w:tcPr>
          <w:p w:rsidR="00A12A00" w:rsidRPr="00A12A00" w:rsidRDefault="00A12A00" w:rsidP="00A12A00">
            <w:r w:rsidRPr="00A12A00">
              <w:t>Existing connections from FY2014</w:t>
            </w:r>
          </w:p>
        </w:tc>
        <w:tc>
          <w:tcPr>
            <w:tcW w:w="625" w:type="pct"/>
            <w:noWrap/>
            <w:vAlign w:val="to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 xml:space="preserve"> 128,324 </w:t>
            </w:r>
          </w:p>
        </w:tc>
        <w:tc>
          <w:tcPr>
            <w:tcW w:w="626" w:type="pct"/>
            <w:noWrap/>
            <w:vAlign w:val="to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 xml:space="preserve"> 127,271 </w:t>
            </w:r>
          </w:p>
        </w:tc>
        <w:tc>
          <w:tcPr>
            <w:tcW w:w="626" w:type="pct"/>
            <w:noWrap/>
            <w:vAlign w:val="to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 xml:space="preserve"> 126,203 </w:t>
            </w:r>
          </w:p>
        </w:tc>
        <w:tc>
          <w:tcPr>
            <w:tcW w:w="626" w:type="pct"/>
            <w:noWrap/>
            <w:vAlign w:val="to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 xml:space="preserve"> 125,402 </w:t>
            </w:r>
          </w:p>
        </w:tc>
        <w:tc>
          <w:tcPr>
            <w:tcW w:w="625" w:type="pct"/>
            <w:noWrap/>
            <w:vAlign w:val="to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 xml:space="preserve"> 124,583 </w:t>
            </w:r>
          </w:p>
        </w:tc>
      </w:tr>
      <w:tr w:rsidR="00A12A00" w:rsidRPr="00FE595E" w:rsidTr="002748A6">
        <w:trPr>
          <w:trHeight w:val="300"/>
        </w:trPr>
        <w:tc>
          <w:tcPr>
            <w:cnfStyle w:val="001000000000" w:firstRow="0" w:lastRow="0" w:firstColumn="1" w:lastColumn="0" w:oddVBand="0" w:evenVBand="0" w:oddHBand="0" w:evenHBand="0" w:firstRowFirstColumn="0" w:firstRowLastColumn="0" w:lastRowFirstColumn="0" w:lastRowLastColumn="0"/>
            <w:tcW w:w="1872" w:type="pct"/>
            <w:noWrap/>
          </w:tcPr>
          <w:p w:rsidR="00A12A00" w:rsidRPr="00A12A00" w:rsidRDefault="00A12A00" w:rsidP="00A12A00">
            <w:r w:rsidRPr="00A12A00">
              <w:t xml:space="preserve">Electricity to </w:t>
            </w:r>
            <w:proofErr w:type="spellStart"/>
            <w:r w:rsidRPr="00A12A00">
              <w:t>gas</w:t>
            </w:r>
            <w:r w:rsidRPr="00A12A00">
              <w:rPr>
                <w:rStyle w:val="AERsuperscript"/>
              </w:rPr>
              <w:t>a</w:t>
            </w:r>
            <w:proofErr w:type="spellEnd"/>
          </w:p>
        </w:tc>
        <w:tc>
          <w:tcPr>
            <w:tcW w:w="625" w:type="pct"/>
            <w:noWrap/>
            <w:vAlign w:val="to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r w:rsidRPr="00A12A00">
              <w:t>700</w:t>
            </w:r>
          </w:p>
        </w:tc>
        <w:tc>
          <w:tcPr>
            <w:tcW w:w="626" w:type="pct"/>
            <w:noWrap/>
            <w:vAlign w:val="to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r w:rsidRPr="00A12A00">
              <w:t>700</w:t>
            </w:r>
          </w:p>
        </w:tc>
        <w:tc>
          <w:tcPr>
            <w:tcW w:w="626" w:type="pct"/>
            <w:noWrap/>
            <w:vAlign w:val="to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r w:rsidRPr="00A12A00">
              <w:t>700</w:t>
            </w:r>
          </w:p>
        </w:tc>
        <w:tc>
          <w:tcPr>
            <w:tcW w:w="626" w:type="pct"/>
            <w:noWrap/>
            <w:vAlign w:val="to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r w:rsidRPr="00A12A00">
              <w:t>700</w:t>
            </w:r>
          </w:p>
        </w:tc>
        <w:tc>
          <w:tcPr>
            <w:tcW w:w="625" w:type="pct"/>
            <w:noWrap/>
            <w:vAlign w:val="to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r w:rsidRPr="00A12A00">
              <w:t>700</w:t>
            </w:r>
          </w:p>
        </w:tc>
      </w:tr>
      <w:tr w:rsidR="00A12A00" w:rsidRPr="00FE595E" w:rsidTr="002748A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2" w:type="pct"/>
            <w:noWrap/>
          </w:tcPr>
          <w:p w:rsidR="00A12A00" w:rsidRPr="00A12A00" w:rsidRDefault="00A12A00" w:rsidP="00A12A00">
            <w:r w:rsidRPr="00A12A00">
              <w:t>New estates</w:t>
            </w:r>
          </w:p>
        </w:tc>
        <w:tc>
          <w:tcPr>
            <w:tcW w:w="625" w:type="pct"/>
            <w:noWrap/>
            <w:vAlign w:val="to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 xml:space="preserve"> 2,080 </w:t>
            </w:r>
          </w:p>
        </w:tc>
        <w:tc>
          <w:tcPr>
            <w:tcW w:w="626" w:type="pct"/>
            <w:noWrap/>
            <w:vAlign w:val="to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 xml:space="preserve"> 2,043 </w:t>
            </w:r>
          </w:p>
        </w:tc>
        <w:tc>
          <w:tcPr>
            <w:tcW w:w="626" w:type="pct"/>
            <w:noWrap/>
            <w:vAlign w:val="to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 xml:space="preserve"> 1,992 </w:t>
            </w:r>
          </w:p>
        </w:tc>
        <w:tc>
          <w:tcPr>
            <w:tcW w:w="626" w:type="pct"/>
            <w:noWrap/>
            <w:vAlign w:val="to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 xml:space="preserve"> 1,992 </w:t>
            </w:r>
          </w:p>
        </w:tc>
        <w:tc>
          <w:tcPr>
            <w:tcW w:w="625" w:type="pct"/>
            <w:noWrap/>
            <w:vAlign w:val="to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 xml:space="preserve"> 1,802 </w:t>
            </w:r>
          </w:p>
        </w:tc>
      </w:tr>
      <w:tr w:rsidR="00A12A00" w:rsidRPr="00FE595E" w:rsidTr="002748A6">
        <w:trPr>
          <w:trHeight w:val="300"/>
        </w:trPr>
        <w:tc>
          <w:tcPr>
            <w:cnfStyle w:val="001000000000" w:firstRow="0" w:lastRow="0" w:firstColumn="1" w:lastColumn="0" w:oddVBand="0" w:evenVBand="0" w:oddHBand="0" w:evenHBand="0" w:firstRowFirstColumn="0" w:firstRowLastColumn="0" w:lastRowFirstColumn="0" w:lastRowLastColumn="0"/>
            <w:tcW w:w="1872" w:type="pct"/>
            <w:noWrap/>
          </w:tcPr>
          <w:p w:rsidR="00A12A00" w:rsidRPr="00A12A00" w:rsidRDefault="00A12A00" w:rsidP="00A12A00">
            <w:r w:rsidRPr="00A12A00">
              <w:t>Medium/high density</w:t>
            </w:r>
          </w:p>
        </w:tc>
        <w:tc>
          <w:tcPr>
            <w:tcW w:w="625" w:type="pct"/>
            <w:noWrap/>
            <w:vAlign w:val="to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r w:rsidRPr="00A12A00">
              <w:t xml:space="preserve"> 1,057 </w:t>
            </w:r>
          </w:p>
        </w:tc>
        <w:tc>
          <w:tcPr>
            <w:tcW w:w="626" w:type="pct"/>
            <w:noWrap/>
            <w:vAlign w:val="to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r w:rsidRPr="00A12A00">
              <w:t xml:space="preserve"> 1,294 </w:t>
            </w:r>
          </w:p>
        </w:tc>
        <w:tc>
          <w:tcPr>
            <w:tcW w:w="626" w:type="pct"/>
            <w:noWrap/>
            <w:vAlign w:val="to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r w:rsidRPr="00A12A00">
              <w:t xml:space="preserve"> 1,344 </w:t>
            </w:r>
          </w:p>
        </w:tc>
        <w:tc>
          <w:tcPr>
            <w:tcW w:w="626" w:type="pct"/>
            <w:noWrap/>
            <w:vAlign w:val="to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r w:rsidRPr="00A12A00">
              <w:t xml:space="preserve"> 1,344 </w:t>
            </w:r>
          </w:p>
        </w:tc>
        <w:tc>
          <w:tcPr>
            <w:tcW w:w="625" w:type="pct"/>
            <w:noWrap/>
            <w:vAlign w:val="to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r w:rsidRPr="00A12A00">
              <w:t xml:space="preserve"> 1,249 </w:t>
            </w:r>
          </w:p>
        </w:tc>
      </w:tr>
      <w:tr w:rsidR="00A12A00" w:rsidRPr="0018218B" w:rsidTr="002748A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2" w:type="pct"/>
            <w:noWrap/>
          </w:tcPr>
          <w:p w:rsidR="00A12A00" w:rsidRPr="00A12A00" w:rsidRDefault="00A12A00" w:rsidP="00A12A00">
            <w:r w:rsidRPr="00A12A00">
              <w:t>Commercial</w:t>
            </w:r>
          </w:p>
        </w:tc>
        <w:tc>
          <w:tcPr>
            <w:tcW w:w="625" w:type="pct"/>
            <w:noWra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84</w:t>
            </w:r>
          </w:p>
        </w:tc>
        <w:tc>
          <w:tcPr>
            <w:tcW w:w="626" w:type="pct"/>
            <w:noWra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126</w:t>
            </w:r>
          </w:p>
        </w:tc>
        <w:tc>
          <w:tcPr>
            <w:tcW w:w="626" w:type="pct"/>
            <w:noWra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129</w:t>
            </w:r>
          </w:p>
        </w:tc>
        <w:tc>
          <w:tcPr>
            <w:tcW w:w="626" w:type="pct"/>
            <w:noWra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132</w:t>
            </w:r>
          </w:p>
        </w:tc>
        <w:tc>
          <w:tcPr>
            <w:tcW w:w="625" w:type="pct"/>
            <w:noWra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136</w:t>
            </w:r>
          </w:p>
        </w:tc>
      </w:tr>
      <w:tr w:rsidR="00A12A00" w:rsidRPr="0018218B" w:rsidTr="002748A6">
        <w:trPr>
          <w:trHeight w:val="474"/>
        </w:trPr>
        <w:tc>
          <w:tcPr>
            <w:cnfStyle w:val="001000000000" w:firstRow="0" w:lastRow="0" w:firstColumn="1" w:lastColumn="0" w:oddVBand="0" w:evenVBand="0" w:oddHBand="0" w:evenHBand="0" w:firstRowFirstColumn="0" w:firstRowLastColumn="0" w:lastRowFirstColumn="0" w:lastRowLastColumn="0"/>
            <w:tcW w:w="1872" w:type="pct"/>
            <w:shd w:val="clear" w:color="auto" w:fill="auto"/>
            <w:noWrap/>
          </w:tcPr>
          <w:p w:rsidR="00A12A00" w:rsidRPr="00A12A00" w:rsidRDefault="00A12A00" w:rsidP="00A12A00">
            <w:pPr>
              <w:pStyle w:val="HeadingOrange"/>
              <w:rPr>
                <w:rStyle w:val="AERtextitalic"/>
              </w:rPr>
            </w:pPr>
            <w:r w:rsidRPr="00A12A00">
              <w:t>Disconnections</w:t>
            </w:r>
          </w:p>
        </w:tc>
        <w:tc>
          <w:tcPr>
            <w:tcW w:w="625" w:type="pct"/>
            <w:shd w:val="clear" w:color="auto" w:fill="auto"/>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p>
        </w:tc>
        <w:tc>
          <w:tcPr>
            <w:tcW w:w="626" w:type="pct"/>
            <w:shd w:val="clear" w:color="auto" w:fill="auto"/>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p>
        </w:tc>
        <w:tc>
          <w:tcPr>
            <w:tcW w:w="626" w:type="pct"/>
            <w:shd w:val="clear" w:color="auto" w:fill="auto"/>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p>
        </w:tc>
        <w:tc>
          <w:tcPr>
            <w:tcW w:w="626" w:type="pct"/>
            <w:shd w:val="clear" w:color="auto" w:fill="auto"/>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p>
        </w:tc>
        <w:tc>
          <w:tcPr>
            <w:tcW w:w="625" w:type="pct"/>
            <w:shd w:val="clear" w:color="auto" w:fill="auto"/>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p>
        </w:tc>
      </w:tr>
      <w:tr w:rsidR="00A12A00" w:rsidRPr="0018218B" w:rsidTr="002748A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2" w:type="pct"/>
            <w:noWrap/>
          </w:tcPr>
          <w:p w:rsidR="00A12A00" w:rsidRPr="00A12A00" w:rsidRDefault="00A12A00" w:rsidP="00A12A00">
            <w:proofErr w:type="spellStart"/>
            <w:r w:rsidRPr="00A12A00">
              <w:t>Residential</w:t>
            </w:r>
            <w:r w:rsidRPr="00A12A00">
              <w:rPr>
                <w:rStyle w:val="AERsuperscript"/>
              </w:rPr>
              <w:t>b</w:t>
            </w:r>
            <w:proofErr w:type="spellEnd"/>
          </w:p>
        </w:tc>
        <w:tc>
          <w:tcPr>
            <w:tcW w:w="625" w:type="pct"/>
            <w:noWra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1037</w:t>
            </w:r>
          </w:p>
        </w:tc>
        <w:tc>
          <w:tcPr>
            <w:tcW w:w="626" w:type="pct"/>
            <w:noWra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1052</w:t>
            </w:r>
          </w:p>
        </w:tc>
        <w:tc>
          <w:tcPr>
            <w:tcW w:w="626" w:type="pct"/>
            <w:noWra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1069</w:t>
            </w:r>
          </w:p>
        </w:tc>
        <w:tc>
          <w:tcPr>
            <w:tcW w:w="626" w:type="pct"/>
            <w:noWra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801</w:t>
            </w:r>
          </w:p>
        </w:tc>
        <w:tc>
          <w:tcPr>
            <w:tcW w:w="625" w:type="pct"/>
            <w:noWra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819</w:t>
            </w:r>
          </w:p>
        </w:tc>
      </w:tr>
      <w:tr w:rsidR="00A12A00" w:rsidRPr="0018218B" w:rsidTr="002748A6">
        <w:trPr>
          <w:trHeight w:val="300"/>
        </w:trPr>
        <w:tc>
          <w:tcPr>
            <w:cnfStyle w:val="001000000000" w:firstRow="0" w:lastRow="0" w:firstColumn="1" w:lastColumn="0" w:oddVBand="0" w:evenVBand="0" w:oddHBand="0" w:evenHBand="0" w:firstRowFirstColumn="0" w:firstRowLastColumn="0" w:lastRowFirstColumn="0" w:lastRowLastColumn="0"/>
            <w:tcW w:w="1872" w:type="pct"/>
            <w:shd w:val="clear" w:color="auto" w:fill="auto"/>
            <w:noWrap/>
          </w:tcPr>
          <w:p w:rsidR="00A12A00" w:rsidRPr="00A12A00" w:rsidRDefault="00A12A00" w:rsidP="00A12A00">
            <w:pPr>
              <w:rPr>
                <w:rStyle w:val="AERtextitalic"/>
              </w:rPr>
            </w:pPr>
            <w:r w:rsidRPr="00A12A00">
              <w:t xml:space="preserve">Commercial </w:t>
            </w:r>
          </w:p>
        </w:tc>
        <w:tc>
          <w:tcPr>
            <w:tcW w:w="625" w:type="pct"/>
            <w:shd w:val="clear" w:color="auto" w:fill="auto"/>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r w:rsidRPr="00A12A00">
              <w:t>17</w:t>
            </w:r>
          </w:p>
        </w:tc>
        <w:tc>
          <w:tcPr>
            <w:tcW w:w="626" w:type="pct"/>
            <w:shd w:val="clear" w:color="auto" w:fill="auto"/>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r w:rsidRPr="00A12A00">
              <w:t>17</w:t>
            </w:r>
          </w:p>
        </w:tc>
        <w:tc>
          <w:tcPr>
            <w:tcW w:w="626" w:type="pct"/>
            <w:shd w:val="clear" w:color="auto" w:fill="auto"/>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r w:rsidRPr="00A12A00">
              <w:t>17</w:t>
            </w:r>
          </w:p>
        </w:tc>
        <w:tc>
          <w:tcPr>
            <w:tcW w:w="626" w:type="pct"/>
            <w:shd w:val="clear" w:color="auto" w:fill="auto"/>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r w:rsidRPr="00A12A00">
              <w:t>17</w:t>
            </w:r>
          </w:p>
        </w:tc>
        <w:tc>
          <w:tcPr>
            <w:tcW w:w="625" w:type="pct"/>
            <w:shd w:val="clear" w:color="auto" w:fill="auto"/>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r w:rsidRPr="00A12A00">
              <w:t>17</w:t>
            </w:r>
          </w:p>
        </w:tc>
      </w:tr>
      <w:tr w:rsidR="00A12A00" w:rsidRPr="0018218B" w:rsidTr="002748A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2" w:type="pct"/>
            <w:noWrap/>
          </w:tcPr>
          <w:p w:rsidR="00A12A00" w:rsidRPr="00A12A00" w:rsidRDefault="00A12A00" w:rsidP="00A12A00">
            <w:r w:rsidRPr="00A12A00">
              <w:t>Tariff D to tariff V movement</w:t>
            </w:r>
          </w:p>
        </w:tc>
        <w:tc>
          <w:tcPr>
            <w:tcW w:w="625" w:type="pct"/>
            <w:noWra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3</w:t>
            </w:r>
          </w:p>
        </w:tc>
        <w:tc>
          <w:tcPr>
            <w:tcW w:w="626" w:type="pct"/>
            <w:noWra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3</w:t>
            </w:r>
          </w:p>
        </w:tc>
        <w:tc>
          <w:tcPr>
            <w:tcW w:w="626" w:type="pct"/>
            <w:noWra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3</w:t>
            </w:r>
          </w:p>
        </w:tc>
        <w:tc>
          <w:tcPr>
            <w:tcW w:w="626" w:type="pct"/>
            <w:noWra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3</w:t>
            </w:r>
          </w:p>
        </w:tc>
        <w:tc>
          <w:tcPr>
            <w:tcW w:w="625" w:type="pct"/>
            <w:noWrap/>
          </w:tcPr>
          <w:p w:rsidR="00A12A00" w:rsidRPr="00A12A00" w:rsidRDefault="00A12A00" w:rsidP="00A12A00">
            <w:pPr>
              <w:cnfStyle w:val="000000010000" w:firstRow="0" w:lastRow="0" w:firstColumn="0" w:lastColumn="0" w:oddVBand="0" w:evenVBand="0" w:oddHBand="0" w:evenHBand="1" w:firstRowFirstColumn="0" w:firstRowLastColumn="0" w:lastRowFirstColumn="0" w:lastRowLastColumn="0"/>
            </w:pPr>
            <w:r w:rsidRPr="00A12A00">
              <w:t>3</w:t>
            </w:r>
          </w:p>
        </w:tc>
      </w:tr>
      <w:tr w:rsidR="00A12A00" w:rsidRPr="0018218B" w:rsidTr="002748A6">
        <w:trPr>
          <w:trHeight w:val="300"/>
        </w:trPr>
        <w:tc>
          <w:tcPr>
            <w:cnfStyle w:val="001000000000" w:firstRow="0" w:lastRow="0" w:firstColumn="1" w:lastColumn="0" w:oddVBand="0" w:evenVBand="0" w:oddHBand="0" w:evenHBand="0" w:firstRowFirstColumn="0" w:firstRowLastColumn="0" w:lastRowFirstColumn="0" w:lastRowLastColumn="0"/>
            <w:tcW w:w="1872" w:type="pct"/>
            <w:shd w:val="clear" w:color="auto" w:fill="auto"/>
            <w:noWrap/>
          </w:tcPr>
          <w:p w:rsidR="00A12A00" w:rsidRPr="00A12A00" w:rsidRDefault="00A12A00" w:rsidP="00A12A00">
            <w:r w:rsidRPr="00A12A00">
              <w:t>Tariff V to tariff D movement</w:t>
            </w:r>
          </w:p>
        </w:tc>
        <w:tc>
          <w:tcPr>
            <w:tcW w:w="625" w:type="pct"/>
            <w:shd w:val="clear" w:color="auto" w:fill="auto"/>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r w:rsidRPr="00A12A00">
              <w:t>4</w:t>
            </w:r>
          </w:p>
        </w:tc>
        <w:tc>
          <w:tcPr>
            <w:tcW w:w="626" w:type="pct"/>
            <w:shd w:val="clear" w:color="auto" w:fill="auto"/>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r w:rsidRPr="00A12A00">
              <w:t>4</w:t>
            </w:r>
          </w:p>
        </w:tc>
        <w:tc>
          <w:tcPr>
            <w:tcW w:w="626" w:type="pct"/>
            <w:shd w:val="clear" w:color="auto" w:fill="auto"/>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r w:rsidRPr="00A12A00">
              <w:t>4</w:t>
            </w:r>
          </w:p>
        </w:tc>
        <w:tc>
          <w:tcPr>
            <w:tcW w:w="626" w:type="pct"/>
            <w:shd w:val="clear" w:color="auto" w:fill="auto"/>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r w:rsidRPr="00A12A00">
              <w:t>4</w:t>
            </w:r>
          </w:p>
        </w:tc>
        <w:tc>
          <w:tcPr>
            <w:tcW w:w="625" w:type="pct"/>
            <w:shd w:val="clear" w:color="auto" w:fill="auto"/>
            <w:noWrap/>
          </w:tcPr>
          <w:p w:rsidR="00A12A00" w:rsidRPr="00A12A00" w:rsidRDefault="00A12A00" w:rsidP="00A12A00">
            <w:pPr>
              <w:cnfStyle w:val="000000000000" w:firstRow="0" w:lastRow="0" w:firstColumn="0" w:lastColumn="0" w:oddVBand="0" w:evenVBand="0" w:oddHBand="0" w:evenHBand="0" w:firstRowFirstColumn="0" w:firstRowLastColumn="0" w:lastRowFirstColumn="0" w:lastRowLastColumn="0"/>
            </w:pPr>
            <w:r w:rsidRPr="00A12A00">
              <w:t>4</w:t>
            </w:r>
          </w:p>
        </w:tc>
      </w:tr>
    </w:tbl>
    <w:p w:rsidR="00A12A00" w:rsidRPr="00A12A00" w:rsidRDefault="00A12A00" w:rsidP="00A12A00">
      <w:pPr>
        <w:pStyle w:val="AERtablesource"/>
      </w:pPr>
      <w:r w:rsidRPr="00A12A00">
        <w:t xml:space="preserve">Source: </w:t>
      </w:r>
      <w:r w:rsidRPr="00A12A00">
        <w:tab/>
        <w:t>AER analysis</w:t>
      </w:r>
      <w:r w:rsidR="004E37B7">
        <w:t>;</w:t>
      </w:r>
      <w:r w:rsidRPr="00A12A00">
        <w:t xml:space="preserve"> ActewAGL revised demand model, in </w:t>
      </w:r>
      <w:r w:rsidR="004E37B7">
        <w:t xml:space="preserve">ActewAGL, </w:t>
      </w:r>
      <w:r w:rsidR="004E37B7" w:rsidRPr="00E022CC">
        <w:rPr>
          <w:rStyle w:val="Emphasis"/>
        </w:rPr>
        <w:t>R</w:t>
      </w:r>
      <w:r w:rsidRPr="00E022CC">
        <w:rPr>
          <w:rStyle w:val="Emphasis"/>
        </w:rPr>
        <w:t>esponse to info</w:t>
      </w:r>
      <w:r w:rsidR="004E37B7" w:rsidRPr="00E022CC">
        <w:rPr>
          <w:rStyle w:val="Emphasis"/>
        </w:rPr>
        <w:t>rmation</w:t>
      </w:r>
      <w:r w:rsidRPr="00E022CC">
        <w:rPr>
          <w:rStyle w:val="Emphasis"/>
        </w:rPr>
        <w:t xml:space="preserve"> request 50</w:t>
      </w:r>
      <w:r w:rsidR="004E37B7">
        <w:t xml:space="preserve"> [email to AER], 26 February 2016</w:t>
      </w:r>
      <w:r w:rsidRPr="00A12A00">
        <w:t>.</w:t>
      </w:r>
    </w:p>
    <w:p w:rsidR="00A12A00" w:rsidRPr="00A12A00" w:rsidRDefault="00A12A00" w:rsidP="00A12A00">
      <w:pPr>
        <w:pStyle w:val="AERtablesource"/>
      </w:pPr>
      <w:r w:rsidRPr="00A12A00">
        <w:t>Notes:</w:t>
      </w:r>
      <w:r w:rsidRPr="00A12A00">
        <w:tab/>
        <w:t xml:space="preserve"> (a) </w:t>
      </w:r>
      <w:r w:rsidR="004E37B7">
        <w:t>T</w:t>
      </w:r>
      <w:r w:rsidRPr="00A12A00">
        <w:t>his is based on an average over 2010–2014, instead of 2019–14 (used by Core Energy) to be consistent with the review period we have used for other new connection types and disconnections.</w:t>
      </w:r>
    </w:p>
    <w:p w:rsidR="00A12A00" w:rsidRPr="00A12A00" w:rsidRDefault="00A12A00" w:rsidP="00A12A00">
      <w:pPr>
        <w:pStyle w:val="AERtablesource"/>
      </w:pPr>
      <w:r w:rsidRPr="00A12A00">
        <w:tab/>
        <w:t xml:space="preserve">(b) </w:t>
      </w:r>
      <w:r w:rsidR="004E37B7">
        <w:t>R</w:t>
      </w:r>
      <w:r w:rsidRPr="00A12A00">
        <w:t>esidential disconnection numbers change as disconnection</w:t>
      </w:r>
      <w:r w:rsidR="004E37B7">
        <w:t>s</w:t>
      </w:r>
      <w:r w:rsidRPr="00A12A00">
        <w:t xml:space="preserve"> are assumed to be 0.55 per cent of total connections at the beginning of the year.</w:t>
      </w:r>
    </w:p>
    <w:p w:rsidR="00AB309A" w:rsidRDefault="00AB309A" w:rsidP="00AB309A">
      <w:pPr>
        <w:pStyle w:val="Heading2"/>
      </w:pPr>
      <w:bookmarkStart w:id="106" w:name="_Toc451761529"/>
      <w:r>
        <w:t>ActewAGL's revised proposal</w:t>
      </w:r>
      <w:bookmarkEnd w:id="106"/>
    </w:p>
    <w:p w:rsidR="00704979" w:rsidRDefault="00DB3426" w:rsidP="00CC654E">
      <w:r>
        <w:t xml:space="preserve">In its revised proposal, </w:t>
      </w:r>
      <w:r w:rsidR="005F06C4">
        <w:t xml:space="preserve">ActewAGL accepted our draft decision on Tariff V forecast connections, except for new MD/HR dwelling </w:t>
      </w:r>
      <w:r w:rsidR="005F06C4" w:rsidRPr="00D01B7D">
        <w:t>connections</w:t>
      </w:r>
      <w:r w:rsidR="005F06C4">
        <w:t xml:space="preserve">.  </w:t>
      </w:r>
      <w:r>
        <w:t xml:space="preserve">ActewAGL has adopted a </w:t>
      </w:r>
      <w:r w:rsidR="006A7724">
        <w:t xml:space="preserve">gas connection </w:t>
      </w:r>
      <w:r w:rsidR="0060561F">
        <w:t xml:space="preserve">rate of </w:t>
      </w:r>
      <w:r w:rsidR="0055152E">
        <w:t>7</w:t>
      </w:r>
      <w:r w:rsidR="00CC2D0F">
        <w:t>1.4</w:t>
      </w:r>
      <w:r>
        <w:t xml:space="preserve"> per cent based on </w:t>
      </w:r>
      <w:r w:rsidR="00F94005">
        <w:t xml:space="preserve">revised </w:t>
      </w:r>
      <w:r>
        <w:t>historical</w:t>
      </w:r>
      <w:r w:rsidR="005F06C4">
        <w:t xml:space="preserve"> information on its</w:t>
      </w:r>
      <w:r>
        <w:t xml:space="preserve"> </w:t>
      </w:r>
      <w:r w:rsidR="005F06C4">
        <w:t xml:space="preserve">new gas </w:t>
      </w:r>
      <w:r>
        <w:t>connection</w:t>
      </w:r>
      <w:r w:rsidR="005F06C4">
        <w:t>s</w:t>
      </w:r>
      <w:r>
        <w:t xml:space="preserve"> over the 2010-11 to 2013-14 </w:t>
      </w:r>
      <w:proofErr w:type="gramStart"/>
      <w:r>
        <w:t>period</w:t>
      </w:r>
      <w:proofErr w:type="gramEnd"/>
      <w:r>
        <w:t xml:space="preserve"> to update its forecast new connections for MD/HR dwellings. </w:t>
      </w:r>
      <w:r w:rsidR="00CC654E">
        <w:t xml:space="preserve"> </w:t>
      </w:r>
      <w:r w:rsidR="0055152E">
        <w:t xml:space="preserve">This results in a </w:t>
      </w:r>
      <w:r w:rsidR="00D126CE">
        <w:t>revised overall gas connection rate</w:t>
      </w:r>
      <w:r w:rsidR="00704979">
        <w:t xml:space="preserve"> </w:t>
      </w:r>
      <w:r w:rsidR="00D126CE">
        <w:t>for new dwellings (</w:t>
      </w:r>
      <w:r w:rsidR="00B839EC">
        <w:t xml:space="preserve">including </w:t>
      </w:r>
      <w:r w:rsidR="00D126CE">
        <w:t>new estates and MD/HR</w:t>
      </w:r>
      <w:r w:rsidR="00AA1662">
        <w:t xml:space="preserve"> dwellings</w:t>
      </w:r>
      <w:r w:rsidR="00D126CE">
        <w:t xml:space="preserve">) </w:t>
      </w:r>
      <w:r w:rsidR="00704979">
        <w:t>of approximately</w:t>
      </w:r>
      <w:r w:rsidR="00EE4E91">
        <w:t xml:space="preserve"> 8</w:t>
      </w:r>
      <w:r w:rsidR="009A1305">
        <w:t>3.5</w:t>
      </w:r>
      <w:r w:rsidR="00D126CE">
        <w:t xml:space="preserve"> per cent.</w:t>
      </w:r>
      <w:r w:rsidR="00043D61">
        <w:t xml:space="preserve"> </w:t>
      </w:r>
      <w:r w:rsidR="00704979">
        <w:t xml:space="preserve">ActewAGL's 'implied penetration rate' for </w:t>
      </w:r>
      <w:r w:rsidR="00AA1662" w:rsidRPr="00AA1662">
        <w:t xml:space="preserve">new </w:t>
      </w:r>
      <w:r w:rsidR="00704979">
        <w:t>MD/HR dwellings is 61 per cent</w:t>
      </w:r>
      <w:r w:rsidR="00AA1662">
        <w:t>,</w:t>
      </w:r>
      <w:r w:rsidR="00704979">
        <w:t xml:space="preserve"> and for all new dwellings is 71.3 per cent.</w:t>
      </w:r>
    </w:p>
    <w:p w:rsidR="00D126CE" w:rsidRDefault="00043D61" w:rsidP="00CC654E">
      <w:r>
        <w:t>Th</w:t>
      </w:r>
      <w:r w:rsidR="0055152E">
        <w:t xml:space="preserve">e concept of </w:t>
      </w:r>
      <w:r w:rsidR="007E55E9">
        <w:t xml:space="preserve">gas </w:t>
      </w:r>
      <w:r w:rsidR="0055152E">
        <w:t>connection rate</w:t>
      </w:r>
      <w:r>
        <w:t xml:space="preserve"> differs from</w:t>
      </w:r>
      <w:r w:rsidR="00704979">
        <w:t xml:space="preserve"> the 'implied penetration rate'.</w:t>
      </w:r>
      <w:r w:rsidR="000239BE">
        <w:t xml:space="preserve"> A</w:t>
      </w:r>
      <w:r w:rsidR="009A1305">
        <w:t xml:space="preserve"> gas connection rate is</w:t>
      </w:r>
      <w:r w:rsidR="000239BE">
        <w:t xml:space="preserve"> calculated as</w:t>
      </w:r>
      <w:r w:rsidR="009A1305">
        <w:t xml:space="preserve"> the </w:t>
      </w:r>
      <w:r w:rsidR="007E55E9" w:rsidRPr="007E55E9">
        <w:t xml:space="preserve">number of new connections </w:t>
      </w:r>
      <w:r w:rsidR="00AA1662">
        <w:t>to</w:t>
      </w:r>
      <w:r w:rsidR="00AA1662" w:rsidRPr="007E55E9">
        <w:t xml:space="preserve"> </w:t>
      </w:r>
      <w:r w:rsidR="007E55E9" w:rsidRPr="007E55E9">
        <w:t>the ActewAGL network relative to number of n</w:t>
      </w:r>
      <w:r w:rsidR="007E55E9">
        <w:t xml:space="preserve">ew dwellings in the ACT region. </w:t>
      </w:r>
      <w:r w:rsidR="009A1305">
        <w:t xml:space="preserve">As the </w:t>
      </w:r>
      <w:r w:rsidR="0055152E">
        <w:t xml:space="preserve">coverage of the </w:t>
      </w:r>
      <w:r w:rsidR="009A1305">
        <w:t xml:space="preserve">ActewAGL network is broader than the ACT region, the implied </w:t>
      </w:r>
      <w:r w:rsidR="008003CE">
        <w:t xml:space="preserve">penetration rate takes into </w:t>
      </w:r>
      <w:r w:rsidR="009A1305">
        <w:t xml:space="preserve">account connections </w:t>
      </w:r>
      <w:r w:rsidR="00AA1662">
        <w:t xml:space="preserve">for </w:t>
      </w:r>
      <w:r w:rsidR="0055152E">
        <w:t xml:space="preserve">new dwellings </w:t>
      </w:r>
      <w:r w:rsidR="009A1305">
        <w:t>across the ActewAGL network.</w:t>
      </w:r>
      <w:r w:rsidR="008003CE">
        <w:rPr>
          <w:rStyle w:val="FootnoteReference"/>
        </w:rPr>
        <w:footnoteReference w:id="7"/>
      </w:r>
      <w:r w:rsidR="008003CE">
        <w:t xml:space="preserve"> </w:t>
      </w:r>
    </w:p>
    <w:p w:rsidR="00CC654E" w:rsidRDefault="00704979" w:rsidP="00CC654E">
      <w:r>
        <w:t xml:space="preserve">In its initial proposal, </w:t>
      </w:r>
      <w:r w:rsidR="00CC654E">
        <w:t xml:space="preserve">ActewAGL proposed a gas </w:t>
      </w:r>
      <w:r w:rsidR="00F94005">
        <w:t>penetration</w:t>
      </w:r>
      <w:r w:rsidR="00EE4E91">
        <w:t xml:space="preserve"> rate of 90 per cent to</w:t>
      </w:r>
      <w:r w:rsidR="00CC654E">
        <w:t xml:space="preserve"> forecast </w:t>
      </w:r>
      <w:r w:rsidR="00EE4E91">
        <w:t xml:space="preserve">new connections </w:t>
      </w:r>
      <w:r w:rsidR="00CC654E">
        <w:t xml:space="preserve">for </w:t>
      </w:r>
      <w:r w:rsidR="00EE4E91">
        <w:t>all new dwellings as well as for each dwelling type (</w:t>
      </w:r>
      <w:r w:rsidR="00F94005">
        <w:t xml:space="preserve">new </w:t>
      </w:r>
      <w:r w:rsidR="00CC654E">
        <w:t>MD/HR</w:t>
      </w:r>
      <w:r w:rsidR="00D126CE">
        <w:t xml:space="preserve"> </w:t>
      </w:r>
      <w:r w:rsidR="00AA1662">
        <w:t xml:space="preserve">dwellings </w:t>
      </w:r>
      <w:r w:rsidR="00D126CE">
        <w:t>and new estates</w:t>
      </w:r>
      <w:r w:rsidR="00EE4E91">
        <w:t>)</w:t>
      </w:r>
      <w:r w:rsidR="00CC654E">
        <w:t xml:space="preserve">. This was not based </w:t>
      </w:r>
      <w:r w:rsidR="00CC654E" w:rsidRPr="00844703">
        <w:t>on actual historical connections</w:t>
      </w:r>
      <w:r w:rsidR="00CC654E">
        <w:t xml:space="preserve"> but </w:t>
      </w:r>
      <w:r w:rsidR="00B839EC">
        <w:t>on</w:t>
      </w:r>
      <w:r w:rsidR="00B839EC" w:rsidRPr="00844703">
        <w:t xml:space="preserve"> </w:t>
      </w:r>
      <w:r w:rsidR="00CC654E" w:rsidRPr="00844703">
        <w:t>the total number of houses with gas divided by the total number of blocks within the ACT as at 5 September 2014.</w:t>
      </w:r>
      <w:r w:rsidR="00CC654E" w:rsidRPr="00CC654E">
        <w:rPr>
          <w:rStyle w:val="AERsuperscript"/>
        </w:rPr>
        <w:footnoteReference w:id="8"/>
      </w:r>
      <w:r w:rsidR="00CC654E" w:rsidRPr="00844703">
        <w:t xml:space="preserve"> </w:t>
      </w:r>
      <w:r w:rsidR="00CC654E">
        <w:t xml:space="preserve">In the draft decision, we stated </w:t>
      </w:r>
      <w:r w:rsidR="00CC654E" w:rsidRPr="00844703">
        <w:t xml:space="preserve">that this method </w:t>
      </w:r>
      <w:r w:rsidR="00CC654E">
        <w:t xml:space="preserve">overestimates </w:t>
      </w:r>
      <w:r w:rsidR="00CC654E" w:rsidRPr="00844703">
        <w:t xml:space="preserve">the penetration rate </w:t>
      </w:r>
      <w:r w:rsidR="00CC654E">
        <w:t>given</w:t>
      </w:r>
      <w:r w:rsidR="00CC654E" w:rsidRPr="00844703">
        <w:t xml:space="preserve"> there can be several houses as well as medium density/high rise properties</w:t>
      </w:r>
      <w:r w:rsidR="00CC654E">
        <w:t xml:space="preserve"> on a block of land.</w:t>
      </w:r>
      <w:r w:rsidR="00CC654E">
        <w:rPr>
          <w:rStyle w:val="FootnoteReference"/>
        </w:rPr>
        <w:footnoteReference w:id="9"/>
      </w:r>
    </w:p>
    <w:p w:rsidR="00D01B7D" w:rsidRDefault="00CC654E" w:rsidP="00091913">
      <w:r>
        <w:t xml:space="preserve">Thus, in our draft decision, </w:t>
      </w:r>
      <w:r w:rsidR="00F2020C">
        <w:t>we did not accept ActewAGL's ne</w:t>
      </w:r>
      <w:r>
        <w:t xml:space="preserve">w connections forecast for both new estate and MD/HR </w:t>
      </w:r>
      <w:r w:rsidR="00F2020C">
        <w:t>dwelling</w:t>
      </w:r>
      <w:r>
        <w:t>s</w:t>
      </w:r>
      <w:r w:rsidR="00F2020C">
        <w:t xml:space="preserve">, and based our alternative </w:t>
      </w:r>
      <w:r w:rsidR="00D126CE">
        <w:t xml:space="preserve">connection numbers </w:t>
      </w:r>
      <w:r w:rsidR="00F2020C">
        <w:t xml:space="preserve">on </w:t>
      </w:r>
      <w:r w:rsidR="006A7724">
        <w:t>gas connection rate</w:t>
      </w:r>
      <w:r w:rsidR="00F94005">
        <w:t>s</w:t>
      </w:r>
      <w:r w:rsidR="006A7724">
        <w:t xml:space="preserve"> of 36</w:t>
      </w:r>
      <w:r w:rsidR="00DB3426">
        <w:t xml:space="preserve"> per cent</w:t>
      </w:r>
      <w:r w:rsidR="00704979">
        <w:t xml:space="preserve"> (implied penetration rate of 31 per cent)</w:t>
      </w:r>
      <w:r w:rsidR="00DB3426">
        <w:t xml:space="preserve"> </w:t>
      </w:r>
      <w:r w:rsidR="00D126CE">
        <w:t xml:space="preserve">for </w:t>
      </w:r>
      <w:r w:rsidR="00F94005">
        <w:t xml:space="preserve">new </w:t>
      </w:r>
      <w:r w:rsidR="00D126CE">
        <w:t xml:space="preserve">MD/HR dwellings, </w:t>
      </w:r>
      <w:r w:rsidR="00F94005">
        <w:t xml:space="preserve">which gave </w:t>
      </w:r>
      <w:r w:rsidR="00D126CE">
        <w:t>an overall gas connection rate of 62 per cent</w:t>
      </w:r>
      <w:r w:rsidR="00704979">
        <w:t xml:space="preserve"> (implied penetration rate of 53 per cent)</w:t>
      </w:r>
      <w:r w:rsidR="00D126CE">
        <w:t>.</w:t>
      </w:r>
      <w:r w:rsidR="00F94005">
        <w:t xml:space="preserve">  </w:t>
      </w:r>
      <w:r w:rsidR="00F94005" w:rsidRPr="00F94005">
        <w:t xml:space="preserve">The </w:t>
      </w:r>
      <w:r w:rsidR="00704979">
        <w:t xml:space="preserve">gas </w:t>
      </w:r>
      <w:r w:rsidR="00F94005" w:rsidRPr="00F94005">
        <w:t>con</w:t>
      </w:r>
      <w:r w:rsidR="008003CE">
        <w:t>n</w:t>
      </w:r>
      <w:r w:rsidR="00F94005" w:rsidRPr="00F94005">
        <w:t>ection rate</w:t>
      </w:r>
      <w:r w:rsidR="00D01B7D">
        <w:t xml:space="preserve"> of each dwelling type</w:t>
      </w:r>
      <w:r w:rsidR="00F94005" w:rsidRPr="00F94005">
        <w:t xml:space="preserve"> </w:t>
      </w:r>
      <w:r w:rsidR="00F94005">
        <w:t>w</w:t>
      </w:r>
      <w:r w:rsidR="00D01B7D">
        <w:t>as</w:t>
      </w:r>
      <w:r w:rsidR="00F94005" w:rsidRPr="00F94005">
        <w:t xml:space="preserve"> measured as the number of new conn</w:t>
      </w:r>
      <w:r w:rsidR="008003CE">
        <w:t>e</w:t>
      </w:r>
      <w:r w:rsidR="00F94005" w:rsidRPr="00F94005">
        <w:t>ctions with</w:t>
      </w:r>
      <w:r w:rsidR="005F06C4">
        <w:t>in</w:t>
      </w:r>
      <w:r w:rsidR="00F94005" w:rsidRPr="00F94005">
        <w:t xml:space="preserve"> the ActewAGL network (which covers an area broader than the ACT) </w:t>
      </w:r>
      <w:r w:rsidR="008003CE" w:rsidRPr="00F94005">
        <w:t>relative</w:t>
      </w:r>
      <w:r w:rsidR="00F94005" w:rsidRPr="00F94005">
        <w:t xml:space="preserve"> to the number of new dwellings in the ACT</w:t>
      </w:r>
      <w:r w:rsidR="00D01B7D">
        <w:t xml:space="preserve"> for the four years 2011 to 2014</w:t>
      </w:r>
      <w:r w:rsidR="00F94005" w:rsidRPr="00F94005">
        <w:t>.</w:t>
      </w:r>
      <w:r w:rsidR="00D01B7D">
        <w:t xml:space="preserve"> The historical new connections and new dwelling data were sourced from </w:t>
      </w:r>
      <w:r w:rsidR="009B4A71">
        <w:t xml:space="preserve">RIN data in the </w:t>
      </w:r>
      <w:r w:rsidR="00D01B7D">
        <w:t>Core Energy demand model and Housing Industry Association housing forecasts</w:t>
      </w:r>
      <w:r w:rsidR="008003CE">
        <w:t xml:space="preserve">, </w:t>
      </w:r>
      <w:r w:rsidR="00D01B7D">
        <w:t xml:space="preserve">respectively.  </w:t>
      </w:r>
    </w:p>
    <w:p w:rsidR="00680368" w:rsidRPr="00091913" w:rsidRDefault="00F2020C" w:rsidP="00091913">
      <w:r>
        <w:t>ActewAGL accepted our draft decision that its Tariff V forecast consumption per connection for residential and commercial customers was not the best estimate in the circumstances due to a methodological error with Core Energy's forecasting approach</w:t>
      </w:r>
      <w:r w:rsidR="00AB309A">
        <w:rPr>
          <w:rStyle w:val="FootnoteReference"/>
        </w:rPr>
        <w:footnoteReference w:id="10"/>
      </w:r>
      <w:r>
        <w:t>.</w:t>
      </w:r>
      <w:r w:rsidR="0086235C">
        <w:t xml:space="preserve"> </w:t>
      </w:r>
    </w:p>
    <w:p w:rsidR="00A2303E" w:rsidRDefault="00A2303E" w:rsidP="00A2303E">
      <w:pPr>
        <w:pStyle w:val="Heading2"/>
      </w:pPr>
      <w:bookmarkStart w:id="107" w:name="_Toc408404322"/>
      <w:bookmarkStart w:id="108" w:name="_Toc419366915"/>
      <w:bookmarkStart w:id="109" w:name="_Toc451761530"/>
      <w:r w:rsidRPr="0074565D">
        <w:t>AER’s assessment approach</w:t>
      </w:r>
      <w:bookmarkEnd w:id="107"/>
      <w:bookmarkEnd w:id="108"/>
      <w:bookmarkEnd w:id="109"/>
      <w:r w:rsidR="00F72771">
        <w:t xml:space="preserve"> </w:t>
      </w:r>
    </w:p>
    <w:p w:rsidR="00B670B1" w:rsidRPr="0003496D" w:rsidRDefault="00B670B1" w:rsidP="00B670B1">
      <w:bookmarkStart w:id="110" w:name="_Toc403144139"/>
      <w:bookmarkStart w:id="111" w:name="_Toc408404324"/>
      <w:bookmarkStart w:id="112" w:name="_Toc419366917"/>
      <w:r w:rsidRPr="00AB30F3">
        <w:t>The NGR require</w:t>
      </w:r>
      <w:r w:rsidR="00FB149E">
        <w:t xml:space="preserve"> the</w:t>
      </w:r>
      <w:r w:rsidRPr="00AB30F3">
        <w:t xml:space="preserve"> </w:t>
      </w:r>
      <w:r w:rsidR="001821B1">
        <w:t>access arrangement information</w:t>
      </w:r>
      <w:r w:rsidR="00FB149E">
        <w:t xml:space="preserve"> </w:t>
      </w:r>
      <w:r w:rsidR="001821B1">
        <w:t xml:space="preserve">for </w:t>
      </w:r>
      <w:r w:rsidRPr="00AB30F3">
        <w:t xml:space="preserve">a full </w:t>
      </w:r>
      <w:r w:rsidR="003A49B1">
        <w:t>access arrangement</w:t>
      </w:r>
      <w:r w:rsidRPr="00AB30F3">
        <w:t xml:space="preserve"> proposal for a distribution pipeline to include usage of the</w:t>
      </w:r>
      <w:r w:rsidRPr="0003496D">
        <w:t xml:space="preserve"> pipeline over the earlier </w:t>
      </w:r>
      <w:r w:rsidR="003A49B1">
        <w:t>access arrangement</w:t>
      </w:r>
      <w:r w:rsidRPr="0003496D">
        <w:t xml:space="preserve"> period showing:</w:t>
      </w:r>
    </w:p>
    <w:p w:rsidR="00B670B1" w:rsidRPr="0003496D" w:rsidRDefault="00B670B1" w:rsidP="00B670B1">
      <w:pPr>
        <w:pStyle w:val="AERbulletlistfirststyle"/>
      </w:pPr>
      <w:r w:rsidRPr="00AB30F3">
        <w:t>minimum, maximum and average demand; and customer numbers in total and by tariff class</w:t>
      </w:r>
      <w:r w:rsidRPr="0003496D">
        <w:rPr>
          <w:rStyle w:val="FootnoteReference"/>
        </w:rPr>
        <w:footnoteReference w:id="11"/>
      </w:r>
    </w:p>
    <w:p w:rsidR="00B670B1" w:rsidRDefault="00B670B1" w:rsidP="00B670B1">
      <w:pPr>
        <w:pStyle w:val="AERbulletlistfirststyle"/>
      </w:pPr>
      <w:proofErr w:type="gramStart"/>
      <w:r w:rsidRPr="00AB30F3">
        <w:t>to</w:t>
      </w:r>
      <w:proofErr w:type="gramEnd"/>
      <w:r w:rsidRPr="00AB30F3">
        <w:t xml:space="preserve"> the extent that it is practicable to forecast pipeline capacity and utilisation of pipeline capacity</w:t>
      </w:r>
      <w:r w:rsidRPr="0003496D">
        <w:t xml:space="preserve"> over the </w:t>
      </w:r>
      <w:r w:rsidR="003A49B1">
        <w:t>access arrangement</w:t>
      </w:r>
      <w:r w:rsidRPr="0003496D">
        <w:t xml:space="preserve"> period, a forecast of pipeline capacity and utilisation of pipeline capacity over that period and the basis on which the forecast has been derived.</w:t>
      </w:r>
      <w:r w:rsidRPr="0003496D">
        <w:rPr>
          <w:rStyle w:val="FootnoteReference"/>
        </w:rPr>
        <w:footnoteReference w:id="12"/>
      </w:r>
    </w:p>
    <w:p w:rsidR="00B670B1" w:rsidRPr="0003496D" w:rsidRDefault="00B670B1" w:rsidP="00B670B1">
      <w:r w:rsidRPr="00AB30F3">
        <w:t>The NGR also require that forecasts and estimates:</w:t>
      </w:r>
      <w:r w:rsidRPr="0003496D">
        <w:rPr>
          <w:rStyle w:val="FootnoteReference"/>
        </w:rPr>
        <w:footnoteReference w:id="13"/>
      </w:r>
    </w:p>
    <w:p w:rsidR="00B670B1" w:rsidRPr="0003496D" w:rsidRDefault="00B670B1" w:rsidP="00B670B1">
      <w:pPr>
        <w:pStyle w:val="AERbulletlistfirststyle"/>
      </w:pPr>
      <w:r w:rsidRPr="00AB30F3">
        <w:t>are arrived at on a reasonable basis</w:t>
      </w:r>
    </w:p>
    <w:p w:rsidR="00B670B1" w:rsidRPr="00AB30F3" w:rsidRDefault="00B670B1" w:rsidP="00B670B1">
      <w:pPr>
        <w:pStyle w:val="AERbulletlistfirststyle"/>
      </w:pPr>
      <w:proofErr w:type="gramStart"/>
      <w:r w:rsidRPr="00AB30F3">
        <w:t>represent</w:t>
      </w:r>
      <w:proofErr w:type="gramEnd"/>
      <w:r w:rsidRPr="00AB30F3">
        <w:t xml:space="preserve"> the best forecast or estimate possible in the circumstances.</w:t>
      </w:r>
    </w:p>
    <w:p w:rsidR="00B670B1" w:rsidRPr="0003496D" w:rsidRDefault="00B670B1" w:rsidP="00B670B1">
      <w:r w:rsidRPr="00AB30F3">
        <w:t>We consider that there are two important considerations in assessing whether demand forecasts are</w:t>
      </w:r>
      <w:r w:rsidRPr="0003496D">
        <w:t xml:space="preserve"> arrived at on a reasonable basis and whether they represent the best forecasts possible in the circumstances.</w:t>
      </w:r>
      <w:r w:rsidRPr="0003496D">
        <w:rPr>
          <w:rStyle w:val="FootnoteReference"/>
        </w:rPr>
        <w:footnoteReference w:id="14"/>
      </w:r>
      <w:r w:rsidRPr="0003496D">
        <w:t xml:space="preserve"> These are:</w:t>
      </w:r>
    </w:p>
    <w:p w:rsidR="00B670B1" w:rsidRPr="0003496D" w:rsidRDefault="00B670B1" w:rsidP="00B670B1">
      <w:pPr>
        <w:pStyle w:val="AERbulletlistfirststyle"/>
      </w:pPr>
      <w:proofErr w:type="gramStart"/>
      <w:r w:rsidRPr="00AB30F3">
        <w:t>the</w:t>
      </w:r>
      <w:proofErr w:type="gramEnd"/>
      <w:r w:rsidRPr="0003496D">
        <w:t xml:space="preserve"> appropriateness of the forecast methodology – this involves consideration of how the demand forecast has been developed and whether or not relevant factors have been taken into account.</w:t>
      </w:r>
    </w:p>
    <w:p w:rsidR="00B670B1" w:rsidRPr="00AB30F3" w:rsidRDefault="00B670B1" w:rsidP="00B670B1">
      <w:pPr>
        <w:pStyle w:val="AERbulletlistfirststyle"/>
      </w:pPr>
      <w:proofErr w:type="gramStart"/>
      <w:r w:rsidRPr="00B670B1">
        <w:t>the</w:t>
      </w:r>
      <w:proofErr w:type="gramEnd"/>
      <w:r w:rsidRPr="00B670B1">
        <w:t xml:space="preserve"> application of the forecasting methodology – this involves consideration of the accuracy of</w:t>
      </w:r>
      <w:r w:rsidRPr="0003496D">
        <w:t xml:space="preserve"> data and assumptions on each of the input parameters.</w:t>
      </w:r>
    </w:p>
    <w:bookmarkEnd w:id="110"/>
    <w:p w:rsidR="00B670B1" w:rsidRPr="0003496D" w:rsidRDefault="00B670B1" w:rsidP="00B670B1">
      <w:r w:rsidRPr="00AB30F3">
        <w:t xml:space="preserve">To determine whether </w:t>
      </w:r>
      <w:r>
        <w:t xml:space="preserve">ActewAGL’s </w:t>
      </w:r>
      <w:r w:rsidRPr="00AB30F3">
        <w:t>proposed demand forecasts are arrived at on a reasonable basis and</w:t>
      </w:r>
      <w:r w:rsidRPr="0003496D">
        <w:t xml:space="preserve"> are the best possible forecasts in the circumstances, we reviewed the data used </w:t>
      </w:r>
      <w:r>
        <w:t xml:space="preserve">by Core Energy </w:t>
      </w:r>
      <w:r w:rsidRPr="0003496D">
        <w:t>to implement the forecasting methodology.</w:t>
      </w:r>
      <w:r>
        <w:t xml:space="preserve"> We also reviewed:</w:t>
      </w:r>
      <w:r w:rsidRPr="0003496D">
        <w:t xml:space="preserve"> </w:t>
      </w:r>
    </w:p>
    <w:p w:rsidR="00B670B1" w:rsidRPr="0003496D" w:rsidRDefault="00B670B1" w:rsidP="00B670B1">
      <w:pPr>
        <w:pStyle w:val="AERbulletlistfirststyle"/>
      </w:pPr>
      <w:r w:rsidRPr="00AB30F3">
        <w:t xml:space="preserve">information provided by </w:t>
      </w:r>
      <w:r>
        <w:t>ActewAGL</w:t>
      </w:r>
      <w:r w:rsidRPr="00AB30F3">
        <w:t xml:space="preserve"> as part of its proposed </w:t>
      </w:r>
      <w:r w:rsidR="003A49B1">
        <w:t>access arrangement</w:t>
      </w:r>
      <w:r w:rsidR="00B839EC">
        <w:t>,</w:t>
      </w:r>
      <w:r w:rsidR="00B839EC" w:rsidRPr="00AB30F3">
        <w:t xml:space="preserve"> </w:t>
      </w:r>
      <w:r w:rsidRPr="00AB30F3">
        <w:t xml:space="preserve">specifically, </w:t>
      </w:r>
      <w:r>
        <w:t>its consultants’ report</w:t>
      </w:r>
      <w:r w:rsidRPr="0003496D">
        <w:t xml:space="preserve"> on demand forecasts, demand forecast spreadsheets, </w:t>
      </w:r>
      <w:r w:rsidR="003A49B1">
        <w:t>access arrangement information</w:t>
      </w:r>
      <w:r w:rsidRPr="0003496D">
        <w:t xml:space="preserve"> and responses to the regulatory information notice (RIN)</w:t>
      </w:r>
    </w:p>
    <w:p w:rsidR="00B670B1" w:rsidRPr="0003496D" w:rsidRDefault="00B670B1" w:rsidP="00B670B1">
      <w:pPr>
        <w:pStyle w:val="AERbulletlistfirststyle"/>
      </w:pPr>
      <w:proofErr w:type="gramStart"/>
      <w:r w:rsidRPr="00AB30F3">
        <w:t>additio</w:t>
      </w:r>
      <w:r>
        <w:t>nal</w:t>
      </w:r>
      <w:proofErr w:type="gramEnd"/>
      <w:r>
        <w:t xml:space="preserve"> information provided by ActewAGL </w:t>
      </w:r>
      <w:r w:rsidRPr="00AB30F3">
        <w:t>in response to our information requests</w:t>
      </w:r>
      <w:r>
        <w:t>.</w:t>
      </w:r>
    </w:p>
    <w:p w:rsidR="00B670B1" w:rsidRPr="00AF1F9E" w:rsidRDefault="00B670B1" w:rsidP="00B670B1">
      <w:pPr>
        <w:pStyle w:val="Heading3"/>
      </w:pPr>
      <w:bookmarkStart w:id="113" w:name="_Toc420069978"/>
      <w:bookmarkStart w:id="114" w:name="_Toc435700353"/>
      <w:bookmarkStart w:id="115" w:name="_Toc451761531"/>
      <w:r w:rsidRPr="00AF1F9E">
        <w:t>Interrelationships</w:t>
      </w:r>
      <w:bookmarkEnd w:id="113"/>
      <w:bookmarkEnd w:id="114"/>
      <w:bookmarkEnd w:id="115"/>
    </w:p>
    <w:p w:rsidR="00B670B1" w:rsidRDefault="00B670B1" w:rsidP="00B670B1">
      <w:r>
        <w:t xml:space="preserve">We have considered the relevant interrelationships between different components of ActewAGL’s </w:t>
      </w:r>
      <w:r w:rsidR="003A49B1">
        <w:t>access arrangement</w:t>
      </w:r>
      <w:r>
        <w:t xml:space="preserve"> as part of our analysis.</w:t>
      </w:r>
    </w:p>
    <w:p w:rsidR="00B670B1" w:rsidRPr="005B3FD2" w:rsidRDefault="00B670B1" w:rsidP="00B670B1">
      <w:r>
        <w:t>Several interrelationships exist. Th</w:t>
      </w:r>
      <w:r w:rsidR="00B839EC">
        <w:t>ese</w:t>
      </w:r>
      <w:r>
        <w:t xml:space="preserve"> include the effect of forecast demand on </w:t>
      </w:r>
      <w:r w:rsidRPr="002920DF">
        <w:t xml:space="preserve">the efficient </w:t>
      </w:r>
      <w:r>
        <w:t>amount</w:t>
      </w:r>
      <w:r w:rsidRPr="002920DF">
        <w:t xml:space="preserve"> of capex and opex </w:t>
      </w:r>
      <w:r>
        <w:t xml:space="preserve">and tariffs </w:t>
      </w:r>
      <w:r w:rsidRPr="002920DF">
        <w:t xml:space="preserve">in the </w:t>
      </w:r>
      <w:r>
        <w:t xml:space="preserve">2016–21 </w:t>
      </w:r>
      <w:r w:rsidR="003A49B1">
        <w:t>access arrangement</w:t>
      </w:r>
      <w:r w:rsidRPr="002920DF">
        <w:t xml:space="preserve"> </w:t>
      </w:r>
      <w:proofErr w:type="gramStart"/>
      <w:r>
        <w:t>period</w:t>
      </w:r>
      <w:proofErr w:type="gramEnd"/>
      <w:r>
        <w:t>. In particular, the demand forecasts impact</w:t>
      </w:r>
      <w:r w:rsidR="00B839EC">
        <w:t xml:space="preserve"> on</w:t>
      </w:r>
      <w:r w:rsidRPr="005B3FD2">
        <w:t>:</w:t>
      </w:r>
    </w:p>
    <w:p w:rsidR="00B670B1" w:rsidRPr="005B3FD2" w:rsidRDefault="00B670B1" w:rsidP="00B670B1">
      <w:pPr>
        <w:pStyle w:val="AERbulletlistfirststyle"/>
      </w:pPr>
      <w:r w:rsidRPr="005B3FD2">
        <w:t>approved connections capex</w:t>
      </w:r>
      <w:r>
        <w:t xml:space="preserve">, given the </w:t>
      </w:r>
      <w:r w:rsidRPr="005B3FD2">
        <w:t>number of new connections affect</w:t>
      </w:r>
      <w:r>
        <w:t>s</w:t>
      </w:r>
      <w:r w:rsidRPr="005B3FD2">
        <w:t xml:space="preserve"> the </w:t>
      </w:r>
      <w:r>
        <w:t xml:space="preserve">amount of </w:t>
      </w:r>
      <w:r w:rsidRPr="005B3FD2">
        <w:t>approved connections capex</w:t>
      </w:r>
    </w:p>
    <w:p w:rsidR="00B670B1" w:rsidRPr="005B3FD2" w:rsidRDefault="00B670B1" w:rsidP="00B670B1">
      <w:pPr>
        <w:pStyle w:val="AERbulletlistfirststyle"/>
      </w:pPr>
      <w:r>
        <w:t xml:space="preserve">the following </w:t>
      </w:r>
      <w:r w:rsidRPr="005B3FD2">
        <w:t>opex items:</w:t>
      </w:r>
    </w:p>
    <w:p w:rsidR="00B670B1" w:rsidRPr="00B670B1" w:rsidRDefault="00B670B1" w:rsidP="00395CF8">
      <w:pPr>
        <w:pStyle w:val="AERbulletlistsecondstyle"/>
      </w:pPr>
      <w:r>
        <w:t>u</w:t>
      </w:r>
      <w:r w:rsidRPr="00B670B1">
        <w:t xml:space="preserve">naccounted </w:t>
      </w:r>
      <w:r w:rsidR="00B839EC">
        <w:t xml:space="preserve">for </w:t>
      </w:r>
      <w:r w:rsidR="00757423">
        <w:t>g</w:t>
      </w:r>
      <w:r w:rsidR="00757423" w:rsidRPr="00B670B1">
        <w:t xml:space="preserve">as </w:t>
      </w:r>
      <w:r w:rsidRPr="00B670B1">
        <w:t>(UA</w:t>
      </w:r>
      <w:r w:rsidR="00757423">
        <w:t>F</w:t>
      </w:r>
      <w:r w:rsidRPr="00B670B1">
        <w:t>G) expenditure, which is forecast as a fixed proportion of the forecast of total throughput</w:t>
      </w:r>
      <w:r w:rsidRPr="00B670B1">
        <w:rPr>
          <w:rStyle w:val="FootnoteReference"/>
        </w:rPr>
        <w:footnoteReference w:id="15"/>
      </w:r>
    </w:p>
    <w:p w:rsidR="00B670B1" w:rsidRPr="00B670B1" w:rsidRDefault="00B670B1" w:rsidP="00395CF8">
      <w:pPr>
        <w:pStyle w:val="AERbulletlistsecondstyle"/>
      </w:pPr>
      <w:r w:rsidRPr="005B3FD2">
        <w:t>Utilities Network Facilities Tax (UNFT) is charged on ‘total service length’</w:t>
      </w:r>
      <w:r w:rsidRPr="00B670B1">
        <w:t>, given ActewAGL’s forecast of total services length is based on the forecast growth in customer numbers</w:t>
      </w:r>
      <w:r w:rsidRPr="00B670B1">
        <w:rPr>
          <w:rStyle w:val="FootnoteReference"/>
        </w:rPr>
        <w:footnoteReference w:id="16"/>
      </w:r>
      <w:r w:rsidRPr="00B670B1">
        <w:t xml:space="preserve"> </w:t>
      </w:r>
    </w:p>
    <w:p w:rsidR="00B670B1" w:rsidRPr="00B670B1" w:rsidRDefault="00B670B1" w:rsidP="00395CF8">
      <w:pPr>
        <w:pStyle w:val="AERbulletlistsecondstyle"/>
      </w:pPr>
      <w:r w:rsidRPr="005B3FD2">
        <w:t>Energy Industry Levy (EIL)</w:t>
      </w:r>
      <w:r w:rsidRPr="00B670B1">
        <w:t>, which is based partly on forecast consumption</w:t>
      </w:r>
      <w:r w:rsidRPr="00B670B1">
        <w:rPr>
          <w:rStyle w:val="FootnoteReference"/>
        </w:rPr>
        <w:footnoteReference w:id="17"/>
      </w:r>
    </w:p>
    <w:p w:rsidR="00B670B1" w:rsidRPr="00B670B1" w:rsidRDefault="00B670B1" w:rsidP="00395CF8">
      <w:pPr>
        <w:pStyle w:val="AERbulletlistsecondstyle"/>
      </w:pPr>
      <w:proofErr w:type="gramStart"/>
      <w:r>
        <w:t>o</w:t>
      </w:r>
      <w:r w:rsidRPr="00B670B1">
        <w:t>utput</w:t>
      </w:r>
      <w:proofErr w:type="gramEnd"/>
      <w:r w:rsidRPr="00B670B1">
        <w:t xml:space="preserve"> growth rate, given the variables that constitute the opex rate of change, namely the number of total connections and the gas demand (consumption), is used to determine the change in outputs. This is an element of the rate of change which is applied to the base opex</w:t>
      </w:r>
      <w:r w:rsidR="00853771">
        <w:t>.</w:t>
      </w:r>
    </w:p>
    <w:p w:rsidR="00B670B1" w:rsidRPr="005B3FD2" w:rsidRDefault="00B670B1" w:rsidP="00395CF8">
      <w:pPr>
        <w:pStyle w:val="AERbulletlistsecondstyle"/>
      </w:pPr>
      <w:proofErr w:type="gramStart"/>
      <w:r>
        <w:t>t</w:t>
      </w:r>
      <w:r w:rsidRPr="005B3FD2">
        <w:t>ariff</w:t>
      </w:r>
      <w:proofErr w:type="gramEnd"/>
      <w:r w:rsidRPr="005B3FD2">
        <w:t xml:space="preserve"> prices</w:t>
      </w:r>
      <w:r>
        <w:t xml:space="preserve">, given they </w:t>
      </w:r>
      <w:r w:rsidRPr="005B3FD2">
        <w:t>depend on forecast demand (consumption) per connection. Changes in these forecasts will change tariff prices. In simple terms, tariff prices are determined by cost divided by quantity (where quantity is measured by demand per connection). This means that an increase in forecast quantity has the effect of reducing the tariff price.</w:t>
      </w:r>
    </w:p>
    <w:p w:rsidR="00A2303E" w:rsidRDefault="00A2303E" w:rsidP="00A2303E">
      <w:pPr>
        <w:pStyle w:val="Heading2"/>
      </w:pPr>
      <w:bookmarkStart w:id="116" w:name="_Toc451761532"/>
      <w:r w:rsidRPr="0074565D">
        <w:t xml:space="preserve">Reasons for </w:t>
      </w:r>
      <w:r>
        <w:t>final</w:t>
      </w:r>
      <w:r w:rsidRPr="0074565D">
        <w:t xml:space="preserve"> decision</w:t>
      </w:r>
      <w:bookmarkEnd w:id="111"/>
      <w:bookmarkEnd w:id="112"/>
      <w:bookmarkEnd w:id="116"/>
      <w:r w:rsidRPr="0074565D">
        <w:t xml:space="preserve"> </w:t>
      </w:r>
    </w:p>
    <w:p w:rsidR="00A20BAE" w:rsidRDefault="00354178" w:rsidP="00DB3426">
      <w:r>
        <w:t>We accept ActewAGL's revised proposal on Tariff V new residential connection</w:t>
      </w:r>
      <w:r w:rsidR="00177361">
        <w:t>s</w:t>
      </w:r>
      <w:r>
        <w:t xml:space="preserve"> for medium density/high rise (MD/HR) dwellings.  We are satisfied that the application of a </w:t>
      </w:r>
      <w:r w:rsidR="00AB309A">
        <w:t xml:space="preserve">gas connection rate of </w:t>
      </w:r>
      <w:r w:rsidR="00816203">
        <w:t>7</w:t>
      </w:r>
      <w:r w:rsidR="00CC2D0F">
        <w:t>1.4</w:t>
      </w:r>
      <w:r w:rsidR="00816203">
        <w:t xml:space="preserve"> </w:t>
      </w:r>
      <w:r w:rsidR="00AB309A">
        <w:t xml:space="preserve"> per cent </w:t>
      </w:r>
      <w:r>
        <w:t xml:space="preserve">to forecast new connections for MD/HR </w:t>
      </w:r>
      <w:r w:rsidR="00BB2E73">
        <w:t>for the 2016</w:t>
      </w:r>
      <w:r w:rsidR="007742A4">
        <w:t>–</w:t>
      </w:r>
      <w:r w:rsidR="00BB2E73">
        <w:t>21</w:t>
      </w:r>
      <w:r w:rsidR="00395CF8">
        <w:t xml:space="preserve"> </w:t>
      </w:r>
      <w:r w:rsidR="003A49B1">
        <w:t>access arrangement</w:t>
      </w:r>
      <w:r w:rsidR="00BB2E73">
        <w:t xml:space="preserve"> period </w:t>
      </w:r>
      <w:r>
        <w:t>would result in the best estimate in the circumstances.</w:t>
      </w:r>
      <w:r w:rsidR="000C4A31">
        <w:t xml:space="preserve"> </w:t>
      </w:r>
    </w:p>
    <w:p w:rsidR="00A20BAE" w:rsidRDefault="000C4A31" w:rsidP="00DB3426">
      <w:r>
        <w:t>Notwithstanding our acceptance of ActewAGL's revised proposal on new connections for MD/HR</w:t>
      </w:r>
      <w:r w:rsidR="00757423">
        <w:t xml:space="preserve"> dwellings</w:t>
      </w:r>
      <w:r>
        <w:t xml:space="preserve">, </w:t>
      </w:r>
      <w:r w:rsidR="00A20BAE" w:rsidRPr="00A20BAE">
        <w:t>we identified a number of inconsistencies with its modelling assumptions. These relate to ActewAGL's assumed forecast meter configuration for high rise dwellings and associated forecast gas consumption for this dwelling type over the 2016</w:t>
      </w:r>
      <w:r w:rsidR="007742A4">
        <w:t>–</w:t>
      </w:r>
      <w:r w:rsidR="00A20BAE" w:rsidRPr="00A20BAE">
        <w:t xml:space="preserve">21 </w:t>
      </w:r>
      <w:r w:rsidR="003A49B1">
        <w:t>access arrangement</w:t>
      </w:r>
      <w:r w:rsidR="00A20BAE" w:rsidRPr="00A20BAE">
        <w:t xml:space="preserve"> </w:t>
      </w:r>
      <w:proofErr w:type="gramStart"/>
      <w:r w:rsidR="00A20BAE" w:rsidRPr="00A20BAE">
        <w:t>period</w:t>
      </w:r>
      <w:proofErr w:type="gramEnd"/>
      <w:r w:rsidR="00A20BAE" w:rsidRPr="00A20BAE">
        <w:t xml:space="preserve">. </w:t>
      </w:r>
      <w:r w:rsidR="00A20BAE">
        <w:t xml:space="preserve"> We have therefore made some modelling adjustments which increase total</w:t>
      </w:r>
      <w:r w:rsidR="00395CF8">
        <w:t xml:space="preserve"> residential</w:t>
      </w:r>
      <w:r w:rsidR="00A20BAE">
        <w:t xml:space="preserve"> consumption and affect tariffs for </w:t>
      </w:r>
      <w:r w:rsidR="00345183">
        <w:t xml:space="preserve">most </w:t>
      </w:r>
      <w:r w:rsidR="00395CF8">
        <w:t xml:space="preserve">residential </w:t>
      </w:r>
      <w:r w:rsidR="00A20BAE">
        <w:t>connection types.</w:t>
      </w:r>
    </w:p>
    <w:p w:rsidR="00A20BAE" w:rsidRDefault="00A20BAE" w:rsidP="00A20BAE">
      <w:pPr>
        <w:pStyle w:val="HeadingBoldItalic"/>
      </w:pPr>
      <w:r w:rsidRPr="00A20BAE">
        <w:t xml:space="preserve">Assessment of ActewAGL's revised connection numbers </w:t>
      </w:r>
    </w:p>
    <w:p w:rsidR="00395CF8" w:rsidRDefault="00395CF8" w:rsidP="00395CF8">
      <w:r w:rsidRPr="00395CF8">
        <w:t xml:space="preserve">Our acceptance of ActewAGL's revised connection numbers for MD/HR </w:t>
      </w:r>
      <w:r w:rsidR="00757423">
        <w:t xml:space="preserve">dwellings </w:t>
      </w:r>
      <w:r w:rsidRPr="00395CF8">
        <w:t xml:space="preserve">results in a 92 per cent increase in MD/HR connection numbers compared to our alternative estimate in the draft decision. </w:t>
      </w:r>
    </w:p>
    <w:p w:rsidR="00395CF8" w:rsidRPr="00395CF8" w:rsidRDefault="00395CF8" w:rsidP="00395CF8">
      <w:r w:rsidRPr="00395CF8">
        <w:t xml:space="preserve">In our draft decision, we used RIN data in Core Energy's demand model to derive our alternative estimate, as ActewAGL indicated that the market expansion (ME) capex unit rate model could not be relied upon for forecasting purposes. In particular, we note ActewAGL's statement </w:t>
      </w:r>
      <w:r>
        <w:t>during our assessment of its initial proposal</w:t>
      </w:r>
      <w:r w:rsidRPr="00395CF8">
        <w:t xml:space="preserve"> that </w:t>
      </w:r>
      <w:r w:rsidR="00757423">
        <w:t>"</w:t>
      </w:r>
      <w:proofErr w:type="gramStart"/>
      <w:r w:rsidRPr="00395CF8">
        <w:t>..the</w:t>
      </w:r>
      <w:proofErr w:type="gramEnd"/>
      <w:r w:rsidRPr="00395CF8">
        <w:t xml:space="preserve"> data in the market expansion unit rate model does not reflect the total number of historical new connections.</w:t>
      </w:r>
      <w:r w:rsidR="00757423">
        <w:t>"</w:t>
      </w:r>
      <w:r w:rsidRPr="00395CF8">
        <w:rPr>
          <w:rStyle w:val="FootnoteReference"/>
        </w:rPr>
        <w:footnoteReference w:id="18"/>
      </w:r>
      <w:r w:rsidRPr="00395CF8">
        <w:t xml:space="preserve"> Further, ActewAGL state</w:t>
      </w:r>
      <w:r w:rsidR="00757423">
        <w:t>d</w:t>
      </w:r>
      <w:r w:rsidRPr="00395CF8">
        <w:t xml:space="preserve"> that </w:t>
      </w:r>
      <w:r w:rsidR="00757423">
        <w:t>"</w:t>
      </w:r>
      <w:r w:rsidRPr="00395CF8">
        <w:t>[t]he historical data from the demand forecast model [RIN data] is more appropriate for determining historical penetration rates.</w:t>
      </w:r>
      <w:r w:rsidR="00757423">
        <w:t>"</w:t>
      </w:r>
      <w:r w:rsidRPr="00395CF8">
        <w:rPr>
          <w:rStyle w:val="FootnoteReference"/>
        </w:rPr>
        <w:footnoteReference w:id="19"/>
      </w:r>
      <w:r w:rsidRPr="00395CF8">
        <w:t xml:space="preserve"> Based on the information before us, that is using RIN data from the Core Energy </w:t>
      </w:r>
      <w:proofErr w:type="gramStart"/>
      <w:r w:rsidRPr="00395CF8">
        <w:t>model,</w:t>
      </w:r>
      <w:proofErr w:type="gramEnd"/>
      <w:r w:rsidRPr="00395CF8">
        <w:t xml:space="preserve"> we estimated a historically revealed gas connection rate of 36 per cent for MD/HR </w:t>
      </w:r>
      <w:r w:rsidR="00757423">
        <w:t xml:space="preserve">dwellings </w:t>
      </w:r>
      <w:r w:rsidRPr="00395CF8">
        <w:t xml:space="preserve">and an overall gas </w:t>
      </w:r>
      <w:r w:rsidR="00757423">
        <w:t xml:space="preserve">connection </w:t>
      </w:r>
      <w:r w:rsidRPr="00395CF8">
        <w:t>rate for all new dwellings of 62 per cent. In coming to this position, we compared our gas connection rate estimates against those using historical data in ActewAGL's market expansion (ME) capex unit rate model, and found these to be similar.</w:t>
      </w:r>
      <w:r w:rsidRPr="00395CF8">
        <w:rPr>
          <w:rStyle w:val="FootnoteReference"/>
        </w:rPr>
        <w:footnoteReference w:id="20"/>
      </w:r>
    </w:p>
    <w:p w:rsidR="00B21655" w:rsidRDefault="00A20BAE" w:rsidP="00177361">
      <w:r>
        <w:t>In its revised proposal, t</w:t>
      </w:r>
      <w:r w:rsidR="00B21655" w:rsidRPr="00B21655">
        <w:t>o derive its revised forecast connection numbers for MD/HR dwellings</w:t>
      </w:r>
      <w:r w:rsidR="00B21655">
        <w:t xml:space="preserve">, </w:t>
      </w:r>
      <w:r w:rsidR="00177361" w:rsidRPr="00177361">
        <w:t xml:space="preserve">ActewAGL </w:t>
      </w:r>
      <w:r w:rsidR="00395CF8">
        <w:t>applied</w:t>
      </w:r>
      <w:r w:rsidR="00B21655">
        <w:t xml:space="preserve"> </w:t>
      </w:r>
      <w:r w:rsidR="00042E27">
        <w:t>a</w:t>
      </w:r>
      <w:r w:rsidR="00B21655" w:rsidRPr="00B21655">
        <w:t xml:space="preserve"> historically revealed gas connection rate for MD/HR dwellings </w:t>
      </w:r>
      <w:r w:rsidR="0060561F">
        <w:t>of 71.4</w:t>
      </w:r>
      <w:r w:rsidR="00B21655">
        <w:t xml:space="preserve"> per cent </w:t>
      </w:r>
      <w:r w:rsidR="00B21655" w:rsidRPr="00B21655">
        <w:t>over</w:t>
      </w:r>
      <w:r w:rsidR="00B21655">
        <w:t xml:space="preserve"> the 2010</w:t>
      </w:r>
      <w:r w:rsidR="00757423">
        <w:t>–</w:t>
      </w:r>
      <w:r w:rsidR="00B21655">
        <w:t>11 to 2013</w:t>
      </w:r>
      <w:r w:rsidR="00757423">
        <w:t>–</w:t>
      </w:r>
      <w:r w:rsidR="00B21655">
        <w:t xml:space="preserve">14 </w:t>
      </w:r>
      <w:proofErr w:type="gramStart"/>
      <w:r w:rsidR="00B21655">
        <w:t>period</w:t>
      </w:r>
      <w:proofErr w:type="gramEnd"/>
      <w:r w:rsidR="00B21655">
        <w:t xml:space="preserve">. The historical connection numbers are contained in ActewAGL's </w:t>
      </w:r>
      <w:r w:rsidR="00177361" w:rsidRPr="00177361">
        <w:t xml:space="preserve">revised </w:t>
      </w:r>
      <w:r w:rsidR="00CC654E">
        <w:t>ME</w:t>
      </w:r>
      <w:r w:rsidR="00177361" w:rsidRPr="00177361">
        <w:t xml:space="preserve"> </w:t>
      </w:r>
      <w:r w:rsidR="00757423">
        <w:t xml:space="preserve">capex </w:t>
      </w:r>
      <w:r w:rsidR="00177361" w:rsidRPr="00177361">
        <w:t xml:space="preserve">unit rate model, the same model submitted in support of ActewAGL's ME capex for the 2016-21 </w:t>
      </w:r>
      <w:r w:rsidR="003A49B1">
        <w:t>access arrangement</w:t>
      </w:r>
      <w:r w:rsidR="00177361" w:rsidRPr="00177361">
        <w:t xml:space="preserve"> period. </w:t>
      </w:r>
    </w:p>
    <w:p w:rsidR="00775998" w:rsidRDefault="00775998" w:rsidP="00177361">
      <w:r>
        <w:t>In response to our information request, ActewAGL explained that its revised ME capex unit rate model provides a revised set of historical new connection numbers based on the number of customers connected, regardless of whether the customers are connected with a gas meter and/or a hot water meter.</w:t>
      </w:r>
      <w:r>
        <w:rPr>
          <w:rStyle w:val="FootnoteReference"/>
        </w:rPr>
        <w:footnoteReference w:id="21"/>
      </w:r>
      <w:r>
        <w:t xml:space="preserve">  </w:t>
      </w:r>
    </w:p>
    <w:p w:rsidR="00395CF8" w:rsidRPr="00395CF8" w:rsidRDefault="00395CF8" w:rsidP="00395CF8">
      <w:r w:rsidRPr="00395CF8">
        <w:t xml:space="preserve">ActewAGL submitted that although the ME </w:t>
      </w:r>
      <w:r w:rsidR="00757423">
        <w:t xml:space="preserve">capex </w:t>
      </w:r>
      <w:r w:rsidRPr="00395CF8">
        <w:t>unit rate model submitted in its initial proposal reported historical connection numbers based on the number of gas meters, it has since identified that this does not capture high rise customers who are only connected with a hot water meter and not connected to a gas meter. ActewAGL submitted that only the high rise subset of the medium density and high rise market segment is affected since all connections in other market segments generally include a gas meter.</w:t>
      </w:r>
      <w:r w:rsidRPr="00395CF8">
        <w:rPr>
          <w:rStyle w:val="FootnoteReference"/>
        </w:rPr>
        <w:footnoteReference w:id="22"/>
      </w:r>
      <w:r w:rsidRPr="00395CF8">
        <w:t xml:space="preserve"> The inclusion of those high rise connections with only a hot water meter connection increases its historical connections for MD/HR dwellings over 2010</w:t>
      </w:r>
      <w:r w:rsidR="00757423">
        <w:t>–</w:t>
      </w:r>
      <w:r w:rsidRPr="00395CF8">
        <w:t>11 to 2013</w:t>
      </w:r>
      <w:r w:rsidR="00757423">
        <w:t>–</w:t>
      </w:r>
      <w:r w:rsidRPr="00395CF8">
        <w:t>14 by about 49.7 per cent (from 4145  to 8244 connections).</w:t>
      </w:r>
      <w:r w:rsidRPr="00395CF8">
        <w:rPr>
          <w:rStyle w:val="FootnoteReference"/>
        </w:rPr>
        <w:footnoteReference w:id="23"/>
      </w:r>
    </w:p>
    <w:p w:rsidR="00395CF8" w:rsidRPr="00395CF8" w:rsidRDefault="00395CF8" w:rsidP="00395CF8">
      <w:pPr>
        <w:pStyle w:val="AERbulletlistfirststyle"/>
        <w:numPr>
          <w:ilvl w:val="0"/>
          <w:numId w:val="0"/>
        </w:numPr>
      </w:pPr>
      <w:r w:rsidRPr="00395CF8">
        <w:t xml:space="preserve">In coming to our position, we liaised extensively with ActewAGL to properly understand its revised ME </w:t>
      </w:r>
      <w:r w:rsidR="00757423">
        <w:t xml:space="preserve">capex </w:t>
      </w:r>
      <w:r w:rsidRPr="00395CF8">
        <w:t>unit rate model and the underlying data and the forecast methodology it applied to derive its new connection numbers for the 2016</w:t>
      </w:r>
      <w:r w:rsidR="00757423">
        <w:t>–</w:t>
      </w:r>
      <w:r w:rsidRPr="00395CF8">
        <w:t xml:space="preserve">21 </w:t>
      </w:r>
      <w:r w:rsidR="003A49B1">
        <w:t>access arrangement</w:t>
      </w:r>
      <w:r w:rsidRPr="00395CF8">
        <w:t xml:space="preserve"> period.  With minor changes, for the following reasons, we accept ActewAGL's estimated gas connection rate of 71.4 per cent for MD/HR dwellings (implied penetration rate of 61 per cent):</w:t>
      </w:r>
    </w:p>
    <w:p w:rsidR="00395CF8" w:rsidRPr="00395CF8" w:rsidRDefault="00395CF8" w:rsidP="00395CF8">
      <w:pPr>
        <w:pStyle w:val="AERbulletlistfirststyle"/>
      </w:pPr>
      <w:r w:rsidRPr="00395CF8">
        <w:t xml:space="preserve">our review of </w:t>
      </w:r>
      <w:proofErr w:type="spellStart"/>
      <w:r w:rsidR="00757423">
        <w:t>ActewAGL's</w:t>
      </w:r>
      <w:proofErr w:type="spellEnd"/>
      <w:r w:rsidR="00757423" w:rsidRPr="00395CF8">
        <w:t xml:space="preserve"> </w:t>
      </w:r>
      <w:r w:rsidRPr="00395CF8">
        <w:t xml:space="preserve">revised ME </w:t>
      </w:r>
      <w:r w:rsidR="00757423">
        <w:t xml:space="preserve">capex </w:t>
      </w:r>
      <w:r w:rsidRPr="00395CF8">
        <w:t>model did not find any double counting of customers connected with gas meter and hot water meter;</w:t>
      </w:r>
    </w:p>
    <w:p w:rsidR="00395CF8" w:rsidRPr="00395CF8" w:rsidRDefault="00395CF8" w:rsidP="00395CF8">
      <w:pPr>
        <w:pStyle w:val="AERbulletlistfirststyle"/>
      </w:pPr>
      <w:r w:rsidRPr="00395CF8">
        <w:t>the revised new historical connection numbers are measured in terms of delivery point identifiers (DPI) and are consistent with the measure of total customer connections reported in the annual reset RIN;</w:t>
      </w:r>
    </w:p>
    <w:p w:rsidR="00395CF8" w:rsidRPr="00395CF8" w:rsidRDefault="00395CF8" w:rsidP="00395CF8">
      <w:pPr>
        <w:pStyle w:val="AERbulletlistfirststyle"/>
      </w:pPr>
      <w:r w:rsidRPr="00395CF8">
        <w:t>the updated historical data addresses, to some extent, the data inconsistency concerns that we raised in our draft decision, particularly the ‘unbalance/unreconciled' item for year-to-year movements in total connection numbers  in the Core Energy demand model.</w:t>
      </w:r>
      <w:r w:rsidRPr="00395CF8">
        <w:rPr>
          <w:rStyle w:val="FootnoteReference"/>
        </w:rPr>
        <w:footnoteReference w:id="24"/>
      </w:r>
      <w:r w:rsidRPr="00395CF8">
        <w:t xml:space="preserve">   </w:t>
      </w:r>
    </w:p>
    <w:p w:rsidR="00395CF8" w:rsidRPr="00395CF8" w:rsidRDefault="00395CF8" w:rsidP="00395CF8">
      <w:pPr>
        <w:pStyle w:val="AERbulletlistfirststyle"/>
        <w:numPr>
          <w:ilvl w:val="0"/>
          <w:numId w:val="0"/>
        </w:numPr>
      </w:pPr>
      <w:r w:rsidRPr="00395CF8">
        <w:rPr>
          <w:rStyle w:val="AERbody"/>
        </w:rPr>
        <w:t xml:space="preserve">We have also made a minor change to </w:t>
      </w:r>
      <w:r w:rsidR="00757423">
        <w:rPr>
          <w:rStyle w:val="AERbody"/>
        </w:rPr>
        <w:t>Electricity to Gas (</w:t>
      </w:r>
      <w:r w:rsidRPr="00395CF8">
        <w:rPr>
          <w:rStyle w:val="AERbody"/>
        </w:rPr>
        <w:t>E to G</w:t>
      </w:r>
      <w:r w:rsidR="00757423">
        <w:rPr>
          <w:rStyle w:val="AERbody"/>
        </w:rPr>
        <w:t>)</w:t>
      </w:r>
      <w:r w:rsidRPr="00395CF8">
        <w:rPr>
          <w:rStyle w:val="AERbody"/>
        </w:rPr>
        <w:t xml:space="preserve"> connections. ActewAGL submitted that data within the revised ME </w:t>
      </w:r>
      <w:r w:rsidR="00757423">
        <w:rPr>
          <w:rStyle w:val="AERbody"/>
        </w:rPr>
        <w:t xml:space="preserve">capex </w:t>
      </w:r>
      <w:r w:rsidRPr="00395CF8">
        <w:rPr>
          <w:rStyle w:val="AERbody"/>
        </w:rPr>
        <w:t xml:space="preserve">unit rate model has been extracted from the GASS+ system to ensure consistency with other datasets. ActewAGL acknowledges that </w:t>
      </w:r>
      <w:r w:rsidR="00757423">
        <w:rPr>
          <w:rStyle w:val="AERbody"/>
        </w:rPr>
        <w:t>"</w:t>
      </w:r>
      <w:r w:rsidRPr="00395CF8">
        <w:rPr>
          <w:rStyle w:val="AERbody"/>
        </w:rPr>
        <w:t>[t]he change in the use of invoice data to the GASS+ system also results in some small changes to other market segments.</w:t>
      </w:r>
      <w:r w:rsidR="00757423">
        <w:rPr>
          <w:rStyle w:val="AERbody"/>
        </w:rPr>
        <w:t>"</w:t>
      </w:r>
      <w:r w:rsidRPr="00395CF8">
        <w:rPr>
          <w:rStyle w:val="FootnoteReference"/>
        </w:rPr>
        <w:footnoteReference w:id="25"/>
      </w:r>
      <w:r w:rsidRPr="00395CF8">
        <w:rPr>
          <w:rStyle w:val="AERbody"/>
        </w:rPr>
        <w:t xml:space="preserve"> </w:t>
      </w:r>
      <w:r w:rsidRPr="00395CF8">
        <w:t xml:space="preserve">Notably, in reviewing ActewAGL's revised demand model, the historical E to G new connection numbers </w:t>
      </w:r>
      <w:proofErr w:type="gramStart"/>
      <w:r w:rsidRPr="00395CF8">
        <w:t>are</w:t>
      </w:r>
      <w:proofErr w:type="gramEnd"/>
      <w:r w:rsidRPr="00395CF8">
        <w:t xml:space="preserve"> reduced from 768 to 700 per annum.  We have therefore adjusted the forecasts for E to G new connections to reflect this change in the historical connection numbers for</w:t>
      </w:r>
      <w:r>
        <w:t xml:space="preserve"> that connection type</w:t>
      </w:r>
      <w:r w:rsidRPr="00395CF8">
        <w:t xml:space="preserve">.     </w:t>
      </w:r>
    </w:p>
    <w:p w:rsidR="000C4A31" w:rsidRDefault="000C4A31" w:rsidP="000C4A31">
      <w:pPr>
        <w:pStyle w:val="HeadingBoldItalic"/>
      </w:pPr>
      <w:r>
        <w:t xml:space="preserve">Inconsistencies with modelling assumptions </w:t>
      </w:r>
    </w:p>
    <w:p w:rsidR="003967E8" w:rsidRPr="003967E8" w:rsidRDefault="00295115" w:rsidP="003967E8">
      <w:r>
        <w:t>In reviewing ActewAGL's revised proposal, we identified a number of inconsistencies with its modelling assumptions. These relate to ActewAGL's</w:t>
      </w:r>
      <w:r w:rsidR="003967E8">
        <w:t xml:space="preserve"> assumed</w:t>
      </w:r>
      <w:r>
        <w:t xml:space="preserve"> </w:t>
      </w:r>
      <w:r w:rsidRPr="00295115">
        <w:t xml:space="preserve">forecast meter configuration for high rise dwellings and associated </w:t>
      </w:r>
      <w:r>
        <w:t xml:space="preserve">forecast gas </w:t>
      </w:r>
      <w:r w:rsidRPr="00295115">
        <w:t>con</w:t>
      </w:r>
      <w:r>
        <w:t>sumption</w:t>
      </w:r>
      <w:r w:rsidRPr="00295115">
        <w:t xml:space="preserve"> </w:t>
      </w:r>
      <w:r w:rsidR="003967E8">
        <w:t xml:space="preserve">for this dwelling type </w:t>
      </w:r>
      <w:r>
        <w:t>over the 2016</w:t>
      </w:r>
      <w:r w:rsidR="00757423">
        <w:t>–</w:t>
      </w:r>
      <w:r>
        <w:t xml:space="preserve">21 </w:t>
      </w:r>
      <w:r w:rsidR="003A49B1">
        <w:t>access arrangement</w:t>
      </w:r>
      <w:r>
        <w:t xml:space="preserve"> </w:t>
      </w:r>
      <w:proofErr w:type="gramStart"/>
      <w:r>
        <w:t>period</w:t>
      </w:r>
      <w:proofErr w:type="gramEnd"/>
      <w:r>
        <w:t xml:space="preserve">. </w:t>
      </w:r>
    </w:p>
    <w:p w:rsidR="00CC654E" w:rsidRDefault="00CC654E" w:rsidP="00CC654E">
      <w:r>
        <w:t xml:space="preserve">In reviewing the revised ME capex unit rate model, </w:t>
      </w:r>
      <w:r w:rsidR="00710B9E">
        <w:t xml:space="preserve">we </w:t>
      </w:r>
      <w:r w:rsidR="00FB118C">
        <w:t xml:space="preserve">found </w:t>
      </w:r>
      <w:r w:rsidR="00BB64F8">
        <w:t xml:space="preserve">that </w:t>
      </w:r>
      <w:r w:rsidR="00054E75">
        <w:t xml:space="preserve">for the historical period 2011 to 2014 </w:t>
      </w:r>
      <w:r w:rsidR="00BB64F8">
        <w:t xml:space="preserve">most high rise </w:t>
      </w:r>
      <w:r w:rsidR="00054E75">
        <w:t>development</w:t>
      </w:r>
      <w:r w:rsidR="00BB64F8">
        <w:t>s are</w:t>
      </w:r>
      <w:r w:rsidR="00710B9E">
        <w:t xml:space="preserve"> </w:t>
      </w:r>
      <w:r w:rsidR="00BB64F8">
        <w:t xml:space="preserve">connected to hot water only and only a small number of high rise buildings have both a gas </w:t>
      </w:r>
      <w:r w:rsidR="00710B9E">
        <w:t xml:space="preserve">meter </w:t>
      </w:r>
      <w:r w:rsidR="00BB64F8">
        <w:t>and hot water connection.</w:t>
      </w:r>
      <w:r w:rsidR="00054E75">
        <w:t xml:space="preserve">  ActewAGL agree</w:t>
      </w:r>
      <w:r w:rsidR="000C4A31">
        <w:t>d</w:t>
      </w:r>
      <w:r w:rsidR="00054E75">
        <w:t xml:space="preserve"> with this observation.</w:t>
      </w:r>
      <w:r w:rsidR="00054E75">
        <w:rPr>
          <w:rStyle w:val="FootnoteReference"/>
        </w:rPr>
        <w:footnoteReference w:id="26"/>
      </w:r>
      <w:r w:rsidR="00BB64F8">
        <w:t xml:space="preserve"> </w:t>
      </w:r>
      <w:r w:rsidR="00B01E76">
        <w:t xml:space="preserve"> We would expect</w:t>
      </w:r>
      <w:r w:rsidR="00710B9E">
        <w:t xml:space="preserve"> that ActewAGL would apply this </w:t>
      </w:r>
      <w:r w:rsidR="00B01E76">
        <w:t>historicall</w:t>
      </w:r>
      <w:r w:rsidR="00710B9E">
        <w:t xml:space="preserve">y revealed metering trend to the forecast period. </w:t>
      </w:r>
      <w:r w:rsidR="00B01E76">
        <w:t>Instead,</w:t>
      </w:r>
      <w:r w:rsidR="00A847FC">
        <w:t xml:space="preserve"> Ac</w:t>
      </w:r>
      <w:r w:rsidR="00710B9E">
        <w:t>t</w:t>
      </w:r>
      <w:r w:rsidR="00A847FC">
        <w:t>e</w:t>
      </w:r>
      <w:r w:rsidR="00710B9E">
        <w:t>wAGL</w:t>
      </w:r>
      <w:r w:rsidR="00B01E76">
        <w:t xml:space="preserve"> assumes that </w:t>
      </w:r>
      <w:r w:rsidR="00BB64F8">
        <w:t xml:space="preserve">50 per cent </w:t>
      </w:r>
      <w:r w:rsidR="00B01E76">
        <w:t>of high rise bui</w:t>
      </w:r>
      <w:r w:rsidR="00710B9E">
        <w:t xml:space="preserve">ldings have a hot water only connection and 50 per cent of these buildings have a hot water and gas meter connection. In response to our information request, ActewAGL </w:t>
      </w:r>
      <w:r w:rsidR="00A847FC">
        <w:t>explained that the 50/50 split assumption was due to uncertainty around forecasting developers</w:t>
      </w:r>
      <w:r w:rsidR="00042E27">
        <w:t>'</w:t>
      </w:r>
      <w:r w:rsidR="00A847FC">
        <w:t xml:space="preserve"> future preferences in high rise buildings.</w:t>
      </w:r>
      <w:r w:rsidR="00A847FC">
        <w:rPr>
          <w:rStyle w:val="FootnoteReference"/>
        </w:rPr>
        <w:footnoteReference w:id="27"/>
      </w:r>
      <w:r w:rsidR="00A847FC">
        <w:t xml:space="preserve"> In particular, while the Boundary Code</w:t>
      </w:r>
      <w:r w:rsidR="00387E8C">
        <w:rPr>
          <w:rStyle w:val="FootnoteReference"/>
        </w:rPr>
        <w:footnoteReference w:id="28"/>
      </w:r>
      <w:r w:rsidR="00A847FC">
        <w:t xml:space="preserve"> may move developers away from gas cooking and heating, </w:t>
      </w:r>
      <w:r w:rsidR="00395CF8">
        <w:t>ActewAGL's</w:t>
      </w:r>
      <w:r w:rsidR="00A847FC">
        <w:t xml:space="preserve"> new volume-boundary reference tariff may encourage developers to connect to gas for cooking and heating. Further, given the small sample size of high rise</w:t>
      </w:r>
      <w:r w:rsidR="00395CF8">
        <w:t xml:space="preserve"> developments in Canberra, Actew</w:t>
      </w:r>
      <w:r w:rsidR="00A847FC">
        <w:t>AGL cautions from drawing any inferences from four years of high rise data.</w:t>
      </w:r>
      <w:r w:rsidR="00A847FC">
        <w:rPr>
          <w:rStyle w:val="FootnoteReference"/>
        </w:rPr>
        <w:footnoteReference w:id="29"/>
      </w:r>
      <w:r w:rsidR="00A847FC">
        <w:t xml:space="preserve"> </w:t>
      </w:r>
      <w:r w:rsidR="00295115">
        <w:t>Given</w:t>
      </w:r>
      <w:r w:rsidR="00395CF8">
        <w:t xml:space="preserve"> the</w:t>
      </w:r>
      <w:r w:rsidR="00295115">
        <w:t xml:space="preserve"> uncertainty around likely high rise meter configuration</w:t>
      </w:r>
      <w:r w:rsidR="007560DF">
        <w:t xml:space="preserve"> in the forecast period</w:t>
      </w:r>
      <w:r w:rsidR="00295115">
        <w:t>, we accep</w:t>
      </w:r>
      <w:r w:rsidR="00A20BAE">
        <w:t xml:space="preserve">t ActewAGL's reasons to apply </w:t>
      </w:r>
      <w:r w:rsidR="00395CF8">
        <w:t xml:space="preserve">a </w:t>
      </w:r>
      <w:r w:rsidR="00295115">
        <w:t>50/50 split assumption.</w:t>
      </w:r>
    </w:p>
    <w:p w:rsidR="009A25F8" w:rsidRDefault="002509DA" w:rsidP="00D126CE">
      <w:r>
        <w:t xml:space="preserve">However, the revised </w:t>
      </w:r>
      <w:r w:rsidR="0040282B">
        <w:t>historical data raises a</w:t>
      </w:r>
      <w:r w:rsidR="00A20BAE">
        <w:t xml:space="preserve">n </w:t>
      </w:r>
      <w:r w:rsidR="0040282B">
        <w:t>inconsistency relating to</w:t>
      </w:r>
      <w:r w:rsidR="00CC654E">
        <w:t xml:space="preserve"> </w:t>
      </w:r>
      <w:r w:rsidR="00D126CE" w:rsidRPr="00D126CE">
        <w:t>ActewAGL</w:t>
      </w:r>
      <w:r w:rsidR="00D126CE">
        <w:t>'s assum</w:t>
      </w:r>
      <w:r w:rsidR="0040282B">
        <w:t>ed</w:t>
      </w:r>
      <w:r w:rsidR="00D126CE" w:rsidRPr="00D126CE">
        <w:t xml:space="preserve"> reduction of 5.58GJ in </w:t>
      </w:r>
      <w:r w:rsidR="007560DF">
        <w:t xml:space="preserve">residential </w:t>
      </w:r>
      <w:r w:rsidR="00D126CE" w:rsidRPr="00D126CE">
        <w:t xml:space="preserve">consumption per connection in the forecast period due to Boundary Code changes. </w:t>
      </w:r>
      <w:r w:rsidR="0040282B">
        <w:t xml:space="preserve">We accepted this </w:t>
      </w:r>
      <w:r w:rsidR="00A20BAE">
        <w:t xml:space="preserve">assumption </w:t>
      </w:r>
      <w:r w:rsidR="0040282B">
        <w:t xml:space="preserve">in our draft decision, </w:t>
      </w:r>
      <w:r w:rsidR="002C4B4F">
        <w:t xml:space="preserve">based on Core Energy's argument that high rise dwellings will only have gas hot water connections due to the </w:t>
      </w:r>
      <w:r w:rsidR="000B2059">
        <w:t>significantly</w:t>
      </w:r>
      <w:r w:rsidR="002C4B4F">
        <w:t xml:space="preserve"> higher cost </w:t>
      </w:r>
      <w:r w:rsidR="00750FD3">
        <w:t>imposed by the Boundary Code change on</w:t>
      </w:r>
      <w:r w:rsidR="002C4B4F">
        <w:t xml:space="preserve"> developers to offer gas heating and cooking connections. </w:t>
      </w:r>
      <w:r w:rsidR="00D126CE" w:rsidRPr="00D126CE">
        <w:t xml:space="preserve">However, we consider that the assumption of a reduction to average consumption per connection for that connection type </w:t>
      </w:r>
      <w:r w:rsidR="00395CF8">
        <w:t>appears unnecessary</w:t>
      </w:r>
      <w:r w:rsidR="00D126CE" w:rsidRPr="00D126CE">
        <w:t xml:space="preserve">, in light of the updated data on MD/HR connection numbers provided by ActewAGL. </w:t>
      </w:r>
      <w:r w:rsidR="00295115">
        <w:t>In particular, as noted above, m</w:t>
      </w:r>
      <w:r w:rsidR="002C4B4F">
        <w:t>ost of the high rise developments covered in the historical period are connected with hot water only, and only 50 per cent of the high rise developments in the forecast period are assumed to be connected with hot wate</w:t>
      </w:r>
      <w:r w:rsidR="000B2059">
        <w:t>r</w:t>
      </w:r>
      <w:r w:rsidR="002C4B4F">
        <w:t xml:space="preserve"> only.</w:t>
      </w:r>
      <w:r w:rsidR="00A20BAE">
        <w:t xml:space="preserve"> </w:t>
      </w:r>
    </w:p>
    <w:p w:rsidR="00395CF8" w:rsidRPr="00395CF8" w:rsidRDefault="00395CF8" w:rsidP="00395CF8">
      <w:r w:rsidRPr="00395CF8">
        <w:t>Thus, for this final decision, we do not accept that applying a reduction of 5.58GJ in consumption per connection would result in the best estimate in the circumstances. Accordingly, in this final decision we have:</w:t>
      </w:r>
    </w:p>
    <w:p w:rsidR="00395CF8" w:rsidRPr="00395CF8" w:rsidRDefault="00395CF8" w:rsidP="00395CF8">
      <w:pPr>
        <w:pStyle w:val="AERbulletlistfirststyle"/>
      </w:pPr>
      <w:proofErr w:type="gramStart"/>
      <w:r w:rsidRPr="00395CF8">
        <w:t>not</w:t>
      </w:r>
      <w:proofErr w:type="gramEnd"/>
      <w:r w:rsidRPr="00395CF8">
        <w:t xml:space="preserve"> adjusted the overall rate of decline in average consumption for all residential customers. This increases total residential consumption forecasts, relative to </w:t>
      </w:r>
      <w:proofErr w:type="spellStart"/>
      <w:r w:rsidR="007742A4" w:rsidRPr="00395CF8">
        <w:t>ActewAGL's</w:t>
      </w:r>
      <w:proofErr w:type="spellEnd"/>
      <w:r w:rsidRPr="00395CF8">
        <w:t xml:space="preserve"> revised forecast;</w:t>
      </w:r>
    </w:p>
    <w:p w:rsidR="00395CF8" w:rsidRPr="00395CF8" w:rsidRDefault="00395CF8" w:rsidP="00395CF8">
      <w:pPr>
        <w:pStyle w:val="AERbulletlistfirststyle"/>
      </w:pPr>
      <w:proofErr w:type="gramStart"/>
      <w:r w:rsidRPr="00395CF8">
        <w:t>changed</w:t>
      </w:r>
      <w:proofErr w:type="gramEnd"/>
      <w:r w:rsidRPr="00395CF8">
        <w:t xml:space="preserve"> tariffs demand to reflect the increase in total residential consumption. All residential tariff categories are affected, roughly on a pro rata basis, other than that applied to new high rise dwellings with boundary-metered gas for cooking (that is, where high rise dwellings connect to gas for gas cooking and heating - the Volume Boundary reference tariff category).</w:t>
      </w:r>
      <w:r w:rsidRPr="00395CF8">
        <w:rPr>
          <w:rStyle w:val="FootnoteReference"/>
        </w:rPr>
        <w:footnoteReference w:id="30"/>
      </w:r>
      <w:r w:rsidRPr="00395CF8">
        <w:t xml:space="preserve">  </w:t>
      </w:r>
    </w:p>
    <w:p w:rsidR="00387E8C" w:rsidRDefault="00CC2D0F" w:rsidP="001D388D">
      <w:r>
        <w:t xml:space="preserve">We also note for completeness that ActewAGL submitted a further revised demand model </w:t>
      </w:r>
      <w:r w:rsidRPr="00A20BAE">
        <w:t>on 26 February 2016</w:t>
      </w:r>
      <w:r>
        <w:t xml:space="preserve"> as it identified</w:t>
      </w:r>
      <w:r w:rsidR="00A20BAE" w:rsidRPr="00A20BAE">
        <w:t xml:space="preserve"> a misalignment between its forecasts of high rise connections in the capex and demand forecast models.</w:t>
      </w:r>
      <w:r w:rsidR="00A20BAE" w:rsidRPr="00A20BAE">
        <w:rPr>
          <w:rStyle w:val="FootnoteReference"/>
        </w:rPr>
        <w:footnoteReference w:id="31"/>
      </w:r>
      <w:r w:rsidR="00A20BAE" w:rsidRPr="00A20BAE">
        <w:t xml:space="preserve"> Our review of the model indicates the further revision better aligns the demand forecasts, including their allocation to the proposed tariff categories, with the updated assumptions.      </w:t>
      </w:r>
    </w:p>
    <w:p w:rsidR="00DB3426" w:rsidRPr="00DB3426" w:rsidRDefault="00DB3426" w:rsidP="00DB3426"/>
    <w:p w:rsidR="00B670B1" w:rsidRPr="00B670B1" w:rsidRDefault="00E06FE7" w:rsidP="00E06FE7">
      <w:r w:rsidRPr="0019333B">
        <w:t xml:space="preserve"> </w:t>
      </w:r>
    </w:p>
    <w:sectPr w:rsidR="00B670B1" w:rsidRPr="00B670B1"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6C0" w:rsidRPr="00290C63" w:rsidRDefault="007606C0" w:rsidP="00290C63">
      <w:r>
        <w:separator/>
      </w:r>
    </w:p>
    <w:p w:rsidR="007606C0" w:rsidRDefault="007606C0"/>
  </w:endnote>
  <w:endnote w:type="continuationSeparator" w:id="0">
    <w:p w:rsidR="007606C0" w:rsidRPr="00290C63" w:rsidRDefault="007606C0" w:rsidP="00290C63">
      <w:r>
        <w:continuationSeparator/>
      </w:r>
    </w:p>
    <w:p w:rsidR="007606C0" w:rsidRDefault="007606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6C0" w:rsidRDefault="007606C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7606C0" w:rsidRDefault="007606C0">
    <w:pPr>
      <w:pStyle w:val="Footer"/>
    </w:pPr>
  </w:p>
  <w:p w:rsidR="007606C0" w:rsidRDefault="007606C0">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7606C0" w:rsidRPr="00CA52A2" w:rsidRDefault="007606C0" w:rsidP="00CA52A2">
        <w:pPr>
          <w:pStyle w:val="Footer"/>
        </w:pPr>
        <w:r w:rsidRPr="00CA52A2">
          <w:fldChar w:fldCharType="begin"/>
        </w:r>
        <w:r>
          <w:instrText xml:space="preserve"> PAGE   \* MERGEFORMAT </w:instrText>
        </w:r>
        <w:r w:rsidRPr="00CA52A2">
          <w:fldChar w:fldCharType="separate"/>
        </w:r>
        <w:r w:rsidR="00EB2536">
          <w:rPr>
            <w:noProof/>
          </w:rPr>
          <w:t>13-6</w:t>
        </w:r>
        <w:r w:rsidRPr="00CA52A2">
          <w:fldChar w:fldCharType="end"/>
        </w:r>
        <w:r w:rsidRPr="00CA52A2">
          <w:t xml:space="preserve">          Attachment </w:t>
        </w:r>
        <w:r>
          <w:t xml:space="preserve">13 </w:t>
        </w:r>
        <w:r w:rsidRPr="00CA52A2">
          <w:t xml:space="preserve">– </w:t>
        </w:r>
        <w:r>
          <w:t xml:space="preserve">Demand </w:t>
        </w:r>
        <w:r w:rsidRPr="00CA52A2">
          <w:t xml:space="preserve">| </w:t>
        </w:r>
        <w:r>
          <w:t>Final decision: ActewAGL Distribution Access Arrangement 2016</w:t>
        </w:r>
        <w:r w:rsidRPr="00CA52A2">
          <w:t>–</w:t>
        </w:r>
        <w:r>
          <w:t>21</w:t>
        </w:r>
      </w:p>
    </w:sdtContent>
  </w:sdt>
  <w:p w:rsidR="007606C0" w:rsidRDefault="007606C0">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6C0" w:rsidRPr="00290C63" w:rsidRDefault="007606C0" w:rsidP="00290C63">
      <w:r>
        <w:separator/>
      </w:r>
    </w:p>
    <w:p w:rsidR="007606C0" w:rsidRDefault="007606C0"/>
  </w:footnote>
  <w:footnote w:type="continuationSeparator" w:id="0">
    <w:p w:rsidR="007606C0" w:rsidRPr="00290C63" w:rsidRDefault="007606C0" w:rsidP="00290C63">
      <w:r>
        <w:continuationSeparator/>
      </w:r>
    </w:p>
    <w:p w:rsidR="007606C0" w:rsidRDefault="007606C0"/>
  </w:footnote>
  <w:footnote w:id="1">
    <w:p w:rsidR="007606C0" w:rsidRDefault="007606C0" w:rsidP="00B670B1">
      <w:pPr>
        <w:pStyle w:val="FootnoteText"/>
      </w:pPr>
      <w:r>
        <w:rPr>
          <w:rStyle w:val="FootnoteReference"/>
        </w:rPr>
        <w:footnoteRef/>
      </w:r>
      <w:r>
        <w:t xml:space="preserve"> </w:t>
      </w:r>
      <w:r>
        <w:tab/>
        <w:t xml:space="preserve">Our final decisions on ActewAGL’s capex and opex are set out in attachments 6 and 7 to this </w:t>
      </w:r>
      <w:r w:rsidR="00AA1662">
        <w:t xml:space="preserve">final </w:t>
      </w:r>
      <w:r>
        <w:t>decision.</w:t>
      </w:r>
    </w:p>
  </w:footnote>
  <w:footnote w:id="2">
    <w:p w:rsidR="007606C0" w:rsidRDefault="007606C0">
      <w:pPr>
        <w:pStyle w:val="FootnoteText"/>
      </w:pPr>
      <w:r>
        <w:rPr>
          <w:rStyle w:val="FootnoteReference"/>
        </w:rPr>
        <w:footnoteRef/>
      </w:r>
      <w:r>
        <w:t xml:space="preserve"> </w:t>
      </w:r>
      <w:r>
        <w:tab/>
      </w:r>
      <w:proofErr w:type="gramStart"/>
      <w:r>
        <w:t xml:space="preserve">AER, </w:t>
      </w:r>
      <w:r w:rsidRPr="004E37B7">
        <w:rPr>
          <w:rStyle w:val="Emphasis"/>
        </w:rPr>
        <w:t>Draft decision for ActewAGL Distribution Access Arrangement 2016 to 2021, Attachment 13 - Demand</w:t>
      </w:r>
      <w:r>
        <w:t>, November 2016.</w:t>
      </w:r>
      <w:proofErr w:type="gramEnd"/>
    </w:p>
  </w:footnote>
  <w:footnote w:id="3">
    <w:p w:rsidR="007606C0" w:rsidRDefault="007606C0">
      <w:pPr>
        <w:pStyle w:val="FootnoteText"/>
      </w:pPr>
      <w:r>
        <w:rPr>
          <w:rStyle w:val="FootnoteReference"/>
        </w:rPr>
        <w:footnoteRef/>
      </w:r>
      <w:r>
        <w:t xml:space="preserve"> </w:t>
      </w:r>
      <w:r>
        <w:tab/>
        <w:t xml:space="preserve">AER, </w:t>
      </w:r>
      <w:r w:rsidRPr="004E37B7">
        <w:rPr>
          <w:rStyle w:val="Emphasis"/>
        </w:rPr>
        <w:t>Draft decision for ActewAGL Distribution Access Arrangement 2016 to 2021, Attachment 13 - Demand</w:t>
      </w:r>
      <w:r>
        <w:t>, November 2016</w:t>
      </w:r>
    </w:p>
  </w:footnote>
  <w:footnote w:id="4">
    <w:p w:rsidR="007606C0" w:rsidRDefault="007606C0">
      <w:pPr>
        <w:pStyle w:val="FootnoteText"/>
      </w:pPr>
      <w:r>
        <w:rPr>
          <w:rStyle w:val="FootnoteReference"/>
        </w:rPr>
        <w:footnoteRef/>
      </w:r>
      <w:r>
        <w:t xml:space="preserve"> </w:t>
      </w:r>
      <w:r>
        <w:tab/>
        <w:t xml:space="preserve">ActewAGL's </w:t>
      </w:r>
      <w:r w:rsidR="00AA1662" w:rsidRPr="00AA1662">
        <w:rPr>
          <w:rStyle w:val="Emphasis"/>
        </w:rPr>
        <w:t>Response to the AER's draft decision -2016-21 ACT, Queanbeyan and Palerang Gas Network Access Arrangement</w:t>
      </w:r>
      <w:r>
        <w:t>, 6 January 2016 state</w:t>
      </w:r>
      <w:r w:rsidR="00AA1662">
        <w:t>d</w:t>
      </w:r>
      <w:r>
        <w:t xml:space="preserve"> that it propose</w:t>
      </w:r>
      <w:r w:rsidR="00AA1662">
        <w:t>d</w:t>
      </w:r>
      <w:r>
        <w:t xml:space="preserve"> 72 per cent as the gas connection rate to derive new connection forecasts for MD/HR dwellings. However, in light of the errors it identified in its revised demand model (see ActewAGL, </w:t>
      </w:r>
      <w:r w:rsidRPr="004E37B7">
        <w:rPr>
          <w:rStyle w:val="Emphasis"/>
        </w:rPr>
        <w:t>Response to Information request 50</w:t>
      </w:r>
      <w:r>
        <w:t xml:space="preserve"> [email to AER], 24 February 2016), where ActewAGL double-counted  a small number of cold water meters, </w:t>
      </w:r>
      <w:proofErr w:type="spellStart"/>
      <w:r>
        <w:t>ActewAGL's</w:t>
      </w:r>
      <w:proofErr w:type="spellEnd"/>
      <w:r>
        <w:t xml:space="preserve"> gas connection rate for MD/HR dwellings </w:t>
      </w:r>
      <w:r w:rsidR="00AA1662">
        <w:t xml:space="preserve">changed </w:t>
      </w:r>
      <w:r>
        <w:t>to 71.4 per cent.</w:t>
      </w:r>
    </w:p>
  </w:footnote>
  <w:footnote w:id="5">
    <w:p w:rsidR="007606C0" w:rsidRDefault="007606C0" w:rsidP="00A054B6">
      <w:pPr>
        <w:pStyle w:val="FootnoteText"/>
      </w:pPr>
      <w:r>
        <w:rPr>
          <w:rStyle w:val="FootnoteReference"/>
        </w:rPr>
        <w:footnoteRef/>
      </w:r>
      <w:r>
        <w:t xml:space="preserve"> </w:t>
      </w:r>
      <w:r>
        <w:tab/>
        <w:t xml:space="preserve">The gas connection rate is calculated as:  </w:t>
      </w:r>
      <w:r w:rsidRPr="006119B3">
        <w:t>Number of connections with new dwellings in the ACT, Palerang, and Queanbeyan / number of new dwellings in the ACT</w:t>
      </w:r>
      <w:r>
        <w:t xml:space="preserve">. This is higher than the implied gas penetration rate which is 61 per cent for MD/HR dwellings. To calculate the </w:t>
      </w:r>
      <w:r w:rsidRPr="00A054B6">
        <w:t xml:space="preserve">gas penetration rate, we </w:t>
      </w:r>
      <w:r>
        <w:t xml:space="preserve">applied </w:t>
      </w:r>
      <w:r w:rsidRPr="00A054B6">
        <w:t>Core Energy</w:t>
      </w:r>
      <w:r>
        <w:t>'s approach of scaling</w:t>
      </w:r>
      <w:r w:rsidRPr="00A054B6">
        <w:t xml:space="preserve"> up the new dwelling forecasts for the ACT according to </w:t>
      </w:r>
      <w:r>
        <w:t xml:space="preserve">the </w:t>
      </w:r>
      <w:r w:rsidRPr="00A054B6">
        <w:t xml:space="preserve">historical change in population in the three regions to obtain a dwelling forecast covering the ActewAGL network.  Core Energy </w:t>
      </w:r>
      <w:r>
        <w:t xml:space="preserve">applied an upscaling factor of </w:t>
      </w:r>
      <w:r w:rsidRPr="00A054B6">
        <w:t>13.7</w:t>
      </w:r>
      <w:r>
        <w:t xml:space="preserve"> per cent </w:t>
      </w:r>
      <w:r w:rsidRPr="00A054B6">
        <w:t>but the corre</w:t>
      </w:r>
      <w:r>
        <w:t>ct scale factor should be 17.13 per cent</w:t>
      </w:r>
      <w:r w:rsidRPr="00A054B6">
        <w:t xml:space="preserve"> (to reflect that it is for the 2011-2014 </w:t>
      </w:r>
      <w:proofErr w:type="gramStart"/>
      <w:r w:rsidRPr="00A054B6">
        <w:t>period,</w:t>
      </w:r>
      <w:proofErr w:type="gramEnd"/>
      <w:r w:rsidRPr="00A054B6">
        <w:t xml:space="preserve"> and measured relative to the ACT region). </w:t>
      </w:r>
    </w:p>
  </w:footnote>
  <w:footnote w:id="6">
    <w:p w:rsidR="007606C0" w:rsidRDefault="007606C0">
      <w:pPr>
        <w:pStyle w:val="FootnoteText"/>
      </w:pPr>
      <w:r>
        <w:rPr>
          <w:rStyle w:val="FootnoteReference"/>
        </w:rPr>
        <w:footnoteRef/>
      </w:r>
      <w:r>
        <w:t xml:space="preserve"> </w:t>
      </w:r>
      <w:r>
        <w:tab/>
        <w:t>The implied gas penetration rate is 31 per cent.</w:t>
      </w:r>
    </w:p>
  </w:footnote>
  <w:footnote w:id="7">
    <w:p w:rsidR="007606C0" w:rsidRDefault="007606C0">
      <w:pPr>
        <w:pStyle w:val="FootnoteText"/>
      </w:pPr>
      <w:r>
        <w:rPr>
          <w:rStyle w:val="FootnoteReference"/>
        </w:rPr>
        <w:footnoteRef/>
      </w:r>
      <w:r>
        <w:t xml:space="preserve"> </w:t>
      </w:r>
      <w:r>
        <w:tab/>
        <w:t xml:space="preserve">To take account of the coverage of ActewAGL's network, in our draft decision, we applied a 15.8 per cent scaling factor, which reflects an average for five years 2010 to 2014.  In our final decision, we applied a 17.13 per cent scaling factor as the average for four years starting 2011 for consistency with the historical connection data. </w:t>
      </w:r>
    </w:p>
  </w:footnote>
  <w:footnote w:id="8">
    <w:p w:rsidR="007606C0" w:rsidRDefault="007606C0" w:rsidP="00CC654E">
      <w:pPr>
        <w:pStyle w:val="FootnoteText"/>
      </w:pPr>
      <w:r>
        <w:rPr>
          <w:rStyle w:val="FootnoteReference"/>
        </w:rPr>
        <w:footnoteRef/>
      </w:r>
      <w:r>
        <w:t xml:space="preserve"> </w:t>
      </w:r>
      <w:r>
        <w:tab/>
      </w:r>
      <w:proofErr w:type="gramStart"/>
      <w:r>
        <w:t xml:space="preserve">AER, </w:t>
      </w:r>
      <w:r w:rsidRPr="006E19D2">
        <w:rPr>
          <w:rStyle w:val="Emphasis"/>
        </w:rPr>
        <w:t>Info</w:t>
      </w:r>
      <w:r>
        <w:rPr>
          <w:rStyle w:val="Emphasis"/>
        </w:rPr>
        <w:t>rmation</w:t>
      </w:r>
      <w:r w:rsidRPr="006E19D2">
        <w:rPr>
          <w:rStyle w:val="Emphasis"/>
        </w:rPr>
        <w:t xml:space="preserve"> request to ActewAGL no.16</w:t>
      </w:r>
      <w:r>
        <w:t>, 31 July 2015, p. 1.</w:t>
      </w:r>
      <w:proofErr w:type="gramEnd"/>
    </w:p>
  </w:footnote>
  <w:footnote w:id="9">
    <w:p w:rsidR="007606C0" w:rsidRDefault="007606C0">
      <w:pPr>
        <w:pStyle w:val="FootnoteText"/>
      </w:pPr>
      <w:r>
        <w:rPr>
          <w:rStyle w:val="FootnoteReference"/>
        </w:rPr>
        <w:footnoteRef/>
      </w:r>
      <w:r>
        <w:t xml:space="preserve"> </w:t>
      </w:r>
      <w:r>
        <w:tab/>
      </w:r>
      <w:proofErr w:type="gramStart"/>
      <w:r>
        <w:t xml:space="preserve">AER, </w:t>
      </w:r>
      <w:r w:rsidRPr="00E022CC">
        <w:rPr>
          <w:rStyle w:val="Emphasis"/>
        </w:rPr>
        <w:t>AER draft decision on ActewAGL 2016-21 access arrangement, Attachment 13 - Demand</w:t>
      </w:r>
      <w:r>
        <w:t>, November 2015, p. 13-12.</w:t>
      </w:r>
      <w:proofErr w:type="gramEnd"/>
    </w:p>
  </w:footnote>
  <w:footnote w:id="10">
    <w:p w:rsidR="007606C0" w:rsidRDefault="007606C0">
      <w:pPr>
        <w:pStyle w:val="FootnoteText"/>
      </w:pPr>
      <w:r>
        <w:rPr>
          <w:rStyle w:val="FootnoteReference"/>
        </w:rPr>
        <w:footnoteRef/>
      </w:r>
      <w:r>
        <w:t xml:space="preserve"> </w:t>
      </w:r>
      <w:r>
        <w:tab/>
        <w:t xml:space="preserve">Core Energy prepared ActewAGL's demand forecasts in its initial proposal. See ActewAGL, </w:t>
      </w:r>
      <w:r w:rsidRPr="00E022CC">
        <w:rPr>
          <w:rStyle w:val="Emphasis"/>
        </w:rPr>
        <w:t>Access Arrangement Information: Appendix 3.02 Core Energy demand forecast model</w:t>
      </w:r>
      <w:r>
        <w:t>, July 2015.</w:t>
      </w:r>
    </w:p>
  </w:footnote>
  <w:footnote w:id="11">
    <w:p w:rsidR="007606C0" w:rsidRDefault="007606C0" w:rsidP="00B670B1">
      <w:pPr>
        <w:pStyle w:val="FootnoteText"/>
      </w:pPr>
      <w:r>
        <w:rPr>
          <w:rStyle w:val="FootnoteReference"/>
        </w:rPr>
        <w:footnoteRef/>
      </w:r>
      <w:r>
        <w:t xml:space="preserve"> </w:t>
      </w:r>
      <w:r>
        <w:tab/>
      </w:r>
      <w:r>
        <w:rPr>
          <w:rFonts w:cs="Arial"/>
          <w:szCs w:val="16"/>
        </w:rPr>
        <w:t>NGR, r. 72(1</w:t>
      </w:r>
      <w:proofErr w:type="gramStart"/>
      <w:r>
        <w:rPr>
          <w:rFonts w:cs="Arial"/>
          <w:szCs w:val="16"/>
        </w:rPr>
        <w:t>)(</w:t>
      </w:r>
      <w:proofErr w:type="gramEnd"/>
      <w:r>
        <w:rPr>
          <w:rFonts w:cs="Arial"/>
          <w:szCs w:val="16"/>
        </w:rPr>
        <w:t>a)(iii).</w:t>
      </w:r>
    </w:p>
  </w:footnote>
  <w:footnote w:id="12">
    <w:p w:rsidR="007606C0" w:rsidRDefault="007606C0" w:rsidP="00B670B1">
      <w:pPr>
        <w:pStyle w:val="FootnoteText"/>
      </w:pPr>
      <w:r>
        <w:rPr>
          <w:rStyle w:val="FootnoteReference"/>
        </w:rPr>
        <w:footnoteRef/>
      </w:r>
      <w:r>
        <w:t xml:space="preserve"> </w:t>
      </w:r>
      <w:r>
        <w:tab/>
      </w:r>
      <w:r>
        <w:rPr>
          <w:rFonts w:cs="Arial"/>
          <w:szCs w:val="16"/>
        </w:rPr>
        <w:t>NGR, r. 72(1</w:t>
      </w:r>
      <w:proofErr w:type="gramStart"/>
      <w:r>
        <w:rPr>
          <w:rFonts w:cs="Arial"/>
          <w:szCs w:val="16"/>
        </w:rPr>
        <w:t>)(</w:t>
      </w:r>
      <w:proofErr w:type="gramEnd"/>
      <w:r>
        <w:rPr>
          <w:rFonts w:cs="Arial"/>
          <w:szCs w:val="16"/>
        </w:rPr>
        <w:t>d).</w:t>
      </w:r>
    </w:p>
  </w:footnote>
  <w:footnote w:id="13">
    <w:p w:rsidR="007606C0" w:rsidRDefault="007606C0" w:rsidP="00B670B1">
      <w:pPr>
        <w:pStyle w:val="FootnoteText"/>
      </w:pPr>
      <w:r>
        <w:rPr>
          <w:rStyle w:val="FootnoteReference"/>
        </w:rPr>
        <w:footnoteRef/>
      </w:r>
      <w:r>
        <w:t xml:space="preserve"> </w:t>
      </w:r>
      <w:r>
        <w:tab/>
      </w:r>
      <w:proofErr w:type="gramStart"/>
      <w:r>
        <w:rPr>
          <w:rFonts w:cs="Arial"/>
          <w:szCs w:val="16"/>
        </w:rPr>
        <w:t>NGR, r. 74(2).</w:t>
      </w:r>
      <w:proofErr w:type="gramEnd"/>
    </w:p>
  </w:footnote>
  <w:footnote w:id="14">
    <w:p w:rsidR="007606C0" w:rsidRDefault="007606C0" w:rsidP="00B670B1">
      <w:pPr>
        <w:pStyle w:val="FootnoteText"/>
      </w:pPr>
      <w:r>
        <w:rPr>
          <w:rStyle w:val="FootnoteReference"/>
        </w:rPr>
        <w:footnoteRef/>
      </w:r>
      <w:r>
        <w:t xml:space="preserve"> </w:t>
      </w:r>
      <w:r>
        <w:tab/>
      </w:r>
      <w:proofErr w:type="gramStart"/>
      <w:r>
        <w:rPr>
          <w:rFonts w:cs="Arial"/>
          <w:szCs w:val="16"/>
        </w:rPr>
        <w:t>NGR, r. 74(2).</w:t>
      </w:r>
      <w:proofErr w:type="gramEnd"/>
    </w:p>
  </w:footnote>
  <w:footnote w:id="15">
    <w:p w:rsidR="007606C0" w:rsidRDefault="007606C0" w:rsidP="00B670B1">
      <w:pPr>
        <w:pStyle w:val="FootnoteText"/>
      </w:pPr>
      <w:r>
        <w:rPr>
          <w:rStyle w:val="FootnoteReference"/>
        </w:rPr>
        <w:footnoteRef/>
      </w:r>
      <w:r>
        <w:t xml:space="preserve"> </w:t>
      </w:r>
      <w:r>
        <w:tab/>
        <w:t xml:space="preserve">ActewAGL, </w:t>
      </w:r>
      <w:r w:rsidRPr="002C4404">
        <w:rPr>
          <w:i/>
        </w:rPr>
        <w:t>2016</w:t>
      </w:r>
      <w:r>
        <w:rPr>
          <w:i/>
        </w:rPr>
        <w:t>–</w:t>
      </w:r>
      <w:r w:rsidRPr="002C4404">
        <w:rPr>
          <w:i/>
        </w:rPr>
        <w:t>21 Access Arrangement Information</w:t>
      </w:r>
      <w:r>
        <w:t>, June 2015, p. 24.</w:t>
      </w:r>
    </w:p>
  </w:footnote>
  <w:footnote w:id="16">
    <w:p w:rsidR="007606C0" w:rsidRDefault="007606C0" w:rsidP="00B670B1">
      <w:pPr>
        <w:pStyle w:val="FootnoteText"/>
      </w:pPr>
      <w:r>
        <w:rPr>
          <w:rStyle w:val="FootnoteReference"/>
        </w:rPr>
        <w:footnoteRef/>
      </w:r>
      <w:r>
        <w:t xml:space="preserve"> </w:t>
      </w:r>
      <w:r>
        <w:tab/>
        <w:t xml:space="preserve">ActewAGL, </w:t>
      </w:r>
      <w:r w:rsidRPr="002C4404">
        <w:rPr>
          <w:i/>
        </w:rPr>
        <w:t>2016</w:t>
      </w:r>
      <w:r>
        <w:rPr>
          <w:i/>
        </w:rPr>
        <w:t>–</w:t>
      </w:r>
      <w:r w:rsidRPr="002C4404">
        <w:rPr>
          <w:i/>
        </w:rPr>
        <w:t>21 Access Arrangement Information</w:t>
      </w:r>
      <w:r>
        <w:t>, June 2015, p. 24.</w:t>
      </w:r>
    </w:p>
  </w:footnote>
  <w:footnote w:id="17">
    <w:p w:rsidR="007606C0" w:rsidRDefault="007606C0" w:rsidP="00B670B1">
      <w:pPr>
        <w:pStyle w:val="FootnoteText"/>
      </w:pPr>
      <w:r>
        <w:rPr>
          <w:rStyle w:val="FootnoteReference"/>
        </w:rPr>
        <w:footnoteRef/>
      </w:r>
      <w:r>
        <w:t xml:space="preserve"> </w:t>
      </w:r>
      <w:r>
        <w:tab/>
        <w:t xml:space="preserve">ActewAGL, </w:t>
      </w:r>
      <w:r w:rsidRPr="002C4404">
        <w:rPr>
          <w:i/>
        </w:rPr>
        <w:t>2016</w:t>
      </w:r>
      <w:r>
        <w:rPr>
          <w:i/>
        </w:rPr>
        <w:t>–</w:t>
      </w:r>
      <w:r w:rsidRPr="002C4404">
        <w:rPr>
          <w:i/>
        </w:rPr>
        <w:t>21 Access Arrangement Information</w:t>
      </w:r>
      <w:r>
        <w:t>, June 2015, p. 24.</w:t>
      </w:r>
    </w:p>
  </w:footnote>
  <w:footnote w:id="18">
    <w:p w:rsidR="007606C0" w:rsidRDefault="007606C0" w:rsidP="00395CF8">
      <w:pPr>
        <w:pStyle w:val="FootnoteText"/>
      </w:pPr>
      <w:r>
        <w:rPr>
          <w:rStyle w:val="FootnoteReference"/>
        </w:rPr>
        <w:footnoteRef/>
      </w:r>
      <w:r>
        <w:t xml:space="preserve"> </w:t>
      </w:r>
      <w:r>
        <w:tab/>
      </w:r>
      <w:proofErr w:type="gramStart"/>
      <w:r>
        <w:t xml:space="preserve">AER, </w:t>
      </w:r>
      <w:r w:rsidRPr="00E022CC">
        <w:rPr>
          <w:rStyle w:val="Emphasis"/>
        </w:rPr>
        <w:t>Information request no. 33</w:t>
      </w:r>
      <w:r>
        <w:t>, 23 September 2015, p. 3.</w:t>
      </w:r>
      <w:proofErr w:type="gramEnd"/>
    </w:p>
  </w:footnote>
  <w:footnote w:id="19">
    <w:p w:rsidR="007606C0" w:rsidRDefault="007606C0" w:rsidP="00395CF8">
      <w:pPr>
        <w:pStyle w:val="FootnoteText"/>
      </w:pPr>
      <w:r>
        <w:rPr>
          <w:rStyle w:val="FootnoteReference"/>
        </w:rPr>
        <w:footnoteRef/>
      </w:r>
      <w:r>
        <w:t xml:space="preserve"> </w:t>
      </w:r>
      <w:r>
        <w:tab/>
      </w:r>
      <w:proofErr w:type="gramStart"/>
      <w:r>
        <w:t xml:space="preserve">AER, </w:t>
      </w:r>
      <w:r w:rsidRPr="00E022CC">
        <w:rPr>
          <w:rStyle w:val="Emphasis"/>
        </w:rPr>
        <w:t>Information request no.33</w:t>
      </w:r>
      <w:r>
        <w:t>, 23 September 2015, p. 3.</w:t>
      </w:r>
      <w:proofErr w:type="gramEnd"/>
    </w:p>
  </w:footnote>
  <w:footnote w:id="20">
    <w:p w:rsidR="007606C0" w:rsidRDefault="007606C0" w:rsidP="00395CF8">
      <w:pPr>
        <w:pStyle w:val="FootnoteText"/>
      </w:pPr>
      <w:r>
        <w:rPr>
          <w:rStyle w:val="FootnoteReference"/>
        </w:rPr>
        <w:footnoteRef/>
      </w:r>
      <w:r>
        <w:t xml:space="preserve"> </w:t>
      </w:r>
      <w:r>
        <w:tab/>
        <w:t xml:space="preserve">AER, </w:t>
      </w:r>
      <w:r w:rsidRPr="00E022CC">
        <w:rPr>
          <w:rStyle w:val="Emphasis"/>
        </w:rPr>
        <w:t>Draft decision for ActewAGL Distribution Access Arrangement 2016 to 2021, Attachment 13 - Demand</w:t>
      </w:r>
      <w:r>
        <w:t>, November 2016, pp. 13-12 to 13-13.</w:t>
      </w:r>
    </w:p>
  </w:footnote>
  <w:footnote w:id="21">
    <w:p w:rsidR="007606C0" w:rsidRDefault="007606C0">
      <w:pPr>
        <w:pStyle w:val="FootnoteText"/>
      </w:pPr>
      <w:r>
        <w:rPr>
          <w:rStyle w:val="FootnoteReference"/>
        </w:rPr>
        <w:footnoteRef/>
      </w:r>
      <w:r>
        <w:t xml:space="preserve"> </w:t>
      </w:r>
      <w:r>
        <w:tab/>
      </w:r>
      <w:proofErr w:type="gramStart"/>
      <w:r>
        <w:t xml:space="preserve">ActewAGL, </w:t>
      </w:r>
      <w:r w:rsidRPr="00E022CC">
        <w:rPr>
          <w:rStyle w:val="Emphasis"/>
        </w:rPr>
        <w:t>Response to information request 43</w:t>
      </w:r>
      <w:r>
        <w:t xml:space="preserve"> [email to AER], 22 January 2016, p.2.</w:t>
      </w:r>
      <w:proofErr w:type="gramEnd"/>
    </w:p>
  </w:footnote>
  <w:footnote w:id="22">
    <w:p w:rsidR="007606C0" w:rsidRDefault="007606C0" w:rsidP="00395CF8">
      <w:pPr>
        <w:pStyle w:val="FootnoteText"/>
      </w:pPr>
      <w:r>
        <w:rPr>
          <w:rStyle w:val="FootnoteReference"/>
        </w:rPr>
        <w:footnoteRef/>
      </w:r>
      <w:r>
        <w:t xml:space="preserve"> </w:t>
      </w:r>
      <w:r>
        <w:tab/>
      </w:r>
      <w:proofErr w:type="gramStart"/>
      <w:r>
        <w:t xml:space="preserve">ActewAGL, </w:t>
      </w:r>
      <w:r w:rsidRPr="00E022CC">
        <w:rPr>
          <w:rStyle w:val="Emphasis"/>
        </w:rPr>
        <w:t>Response to information request 43</w:t>
      </w:r>
      <w:r>
        <w:t xml:space="preserve"> [email to AER], 22 January 2016, p.2.</w:t>
      </w:r>
      <w:proofErr w:type="gramEnd"/>
    </w:p>
  </w:footnote>
  <w:footnote w:id="23">
    <w:p w:rsidR="007606C0" w:rsidRDefault="007606C0" w:rsidP="00395CF8">
      <w:pPr>
        <w:pStyle w:val="FootnoteText"/>
      </w:pPr>
      <w:r>
        <w:rPr>
          <w:rStyle w:val="FootnoteReference"/>
        </w:rPr>
        <w:footnoteRef/>
      </w:r>
      <w:r>
        <w:t xml:space="preserve"> </w:t>
      </w:r>
      <w:r>
        <w:tab/>
      </w:r>
      <w:proofErr w:type="gramStart"/>
      <w:r>
        <w:t xml:space="preserve">ActewAGL, </w:t>
      </w:r>
      <w:r w:rsidRPr="00E022CC">
        <w:rPr>
          <w:rStyle w:val="Emphasis"/>
        </w:rPr>
        <w:t>Response to information request 43</w:t>
      </w:r>
      <w:r>
        <w:t xml:space="preserve"> [email to AER], 22 January 2016, p. 1.</w:t>
      </w:r>
      <w:proofErr w:type="gramEnd"/>
    </w:p>
  </w:footnote>
  <w:footnote w:id="24">
    <w:p w:rsidR="007606C0" w:rsidRDefault="007606C0" w:rsidP="00395CF8">
      <w:pPr>
        <w:pStyle w:val="FootnoteText"/>
      </w:pPr>
      <w:r>
        <w:rPr>
          <w:rStyle w:val="FootnoteReference"/>
        </w:rPr>
        <w:footnoteRef/>
      </w:r>
      <w:r>
        <w:t xml:space="preserve"> </w:t>
      </w:r>
      <w:r>
        <w:tab/>
      </w:r>
      <w:r w:rsidRPr="005F04A2">
        <w:t xml:space="preserve">AER, </w:t>
      </w:r>
      <w:r w:rsidRPr="00E022CC">
        <w:rPr>
          <w:rStyle w:val="Emphasis"/>
        </w:rPr>
        <w:t>Draft decision for ActewAGL Distribution Access Arrangement 2016 to 2021, Attachment 13 - Demand</w:t>
      </w:r>
      <w:r w:rsidRPr="005F04A2">
        <w:t xml:space="preserve">, November 2016, p. </w:t>
      </w:r>
      <w:r>
        <w:t>13-16</w:t>
      </w:r>
      <w:r w:rsidRPr="005F04A2">
        <w:t>.</w:t>
      </w:r>
      <w:r>
        <w:t xml:space="preserve"> </w:t>
      </w:r>
    </w:p>
  </w:footnote>
  <w:footnote w:id="25">
    <w:p w:rsidR="007606C0" w:rsidRPr="000C4A31" w:rsidRDefault="007606C0" w:rsidP="00395CF8">
      <w:pPr>
        <w:pStyle w:val="FootnoteText"/>
      </w:pPr>
      <w:r>
        <w:rPr>
          <w:rStyle w:val="FootnoteReference"/>
        </w:rPr>
        <w:footnoteRef/>
      </w:r>
      <w:r>
        <w:t xml:space="preserve"> </w:t>
      </w:r>
      <w:r>
        <w:tab/>
      </w:r>
      <w:proofErr w:type="gramStart"/>
      <w:r>
        <w:t xml:space="preserve">ActewAGL, </w:t>
      </w:r>
      <w:r w:rsidRPr="00E022CC">
        <w:rPr>
          <w:rStyle w:val="Emphasis"/>
        </w:rPr>
        <w:t>Response to information request 43</w:t>
      </w:r>
      <w:r>
        <w:rPr>
          <w:rStyle w:val="AERbody"/>
        </w:rPr>
        <w:t xml:space="preserve"> </w:t>
      </w:r>
      <w:r w:rsidRPr="00E022CC">
        <w:rPr>
          <w:rStyle w:val="AERtextunderline"/>
        </w:rPr>
        <w:t>[email to AER]</w:t>
      </w:r>
      <w:r w:rsidRPr="000C4A31">
        <w:rPr>
          <w:rStyle w:val="AERbody"/>
          <w:sz w:val="16"/>
        </w:rPr>
        <w:t>, 22 January 2016, p.3.</w:t>
      </w:r>
      <w:proofErr w:type="gramEnd"/>
      <w:r w:rsidRPr="000C4A31">
        <w:rPr>
          <w:rStyle w:val="AERbody"/>
          <w:sz w:val="16"/>
        </w:rPr>
        <w:t xml:space="preserve"> </w:t>
      </w:r>
    </w:p>
  </w:footnote>
  <w:footnote w:id="26">
    <w:p w:rsidR="007606C0" w:rsidRDefault="007606C0">
      <w:pPr>
        <w:pStyle w:val="FootnoteText"/>
      </w:pPr>
      <w:r>
        <w:rPr>
          <w:rStyle w:val="FootnoteReference"/>
        </w:rPr>
        <w:footnoteRef/>
      </w:r>
      <w:r>
        <w:t xml:space="preserve"> </w:t>
      </w:r>
      <w:r>
        <w:tab/>
        <w:t>Information request no. 50, 24 February 2016, p. 3.</w:t>
      </w:r>
    </w:p>
  </w:footnote>
  <w:footnote w:id="27">
    <w:p w:rsidR="007606C0" w:rsidRDefault="007606C0">
      <w:pPr>
        <w:pStyle w:val="FootnoteText"/>
      </w:pPr>
      <w:r>
        <w:rPr>
          <w:rStyle w:val="FootnoteReference"/>
        </w:rPr>
        <w:footnoteRef/>
      </w:r>
      <w:r>
        <w:t xml:space="preserve"> </w:t>
      </w:r>
      <w:r>
        <w:tab/>
      </w:r>
      <w:proofErr w:type="gramStart"/>
      <w:r>
        <w:t xml:space="preserve">ActewAGL, </w:t>
      </w:r>
      <w:r w:rsidRPr="00E022CC">
        <w:rPr>
          <w:rStyle w:val="Emphasis"/>
        </w:rPr>
        <w:t>Response to Information request 50</w:t>
      </w:r>
      <w:r>
        <w:t xml:space="preserve"> [email to AER], 24 February 2016, p.3.</w:t>
      </w:r>
      <w:proofErr w:type="gramEnd"/>
    </w:p>
  </w:footnote>
  <w:footnote w:id="28">
    <w:p w:rsidR="007606C0" w:rsidRDefault="007606C0">
      <w:pPr>
        <w:pStyle w:val="FootnoteText"/>
      </w:pPr>
      <w:r>
        <w:rPr>
          <w:rStyle w:val="FootnoteReference"/>
        </w:rPr>
        <w:footnoteRef/>
      </w:r>
      <w:r>
        <w:t xml:space="preserve"> </w:t>
      </w:r>
      <w:r>
        <w:tab/>
        <w:t>The Boundary Code  (specifically clause 3.3.2) which applied to new industrial, commercial gas meter sets and high rise residential installations, states that '</w:t>
      </w:r>
      <w:proofErr w:type="spellStart"/>
      <w:r w:rsidR="007742A4">
        <w:t>ActewAGL's</w:t>
      </w:r>
      <w:proofErr w:type="spellEnd"/>
      <w:r>
        <w:t xml:space="preserve"> gas meter set installations, which were installed after the Gas Service &amp; Installation Rules Code, was introduced, must be placed external  to a customer's building.'</w:t>
      </w:r>
    </w:p>
  </w:footnote>
  <w:footnote w:id="29">
    <w:p w:rsidR="007606C0" w:rsidRDefault="007606C0">
      <w:pPr>
        <w:pStyle w:val="FootnoteText"/>
      </w:pPr>
      <w:r>
        <w:rPr>
          <w:rStyle w:val="FootnoteReference"/>
        </w:rPr>
        <w:footnoteRef/>
      </w:r>
      <w:r>
        <w:t xml:space="preserve"> </w:t>
      </w:r>
      <w:r>
        <w:tab/>
      </w:r>
      <w:proofErr w:type="gramStart"/>
      <w:r>
        <w:t xml:space="preserve">ActewAGL, </w:t>
      </w:r>
      <w:r w:rsidRPr="00E022CC">
        <w:rPr>
          <w:rStyle w:val="Emphasis"/>
        </w:rPr>
        <w:t>Response to Information request 50</w:t>
      </w:r>
      <w:r>
        <w:t xml:space="preserve"> [email to AER], 24 February 2016, p.3.</w:t>
      </w:r>
      <w:proofErr w:type="gramEnd"/>
    </w:p>
  </w:footnote>
  <w:footnote w:id="30">
    <w:p w:rsidR="007606C0" w:rsidRDefault="007606C0" w:rsidP="00395CF8">
      <w:pPr>
        <w:pStyle w:val="FootnoteText"/>
      </w:pPr>
      <w:r>
        <w:rPr>
          <w:rStyle w:val="FootnoteReference"/>
        </w:rPr>
        <w:footnoteRef/>
      </w:r>
      <w:r>
        <w:t xml:space="preserve"> </w:t>
      </w:r>
      <w:r>
        <w:tab/>
        <w:t xml:space="preserve"> </w:t>
      </w:r>
      <w:r w:rsidRPr="003967E8">
        <w:t xml:space="preserve">This is because tariff demand forecast for the </w:t>
      </w:r>
      <w:r w:rsidR="007742A4" w:rsidRPr="007742A4">
        <w:t>Volume Boundary reference</w:t>
      </w:r>
      <w:r w:rsidRPr="003967E8">
        <w:t xml:space="preserve"> category is based on an estimate of consumption per connection independent of this assumption</w:t>
      </w:r>
      <w:r>
        <w:t>.</w:t>
      </w:r>
    </w:p>
  </w:footnote>
  <w:footnote w:id="31">
    <w:p w:rsidR="007606C0" w:rsidRDefault="007606C0" w:rsidP="00A20BAE">
      <w:pPr>
        <w:pStyle w:val="FootnoteText"/>
      </w:pPr>
      <w:r>
        <w:rPr>
          <w:rStyle w:val="FootnoteReference"/>
        </w:rPr>
        <w:footnoteRef/>
      </w:r>
      <w:r>
        <w:t xml:space="preserve"> </w:t>
      </w:r>
      <w:r>
        <w:tab/>
      </w:r>
      <w:proofErr w:type="gramStart"/>
      <w:r>
        <w:t xml:space="preserve">ActewAGL, </w:t>
      </w:r>
      <w:r w:rsidRPr="00E022CC">
        <w:rPr>
          <w:rStyle w:val="Emphasis"/>
        </w:rPr>
        <w:t>Response to information request 50</w:t>
      </w:r>
      <w:r>
        <w:t xml:space="preserve"> [email to AER], 24 February 2016, p. 2.</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6C0" w:rsidRDefault="00EB2536">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7606C0">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6C0" w:rsidRDefault="00EB2536">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5ECE4384"/>
    <w:multiLevelType w:val="multilevel"/>
    <w:tmpl w:val="3104E6F2"/>
    <w:lvl w:ilvl="0">
      <w:start w:val="1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7">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2819EC"/>
    <w:multiLevelType w:val="multilevel"/>
    <w:tmpl w:val="1250F310"/>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8"/>
  </w:num>
  <w:num w:numId="14">
    <w:abstractNumId w:val="10"/>
  </w:num>
  <w:num w:numId="15">
    <w:abstractNumId w:val="12"/>
  </w:num>
  <w:num w:numId="16">
    <w:abstractNumId w:val="20"/>
  </w:num>
  <w:num w:numId="17">
    <w:abstractNumId w:val="9"/>
  </w:num>
  <w:num w:numId="18">
    <w:abstractNumId w:val="14"/>
  </w:num>
  <w:num w:numId="19">
    <w:abstractNumId w:val="21"/>
  </w:num>
  <w:num w:numId="20">
    <w:abstractNumId w:val="27"/>
  </w:num>
  <w:num w:numId="21">
    <w:abstractNumId w:val="24"/>
  </w:num>
  <w:num w:numId="22">
    <w:abstractNumId w:val="22"/>
  </w:num>
  <w:num w:numId="23">
    <w:abstractNumId w:val="15"/>
  </w:num>
  <w:num w:numId="24">
    <w:abstractNumId w:val="23"/>
  </w:num>
  <w:num w:numId="25">
    <w:abstractNumId w:val="25"/>
  </w:num>
  <w:num w:numId="26">
    <w:abstractNumId w:val="16"/>
  </w:num>
  <w:num w:numId="27">
    <w:abstractNumId w:val="13"/>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gVxexIhufcl1saQk6hBQaG2Uz7AkAMWm4ej0yaGnXcs=" w:saltValue="39mqpkJa+uIFv52J7xFwNA=="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0376\AER15 4320  AER - Final decision Amadeus Gas Pipeline Access Arrangement - Attachment 13 - Demand - April 2016.DOCX"/>
  </w:docVars>
  <w:rsids>
    <w:rsidRoot w:val="00961A4A"/>
    <w:rsid w:val="00004633"/>
    <w:rsid w:val="0000710A"/>
    <w:rsid w:val="00010286"/>
    <w:rsid w:val="00021202"/>
    <w:rsid w:val="00021C2B"/>
    <w:rsid w:val="000239BE"/>
    <w:rsid w:val="0002517F"/>
    <w:rsid w:val="0002583B"/>
    <w:rsid w:val="00026495"/>
    <w:rsid w:val="0003578C"/>
    <w:rsid w:val="000401AF"/>
    <w:rsid w:val="00041DDA"/>
    <w:rsid w:val="00042E27"/>
    <w:rsid w:val="00043D61"/>
    <w:rsid w:val="00054E75"/>
    <w:rsid w:val="00063247"/>
    <w:rsid w:val="00063327"/>
    <w:rsid w:val="00063A92"/>
    <w:rsid w:val="00070F9F"/>
    <w:rsid w:val="0007137B"/>
    <w:rsid w:val="00085663"/>
    <w:rsid w:val="00085EBF"/>
    <w:rsid w:val="00085F93"/>
    <w:rsid w:val="00091913"/>
    <w:rsid w:val="00091B15"/>
    <w:rsid w:val="000A1E7C"/>
    <w:rsid w:val="000A3020"/>
    <w:rsid w:val="000A4ACD"/>
    <w:rsid w:val="000A6C7B"/>
    <w:rsid w:val="000B0360"/>
    <w:rsid w:val="000B2059"/>
    <w:rsid w:val="000C2B40"/>
    <w:rsid w:val="000C4A31"/>
    <w:rsid w:val="000D01F4"/>
    <w:rsid w:val="000D06C1"/>
    <w:rsid w:val="000D122C"/>
    <w:rsid w:val="000D3016"/>
    <w:rsid w:val="000D64F2"/>
    <w:rsid w:val="000D7F32"/>
    <w:rsid w:val="000E1819"/>
    <w:rsid w:val="000E4821"/>
    <w:rsid w:val="000E5A9E"/>
    <w:rsid w:val="000E6C72"/>
    <w:rsid w:val="000F01E8"/>
    <w:rsid w:val="000F0B2B"/>
    <w:rsid w:val="000F3E72"/>
    <w:rsid w:val="000F48B1"/>
    <w:rsid w:val="000F723D"/>
    <w:rsid w:val="00103A67"/>
    <w:rsid w:val="00116EB2"/>
    <w:rsid w:val="00124609"/>
    <w:rsid w:val="00126A4C"/>
    <w:rsid w:val="00142AB6"/>
    <w:rsid w:val="0014573B"/>
    <w:rsid w:val="00147E70"/>
    <w:rsid w:val="00156DCC"/>
    <w:rsid w:val="001573E4"/>
    <w:rsid w:val="00160756"/>
    <w:rsid w:val="0017232E"/>
    <w:rsid w:val="00174102"/>
    <w:rsid w:val="0017480F"/>
    <w:rsid w:val="001754EE"/>
    <w:rsid w:val="00177361"/>
    <w:rsid w:val="00180157"/>
    <w:rsid w:val="001821B1"/>
    <w:rsid w:val="00182467"/>
    <w:rsid w:val="00185CB9"/>
    <w:rsid w:val="00186F77"/>
    <w:rsid w:val="0018792E"/>
    <w:rsid w:val="001926A4"/>
    <w:rsid w:val="00192AD5"/>
    <w:rsid w:val="00197523"/>
    <w:rsid w:val="001B3F62"/>
    <w:rsid w:val="001B45A0"/>
    <w:rsid w:val="001B45C0"/>
    <w:rsid w:val="001B6F2E"/>
    <w:rsid w:val="001B7D00"/>
    <w:rsid w:val="001C17E7"/>
    <w:rsid w:val="001D055E"/>
    <w:rsid w:val="001D388D"/>
    <w:rsid w:val="001E009C"/>
    <w:rsid w:val="001E406D"/>
    <w:rsid w:val="001E5FE2"/>
    <w:rsid w:val="001F05A4"/>
    <w:rsid w:val="001F32E8"/>
    <w:rsid w:val="001F492E"/>
    <w:rsid w:val="001F6DA3"/>
    <w:rsid w:val="002010BC"/>
    <w:rsid w:val="002016E7"/>
    <w:rsid w:val="00201F98"/>
    <w:rsid w:val="00202E03"/>
    <w:rsid w:val="0020478D"/>
    <w:rsid w:val="0020492C"/>
    <w:rsid w:val="00205A33"/>
    <w:rsid w:val="0022444D"/>
    <w:rsid w:val="00224DB9"/>
    <w:rsid w:val="002266A1"/>
    <w:rsid w:val="00227DCE"/>
    <w:rsid w:val="00232464"/>
    <w:rsid w:val="0023276C"/>
    <w:rsid w:val="00233775"/>
    <w:rsid w:val="002505AB"/>
    <w:rsid w:val="002509DA"/>
    <w:rsid w:val="00251745"/>
    <w:rsid w:val="00263AC0"/>
    <w:rsid w:val="00264264"/>
    <w:rsid w:val="0026772D"/>
    <w:rsid w:val="002748A6"/>
    <w:rsid w:val="00277554"/>
    <w:rsid w:val="00283D59"/>
    <w:rsid w:val="00286874"/>
    <w:rsid w:val="00290C63"/>
    <w:rsid w:val="00295115"/>
    <w:rsid w:val="00296B65"/>
    <w:rsid w:val="0029724D"/>
    <w:rsid w:val="002A6688"/>
    <w:rsid w:val="002A7DEF"/>
    <w:rsid w:val="002B1003"/>
    <w:rsid w:val="002B573C"/>
    <w:rsid w:val="002C2074"/>
    <w:rsid w:val="002C233C"/>
    <w:rsid w:val="002C4B4F"/>
    <w:rsid w:val="002D72E8"/>
    <w:rsid w:val="002E7B22"/>
    <w:rsid w:val="002F7986"/>
    <w:rsid w:val="00301B40"/>
    <w:rsid w:val="003029A5"/>
    <w:rsid w:val="003029EE"/>
    <w:rsid w:val="0030370B"/>
    <w:rsid w:val="00305CC8"/>
    <w:rsid w:val="00306902"/>
    <w:rsid w:val="00307F6D"/>
    <w:rsid w:val="003130C9"/>
    <w:rsid w:val="003177A2"/>
    <w:rsid w:val="00320869"/>
    <w:rsid w:val="003271B5"/>
    <w:rsid w:val="00327A1E"/>
    <w:rsid w:val="00331264"/>
    <w:rsid w:val="003338A2"/>
    <w:rsid w:val="00334C8D"/>
    <w:rsid w:val="0033548E"/>
    <w:rsid w:val="00343A18"/>
    <w:rsid w:val="00344473"/>
    <w:rsid w:val="00344D08"/>
    <w:rsid w:val="00345183"/>
    <w:rsid w:val="003457F9"/>
    <w:rsid w:val="0034582C"/>
    <w:rsid w:val="00347114"/>
    <w:rsid w:val="003518B3"/>
    <w:rsid w:val="00354178"/>
    <w:rsid w:val="003578CD"/>
    <w:rsid w:val="00366154"/>
    <w:rsid w:val="003666F2"/>
    <w:rsid w:val="003717D8"/>
    <w:rsid w:val="003846F1"/>
    <w:rsid w:val="00387E8C"/>
    <w:rsid w:val="003903D4"/>
    <w:rsid w:val="00391BF0"/>
    <w:rsid w:val="003931A7"/>
    <w:rsid w:val="00393646"/>
    <w:rsid w:val="003948CC"/>
    <w:rsid w:val="00395CF8"/>
    <w:rsid w:val="003967E8"/>
    <w:rsid w:val="003A49B1"/>
    <w:rsid w:val="003A7943"/>
    <w:rsid w:val="003B484F"/>
    <w:rsid w:val="003B7FBA"/>
    <w:rsid w:val="003C76A6"/>
    <w:rsid w:val="003E6790"/>
    <w:rsid w:val="003F1184"/>
    <w:rsid w:val="003F174D"/>
    <w:rsid w:val="003F572D"/>
    <w:rsid w:val="003F7442"/>
    <w:rsid w:val="0040282B"/>
    <w:rsid w:val="0040285B"/>
    <w:rsid w:val="00415F31"/>
    <w:rsid w:val="0042205D"/>
    <w:rsid w:val="00423A77"/>
    <w:rsid w:val="00436ECD"/>
    <w:rsid w:val="0045203B"/>
    <w:rsid w:val="00452473"/>
    <w:rsid w:val="00456CC2"/>
    <w:rsid w:val="0045777E"/>
    <w:rsid w:val="00461B0F"/>
    <w:rsid w:val="00461C29"/>
    <w:rsid w:val="00474EC7"/>
    <w:rsid w:val="00480B4B"/>
    <w:rsid w:val="00485DC4"/>
    <w:rsid w:val="004A0A5E"/>
    <w:rsid w:val="004A43D1"/>
    <w:rsid w:val="004B355D"/>
    <w:rsid w:val="004B4412"/>
    <w:rsid w:val="004C0C43"/>
    <w:rsid w:val="004C348C"/>
    <w:rsid w:val="004C6A30"/>
    <w:rsid w:val="004D1A96"/>
    <w:rsid w:val="004D55BA"/>
    <w:rsid w:val="004E22EC"/>
    <w:rsid w:val="004E2A4C"/>
    <w:rsid w:val="004E37B7"/>
    <w:rsid w:val="004F6A0E"/>
    <w:rsid w:val="00515300"/>
    <w:rsid w:val="00530128"/>
    <w:rsid w:val="00532467"/>
    <w:rsid w:val="00537FD6"/>
    <w:rsid w:val="00545804"/>
    <w:rsid w:val="0055152E"/>
    <w:rsid w:val="00562600"/>
    <w:rsid w:val="00564A4D"/>
    <w:rsid w:val="0056588A"/>
    <w:rsid w:val="00567BA5"/>
    <w:rsid w:val="00571B35"/>
    <w:rsid w:val="00571D57"/>
    <w:rsid w:val="0057333E"/>
    <w:rsid w:val="00573599"/>
    <w:rsid w:val="00577A09"/>
    <w:rsid w:val="005829C2"/>
    <w:rsid w:val="00584D8F"/>
    <w:rsid w:val="00585A4E"/>
    <w:rsid w:val="00586819"/>
    <w:rsid w:val="0059704C"/>
    <w:rsid w:val="005A404D"/>
    <w:rsid w:val="005B1E3C"/>
    <w:rsid w:val="005B3FB7"/>
    <w:rsid w:val="005B4D33"/>
    <w:rsid w:val="005B704A"/>
    <w:rsid w:val="005C0A7F"/>
    <w:rsid w:val="005C128B"/>
    <w:rsid w:val="005C26CC"/>
    <w:rsid w:val="005C4C9C"/>
    <w:rsid w:val="005C6218"/>
    <w:rsid w:val="005D7BA2"/>
    <w:rsid w:val="005E36C2"/>
    <w:rsid w:val="005F0183"/>
    <w:rsid w:val="005F04A2"/>
    <w:rsid w:val="005F06C4"/>
    <w:rsid w:val="005F727F"/>
    <w:rsid w:val="006007DE"/>
    <w:rsid w:val="00601638"/>
    <w:rsid w:val="0060561F"/>
    <w:rsid w:val="00610EF9"/>
    <w:rsid w:val="006119B3"/>
    <w:rsid w:val="00612F4F"/>
    <w:rsid w:val="00615C6B"/>
    <w:rsid w:val="00620DC3"/>
    <w:rsid w:val="00621DCE"/>
    <w:rsid w:val="00632D6D"/>
    <w:rsid w:val="00640812"/>
    <w:rsid w:val="00642C3E"/>
    <w:rsid w:val="00646F0D"/>
    <w:rsid w:val="00651C3A"/>
    <w:rsid w:val="00651CB2"/>
    <w:rsid w:val="006560CA"/>
    <w:rsid w:val="0066104A"/>
    <w:rsid w:val="00663DAD"/>
    <w:rsid w:val="00665649"/>
    <w:rsid w:val="00666E20"/>
    <w:rsid w:val="006672AA"/>
    <w:rsid w:val="00675E20"/>
    <w:rsid w:val="00676679"/>
    <w:rsid w:val="00680368"/>
    <w:rsid w:val="006812E7"/>
    <w:rsid w:val="00683C89"/>
    <w:rsid w:val="00684C16"/>
    <w:rsid w:val="00691D9A"/>
    <w:rsid w:val="006A7724"/>
    <w:rsid w:val="006A7CB9"/>
    <w:rsid w:val="006A7D76"/>
    <w:rsid w:val="006B1F7B"/>
    <w:rsid w:val="006B2395"/>
    <w:rsid w:val="006B45A4"/>
    <w:rsid w:val="006B4CF9"/>
    <w:rsid w:val="006B785B"/>
    <w:rsid w:val="006B7AC8"/>
    <w:rsid w:val="006C1736"/>
    <w:rsid w:val="006C4798"/>
    <w:rsid w:val="006C774D"/>
    <w:rsid w:val="006D22F2"/>
    <w:rsid w:val="006D550F"/>
    <w:rsid w:val="006E3F76"/>
    <w:rsid w:val="006F1F83"/>
    <w:rsid w:val="006F3AD1"/>
    <w:rsid w:val="006F3FC8"/>
    <w:rsid w:val="006F6183"/>
    <w:rsid w:val="0070011E"/>
    <w:rsid w:val="00701CAB"/>
    <w:rsid w:val="00704979"/>
    <w:rsid w:val="00707563"/>
    <w:rsid w:val="00710B9E"/>
    <w:rsid w:val="0072348C"/>
    <w:rsid w:val="00724A37"/>
    <w:rsid w:val="00726ABC"/>
    <w:rsid w:val="007303C3"/>
    <w:rsid w:val="00741C46"/>
    <w:rsid w:val="00741E23"/>
    <w:rsid w:val="007429BE"/>
    <w:rsid w:val="00743223"/>
    <w:rsid w:val="00746E01"/>
    <w:rsid w:val="00747EEA"/>
    <w:rsid w:val="00750FD3"/>
    <w:rsid w:val="00752C8D"/>
    <w:rsid w:val="007560DF"/>
    <w:rsid w:val="00756B3B"/>
    <w:rsid w:val="00757364"/>
    <w:rsid w:val="00757423"/>
    <w:rsid w:val="00757BDF"/>
    <w:rsid w:val="007606C0"/>
    <w:rsid w:val="007609D0"/>
    <w:rsid w:val="00763618"/>
    <w:rsid w:val="00763E5D"/>
    <w:rsid w:val="00767740"/>
    <w:rsid w:val="00771BB4"/>
    <w:rsid w:val="007742A4"/>
    <w:rsid w:val="00775998"/>
    <w:rsid w:val="00777EE6"/>
    <w:rsid w:val="00782EEA"/>
    <w:rsid w:val="007A7002"/>
    <w:rsid w:val="007A7136"/>
    <w:rsid w:val="007A7F63"/>
    <w:rsid w:val="007B011C"/>
    <w:rsid w:val="007B186E"/>
    <w:rsid w:val="007B2C72"/>
    <w:rsid w:val="007B6C52"/>
    <w:rsid w:val="007C1C53"/>
    <w:rsid w:val="007C74BB"/>
    <w:rsid w:val="007D456E"/>
    <w:rsid w:val="007E42F4"/>
    <w:rsid w:val="007E4904"/>
    <w:rsid w:val="007E4CB5"/>
    <w:rsid w:val="007E55E9"/>
    <w:rsid w:val="007F066B"/>
    <w:rsid w:val="007F213A"/>
    <w:rsid w:val="007F75C4"/>
    <w:rsid w:val="008003CE"/>
    <w:rsid w:val="008033C4"/>
    <w:rsid w:val="008057DE"/>
    <w:rsid w:val="00806C88"/>
    <w:rsid w:val="00810070"/>
    <w:rsid w:val="0081034E"/>
    <w:rsid w:val="00812B03"/>
    <w:rsid w:val="00815CAC"/>
    <w:rsid w:val="00816203"/>
    <w:rsid w:val="008168E7"/>
    <w:rsid w:val="00821004"/>
    <w:rsid w:val="008221F2"/>
    <w:rsid w:val="00825985"/>
    <w:rsid w:val="008301A7"/>
    <w:rsid w:val="008301B2"/>
    <w:rsid w:val="008344F6"/>
    <w:rsid w:val="0083510F"/>
    <w:rsid w:val="008408C5"/>
    <w:rsid w:val="008414FC"/>
    <w:rsid w:val="00847887"/>
    <w:rsid w:val="00851209"/>
    <w:rsid w:val="00853771"/>
    <w:rsid w:val="0085722A"/>
    <w:rsid w:val="0086235C"/>
    <w:rsid w:val="00862B19"/>
    <w:rsid w:val="00864B35"/>
    <w:rsid w:val="00866D99"/>
    <w:rsid w:val="00867CF6"/>
    <w:rsid w:val="008749E0"/>
    <w:rsid w:val="00874CD0"/>
    <w:rsid w:val="00882481"/>
    <w:rsid w:val="008837AC"/>
    <w:rsid w:val="008967FA"/>
    <w:rsid w:val="008A587D"/>
    <w:rsid w:val="008B0BE8"/>
    <w:rsid w:val="008B35CD"/>
    <w:rsid w:val="008B5FCC"/>
    <w:rsid w:val="008B7544"/>
    <w:rsid w:val="008C3374"/>
    <w:rsid w:val="008C39F0"/>
    <w:rsid w:val="008C5486"/>
    <w:rsid w:val="008C63DF"/>
    <w:rsid w:val="008C6BC0"/>
    <w:rsid w:val="008C708B"/>
    <w:rsid w:val="008D1661"/>
    <w:rsid w:val="008D6800"/>
    <w:rsid w:val="008E7031"/>
    <w:rsid w:val="008E77DE"/>
    <w:rsid w:val="008F07A3"/>
    <w:rsid w:val="008F16B3"/>
    <w:rsid w:val="008F34DD"/>
    <w:rsid w:val="009001B6"/>
    <w:rsid w:val="00900E1B"/>
    <w:rsid w:val="00901C3C"/>
    <w:rsid w:val="009038ED"/>
    <w:rsid w:val="009233EE"/>
    <w:rsid w:val="00923CFC"/>
    <w:rsid w:val="00923FA9"/>
    <w:rsid w:val="009272AD"/>
    <w:rsid w:val="009277DC"/>
    <w:rsid w:val="009460AA"/>
    <w:rsid w:val="0094641C"/>
    <w:rsid w:val="0094797B"/>
    <w:rsid w:val="00951978"/>
    <w:rsid w:val="00961115"/>
    <w:rsid w:val="00961A4A"/>
    <w:rsid w:val="009661DE"/>
    <w:rsid w:val="00983C25"/>
    <w:rsid w:val="009856B7"/>
    <w:rsid w:val="00985C86"/>
    <w:rsid w:val="00996BAF"/>
    <w:rsid w:val="009972D8"/>
    <w:rsid w:val="009A1305"/>
    <w:rsid w:val="009A25F8"/>
    <w:rsid w:val="009A4DD3"/>
    <w:rsid w:val="009A4FAA"/>
    <w:rsid w:val="009A5113"/>
    <w:rsid w:val="009A539D"/>
    <w:rsid w:val="009A5FC3"/>
    <w:rsid w:val="009B4A71"/>
    <w:rsid w:val="009B5DC8"/>
    <w:rsid w:val="009B6F84"/>
    <w:rsid w:val="009B7343"/>
    <w:rsid w:val="009B74B0"/>
    <w:rsid w:val="009C595F"/>
    <w:rsid w:val="009C691D"/>
    <w:rsid w:val="009D3906"/>
    <w:rsid w:val="009D6B46"/>
    <w:rsid w:val="009F4940"/>
    <w:rsid w:val="009F5BA1"/>
    <w:rsid w:val="009F78B2"/>
    <w:rsid w:val="00A02A88"/>
    <w:rsid w:val="00A054B6"/>
    <w:rsid w:val="00A0562E"/>
    <w:rsid w:val="00A06085"/>
    <w:rsid w:val="00A0726D"/>
    <w:rsid w:val="00A12A00"/>
    <w:rsid w:val="00A16596"/>
    <w:rsid w:val="00A20BAE"/>
    <w:rsid w:val="00A2303E"/>
    <w:rsid w:val="00A241EB"/>
    <w:rsid w:val="00A30AA3"/>
    <w:rsid w:val="00A30F54"/>
    <w:rsid w:val="00A32FBB"/>
    <w:rsid w:val="00A40A50"/>
    <w:rsid w:val="00A428EE"/>
    <w:rsid w:val="00A4478A"/>
    <w:rsid w:val="00A44852"/>
    <w:rsid w:val="00A4650A"/>
    <w:rsid w:val="00A50502"/>
    <w:rsid w:val="00A57D04"/>
    <w:rsid w:val="00A60A26"/>
    <w:rsid w:val="00A61598"/>
    <w:rsid w:val="00A75BA2"/>
    <w:rsid w:val="00A847FC"/>
    <w:rsid w:val="00A84A99"/>
    <w:rsid w:val="00A84F46"/>
    <w:rsid w:val="00A871F4"/>
    <w:rsid w:val="00A90AA4"/>
    <w:rsid w:val="00A923BF"/>
    <w:rsid w:val="00AA1662"/>
    <w:rsid w:val="00AB309A"/>
    <w:rsid w:val="00AB47E1"/>
    <w:rsid w:val="00AC1B2C"/>
    <w:rsid w:val="00AC3264"/>
    <w:rsid w:val="00AD3884"/>
    <w:rsid w:val="00AD7B56"/>
    <w:rsid w:val="00AE1BF1"/>
    <w:rsid w:val="00AF0DD2"/>
    <w:rsid w:val="00B01E76"/>
    <w:rsid w:val="00B0209D"/>
    <w:rsid w:val="00B02961"/>
    <w:rsid w:val="00B04908"/>
    <w:rsid w:val="00B04B4C"/>
    <w:rsid w:val="00B07CEA"/>
    <w:rsid w:val="00B13048"/>
    <w:rsid w:val="00B1716D"/>
    <w:rsid w:val="00B17A1D"/>
    <w:rsid w:val="00B207A0"/>
    <w:rsid w:val="00B21655"/>
    <w:rsid w:val="00B40CAA"/>
    <w:rsid w:val="00B514DD"/>
    <w:rsid w:val="00B51F3F"/>
    <w:rsid w:val="00B52AF0"/>
    <w:rsid w:val="00B561BD"/>
    <w:rsid w:val="00B56E03"/>
    <w:rsid w:val="00B61EDF"/>
    <w:rsid w:val="00B670B1"/>
    <w:rsid w:val="00B74AC5"/>
    <w:rsid w:val="00B757A6"/>
    <w:rsid w:val="00B8080B"/>
    <w:rsid w:val="00B82223"/>
    <w:rsid w:val="00B83293"/>
    <w:rsid w:val="00B839EC"/>
    <w:rsid w:val="00B87BA5"/>
    <w:rsid w:val="00B87C39"/>
    <w:rsid w:val="00B9562D"/>
    <w:rsid w:val="00BA0731"/>
    <w:rsid w:val="00BA4665"/>
    <w:rsid w:val="00BA47EE"/>
    <w:rsid w:val="00BB2E73"/>
    <w:rsid w:val="00BB2FB2"/>
    <w:rsid w:val="00BB3304"/>
    <w:rsid w:val="00BB3FD7"/>
    <w:rsid w:val="00BB64F8"/>
    <w:rsid w:val="00BB6848"/>
    <w:rsid w:val="00BB7528"/>
    <w:rsid w:val="00BC18DE"/>
    <w:rsid w:val="00BC2FAF"/>
    <w:rsid w:val="00BC42EF"/>
    <w:rsid w:val="00BD0920"/>
    <w:rsid w:val="00BD0C45"/>
    <w:rsid w:val="00BD310B"/>
    <w:rsid w:val="00BD3446"/>
    <w:rsid w:val="00BE1F1B"/>
    <w:rsid w:val="00BE47B5"/>
    <w:rsid w:val="00BF0C8F"/>
    <w:rsid w:val="00BF0CD7"/>
    <w:rsid w:val="00C02087"/>
    <w:rsid w:val="00C04223"/>
    <w:rsid w:val="00C10B67"/>
    <w:rsid w:val="00C25FA6"/>
    <w:rsid w:val="00C275C4"/>
    <w:rsid w:val="00C30637"/>
    <w:rsid w:val="00C33F56"/>
    <w:rsid w:val="00C36F19"/>
    <w:rsid w:val="00C42ACA"/>
    <w:rsid w:val="00C5122C"/>
    <w:rsid w:val="00C538A9"/>
    <w:rsid w:val="00C53B5A"/>
    <w:rsid w:val="00C54F5A"/>
    <w:rsid w:val="00C569B4"/>
    <w:rsid w:val="00C56A01"/>
    <w:rsid w:val="00C56A3E"/>
    <w:rsid w:val="00C67A92"/>
    <w:rsid w:val="00C7497E"/>
    <w:rsid w:val="00C74D43"/>
    <w:rsid w:val="00C81568"/>
    <w:rsid w:val="00C84560"/>
    <w:rsid w:val="00C84F52"/>
    <w:rsid w:val="00C86679"/>
    <w:rsid w:val="00C97CDF"/>
    <w:rsid w:val="00CA2ABF"/>
    <w:rsid w:val="00CA2C1D"/>
    <w:rsid w:val="00CA489E"/>
    <w:rsid w:val="00CA52A2"/>
    <w:rsid w:val="00CB0279"/>
    <w:rsid w:val="00CB666B"/>
    <w:rsid w:val="00CC2D0F"/>
    <w:rsid w:val="00CC654E"/>
    <w:rsid w:val="00CC7F1D"/>
    <w:rsid w:val="00CD19EE"/>
    <w:rsid w:val="00CE484B"/>
    <w:rsid w:val="00CE4900"/>
    <w:rsid w:val="00CF0DEE"/>
    <w:rsid w:val="00CF2C05"/>
    <w:rsid w:val="00CF6EDE"/>
    <w:rsid w:val="00D006AE"/>
    <w:rsid w:val="00D01B7D"/>
    <w:rsid w:val="00D01CF0"/>
    <w:rsid w:val="00D01EFD"/>
    <w:rsid w:val="00D0442A"/>
    <w:rsid w:val="00D06055"/>
    <w:rsid w:val="00D066B7"/>
    <w:rsid w:val="00D07AD5"/>
    <w:rsid w:val="00D126CE"/>
    <w:rsid w:val="00D17683"/>
    <w:rsid w:val="00D24123"/>
    <w:rsid w:val="00D32CE0"/>
    <w:rsid w:val="00D36FCC"/>
    <w:rsid w:val="00D454EF"/>
    <w:rsid w:val="00D45694"/>
    <w:rsid w:val="00D51F04"/>
    <w:rsid w:val="00D608F6"/>
    <w:rsid w:val="00D60EFF"/>
    <w:rsid w:val="00D61388"/>
    <w:rsid w:val="00D61A54"/>
    <w:rsid w:val="00D62599"/>
    <w:rsid w:val="00D64275"/>
    <w:rsid w:val="00D64DEA"/>
    <w:rsid w:val="00D7168E"/>
    <w:rsid w:val="00D71E57"/>
    <w:rsid w:val="00D72CED"/>
    <w:rsid w:val="00D75AA2"/>
    <w:rsid w:val="00D7645E"/>
    <w:rsid w:val="00D80893"/>
    <w:rsid w:val="00D84854"/>
    <w:rsid w:val="00D848B4"/>
    <w:rsid w:val="00D90A31"/>
    <w:rsid w:val="00D92CF1"/>
    <w:rsid w:val="00D92D38"/>
    <w:rsid w:val="00D950F5"/>
    <w:rsid w:val="00DA02DD"/>
    <w:rsid w:val="00DA0BCC"/>
    <w:rsid w:val="00DA4752"/>
    <w:rsid w:val="00DA61F3"/>
    <w:rsid w:val="00DA6B93"/>
    <w:rsid w:val="00DA6F94"/>
    <w:rsid w:val="00DB0F93"/>
    <w:rsid w:val="00DB1A67"/>
    <w:rsid w:val="00DB3426"/>
    <w:rsid w:val="00DB5074"/>
    <w:rsid w:val="00DB5B21"/>
    <w:rsid w:val="00DC7981"/>
    <w:rsid w:val="00DD1C15"/>
    <w:rsid w:val="00DE1093"/>
    <w:rsid w:val="00DE4EFA"/>
    <w:rsid w:val="00DE5520"/>
    <w:rsid w:val="00DE563D"/>
    <w:rsid w:val="00DE5E2E"/>
    <w:rsid w:val="00DE772C"/>
    <w:rsid w:val="00DF1D9A"/>
    <w:rsid w:val="00DF312A"/>
    <w:rsid w:val="00E022CC"/>
    <w:rsid w:val="00E04818"/>
    <w:rsid w:val="00E06442"/>
    <w:rsid w:val="00E06BCF"/>
    <w:rsid w:val="00E06FE7"/>
    <w:rsid w:val="00E1001C"/>
    <w:rsid w:val="00E23993"/>
    <w:rsid w:val="00E257D6"/>
    <w:rsid w:val="00E25B8C"/>
    <w:rsid w:val="00E337A0"/>
    <w:rsid w:val="00E338A0"/>
    <w:rsid w:val="00E3544F"/>
    <w:rsid w:val="00E51D65"/>
    <w:rsid w:val="00E6200B"/>
    <w:rsid w:val="00E65C85"/>
    <w:rsid w:val="00E66199"/>
    <w:rsid w:val="00E711C7"/>
    <w:rsid w:val="00E7494F"/>
    <w:rsid w:val="00E755EC"/>
    <w:rsid w:val="00E7624D"/>
    <w:rsid w:val="00E97242"/>
    <w:rsid w:val="00EA38F3"/>
    <w:rsid w:val="00EA3D42"/>
    <w:rsid w:val="00EA6B1B"/>
    <w:rsid w:val="00EB2536"/>
    <w:rsid w:val="00EB5BC8"/>
    <w:rsid w:val="00EB606C"/>
    <w:rsid w:val="00EC04F1"/>
    <w:rsid w:val="00EC1B2B"/>
    <w:rsid w:val="00EC32E5"/>
    <w:rsid w:val="00ED0EC2"/>
    <w:rsid w:val="00ED3474"/>
    <w:rsid w:val="00ED7323"/>
    <w:rsid w:val="00EE28F3"/>
    <w:rsid w:val="00EE4E91"/>
    <w:rsid w:val="00EE50D1"/>
    <w:rsid w:val="00EE77FA"/>
    <w:rsid w:val="00EE7A83"/>
    <w:rsid w:val="00EF1B7A"/>
    <w:rsid w:val="00EF4E30"/>
    <w:rsid w:val="00EF5110"/>
    <w:rsid w:val="00F0334E"/>
    <w:rsid w:val="00F07967"/>
    <w:rsid w:val="00F10411"/>
    <w:rsid w:val="00F15882"/>
    <w:rsid w:val="00F171E0"/>
    <w:rsid w:val="00F2020C"/>
    <w:rsid w:val="00F207A3"/>
    <w:rsid w:val="00F20BD3"/>
    <w:rsid w:val="00F2526A"/>
    <w:rsid w:val="00F35081"/>
    <w:rsid w:val="00F373A5"/>
    <w:rsid w:val="00F42E08"/>
    <w:rsid w:val="00F47559"/>
    <w:rsid w:val="00F57907"/>
    <w:rsid w:val="00F61176"/>
    <w:rsid w:val="00F62A30"/>
    <w:rsid w:val="00F64C7B"/>
    <w:rsid w:val="00F65B25"/>
    <w:rsid w:val="00F676DD"/>
    <w:rsid w:val="00F71667"/>
    <w:rsid w:val="00F72771"/>
    <w:rsid w:val="00F73895"/>
    <w:rsid w:val="00F75A26"/>
    <w:rsid w:val="00F76706"/>
    <w:rsid w:val="00F768C8"/>
    <w:rsid w:val="00F81B8D"/>
    <w:rsid w:val="00F83FAD"/>
    <w:rsid w:val="00F8653A"/>
    <w:rsid w:val="00F91F55"/>
    <w:rsid w:val="00F92349"/>
    <w:rsid w:val="00F93B21"/>
    <w:rsid w:val="00F94005"/>
    <w:rsid w:val="00F952A0"/>
    <w:rsid w:val="00FA3C7F"/>
    <w:rsid w:val="00FB118C"/>
    <w:rsid w:val="00FB149E"/>
    <w:rsid w:val="00FB1BF3"/>
    <w:rsid w:val="00FB4402"/>
    <w:rsid w:val="00FB60FE"/>
    <w:rsid w:val="00FB74E2"/>
    <w:rsid w:val="00FC5B04"/>
    <w:rsid w:val="00FC6843"/>
    <w:rsid w:val="00FC71DC"/>
    <w:rsid w:val="00FD2ED2"/>
    <w:rsid w:val="00FD5614"/>
    <w:rsid w:val="00FD5E78"/>
    <w:rsid w:val="00FE0BE1"/>
    <w:rsid w:val="00FE1DE9"/>
    <w:rsid w:val="00FE36AF"/>
    <w:rsid w:val="00FE39C2"/>
    <w:rsid w:val="00FE3C32"/>
    <w:rsid w:val="00FE64AE"/>
    <w:rsid w:val="00FF44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uiPriority="2" w:qFormat="1"/>
    <w:lsdException w:name="header" w:uiPriority="0" w:qFormat="1"/>
    <w:lsdException w:name="footer" w:qFormat="1"/>
    <w:lsdException w:name="caption" w:uiPriority="0"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uiPriority="2" w:qFormat="1"/>
    <w:lsdException w:name="header" w:uiPriority="0" w:qFormat="1"/>
    <w:lsdException w:name="footer" w:qFormat="1"/>
    <w:lsdException w:name="caption" w:uiPriority="0"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13049">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728337248">
      <w:bodyDiv w:val="1"/>
      <w:marLeft w:val="0"/>
      <w:marRight w:val="0"/>
      <w:marTop w:val="0"/>
      <w:marBottom w:val="0"/>
      <w:divBdr>
        <w:top w:val="none" w:sz="0" w:space="0" w:color="auto"/>
        <w:left w:val="none" w:sz="0" w:space="0" w:color="auto"/>
        <w:bottom w:val="none" w:sz="0" w:space="0" w:color="auto"/>
        <w:right w:val="none" w:sz="0" w:space="0" w:color="auto"/>
      </w:divBdr>
    </w:div>
    <w:div w:id="179228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882895-56BA-4F5A-9F38-775C19B82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FD6FA62</Template>
  <TotalTime>0</TotalTime>
  <Pages>15</Pages>
  <Words>3680</Words>
  <Characters>20978</Characters>
  <Application>Microsoft Office Word</Application>
  <DocSecurity>0</DocSecurity>
  <Lines>174</Lines>
  <Paragraphs>49</Paragraphs>
  <ScaleCrop>false</ScaleCrop>
  <Company/>
  <LinksUpToDate>false</LinksUpToDate>
  <CharactersWithSpaces>24609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2016-05-23T00:10:00Z</dcterms:created>
  <dcterms:modified xsi:type="dcterms:W3CDTF">2016-05-23T00:10:00Z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8575888</vt:lpwstr>
  </property>
</Properties>
</file>