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208FBF9" wp14:editId="7DB72C0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801B91" w:rsidP="008F07A3">
          <w:pPr>
            <w:pStyle w:val="ReportSubtitle"/>
          </w:pPr>
          <w:r>
            <w:t>ActewAGL Distribution</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B02165">
            <w:t>2</w:t>
          </w:r>
          <w:r w:rsidR="00DA4752">
            <w:t xml:space="preserve"> </w:t>
          </w:r>
          <w:r w:rsidR="00415F31">
            <w:rPr>
              <w:rFonts w:cs="Arial"/>
            </w:rPr>
            <w:t>–</w:t>
          </w:r>
          <w:r w:rsidR="00DA4752">
            <w:t xml:space="preserve"> </w:t>
          </w:r>
          <w:r w:rsidR="00B02165">
            <w:t>Capital base</w:t>
          </w:r>
        </w:p>
        <w:p w:rsidR="000A6C7B" w:rsidRPr="00327A1E" w:rsidRDefault="000D0579" w:rsidP="00327A1E">
          <w:pPr>
            <w:pStyle w:val="ReportDate"/>
          </w:pPr>
          <w:r>
            <w:t xml:space="preserve">May </w:t>
          </w:r>
          <w:r w:rsidR="00A2303E">
            <w:t>2016</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CF2395">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759136"/>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801B91">
        <w:t xml:space="preserve">ActewAGL Distribution </w:t>
      </w:r>
      <w:r w:rsidR="0033548E">
        <w:t xml:space="preserve">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51759137"/>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B23396"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759136" w:history="1">
            <w:r w:rsidR="00B23396" w:rsidRPr="00622357">
              <w:rPr>
                <w:rStyle w:val="Hyperlink"/>
              </w:rPr>
              <w:t>Note</w:t>
            </w:r>
            <w:r w:rsidR="00B23396">
              <w:rPr>
                <w:webHidden/>
              </w:rPr>
              <w:tab/>
            </w:r>
            <w:r w:rsidR="00B23396">
              <w:rPr>
                <w:webHidden/>
              </w:rPr>
              <w:fldChar w:fldCharType="begin"/>
            </w:r>
            <w:r w:rsidR="00B23396">
              <w:rPr>
                <w:webHidden/>
              </w:rPr>
              <w:instrText xml:space="preserve"> PAGEREF _Toc451759136 \h </w:instrText>
            </w:r>
            <w:r w:rsidR="00B23396">
              <w:rPr>
                <w:webHidden/>
              </w:rPr>
            </w:r>
            <w:r w:rsidR="00B23396">
              <w:rPr>
                <w:webHidden/>
              </w:rPr>
              <w:fldChar w:fldCharType="separate"/>
            </w:r>
            <w:r w:rsidR="00B23396">
              <w:rPr>
                <w:webHidden/>
              </w:rPr>
              <w:t>2-2</w:t>
            </w:r>
            <w:r w:rsidR="00B23396">
              <w:rPr>
                <w:webHidden/>
              </w:rPr>
              <w:fldChar w:fldCharType="end"/>
            </w:r>
          </w:hyperlink>
        </w:p>
        <w:p w:rsidR="00B23396" w:rsidRDefault="00B23396">
          <w:pPr>
            <w:pStyle w:val="TOC1"/>
            <w:rPr>
              <w:rFonts w:asciiTheme="minorHAnsi" w:eastAsiaTheme="minorEastAsia" w:hAnsiTheme="minorHAnsi"/>
              <w:b w:val="0"/>
              <w:color w:val="auto"/>
              <w:sz w:val="22"/>
              <w:lang w:val="en-AU" w:eastAsia="en-AU"/>
            </w:rPr>
          </w:pPr>
          <w:hyperlink w:anchor="_Toc451759137" w:history="1">
            <w:r w:rsidRPr="00622357">
              <w:rPr>
                <w:rStyle w:val="Hyperlink"/>
              </w:rPr>
              <w:t>Contents</w:t>
            </w:r>
            <w:r>
              <w:rPr>
                <w:webHidden/>
              </w:rPr>
              <w:tab/>
            </w:r>
            <w:r>
              <w:rPr>
                <w:webHidden/>
              </w:rPr>
              <w:fldChar w:fldCharType="begin"/>
            </w:r>
            <w:r>
              <w:rPr>
                <w:webHidden/>
              </w:rPr>
              <w:instrText xml:space="preserve"> PAGEREF _Toc451759137 \h </w:instrText>
            </w:r>
            <w:r>
              <w:rPr>
                <w:webHidden/>
              </w:rPr>
            </w:r>
            <w:r>
              <w:rPr>
                <w:webHidden/>
              </w:rPr>
              <w:fldChar w:fldCharType="separate"/>
            </w:r>
            <w:r>
              <w:rPr>
                <w:webHidden/>
              </w:rPr>
              <w:t>2-3</w:t>
            </w:r>
            <w:r>
              <w:rPr>
                <w:webHidden/>
              </w:rPr>
              <w:fldChar w:fldCharType="end"/>
            </w:r>
          </w:hyperlink>
        </w:p>
        <w:p w:rsidR="00B23396" w:rsidRDefault="00B23396">
          <w:pPr>
            <w:pStyle w:val="TOC1"/>
            <w:rPr>
              <w:rFonts w:asciiTheme="minorHAnsi" w:eastAsiaTheme="minorEastAsia" w:hAnsiTheme="minorHAnsi"/>
              <w:b w:val="0"/>
              <w:color w:val="auto"/>
              <w:sz w:val="22"/>
              <w:lang w:val="en-AU" w:eastAsia="en-AU"/>
            </w:rPr>
          </w:pPr>
          <w:hyperlink w:anchor="_Toc451759138" w:history="1">
            <w:r w:rsidRPr="00622357">
              <w:rPr>
                <w:rStyle w:val="Hyperlink"/>
              </w:rPr>
              <w:t>Shortened forms</w:t>
            </w:r>
            <w:r>
              <w:rPr>
                <w:webHidden/>
              </w:rPr>
              <w:tab/>
            </w:r>
            <w:r>
              <w:rPr>
                <w:webHidden/>
              </w:rPr>
              <w:fldChar w:fldCharType="begin"/>
            </w:r>
            <w:r>
              <w:rPr>
                <w:webHidden/>
              </w:rPr>
              <w:instrText xml:space="preserve"> PAGEREF _Toc451759138 \h </w:instrText>
            </w:r>
            <w:r>
              <w:rPr>
                <w:webHidden/>
              </w:rPr>
            </w:r>
            <w:r>
              <w:rPr>
                <w:webHidden/>
              </w:rPr>
              <w:fldChar w:fldCharType="separate"/>
            </w:r>
            <w:r>
              <w:rPr>
                <w:webHidden/>
              </w:rPr>
              <w:t>2-4</w:t>
            </w:r>
            <w:r>
              <w:rPr>
                <w:webHidden/>
              </w:rPr>
              <w:fldChar w:fldCharType="end"/>
            </w:r>
          </w:hyperlink>
        </w:p>
        <w:p w:rsidR="00B23396" w:rsidRDefault="00B23396">
          <w:pPr>
            <w:pStyle w:val="TOC1"/>
            <w:rPr>
              <w:rFonts w:asciiTheme="minorHAnsi" w:eastAsiaTheme="minorEastAsia" w:hAnsiTheme="minorHAnsi"/>
              <w:b w:val="0"/>
              <w:color w:val="auto"/>
              <w:sz w:val="22"/>
              <w:lang w:val="en-AU" w:eastAsia="en-AU"/>
            </w:rPr>
          </w:pPr>
          <w:hyperlink w:anchor="_Toc451759139" w:history="1">
            <w:r w:rsidRPr="00622357">
              <w:rPr>
                <w:rStyle w:val="Hyperlink"/>
              </w:rPr>
              <w:t>2</w:t>
            </w:r>
            <w:r>
              <w:rPr>
                <w:rFonts w:asciiTheme="minorHAnsi" w:eastAsiaTheme="minorEastAsia" w:hAnsiTheme="minorHAnsi"/>
                <w:b w:val="0"/>
                <w:color w:val="auto"/>
                <w:sz w:val="22"/>
                <w:lang w:val="en-AU" w:eastAsia="en-AU"/>
              </w:rPr>
              <w:tab/>
            </w:r>
            <w:r w:rsidRPr="00622357">
              <w:rPr>
                <w:rStyle w:val="Hyperlink"/>
              </w:rPr>
              <w:t>Capital base</w:t>
            </w:r>
            <w:r>
              <w:rPr>
                <w:webHidden/>
              </w:rPr>
              <w:tab/>
            </w:r>
            <w:r>
              <w:rPr>
                <w:webHidden/>
              </w:rPr>
              <w:fldChar w:fldCharType="begin"/>
            </w:r>
            <w:r>
              <w:rPr>
                <w:webHidden/>
              </w:rPr>
              <w:instrText xml:space="preserve"> PAGEREF _Toc451759139 \h </w:instrText>
            </w:r>
            <w:r>
              <w:rPr>
                <w:webHidden/>
              </w:rPr>
            </w:r>
            <w:r>
              <w:rPr>
                <w:webHidden/>
              </w:rPr>
              <w:fldChar w:fldCharType="separate"/>
            </w:r>
            <w:r>
              <w:rPr>
                <w:webHidden/>
              </w:rPr>
              <w:t>2-6</w:t>
            </w:r>
            <w:r>
              <w:rPr>
                <w:webHidden/>
              </w:rPr>
              <w:fldChar w:fldCharType="end"/>
            </w:r>
          </w:hyperlink>
        </w:p>
        <w:p w:rsidR="00B23396" w:rsidRDefault="00B23396">
          <w:pPr>
            <w:pStyle w:val="TOC2"/>
            <w:rPr>
              <w:rFonts w:asciiTheme="minorHAnsi" w:eastAsiaTheme="minorEastAsia" w:hAnsiTheme="minorHAnsi"/>
              <w:b w:val="0"/>
              <w:color w:val="auto"/>
              <w:sz w:val="22"/>
              <w:lang w:eastAsia="en-AU"/>
            </w:rPr>
          </w:pPr>
          <w:hyperlink w:anchor="_Toc451759140" w:history="1">
            <w:r w:rsidRPr="00622357">
              <w:rPr>
                <w:rStyle w:val="Hyperlink"/>
              </w:rPr>
              <w:t>2.1</w:t>
            </w:r>
            <w:r>
              <w:rPr>
                <w:rFonts w:asciiTheme="minorHAnsi" w:eastAsiaTheme="minorEastAsia" w:hAnsiTheme="minorHAnsi"/>
                <w:b w:val="0"/>
                <w:color w:val="auto"/>
                <w:sz w:val="22"/>
                <w:lang w:eastAsia="en-AU"/>
              </w:rPr>
              <w:tab/>
            </w:r>
            <w:r w:rsidRPr="00622357">
              <w:rPr>
                <w:rStyle w:val="Hyperlink"/>
              </w:rPr>
              <w:t>Final decision</w:t>
            </w:r>
            <w:r>
              <w:rPr>
                <w:webHidden/>
              </w:rPr>
              <w:tab/>
            </w:r>
            <w:r>
              <w:rPr>
                <w:webHidden/>
              </w:rPr>
              <w:fldChar w:fldCharType="begin"/>
            </w:r>
            <w:r>
              <w:rPr>
                <w:webHidden/>
              </w:rPr>
              <w:instrText xml:space="preserve"> PAGEREF _Toc451759140 \h </w:instrText>
            </w:r>
            <w:r>
              <w:rPr>
                <w:webHidden/>
              </w:rPr>
            </w:r>
            <w:r>
              <w:rPr>
                <w:webHidden/>
              </w:rPr>
              <w:fldChar w:fldCharType="separate"/>
            </w:r>
            <w:r>
              <w:rPr>
                <w:webHidden/>
              </w:rPr>
              <w:t>2-6</w:t>
            </w:r>
            <w:r>
              <w:rPr>
                <w:webHidden/>
              </w:rPr>
              <w:fldChar w:fldCharType="end"/>
            </w:r>
          </w:hyperlink>
        </w:p>
        <w:p w:rsidR="00B23396" w:rsidRDefault="00B23396">
          <w:pPr>
            <w:pStyle w:val="TOC2"/>
            <w:rPr>
              <w:rFonts w:asciiTheme="minorHAnsi" w:eastAsiaTheme="minorEastAsia" w:hAnsiTheme="minorHAnsi"/>
              <w:b w:val="0"/>
              <w:color w:val="auto"/>
              <w:sz w:val="22"/>
              <w:lang w:eastAsia="en-AU"/>
            </w:rPr>
          </w:pPr>
          <w:hyperlink w:anchor="_Toc451759141" w:history="1">
            <w:r w:rsidRPr="00622357">
              <w:rPr>
                <w:rStyle w:val="Hyperlink"/>
              </w:rPr>
              <w:t>2.2</w:t>
            </w:r>
            <w:r>
              <w:rPr>
                <w:rFonts w:asciiTheme="minorHAnsi" w:eastAsiaTheme="minorEastAsia" w:hAnsiTheme="minorHAnsi"/>
                <w:b w:val="0"/>
                <w:color w:val="auto"/>
                <w:sz w:val="22"/>
                <w:lang w:eastAsia="en-AU"/>
              </w:rPr>
              <w:tab/>
            </w:r>
            <w:r w:rsidRPr="00622357">
              <w:rPr>
                <w:rStyle w:val="Hyperlink"/>
              </w:rPr>
              <w:t>ActewAGL’s revised proposal</w:t>
            </w:r>
            <w:r>
              <w:rPr>
                <w:webHidden/>
              </w:rPr>
              <w:tab/>
            </w:r>
            <w:r>
              <w:rPr>
                <w:webHidden/>
              </w:rPr>
              <w:fldChar w:fldCharType="begin"/>
            </w:r>
            <w:r>
              <w:rPr>
                <w:webHidden/>
              </w:rPr>
              <w:instrText xml:space="preserve"> PAGEREF _Toc451759141 \h </w:instrText>
            </w:r>
            <w:r>
              <w:rPr>
                <w:webHidden/>
              </w:rPr>
            </w:r>
            <w:r>
              <w:rPr>
                <w:webHidden/>
              </w:rPr>
              <w:fldChar w:fldCharType="separate"/>
            </w:r>
            <w:r>
              <w:rPr>
                <w:webHidden/>
              </w:rPr>
              <w:t>2-7</w:t>
            </w:r>
            <w:r>
              <w:rPr>
                <w:webHidden/>
              </w:rPr>
              <w:fldChar w:fldCharType="end"/>
            </w:r>
          </w:hyperlink>
        </w:p>
        <w:p w:rsidR="00B23396" w:rsidRDefault="00B23396">
          <w:pPr>
            <w:pStyle w:val="TOC2"/>
            <w:rPr>
              <w:rFonts w:asciiTheme="minorHAnsi" w:eastAsiaTheme="minorEastAsia" w:hAnsiTheme="minorHAnsi"/>
              <w:b w:val="0"/>
              <w:color w:val="auto"/>
              <w:sz w:val="22"/>
              <w:lang w:eastAsia="en-AU"/>
            </w:rPr>
          </w:pPr>
          <w:hyperlink w:anchor="_Toc451759142" w:history="1">
            <w:r w:rsidRPr="00622357">
              <w:rPr>
                <w:rStyle w:val="Hyperlink"/>
              </w:rPr>
              <w:t>2.3</w:t>
            </w:r>
            <w:r>
              <w:rPr>
                <w:rFonts w:asciiTheme="minorHAnsi" w:eastAsiaTheme="minorEastAsia" w:hAnsiTheme="minorHAnsi"/>
                <w:b w:val="0"/>
                <w:color w:val="auto"/>
                <w:sz w:val="22"/>
                <w:lang w:eastAsia="en-AU"/>
              </w:rPr>
              <w:tab/>
            </w:r>
            <w:r w:rsidRPr="00622357">
              <w:rPr>
                <w:rStyle w:val="Hyperlink"/>
              </w:rPr>
              <w:t>AER’s assessment approach</w:t>
            </w:r>
            <w:r>
              <w:rPr>
                <w:webHidden/>
              </w:rPr>
              <w:tab/>
            </w:r>
            <w:r>
              <w:rPr>
                <w:webHidden/>
              </w:rPr>
              <w:fldChar w:fldCharType="begin"/>
            </w:r>
            <w:r>
              <w:rPr>
                <w:webHidden/>
              </w:rPr>
              <w:instrText xml:space="preserve"> PAGEREF _Toc451759142 \h </w:instrText>
            </w:r>
            <w:r>
              <w:rPr>
                <w:webHidden/>
              </w:rPr>
            </w:r>
            <w:r>
              <w:rPr>
                <w:webHidden/>
              </w:rPr>
              <w:fldChar w:fldCharType="separate"/>
            </w:r>
            <w:r>
              <w:rPr>
                <w:webHidden/>
              </w:rPr>
              <w:t>2-9</w:t>
            </w:r>
            <w:r>
              <w:rPr>
                <w:webHidden/>
              </w:rPr>
              <w:fldChar w:fldCharType="end"/>
            </w:r>
          </w:hyperlink>
        </w:p>
        <w:p w:rsidR="00B23396" w:rsidRDefault="00B23396">
          <w:pPr>
            <w:pStyle w:val="TOC2"/>
            <w:rPr>
              <w:rFonts w:asciiTheme="minorHAnsi" w:eastAsiaTheme="minorEastAsia" w:hAnsiTheme="minorHAnsi"/>
              <w:b w:val="0"/>
              <w:color w:val="auto"/>
              <w:sz w:val="22"/>
              <w:lang w:eastAsia="en-AU"/>
            </w:rPr>
          </w:pPr>
          <w:hyperlink w:anchor="_Toc451759143" w:history="1">
            <w:r w:rsidRPr="00622357">
              <w:rPr>
                <w:rStyle w:val="Hyperlink"/>
              </w:rPr>
              <w:t>2.4</w:t>
            </w:r>
            <w:r>
              <w:rPr>
                <w:rFonts w:asciiTheme="minorHAnsi" w:eastAsiaTheme="minorEastAsia" w:hAnsiTheme="minorHAnsi"/>
                <w:b w:val="0"/>
                <w:color w:val="auto"/>
                <w:sz w:val="22"/>
                <w:lang w:eastAsia="en-AU"/>
              </w:rPr>
              <w:tab/>
            </w:r>
            <w:r w:rsidRPr="00622357">
              <w:rPr>
                <w:rStyle w:val="Hyperlink"/>
              </w:rPr>
              <w:t>Reasons for final decision</w:t>
            </w:r>
            <w:r>
              <w:rPr>
                <w:webHidden/>
              </w:rPr>
              <w:tab/>
            </w:r>
            <w:r>
              <w:rPr>
                <w:webHidden/>
              </w:rPr>
              <w:fldChar w:fldCharType="begin"/>
            </w:r>
            <w:r>
              <w:rPr>
                <w:webHidden/>
              </w:rPr>
              <w:instrText xml:space="preserve"> PAGEREF _Toc451759143 \h </w:instrText>
            </w:r>
            <w:r>
              <w:rPr>
                <w:webHidden/>
              </w:rPr>
            </w:r>
            <w:r>
              <w:rPr>
                <w:webHidden/>
              </w:rPr>
              <w:fldChar w:fldCharType="separate"/>
            </w:r>
            <w:r>
              <w:rPr>
                <w:webHidden/>
              </w:rPr>
              <w:t>2-9</w:t>
            </w:r>
            <w:r>
              <w:rPr>
                <w:webHidden/>
              </w:rPr>
              <w:fldChar w:fldCharType="end"/>
            </w:r>
          </w:hyperlink>
        </w:p>
        <w:p w:rsidR="00B23396" w:rsidRDefault="00B23396">
          <w:pPr>
            <w:pStyle w:val="TOC3"/>
            <w:rPr>
              <w:rFonts w:asciiTheme="minorHAnsi" w:eastAsiaTheme="minorEastAsia" w:hAnsiTheme="minorHAnsi"/>
              <w:lang w:eastAsia="en-AU"/>
            </w:rPr>
          </w:pPr>
          <w:hyperlink w:anchor="_Toc451759144" w:history="1">
            <w:r w:rsidRPr="00622357">
              <w:rPr>
                <w:rStyle w:val="Hyperlink"/>
              </w:rPr>
              <w:t>2.4.1</w:t>
            </w:r>
            <w:r>
              <w:rPr>
                <w:rFonts w:asciiTheme="minorHAnsi" w:eastAsiaTheme="minorEastAsia" w:hAnsiTheme="minorHAnsi"/>
                <w:lang w:eastAsia="en-AU"/>
              </w:rPr>
              <w:tab/>
            </w:r>
            <w:r w:rsidRPr="00622357">
              <w:rPr>
                <w:rStyle w:val="Hyperlink"/>
              </w:rPr>
              <w:t>Roll forward of capital base during the 2010–15 access arrangement period</w:t>
            </w:r>
            <w:r>
              <w:rPr>
                <w:webHidden/>
              </w:rPr>
              <w:tab/>
            </w:r>
            <w:r>
              <w:rPr>
                <w:webHidden/>
              </w:rPr>
              <w:fldChar w:fldCharType="begin"/>
            </w:r>
            <w:r>
              <w:rPr>
                <w:webHidden/>
              </w:rPr>
              <w:instrText xml:space="preserve"> PAGEREF _Toc451759144 \h </w:instrText>
            </w:r>
            <w:r>
              <w:rPr>
                <w:webHidden/>
              </w:rPr>
            </w:r>
            <w:r>
              <w:rPr>
                <w:webHidden/>
              </w:rPr>
              <w:fldChar w:fldCharType="separate"/>
            </w:r>
            <w:r>
              <w:rPr>
                <w:webHidden/>
              </w:rPr>
              <w:t>2-10</w:t>
            </w:r>
            <w:r>
              <w:rPr>
                <w:webHidden/>
              </w:rPr>
              <w:fldChar w:fldCharType="end"/>
            </w:r>
          </w:hyperlink>
        </w:p>
        <w:p w:rsidR="00B23396" w:rsidRDefault="00B23396">
          <w:pPr>
            <w:pStyle w:val="TOC3"/>
            <w:rPr>
              <w:rFonts w:asciiTheme="minorHAnsi" w:eastAsiaTheme="minorEastAsia" w:hAnsiTheme="minorHAnsi"/>
              <w:lang w:eastAsia="en-AU"/>
            </w:rPr>
          </w:pPr>
          <w:hyperlink w:anchor="_Toc451759145" w:history="1">
            <w:r w:rsidRPr="00622357">
              <w:rPr>
                <w:rStyle w:val="Hyperlink"/>
              </w:rPr>
              <w:t>Conforming capital expenditure in the 2010–15 access arrangement period</w:t>
            </w:r>
            <w:r>
              <w:rPr>
                <w:webHidden/>
              </w:rPr>
              <w:tab/>
            </w:r>
            <w:r>
              <w:rPr>
                <w:webHidden/>
              </w:rPr>
              <w:fldChar w:fldCharType="begin"/>
            </w:r>
            <w:r>
              <w:rPr>
                <w:webHidden/>
              </w:rPr>
              <w:instrText xml:space="preserve"> PAGEREF _Toc451759145 \h </w:instrText>
            </w:r>
            <w:r>
              <w:rPr>
                <w:webHidden/>
              </w:rPr>
            </w:r>
            <w:r>
              <w:rPr>
                <w:webHidden/>
              </w:rPr>
              <w:fldChar w:fldCharType="separate"/>
            </w:r>
            <w:r>
              <w:rPr>
                <w:webHidden/>
              </w:rPr>
              <w:t>2-10</w:t>
            </w:r>
            <w:r>
              <w:rPr>
                <w:webHidden/>
              </w:rPr>
              <w:fldChar w:fldCharType="end"/>
            </w:r>
          </w:hyperlink>
        </w:p>
        <w:p w:rsidR="00B23396" w:rsidRDefault="00B23396">
          <w:pPr>
            <w:pStyle w:val="TOC3"/>
            <w:rPr>
              <w:rFonts w:asciiTheme="minorHAnsi" w:eastAsiaTheme="minorEastAsia" w:hAnsiTheme="minorHAnsi"/>
              <w:lang w:eastAsia="en-AU"/>
            </w:rPr>
          </w:pPr>
          <w:hyperlink w:anchor="_Toc451759146" w:history="1">
            <w:r w:rsidRPr="00622357">
              <w:rPr>
                <w:rStyle w:val="Hyperlink"/>
              </w:rPr>
              <w:t>2.4.2</w:t>
            </w:r>
            <w:r>
              <w:rPr>
                <w:rFonts w:asciiTheme="minorHAnsi" w:eastAsiaTheme="minorEastAsia" w:hAnsiTheme="minorHAnsi"/>
                <w:lang w:eastAsia="en-AU"/>
              </w:rPr>
              <w:tab/>
            </w:r>
            <w:r w:rsidRPr="00622357">
              <w:rPr>
                <w:rStyle w:val="Hyperlink"/>
              </w:rPr>
              <w:t>Projected capital base over 2015–16 and the 2016–21 access arrangement period</w:t>
            </w:r>
            <w:r>
              <w:rPr>
                <w:webHidden/>
              </w:rPr>
              <w:tab/>
            </w:r>
            <w:r>
              <w:rPr>
                <w:webHidden/>
              </w:rPr>
              <w:fldChar w:fldCharType="begin"/>
            </w:r>
            <w:r>
              <w:rPr>
                <w:webHidden/>
              </w:rPr>
              <w:instrText xml:space="preserve"> PAGEREF _Toc451759146 \h </w:instrText>
            </w:r>
            <w:r>
              <w:rPr>
                <w:webHidden/>
              </w:rPr>
            </w:r>
            <w:r>
              <w:rPr>
                <w:webHidden/>
              </w:rPr>
              <w:fldChar w:fldCharType="separate"/>
            </w:r>
            <w:r>
              <w:rPr>
                <w:webHidden/>
              </w:rPr>
              <w:t>2-11</w:t>
            </w:r>
            <w:r>
              <w:rPr>
                <w:webHidden/>
              </w:rPr>
              <w:fldChar w:fldCharType="end"/>
            </w:r>
          </w:hyperlink>
        </w:p>
        <w:p w:rsidR="00B23396" w:rsidRDefault="00B23396">
          <w:pPr>
            <w:pStyle w:val="TOC3"/>
            <w:rPr>
              <w:rFonts w:asciiTheme="minorHAnsi" w:eastAsiaTheme="minorEastAsia" w:hAnsiTheme="minorHAnsi"/>
              <w:lang w:eastAsia="en-AU"/>
            </w:rPr>
          </w:pPr>
          <w:hyperlink w:anchor="_Toc451759147" w:history="1">
            <w:r w:rsidRPr="00622357">
              <w:rPr>
                <w:rStyle w:val="Hyperlink"/>
              </w:rPr>
              <w:t>2.4.3</w:t>
            </w:r>
            <w:r>
              <w:rPr>
                <w:rFonts w:asciiTheme="minorHAnsi" w:eastAsiaTheme="minorEastAsia" w:hAnsiTheme="minorHAnsi"/>
                <w:lang w:eastAsia="en-AU"/>
              </w:rPr>
              <w:tab/>
            </w:r>
            <w:r w:rsidRPr="00622357">
              <w:rPr>
                <w:rStyle w:val="Hyperlink"/>
              </w:rPr>
              <w:t>Capital base at the commencement of the 2021–26 access arrangement period</w:t>
            </w:r>
            <w:r>
              <w:rPr>
                <w:webHidden/>
              </w:rPr>
              <w:tab/>
            </w:r>
            <w:r>
              <w:rPr>
                <w:webHidden/>
              </w:rPr>
              <w:fldChar w:fldCharType="begin"/>
            </w:r>
            <w:r>
              <w:rPr>
                <w:webHidden/>
              </w:rPr>
              <w:instrText xml:space="preserve"> PAGEREF _Toc451759147 \h </w:instrText>
            </w:r>
            <w:r>
              <w:rPr>
                <w:webHidden/>
              </w:rPr>
            </w:r>
            <w:r>
              <w:rPr>
                <w:webHidden/>
              </w:rPr>
              <w:fldChar w:fldCharType="separate"/>
            </w:r>
            <w:r>
              <w:rPr>
                <w:webHidden/>
              </w:rPr>
              <w:t>2-11</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bookmarkStart w:id="7" w:name="_GoBack"/>
      <w:bookmarkEnd w:id="7"/>
    </w:p>
    <w:p w:rsidR="00E7494F" w:rsidRDefault="00DE563D" w:rsidP="00DE772C">
      <w:pPr>
        <w:pStyle w:val="UnnumberedHeading"/>
        <w:numPr>
          <w:ilvl w:val="0"/>
          <w:numId w:val="23"/>
        </w:numPr>
      </w:pPr>
      <w:bookmarkStart w:id="8" w:name="_Toc404700925"/>
      <w:bookmarkStart w:id="9" w:name="_Toc451759138"/>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2B7A5D" w:rsidTr="002B7A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Shortened form</w:t>
            </w:r>
          </w:p>
        </w:tc>
        <w:tc>
          <w:tcPr>
            <w:tcW w:w="5041" w:type="dxa"/>
            <w:tcBorders>
              <w:top w:val="nil"/>
              <w:left w:val="nil"/>
              <w:bottom w:val="nil"/>
              <w:right w:val="nil"/>
            </w:tcBorders>
            <w:hideMark/>
          </w:tcPr>
          <w:p w:rsidR="002B7A5D" w:rsidRPr="002B7A5D" w:rsidRDefault="002B7A5D" w:rsidP="002B7A5D">
            <w:pPr>
              <w:numPr>
                <w:ilvl w:val="0"/>
                <w:numId w:val="24"/>
              </w:numPr>
              <w:cnfStyle w:val="100000000000" w:firstRow="1" w:lastRow="0" w:firstColumn="0" w:lastColumn="0" w:oddVBand="0" w:evenVBand="0" w:oddHBand="0" w:evenHBand="0" w:firstRowFirstColumn="0" w:firstRowLastColumn="0" w:lastRowFirstColumn="0" w:lastRowLastColumn="0"/>
            </w:pPr>
            <w:r w:rsidRPr="002B7A5D">
              <w:t>Extended form</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AA</w:t>
            </w:r>
          </w:p>
        </w:tc>
        <w:tc>
          <w:tcPr>
            <w:tcW w:w="5041" w:type="dxa"/>
            <w:tcBorders>
              <w:top w:val="nil"/>
              <w:left w:val="nil"/>
              <w:bottom w:val="nil"/>
              <w:right w:val="nil"/>
            </w:tcBorders>
            <w:hideMark/>
          </w:tcPr>
          <w:p w:rsidR="002B7A5D" w:rsidRPr="002B7A5D" w:rsidRDefault="002B7A5D" w:rsidP="002B7A5D">
            <w:pPr>
              <w:cnfStyle w:val="000000000000" w:firstRow="0" w:lastRow="0" w:firstColumn="0" w:lastColumn="0" w:oddVBand="0" w:evenVBand="0" w:oddHBand="0" w:evenHBand="0" w:firstRowFirstColumn="0" w:firstRowLastColumn="0" w:lastRowFirstColumn="0" w:lastRowLastColumn="0"/>
            </w:pPr>
            <w:r w:rsidRPr="002B7A5D">
              <w:t>Access Arrangement</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AAI</w:t>
            </w:r>
          </w:p>
        </w:tc>
        <w:tc>
          <w:tcPr>
            <w:tcW w:w="5041" w:type="dxa"/>
            <w:tcBorders>
              <w:top w:val="nil"/>
              <w:left w:val="nil"/>
              <w:bottom w:val="nil"/>
              <w:right w:val="nil"/>
            </w:tcBorders>
            <w:hideMark/>
          </w:tcPr>
          <w:p w:rsidR="002B7A5D" w:rsidRPr="002B7A5D" w:rsidRDefault="002B7A5D" w:rsidP="002B7A5D">
            <w:pPr>
              <w:cnfStyle w:val="000000010000" w:firstRow="0" w:lastRow="0" w:firstColumn="0" w:lastColumn="0" w:oddVBand="0" w:evenVBand="0" w:oddHBand="0" w:evenHBand="1" w:firstRowFirstColumn="0" w:firstRowLastColumn="0" w:lastRowFirstColumn="0" w:lastRowLastColumn="0"/>
            </w:pPr>
            <w:r w:rsidRPr="002B7A5D">
              <w:t>Access Arrangement Information</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AER</w:t>
            </w:r>
          </w:p>
        </w:tc>
        <w:tc>
          <w:tcPr>
            <w:tcW w:w="5041" w:type="dxa"/>
            <w:tcBorders>
              <w:top w:val="nil"/>
              <w:left w:val="nil"/>
              <w:bottom w:val="nil"/>
              <w:right w:val="nil"/>
            </w:tcBorders>
            <w:hideMark/>
          </w:tcPr>
          <w:p w:rsidR="002B7A5D" w:rsidRPr="002B7A5D" w:rsidRDefault="002B7A5D" w:rsidP="002B7A5D">
            <w:pPr>
              <w:numPr>
                <w:ilvl w:val="0"/>
                <w:numId w:val="24"/>
              </w:numPr>
              <w:cnfStyle w:val="000000000000" w:firstRow="0" w:lastRow="0" w:firstColumn="0" w:lastColumn="0" w:oddVBand="0" w:evenVBand="0" w:oddHBand="0" w:evenHBand="0" w:firstRowFirstColumn="0" w:firstRowLastColumn="0" w:lastRowFirstColumn="0" w:lastRowLastColumn="0"/>
            </w:pPr>
            <w:r w:rsidRPr="002B7A5D">
              <w:t>Australian Energy Regulator</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ASA</w:t>
            </w:r>
          </w:p>
        </w:tc>
        <w:tc>
          <w:tcPr>
            <w:tcW w:w="5041" w:type="dxa"/>
            <w:tcBorders>
              <w:top w:val="nil"/>
              <w:left w:val="nil"/>
              <w:bottom w:val="nil"/>
              <w:right w:val="nil"/>
            </w:tcBorders>
            <w:hideMark/>
          </w:tcPr>
          <w:p w:rsidR="002B7A5D" w:rsidRPr="002B7A5D" w:rsidRDefault="002B7A5D" w:rsidP="002B7A5D">
            <w:pPr>
              <w:cnfStyle w:val="000000010000" w:firstRow="0" w:lastRow="0" w:firstColumn="0" w:lastColumn="0" w:oddVBand="0" w:evenVBand="0" w:oddHBand="0" w:evenHBand="1" w:firstRowFirstColumn="0" w:firstRowLastColumn="0" w:lastRowFirstColumn="0" w:lastRowLastColumn="0"/>
            </w:pPr>
            <w:r w:rsidRPr="002B7A5D">
              <w:t>Asset Services Agreement</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ATO</w:t>
            </w:r>
          </w:p>
        </w:tc>
        <w:tc>
          <w:tcPr>
            <w:tcW w:w="5041" w:type="dxa"/>
            <w:tcBorders>
              <w:top w:val="nil"/>
              <w:left w:val="nil"/>
              <w:bottom w:val="nil"/>
              <w:right w:val="nil"/>
            </w:tcBorders>
            <w:hideMark/>
          </w:tcPr>
          <w:p w:rsidR="002B7A5D" w:rsidRPr="002B7A5D" w:rsidRDefault="002B7A5D" w:rsidP="002B7A5D">
            <w:pPr>
              <w:cnfStyle w:val="000000000000" w:firstRow="0" w:lastRow="0" w:firstColumn="0" w:lastColumn="0" w:oddVBand="0" w:evenVBand="0" w:oddHBand="0" w:evenHBand="0" w:firstRowFirstColumn="0" w:firstRowLastColumn="0" w:lastRowFirstColumn="0" w:lastRowLastColumn="0"/>
            </w:pPr>
            <w:r w:rsidRPr="002B7A5D">
              <w:t>Australian Tax Office</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capex</w:t>
            </w:r>
          </w:p>
        </w:tc>
        <w:tc>
          <w:tcPr>
            <w:tcW w:w="5041" w:type="dxa"/>
            <w:tcBorders>
              <w:top w:val="nil"/>
              <w:left w:val="nil"/>
              <w:bottom w:val="nil"/>
              <w:right w:val="nil"/>
            </w:tcBorders>
            <w:hideMark/>
          </w:tcPr>
          <w:p w:rsidR="002B7A5D" w:rsidRPr="002B7A5D" w:rsidRDefault="002B7A5D" w:rsidP="002B7A5D">
            <w:pPr>
              <w:numPr>
                <w:ilvl w:val="0"/>
                <w:numId w:val="24"/>
              </w:numPr>
              <w:cnfStyle w:val="000000010000" w:firstRow="0" w:lastRow="0" w:firstColumn="0" w:lastColumn="0" w:oddVBand="0" w:evenVBand="0" w:oddHBand="0" w:evenHBand="1" w:firstRowFirstColumn="0" w:firstRowLastColumn="0" w:lastRowFirstColumn="0" w:lastRowLastColumn="0"/>
            </w:pPr>
            <w:r w:rsidRPr="002B7A5D">
              <w:t>capital expenditure</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CAPM</w:t>
            </w:r>
          </w:p>
        </w:tc>
        <w:tc>
          <w:tcPr>
            <w:tcW w:w="5041" w:type="dxa"/>
            <w:tcBorders>
              <w:top w:val="nil"/>
              <w:left w:val="nil"/>
              <w:bottom w:val="nil"/>
              <w:right w:val="nil"/>
            </w:tcBorders>
            <w:hideMark/>
          </w:tcPr>
          <w:p w:rsidR="002B7A5D" w:rsidRPr="002B7A5D" w:rsidRDefault="002B7A5D" w:rsidP="002B7A5D">
            <w:pPr>
              <w:numPr>
                <w:ilvl w:val="0"/>
                <w:numId w:val="24"/>
              </w:numPr>
              <w:cnfStyle w:val="000000000000" w:firstRow="0" w:lastRow="0" w:firstColumn="0" w:lastColumn="0" w:oddVBand="0" w:evenVBand="0" w:oddHBand="0" w:evenHBand="0" w:firstRowFirstColumn="0" w:firstRowLastColumn="0" w:lastRowFirstColumn="0" w:lastRowLastColumn="0"/>
            </w:pPr>
            <w:r w:rsidRPr="002B7A5D">
              <w:t>capital asset pricing model</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CCP</w:t>
            </w:r>
          </w:p>
        </w:tc>
        <w:tc>
          <w:tcPr>
            <w:tcW w:w="5041" w:type="dxa"/>
            <w:tcBorders>
              <w:top w:val="nil"/>
              <w:left w:val="nil"/>
              <w:bottom w:val="nil"/>
              <w:right w:val="nil"/>
            </w:tcBorders>
            <w:hideMark/>
          </w:tcPr>
          <w:p w:rsidR="002B7A5D" w:rsidRPr="002B7A5D" w:rsidRDefault="002B7A5D" w:rsidP="002B7A5D">
            <w:pPr>
              <w:numPr>
                <w:ilvl w:val="0"/>
                <w:numId w:val="24"/>
              </w:numPr>
              <w:cnfStyle w:val="000000010000" w:firstRow="0" w:lastRow="0" w:firstColumn="0" w:lastColumn="0" w:oddVBand="0" w:evenVBand="0" w:oddHBand="0" w:evenHBand="1" w:firstRowFirstColumn="0" w:firstRowLastColumn="0" w:lastRowFirstColumn="0" w:lastRowLastColumn="0"/>
            </w:pPr>
            <w:r w:rsidRPr="002B7A5D">
              <w:t>Consumer Challenge Panel</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CMF</w:t>
            </w:r>
          </w:p>
        </w:tc>
        <w:tc>
          <w:tcPr>
            <w:tcW w:w="5041" w:type="dxa"/>
            <w:tcBorders>
              <w:top w:val="nil"/>
              <w:left w:val="nil"/>
              <w:bottom w:val="nil"/>
              <w:right w:val="nil"/>
            </w:tcBorders>
            <w:hideMark/>
          </w:tcPr>
          <w:p w:rsidR="002B7A5D" w:rsidRPr="002B7A5D" w:rsidRDefault="002B7A5D" w:rsidP="002B7A5D">
            <w:pPr>
              <w:cnfStyle w:val="000000000000" w:firstRow="0" w:lastRow="0" w:firstColumn="0" w:lastColumn="0" w:oddVBand="0" w:evenVBand="0" w:oddHBand="0" w:evenHBand="0" w:firstRowFirstColumn="0" w:firstRowLastColumn="0" w:lastRowFirstColumn="0" w:lastRowLastColumn="0"/>
            </w:pPr>
            <w:r w:rsidRPr="002B7A5D">
              <w:t>construction management fee</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CPI</w:t>
            </w:r>
          </w:p>
        </w:tc>
        <w:tc>
          <w:tcPr>
            <w:tcW w:w="5041" w:type="dxa"/>
            <w:tcBorders>
              <w:top w:val="nil"/>
              <w:left w:val="nil"/>
              <w:bottom w:val="nil"/>
              <w:right w:val="nil"/>
            </w:tcBorders>
            <w:hideMark/>
          </w:tcPr>
          <w:p w:rsidR="002B7A5D" w:rsidRPr="002B7A5D" w:rsidRDefault="002B7A5D" w:rsidP="002B7A5D">
            <w:pPr>
              <w:numPr>
                <w:ilvl w:val="0"/>
                <w:numId w:val="24"/>
              </w:numPr>
              <w:cnfStyle w:val="000000010000" w:firstRow="0" w:lastRow="0" w:firstColumn="0" w:lastColumn="0" w:oddVBand="0" w:evenVBand="0" w:oddHBand="0" w:evenHBand="1" w:firstRowFirstColumn="0" w:firstRowLastColumn="0" w:lastRowFirstColumn="0" w:lastRowLastColumn="0"/>
            </w:pPr>
            <w:r w:rsidRPr="002B7A5D">
              <w:t>consumer price index</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DAMS</w:t>
            </w:r>
          </w:p>
        </w:tc>
        <w:tc>
          <w:tcPr>
            <w:tcW w:w="5041" w:type="dxa"/>
            <w:tcBorders>
              <w:top w:val="nil"/>
              <w:left w:val="nil"/>
              <w:bottom w:val="nil"/>
              <w:right w:val="nil"/>
            </w:tcBorders>
            <w:hideMark/>
          </w:tcPr>
          <w:p w:rsidR="002B7A5D" w:rsidRPr="002B7A5D" w:rsidRDefault="002B7A5D" w:rsidP="002B7A5D">
            <w:pPr>
              <w:cnfStyle w:val="000000000000" w:firstRow="0" w:lastRow="0" w:firstColumn="0" w:lastColumn="0" w:oddVBand="0" w:evenVBand="0" w:oddHBand="0" w:evenHBand="0" w:firstRowFirstColumn="0" w:firstRowLastColumn="0" w:lastRowFirstColumn="0" w:lastRowLastColumn="0"/>
            </w:pPr>
            <w:r w:rsidRPr="002B7A5D">
              <w:t>Distribution Asset Management Services</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DRP</w:t>
            </w:r>
          </w:p>
        </w:tc>
        <w:tc>
          <w:tcPr>
            <w:tcW w:w="5041" w:type="dxa"/>
            <w:tcBorders>
              <w:top w:val="nil"/>
              <w:left w:val="nil"/>
              <w:bottom w:val="nil"/>
              <w:right w:val="nil"/>
            </w:tcBorders>
            <w:hideMark/>
          </w:tcPr>
          <w:p w:rsidR="002B7A5D" w:rsidRPr="002B7A5D" w:rsidRDefault="002B7A5D" w:rsidP="002B7A5D">
            <w:pPr>
              <w:numPr>
                <w:ilvl w:val="0"/>
                <w:numId w:val="24"/>
              </w:numPr>
              <w:cnfStyle w:val="000000010000" w:firstRow="0" w:lastRow="0" w:firstColumn="0" w:lastColumn="0" w:oddVBand="0" w:evenVBand="0" w:oddHBand="0" w:evenHBand="1" w:firstRowFirstColumn="0" w:firstRowLastColumn="0" w:lastRowFirstColumn="0" w:lastRowLastColumn="0"/>
            </w:pPr>
            <w:r w:rsidRPr="002B7A5D">
              <w:t>debt risk premium</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EBSS</w:t>
            </w:r>
          </w:p>
        </w:tc>
        <w:tc>
          <w:tcPr>
            <w:tcW w:w="5041" w:type="dxa"/>
            <w:tcBorders>
              <w:top w:val="nil"/>
              <w:left w:val="nil"/>
              <w:bottom w:val="nil"/>
              <w:right w:val="nil"/>
            </w:tcBorders>
            <w:hideMark/>
          </w:tcPr>
          <w:p w:rsidR="002B7A5D" w:rsidRPr="002B7A5D" w:rsidRDefault="002B7A5D" w:rsidP="002B7A5D">
            <w:pPr>
              <w:cnfStyle w:val="000000000000" w:firstRow="0" w:lastRow="0" w:firstColumn="0" w:lastColumn="0" w:oddVBand="0" w:evenVBand="0" w:oddHBand="0" w:evenHBand="0" w:firstRowFirstColumn="0" w:firstRowLastColumn="0" w:lastRowFirstColumn="0" w:lastRowLastColumn="0"/>
            </w:pPr>
            <w:r w:rsidRPr="002B7A5D">
              <w:t>Efficiency Benefit Sharing Scheme</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ECM</w:t>
            </w:r>
          </w:p>
        </w:tc>
        <w:tc>
          <w:tcPr>
            <w:tcW w:w="5041" w:type="dxa"/>
            <w:tcBorders>
              <w:top w:val="nil"/>
              <w:left w:val="nil"/>
              <w:bottom w:val="nil"/>
              <w:right w:val="nil"/>
            </w:tcBorders>
            <w:hideMark/>
          </w:tcPr>
          <w:p w:rsidR="002B7A5D" w:rsidRPr="002B7A5D" w:rsidRDefault="002B7A5D" w:rsidP="002B7A5D">
            <w:pPr>
              <w:cnfStyle w:val="000000010000" w:firstRow="0" w:lastRow="0" w:firstColumn="0" w:lastColumn="0" w:oddVBand="0" w:evenVBand="0" w:oddHBand="0" w:evenHBand="1" w:firstRowFirstColumn="0" w:firstRowLastColumn="0" w:lastRowFirstColumn="0" w:lastRowLastColumn="0"/>
            </w:pPr>
            <w:r w:rsidRPr="002B7A5D">
              <w:t>Efficiency Carryover Mechanism</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EIL</w:t>
            </w:r>
          </w:p>
        </w:tc>
        <w:tc>
          <w:tcPr>
            <w:tcW w:w="5041" w:type="dxa"/>
            <w:tcBorders>
              <w:top w:val="nil"/>
              <w:left w:val="nil"/>
              <w:bottom w:val="nil"/>
              <w:right w:val="nil"/>
            </w:tcBorders>
            <w:hideMark/>
          </w:tcPr>
          <w:p w:rsidR="002B7A5D" w:rsidRPr="002B7A5D" w:rsidRDefault="002B7A5D" w:rsidP="002B7A5D">
            <w:pPr>
              <w:cnfStyle w:val="000000000000" w:firstRow="0" w:lastRow="0" w:firstColumn="0" w:lastColumn="0" w:oddVBand="0" w:evenVBand="0" w:oddHBand="0" w:evenHBand="0" w:firstRowFirstColumn="0" w:firstRowLastColumn="0" w:lastRowFirstColumn="0" w:lastRowLastColumn="0"/>
            </w:pPr>
            <w:r w:rsidRPr="002B7A5D">
              <w:t>Energy Industry Levy</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ERP</w:t>
            </w:r>
          </w:p>
        </w:tc>
        <w:tc>
          <w:tcPr>
            <w:tcW w:w="5041" w:type="dxa"/>
            <w:tcBorders>
              <w:top w:val="nil"/>
              <w:left w:val="nil"/>
              <w:bottom w:val="nil"/>
              <w:right w:val="nil"/>
            </w:tcBorders>
            <w:hideMark/>
          </w:tcPr>
          <w:p w:rsidR="002B7A5D" w:rsidRPr="002B7A5D" w:rsidRDefault="002B7A5D" w:rsidP="002B7A5D">
            <w:pPr>
              <w:numPr>
                <w:ilvl w:val="0"/>
                <w:numId w:val="24"/>
              </w:numPr>
              <w:cnfStyle w:val="000000010000" w:firstRow="0" w:lastRow="0" w:firstColumn="0" w:lastColumn="0" w:oddVBand="0" w:evenVBand="0" w:oddHBand="0" w:evenHBand="1" w:firstRowFirstColumn="0" w:firstRowLastColumn="0" w:lastRowFirstColumn="0" w:lastRowLastColumn="0"/>
            </w:pPr>
            <w:r w:rsidRPr="002B7A5D">
              <w:t>equity risk premium</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Expenditure Guideline</w:t>
            </w:r>
          </w:p>
        </w:tc>
        <w:tc>
          <w:tcPr>
            <w:tcW w:w="5041" w:type="dxa"/>
            <w:tcBorders>
              <w:top w:val="nil"/>
              <w:left w:val="nil"/>
              <w:bottom w:val="nil"/>
              <w:right w:val="nil"/>
            </w:tcBorders>
            <w:hideMark/>
          </w:tcPr>
          <w:p w:rsidR="002B7A5D" w:rsidRPr="002B7A5D" w:rsidRDefault="002B7A5D" w:rsidP="002B7A5D">
            <w:pPr>
              <w:cnfStyle w:val="000000000000" w:firstRow="0" w:lastRow="0" w:firstColumn="0" w:lastColumn="0" w:oddVBand="0" w:evenVBand="0" w:oddHBand="0" w:evenHBand="0" w:firstRowFirstColumn="0" w:firstRowLastColumn="0" w:lastRowFirstColumn="0" w:lastRowLastColumn="0"/>
            </w:pPr>
            <w:r w:rsidRPr="002B7A5D">
              <w:t>Expenditure Forecast Assessment Guideline</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gamma</w:t>
            </w:r>
          </w:p>
        </w:tc>
        <w:tc>
          <w:tcPr>
            <w:tcW w:w="5041" w:type="dxa"/>
            <w:tcBorders>
              <w:top w:val="nil"/>
              <w:left w:val="nil"/>
              <w:bottom w:val="nil"/>
              <w:right w:val="nil"/>
            </w:tcBorders>
            <w:hideMark/>
          </w:tcPr>
          <w:p w:rsidR="002B7A5D" w:rsidRPr="002B7A5D" w:rsidRDefault="002B7A5D" w:rsidP="002B7A5D">
            <w:pPr>
              <w:cnfStyle w:val="000000010000" w:firstRow="0" w:lastRow="0" w:firstColumn="0" w:lastColumn="0" w:oddVBand="0" w:evenVBand="0" w:oddHBand="0" w:evenHBand="1" w:firstRowFirstColumn="0" w:firstRowLastColumn="0" w:lastRowFirstColumn="0" w:lastRowLastColumn="0"/>
            </w:pPr>
            <w:r w:rsidRPr="002B7A5D">
              <w:t>value of imputation credits</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GSL</w:t>
            </w:r>
          </w:p>
        </w:tc>
        <w:tc>
          <w:tcPr>
            <w:tcW w:w="5041" w:type="dxa"/>
            <w:tcBorders>
              <w:top w:val="nil"/>
              <w:left w:val="nil"/>
              <w:bottom w:val="nil"/>
              <w:right w:val="nil"/>
            </w:tcBorders>
            <w:hideMark/>
          </w:tcPr>
          <w:p w:rsidR="002B7A5D" w:rsidRPr="002B7A5D" w:rsidRDefault="002B7A5D" w:rsidP="002B7A5D">
            <w:pPr>
              <w:cnfStyle w:val="000000000000" w:firstRow="0" w:lastRow="0" w:firstColumn="0" w:lastColumn="0" w:oddVBand="0" w:evenVBand="0" w:oddHBand="0" w:evenHBand="0" w:firstRowFirstColumn="0" w:firstRowLastColumn="0" w:lastRowFirstColumn="0" w:lastRowLastColumn="0"/>
            </w:pPr>
            <w:r w:rsidRPr="002B7A5D">
              <w:t>Guaranteed Service Level</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GTA</w:t>
            </w:r>
          </w:p>
        </w:tc>
        <w:tc>
          <w:tcPr>
            <w:tcW w:w="5041" w:type="dxa"/>
            <w:tcBorders>
              <w:top w:val="nil"/>
              <w:left w:val="nil"/>
              <w:bottom w:val="nil"/>
              <w:right w:val="nil"/>
            </w:tcBorders>
            <w:hideMark/>
          </w:tcPr>
          <w:p w:rsidR="002B7A5D" w:rsidRPr="002B7A5D" w:rsidRDefault="002B7A5D" w:rsidP="002B7A5D">
            <w:pPr>
              <w:cnfStyle w:val="000000010000" w:firstRow="0" w:lastRow="0" w:firstColumn="0" w:lastColumn="0" w:oddVBand="0" w:evenVBand="0" w:oddHBand="0" w:evenHBand="1" w:firstRowFirstColumn="0" w:firstRowLastColumn="0" w:lastRowFirstColumn="0" w:lastRowLastColumn="0"/>
            </w:pPr>
            <w:r w:rsidRPr="002B7A5D">
              <w:t>Gas Transport Services Agreement</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ICRC</w:t>
            </w:r>
          </w:p>
        </w:tc>
        <w:tc>
          <w:tcPr>
            <w:tcW w:w="5041" w:type="dxa"/>
            <w:tcBorders>
              <w:top w:val="nil"/>
              <w:left w:val="nil"/>
              <w:bottom w:val="nil"/>
              <w:right w:val="nil"/>
            </w:tcBorders>
            <w:hideMark/>
          </w:tcPr>
          <w:p w:rsidR="002B7A5D" w:rsidRPr="002B7A5D" w:rsidRDefault="002B7A5D" w:rsidP="002B7A5D">
            <w:pPr>
              <w:cnfStyle w:val="000000000000" w:firstRow="0" w:lastRow="0" w:firstColumn="0" w:lastColumn="0" w:oddVBand="0" w:evenVBand="0" w:oddHBand="0" w:evenHBand="0" w:firstRowFirstColumn="0" w:firstRowLastColumn="0" w:lastRowFirstColumn="0" w:lastRowLastColumn="0"/>
            </w:pPr>
            <w:r w:rsidRPr="002B7A5D">
              <w:t>Independent Competition and Regulatory Commission</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MRP</w:t>
            </w:r>
          </w:p>
        </w:tc>
        <w:tc>
          <w:tcPr>
            <w:tcW w:w="5041" w:type="dxa"/>
            <w:tcBorders>
              <w:top w:val="nil"/>
              <w:left w:val="nil"/>
              <w:bottom w:val="nil"/>
              <w:right w:val="nil"/>
            </w:tcBorders>
            <w:hideMark/>
          </w:tcPr>
          <w:p w:rsidR="002B7A5D" w:rsidRPr="002B7A5D" w:rsidRDefault="002B7A5D" w:rsidP="002B7A5D">
            <w:pPr>
              <w:numPr>
                <w:ilvl w:val="0"/>
                <w:numId w:val="24"/>
              </w:numPr>
              <w:cnfStyle w:val="000000010000" w:firstRow="0" w:lastRow="0" w:firstColumn="0" w:lastColumn="0" w:oddVBand="0" w:evenVBand="0" w:oddHBand="0" w:evenHBand="1" w:firstRowFirstColumn="0" w:firstRowLastColumn="0" w:lastRowFirstColumn="0" w:lastRowLastColumn="0"/>
            </w:pPr>
            <w:r w:rsidRPr="002B7A5D">
              <w:t>market risk premium</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NECF</w:t>
            </w:r>
          </w:p>
        </w:tc>
        <w:tc>
          <w:tcPr>
            <w:tcW w:w="5041" w:type="dxa"/>
            <w:tcBorders>
              <w:top w:val="nil"/>
              <w:left w:val="nil"/>
              <w:bottom w:val="nil"/>
              <w:right w:val="nil"/>
            </w:tcBorders>
            <w:hideMark/>
          </w:tcPr>
          <w:p w:rsidR="002B7A5D" w:rsidRPr="002B7A5D" w:rsidRDefault="002B7A5D" w:rsidP="002B7A5D">
            <w:pPr>
              <w:cnfStyle w:val="000000000000" w:firstRow="0" w:lastRow="0" w:firstColumn="0" w:lastColumn="0" w:oddVBand="0" w:evenVBand="0" w:oddHBand="0" w:evenHBand="0" w:firstRowFirstColumn="0" w:firstRowLastColumn="0" w:lastRowFirstColumn="0" w:lastRowLastColumn="0"/>
            </w:pPr>
            <w:r w:rsidRPr="002B7A5D">
              <w:t>National Energy Customer Framework</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NERL</w:t>
            </w:r>
          </w:p>
        </w:tc>
        <w:tc>
          <w:tcPr>
            <w:tcW w:w="5041" w:type="dxa"/>
            <w:tcBorders>
              <w:top w:val="nil"/>
              <w:left w:val="nil"/>
              <w:bottom w:val="nil"/>
              <w:right w:val="nil"/>
            </w:tcBorders>
            <w:hideMark/>
          </w:tcPr>
          <w:p w:rsidR="002B7A5D" w:rsidRPr="002B7A5D" w:rsidRDefault="002B7A5D" w:rsidP="002B7A5D">
            <w:pPr>
              <w:cnfStyle w:val="000000010000" w:firstRow="0" w:lastRow="0" w:firstColumn="0" w:lastColumn="0" w:oddVBand="0" w:evenVBand="0" w:oddHBand="0" w:evenHBand="1" w:firstRowFirstColumn="0" w:firstRowLastColumn="0" w:lastRowFirstColumn="0" w:lastRowLastColumn="0"/>
            </w:pPr>
            <w:r w:rsidRPr="002B7A5D">
              <w:t>National Energy Retail Law</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NERR</w:t>
            </w:r>
          </w:p>
        </w:tc>
        <w:tc>
          <w:tcPr>
            <w:tcW w:w="5041" w:type="dxa"/>
            <w:tcBorders>
              <w:top w:val="nil"/>
              <w:left w:val="nil"/>
              <w:bottom w:val="nil"/>
              <w:right w:val="nil"/>
            </w:tcBorders>
            <w:hideMark/>
          </w:tcPr>
          <w:p w:rsidR="002B7A5D" w:rsidRPr="002B7A5D" w:rsidRDefault="002B7A5D" w:rsidP="002B7A5D">
            <w:pPr>
              <w:numPr>
                <w:ilvl w:val="0"/>
                <w:numId w:val="24"/>
              </w:numPr>
              <w:cnfStyle w:val="000000000000" w:firstRow="0" w:lastRow="0" w:firstColumn="0" w:lastColumn="0" w:oddVBand="0" w:evenVBand="0" w:oddHBand="0" w:evenHBand="0" w:firstRowFirstColumn="0" w:firstRowLastColumn="0" w:lastRowFirstColumn="0" w:lastRowLastColumn="0"/>
            </w:pPr>
            <w:r w:rsidRPr="002B7A5D">
              <w:t>National Energy Retail Rules</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NGL</w:t>
            </w:r>
          </w:p>
        </w:tc>
        <w:tc>
          <w:tcPr>
            <w:tcW w:w="5041" w:type="dxa"/>
            <w:tcBorders>
              <w:top w:val="nil"/>
              <w:left w:val="nil"/>
              <w:bottom w:val="nil"/>
              <w:right w:val="nil"/>
            </w:tcBorders>
            <w:hideMark/>
          </w:tcPr>
          <w:p w:rsidR="002B7A5D" w:rsidRPr="002B7A5D" w:rsidRDefault="002B7A5D" w:rsidP="002B7A5D">
            <w:pPr>
              <w:numPr>
                <w:ilvl w:val="0"/>
                <w:numId w:val="24"/>
              </w:numPr>
              <w:cnfStyle w:val="000000010000" w:firstRow="0" w:lastRow="0" w:firstColumn="0" w:lastColumn="0" w:oddVBand="0" w:evenVBand="0" w:oddHBand="0" w:evenHBand="1" w:firstRowFirstColumn="0" w:firstRowLastColumn="0" w:lastRowFirstColumn="0" w:lastRowLastColumn="0"/>
            </w:pPr>
            <w:r w:rsidRPr="002B7A5D">
              <w:t>National Gas Law</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NGO</w:t>
            </w:r>
          </w:p>
        </w:tc>
        <w:tc>
          <w:tcPr>
            <w:tcW w:w="5041" w:type="dxa"/>
            <w:tcBorders>
              <w:top w:val="nil"/>
              <w:left w:val="nil"/>
              <w:bottom w:val="nil"/>
              <w:right w:val="nil"/>
            </w:tcBorders>
            <w:hideMark/>
          </w:tcPr>
          <w:p w:rsidR="002B7A5D" w:rsidRPr="002B7A5D" w:rsidRDefault="002B7A5D" w:rsidP="002B7A5D">
            <w:pPr>
              <w:numPr>
                <w:ilvl w:val="0"/>
                <w:numId w:val="24"/>
              </w:numPr>
              <w:cnfStyle w:val="000000000000" w:firstRow="0" w:lastRow="0" w:firstColumn="0" w:lastColumn="0" w:oddVBand="0" w:evenVBand="0" w:oddHBand="0" w:evenHBand="0" w:firstRowFirstColumn="0" w:firstRowLastColumn="0" w:lastRowFirstColumn="0" w:lastRowLastColumn="0"/>
            </w:pPr>
            <w:r w:rsidRPr="002B7A5D">
              <w:t>National Gas Objective</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NGR</w:t>
            </w:r>
          </w:p>
        </w:tc>
        <w:tc>
          <w:tcPr>
            <w:tcW w:w="5041" w:type="dxa"/>
            <w:tcBorders>
              <w:top w:val="nil"/>
              <w:left w:val="nil"/>
              <w:bottom w:val="nil"/>
              <w:right w:val="nil"/>
            </w:tcBorders>
            <w:hideMark/>
          </w:tcPr>
          <w:p w:rsidR="002B7A5D" w:rsidRPr="002B7A5D" w:rsidRDefault="002B7A5D" w:rsidP="002B7A5D">
            <w:pPr>
              <w:numPr>
                <w:ilvl w:val="0"/>
                <w:numId w:val="24"/>
              </w:numPr>
              <w:cnfStyle w:val="000000010000" w:firstRow="0" w:lastRow="0" w:firstColumn="0" w:lastColumn="0" w:oddVBand="0" w:evenVBand="0" w:oddHBand="0" w:evenHBand="1" w:firstRowFirstColumn="0" w:firstRowLastColumn="0" w:lastRowFirstColumn="0" w:lastRowLastColumn="0"/>
            </w:pPr>
            <w:r w:rsidRPr="002B7A5D">
              <w:t>National Gas Rules</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NPV</w:t>
            </w:r>
          </w:p>
        </w:tc>
        <w:tc>
          <w:tcPr>
            <w:tcW w:w="5041" w:type="dxa"/>
            <w:tcBorders>
              <w:top w:val="nil"/>
              <w:left w:val="nil"/>
              <w:bottom w:val="nil"/>
              <w:right w:val="nil"/>
            </w:tcBorders>
            <w:hideMark/>
          </w:tcPr>
          <w:p w:rsidR="002B7A5D" w:rsidRPr="002B7A5D" w:rsidRDefault="002B7A5D" w:rsidP="002B7A5D">
            <w:pPr>
              <w:cnfStyle w:val="000000000000" w:firstRow="0" w:lastRow="0" w:firstColumn="0" w:lastColumn="0" w:oddVBand="0" w:evenVBand="0" w:oddHBand="0" w:evenHBand="0" w:firstRowFirstColumn="0" w:firstRowLastColumn="0" w:lastRowFirstColumn="0" w:lastRowLastColumn="0"/>
            </w:pPr>
            <w:r w:rsidRPr="002B7A5D">
              <w:t>net present value</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opex</w:t>
            </w:r>
          </w:p>
        </w:tc>
        <w:tc>
          <w:tcPr>
            <w:tcW w:w="5041" w:type="dxa"/>
            <w:tcBorders>
              <w:top w:val="nil"/>
              <w:left w:val="nil"/>
              <w:bottom w:val="nil"/>
              <w:right w:val="nil"/>
            </w:tcBorders>
            <w:hideMark/>
          </w:tcPr>
          <w:p w:rsidR="002B7A5D" w:rsidRPr="002B7A5D" w:rsidRDefault="002B7A5D" w:rsidP="002B7A5D">
            <w:pPr>
              <w:numPr>
                <w:ilvl w:val="0"/>
                <w:numId w:val="24"/>
              </w:numPr>
              <w:cnfStyle w:val="000000010000" w:firstRow="0" w:lastRow="0" w:firstColumn="0" w:lastColumn="0" w:oddVBand="0" w:evenVBand="0" w:oddHBand="0" w:evenHBand="1" w:firstRowFirstColumn="0" w:firstRowLastColumn="0" w:lastRowFirstColumn="0" w:lastRowLastColumn="0"/>
            </w:pPr>
            <w:r w:rsidRPr="002B7A5D">
              <w:t>operating expenditure</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PFP</w:t>
            </w:r>
          </w:p>
        </w:tc>
        <w:tc>
          <w:tcPr>
            <w:tcW w:w="5041" w:type="dxa"/>
            <w:tcBorders>
              <w:top w:val="nil"/>
              <w:left w:val="nil"/>
              <w:bottom w:val="nil"/>
              <w:right w:val="nil"/>
            </w:tcBorders>
            <w:hideMark/>
          </w:tcPr>
          <w:p w:rsidR="002B7A5D" w:rsidRPr="002B7A5D" w:rsidRDefault="002B7A5D" w:rsidP="002B7A5D">
            <w:pPr>
              <w:cnfStyle w:val="000000000000" w:firstRow="0" w:lastRow="0" w:firstColumn="0" w:lastColumn="0" w:oddVBand="0" w:evenVBand="0" w:oddHBand="0" w:evenHBand="0" w:firstRowFirstColumn="0" w:firstRowLastColumn="0" w:lastRowFirstColumn="0" w:lastRowLastColumn="0"/>
            </w:pPr>
            <w:r w:rsidRPr="002B7A5D">
              <w:t>partial factor productivity</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PPI</w:t>
            </w:r>
          </w:p>
        </w:tc>
        <w:tc>
          <w:tcPr>
            <w:tcW w:w="5041" w:type="dxa"/>
            <w:tcBorders>
              <w:top w:val="nil"/>
              <w:left w:val="nil"/>
              <w:bottom w:val="nil"/>
              <w:right w:val="nil"/>
            </w:tcBorders>
            <w:hideMark/>
          </w:tcPr>
          <w:p w:rsidR="002B7A5D" w:rsidRPr="002B7A5D" w:rsidRDefault="002B7A5D" w:rsidP="002B7A5D">
            <w:pPr>
              <w:numPr>
                <w:ilvl w:val="0"/>
                <w:numId w:val="24"/>
              </w:numPr>
              <w:cnfStyle w:val="000000010000" w:firstRow="0" w:lastRow="0" w:firstColumn="0" w:lastColumn="0" w:oddVBand="0" w:evenVBand="0" w:oddHBand="0" w:evenHBand="1" w:firstRowFirstColumn="0" w:firstRowLastColumn="0" w:lastRowFirstColumn="0" w:lastRowLastColumn="0"/>
            </w:pPr>
            <w:r w:rsidRPr="002B7A5D">
              <w:t>partial performance indicators</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PTRM</w:t>
            </w:r>
          </w:p>
        </w:tc>
        <w:tc>
          <w:tcPr>
            <w:tcW w:w="5041" w:type="dxa"/>
            <w:tcBorders>
              <w:top w:val="nil"/>
              <w:left w:val="nil"/>
              <w:bottom w:val="nil"/>
              <w:right w:val="nil"/>
            </w:tcBorders>
            <w:hideMark/>
          </w:tcPr>
          <w:p w:rsidR="002B7A5D" w:rsidRPr="002B7A5D" w:rsidRDefault="002B7A5D" w:rsidP="002B7A5D">
            <w:pPr>
              <w:numPr>
                <w:ilvl w:val="0"/>
                <w:numId w:val="24"/>
              </w:numPr>
              <w:cnfStyle w:val="000000000000" w:firstRow="0" w:lastRow="0" w:firstColumn="0" w:lastColumn="0" w:oddVBand="0" w:evenVBand="0" w:oddHBand="0" w:evenHBand="0" w:firstRowFirstColumn="0" w:firstRowLastColumn="0" w:lastRowFirstColumn="0" w:lastRowLastColumn="0"/>
            </w:pPr>
            <w:r w:rsidRPr="002B7A5D">
              <w:t>post-tax revenue model</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RBA</w:t>
            </w:r>
          </w:p>
        </w:tc>
        <w:tc>
          <w:tcPr>
            <w:tcW w:w="5041" w:type="dxa"/>
            <w:tcBorders>
              <w:top w:val="nil"/>
              <w:left w:val="nil"/>
              <w:bottom w:val="nil"/>
              <w:right w:val="nil"/>
            </w:tcBorders>
            <w:hideMark/>
          </w:tcPr>
          <w:p w:rsidR="002B7A5D" w:rsidRPr="002B7A5D" w:rsidRDefault="002B7A5D" w:rsidP="002B7A5D">
            <w:pPr>
              <w:numPr>
                <w:ilvl w:val="0"/>
                <w:numId w:val="24"/>
              </w:numPr>
              <w:cnfStyle w:val="000000010000" w:firstRow="0" w:lastRow="0" w:firstColumn="0" w:lastColumn="0" w:oddVBand="0" w:evenVBand="0" w:oddHBand="0" w:evenHBand="1" w:firstRowFirstColumn="0" w:firstRowLastColumn="0" w:lastRowFirstColumn="0" w:lastRowLastColumn="0"/>
            </w:pPr>
            <w:r w:rsidRPr="002B7A5D">
              <w:t>Reserve Bank of Australia</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RFM</w:t>
            </w:r>
          </w:p>
        </w:tc>
        <w:tc>
          <w:tcPr>
            <w:tcW w:w="5041" w:type="dxa"/>
            <w:tcBorders>
              <w:top w:val="nil"/>
              <w:left w:val="nil"/>
              <w:bottom w:val="nil"/>
              <w:right w:val="nil"/>
            </w:tcBorders>
            <w:hideMark/>
          </w:tcPr>
          <w:p w:rsidR="002B7A5D" w:rsidRPr="002B7A5D" w:rsidRDefault="002B7A5D" w:rsidP="002B7A5D">
            <w:pPr>
              <w:numPr>
                <w:ilvl w:val="0"/>
                <w:numId w:val="24"/>
              </w:numPr>
              <w:cnfStyle w:val="000000000000" w:firstRow="0" w:lastRow="0" w:firstColumn="0" w:lastColumn="0" w:oddVBand="0" w:evenVBand="0" w:oddHBand="0" w:evenHBand="0" w:firstRowFirstColumn="0" w:firstRowLastColumn="0" w:lastRowFirstColumn="0" w:lastRowLastColumn="0"/>
            </w:pPr>
            <w:r w:rsidRPr="002B7A5D">
              <w:t>roll forward model</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RIN</w:t>
            </w:r>
          </w:p>
        </w:tc>
        <w:tc>
          <w:tcPr>
            <w:tcW w:w="5041" w:type="dxa"/>
            <w:tcBorders>
              <w:top w:val="nil"/>
              <w:left w:val="nil"/>
              <w:bottom w:val="nil"/>
              <w:right w:val="nil"/>
            </w:tcBorders>
            <w:hideMark/>
          </w:tcPr>
          <w:p w:rsidR="002B7A5D" w:rsidRPr="002B7A5D" w:rsidRDefault="002B7A5D" w:rsidP="002B7A5D">
            <w:pPr>
              <w:numPr>
                <w:ilvl w:val="0"/>
                <w:numId w:val="24"/>
              </w:numPr>
              <w:cnfStyle w:val="000000010000" w:firstRow="0" w:lastRow="0" w:firstColumn="0" w:lastColumn="0" w:oddVBand="0" w:evenVBand="0" w:oddHBand="0" w:evenHBand="1" w:firstRowFirstColumn="0" w:firstRowLastColumn="0" w:lastRowFirstColumn="0" w:lastRowLastColumn="0"/>
            </w:pPr>
            <w:r w:rsidRPr="002B7A5D">
              <w:t>regulatory information notice</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proofErr w:type="spellStart"/>
            <w:r w:rsidRPr="002B7A5D">
              <w:t>RoLR</w:t>
            </w:r>
            <w:proofErr w:type="spellEnd"/>
          </w:p>
        </w:tc>
        <w:tc>
          <w:tcPr>
            <w:tcW w:w="5041" w:type="dxa"/>
            <w:tcBorders>
              <w:top w:val="nil"/>
              <w:left w:val="nil"/>
              <w:bottom w:val="nil"/>
              <w:right w:val="nil"/>
            </w:tcBorders>
            <w:hideMark/>
          </w:tcPr>
          <w:p w:rsidR="002B7A5D" w:rsidRPr="002B7A5D" w:rsidRDefault="002B7A5D" w:rsidP="002B7A5D">
            <w:pPr>
              <w:cnfStyle w:val="000000000000" w:firstRow="0" w:lastRow="0" w:firstColumn="0" w:lastColumn="0" w:oddVBand="0" w:evenVBand="0" w:oddHBand="0" w:evenHBand="0" w:firstRowFirstColumn="0" w:firstRowLastColumn="0" w:lastRowFirstColumn="0" w:lastRowLastColumn="0"/>
            </w:pPr>
            <w:r w:rsidRPr="002B7A5D">
              <w:t>retailer of last resort</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RSA</w:t>
            </w:r>
          </w:p>
        </w:tc>
        <w:tc>
          <w:tcPr>
            <w:tcW w:w="5041" w:type="dxa"/>
            <w:tcBorders>
              <w:top w:val="nil"/>
              <w:left w:val="nil"/>
              <w:bottom w:val="nil"/>
              <w:right w:val="nil"/>
            </w:tcBorders>
            <w:hideMark/>
          </w:tcPr>
          <w:p w:rsidR="002B7A5D" w:rsidRPr="002B7A5D" w:rsidRDefault="002B7A5D" w:rsidP="002B7A5D">
            <w:pPr>
              <w:cnfStyle w:val="000000010000" w:firstRow="0" w:lastRow="0" w:firstColumn="0" w:lastColumn="0" w:oddVBand="0" w:evenVBand="0" w:oddHBand="0" w:evenHBand="1" w:firstRowFirstColumn="0" w:firstRowLastColumn="0" w:lastRowFirstColumn="0" w:lastRowLastColumn="0"/>
            </w:pPr>
            <w:r w:rsidRPr="002B7A5D">
              <w:t>Reference Service Agreement</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RPP</w:t>
            </w:r>
          </w:p>
        </w:tc>
        <w:tc>
          <w:tcPr>
            <w:tcW w:w="5041" w:type="dxa"/>
            <w:tcBorders>
              <w:top w:val="nil"/>
              <w:left w:val="nil"/>
              <w:bottom w:val="nil"/>
              <w:right w:val="nil"/>
            </w:tcBorders>
            <w:hideMark/>
          </w:tcPr>
          <w:p w:rsidR="002B7A5D" w:rsidRPr="002B7A5D" w:rsidRDefault="002B7A5D" w:rsidP="002B7A5D">
            <w:pPr>
              <w:numPr>
                <w:ilvl w:val="0"/>
                <w:numId w:val="24"/>
              </w:numPr>
              <w:cnfStyle w:val="000000000000" w:firstRow="0" w:lastRow="0" w:firstColumn="0" w:lastColumn="0" w:oddVBand="0" w:evenVBand="0" w:oddHBand="0" w:evenHBand="0" w:firstRowFirstColumn="0" w:firstRowLastColumn="0" w:lastRowFirstColumn="0" w:lastRowLastColumn="0"/>
            </w:pPr>
            <w:r w:rsidRPr="002B7A5D">
              <w:t>revenue and pricing principles</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SLCAPM</w:t>
            </w:r>
          </w:p>
        </w:tc>
        <w:tc>
          <w:tcPr>
            <w:tcW w:w="5041" w:type="dxa"/>
            <w:tcBorders>
              <w:top w:val="nil"/>
              <w:left w:val="nil"/>
              <w:bottom w:val="nil"/>
              <w:right w:val="nil"/>
            </w:tcBorders>
            <w:hideMark/>
          </w:tcPr>
          <w:p w:rsidR="002B7A5D" w:rsidRPr="002B7A5D" w:rsidRDefault="002B7A5D" w:rsidP="002B7A5D">
            <w:pPr>
              <w:numPr>
                <w:ilvl w:val="0"/>
                <w:numId w:val="24"/>
              </w:numPr>
              <w:cnfStyle w:val="000000010000" w:firstRow="0" w:lastRow="0" w:firstColumn="0" w:lastColumn="0" w:oddVBand="0" w:evenVBand="0" w:oddHBand="0" w:evenHBand="1" w:firstRowFirstColumn="0" w:firstRowLastColumn="0" w:lastRowFirstColumn="0" w:lastRowLastColumn="0"/>
            </w:pPr>
            <w:r w:rsidRPr="002B7A5D">
              <w:t>Sharpe-</w:t>
            </w:r>
            <w:proofErr w:type="spellStart"/>
            <w:r w:rsidRPr="002B7A5D">
              <w:t>Lintner</w:t>
            </w:r>
            <w:proofErr w:type="spellEnd"/>
            <w:r w:rsidRPr="002B7A5D">
              <w:t xml:space="preserve"> capital asset pricing model</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STTM</w:t>
            </w:r>
          </w:p>
        </w:tc>
        <w:tc>
          <w:tcPr>
            <w:tcW w:w="5041" w:type="dxa"/>
            <w:tcBorders>
              <w:top w:val="nil"/>
              <w:left w:val="nil"/>
              <w:bottom w:val="nil"/>
              <w:right w:val="nil"/>
            </w:tcBorders>
            <w:hideMark/>
          </w:tcPr>
          <w:p w:rsidR="002B7A5D" w:rsidRPr="002B7A5D" w:rsidRDefault="002B7A5D" w:rsidP="002B7A5D">
            <w:pPr>
              <w:cnfStyle w:val="000000000000" w:firstRow="0" w:lastRow="0" w:firstColumn="0" w:lastColumn="0" w:oddVBand="0" w:evenVBand="0" w:oddHBand="0" w:evenHBand="0" w:firstRowFirstColumn="0" w:firstRowLastColumn="0" w:lastRowFirstColumn="0" w:lastRowLastColumn="0"/>
            </w:pPr>
            <w:r w:rsidRPr="002B7A5D">
              <w:t>Short Term Trading Market</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TAB</w:t>
            </w:r>
          </w:p>
        </w:tc>
        <w:tc>
          <w:tcPr>
            <w:tcW w:w="5041" w:type="dxa"/>
            <w:tcBorders>
              <w:top w:val="nil"/>
              <w:left w:val="nil"/>
              <w:bottom w:val="nil"/>
              <w:right w:val="nil"/>
            </w:tcBorders>
            <w:hideMark/>
          </w:tcPr>
          <w:p w:rsidR="002B7A5D" w:rsidRPr="002B7A5D" w:rsidRDefault="002B7A5D" w:rsidP="002B7A5D">
            <w:pPr>
              <w:cnfStyle w:val="000000010000" w:firstRow="0" w:lastRow="0" w:firstColumn="0" w:lastColumn="0" w:oddVBand="0" w:evenVBand="0" w:oddHBand="0" w:evenHBand="1" w:firstRowFirstColumn="0" w:firstRowLastColumn="0" w:lastRowFirstColumn="0" w:lastRowLastColumn="0"/>
            </w:pPr>
            <w:r w:rsidRPr="002B7A5D">
              <w:t>tax asset base</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UAFG</w:t>
            </w:r>
          </w:p>
        </w:tc>
        <w:tc>
          <w:tcPr>
            <w:tcW w:w="5041" w:type="dxa"/>
            <w:tcBorders>
              <w:top w:val="nil"/>
              <w:left w:val="nil"/>
              <w:bottom w:val="nil"/>
              <w:right w:val="nil"/>
            </w:tcBorders>
            <w:hideMark/>
          </w:tcPr>
          <w:p w:rsidR="002B7A5D" w:rsidRPr="002B7A5D" w:rsidRDefault="002B7A5D" w:rsidP="002B7A5D">
            <w:pPr>
              <w:cnfStyle w:val="000000000000" w:firstRow="0" w:lastRow="0" w:firstColumn="0" w:lastColumn="0" w:oddVBand="0" w:evenVBand="0" w:oddHBand="0" w:evenHBand="0" w:firstRowFirstColumn="0" w:firstRowLastColumn="0" w:lastRowFirstColumn="0" w:lastRowLastColumn="0"/>
            </w:pPr>
            <w:r w:rsidRPr="002B7A5D">
              <w:t>unaccounted for gas</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UNFT</w:t>
            </w:r>
          </w:p>
        </w:tc>
        <w:tc>
          <w:tcPr>
            <w:tcW w:w="5041" w:type="dxa"/>
            <w:tcBorders>
              <w:top w:val="nil"/>
              <w:left w:val="nil"/>
              <w:bottom w:val="nil"/>
              <w:right w:val="nil"/>
            </w:tcBorders>
            <w:hideMark/>
          </w:tcPr>
          <w:p w:rsidR="002B7A5D" w:rsidRPr="002B7A5D" w:rsidRDefault="002B7A5D" w:rsidP="002B7A5D">
            <w:pPr>
              <w:cnfStyle w:val="000000010000" w:firstRow="0" w:lastRow="0" w:firstColumn="0" w:lastColumn="0" w:oddVBand="0" w:evenVBand="0" w:oddHBand="0" w:evenHBand="1" w:firstRowFirstColumn="0" w:firstRowLastColumn="0" w:lastRowFirstColumn="0" w:lastRowLastColumn="0"/>
            </w:pPr>
            <w:r w:rsidRPr="002B7A5D">
              <w:t>Utilities Network Facilities Tax</w:t>
            </w:r>
          </w:p>
        </w:tc>
      </w:tr>
      <w:tr w:rsidR="002B7A5D" w:rsidTr="002B7A5D">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B7A5D" w:rsidRPr="002B7A5D" w:rsidRDefault="002B7A5D" w:rsidP="002B7A5D">
            <w:pPr>
              <w:numPr>
                <w:ilvl w:val="0"/>
                <w:numId w:val="24"/>
              </w:numPr>
            </w:pPr>
            <w:r w:rsidRPr="002B7A5D">
              <w:t>WACC</w:t>
            </w:r>
          </w:p>
        </w:tc>
        <w:tc>
          <w:tcPr>
            <w:tcW w:w="5041" w:type="dxa"/>
            <w:tcBorders>
              <w:top w:val="nil"/>
              <w:left w:val="nil"/>
              <w:bottom w:val="nil"/>
              <w:right w:val="nil"/>
            </w:tcBorders>
            <w:hideMark/>
          </w:tcPr>
          <w:p w:rsidR="002B7A5D" w:rsidRPr="002B7A5D" w:rsidRDefault="002B7A5D" w:rsidP="002B7A5D">
            <w:pPr>
              <w:numPr>
                <w:ilvl w:val="0"/>
                <w:numId w:val="24"/>
              </w:numPr>
              <w:cnfStyle w:val="000000000000" w:firstRow="0" w:lastRow="0" w:firstColumn="0" w:lastColumn="0" w:oddVBand="0" w:evenVBand="0" w:oddHBand="0" w:evenHBand="0" w:firstRowFirstColumn="0" w:firstRowLastColumn="0" w:lastRowFirstColumn="0" w:lastRowLastColumn="0"/>
            </w:pPr>
            <w:r w:rsidRPr="002B7A5D">
              <w:t>weighted average cost of capital</w:t>
            </w:r>
          </w:p>
        </w:tc>
      </w:tr>
      <w:tr w:rsidR="002B7A5D" w:rsidTr="002B7A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2B7A5D" w:rsidRPr="002B7A5D" w:rsidRDefault="002B7A5D" w:rsidP="002B7A5D">
            <w:pPr>
              <w:numPr>
                <w:ilvl w:val="0"/>
                <w:numId w:val="24"/>
              </w:numPr>
            </w:pPr>
            <w:r w:rsidRPr="002B7A5D">
              <w:t>WPI</w:t>
            </w:r>
          </w:p>
        </w:tc>
        <w:tc>
          <w:tcPr>
            <w:tcW w:w="5041" w:type="dxa"/>
            <w:tcBorders>
              <w:top w:val="nil"/>
              <w:left w:val="nil"/>
              <w:bottom w:val="single" w:sz="4" w:space="0" w:color="365F91"/>
              <w:right w:val="nil"/>
            </w:tcBorders>
            <w:hideMark/>
          </w:tcPr>
          <w:p w:rsidR="002B7A5D" w:rsidRPr="002B7A5D" w:rsidRDefault="002B7A5D" w:rsidP="002B7A5D">
            <w:pPr>
              <w:cnfStyle w:val="000000010000" w:firstRow="0" w:lastRow="0" w:firstColumn="0" w:lastColumn="0" w:oddVBand="0" w:evenVBand="0" w:oddHBand="0" w:evenHBand="1" w:firstRowFirstColumn="0" w:firstRowLastColumn="0" w:lastRowFirstColumn="0" w:lastRowLastColumn="0"/>
            </w:pPr>
            <w:r w:rsidRPr="002B7A5D">
              <w:t>Wage Price Index</w:t>
            </w:r>
          </w:p>
        </w:tc>
      </w:tr>
    </w:tbl>
    <w:p w:rsidR="005B068B" w:rsidRPr="005B068B" w:rsidRDefault="005B068B" w:rsidP="005B068B"/>
    <w:p w:rsidR="00682FED" w:rsidRDefault="00682FED" w:rsidP="00682FED">
      <w:pPr>
        <w:pStyle w:val="Heading1"/>
      </w:pPr>
      <w:bookmarkStart w:id="10" w:name="_Toc436040723"/>
      <w:bookmarkStart w:id="11" w:name="_Toc451759139"/>
      <w:r>
        <w:t>Capital base</w:t>
      </w:r>
      <w:bookmarkEnd w:id="10"/>
      <w:bookmarkEnd w:id="11"/>
    </w:p>
    <w:p w:rsidR="00682FED" w:rsidRPr="004F0EB4" w:rsidRDefault="00682FED" w:rsidP="00682FED">
      <w:pPr>
        <w:rPr>
          <w:rStyle w:val="AERbody"/>
        </w:rPr>
      </w:pPr>
      <w:r w:rsidRPr="004F0EB4">
        <w:rPr>
          <w:rStyle w:val="AERbody"/>
        </w:rPr>
        <w:t xml:space="preserve">The capital base roll forward accounts for the value of </w:t>
      </w:r>
      <w:r>
        <w:rPr>
          <w:rStyle w:val="AERbody"/>
        </w:rPr>
        <w:t>ActewAGL’</w:t>
      </w:r>
      <w:r w:rsidRPr="004F0EB4">
        <w:rPr>
          <w:rStyle w:val="AERbody"/>
        </w:rPr>
        <w:t>s 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w:t>
      </w:r>
      <w:r w:rsidR="00433BA0">
        <w:rPr>
          <w:rStyle w:val="FootnoteReference"/>
        </w:rPr>
        <w:footnoteReference w:id="1"/>
      </w:r>
      <w:r w:rsidRPr="00433BA0">
        <w:rPr>
          <w:rStyle w:val="AERsuperscript"/>
        </w:rPr>
        <w:t xml:space="preserve"> </w:t>
      </w:r>
      <w:r w:rsidRPr="004F0EB4">
        <w:rPr>
          <w:rStyle w:val="AERbody"/>
        </w:rPr>
        <w:t xml:space="preserve">Following this process, the AER arrives at a closing value of the capital base at the end of the relevant year. The opening value of the capital base is used to determine the return of capital (regulatory depreciation) and return on capital building block allowances. </w:t>
      </w:r>
    </w:p>
    <w:p w:rsidR="00682FED" w:rsidRDefault="00682FED" w:rsidP="00682FED">
      <w:r>
        <w:t xml:space="preserve">As discussed in the overview, </w:t>
      </w:r>
      <w:r w:rsidR="005B068B">
        <w:t>our final decision applies</w:t>
      </w:r>
      <w:r>
        <w:t xml:space="preserve"> a reconciliation (or ‘true-up’) of ActewAGL’s revenue for the 2015–16 interval of delay.</w:t>
      </w:r>
      <w:r w:rsidRPr="001577F0">
        <w:t xml:space="preserve"> </w:t>
      </w:r>
      <w:r>
        <w:t xml:space="preserve">Consequently, we must </w:t>
      </w:r>
      <w:r w:rsidRPr="004F0EB4">
        <w:rPr>
          <w:rStyle w:val="AERbody"/>
        </w:rPr>
        <w:t xml:space="preserve">make a decision on </w:t>
      </w:r>
      <w:r>
        <w:rPr>
          <w:rStyle w:val="AERbody"/>
        </w:rPr>
        <w:t>ActewAGL’</w:t>
      </w:r>
      <w:r w:rsidRPr="004F0EB4">
        <w:rPr>
          <w:rStyle w:val="AERbody"/>
        </w:rPr>
        <w:t>s</w:t>
      </w:r>
      <w:r>
        <w:t xml:space="preserve"> opening capital base as at 1 July 2015. W</w:t>
      </w:r>
      <w:r w:rsidRPr="004F0EB4">
        <w:rPr>
          <w:rStyle w:val="AERbody"/>
        </w:rPr>
        <w:t xml:space="preserve">e </w:t>
      </w:r>
      <w:r>
        <w:rPr>
          <w:rStyle w:val="AERbody"/>
        </w:rPr>
        <w:t>must also make a decision</w:t>
      </w:r>
      <w:r w:rsidRPr="004F0EB4">
        <w:rPr>
          <w:rStyle w:val="AERbody"/>
        </w:rPr>
        <w:t xml:space="preserve"> </w:t>
      </w:r>
      <w:r>
        <w:rPr>
          <w:rStyle w:val="AERbody"/>
        </w:rPr>
        <w:t>on ActewAGL’</w:t>
      </w:r>
      <w:r w:rsidRPr="004F0EB4">
        <w:rPr>
          <w:rStyle w:val="AERbody"/>
        </w:rPr>
        <w:t xml:space="preserve">s projected capital base </w:t>
      </w:r>
      <w:r>
        <w:rPr>
          <w:rStyle w:val="AERbody"/>
        </w:rPr>
        <w:t>during</w:t>
      </w:r>
      <w:r w:rsidRPr="004F0EB4">
        <w:rPr>
          <w:rStyle w:val="AERbody"/>
        </w:rPr>
        <w:t xml:space="preserve"> </w:t>
      </w:r>
      <w:r>
        <w:rPr>
          <w:rStyle w:val="AERbody"/>
        </w:rPr>
        <w:t xml:space="preserve">2015–16 and </w:t>
      </w:r>
      <w:r w:rsidRPr="004F0EB4">
        <w:rPr>
          <w:rStyle w:val="AERbody"/>
        </w:rPr>
        <w:t xml:space="preserve">the 2016–21 access arrangement </w:t>
      </w:r>
      <w:proofErr w:type="gramStart"/>
      <w:r w:rsidRPr="004F0EB4">
        <w:rPr>
          <w:rStyle w:val="AERbody"/>
        </w:rPr>
        <w:t>period</w:t>
      </w:r>
      <w:proofErr w:type="gramEnd"/>
      <w:r w:rsidRPr="004F0EB4">
        <w:rPr>
          <w:rStyle w:val="AERbody"/>
        </w:rPr>
        <w:t xml:space="preserve">. This attachment presents our </w:t>
      </w:r>
      <w:r>
        <w:rPr>
          <w:rStyle w:val="AERbody"/>
        </w:rPr>
        <w:t>final</w:t>
      </w:r>
      <w:r w:rsidRPr="004F0EB4">
        <w:rPr>
          <w:rStyle w:val="AERbody"/>
        </w:rPr>
        <w:t xml:space="preserve"> decision on these matters.</w:t>
      </w:r>
    </w:p>
    <w:p w:rsidR="00682FED" w:rsidRDefault="00682FED" w:rsidP="00682FED">
      <w:pPr>
        <w:pStyle w:val="Heading2"/>
      </w:pPr>
      <w:bookmarkStart w:id="12" w:name="_Toc408404320"/>
      <w:bookmarkStart w:id="13" w:name="_Toc436040724"/>
      <w:bookmarkStart w:id="14" w:name="_Toc451759140"/>
      <w:r>
        <w:t>Final</w:t>
      </w:r>
      <w:r w:rsidRPr="0074565D">
        <w:t xml:space="preserve"> decision</w:t>
      </w:r>
      <w:bookmarkEnd w:id="12"/>
      <w:bookmarkEnd w:id="13"/>
      <w:bookmarkEnd w:id="14"/>
    </w:p>
    <w:p w:rsidR="000E1975" w:rsidRDefault="00682FED" w:rsidP="00056A8D">
      <w:r w:rsidRPr="00682FED">
        <w:t xml:space="preserve">We </w:t>
      </w:r>
      <w:r w:rsidR="001A2328">
        <w:t>determine an opening capital base of $</w:t>
      </w:r>
      <w:r w:rsidR="000E1975">
        <w:t>338.4 million ($nominal) as at 1 July 2015 for ActewAGL. This value is $0.3 million (or 0.1 per cent) higher than</w:t>
      </w:r>
      <w:r w:rsidRPr="00682FED">
        <w:t xml:space="preserve"> ActewAGL’s</w:t>
      </w:r>
      <w:r w:rsidR="002939C7">
        <w:t xml:space="preserve"> revised</w:t>
      </w:r>
      <w:r w:rsidRPr="00682FED">
        <w:t xml:space="preserve"> proposed </w:t>
      </w:r>
      <w:r w:rsidR="000E1975">
        <w:t>value</w:t>
      </w:r>
      <w:r w:rsidRPr="00682FED">
        <w:t xml:space="preserve"> of $</w:t>
      </w:r>
      <w:r w:rsidR="00C038EC">
        <w:t>338.1</w:t>
      </w:r>
      <w:r w:rsidRPr="00682FED">
        <w:t xml:space="preserve"> million ($nominal).</w:t>
      </w:r>
      <w:r w:rsidRPr="00682FED">
        <w:rPr>
          <w:rStyle w:val="FootnoteReference"/>
        </w:rPr>
        <w:footnoteReference w:id="2"/>
      </w:r>
      <w:r w:rsidR="00056A8D">
        <w:t xml:space="preserve"> </w:t>
      </w:r>
      <w:r w:rsidR="000E1975">
        <w:t xml:space="preserve">This is because we have updated the capital base roll forward to reflect the approved conforming capex for 2014–15. </w:t>
      </w:r>
    </w:p>
    <w:p w:rsidR="00056A8D" w:rsidRPr="00682FED" w:rsidRDefault="000E1975" w:rsidP="00056A8D">
      <w:pPr>
        <w:rPr>
          <w:rStyle w:val="AERbody"/>
        </w:rPr>
      </w:pPr>
      <w:r>
        <w:rPr>
          <w:rStyle w:val="AERbody"/>
        </w:rPr>
        <w:t>W</w:t>
      </w:r>
      <w:r w:rsidRPr="00682FED">
        <w:rPr>
          <w:rStyle w:val="AERbody"/>
        </w:rPr>
        <w:t xml:space="preserve">e determine a </w:t>
      </w:r>
      <w:r w:rsidR="00FD173F">
        <w:rPr>
          <w:rStyle w:val="AERbody"/>
        </w:rPr>
        <w:t xml:space="preserve">projected </w:t>
      </w:r>
      <w:r w:rsidRPr="00682FED">
        <w:rPr>
          <w:rStyle w:val="AERbody"/>
        </w:rPr>
        <w:t>closing capital base of $</w:t>
      </w:r>
      <w:r w:rsidR="0097682B">
        <w:rPr>
          <w:rStyle w:val="AERbody"/>
        </w:rPr>
        <w:t>4</w:t>
      </w:r>
      <w:r w:rsidR="00FD173F">
        <w:rPr>
          <w:rStyle w:val="AERbody"/>
        </w:rPr>
        <w:t>17</w:t>
      </w:r>
      <w:r w:rsidR="0097682B">
        <w:rPr>
          <w:rStyle w:val="AERbody"/>
        </w:rPr>
        <w:t>.</w:t>
      </w:r>
      <w:r w:rsidR="00FD173F">
        <w:rPr>
          <w:rStyle w:val="AERbody"/>
        </w:rPr>
        <w:t>8</w:t>
      </w:r>
      <w:r w:rsidRPr="00682FED">
        <w:rPr>
          <w:rStyle w:val="AERbody"/>
        </w:rPr>
        <w:t xml:space="preserve"> million ($nominal) as at 30 June 2021. </w:t>
      </w:r>
      <w:r w:rsidR="0097682B">
        <w:rPr>
          <w:rStyle w:val="AERbody"/>
        </w:rPr>
        <w:t>This is $</w:t>
      </w:r>
      <w:r w:rsidR="00FD173F">
        <w:rPr>
          <w:rStyle w:val="AERbody"/>
        </w:rPr>
        <w:t>14.9</w:t>
      </w:r>
      <w:r w:rsidR="0097682B">
        <w:rPr>
          <w:rStyle w:val="AERbody"/>
        </w:rPr>
        <w:t xml:space="preserve"> million (or </w:t>
      </w:r>
      <w:r w:rsidR="00FD173F">
        <w:rPr>
          <w:rStyle w:val="AERbody"/>
        </w:rPr>
        <w:t>3.4</w:t>
      </w:r>
      <w:r w:rsidR="0097682B">
        <w:rPr>
          <w:rStyle w:val="AERbody"/>
        </w:rPr>
        <w:t xml:space="preserve"> per cent) lower than ActewAGL's revised proposed value</w:t>
      </w:r>
      <w:r w:rsidR="00056A8D" w:rsidRPr="00682FED">
        <w:rPr>
          <w:rStyle w:val="AERbody"/>
        </w:rPr>
        <w:t xml:space="preserve"> of $4</w:t>
      </w:r>
      <w:r w:rsidR="00056A8D">
        <w:rPr>
          <w:rStyle w:val="AERbody"/>
        </w:rPr>
        <w:t>32.7</w:t>
      </w:r>
      <w:r w:rsidR="00056A8D" w:rsidRPr="00682FED">
        <w:rPr>
          <w:rStyle w:val="AERbody"/>
        </w:rPr>
        <w:t> million ($nominal).</w:t>
      </w:r>
      <w:r w:rsidR="00056A8D" w:rsidRPr="00682FED">
        <w:rPr>
          <w:rStyle w:val="FootnoteReference"/>
        </w:rPr>
        <w:footnoteReference w:id="3"/>
      </w:r>
      <w:r w:rsidR="00056A8D" w:rsidRPr="00682FED">
        <w:rPr>
          <w:rStyle w:val="AERbody"/>
        </w:rPr>
        <w:t xml:space="preserve"> </w:t>
      </w:r>
      <w:r w:rsidR="0097682B">
        <w:rPr>
          <w:rStyle w:val="AERbody"/>
        </w:rPr>
        <w:t>Our final decision on the closing capital base reflects our adjustments to the revised opening capital based as at</w:t>
      </w:r>
      <w:r w:rsidR="00EA2778">
        <w:rPr>
          <w:rStyle w:val="AERbody"/>
        </w:rPr>
        <w:t xml:space="preserve"> 1 July 2015 (section </w:t>
      </w:r>
      <w:r w:rsidR="00EA2778">
        <w:rPr>
          <w:rStyle w:val="AERbody"/>
        </w:rPr>
        <w:fldChar w:fldCharType="begin"/>
      </w:r>
      <w:r w:rsidR="00EA2778">
        <w:rPr>
          <w:rStyle w:val="AERbody"/>
        </w:rPr>
        <w:instrText xml:space="preserve"> REF _Ref450636815 \r \h </w:instrText>
      </w:r>
      <w:r w:rsidR="00EA2778">
        <w:rPr>
          <w:rStyle w:val="AERbody"/>
        </w:rPr>
      </w:r>
      <w:r w:rsidR="00EA2778">
        <w:rPr>
          <w:rStyle w:val="AERbody"/>
        </w:rPr>
        <w:fldChar w:fldCharType="separate"/>
      </w:r>
      <w:r w:rsidR="00B23396">
        <w:rPr>
          <w:rStyle w:val="AERbody"/>
        </w:rPr>
        <w:t>2.4.1</w:t>
      </w:r>
      <w:r w:rsidR="00EA2778">
        <w:rPr>
          <w:rStyle w:val="AERbody"/>
        </w:rPr>
        <w:fldChar w:fldCharType="end"/>
      </w:r>
      <w:r w:rsidR="00EA2778">
        <w:rPr>
          <w:rStyle w:val="AERbody"/>
        </w:rPr>
        <w:t xml:space="preserve">), </w:t>
      </w:r>
      <w:r w:rsidR="00056A8D" w:rsidRPr="00682FED">
        <w:rPr>
          <w:rStyle w:val="AERbody"/>
        </w:rPr>
        <w:t>forecast inflation</w:t>
      </w:r>
      <w:r w:rsidR="001F36F8">
        <w:rPr>
          <w:rStyle w:val="AERbody"/>
        </w:rPr>
        <w:t xml:space="preserve"> (attachment 3)</w:t>
      </w:r>
      <w:r w:rsidR="00EA2778">
        <w:rPr>
          <w:rStyle w:val="AERbody"/>
        </w:rPr>
        <w:t>,</w:t>
      </w:r>
      <w:r w:rsidR="00056A8D" w:rsidRPr="00682FED">
        <w:rPr>
          <w:rStyle w:val="AERbody"/>
        </w:rPr>
        <w:t xml:space="preserve"> </w:t>
      </w:r>
      <w:r w:rsidR="00EA2778">
        <w:rPr>
          <w:rStyle w:val="AERbody"/>
        </w:rPr>
        <w:t xml:space="preserve">forecast </w:t>
      </w:r>
      <w:r w:rsidR="00056A8D" w:rsidRPr="00682FED">
        <w:rPr>
          <w:rStyle w:val="AERbody"/>
        </w:rPr>
        <w:t>depreciation</w:t>
      </w:r>
      <w:r w:rsidR="001F36F8">
        <w:rPr>
          <w:rStyle w:val="AERbody"/>
        </w:rPr>
        <w:t xml:space="preserve"> (attachment 5)</w:t>
      </w:r>
      <w:r w:rsidR="00EA2778">
        <w:rPr>
          <w:rStyle w:val="AERbody"/>
        </w:rPr>
        <w:t xml:space="preserve"> and</w:t>
      </w:r>
      <w:r w:rsidR="00056A8D" w:rsidRPr="00682FED">
        <w:rPr>
          <w:rStyle w:val="AERbody"/>
        </w:rPr>
        <w:t xml:space="preserve"> </w:t>
      </w:r>
      <w:r w:rsidR="00EA2778" w:rsidRPr="00682FED">
        <w:rPr>
          <w:rStyle w:val="AERbody"/>
        </w:rPr>
        <w:t xml:space="preserve">forecast </w:t>
      </w:r>
      <w:r w:rsidR="00EA2778">
        <w:rPr>
          <w:rStyle w:val="AERbody"/>
        </w:rPr>
        <w:t xml:space="preserve">net </w:t>
      </w:r>
      <w:r w:rsidR="00EA2778" w:rsidRPr="00682FED">
        <w:rPr>
          <w:rStyle w:val="AERbody"/>
        </w:rPr>
        <w:t>capex</w:t>
      </w:r>
      <w:r w:rsidR="00EA2778">
        <w:rPr>
          <w:rStyle w:val="AERbody"/>
        </w:rPr>
        <w:t xml:space="preserve"> (attachment 6).</w:t>
      </w:r>
      <w:r w:rsidR="00EA2778" w:rsidRPr="00682FED">
        <w:rPr>
          <w:rStyle w:val="AERbody"/>
        </w:rPr>
        <w:t xml:space="preserve"> </w:t>
      </w:r>
    </w:p>
    <w:p w:rsidR="00766526" w:rsidRDefault="00682FED" w:rsidP="00C4492D">
      <w:r w:rsidRPr="004F0EB4">
        <w:fldChar w:fldCharType="begin"/>
      </w:r>
      <w:r w:rsidRPr="004F0EB4">
        <w:instrText xml:space="preserve"> REF _Ref404157003 \h </w:instrText>
      </w:r>
      <w:r>
        <w:instrText xml:space="preserve"> \* MERGEFORMAT </w:instrText>
      </w:r>
      <w:r w:rsidRPr="004F0EB4">
        <w:fldChar w:fldCharType="separate"/>
      </w:r>
      <w:r w:rsidR="00B23396">
        <w:t xml:space="preserve">Table </w:t>
      </w:r>
      <w:r w:rsidR="00B23396">
        <w:t>2</w:t>
      </w:r>
      <w:r w:rsidR="00B23396">
        <w:t>.</w:t>
      </w:r>
      <w:r w:rsidR="00B23396">
        <w:t>1</w:t>
      </w:r>
      <w:r w:rsidRPr="004F0EB4">
        <w:fldChar w:fldCharType="end"/>
      </w:r>
      <w:r w:rsidRPr="004F0EB4">
        <w:t xml:space="preserve"> summarises our </w:t>
      </w:r>
      <w:r>
        <w:t>final</w:t>
      </w:r>
      <w:r w:rsidRPr="004F0EB4">
        <w:t xml:space="preserve"> decision on the roll forward of </w:t>
      </w:r>
      <w:r>
        <w:t>ActewAGL’</w:t>
      </w:r>
      <w:r w:rsidRPr="004F0EB4">
        <w:t>s capital base during</w:t>
      </w:r>
      <w:r w:rsidR="00C038EC">
        <w:t xml:space="preserve"> the</w:t>
      </w:r>
      <w:r w:rsidRPr="004F0EB4">
        <w:t xml:space="preserve"> 201</w:t>
      </w:r>
      <w:r>
        <w:t>0</w:t>
      </w:r>
      <w:r w:rsidRPr="004F0EB4">
        <w:t>–1</w:t>
      </w:r>
      <w:r>
        <w:t>5</w:t>
      </w:r>
      <w:r w:rsidRPr="004F0EB4">
        <w:t xml:space="preserve"> access arrangement period. </w:t>
      </w:r>
    </w:p>
    <w:p w:rsidR="00766526" w:rsidRPr="00766526" w:rsidRDefault="00766526" w:rsidP="00766526">
      <w:r w:rsidRPr="00766526">
        <w:t xml:space="preserve">We have revised the access arrangement having regard to our reasons for refusing to approve ActewAGL's proposal and the further matters identified in the NGR section 64(2). Our revisions are reflected in the </w:t>
      </w:r>
      <w:r w:rsidRPr="00F26A1F">
        <w:rPr>
          <w:rStyle w:val="AERbody"/>
        </w:rPr>
        <w:t>Approved</w:t>
      </w:r>
      <w:r w:rsidRPr="00766526">
        <w:rPr>
          <w:rStyle w:val="AERtextitalic"/>
        </w:rPr>
        <w:t xml:space="preserve"> Access Arrangement for ACT, Queanbeyan and Palerang gas distribution network 2016–2021</w:t>
      </w:r>
      <w:r w:rsidRPr="00766526">
        <w:rPr>
          <w:rStyle w:val="AERbody"/>
        </w:rPr>
        <w:t xml:space="preserve">, </w:t>
      </w:r>
      <w:r w:rsidRPr="00766526">
        <w:t xml:space="preserve">which gives effect to this decision. </w:t>
      </w:r>
    </w:p>
    <w:p w:rsidR="00682FED" w:rsidRPr="00682FED" w:rsidRDefault="00682FED" w:rsidP="00682FED">
      <w:pPr>
        <w:pStyle w:val="Caption"/>
      </w:pPr>
      <w:bookmarkStart w:id="15" w:name="_Ref404157003"/>
      <w:bookmarkStart w:id="16" w:name="_Ref328756976"/>
      <w:proofErr w:type="gramStart"/>
      <w:r>
        <w:t xml:space="preserve">Table </w:t>
      </w:r>
      <w:proofErr w:type="gramEnd"/>
      <w:r w:rsidRPr="00682FED">
        <w:fldChar w:fldCharType="begin"/>
      </w:r>
      <w:r>
        <w:instrText xml:space="preserve"> STYLEREF 1 \s </w:instrText>
      </w:r>
      <w:r w:rsidRPr="00682FED">
        <w:fldChar w:fldCharType="separate"/>
      </w:r>
      <w:r w:rsidR="00B23396">
        <w:rPr>
          <w:noProof/>
        </w:rPr>
        <w:t>2</w:t>
      </w:r>
      <w:r w:rsidRPr="00682FED">
        <w:fldChar w:fldCharType="end"/>
      </w:r>
      <w:proofErr w:type="gramStart"/>
      <w:r>
        <w:t>.</w:t>
      </w:r>
      <w:proofErr w:type="gramEnd"/>
      <w:r w:rsidRPr="00682FED">
        <w:fldChar w:fldCharType="begin"/>
      </w:r>
      <w:r>
        <w:instrText xml:space="preserve"> SEQ Table \* ARABIC \s 1 </w:instrText>
      </w:r>
      <w:r w:rsidRPr="00682FED">
        <w:fldChar w:fldCharType="separate"/>
      </w:r>
      <w:r w:rsidR="00B23396">
        <w:rPr>
          <w:noProof/>
        </w:rPr>
        <w:t>1</w:t>
      </w:r>
      <w:r w:rsidRPr="00682FED">
        <w:fldChar w:fldCharType="end"/>
      </w:r>
      <w:bookmarkEnd w:id="15"/>
      <w:r>
        <w:tab/>
        <w:t>AER’s final decision on ActewAGL’s capital base roll forward for 2010–15 access arrangement period ($million, nominal)</w:t>
      </w:r>
    </w:p>
    <w:tbl>
      <w:tblPr>
        <w:tblStyle w:val="AERtable-numbers"/>
        <w:tblW w:w="8743" w:type="dxa"/>
        <w:tblLayout w:type="fixed"/>
        <w:tblLook w:val="04A0" w:firstRow="1" w:lastRow="0" w:firstColumn="1" w:lastColumn="0" w:noHBand="0" w:noVBand="1"/>
      </w:tblPr>
      <w:tblGrid>
        <w:gridCol w:w="3652"/>
        <w:gridCol w:w="811"/>
        <w:gridCol w:w="207"/>
        <w:gridCol w:w="863"/>
        <w:gridCol w:w="155"/>
        <w:gridCol w:w="915"/>
        <w:gridCol w:w="103"/>
        <w:gridCol w:w="967"/>
        <w:gridCol w:w="51"/>
        <w:gridCol w:w="1019"/>
      </w:tblGrid>
      <w:tr w:rsidR="00682FED" w:rsidRPr="001F36F8" w:rsidTr="002939C7">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652" w:type="dxa"/>
            <w:noWrap/>
          </w:tcPr>
          <w:p w:rsidR="00682FED" w:rsidRPr="001F36F8" w:rsidRDefault="00682FED" w:rsidP="008B48D8"/>
        </w:tc>
        <w:tc>
          <w:tcPr>
            <w:tcW w:w="1018" w:type="dxa"/>
            <w:gridSpan w:val="2"/>
            <w:noWrap/>
            <w:hideMark/>
          </w:tcPr>
          <w:p w:rsidR="00682FED" w:rsidRPr="001F36F8" w:rsidRDefault="00682FED" w:rsidP="008B48D8">
            <w:pPr>
              <w:cnfStyle w:val="100000000000" w:firstRow="1" w:lastRow="0" w:firstColumn="0" w:lastColumn="0" w:oddVBand="0" w:evenVBand="0" w:oddHBand="0" w:evenHBand="0" w:firstRowFirstColumn="0" w:firstRowLastColumn="0" w:lastRowFirstColumn="0" w:lastRowLastColumn="0"/>
            </w:pPr>
            <w:r w:rsidRPr="001F36F8">
              <w:t>2010–11</w:t>
            </w:r>
          </w:p>
        </w:tc>
        <w:tc>
          <w:tcPr>
            <w:tcW w:w="1018" w:type="dxa"/>
            <w:gridSpan w:val="2"/>
            <w:noWrap/>
            <w:hideMark/>
          </w:tcPr>
          <w:p w:rsidR="00682FED" w:rsidRPr="000728BC" w:rsidRDefault="00682FED" w:rsidP="008B48D8">
            <w:pPr>
              <w:cnfStyle w:val="100000000000" w:firstRow="1" w:lastRow="0" w:firstColumn="0" w:lastColumn="0" w:oddVBand="0" w:evenVBand="0" w:oddHBand="0" w:evenHBand="0" w:firstRowFirstColumn="0" w:firstRowLastColumn="0" w:lastRowFirstColumn="0" w:lastRowLastColumn="0"/>
            </w:pPr>
            <w:r w:rsidRPr="000728BC">
              <w:t>2011–12</w:t>
            </w:r>
          </w:p>
        </w:tc>
        <w:tc>
          <w:tcPr>
            <w:tcW w:w="1018" w:type="dxa"/>
            <w:gridSpan w:val="2"/>
            <w:noWrap/>
            <w:hideMark/>
          </w:tcPr>
          <w:p w:rsidR="00682FED" w:rsidRPr="008E5F43" w:rsidRDefault="00682FED" w:rsidP="008B48D8">
            <w:pPr>
              <w:cnfStyle w:val="100000000000" w:firstRow="1" w:lastRow="0" w:firstColumn="0" w:lastColumn="0" w:oddVBand="0" w:evenVBand="0" w:oddHBand="0" w:evenHBand="0" w:firstRowFirstColumn="0" w:firstRowLastColumn="0" w:lastRowFirstColumn="0" w:lastRowLastColumn="0"/>
            </w:pPr>
            <w:r w:rsidRPr="008E5F43">
              <w:t>2012–13</w:t>
            </w:r>
          </w:p>
        </w:tc>
        <w:tc>
          <w:tcPr>
            <w:tcW w:w="1018" w:type="dxa"/>
            <w:gridSpan w:val="2"/>
            <w:noWrap/>
            <w:hideMark/>
          </w:tcPr>
          <w:p w:rsidR="00682FED" w:rsidRPr="00AA5244" w:rsidRDefault="00682FED" w:rsidP="008B48D8">
            <w:pPr>
              <w:cnfStyle w:val="100000000000" w:firstRow="1" w:lastRow="0" w:firstColumn="0" w:lastColumn="0" w:oddVBand="0" w:evenVBand="0" w:oddHBand="0" w:evenHBand="0" w:firstRowFirstColumn="0" w:firstRowLastColumn="0" w:lastRowFirstColumn="0" w:lastRowLastColumn="0"/>
            </w:pPr>
            <w:r w:rsidRPr="00AA5244">
              <w:t>2013–14</w:t>
            </w:r>
          </w:p>
        </w:tc>
        <w:tc>
          <w:tcPr>
            <w:tcW w:w="1019" w:type="dxa"/>
            <w:noWrap/>
            <w:hideMark/>
          </w:tcPr>
          <w:p w:rsidR="00682FED" w:rsidRPr="00AA5244" w:rsidRDefault="00682FED" w:rsidP="008B48D8">
            <w:pPr>
              <w:cnfStyle w:val="100000000000" w:firstRow="1" w:lastRow="0" w:firstColumn="0" w:lastColumn="0" w:oddVBand="0" w:evenVBand="0" w:oddHBand="0" w:evenHBand="0" w:firstRowFirstColumn="0" w:firstRowLastColumn="0" w:lastRowFirstColumn="0" w:lastRowLastColumn="0"/>
            </w:pPr>
            <w:r w:rsidRPr="00AA5244">
              <w:t>2014–15</w:t>
            </w:r>
          </w:p>
        </w:tc>
      </w:tr>
      <w:tr w:rsidR="00A228F2" w:rsidRPr="001F36F8" w:rsidTr="002939C7">
        <w:trPr>
          <w:trHeight w:val="393"/>
        </w:trPr>
        <w:tc>
          <w:tcPr>
            <w:cnfStyle w:val="001000000000" w:firstRow="0" w:lastRow="0" w:firstColumn="1" w:lastColumn="0" w:oddVBand="0" w:evenVBand="0" w:oddHBand="0" w:evenHBand="0" w:firstRowFirstColumn="0" w:firstRowLastColumn="0" w:lastRowFirstColumn="0" w:lastRowLastColumn="0"/>
            <w:tcW w:w="3652" w:type="dxa"/>
            <w:noWrap/>
            <w:hideMark/>
          </w:tcPr>
          <w:p w:rsidR="00A228F2" w:rsidRPr="00A228F2" w:rsidRDefault="00A228F2" w:rsidP="00A228F2">
            <w:r w:rsidRPr="00A228F2">
              <w:t>Opening capital base</w:t>
            </w:r>
          </w:p>
        </w:tc>
        <w:tc>
          <w:tcPr>
            <w:tcW w:w="1018"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pPr>
            <w:r w:rsidRPr="00A228F2">
              <w:t>278.1</w:t>
            </w:r>
          </w:p>
        </w:tc>
        <w:tc>
          <w:tcPr>
            <w:tcW w:w="1018"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pPr>
            <w:r w:rsidRPr="00A228F2">
              <w:t>288.6</w:t>
            </w:r>
          </w:p>
        </w:tc>
        <w:tc>
          <w:tcPr>
            <w:tcW w:w="1018"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pPr>
            <w:r w:rsidRPr="00A228F2">
              <w:t>302.2</w:t>
            </w:r>
          </w:p>
        </w:tc>
        <w:tc>
          <w:tcPr>
            <w:tcW w:w="1018"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pPr>
            <w:r w:rsidRPr="00A228F2">
              <w:t>313.8</w:t>
            </w:r>
          </w:p>
        </w:tc>
        <w:tc>
          <w:tcPr>
            <w:tcW w:w="1019" w:type="dxa"/>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pPr>
            <w:r w:rsidRPr="00A228F2">
              <w:t>326.9</w:t>
            </w:r>
          </w:p>
        </w:tc>
      </w:tr>
      <w:tr w:rsidR="00A228F2" w:rsidRPr="001F36F8" w:rsidTr="002939C7">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652" w:type="dxa"/>
            <w:noWrap/>
            <w:hideMark/>
          </w:tcPr>
          <w:p w:rsidR="00A228F2" w:rsidRPr="00A228F2" w:rsidRDefault="00A228F2" w:rsidP="00A228F2">
            <w:r w:rsidRPr="00A228F2">
              <w:t>Net capex</w:t>
            </w:r>
          </w:p>
        </w:tc>
        <w:tc>
          <w:tcPr>
            <w:tcW w:w="1018" w:type="dxa"/>
            <w:gridSpan w:val="2"/>
            <w:noWrap/>
          </w:tcPr>
          <w:p w:rsidR="00A228F2" w:rsidRPr="00A228F2" w:rsidRDefault="00A228F2" w:rsidP="00A228F2">
            <w:pPr>
              <w:cnfStyle w:val="000000010000" w:firstRow="0" w:lastRow="0" w:firstColumn="0" w:lastColumn="0" w:oddVBand="0" w:evenVBand="0" w:oddHBand="0" w:evenHBand="1" w:firstRowFirstColumn="0" w:firstRowLastColumn="0" w:lastRowFirstColumn="0" w:lastRowLastColumn="0"/>
            </w:pPr>
            <w:r w:rsidRPr="00A228F2">
              <w:t>12.0</w:t>
            </w:r>
          </w:p>
        </w:tc>
        <w:tc>
          <w:tcPr>
            <w:tcW w:w="1018" w:type="dxa"/>
            <w:gridSpan w:val="2"/>
            <w:noWrap/>
          </w:tcPr>
          <w:p w:rsidR="00A228F2" w:rsidRPr="00A228F2" w:rsidRDefault="00A228F2" w:rsidP="00A228F2">
            <w:pPr>
              <w:cnfStyle w:val="000000010000" w:firstRow="0" w:lastRow="0" w:firstColumn="0" w:lastColumn="0" w:oddVBand="0" w:evenVBand="0" w:oddHBand="0" w:evenHBand="1" w:firstRowFirstColumn="0" w:firstRowLastColumn="0" w:lastRowFirstColumn="0" w:lastRowLastColumn="0"/>
            </w:pPr>
            <w:r w:rsidRPr="00A228F2">
              <w:t>15.0</w:t>
            </w:r>
          </w:p>
        </w:tc>
        <w:tc>
          <w:tcPr>
            <w:tcW w:w="1018" w:type="dxa"/>
            <w:gridSpan w:val="2"/>
            <w:noWrap/>
          </w:tcPr>
          <w:p w:rsidR="00A228F2" w:rsidRPr="00A228F2" w:rsidRDefault="00A228F2" w:rsidP="00A228F2">
            <w:pPr>
              <w:cnfStyle w:val="000000010000" w:firstRow="0" w:lastRow="0" w:firstColumn="0" w:lastColumn="0" w:oddVBand="0" w:evenVBand="0" w:oddHBand="0" w:evenHBand="1" w:firstRowFirstColumn="0" w:firstRowLastColumn="0" w:lastRowFirstColumn="0" w:lastRowLastColumn="0"/>
            </w:pPr>
            <w:r w:rsidRPr="00A228F2">
              <w:t>18.7</w:t>
            </w:r>
          </w:p>
        </w:tc>
        <w:tc>
          <w:tcPr>
            <w:tcW w:w="1018" w:type="dxa"/>
            <w:gridSpan w:val="2"/>
            <w:noWrap/>
          </w:tcPr>
          <w:p w:rsidR="00A228F2" w:rsidRPr="00A228F2" w:rsidRDefault="00A228F2" w:rsidP="00A228F2">
            <w:pPr>
              <w:cnfStyle w:val="000000010000" w:firstRow="0" w:lastRow="0" w:firstColumn="0" w:lastColumn="0" w:oddVBand="0" w:evenVBand="0" w:oddHBand="0" w:evenHBand="1" w:firstRowFirstColumn="0" w:firstRowLastColumn="0" w:lastRowFirstColumn="0" w:lastRowLastColumn="0"/>
            </w:pPr>
            <w:r w:rsidRPr="00A228F2">
              <w:t>18.6</w:t>
            </w:r>
          </w:p>
        </w:tc>
        <w:tc>
          <w:tcPr>
            <w:tcW w:w="1019" w:type="dxa"/>
            <w:noWrap/>
          </w:tcPr>
          <w:p w:rsidR="00A228F2" w:rsidRPr="00A228F2" w:rsidRDefault="00A228F2" w:rsidP="00A228F2">
            <w:pPr>
              <w:cnfStyle w:val="000000010000" w:firstRow="0" w:lastRow="0" w:firstColumn="0" w:lastColumn="0" w:oddVBand="0" w:evenVBand="0" w:oddHBand="0" w:evenHBand="1" w:firstRowFirstColumn="0" w:firstRowLastColumn="0" w:lastRowFirstColumn="0" w:lastRowLastColumn="0"/>
            </w:pPr>
            <w:r w:rsidRPr="00A228F2">
              <w:t>24.6</w:t>
            </w:r>
          </w:p>
        </w:tc>
      </w:tr>
      <w:tr w:rsidR="00A228F2" w:rsidRPr="001F36F8" w:rsidTr="002939C7">
        <w:trPr>
          <w:trHeight w:val="391"/>
        </w:trPr>
        <w:tc>
          <w:tcPr>
            <w:cnfStyle w:val="001000000000" w:firstRow="0" w:lastRow="0" w:firstColumn="1" w:lastColumn="0" w:oddVBand="0" w:evenVBand="0" w:oddHBand="0" w:evenHBand="0" w:firstRowFirstColumn="0" w:firstRowLastColumn="0" w:lastRowFirstColumn="0" w:lastRowLastColumn="0"/>
            <w:tcW w:w="3652" w:type="dxa"/>
            <w:noWrap/>
            <w:hideMark/>
          </w:tcPr>
          <w:p w:rsidR="00A228F2" w:rsidRPr="00A228F2" w:rsidRDefault="00A228F2" w:rsidP="00A228F2">
            <w:r w:rsidRPr="00A228F2">
              <w:t>Indexation of capital base</w:t>
            </w:r>
          </w:p>
        </w:tc>
        <w:tc>
          <w:tcPr>
            <w:tcW w:w="1018"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pPr>
            <w:r w:rsidRPr="00A228F2">
              <w:t>7.9</w:t>
            </w:r>
          </w:p>
        </w:tc>
        <w:tc>
          <w:tcPr>
            <w:tcW w:w="1018"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pPr>
            <w:r w:rsidRPr="00A228F2">
              <w:t>9.8</w:t>
            </w:r>
          </w:p>
        </w:tc>
        <w:tc>
          <w:tcPr>
            <w:tcW w:w="1018"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pPr>
            <w:r w:rsidRPr="00A228F2">
              <w:t>5.3</w:t>
            </w:r>
          </w:p>
        </w:tc>
        <w:tc>
          <w:tcPr>
            <w:tcW w:w="1018"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pPr>
            <w:r w:rsidRPr="00A228F2">
              <w:t>7.7</w:t>
            </w:r>
          </w:p>
        </w:tc>
        <w:tc>
          <w:tcPr>
            <w:tcW w:w="1019" w:type="dxa"/>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pPr>
            <w:r w:rsidRPr="00A228F2">
              <w:t>8.1</w:t>
            </w:r>
          </w:p>
        </w:tc>
      </w:tr>
      <w:tr w:rsidR="00A228F2" w:rsidRPr="001F36F8" w:rsidTr="002939C7">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652" w:type="dxa"/>
            <w:noWrap/>
            <w:hideMark/>
          </w:tcPr>
          <w:p w:rsidR="00A228F2" w:rsidRPr="00A228F2" w:rsidRDefault="00A228F2" w:rsidP="00A228F2">
            <w:r w:rsidRPr="00A228F2">
              <w:t>Depreciation</w:t>
            </w:r>
          </w:p>
        </w:tc>
        <w:tc>
          <w:tcPr>
            <w:tcW w:w="1018" w:type="dxa"/>
            <w:gridSpan w:val="2"/>
            <w:noWrap/>
          </w:tcPr>
          <w:p w:rsidR="00A228F2" w:rsidRPr="00A228F2" w:rsidRDefault="000424AA" w:rsidP="00A228F2">
            <w:pPr>
              <w:cnfStyle w:val="000000010000" w:firstRow="0" w:lastRow="0" w:firstColumn="0" w:lastColumn="0" w:oddVBand="0" w:evenVBand="0" w:oddHBand="0" w:evenHBand="1" w:firstRowFirstColumn="0" w:firstRowLastColumn="0" w:lastRowFirstColumn="0" w:lastRowLastColumn="0"/>
            </w:pPr>
            <w:r>
              <w:t>–</w:t>
            </w:r>
            <w:r w:rsidR="00A228F2" w:rsidRPr="00A228F2">
              <w:t>9.4</w:t>
            </w:r>
          </w:p>
        </w:tc>
        <w:tc>
          <w:tcPr>
            <w:tcW w:w="1018" w:type="dxa"/>
            <w:gridSpan w:val="2"/>
            <w:noWrap/>
          </w:tcPr>
          <w:p w:rsidR="00A228F2" w:rsidRPr="00A228F2" w:rsidRDefault="000424AA" w:rsidP="00A228F2">
            <w:pPr>
              <w:cnfStyle w:val="000000010000" w:firstRow="0" w:lastRow="0" w:firstColumn="0" w:lastColumn="0" w:oddVBand="0" w:evenVBand="0" w:oddHBand="0" w:evenHBand="1" w:firstRowFirstColumn="0" w:firstRowLastColumn="0" w:lastRowFirstColumn="0" w:lastRowLastColumn="0"/>
            </w:pPr>
            <w:r>
              <w:t>–</w:t>
            </w:r>
            <w:r w:rsidR="00A228F2" w:rsidRPr="00A228F2">
              <w:t>11.2</w:t>
            </w:r>
          </w:p>
        </w:tc>
        <w:tc>
          <w:tcPr>
            <w:tcW w:w="1018" w:type="dxa"/>
            <w:gridSpan w:val="2"/>
            <w:noWrap/>
          </w:tcPr>
          <w:p w:rsidR="00A228F2" w:rsidRPr="00A228F2" w:rsidRDefault="000424AA" w:rsidP="00A228F2">
            <w:pPr>
              <w:cnfStyle w:val="000000010000" w:firstRow="0" w:lastRow="0" w:firstColumn="0" w:lastColumn="0" w:oddVBand="0" w:evenVBand="0" w:oddHBand="0" w:evenHBand="1" w:firstRowFirstColumn="0" w:firstRowLastColumn="0" w:lastRowFirstColumn="0" w:lastRowLastColumn="0"/>
            </w:pPr>
            <w:r>
              <w:t>–</w:t>
            </w:r>
            <w:r w:rsidR="00A228F2" w:rsidRPr="00A228F2">
              <w:t>12.5</w:t>
            </w:r>
          </w:p>
        </w:tc>
        <w:tc>
          <w:tcPr>
            <w:tcW w:w="1018" w:type="dxa"/>
            <w:gridSpan w:val="2"/>
            <w:noWrap/>
          </w:tcPr>
          <w:p w:rsidR="00A228F2" w:rsidRPr="00A228F2" w:rsidRDefault="000424AA" w:rsidP="00A228F2">
            <w:pPr>
              <w:cnfStyle w:val="000000010000" w:firstRow="0" w:lastRow="0" w:firstColumn="0" w:lastColumn="0" w:oddVBand="0" w:evenVBand="0" w:oddHBand="0" w:evenHBand="1" w:firstRowFirstColumn="0" w:firstRowLastColumn="0" w:lastRowFirstColumn="0" w:lastRowLastColumn="0"/>
            </w:pPr>
            <w:r>
              <w:t>–</w:t>
            </w:r>
            <w:r w:rsidR="00A228F2" w:rsidRPr="00A228F2">
              <w:t>13.2</w:t>
            </w:r>
          </w:p>
        </w:tc>
        <w:tc>
          <w:tcPr>
            <w:tcW w:w="1019" w:type="dxa"/>
            <w:noWrap/>
          </w:tcPr>
          <w:p w:rsidR="00A228F2" w:rsidRPr="00A228F2" w:rsidRDefault="000424AA" w:rsidP="00A228F2">
            <w:pPr>
              <w:cnfStyle w:val="000000010000" w:firstRow="0" w:lastRow="0" w:firstColumn="0" w:lastColumn="0" w:oddVBand="0" w:evenVBand="0" w:oddHBand="0" w:evenHBand="1" w:firstRowFirstColumn="0" w:firstRowLastColumn="0" w:lastRowFirstColumn="0" w:lastRowLastColumn="0"/>
            </w:pPr>
            <w:r>
              <w:t>–</w:t>
            </w:r>
            <w:r w:rsidR="00A228F2" w:rsidRPr="00A228F2">
              <w:t>13.7</w:t>
            </w:r>
          </w:p>
        </w:tc>
      </w:tr>
      <w:tr w:rsidR="00A228F2" w:rsidRPr="001F36F8" w:rsidTr="002939C7">
        <w:trPr>
          <w:trHeight w:val="429"/>
        </w:trPr>
        <w:tc>
          <w:tcPr>
            <w:cnfStyle w:val="001000000000" w:firstRow="0" w:lastRow="0" w:firstColumn="1" w:lastColumn="0" w:oddVBand="0" w:evenVBand="0" w:oddHBand="0" w:evenHBand="0" w:firstRowFirstColumn="0" w:firstRowLastColumn="0" w:lastRowFirstColumn="0" w:lastRowLastColumn="0"/>
            <w:tcW w:w="3652" w:type="dxa"/>
            <w:noWrap/>
            <w:hideMark/>
          </w:tcPr>
          <w:p w:rsidR="00A228F2" w:rsidRPr="00A228F2" w:rsidRDefault="00A228F2" w:rsidP="00A228F2">
            <w:r w:rsidRPr="00A228F2">
              <w:t xml:space="preserve">Closing capital base </w:t>
            </w:r>
          </w:p>
        </w:tc>
        <w:tc>
          <w:tcPr>
            <w:tcW w:w="1018"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pPr>
            <w:r w:rsidRPr="00A228F2">
              <w:t>288.6</w:t>
            </w:r>
          </w:p>
        </w:tc>
        <w:tc>
          <w:tcPr>
            <w:tcW w:w="1018"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pPr>
            <w:r w:rsidRPr="00A228F2">
              <w:t>302.2</w:t>
            </w:r>
          </w:p>
        </w:tc>
        <w:tc>
          <w:tcPr>
            <w:tcW w:w="1018"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pPr>
            <w:r w:rsidRPr="00A228F2">
              <w:t>313.8</w:t>
            </w:r>
          </w:p>
        </w:tc>
        <w:tc>
          <w:tcPr>
            <w:tcW w:w="1018"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pPr>
            <w:r w:rsidRPr="00A228F2">
              <w:t>326.9</w:t>
            </w:r>
          </w:p>
        </w:tc>
        <w:tc>
          <w:tcPr>
            <w:tcW w:w="1019" w:type="dxa"/>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pPr>
            <w:r w:rsidRPr="00A228F2">
              <w:t>345.9</w:t>
            </w:r>
          </w:p>
        </w:tc>
      </w:tr>
      <w:tr w:rsidR="00A228F2" w:rsidRPr="001F36F8" w:rsidTr="002939C7">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652" w:type="dxa"/>
            <w:noWrap/>
            <w:hideMark/>
          </w:tcPr>
          <w:p w:rsidR="00A228F2" w:rsidRPr="00A228F2" w:rsidRDefault="00A228F2" w:rsidP="00A228F2">
            <w:r w:rsidRPr="00A228F2">
              <w:t>Adjustment for difference between estimated and actual capital expenditure in 2009–10</w:t>
            </w:r>
            <w:r w:rsidRPr="00A228F2">
              <w:rPr>
                <w:rStyle w:val="AERsuperscript"/>
              </w:rPr>
              <w:t>a</w:t>
            </w:r>
          </w:p>
        </w:tc>
        <w:tc>
          <w:tcPr>
            <w:tcW w:w="1018" w:type="dxa"/>
            <w:gridSpan w:val="2"/>
            <w:noWrap/>
          </w:tcPr>
          <w:p w:rsidR="00A228F2" w:rsidRPr="00A228F2" w:rsidRDefault="00A228F2" w:rsidP="00A228F2">
            <w:pPr>
              <w:cnfStyle w:val="000000010000" w:firstRow="0" w:lastRow="0" w:firstColumn="0" w:lastColumn="0" w:oddVBand="0" w:evenVBand="0" w:oddHBand="0" w:evenHBand="1" w:firstRowFirstColumn="0" w:firstRowLastColumn="0" w:lastRowFirstColumn="0" w:lastRowLastColumn="0"/>
            </w:pPr>
            <w:r w:rsidRPr="00A228F2">
              <w:t> </w:t>
            </w:r>
          </w:p>
        </w:tc>
        <w:tc>
          <w:tcPr>
            <w:tcW w:w="1018" w:type="dxa"/>
            <w:gridSpan w:val="2"/>
            <w:noWrap/>
          </w:tcPr>
          <w:p w:rsidR="00A228F2" w:rsidRPr="00A228F2" w:rsidRDefault="00A228F2" w:rsidP="00A228F2">
            <w:pPr>
              <w:cnfStyle w:val="000000010000" w:firstRow="0" w:lastRow="0" w:firstColumn="0" w:lastColumn="0" w:oddVBand="0" w:evenVBand="0" w:oddHBand="0" w:evenHBand="1" w:firstRowFirstColumn="0" w:firstRowLastColumn="0" w:lastRowFirstColumn="0" w:lastRowLastColumn="0"/>
            </w:pPr>
            <w:r w:rsidRPr="00A228F2">
              <w:t> </w:t>
            </w:r>
          </w:p>
        </w:tc>
        <w:tc>
          <w:tcPr>
            <w:tcW w:w="1018" w:type="dxa"/>
            <w:gridSpan w:val="2"/>
            <w:noWrap/>
          </w:tcPr>
          <w:p w:rsidR="00A228F2" w:rsidRPr="00A228F2" w:rsidRDefault="00A228F2" w:rsidP="00A228F2">
            <w:pPr>
              <w:cnfStyle w:val="000000010000" w:firstRow="0" w:lastRow="0" w:firstColumn="0" w:lastColumn="0" w:oddVBand="0" w:evenVBand="0" w:oddHBand="0" w:evenHBand="1" w:firstRowFirstColumn="0" w:firstRowLastColumn="0" w:lastRowFirstColumn="0" w:lastRowLastColumn="0"/>
            </w:pPr>
            <w:r w:rsidRPr="00A228F2">
              <w:t> </w:t>
            </w:r>
          </w:p>
        </w:tc>
        <w:tc>
          <w:tcPr>
            <w:tcW w:w="1018" w:type="dxa"/>
            <w:gridSpan w:val="2"/>
            <w:noWrap/>
          </w:tcPr>
          <w:p w:rsidR="00A228F2" w:rsidRPr="00A228F2" w:rsidRDefault="00A228F2" w:rsidP="00A228F2">
            <w:pPr>
              <w:cnfStyle w:val="000000010000" w:firstRow="0" w:lastRow="0" w:firstColumn="0" w:lastColumn="0" w:oddVBand="0" w:evenVBand="0" w:oddHBand="0" w:evenHBand="1" w:firstRowFirstColumn="0" w:firstRowLastColumn="0" w:lastRowFirstColumn="0" w:lastRowLastColumn="0"/>
            </w:pPr>
            <w:r w:rsidRPr="00A228F2">
              <w:t> </w:t>
            </w:r>
          </w:p>
        </w:tc>
        <w:tc>
          <w:tcPr>
            <w:tcW w:w="1019" w:type="dxa"/>
            <w:noWrap/>
          </w:tcPr>
          <w:p w:rsidR="00A228F2" w:rsidRPr="00A228F2" w:rsidRDefault="000424AA" w:rsidP="00A228F2">
            <w:pPr>
              <w:cnfStyle w:val="000000010000" w:firstRow="0" w:lastRow="0" w:firstColumn="0" w:lastColumn="0" w:oddVBand="0" w:evenVBand="0" w:oddHBand="0" w:evenHBand="1" w:firstRowFirstColumn="0" w:firstRowLastColumn="0" w:lastRowFirstColumn="0" w:lastRowLastColumn="0"/>
            </w:pPr>
            <w:r>
              <w:t>–</w:t>
            </w:r>
            <w:r w:rsidR="00A228F2" w:rsidRPr="00A228F2">
              <w:t>7.5</w:t>
            </w:r>
          </w:p>
        </w:tc>
      </w:tr>
      <w:tr w:rsidR="00A228F2" w:rsidRPr="001F36F8" w:rsidTr="002939C7">
        <w:trPr>
          <w:trHeight w:val="303"/>
        </w:trPr>
        <w:tc>
          <w:tcPr>
            <w:cnfStyle w:val="001000000000" w:firstRow="0" w:lastRow="0" w:firstColumn="1" w:lastColumn="0" w:oddVBand="0" w:evenVBand="0" w:oddHBand="0" w:evenHBand="0" w:firstRowFirstColumn="0" w:firstRowLastColumn="0" w:lastRowFirstColumn="0" w:lastRowLastColumn="0"/>
            <w:tcW w:w="3652" w:type="dxa"/>
            <w:noWrap/>
            <w:hideMark/>
          </w:tcPr>
          <w:p w:rsidR="00A228F2" w:rsidRPr="00A228F2" w:rsidRDefault="00A228F2" w:rsidP="00A228F2">
            <w:pPr>
              <w:rPr>
                <w:rStyle w:val="Strong"/>
              </w:rPr>
            </w:pPr>
            <w:r w:rsidRPr="00A228F2">
              <w:rPr>
                <w:rStyle w:val="Strong"/>
              </w:rPr>
              <w:t>Opening capital base at 1 July 2015</w:t>
            </w:r>
          </w:p>
        </w:tc>
        <w:tc>
          <w:tcPr>
            <w:tcW w:w="811" w:type="dxa"/>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rPr>
                <w:rStyle w:val="Strong"/>
              </w:rPr>
            </w:pPr>
            <w:r w:rsidRPr="00A228F2">
              <w:t> </w:t>
            </w:r>
          </w:p>
        </w:tc>
        <w:tc>
          <w:tcPr>
            <w:tcW w:w="1070"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rPr>
                <w:rStyle w:val="Strong"/>
              </w:rPr>
            </w:pPr>
            <w:r w:rsidRPr="00A228F2">
              <w:t> </w:t>
            </w:r>
          </w:p>
        </w:tc>
        <w:tc>
          <w:tcPr>
            <w:tcW w:w="1070"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rPr>
                <w:rStyle w:val="Strong"/>
              </w:rPr>
            </w:pPr>
            <w:r w:rsidRPr="00A228F2">
              <w:t> </w:t>
            </w:r>
          </w:p>
        </w:tc>
        <w:tc>
          <w:tcPr>
            <w:tcW w:w="1070"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rPr>
                <w:rStyle w:val="Strong"/>
              </w:rPr>
            </w:pPr>
            <w:r w:rsidRPr="00A228F2">
              <w:t> </w:t>
            </w:r>
          </w:p>
        </w:tc>
        <w:tc>
          <w:tcPr>
            <w:tcW w:w="1070" w:type="dxa"/>
            <w:gridSpan w:val="2"/>
            <w:noWrap/>
          </w:tcPr>
          <w:p w:rsidR="00A228F2" w:rsidRPr="00A228F2" w:rsidRDefault="00A228F2" w:rsidP="00A228F2">
            <w:pPr>
              <w:cnfStyle w:val="000000000000" w:firstRow="0" w:lastRow="0" w:firstColumn="0" w:lastColumn="0" w:oddVBand="0" w:evenVBand="0" w:oddHBand="0" w:evenHBand="0" w:firstRowFirstColumn="0" w:firstRowLastColumn="0" w:lastRowFirstColumn="0" w:lastRowLastColumn="0"/>
              <w:rPr>
                <w:rStyle w:val="Strong"/>
              </w:rPr>
            </w:pPr>
            <w:r w:rsidRPr="007C11AE">
              <w:rPr>
                <w:rStyle w:val="Strong"/>
              </w:rPr>
              <w:t>338.4</w:t>
            </w:r>
          </w:p>
        </w:tc>
      </w:tr>
    </w:tbl>
    <w:bookmarkEnd w:id="16"/>
    <w:p w:rsidR="00682FED" w:rsidRPr="00682FED" w:rsidRDefault="00682FED" w:rsidP="00682FED">
      <w:pPr>
        <w:pStyle w:val="AERtablesource"/>
        <w:rPr>
          <w:rFonts w:eastAsia="Calibri"/>
        </w:rPr>
      </w:pPr>
      <w:r w:rsidRPr="00682FED">
        <w:rPr>
          <w:rFonts w:eastAsia="Calibri"/>
        </w:rPr>
        <w:t xml:space="preserve">Source: </w:t>
      </w:r>
      <w:r w:rsidRPr="00682FED">
        <w:rPr>
          <w:rFonts w:eastAsia="Calibri"/>
        </w:rPr>
        <w:tab/>
        <w:t>AER analysis.</w:t>
      </w:r>
    </w:p>
    <w:p w:rsidR="00682FED" w:rsidRPr="00682FED" w:rsidRDefault="00682FED" w:rsidP="00682FED">
      <w:pPr>
        <w:pStyle w:val="AERtablesource"/>
        <w:rPr>
          <w:rFonts w:eastAsia="Calibri"/>
        </w:rPr>
      </w:pPr>
      <w:r w:rsidRPr="00682FED">
        <w:rPr>
          <w:rFonts w:eastAsia="Calibri"/>
        </w:rPr>
        <w:t>(a)</w:t>
      </w:r>
      <w:r w:rsidRPr="00682FED">
        <w:rPr>
          <w:rFonts w:eastAsia="Calibri"/>
        </w:rPr>
        <w:tab/>
        <w:t xml:space="preserve">Comprising the difference </w:t>
      </w:r>
      <w:r w:rsidRPr="001A7AAF">
        <w:t xml:space="preserve">between the actual and estimated capex for 2009–10 </w:t>
      </w:r>
      <w:r w:rsidRPr="00682FED">
        <w:rPr>
          <w:rFonts w:eastAsia="Calibri"/>
        </w:rPr>
        <w:t xml:space="preserve">and the return on that </w:t>
      </w:r>
      <w:r w:rsidRPr="001A7AAF">
        <w:t>difference</w:t>
      </w:r>
      <w:r w:rsidRPr="00682FED">
        <w:rPr>
          <w:rFonts w:eastAsia="Calibri"/>
        </w:rPr>
        <w:t>.</w:t>
      </w:r>
    </w:p>
    <w:bookmarkStart w:id="17" w:name="_Ref398891994"/>
    <w:p w:rsidR="00682FED" w:rsidRPr="00682FED" w:rsidRDefault="00682FED" w:rsidP="00682FED">
      <w:pPr>
        <w:rPr>
          <w:rStyle w:val="AERbody"/>
        </w:rPr>
      </w:pPr>
      <w:r>
        <w:fldChar w:fldCharType="begin"/>
      </w:r>
      <w:r w:rsidRPr="00682FED">
        <w:rPr>
          <w:rStyle w:val="AERbody"/>
        </w:rPr>
        <w:instrText xml:space="preserve"> REF _Ref404703901 \h </w:instrText>
      </w:r>
      <w:r>
        <w:instrText xml:space="preserve"> \* MERGEFORMAT </w:instrText>
      </w:r>
      <w:r>
        <w:fldChar w:fldCharType="separate"/>
      </w:r>
      <w:r w:rsidR="00B23396">
        <w:t xml:space="preserve">Table </w:t>
      </w:r>
      <w:r w:rsidR="00B23396">
        <w:t>2</w:t>
      </w:r>
      <w:r w:rsidR="00B23396">
        <w:t>.</w:t>
      </w:r>
      <w:r w:rsidR="00B23396">
        <w:t>2</w:t>
      </w:r>
      <w:r>
        <w:fldChar w:fldCharType="end"/>
      </w:r>
      <w:r w:rsidRPr="00682FED">
        <w:rPr>
          <w:rStyle w:val="AERbody"/>
        </w:rPr>
        <w:t xml:space="preserve"> sets out the projected roll forward of the capital base during 2015–16 and the 2016–21 access arrangement period.</w:t>
      </w:r>
    </w:p>
    <w:p w:rsidR="00682FED" w:rsidRPr="00954364" w:rsidRDefault="00682FED" w:rsidP="00682FED">
      <w:pPr>
        <w:pStyle w:val="Caption"/>
      </w:pPr>
      <w:bookmarkStart w:id="18" w:name="_Ref404703901"/>
      <w:proofErr w:type="gramStart"/>
      <w:r>
        <w:t xml:space="preserve">Table </w:t>
      </w:r>
      <w:proofErr w:type="gramEnd"/>
      <w:r w:rsidRPr="00682FED">
        <w:fldChar w:fldCharType="begin"/>
      </w:r>
      <w:r>
        <w:instrText xml:space="preserve"> STYLEREF 1 \s </w:instrText>
      </w:r>
      <w:r w:rsidRPr="00682FED">
        <w:fldChar w:fldCharType="separate"/>
      </w:r>
      <w:r w:rsidR="00B23396">
        <w:rPr>
          <w:noProof/>
        </w:rPr>
        <w:t>2</w:t>
      </w:r>
      <w:r w:rsidRPr="00682FED">
        <w:fldChar w:fldCharType="end"/>
      </w:r>
      <w:proofErr w:type="gramStart"/>
      <w:r>
        <w:t>.</w:t>
      </w:r>
      <w:proofErr w:type="gramEnd"/>
      <w:r w:rsidRPr="00682FED">
        <w:fldChar w:fldCharType="begin"/>
      </w:r>
      <w:r>
        <w:instrText xml:space="preserve"> SEQ Table \* ARABIC \s 1 </w:instrText>
      </w:r>
      <w:r w:rsidRPr="00682FED">
        <w:fldChar w:fldCharType="separate"/>
      </w:r>
      <w:r w:rsidR="00B23396">
        <w:rPr>
          <w:noProof/>
        </w:rPr>
        <w:t>2</w:t>
      </w:r>
      <w:r w:rsidRPr="00682FED">
        <w:fldChar w:fldCharType="end"/>
      </w:r>
      <w:bookmarkEnd w:id="17"/>
      <w:bookmarkEnd w:id="18"/>
      <w:r>
        <w:tab/>
        <w:t>AER’s final decision on projected capital base roll forward for 2015–16 and the 2016–21 access arrangement period ($million, nominal)</w:t>
      </w:r>
      <w:bookmarkStart w:id="19" w:name="_Ref328757042"/>
    </w:p>
    <w:tbl>
      <w:tblPr>
        <w:tblStyle w:val="AERtable-numbers"/>
        <w:tblW w:w="8728" w:type="dxa"/>
        <w:tblLayout w:type="fixed"/>
        <w:tblLook w:val="04A0" w:firstRow="1" w:lastRow="0" w:firstColumn="1" w:lastColumn="0" w:noHBand="0" w:noVBand="1"/>
      </w:tblPr>
      <w:tblGrid>
        <w:gridCol w:w="2518"/>
        <w:gridCol w:w="1035"/>
        <w:gridCol w:w="1035"/>
        <w:gridCol w:w="1035"/>
        <w:gridCol w:w="1035"/>
        <w:gridCol w:w="1035"/>
        <w:gridCol w:w="1035"/>
      </w:tblGrid>
      <w:tr w:rsidR="00682FED" w:rsidRPr="001F36F8" w:rsidTr="002939C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noWrap/>
          </w:tcPr>
          <w:p w:rsidR="00682FED" w:rsidRPr="001F36F8" w:rsidRDefault="00682FED" w:rsidP="008B48D8"/>
        </w:tc>
        <w:tc>
          <w:tcPr>
            <w:tcW w:w="1035" w:type="dxa"/>
            <w:tcBorders>
              <w:top w:val="nil"/>
              <w:left w:val="nil"/>
              <w:bottom w:val="nil"/>
              <w:right w:val="nil"/>
            </w:tcBorders>
          </w:tcPr>
          <w:p w:rsidR="00682FED" w:rsidRPr="008B48D8" w:rsidRDefault="00682FED" w:rsidP="008B48D8">
            <w:pPr>
              <w:cnfStyle w:val="100000000000" w:firstRow="1" w:lastRow="0" w:firstColumn="0" w:lastColumn="0" w:oddVBand="0" w:evenVBand="0" w:oddHBand="0" w:evenHBand="0" w:firstRowFirstColumn="0" w:firstRowLastColumn="0" w:lastRowFirstColumn="0" w:lastRowLastColumn="0"/>
            </w:pPr>
            <w:r w:rsidRPr="008B48D8">
              <w:t>2015–16</w:t>
            </w:r>
          </w:p>
        </w:tc>
        <w:tc>
          <w:tcPr>
            <w:tcW w:w="1035" w:type="dxa"/>
            <w:tcBorders>
              <w:top w:val="nil"/>
              <w:left w:val="nil"/>
              <w:bottom w:val="nil"/>
              <w:right w:val="nil"/>
            </w:tcBorders>
            <w:noWrap/>
            <w:hideMark/>
          </w:tcPr>
          <w:p w:rsidR="00682FED" w:rsidRPr="008B48D8" w:rsidRDefault="00682FED" w:rsidP="008B48D8">
            <w:pPr>
              <w:cnfStyle w:val="100000000000" w:firstRow="1" w:lastRow="0" w:firstColumn="0" w:lastColumn="0" w:oddVBand="0" w:evenVBand="0" w:oddHBand="0" w:evenHBand="0" w:firstRowFirstColumn="0" w:firstRowLastColumn="0" w:lastRowFirstColumn="0" w:lastRowLastColumn="0"/>
            </w:pPr>
            <w:r w:rsidRPr="008B48D8">
              <w:t>2016–17</w:t>
            </w:r>
          </w:p>
        </w:tc>
        <w:tc>
          <w:tcPr>
            <w:tcW w:w="1035" w:type="dxa"/>
            <w:tcBorders>
              <w:top w:val="nil"/>
              <w:left w:val="nil"/>
              <w:bottom w:val="nil"/>
              <w:right w:val="nil"/>
            </w:tcBorders>
            <w:noWrap/>
            <w:hideMark/>
          </w:tcPr>
          <w:p w:rsidR="00682FED" w:rsidRPr="00FC479A" w:rsidRDefault="00682FED" w:rsidP="00FC479A">
            <w:pPr>
              <w:cnfStyle w:val="100000000000" w:firstRow="1" w:lastRow="0" w:firstColumn="0" w:lastColumn="0" w:oddVBand="0" w:evenVBand="0" w:oddHBand="0" w:evenHBand="0" w:firstRowFirstColumn="0" w:firstRowLastColumn="0" w:lastRowFirstColumn="0" w:lastRowLastColumn="0"/>
            </w:pPr>
            <w:r w:rsidRPr="00FC479A">
              <w:t>2017–18</w:t>
            </w:r>
          </w:p>
        </w:tc>
        <w:tc>
          <w:tcPr>
            <w:tcW w:w="1035" w:type="dxa"/>
            <w:tcBorders>
              <w:top w:val="nil"/>
              <w:left w:val="nil"/>
              <w:bottom w:val="nil"/>
              <w:right w:val="nil"/>
            </w:tcBorders>
            <w:noWrap/>
            <w:hideMark/>
          </w:tcPr>
          <w:p w:rsidR="00682FED" w:rsidRPr="00E26914" w:rsidRDefault="00682FED" w:rsidP="00E26914">
            <w:pPr>
              <w:cnfStyle w:val="100000000000" w:firstRow="1" w:lastRow="0" w:firstColumn="0" w:lastColumn="0" w:oddVBand="0" w:evenVBand="0" w:oddHBand="0" w:evenHBand="0" w:firstRowFirstColumn="0" w:firstRowLastColumn="0" w:lastRowFirstColumn="0" w:lastRowLastColumn="0"/>
            </w:pPr>
            <w:r w:rsidRPr="00E26914">
              <w:t>2018–19</w:t>
            </w:r>
          </w:p>
        </w:tc>
        <w:tc>
          <w:tcPr>
            <w:tcW w:w="1035" w:type="dxa"/>
            <w:tcBorders>
              <w:top w:val="nil"/>
              <w:left w:val="nil"/>
              <w:bottom w:val="nil"/>
              <w:right w:val="nil"/>
            </w:tcBorders>
            <w:noWrap/>
            <w:hideMark/>
          </w:tcPr>
          <w:p w:rsidR="00682FED" w:rsidRPr="00E26914" w:rsidRDefault="00682FED" w:rsidP="00E26914">
            <w:pPr>
              <w:cnfStyle w:val="100000000000" w:firstRow="1" w:lastRow="0" w:firstColumn="0" w:lastColumn="0" w:oddVBand="0" w:evenVBand="0" w:oddHBand="0" w:evenHBand="0" w:firstRowFirstColumn="0" w:firstRowLastColumn="0" w:lastRowFirstColumn="0" w:lastRowLastColumn="0"/>
            </w:pPr>
            <w:r w:rsidRPr="00E26914">
              <w:t>2019–20</w:t>
            </w:r>
          </w:p>
        </w:tc>
        <w:tc>
          <w:tcPr>
            <w:tcW w:w="1035" w:type="dxa"/>
            <w:tcBorders>
              <w:top w:val="nil"/>
              <w:left w:val="nil"/>
              <w:bottom w:val="nil"/>
              <w:right w:val="nil"/>
            </w:tcBorders>
            <w:noWrap/>
            <w:hideMark/>
          </w:tcPr>
          <w:p w:rsidR="00682FED" w:rsidRPr="008B48D8" w:rsidRDefault="00682FED" w:rsidP="008B48D8">
            <w:pPr>
              <w:cnfStyle w:val="100000000000" w:firstRow="1" w:lastRow="0" w:firstColumn="0" w:lastColumn="0" w:oddVBand="0" w:evenVBand="0" w:oddHBand="0" w:evenHBand="0" w:firstRowFirstColumn="0" w:firstRowLastColumn="0" w:lastRowFirstColumn="0" w:lastRowLastColumn="0"/>
            </w:pPr>
            <w:r w:rsidRPr="008B48D8">
              <w:t>2020–21</w:t>
            </w:r>
          </w:p>
        </w:tc>
      </w:tr>
      <w:tr w:rsidR="006F642F" w:rsidRPr="001F36F8" w:rsidTr="002939C7">
        <w:trPr>
          <w:trHeight w:val="354"/>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noWrap/>
            <w:hideMark/>
          </w:tcPr>
          <w:p w:rsidR="006F642F" w:rsidRPr="006F642F" w:rsidRDefault="006F642F" w:rsidP="006F642F">
            <w:r w:rsidRPr="006F642F">
              <w:t>Opening capital base</w:t>
            </w:r>
          </w:p>
        </w:tc>
        <w:tc>
          <w:tcPr>
            <w:tcW w:w="1035" w:type="dxa"/>
            <w:tcBorders>
              <w:top w:val="nil"/>
              <w:left w:val="nil"/>
              <w:bottom w:val="nil"/>
              <w:right w:val="nil"/>
            </w:tcBorders>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338.4</w:t>
            </w:r>
          </w:p>
        </w:tc>
        <w:tc>
          <w:tcPr>
            <w:tcW w:w="1035" w:type="dxa"/>
            <w:tcBorders>
              <w:top w:val="nil"/>
              <w:left w:val="nil"/>
              <w:bottom w:val="nil"/>
              <w:right w:val="nil"/>
            </w:tcBorders>
            <w:noWrap/>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365.3</w:t>
            </w:r>
          </w:p>
        </w:tc>
        <w:tc>
          <w:tcPr>
            <w:tcW w:w="1035" w:type="dxa"/>
            <w:tcBorders>
              <w:top w:val="nil"/>
              <w:left w:val="nil"/>
              <w:bottom w:val="nil"/>
              <w:right w:val="nil"/>
            </w:tcBorders>
            <w:noWrap/>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378.7</w:t>
            </w:r>
          </w:p>
        </w:tc>
        <w:tc>
          <w:tcPr>
            <w:tcW w:w="1035" w:type="dxa"/>
            <w:tcBorders>
              <w:top w:val="nil"/>
              <w:left w:val="nil"/>
              <w:bottom w:val="nil"/>
              <w:right w:val="nil"/>
            </w:tcBorders>
            <w:noWrap/>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391.1</w:t>
            </w:r>
          </w:p>
        </w:tc>
        <w:tc>
          <w:tcPr>
            <w:tcW w:w="1035" w:type="dxa"/>
            <w:tcBorders>
              <w:top w:val="nil"/>
              <w:left w:val="nil"/>
              <w:bottom w:val="nil"/>
              <w:right w:val="nil"/>
            </w:tcBorders>
            <w:noWrap/>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402.7</w:t>
            </w:r>
          </w:p>
        </w:tc>
        <w:tc>
          <w:tcPr>
            <w:tcW w:w="1035" w:type="dxa"/>
            <w:tcBorders>
              <w:top w:val="nil"/>
              <w:left w:val="nil"/>
              <w:bottom w:val="nil"/>
              <w:right w:val="nil"/>
            </w:tcBorders>
            <w:noWrap/>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409.9</w:t>
            </w:r>
          </w:p>
        </w:tc>
      </w:tr>
      <w:tr w:rsidR="006F642F" w:rsidRPr="001F36F8" w:rsidTr="002939C7">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noWrap/>
            <w:hideMark/>
          </w:tcPr>
          <w:p w:rsidR="006F642F" w:rsidRPr="006F642F" w:rsidRDefault="006F642F" w:rsidP="006F642F">
            <w:r w:rsidRPr="006F642F">
              <w:t>Net capex</w:t>
            </w:r>
          </w:p>
        </w:tc>
        <w:tc>
          <w:tcPr>
            <w:tcW w:w="1035" w:type="dxa"/>
            <w:tcBorders>
              <w:top w:val="nil"/>
              <w:left w:val="nil"/>
              <w:bottom w:val="nil"/>
              <w:right w:val="nil"/>
            </w:tcBorders>
          </w:tcPr>
          <w:p w:rsidR="006F642F" w:rsidRPr="006F642F" w:rsidRDefault="006F642F" w:rsidP="006F642F">
            <w:pPr>
              <w:cnfStyle w:val="000000010000" w:firstRow="0" w:lastRow="0" w:firstColumn="0" w:lastColumn="0" w:oddVBand="0" w:evenVBand="0" w:oddHBand="0" w:evenHBand="1" w:firstRowFirstColumn="0" w:firstRowLastColumn="0" w:lastRowFirstColumn="0" w:lastRowLastColumn="0"/>
            </w:pPr>
            <w:r w:rsidRPr="006F642F">
              <w:t>31.4</w:t>
            </w:r>
          </w:p>
        </w:tc>
        <w:tc>
          <w:tcPr>
            <w:tcW w:w="1035" w:type="dxa"/>
            <w:tcBorders>
              <w:top w:val="nil"/>
              <w:left w:val="nil"/>
              <w:bottom w:val="nil"/>
              <w:right w:val="nil"/>
            </w:tcBorders>
            <w:noWrap/>
          </w:tcPr>
          <w:p w:rsidR="006F642F" w:rsidRPr="006F642F" w:rsidRDefault="006F642F" w:rsidP="006F642F">
            <w:pPr>
              <w:cnfStyle w:val="000000010000" w:firstRow="0" w:lastRow="0" w:firstColumn="0" w:lastColumn="0" w:oddVBand="0" w:evenVBand="0" w:oddHBand="0" w:evenHBand="1" w:firstRowFirstColumn="0" w:firstRowLastColumn="0" w:lastRowFirstColumn="0" w:lastRowLastColumn="0"/>
            </w:pPr>
            <w:r w:rsidRPr="006F642F">
              <w:t>18.8</w:t>
            </w:r>
          </w:p>
        </w:tc>
        <w:tc>
          <w:tcPr>
            <w:tcW w:w="1035" w:type="dxa"/>
            <w:tcBorders>
              <w:top w:val="nil"/>
              <w:left w:val="nil"/>
              <w:bottom w:val="nil"/>
              <w:right w:val="nil"/>
            </w:tcBorders>
            <w:noWrap/>
          </w:tcPr>
          <w:p w:rsidR="006F642F" w:rsidRPr="006F642F" w:rsidRDefault="006F642F" w:rsidP="006F642F">
            <w:pPr>
              <w:cnfStyle w:val="000000010000" w:firstRow="0" w:lastRow="0" w:firstColumn="0" w:lastColumn="0" w:oddVBand="0" w:evenVBand="0" w:oddHBand="0" w:evenHBand="1" w:firstRowFirstColumn="0" w:firstRowLastColumn="0" w:lastRowFirstColumn="0" w:lastRowLastColumn="0"/>
            </w:pPr>
            <w:r w:rsidRPr="006F642F">
              <w:t>18.6</w:t>
            </w:r>
          </w:p>
        </w:tc>
        <w:tc>
          <w:tcPr>
            <w:tcW w:w="1035" w:type="dxa"/>
            <w:tcBorders>
              <w:top w:val="nil"/>
              <w:left w:val="nil"/>
              <w:bottom w:val="nil"/>
              <w:right w:val="nil"/>
            </w:tcBorders>
            <w:noWrap/>
          </w:tcPr>
          <w:p w:rsidR="006F642F" w:rsidRPr="006F642F" w:rsidRDefault="006F642F" w:rsidP="006F642F">
            <w:pPr>
              <w:cnfStyle w:val="000000010000" w:firstRow="0" w:lastRow="0" w:firstColumn="0" w:lastColumn="0" w:oddVBand="0" w:evenVBand="0" w:oddHBand="0" w:evenHBand="1" w:firstRowFirstColumn="0" w:firstRowLastColumn="0" w:lastRowFirstColumn="0" w:lastRowLastColumn="0"/>
            </w:pPr>
            <w:r w:rsidRPr="006F642F">
              <w:t>18.5</w:t>
            </w:r>
          </w:p>
        </w:tc>
        <w:tc>
          <w:tcPr>
            <w:tcW w:w="1035" w:type="dxa"/>
            <w:tcBorders>
              <w:top w:val="nil"/>
              <w:left w:val="nil"/>
              <w:bottom w:val="nil"/>
              <w:right w:val="nil"/>
            </w:tcBorders>
            <w:noWrap/>
          </w:tcPr>
          <w:p w:rsidR="006F642F" w:rsidRPr="006F642F" w:rsidRDefault="006F642F" w:rsidP="006F642F">
            <w:pPr>
              <w:cnfStyle w:val="000000010000" w:firstRow="0" w:lastRow="0" w:firstColumn="0" w:lastColumn="0" w:oddVBand="0" w:evenVBand="0" w:oddHBand="0" w:evenHBand="1" w:firstRowFirstColumn="0" w:firstRowLastColumn="0" w:lastRowFirstColumn="0" w:lastRowLastColumn="0"/>
            </w:pPr>
            <w:r w:rsidRPr="006F642F">
              <w:t>15.0</w:t>
            </w:r>
          </w:p>
        </w:tc>
        <w:tc>
          <w:tcPr>
            <w:tcW w:w="1035" w:type="dxa"/>
            <w:tcBorders>
              <w:top w:val="nil"/>
              <w:left w:val="nil"/>
              <w:bottom w:val="nil"/>
              <w:right w:val="nil"/>
            </w:tcBorders>
            <w:noWrap/>
          </w:tcPr>
          <w:p w:rsidR="006F642F" w:rsidRPr="006F642F" w:rsidRDefault="006F642F" w:rsidP="006F642F">
            <w:pPr>
              <w:cnfStyle w:val="000000010000" w:firstRow="0" w:lastRow="0" w:firstColumn="0" w:lastColumn="0" w:oddVBand="0" w:evenVBand="0" w:oddHBand="0" w:evenHBand="1" w:firstRowFirstColumn="0" w:firstRowLastColumn="0" w:lastRowFirstColumn="0" w:lastRowLastColumn="0"/>
            </w:pPr>
            <w:r w:rsidRPr="006F642F">
              <w:t>16.6</w:t>
            </w:r>
          </w:p>
        </w:tc>
      </w:tr>
      <w:tr w:rsidR="006F642F" w:rsidRPr="001F36F8" w:rsidTr="002939C7">
        <w:trPr>
          <w:trHeight w:val="424"/>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noWrap/>
            <w:hideMark/>
          </w:tcPr>
          <w:p w:rsidR="006F642F" w:rsidRPr="006F642F" w:rsidRDefault="006F642F" w:rsidP="006F642F">
            <w:r w:rsidRPr="006F642F">
              <w:t>Indexation of capital base</w:t>
            </w:r>
          </w:p>
        </w:tc>
        <w:tc>
          <w:tcPr>
            <w:tcW w:w="1035" w:type="dxa"/>
            <w:tcBorders>
              <w:top w:val="nil"/>
              <w:left w:val="nil"/>
              <w:bottom w:val="nil"/>
              <w:right w:val="nil"/>
            </w:tcBorders>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7.4</w:t>
            </w:r>
          </w:p>
        </w:tc>
        <w:tc>
          <w:tcPr>
            <w:tcW w:w="1035" w:type="dxa"/>
            <w:tcBorders>
              <w:top w:val="nil"/>
              <w:left w:val="nil"/>
              <w:bottom w:val="nil"/>
              <w:right w:val="nil"/>
            </w:tcBorders>
            <w:noWrap/>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8.0</w:t>
            </w:r>
          </w:p>
        </w:tc>
        <w:tc>
          <w:tcPr>
            <w:tcW w:w="1035" w:type="dxa"/>
            <w:tcBorders>
              <w:top w:val="nil"/>
              <w:left w:val="nil"/>
              <w:bottom w:val="nil"/>
              <w:right w:val="nil"/>
            </w:tcBorders>
            <w:noWrap/>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8.3</w:t>
            </w:r>
          </w:p>
        </w:tc>
        <w:tc>
          <w:tcPr>
            <w:tcW w:w="1035" w:type="dxa"/>
            <w:tcBorders>
              <w:top w:val="nil"/>
              <w:left w:val="nil"/>
              <w:bottom w:val="nil"/>
              <w:right w:val="nil"/>
            </w:tcBorders>
            <w:noWrap/>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8.5</w:t>
            </w:r>
          </w:p>
        </w:tc>
        <w:tc>
          <w:tcPr>
            <w:tcW w:w="1035" w:type="dxa"/>
            <w:tcBorders>
              <w:top w:val="nil"/>
              <w:left w:val="nil"/>
              <w:bottom w:val="nil"/>
              <w:right w:val="nil"/>
            </w:tcBorders>
            <w:noWrap/>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8.8</w:t>
            </w:r>
          </w:p>
        </w:tc>
        <w:tc>
          <w:tcPr>
            <w:tcW w:w="1035" w:type="dxa"/>
            <w:tcBorders>
              <w:top w:val="nil"/>
              <w:left w:val="nil"/>
              <w:bottom w:val="nil"/>
              <w:right w:val="nil"/>
            </w:tcBorders>
            <w:noWrap/>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8.9</w:t>
            </w:r>
          </w:p>
        </w:tc>
      </w:tr>
      <w:tr w:rsidR="006F642F" w:rsidRPr="001F36F8" w:rsidTr="002939C7">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noWrap/>
            <w:hideMark/>
          </w:tcPr>
          <w:p w:rsidR="006F642F" w:rsidRPr="006F642F" w:rsidRDefault="006F642F" w:rsidP="006F642F">
            <w:r w:rsidRPr="006F642F">
              <w:t>Depreciation</w:t>
            </w:r>
          </w:p>
        </w:tc>
        <w:tc>
          <w:tcPr>
            <w:tcW w:w="1035" w:type="dxa"/>
            <w:tcBorders>
              <w:top w:val="nil"/>
              <w:left w:val="nil"/>
              <w:bottom w:val="nil"/>
              <w:right w:val="nil"/>
            </w:tcBorders>
          </w:tcPr>
          <w:p w:rsidR="006F642F" w:rsidRPr="006F642F" w:rsidRDefault="006F642F" w:rsidP="006F642F">
            <w:pPr>
              <w:cnfStyle w:val="000000010000" w:firstRow="0" w:lastRow="0" w:firstColumn="0" w:lastColumn="0" w:oddVBand="0" w:evenVBand="0" w:oddHBand="0" w:evenHBand="1" w:firstRowFirstColumn="0" w:firstRowLastColumn="0" w:lastRowFirstColumn="0" w:lastRowLastColumn="0"/>
            </w:pPr>
            <w:r>
              <w:t>–</w:t>
            </w:r>
            <w:r w:rsidRPr="006F642F">
              <w:t>11.8</w:t>
            </w:r>
          </w:p>
        </w:tc>
        <w:tc>
          <w:tcPr>
            <w:tcW w:w="1035" w:type="dxa"/>
            <w:tcBorders>
              <w:top w:val="nil"/>
              <w:left w:val="nil"/>
              <w:bottom w:val="nil"/>
              <w:right w:val="nil"/>
            </w:tcBorders>
            <w:noWrap/>
          </w:tcPr>
          <w:p w:rsidR="006F642F" w:rsidRPr="006F642F" w:rsidRDefault="006F642F" w:rsidP="006F642F">
            <w:pPr>
              <w:cnfStyle w:val="000000010000" w:firstRow="0" w:lastRow="0" w:firstColumn="0" w:lastColumn="0" w:oddVBand="0" w:evenVBand="0" w:oddHBand="0" w:evenHBand="1" w:firstRowFirstColumn="0" w:firstRowLastColumn="0" w:lastRowFirstColumn="0" w:lastRowLastColumn="0"/>
            </w:pPr>
            <w:r>
              <w:t>–</w:t>
            </w:r>
            <w:r w:rsidRPr="006F642F">
              <w:t>13.4</w:t>
            </w:r>
          </w:p>
        </w:tc>
        <w:tc>
          <w:tcPr>
            <w:tcW w:w="1035" w:type="dxa"/>
            <w:tcBorders>
              <w:top w:val="nil"/>
              <w:left w:val="nil"/>
              <w:bottom w:val="nil"/>
              <w:right w:val="nil"/>
            </w:tcBorders>
            <w:noWrap/>
          </w:tcPr>
          <w:p w:rsidR="006F642F" w:rsidRPr="006F642F" w:rsidRDefault="006F642F" w:rsidP="006F642F">
            <w:pPr>
              <w:cnfStyle w:val="000000010000" w:firstRow="0" w:lastRow="0" w:firstColumn="0" w:lastColumn="0" w:oddVBand="0" w:evenVBand="0" w:oddHBand="0" w:evenHBand="1" w:firstRowFirstColumn="0" w:firstRowLastColumn="0" w:lastRowFirstColumn="0" w:lastRowLastColumn="0"/>
            </w:pPr>
            <w:r>
              <w:t>–</w:t>
            </w:r>
            <w:r w:rsidRPr="006F642F">
              <w:t>14.4</w:t>
            </w:r>
          </w:p>
        </w:tc>
        <w:tc>
          <w:tcPr>
            <w:tcW w:w="1035" w:type="dxa"/>
            <w:tcBorders>
              <w:top w:val="nil"/>
              <w:left w:val="nil"/>
              <w:bottom w:val="nil"/>
              <w:right w:val="nil"/>
            </w:tcBorders>
            <w:noWrap/>
          </w:tcPr>
          <w:p w:rsidR="006F642F" w:rsidRPr="006F642F" w:rsidRDefault="006F642F" w:rsidP="006F642F">
            <w:pPr>
              <w:cnfStyle w:val="000000010000" w:firstRow="0" w:lastRow="0" w:firstColumn="0" w:lastColumn="0" w:oddVBand="0" w:evenVBand="0" w:oddHBand="0" w:evenHBand="1" w:firstRowFirstColumn="0" w:firstRowLastColumn="0" w:lastRowFirstColumn="0" w:lastRowLastColumn="0"/>
            </w:pPr>
            <w:r>
              <w:t>–</w:t>
            </w:r>
            <w:r w:rsidRPr="006F642F">
              <w:t>15.5</w:t>
            </w:r>
          </w:p>
        </w:tc>
        <w:tc>
          <w:tcPr>
            <w:tcW w:w="1035" w:type="dxa"/>
            <w:tcBorders>
              <w:top w:val="nil"/>
              <w:left w:val="nil"/>
              <w:bottom w:val="nil"/>
              <w:right w:val="nil"/>
            </w:tcBorders>
            <w:noWrap/>
          </w:tcPr>
          <w:p w:rsidR="006F642F" w:rsidRPr="006F642F" w:rsidRDefault="006F642F" w:rsidP="006F642F">
            <w:pPr>
              <w:cnfStyle w:val="000000010000" w:firstRow="0" w:lastRow="0" w:firstColumn="0" w:lastColumn="0" w:oddVBand="0" w:evenVBand="0" w:oddHBand="0" w:evenHBand="1" w:firstRowFirstColumn="0" w:firstRowLastColumn="0" w:lastRowFirstColumn="0" w:lastRowLastColumn="0"/>
            </w:pPr>
            <w:r>
              <w:t>–</w:t>
            </w:r>
            <w:r w:rsidRPr="006F642F">
              <w:t>16.6</w:t>
            </w:r>
          </w:p>
        </w:tc>
        <w:tc>
          <w:tcPr>
            <w:tcW w:w="1035" w:type="dxa"/>
            <w:tcBorders>
              <w:top w:val="nil"/>
              <w:left w:val="nil"/>
              <w:bottom w:val="nil"/>
              <w:right w:val="nil"/>
            </w:tcBorders>
            <w:noWrap/>
          </w:tcPr>
          <w:p w:rsidR="006F642F" w:rsidRPr="006F642F" w:rsidRDefault="006F642F" w:rsidP="006F642F">
            <w:pPr>
              <w:cnfStyle w:val="000000010000" w:firstRow="0" w:lastRow="0" w:firstColumn="0" w:lastColumn="0" w:oddVBand="0" w:evenVBand="0" w:oddHBand="0" w:evenHBand="1" w:firstRowFirstColumn="0" w:firstRowLastColumn="0" w:lastRowFirstColumn="0" w:lastRowLastColumn="0"/>
            </w:pPr>
            <w:r>
              <w:t>–</w:t>
            </w:r>
            <w:r w:rsidRPr="006F642F">
              <w:t>17.6</w:t>
            </w:r>
          </w:p>
        </w:tc>
      </w:tr>
      <w:tr w:rsidR="006F642F" w:rsidRPr="001F36F8" w:rsidTr="002939C7">
        <w:trPr>
          <w:trHeight w:val="428"/>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single" w:sz="4" w:space="0" w:color="365F91"/>
              <w:right w:val="nil"/>
            </w:tcBorders>
            <w:noWrap/>
            <w:hideMark/>
          </w:tcPr>
          <w:p w:rsidR="006F642F" w:rsidRPr="006F642F" w:rsidRDefault="006F642F" w:rsidP="006F642F">
            <w:r w:rsidRPr="006F642F">
              <w:t>Closing capital base</w:t>
            </w:r>
          </w:p>
        </w:tc>
        <w:tc>
          <w:tcPr>
            <w:tcW w:w="1035" w:type="dxa"/>
            <w:tcBorders>
              <w:top w:val="nil"/>
              <w:left w:val="nil"/>
              <w:bottom w:val="single" w:sz="4" w:space="0" w:color="365F91"/>
              <w:right w:val="nil"/>
            </w:tcBorders>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365.3</w:t>
            </w:r>
          </w:p>
        </w:tc>
        <w:tc>
          <w:tcPr>
            <w:tcW w:w="1035" w:type="dxa"/>
            <w:tcBorders>
              <w:top w:val="nil"/>
              <w:left w:val="nil"/>
              <w:bottom w:val="single" w:sz="4" w:space="0" w:color="365F91"/>
              <w:right w:val="nil"/>
            </w:tcBorders>
            <w:noWrap/>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378.7</w:t>
            </w:r>
          </w:p>
        </w:tc>
        <w:tc>
          <w:tcPr>
            <w:tcW w:w="1035" w:type="dxa"/>
            <w:tcBorders>
              <w:top w:val="nil"/>
              <w:left w:val="nil"/>
              <w:bottom w:val="single" w:sz="4" w:space="0" w:color="365F91"/>
              <w:right w:val="nil"/>
            </w:tcBorders>
            <w:noWrap/>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391.1</w:t>
            </w:r>
          </w:p>
        </w:tc>
        <w:tc>
          <w:tcPr>
            <w:tcW w:w="1035" w:type="dxa"/>
            <w:tcBorders>
              <w:top w:val="nil"/>
              <w:left w:val="nil"/>
              <w:bottom w:val="single" w:sz="4" w:space="0" w:color="365F91"/>
              <w:right w:val="nil"/>
            </w:tcBorders>
            <w:noWrap/>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402.7</w:t>
            </w:r>
          </w:p>
        </w:tc>
        <w:tc>
          <w:tcPr>
            <w:tcW w:w="1035" w:type="dxa"/>
            <w:tcBorders>
              <w:top w:val="nil"/>
              <w:left w:val="nil"/>
              <w:bottom w:val="single" w:sz="4" w:space="0" w:color="365F91"/>
              <w:right w:val="nil"/>
            </w:tcBorders>
            <w:noWrap/>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409.9</w:t>
            </w:r>
          </w:p>
        </w:tc>
        <w:tc>
          <w:tcPr>
            <w:tcW w:w="1035" w:type="dxa"/>
            <w:tcBorders>
              <w:top w:val="nil"/>
              <w:left w:val="nil"/>
              <w:bottom w:val="single" w:sz="4" w:space="0" w:color="365F91"/>
              <w:right w:val="nil"/>
            </w:tcBorders>
            <w:noWrap/>
          </w:tcPr>
          <w:p w:rsidR="006F642F" w:rsidRPr="006F642F" w:rsidRDefault="006F642F" w:rsidP="006F642F">
            <w:pPr>
              <w:cnfStyle w:val="000000000000" w:firstRow="0" w:lastRow="0" w:firstColumn="0" w:lastColumn="0" w:oddVBand="0" w:evenVBand="0" w:oddHBand="0" w:evenHBand="0" w:firstRowFirstColumn="0" w:firstRowLastColumn="0" w:lastRowFirstColumn="0" w:lastRowLastColumn="0"/>
            </w:pPr>
            <w:r w:rsidRPr="006F642F">
              <w:t>417.8</w:t>
            </w:r>
          </w:p>
        </w:tc>
      </w:tr>
    </w:tbl>
    <w:bookmarkEnd w:id="19"/>
    <w:p w:rsidR="00682FED" w:rsidRPr="00682FED" w:rsidRDefault="00682FED" w:rsidP="00682FED">
      <w:pPr>
        <w:pStyle w:val="AERtablesource"/>
        <w:rPr>
          <w:rFonts w:eastAsia="Calibri"/>
        </w:rPr>
      </w:pPr>
      <w:r w:rsidRPr="00682FED">
        <w:rPr>
          <w:rFonts w:eastAsia="Calibri"/>
        </w:rPr>
        <w:t xml:space="preserve">Source: </w:t>
      </w:r>
      <w:r w:rsidRPr="00682FED">
        <w:rPr>
          <w:rFonts w:eastAsia="Calibri"/>
        </w:rPr>
        <w:tab/>
        <w:t>AER analysis.</w:t>
      </w:r>
    </w:p>
    <w:p w:rsidR="00682FED" w:rsidRDefault="00682FED" w:rsidP="00682FED">
      <w:pPr>
        <w:pStyle w:val="Heading2"/>
      </w:pPr>
      <w:bookmarkStart w:id="20" w:name="_Toc436040725"/>
      <w:bookmarkStart w:id="21" w:name="_Toc451759141"/>
      <w:r>
        <w:t xml:space="preserve">ActewAGL’s </w:t>
      </w:r>
      <w:r w:rsidR="007A10C5">
        <w:t xml:space="preserve">revised </w:t>
      </w:r>
      <w:r>
        <w:t>proposal</w:t>
      </w:r>
      <w:bookmarkEnd w:id="20"/>
      <w:bookmarkEnd w:id="21"/>
    </w:p>
    <w:p w:rsidR="00682FED" w:rsidRDefault="00682FED" w:rsidP="00682FED">
      <w:r>
        <w:t>ActewAGL</w:t>
      </w:r>
      <w:r w:rsidR="002F4133">
        <w:t>'s revised proposal submitted an</w:t>
      </w:r>
      <w:r>
        <w:t xml:space="preserve"> opening capital base as at 1 July 2015 of $33</w:t>
      </w:r>
      <w:r w:rsidR="00316964">
        <w:t>8.1</w:t>
      </w:r>
      <w:r>
        <w:t xml:space="preserve"> million ($nominal). </w:t>
      </w:r>
      <w:r w:rsidR="000728BC">
        <w:t xml:space="preserve">ActewAGL adopted our draft decision to reverse the adjustment it made to the </w:t>
      </w:r>
      <w:r w:rsidR="000728BC" w:rsidRPr="000728BC">
        <w:t>opening capital base as at 1 July 2015 for the ‘IT systems’ asset class</w:t>
      </w:r>
      <w:r w:rsidR="000728BC">
        <w:t xml:space="preserve">. </w:t>
      </w:r>
      <w:r w:rsidR="007A4D17">
        <w:t>ActewAGL also updated its capital base roll forward for 2014–15 actual capex</w:t>
      </w:r>
      <w:r w:rsidR="00A45717">
        <w:t xml:space="preserve"> and corrected an error in its RFM for the reported allocation of actual capex between </w:t>
      </w:r>
      <w:r w:rsidR="0063188B">
        <w:t>the 'contract meters' and 'tariff meters'</w:t>
      </w:r>
      <w:r w:rsidR="00A45717">
        <w:t xml:space="preserve"> asset class</w:t>
      </w:r>
      <w:r w:rsidR="00DA2065">
        <w:t>es</w:t>
      </w:r>
      <w:r w:rsidR="007A4D17">
        <w:t>.</w:t>
      </w:r>
      <w:r w:rsidR="0063188B">
        <w:rPr>
          <w:rStyle w:val="FootnoteReference"/>
        </w:rPr>
        <w:footnoteReference w:id="4"/>
      </w:r>
      <w:r w:rsidR="007A4D17">
        <w:t xml:space="preserve"> </w:t>
      </w:r>
      <w:r>
        <w:t xml:space="preserve">ActewAGL’s </w:t>
      </w:r>
      <w:r w:rsidR="00E439ED">
        <w:t xml:space="preserve">revised </w:t>
      </w:r>
      <w:r>
        <w:t xml:space="preserve">proposed capital base roll forward during the 2010–15 access arrangement </w:t>
      </w:r>
      <w:proofErr w:type="gramStart"/>
      <w:r>
        <w:t>period</w:t>
      </w:r>
      <w:proofErr w:type="gramEnd"/>
      <w:r>
        <w:t xml:space="preserve"> is shown in </w:t>
      </w:r>
      <w:r>
        <w:fldChar w:fldCharType="begin"/>
      </w:r>
      <w:r>
        <w:instrText xml:space="preserve"> REF  _Ref398274257 \* Lower \h  \* MERGEFORMAT </w:instrText>
      </w:r>
      <w:r>
        <w:fldChar w:fldCharType="separate"/>
      </w:r>
      <w:r w:rsidR="00B23396">
        <w:t>table 2.3</w:t>
      </w:r>
      <w:r>
        <w:fldChar w:fldCharType="end"/>
      </w:r>
      <w:r>
        <w:t>.</w:t>
      </w:r>
    </w:p>
    <w:p w:rsidR="00682FED" w:rsidRDefault="00682FED" w:rsidP="00682FED">
      <w:pPr>
        <w:pStyle w:val="Caption"/>
      </w:pPr>
      <w:bookmarkStart w:id="22" w:name="_Ref398274257"/>
      <w:bookmarkStart w:id="23" w:name="_Ref398274250"/>
      <w:proofErr w:type="gramStart"/>
      <w:r>
        <w:t xml:space="preserve">Table </w:t>
      </w:r>
      <w:proofErr w:type="gramEnd"/>
      <w:r w:rsidRPr="00682FED">
        <w:fldChar w:fldCharType="begin"/>
      </w:r>
      <w:r>
        <w:instrText xml:space="preserve"> STYLEREF 1 \s </w:instrText>
      </w:r>
      <w:r w:rsidRPr="00682FED">
        <w:fldChar w:fldCharType="separate"/>
      </w:r>
      <w:r w:rsidR="00B23396">
        <w:rPr>
          <w:noProof/>
        </w:rPr>
        <w:t>2</w:t>
      </w:r>
      <w:r w:rsidRPr="00682FED">
        <w:fldChar w:fldCharType="end"/>
      </w:r>
      <w:proofErr w:type="gramStart"/>
      <w:r>
        <w:t>.</w:t>
      </w:r>
      <w:proofErr w:type="gramEnd"/>
      <w:r w:rsidRPr="00682FED">
        <w:fldChar w:fldCharType="begin"/>
      </w:r>
      <w:r>
        <w:instrText xml:space="preserve"> SEQ Table \* ARABIC \s 1 </w:instrText>
      </w:r>
      <w:r w:rsidRPr="00682FED">
        <w:fldChar w:fldCharType="separate"/>
      </w:r>
      <w:r w:rsidR="00B23396">
        <w:rPr>
          <w:noProof/>
        </w:rPr>
        <w:t>3</w:t>
      </w:r>
      <w:r w:rsidRPr="00682FED">
        <w:fldChar w:fldCharType="end"/>
      </w:r>
      <w:bookmarkEnd w:id="22"/>
      <w:r>
        <w:tab/>
        <w:t xml:space="preserve">ActewAGL's </w:t>
      </w:r>
      <w:r w:rsidR="00E439ED">
        <w:t xml:space="preserve">revised </w:t>
      </w:r>
      <w:r>
        <w:t>proposed capital base roll forward during the 2010–15 access arrangement period ($million, nominal)</w:t>
      </w:r>
      <w:bookmarkEnd w:id="23"/>
    </w:p>
    <w:tbl>
      <w:tblPr>
        <w:tblStyle w:val="AERtable-numbers"/>
        <w:tblW w:w="8739" w:type="dxa"/>
        <w:tblLayout w:type="fixed"/>
        <w:tblLook w:val="04A0" w:firstRow="1" w:lastRow="0" w:firstColumn="1" w:lastColumn="0" w:noHBand="0" w:noVBand="1"/>
      </w:tblPr>
      <w:tblGrid>
        <w:gridCol w:w="3652"/>
        <w:gridCol w:w="1017"/>
        <w:gridCol w:w="1017"/>
        <w:gridCol w:w="1018"/>
        <w:gridCol w:w="1017"/>
        <w:gridCol w:w="1018"/>
      </w:tblGrid>
      <w:tr w:rsidR="00682FED" w:rsidRPr="00A45717" w:rsidTr="002939C7">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82FED" w:rsidRPr="008B48D8" w:rsidRDefault="00682FED" w:rsidP="008B48D8"/>
        </w:tc>
        <w:tc>
          <w:tcPr>
            <w:tcW w:w="1017" w:type="dxa"/>
            <w:tcBorders>
              <w:top w:val="nil"/>
              <w:left w:val="nil"/>
              <w:bottom w:val="nil"/>
              <w:right w:val="nil"/>
            </w:tcBorders>
            <w:hideMark/>
          </w:tcPr>
          <w:p w:rsidR="00682FED" w:rsidRPr="008B48D8" w:rsidRDefault="00682FED" w:rsidP="008B48D8">
            <w:pPr>
              <w:cnfStyle w:val="100000000000" w:firstRow="1" w:lastRow="0" w:firstColumn="0" w:lastColumn="0" w:oddVBand="0" w:evenVBand="0" w:oddHBand="0" w:evenHBand="0" w:firstRowFirstColumn="0" w:firstRowLastColumn="0" w:lastRowFirstColumn="0" w:lastRowLastColumn="0"/>
            </w:pPr>
            <w:r w:rsidRPr="008B48D8">
              <w:t>2010–11</w:t>
            </w:r>
          </w:p>
        </w:tc>
        <w:tc>
          <w:tcPr>
            <w:tcW w:w="1017" w:type="dxa"/>
            <w:tcBorders>
              <w:top w:val="nil"/>
              <w:left w:val="nil"/>
              <w:bottom w:val="nil"/>
              <w:right w:val="nil"/>
            </w:tcBorders>
            <w:hideMark/>
          </w:tcPr>
          <w:p w:rsidR="00682FED" w:rsidRPr="00FC479A" w:rsidRDefault="00682FED" w:rsidP="00FC479A">
            <w:pPr>
              <w:cnfStyle w:val="100000000000" w:firstRow="1" w:lastRow="0" w:firstColumn="0" w:lastColumn="0" w:oddVBand="0" w:evenVBand="0" w:oddHBand="0" w:evenHBand="0" w:firstRowFirstColumn="0" w:firstRowLastColumn="0" w:lastRowFirstColumn="0" w:lastRowLastColumn="0"/>
            </w:pPr>
            <w:r w:rsidRPr="00FC479A">
              <w:t>2011–12</w:t>
            </w:r>
          </w:p>
        </w:tc>
        <w:tc>
          <w:tcPr>
            <w:tcW w:w="1018" w:type="dxa"/>
            <w:tcBorders>
              <w:top w:val="nil"/>
              <w:left w:val="nil"/>
              <w:bottom w:val="nil"/>
              <w:right w:val="nil"/>
            </w:tcBorders>
            <w:hideMark/>
          </w:tcPr>
          <w:p w:rsidR="00682FED" w:rsidRPr="00E26914" w:rsidRDefault="00682FED" w:rsidP="00E26914">
            <w:pPr>
              <w:cnfStyle w:val="100000000000" w:firstRow="1" w:lastRow="0" w:firstColumn="0" w:lastColumn="0" w:oddVBand="0" w:evenVBand="0" w:oddHBand="0" w:evenHBand="0" w:firstRowFirstColumn="0" w:firstRowLastColumn="0" w:lastRowFirstColumn="0" w:lastRowLastColumn="0"/>
            </w:pPr>
            <w:r w:rsidRPr="00E26914">
              <w:t>2012–13</w:t>
            </w:r>
          </w:p>
        </w:tc>
        <w:tc>
          <w:tcPr>
            <w:tcW w:w="1017" w:type="dxa"/>
            <w:tcBorders>
              <w:top w:val="nil"/>
              <w:left w:val="nil"/>
              <w:bottom w:val="nil"/>
              <w:right w:val="nil"/>
            </w:tcBorders>
            <w:hideMark/>
          </w:tcPr>
          <w:p w:rsidR="00682FED" w:rsidRPr="00E26914" w:rsidRDefault="00682FED" w:rsidP="00E26914">
            <w:pPr>
              <w:cnfStyle w:val="100000000000" w:firstRow="1" w:lastRow="0" w:firstColumn="0" w:lastColumn="0" w:oddVBand="0" w:evenVBand="0" w:oddHBand="0" w:evenHBand="0" w:firstRowFirstColumn="0" w:firstRowLastColumn="0" w:lastRowFirstColumn="0" w:lastRowLastColumn="0"/>
            </w:pPr>
            <w:r w:rsidRPr="00E26914">
              <w:t>2013–14</w:t>
            </w:r>
          </w:p>
        </w:tc>
        <w:tc>
          <w:tcPr>
            <w:tcW w:w="1018" w:type="dxa"/>
            <w:tcBorders>
              <w:top w:val="nil"/>
              <w:left w:val="nil"/>
              <w:bottom w:val="nil"/>
              <w:right w:val="nil"/>
            </w:tcBorders>
            <w:hideMark/>
          </w:tcPr>
          <w:p w:rsidR="00682FED" w:rsidRPr="00E26914" w:rsidRDefault="00682FED" w:rsidP="00E26914">
            <w:pPr>
              <w:cnfStyle w:val="100000000000" w:firstRow="1" w:lastRow="0" w:firstColumn="0" w:lastColumn="0" w:oddVBand="0" w:evenVBand="0" w:oddHBand="0" w:evenHBand="0" w:firstRowFirstColumn="0" w:firstRowLastColumn="0" w:lastRowFirstColumn="0" w:lastRowLastColumn="0"/>
            </w:pPr>
            <w:r w:rsidRPr="00E26914">
              <w:t>2014–15</w:t>
            </w:r>
          </w:p>
        </w:tc>
      </w:tr>
      <w:tr w:rsidR="00682FED" w:rsidRPr="008B48D8" w:rsidTr="002939C7">
        <w:trPr>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82FED" w:rsidRPr="00A45717" w:rsidRDefault="00682FED" w:rsidP="008B48D8">
            <w:r w:rsidRPr="00A45717">
              <w:t>Opening capital base</w:t>
            </w:r>
          </w:p>
        </w:tc>
        <w:tc>
          <w:tcPr>
            <w:tcW w:w="1017" w:type="dxa"/>
            <w:tcBorders>
              <w:top w:val="nil"/>
              <w:left w:val="nil"/>
              <w:bottom w:val="nil"/>
              <w:right w:val="nil"/>
            </w:tcBorders>
            <w:hideMark/>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pPr>
            <w:r w:rsidRPr="008B48D8">
              <w:t>278.1</w:t>
            </w:r>
          </w:p>
        </w:tc>
        <w:tc>
          <w:tcPr>
            <w:tcW w:w="1017" w:type="dxa"/>
            <w:tcBorders>
              <w:top w:val="nil"/>
              <w:left w:val="nil"/>
              <w:bottom w:val="nil"/>
              <w:right w:val="nil"/>
            </w:tcBorders>
            <w:hideMark/>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pPr>
            <w:r w:rsidRPr="008B48D8">
              <w:t>288.6</w:t>
            </w:r>
          </w:p>
        </w:tc>
        <w:tc>
          <w:tcPr>
            <w:tcW w:w="1018" w:type="dxa"/>
            <w:tcBorders>
              <w:top w:val="nil"/>
              <w:left w:val="nil"/>
              <w:bottom w:val="nil"/>
              <w:right w:val="nil"/>
            </w:tcBorders>
            <w:hideMark/>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pPr>
            <w:r w:rsidRPr="008B48D8">
              <w:t>302.2</w:t>
            </w:r>
          </w:p>
        </w:tc>
        <w:tc>
          <w:tcPr>
            <w:tcW w:w="1017" w:type="dxa"/>
            <w:tcBorders>
              <w:top w:val="nil"/>
              <w:left w:val="nil"/>
              <w:bottom w:val="nil"/>
              <w:right w:val="nil"/>
            </w:tcBorders>
            <w:hideMark/>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pPr>
            <w:r w:rsidRPr="008B48D8">
              <w:t>313.8</w:t>
            </w:r>
          </w:p>
        </w:tc>
        <w:tc>
          <w:tcPr>
            <w:tcW w:w="1018" w:type="dxa"/>
            <w:tcBorders>
              <w:top w:val="nil"/>
              <w:left w:val="nil"/>
              <w:bottom w:val="nil"/>
              <w:right w:val="nil"/>
            </w:tcBorders>
            <w:hideMark/>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pPr>
            <w:r w:rsidRPr="008B48D8">
              <w:t>326.9</w:t>
            </w:r>
          </w:p>
        </w:tc>
      </w:tr>
      <w:tr w:rsidR="00682FED" w:rsidRPr="008B48D8" w:rsidTr="002939C7">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82FED" w:rsidRPr="008B48D8" w:rsidRDefault="00682FED" w:rsidP="008B48D8">
            <w:r w:rsidRPr="008B48D8">
              <w:t xml:space="preserve">Net capex </w:t>
            </w:r>
          </w:p>
        </w:tc>
        <w:tc>
          <w:tcPr>
            <w:tcW w:w="1017" w:type="dxa"/>
            <w:tcBorders>
              <w:top w:val="nil"/>
              <w:left w:val="nil"/>
              <w:bottom w:val="nil"/>
              <w:right w:val="nil"/>
            </w:tcBorders>
            <w:hideMark/>
          </w:tcPr>
          <w:p w:rsidR="00682FED" w:rsidRPr="008B48D8" w:rsidRDefault="00682FED" w:rsidP="008B48D8">
            <w:pPr>
              <w:cnfStyle w:val="000000010000" w:firstRow="0" w:lastRow="0" w:firstColumn="0" w:lastColumn="0" w:oddVBand="0" w:evenVBand="0" w:oddHBand="0" w:evenHBand="1" w:firstRowFirstColumn="0" w:firstRowLastColumn="0" w:lastRowFirstColumn="0" w:lastRowLastColumn="0"/>
            </w:pPr>
            <w:r w:rsidRPr="008B48D8">
              <w:t>12.0</w:t>
            </w:r>
          </w:p>
        </w:tc>
        <w:tc>
          <w:tcPr>
            <w:tcW w:w="1017" w:type="dxa"/>
            <w:tcBorders>
              <w:top w:val="nil"/>
              <w:left w:val="nil"/>
              <w:bottom w:val="nil"/>
              <w:right w:val="nil"/>
            </w:tcBorders>
            <w:hideMark/>
          </w:tcPr>
          <w:p w:rsidR="00682FED" w:rsidRPr="008B48D8" w:rsidRDefault="00682FED" w:rsidP="008B48D8">
            <w:pPr>
              <w:cnfStyle w:val="000000010000" w:firstRow="0" w:lastRow="0" w:firstColumn="0" w:lastColumn="0" w:oddVBand="0" w:evenVBand="0" w:oddHBand="0" w:evenHBand="1" w:firstRowFirstColumn="0" w:firstRowLastColumn="0" w:lastRowFirstColumn="0" w:lastRowLastColumn="0"/>
            </w:pPr>
            <w:r w:rsidRPr="008B48D8">
              <w:t>15.0</w:t>
            </w:r>
          </w:p>
        </w:tc>
        <w:tc>
          <w:tcPr>
            <w:tcW w:w="1018" w:type="dxa"/>
            <w:tcBorders>
              <w:top w:val="nil"/>
              <w:left w:val="nil"/>
              <w:bottom w:val="nil"/>
              <w:right w:val="nil"/>
            </w:tcBorders>
            <w:hideMark/>
          </w:tcPr>
          <w:p w:rsidR="00682FED" w:rsidRPr="008B48D8" w:rsidRDefault="00682FED" w:rsidP="008B48D8">
            <w:pPr>
              <w:cnfStyle w:val="000000010000" w:firstRow="0" w:lastRow="0" w:firstColumn="0" w:lastColumn="0" w:oddVBand="0" w:evenVBand="0" w:oddHBand="0" w:evenHBand="1" w:firstRowFirstColumn="0" w:firstRowLastColumn="0" w:lastRowFirstColumn="0" w:lastRowLastColumn="0"/>
            </w:pPr>
            <w:r w:rsidRPr="008B48D8">
              <w:t>18.7</w:t>
            </w:r>
          </w:p>
        </w:tc>
        <w:tc>
          <w:tcPr>
            <w:tcW w:w="1017" w:type="dxa"/>
            <w:tcBorders>
              <w:top w:val="nil"/>
              <w:left w:val="nil"/>
              <w:bottom w:val="nil"/>
              <w:right w:val="nil"/>
            </w:tcBorders>
            <w:hideMark/>
          </w:tcPr>
          <w:p w:rsidR="00682FED" w:rsidRPr="008B48D8" w:rsidRDefault="00682FED" w:rsidP="008B48D8">
            <w:pPr>
              <w:cnfStyle w:val="000000010000" w:firstRow="0" w:lastRow="0" w:firstColumn="0" w:lastColumn="0" w:oddVBand="0" w:evenVBand="0" w:oddHBand="0" w:evenHBand="1" w:firstRowFirstColumn="0" w:firstRowLastColumn="0" w:lastRowFirstColumn="0" w:lastRowLastColumn="0"/>
            </w:pPr>
            <w:r w:rsidRPr="008B48D8">
              <w:t>18.6</w:t>
            </w:r>
          </w:p>
        </w:tc>
        <w:tc>
          <w:tcPr>
            <w:tcW w:w="1018" w:type="dxa"/>
            <w:tcBorders>
              <w:top w:val="nil"/>
              <w:left w:val="nil"/>
              <w:bottom w:val="nil"/>
              <w:right w:val="nil"/>
            </w:tcBorders>
            <w:hideMark/>
          </w:tcPr>
          <w:p w:rsidR="00682FED" w:rsidRPr="008B48D8" w:rsidRDefault="00682FED" w:rsidP="008B48D8">
            <w:pPr>
              <w:cnfStyle w:val="000000010000" w:firstRow="0" w:lastRow="0" w:firstColumn="0" w:lastColumn="0" w:oddVBand="0" w:evenVBand="0" w:oddHBand="0" w:evenHBand="1" w:firstRowFirstColumn="0" w:firstRowLastColumn="0" w:lastRowFirstColumn="0" w:lastRowLastColumn="0"/>
            </w:pPr>
            <w:r w:rsidRPr="008B48D8">
              <w:t>24.</w:t>
            </w:r>
            <w:r w:rsidR="002F02AB" w:rsidRPr="008B48D8">
              <w:t>3</w:t>
            </w:r>
          </w:p>
        </w:tc>
      </w:tr>
      <w:tr w:rsidR="00682FED" w:rsidRPr="008B48D8" w:rsidTr="002939C7">
        <w:trPr>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82FED" w:rsidRPr="008B48D8" w:rsidRDefault="00682FED" w:rsidP="008B48D8">
            <w:r w:rsidRPr="008B48D8">
              <w:t xml:space="preserve">Indexation of capital base </w:t>
            </w:r>
          </w:p>
        </w:tc>
        <w:tc>
          <w:tcPr>
            <w:tcW w:w="1017" w:type="dxa"/>
            <w:tcBorders>
              <w:top w:val="nil"/>
              <w:left w:val="nil"/>
              <w:bottom w:val="nil"/>
              <w:right w:val="nil"/>
            </w:tcBorders>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pPr>
            <w:r w:rsidRPr="008B48D8">
              <w:t>7.9</w:t>
            </w:r>
          </w:p>
        </w:tc>
        <w:tc>
          <w:tcPr>
            <w:tcW w:w="1017" w:type="dxa"/>
            <w:tcBorders>
              <w:top w:val="nil"/>
              <w:left w:val="nil"/>
              <w:bottom w:val="nil"/>
              <w:right w:val="nil"/>
            </w:tcBorders>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pPr>
            <w:r w:rsidRPr="008B48D8">
              <w:t>9.8</w:t>
            </w:r>
          </w:p>
        </w:tc>
        <w:tc>
          <w:tcPr>
            <w:tcW w:w="1018" w:type="dxa"/>
            <w:tcBorders>
              <w:top w:val="nil"/>
              <w:left w:val="nil"/>
              <w:bottom w:val="nil"/>
              <w:right w:val="nil"/>
            </w:tcBorders>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pPr>
            <w:r w:rsidRPr="008B48D8">
              <w:t>5.3</w:t>
            </w:r>
          </w:p>
        </w:tc>
        <w:tc>
          <w:tcPr>
            <w:tcW w:w="1017" w:type="dxa"/>
            <w:tcBorders>
              <w:top w:val="nil"/>
              <w:left w:val="nil"/>
              <w:bottom w:val="nil"/>
              <w:right w:val="nil"/>
            </w:tcBorders>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pPr>
            <w:r w:rsidRPr="008B48D8">
              <w:t>7.7</w:t>
            </w:r>
          </w:p>
        </w:tc>
        <w:tc>
          <w:tcPr>
            <w:tcW w:w="1018" w:type="dxa"/>
            <w:tcBorders>
              <w:top w:val="nil"/>
              <w:left w:val="nil"/>
              <w:bottom w:val="nil"/>
              <w:right w:val="nil"/>
            </w:tcBorders>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pPr>
            <w:r w:rsidRPr="008B48D8">
              <w:t>8.1</w:t>
            </w:r>
          </w:p>
        </w:tc>
      </w:tr>
      <w:tr w:rsidR="00682FED" w:rsidRPr="008B48D8" w:rsidTr="002939C7">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82FED" w:rsidRPr="008B48D8" w:rsidRDefault="00682FED" w:rsidP="008B48D8">
            <w:r w:rsidRPr="008B48D8">
              <w:t xml:space="preserve">Depreciation </w:t>
            </w:r>
          </w:p>
        </w:tc>
        <w:tc>
          <w:tcPr>
            <w:tcW w:w="1017" w:type="dxa"/>
            <w:tcBorders>
              <w:top w:val="nil"/>
              <w:left w:val="nil"/>
              <w:bottom w:val="nil"/>
              <w:right w:val="nil"/>
            </w:tcBorders>
          </w:tcPr>
          <w:p w:rsidR="00682FED" w:rsidRPr="008B48D8" w:rsidRDefault="00682FED" w:rsidP="008B48D8">
            <w:pPr>
              <w:cnfStyle w:val="000000010000" w:firstRow="0" w:lastRow="0" w:firstColumn="0" w:lastColumn="0" w:oddVBand="0" w:evenVBand="0" w:oddHBand="0" w:evenHBand="1" w:firstRowFirstColumn="0" w:firstRowLastColumn="0" w:lastRowFirstColumn="0" w:lastRowLastColumn="0"/>
            </w:pPr>
            <w:r w:rsidRPr="008B48D8">
              <w:t>–9.4</w:t>
            </w:r>
          </w:p>
        </w:tc>
        <w:tc>
          <w:tcPr>
            <w:tcW w:w="1017" w:type="dxa"/>
            <w:tcBorders>
              <w:top w:val="nil"/>
              <w:left w:val="nil"/>
              <w:bottom w:val="nil"/>
              <w:right w:val="nil"/>
            </w:tcBorders>
          </w:tcPr>
          <w:p w:rsidR="00682FED" w:rsidRPr="008B48D8" w:rsidRDefault="00682FED" w:rsidP="008B48D8">
            <w:pPr>
              <w:cnfStyle w:val="000000010000" w:firstRow="0" w:lastRow="0" w:firstColumn="0" w:lastColumn="0" w:oddVBand="0" w:evenVBand="0" w:oddHBand="0" w:evenHBand="1" w:firstRowFirstColumn="0" w:firstRowLastColumn="0" w:lastRowFirstColumn="0" w:lastRowLastColumn="0"/>
            </w:pPr>
            <w:r w:rsidRPr="008B48D8">
              <w:t>–11.2</w:t>
            </w:r>
          </w:p>
        </w:tc>
        <w:tc>
          <w:tcPr>
            <w:tcW w:w="1018" w:type="dxa"/>
            <w:tcBorders>
              <w:top w:val="nil"/>
              <w:left w:val="nil"/>
              <w:bottom w:val="nil"/>
              <w:right w:val="nil"/>
            </w:tcBorders>
          </w:tcPr>
          <w:p w:rsidR="00682FED" w:rsidRPr="008B48D8" w:rsidRDefault="00682FED" w:rsidP="008B48D8">
            <w:pPr>
              <w:cnfStyle w:val="000000010000" w:firstRow="0" w:lastRow="0" w:firstColumn="0" w:lastColumn="0" w:oddVBand="0" w:evenVBand="0" w:oddHBand="0" w:evenHBand="1" w:firstRowFirstColumn="0" w:firstRowLastColumn="0" w:lastRowFirstColumn="0" w:lastRowLastColumn="0"/>
            </w:pPr>
            <w:r w:rsidRPr="008B48D8">
              <w:t>–12.5</w:t>
            </w:r>
          </w:p>
        </w:tc>
        <w:tc>
          <w:tcPr>
            <w:tcW w:w="1017" w:type="dxa"/>
            <w:tcBorders>
              <w:top w:val="nil"/>
              <w:left w:val="nil"/>
              <w:bottom w:val="nil"/>
              <w:right w:val="nil"/>
            </w:tcBorders>
          </w:tcPr>
          <w:p w:rsidR="00682FED" w:rsidRPr="008B48D8" w:rsidRDefault="00682FED" w:rsidP="008B48D8">
            <w:pPr>
              <w:cnfStyle w:val="000000010000" w:firstRow="0" w:lastRow="0" w:firstColumn="0" w:lastColumn="0" w:oddVBand="0" w:evenVBand="0" w:oddHBand="0" w:evenHBand="1" w:firstRowFirstColumn="0" w:firstRowLastColumn="0" w:lastRowFirstColumn="0" w:lastRowLastColumn="0"/>
            </w:pPr>
            <w:r w:rsidRPr="008B48D8">
              <w:t>–13.2</w:t>
            </w:r>
          </w:p>
        </w:tc>
        <w:tc>
          <w:tcPr>
            <w:tcW w:w="1018" w:type="dxa"/>
            <w:tcBorders>
              <w:top w:val="nil"/>
              <w:left w:val="nil"/>
              <w:bottom w:val="nil"/>
              <w:right w:val="nil"/>
            </w:tcBorders>
          </w:tcPr>
          <w:p w:rsidR="00682FED" w:rsidRPr="008B48D8" w:rsidRDefault="00682FED" w:rsidP="008B48D8">
            <w:pPr>
              <w:cnfStyle w:val="000000010000" w:firstRow="0" w:lastRow="0" w:firstColumn="0" w:lastColumn="0" w:oddVBand="0" w:evenVBand="0" w:oddHBand="0" w:evenHBand="1" w:firstRowFirstColumn="0" w:firstRowLastColumn="0" w:lastRowFirstColumn="0" w:lastRowLastColumn="0"/>
            </w:pPr>
            <w:r w:rsidRPr="008B48D8">
              <w:t>–13.7</w:t>
            </w:r>
          </w:p>
        </w:tc>
      </w:tr>
      <w:tr w:rsidR="00682FED" w:rsidRPr="008B48D8" w:rsidTr="002939C7">
        <w:trPr>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82FED" w:rsidRPr="008B48D8" w:rsidRDefault="00682FED" w:rsidP="008B48D8">
            <w:r w:rsidRPr="008B48D8">
              <w:t>Closing capital base</w:t>
            </w:r>
          </w:p>
        </w:tc>
        <w:tc>
          <w:tcPr>
            <w:tcW w:w="1017" w:type="dxa"/>
            <w:tcBorders>
              <w:top w:val="nil"/>
              <w:left w:val="nil"/>
              <w:bottom w:val="nil"/>
              <w:right w:val="nil"/>
            </w:tcBorders>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pPr>
            <w:r w:rsidRPr="008B48D8">
              <w:t>288.6</w:t>
            </w:r>
          </w:p>
        </w:tc>
        <w:tc>
          <w:tcPr>
            <w:tcW w:w="1017" w:type="dxa"/>
            <w:tcBorders>
              <w:top w:val="nil"/>
              <w:left w:val="nil"/>
              <w:bottom w:val="nil"/>
              <w:right w:val="nil"/>
            </w:tcBorders>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pPr>
            <w:r w:rsidRPr="008B48D8">
              <w:t>302.2</w:t>
            </w:r>
          </w:p>
        </w:tc>
        <w:tc>
          <w:tcPr>
            <w:tcW w:w="1018" w:type="dxa"/>
            <w:tcBorders>
              <w:top w:val="nil"/>
              <w:left w:val="nil"/>
              <w:bottom w:val="nil"/>
              <w:right w:val="nil"/>
            </w:tcBorders>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pPr>
            <w:r w:rsidRPr="008B48D8">
              <w:t>313.8</w:t>
            </w:r>
          </w:p>
        </w:tc>
        <w:tc>
          <w:tcPr>
            <w:tcW w:w="1017" w:type="dxa"/>
            <w:tcBorders>
              <w:top w:val="nil"/>
              <w:left w:val="nil"/>
              <w:bottom w:val="nil"/>
              <w:right w:val="nil"/>
            </w:tcBorders>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pPr>
            <w:r w:rsidRPr="008B48D8">
              <w:t>326.9</w:t>
            </w:r>
          </w:p>
        </w:tc>
        <w:tc>
          <w:tcPr>
            <w:tcW w:w="1018" w:type="dxa"/>
            <w:tcBorders>
              <w:top w:val="nil"/>
              <w:left w:val="nil"/>
              <w:bottom w:val="nil"/>
              <w:right w:val="nil"/>
            </w:tcBorders>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pPr>
            <w:r w:rsidRPr="008B48D8">
              <w:t>346.</w:t>
            </w:r>
            <w:r w:rsidR="002F02AB" w:rsidRPr="008B48D8">
              <w:t>0</w:t>
            </w:r>
          </w:p>
        </w:tc>
      </w:tr>
      <w:tr w:rsidR="00682FED" w:rsidRPr="008B48D8" w:rsidTr="002939C7">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82FED" w:rsidRPr="008B48D8" w:rsidRDefault="00682FED" w:rsidP="008B48D8">
            <w:r w:rsidRPr="008B48D8">
              <w:t xml:space="preserve">Adjustment for 2009–10 </w:t>
            </w:r>
            <w:proofErr w:type="spellStart"/>
            <w:r w:rsidRPr="008B48D8">
              <w:t>capex</w:t>
            </w:r>
            <w:r w:rsidRPr="008B48D8">
              <w:rPr>
                <w:rStyle w:val="AERsuperscript"/>
              </w:rPr>
              <w:t>a</w:t>
            </w:r>
            <w:proofErr w:type="spellEnd"/>
          </w:p>
        </w:tc>
        <w:tc>
          <w:tcPr>
            <w:tcW w:w="1017" w:type="dxa"/>
            <w:tcBorders>
              <w:top w:val="nil"/>
              <w:left w:val="nil"/>
              <w:bottom w:val="nil"/>
              <w:right w:val="nil"/>
            </w:tcBorders>
          </w:tcPr>
          <w:p w:rsidR="00682FED" w:rsidRPr="008B48D8" w:rsidRDefault="00682FED" w:rsidP="008B48D8">
            <w:pPr>
              <w:cnfStyle w:val="000000010000" w:firstRow="0" w:lastRow="0" w:firstColumn="0" w:lastColumn="0" w:oddVBand="0" w:evenVBand="0" w:oddHBand="0" w:evenHBand="1" w:firstRowFirstColumn="0" w:firstRowLastColumn="0" w:lastRowFirstColumn="0" w:lastRowLastColumn="0"/>
            </w:pPr>
          </w:p>
        </w:tc>
        <w:tc>
          <w:tcPr>
            <w:tcW w:w="1017" w:type="dxa"/>
            <w:tcBorders>
              <w:top w:val="nil"/>
              <w:left w:val="nil"/>
              <w:bottom w:val="nil"/>
              <w:right w:val="nil"/>
            </w:tcBorders>
          </w:tcPr>
          <w:p w:rsidR="00682FED" w:rsidRPr="008B48D8" w:rsidRDefault="00682FED" w:rsidP="008B48D8">
            <w:pPr>
              <w:cnfStyle w:val="000000010000" w:firstRow="0" w:lastRow="0" w:firstColumn="0" w:lastColumn="0" w:oddVBand="0" w:evenVBand="0" w:oddHBand="0" w:evenHBand="1" w:firstRowFirstColumn="0" w:firstRowLastColumn="0" w:lastRowFirstColumn="0" w:lastRowLastColumn="0"/>
            </w:pPr>
          </w:p>
        </w:tc>
        <w:tc>
          <w:tcPr>
            <w:tcW w:w="1018" w:type="dxa"/>
            <w:tcBorders>
              <w:top w:val="nil"/>
              <w:left w:val="nil"/>
              <w:bottom w:val="nil"/>
              <w:right w:val="nil"/>
            </w:tcBorders>
          </w:tcPr>
          <w:p w:rsidR="00682FED" w:rsidRPr="008B48D8" w:rsidRDefault="00682FED" w:rsidP="008B48D8">
            <w:pPr>
              <w:cnfStyle w:val="000000010000" w:firstRow="0" w:lastRow="0" w:firstColumn="0" w:lastColumn="0" w:oddVBand="0" w:evenVBand="0" w:oddHBand="0" w:evenHBand="1" w:firstRowFirstColumn="0" w:firstRowLastColumn="0" w:lastRowFirstColumn="0" w:lastRowLastColumn="0"/>
            </w:pPr>
          </w:p>
        </w:tc>
        <w:tc>
          <w:tcPr>
            <w:tcW w:w="1017" w:type="dxa"/>
            <w:tcBorders>
              <w:top w:val="nil"/>
              <w:left w:val="nil"/>
              <w:bottom w:val="nil"/>
              <w:right w:val="nil"/>
            </w:tcBorders>
          </w:tcPr>
          <w:p w:rsidR="00682FED" w:rsidRPr="008B48D8" w:rsidRDefault="00682FED" w:rsidP="008B48D8">
            <w:pPr>
              <w:cnfStyle w:val="000000010000" w:firstRow="0" w:lastRow="0" w:firstColumn="0" w:lastColumn="0" w:oddVBand="0" w:evenVBand="0" w:oddHBand="0" w:evenHBand="1" w:firstRowFirstColumn="0" w:firstRowLastColumn="0" w:lastRowFirstColumn="0" w:lastRowLastColumn="0"/>
            </w:pPr>
          </w:p>
        </w:tc>
        <w:tc>
          <w:tcPr>
            <w:tcW w:w="1018" w:type="dxa"/>
            <w:tcBorders>
              <w:top w:val="nil"/>
              <w:left w:val="nil"/>
              <w:bottom w:val="nil"/>
              <w:right w:val="nil"/>
            </w:tcBorders>
          </w:tcPr>
          <w:p w:rsidR="00682FED" w:rsidRPr="008B48D8" w:rsidRDefault="00682FED" w:rsidP="008B48D8">
            <w:pPr>
              <w:cnfStyle w:val="000000010000" w:firstRow="0" w:lastRow="0" w:firstColumn="0" w:lastColumn="0" w:oddVBand="0" w:evenVBand="0" w:oddHBand="0" w:evenHBand="1" w:firstRowFirstColumn="0" w:firstRowLastColumn="0" w:lastRowFirstColumn="0" w:lastRowLastColumn="0"/>
            </w:pPr>
            <w:r w:rsidRPr="008B48D8">
              <w:t>–7.5</w:t>
            </w:r>
          </w:p>
        </w:tc>
      </w:tr>
      <w:tr w:rsidR="00682FED" w:rsidRPr="008B48D8" w:rsidTr="002939C7">
        <w:trPr>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682FED" w:rsidRPr="008B48D8" w:rsidRDefault="00682FED" w:rsidP="008B48D8">
            <w:pPr>
              <w:rPr>
                <w:rStyle w:val="Strong"/>
              </w:rPr>
            </w:pPr>
            <w:r w:rsidRPr="008B48D8">
              <w:rPr>
                <w:rStyle w:val="Strong"/>
              </w:rPr>
              <w:t>Opening capital base at 1 July 2015</w:t>
            </w:r>
          </w:p>
        </w:tc>
        <w:tc>
          <w:tcPr>
            <w:tcW w:w="1017" w:type="dxa"/>
            <w:tcBorders>
              <w:top w:val="nil"/>
              <w:left w:val="nil"/>
              <w:bottom w:val="single" w:sz="4" w:space="0" w:color="365F91"/>
              <w:right w:val="nil"/>
            </w:tcBorders>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rPr>
                <w:rStyle w:val="Strong"/>
              </w:rPr>
            </w:pPr>
          </w:p>
        </w:tc>
        <w:tc>
          <w:tcPr>
            <w:tcW w:w="1017" w:type="dxa"/>
            <w:tcBorders>
              <w:top w:val="nil"/>
              <w:left w:val="nil"/>
              <w:bottom w:val="single" w:sz="4" w:space="0" w:color="365F91"/>
              <w:right w:val="nil"/>
            </w:tcBorders>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rPr>
                <w:rStyle w:val="Strong"/>
              </w:rPr>
            </w:pPr>
          </w:p>
        </w:tc>
        <w:tc>
          <w:tcPr>
            <w:tcW w:w="1018" w:type="dxa"/>
            <w:tcBorders>
              <w:top w:val="nil"/>
              <w:left w:val="nil"/>
              <w:bottom w:val="single" w:sz="4" w:space="0" w:color="365F91"/>
              <w:right w:val="nil"/>
            </w:tcBorders>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rPr>
                <w:rStyle w:val="Strong"/>
              </w:rPr>
            </w:pPr>
          </w:p>
        </w:tc>
        <w:tc>
          <w:tcPr>
            <w:tcW w:w="1017" w:type="dxa"/>
            <w:tcBorders>
              <w:top w:val="nil"/>
              <w:left w:val="nil"/>
              <w:bottom w:val="single" w:sz="4" w:space="0" w:color="365F91"/>
              <w:right w:val="nil"/>
            </w:tcBorders>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rPr>
                <w:rStyle w:val="Strong"/>
              </w:rPr>
            </w:pPr>
          </w:p>
        </w:tc>
        <w:tc>
          <w:tcPr>
            <w:tcW w:w="1018" w:type="dxa"/>
            <w:tcBorders>
              <w:top w:val="nil"/>
              <w:left w:val="nil"/>
              <w:bottom w:val="single" w:sz="4" w:space="0" w:color="365F91"/>
              <w:right w:val="nil"/>
            </w:tcBorders>
          </w:tcPr>
          <w:p w:rsidR="00682FED" w:rsidRPr="008B48D8" w:rsidRDefault="00682FED" w:rsidP="008B48D8">
            <w:pPr>
              <w:cnfStyle w:val="000000000000" w:firstRow="0" w:lastRow="0" w:firstColumn="0" w:lastColumn="0" w:oddVBand="0" w:evenVBand="0" w:oddHBand="0" w:evenHBand="0" w:firstRowFirstColumn="0" w:firstRowLastColumn="0" w:lastRowFirstColumn="0" w:lastRowLastColumn="0"/>
              <w:rPr>
                <w:rStyle w:val="Strong"/>
              </w:rPr>
            </w:pPr>
            <w:r w:rsidRPr="008B48D8">
              <w:rPr>
                <w:rStyle w:val="Strong"/>
              </w:rPr>
              <w:t>33</w:t>
            </w:r>
            <w:r w:rsidR="00CF5282" w:rsidRPr="008B48D8">
              <w:rPr>
                <w:rStyle w:val="Strong"/>
              </w:rPr>
              <w:t>8</w:t>
            </w:r>
            <w:r w:rsidRPr="008B48D8">
              <w:rPr>
                <w:rStyle w:val="Strong"/>
              </w:rPr>
              <w:t>.</w:t>
            </w:r>
            <w:r w:rsidR="00CF5282" w:rsidRPr="008B48D8">
              <w:rPr>
                <w:rStyle w:val="Strong"/>
              </w:rPr>
              <w:t>1</w:t>
            </w:r>
          </w:p>
        </w:tc>
      </w:tr>
    </w:tbl>
    <w:p w:rsidR="00682FED" w:rsidRPr="00682FED" w:rsidRDefault="00682FED">
      <w:pPr>
        <w:pStyle w:val="AERtablesource"/>
        <w:rPr>
          <w:rStyle w:val="AERtextitalic"/>
          <w:rFonts w:eastAsia="Calibri"/>
          <w:szCs w:val="20"/>
          <w:lang w:eastAsia="en-AU"/>
        </w:rPr>
      </w:pPr>
      <w:r w:rsidRPr="00682FED">
        <w:rPr>
          <w:rFonts w:eastAsia="Calibri"/>
        </w:rPr>
        <w:t xml:space="preserve">Source: </w:t>
      </w:r>
      <w:r w:rsidRPr="00682FED">
        <w:rPr>
          <w:rFonts w:eastAsia="Calibri"/>
        </w:rPr>
        <w:tab/>
        <w:t xml:space="preserve">ActewAGL, </w:t>
      </w:r>
      <w:r w:rsidR="008B48D8">
        <w:rPr>
          <w:rStyle w:val="AERtextitalic"/>
          <w:rFonts w:eastAsia="Calibri"/>
        </w:rPr>
        <w:t xml:space="preserve">Revised proposed RFM, </w:t>
      </w:r>
      <w:r w:rsidR="008B48D8" w:rsidRPr="005D6728">
        <w:rPr>
          <w:rStyle w:val="AERtextitalic"/>
          <w:rFonts w:eastAsia="Calibri"/>
          <w:i w:val="0"/>
        </w:rPr>
        <w:t>January</w:t>
      </w:r>
      <w:r w:rsidRPr="005D6728">
        <w:rPr>
          <w:rStyle w:val="AERtextitalic"/>
          <w:rFonts w:eastAsia="Calibri"/>
          <w:i w:val="0"/>
        </w:rPr>
        <w:t xml:space="preserve"> 201</w:t>
      </w:r>
      <w:r w:rsidR="008B48D8" w:rsidRPr="005D6728">
        <w:rPr>
          <w:rStyle w:val="AERtextitalic"/>
          <w:rFonts w:eastAsia="Calibri"/>
          <w:i w:val="0"/>
        </w:rPr>
        <w:t>6</w:t>
      </w:r>
      <w:r w:rsidRPr="005D6728">
        <w:rPr>
          <w:rStyle w:val="AERtextitalic"/>
          <w:rFonts w:eastAsia="Calibri"/>
          <w:i w:val="0"/>
        </w:rPr>
        <w:t>; AER analysis.</w:t>
      </w:r>
    </w:p>
    <w:p w:rsidR="00682FED" w:rsidRPr="00682FED" w:rsidRDefault="00682FED" w:rsidP="00682FED">
      <w:pPr>
        <w:pStyle w:val="AERtablesource"/>
        <w:rPr>
          <w:rFonts w:eastAsia="Calibri"/>
        </w:rPr>
      </w:pPr>
      <w:r w:rsidRPr="00682FED">
        <w:rPr>
          <w:rFonts w:eastAsia="Calibri"/>
        </w:rPr>
        <w:t>(a)</w:t>
      </w:r>
      <w:r w:rsidRPr="00682FED">
        <w:rPr>
          <w:rFonts w:eastAsia="Calibri"/>
        </w:rPr>
        <w:tab/>
        <w:t xml:space="preserve">Comprising the difference </w:t>
      </w:r>
      <w:r>
        <w:t xml:space="preserve">between the actual and estimated capex for 2009–10 </w:t>
      </w:r>
      <w:r w:rsidRPr="00682FED">
        <w:rPr>
          <w:rFonts w:eastAsia="Calibri"/>
        </w:rPr>
        <w:t xml:space="preserve">and the return on that </w:t>
      </w:r>
      <w:r>
        <w:t>difference</w:t>
      </w:r>
      <w:r w:rsidRPr="00682FED">
        <w:rPr>
          <w:rFonts w:eastAsia="Calibri"/>
        </w:rPr>
        <w:t>.</w:t>
      </w:r>
    </w:p>
    <w:p w:rsidR="00682FED" w:rsidRPr="00682FED" w:rsidRDefault="00682FED" w:rsidP="00682FED">
      <w:r w:rsidRPr="00682FED">
        <w:t xml:space="preserve">ActewAGL </w:t>
      </w:r>
      <w:r w:rsidR="006A3C8F">
        <w:t>did not adopt our draft decision on the</w:t>
      </w:r>
      <w:r w:rsidRPr="00682FED">
        <w:t xml:space="preserve"> projected closing capital base as at 30 June 2021</w:t>
      </w:r>
      <w:r w:rsidR="006A3C8F">
        <w:t>. Instead, ActewAGL's revised proposal submitted a projected closing capital base</w:t>
      </w:r>
      <w:r w:rsidRPr="00682FED">
        <w:t xml:space="preserve"> of $4</w:t>
      </w:r>
      <w:r w:rsidR="005F52F3">
        <w:t>32.7</w:t>
      </w:r>
      <w:r w:rsidRPr="00682FED">
        <w:t> million ($nominal).</w:t>
      </w:r>
      <w:r w:rsidR="006A3C8F">
        <w:t xml:space="preserve"> This value reflects its revised proposed opening capital base at 1 July 201</w:t>
      </w:r>
      <w:r w:rsidR="000728BC">
        <w:t>5</w:t>
      </w:r>
      <w:r w:rsidR="006A3C8F">
        <w:t>, forecast capex</w:t>
      </w:r>
      <w:r w:rsidR="0048005B">
        <w:t>, forecast</w:t>
      </w:r>
      <w:r w:rsidR="00CE4440">
        <w:t xml:space="preserve"> </w:t>
      </w:r>
      <w:r w:rsidR="006A3C8F">
        <w:t>depreciation</w:t>
      </w:r>
      <w:r w:rsidR="0048005B">
        <w:t xml:space="preserve"> and forecast inflation</w:t>
      </w:r>
      <w:r w:rsidR="006A3C8F">
        <w:t xml:space="preserve"> over 2015</w:t>
      </w:r>
      <w:r w:rsidR="000728BC">
        <w:t>–</w:t>
      </w:r>
      <w:r w:rsidR="006A3C8F">
        <w:t>16 and the 2016</w:t>
      </w:r>
      <w:r w:rsidR="000728BC">
        <w:t>–</w:t>
      </w:r>
      <w:r w:rsidR="006A3C8F">
        <w:t>21 access arrangement period</w:t>
      </w:r>
      <w:r w:rsidR="009321D2">
        <w:t>.</w:t>
      </w:r>
      <w:r w:rsidRPr="00682FED">
        <w:t xml:space="preserve"> The projected roll forward of the capital base during 2015–16 and the 2016–21 access arrangement </w:t>
      </w:r>
      <w:proofErr w:type="gramStart"/>
      <w:r w:rsidRPr="00682FED">
        <w:t>period</w:t>
      </w:r>
      <w:proofErr w:type="gramEnd"/>
      <w:r w:rsidRPr="00682FED">
        <w:t xml:space="preserve"> is shown in</w:t>
      </w:r>
      <w:r>
        <w:t xml:space="preserve"> </w:t>
      </w:r>
      <w:r>
        <w:fldChar w:fldCharType="begin"/>
      </w:r>
      <w:r>
        <w:instrText xml:space="preserve"> REF _Ref398219730 \h  \* MERGEFORMAT </w:instrText>
      </w:r>
      <w:r>
        <w:fldChar w:fldCharType="separate"/>
      </w:r>
      <w:r w:rsidR="00B23396">
        <w:t xml:space="preserve">Table </w:t>
      </w:r>
      <w:r w:rsidR="00B23396">
        <w:t>2</w:t>
      </w:r>
      <w:r w:rsidR="00B23396">
        <w:t>.</w:t>
      </w:r>
      <w:r w:rsidR="00B23396">
        <w:t>4</w:t>
      </w:r>
      <w:r>
        <w:fldChar w:fldCharType="end"/>
      </w:r>
      <w:r w:rsidRPr="00682FED">
        <w:t xml:space="preserve">. </w:t>
      </w:r>
    </w:p>
    <w:p w:rsidR="00682FED" w:rsidRPr="005D7122" w:rsidRDefault="00682FED" w:rsidP="002B3EFA">
      <w:pPr>
        <w:pStyle w:val="Caption"/>
      </w:pPr>
      <w:bookmarkStart w:id="24" w:name="_Ref398219730"/>
      <w:bookmarkStart w:id="25" w:name="_Ref329098245"/>
      <w:proofErr w:type="gramStart"/>
      <w:r>
        <w:t xml:space="preserve">Table </w:t>
      </w:r>
      <w:proofErr w:type="gramEnd"/>
      <w:r w:rsidRPr="00682FED">
        <w:fldChar w:fldCharType="begin"/>
      </w:r>
      <w:r>
        <w:instrText xml:space="preserve"> STYLEREF 1 \s </w:instrText>
      </w:r>
      <w:r w:rsidRPr="00682FED">
        <w:fldChar w:fldCharType="separate"/>
      </w:r>
      <w:r w:rsidR="00B23396">
        <w:rPr>
          <w:noProof/>
        </w:rPr>
        <w:t>2</w:t>
      </w:r>
      <w:r w:rsidRPr="00682FED">
        <w:fldChar w:fldCharType="end"/>
      </w:r>
      <w:proofErr w:type="gramStart"/>
      <w:r>
        <w:t>.</w:t>
      </w:r>
      <w:proofErr w:type="gramEnd"/>
      <w:r w:rsidRPr="00682FED">
        <w:fldChar w:fldCharType="begin"/>
      </w:r>
      <w:r>
        <w:instrText xml:space="preserve"> SEQ Table \* ARABIC \s 1 </w:instrText>
      </w:r>
      <w:r w:rsidRPr="00682FED">
        <w:fldChar w:fldCharType="separate"/>
      </w:r>
      <w:r w:rsidR="00B23396">
        <w:rPr>
          <w:noProof/>
        </w:rPr>
        <w:t>4</w:t>
      </w:r>
      <w:r w:rsidRPr="00682FED">
        <w:fldChar w:fldCharType="end"/>
      </w:r>
      <w:bookmarkEnd w:id="24"/>
      <w:r>
        <w:tab/>
        <w:t>ActewAGL's</w:t>
      </w:r>
      <w:r w:rsidR="00A75557">
        <w:t xml:space="preserve"> revised</w:t>
      </w:r>
      <w:r>
        <w:t xml:space="preserve"> proposed projected capital base roll forward during 2015–16 and the 2016–21 access arrangement period ($million, nominal)</w:t>
      </w:r>
      <w:bookmarkEnd w:id="25"/>
    </w:p>
    <w:tbl>
      <w:tblPr>
        <w:tblStyle w:val="AERtable-numbers"/>
        <w:tblW w:w="8558" w:type="dxa"/>
        <w:tblLayout w:type="fixed"/>
        <w:tblLook w:val="04A0" w:firstRow="1" w:lastRow="0" w:firstColumn="1" w:lastColumn="0" w:noHBand="0" w:noVBand="1"/>
      </w:tblPr>
      <w:tblGrid>
        <w:gridCol w:w="2518"/>
        <w:gridCol w:w="1006"/>
        <w:gridCol w:w="1007"/>
        <w:gridCol w:w="1007"/>
        <w:gridCol w:w="1006"/>
        <w:gridCol w:w="1007"/>
        <w:gridCol w:w="1007"/>
      </w:tblGrid>
      <w:tr w:rsidR="00682FED" w:rsidRPr="000728BC" w:rsidTr="002939C7">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hideMark/>
          </w:tcPr>
          <w:p w:rsidR="00682FED" w:rsidRPr="000728BC" w:rsidRDefault="00682FED" w:rsidP="00B23396">
            <w:pPr>
              <w:keepNext/>
            </w:pPr>
          </w:p>
        </w:tc>
        <w:tc>
          <w:tcPr>
            <w:tcW w:w="1006" w:type="dxa"/>
            <w:tcBorders>
              <w:top w:val="nil"/>
              <w:left w:val="nil"/>
              <w:bottom w:val="nil"/>
              <w:right w:val="nil"/>
            </w:tcBorders>
          </w:tcPr>
          <w:p w:rsidR="00682FED" w:rsidRPr="000728BC" w:rsidRDefault="00682FED" w:rsidP="00B23396">
            <w:pPr>
              <w:keepNext/>
              <w:cnfStyle w:val="100000000000" w:firstRow="1" w:lastRow="0" w:firstColumn="0" w:lastColumn="0" w:oddVBand="0" w:evenVBand="0" w:oddHBand="0" w:evenHBand="0" w:firstRowFirstColumn="0" w:firstRowLastColumn="0" w:lastRowFirstColumn="0" w:lastRowLastColumn="0"/>
            </w:pPr>
            <w:r w:rsidRPr="000728BC">
              <w:t>2015–16</w:t>
            </w:r>
          </w:p>
        </w:tc>
        <w:tc>
          <w:tcPr>
            <w:tcW w:w="1007" w:type="dxa"/>
            <w:tcBorders>
              <w:top w:val="nil"/>
              <w:left w:val="nil"/>
              <w:bottom w:val="nil"/>
              <w:right w:val="nil"/>
            </w:tcBorders>
            <w:hideMark/>
          </w:tcPr>
          <w:p w:rsidR="00682FED" w:rsidRPr="008E5F43" w:rsidRDefault="00682FED" w:rsidP="00B23396">
            <w:pPr>
              <w:keepNext/>
              <w:cnfStyle w:val="100000000000" w:firstRow="1" w:lastRow="0" w:firstColumn="0" w:lastColumn="0" w:oddVBand="0" w:evenVBand="0" w:oddHBand="0" w:evenHBand="0" w:firstRowFirstColumn="0" w:firstRowLastColumn="0" w:lastRowFirstColumn="0" w:lastRowLastColumn="0"/>
            </w:pPr>
            <w:r w:rsidRPr="008E5F43">
              <w:t>2016–17</w:t>
            </w:r>
          </w:p>
        </w:tc>
        <w:tc>
          <w:tcPr>
            <w:tcW w:w="1007" w:type="dxa"/>
            <w:tcBorders>
              <w:top w:val="nil"/>
              <w:left w:val="nil"/>
              <w:bottom w:val="nil"/>
              <w:right w:val="nil"/>
            </w:tcBorders>
            <w:hideMark/>
          </w:tcPr>
          <w:p w:rsidR="00682FED" w:rsidRPr="00C90254" w:rsidRDefault="00682FED" w:rsidP="00B23396">
            <w:pPr>
              <w:keepNext/>
              <w:cnfStyle w:val="100000000000" w:firstRow="1" w:lastRow="0" w:firstColumn="0" w:lastColumn="0" w:oddVBand="0" w:evenVBand="0" w:oddHBand="0" w:evenHBand="0" w:firstRowFirstColumn="0" w:firstRowLastColumn="0" w:lastRowFirstColumn="0" w:lastRowLastColumn="0"/>
            </w:pPr>
            <w:r w:rsidRPr="00C90254">
              <w:t>2017–18</w:t>
            </w:r>
          </w:p>
        </w:tc>
        <w:tc>
          <w:tcPr>
            <w:tcW w:w="1006" w:type="dxa"/>
            <w:tcBorders>
              <w:top w:val="nil"/>
              <w:left w:val="nil"/>
              <w:bottom w:val="nil"/>
              <w:right w:val="nil"/>
            </w:tcBorders>
            <w:hideMark/>
          </w:tcPr>
          <w:p w:rsidR="00682FED" w:rsidRPr="00AA5244" w:rsidRDefault="00682FED" w:rsidP="00B23396">
            <w:pPr>
              <w:keepNext/>
              <w:cnfStyle w:val="100000000000" w:firstRow="1" w:lastRow="0" w:firstColumn="0" w:lastColumn="0" w:oddVBand="0" w:evenVBand="0" w:oddHBand="0" w:evenHBand="0" w:firstRowFirstColumn="0" w:firstRowLastColumn="0" w:lastRowFirstColumn="0" w:lastRowLastColumn="0"/>
            </w:pPr>
            <w:r w:rsidRPr="00AA5244">
              <w:t>2018–19</w:t>
            </w:r>
          </w:p>
        </w:tc>
        <w:tc>
          <w:tcPr>
            <w:tcW w:w="1007" w:type="dxa"/>
            <w:tcBorders>
              <w:top w:val="nil"/>
              <w:left w:val="nil"/>
              <w:bottom w:val="nil"/>
              <w:right w:val="nil"/>
            </w:tcBorders>
            <w:hideMark/>
          </w:tcPr>
          <w:p w:rsidR="00682FED" w:rsidRPr="00AA5244" w:rsidRDefault="00682FED" w:rsidP="00B23396">
            <w:pPr>
              <w:keepNext/>
              <w:cnfStyle w:val="100000000000" w:firstRow="1" w:lastRow="0" w:firstColumn="0" w:lastColumn="0" w:oddVBand="0" w:evenVBand="0" w:oddHBand="0" w:evenHBand="0" w:firstRowFirstColumn="0" w:firstRowLastColumn="0" w:lastRowFirstColumn="0" w:lastRowLastColumn="0"/>
            </w:pPr>
            <w:r w:rsidRPr="00AA5244">
              <w:t>2019–20</w:t>
            </w:r>
          </w:p>
        </w:tc>
        <w:tc>
          <w:tcPr>
            <w:tcW w:w="1007" w:type="dxa"/>
            <w:tcBorders>
              <w:top w:val="nil"/>
              <w:left w:val="nil"/>
              <w:bottom w:val="nil"/>
              <w:right w:val="nil"/>
            </w:tcBorders>
            <w:hideMark/>
          </w:tcPr>
          <w:p w:rsidR="00682FED" w:rsidRPr="000F5B8C" w:rsidRDefault="00682FED" w:rsidP="00B23396">
            <w:pPr>
              <w:keepNext/>
              <w:cnfStyle w:val="100000000000" w:firstRow="1" w:lastRow="0" w:firstColumn="0" w:lastColumn="0" w:oddVBand="0" w:evenVBand="0" w:oddHBand="0" w:evenHBand="0" w:firstRowFirstColumn="0" w:firstRowLastColumn="0" w:lastRowFirstColumn="0" w:lastRowLastColumn="0"/>
            </w:pPr>
            <w:r w:rsidRPr="000F5B8C">
              <w:t>2020–21</w:t>
            </w:r>
          </w:p>
        </w:tc>
      </w:tr>
      <w:tr w:rsidR="00682FED" w:rsidRPr="000728BC" w:rsidTr="002939C7">
        <w:trPr>
          <w:trHeight w:val="246"/>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hideMark/>
          </w:tcPr>
          <w:p w:rsidR="00682FED" w:rsidRPr="000728BC" w:rsidRDefault="00682FED" w:rsidP="00B23396">
            <w:pPr>
              <w:keepNext/>
            </w:pPr>
            <w:r w:rsidRPr="000728BC">
              <w:t>Opening capital base</w:t>
            </w:r>
          </w:p>
        </w:tc>
        <w:tc>
          <w:tcPr>
            <w:tcW w:w="1006" w:type="dxa"/>
            <w:tcBorders>
              <w:top w:val="nil"/>
              <w:left w:val="nil"/>
              <w:bottom w:val="nil"/>
              <w:right w:val="nil"/>
            </w:tcBorders>
          </w:tcPr>
          <w:p w:rsidR="00682FED" w:rsidRPr="008E5F43" w:rsidRDefault="00682FED" w:rsidP="00B23396">
            <w:pPr>
              <w:keepNext/>
              <w:cnfStyle w:val="000000000000" w:firstRow="0" w:lastRow="0" w:firstColumn="0" w:lastColumn="0" w:oddVBand="0" w:evenVBand="0" w:oddHBand="0" w:evenHBand="0" w:firstRowFirstColumn="0" w:firstRowLastColumn="0" w:lastRowFirstColumn="0" w:lastRowLastColumn="0"/>
            </w:pPr>
            <w:r w:rsidRPr="008E5F43">
              <w:t>3</w:t>
            </w:r>
            <w:r w:rsidR="00AC11C7" w:rsidRPr="008E5F43">
              <w:t>38.1</w:t>
            </w:r>
          </w:p>
        </w:tc>
        <w:tc>
          <w:tcPr>
            <w:tcW w:w="1007" w:type="dxa"/>
            <w:tcBorders>
              <w:top w:val="nil"/>
              <w:left w:val="nil"/>
              <w:bottom w:val="nil"/>
              <w:right w:val="nil"/>
            </w:tcBorders>
            <w:hideMark/>
          </w:tcPr>
          <w:p w:rsidR="00682FED" w:rsidRPr="00C90254" w:rsidRDefault="00AC11C7" w:rsidP="00B23396">
            <w:pPr>
              <w:keepNext/>
              <w:cnfStyle w:val="000000000000" w:firstRow="0" w:lastRow="0" w:firstColumn="0" w:lastColumn="0" w:oddVBand="0" w:evenVBand="0" w:oddHBand="0" w:evenHBand="0" w:firstRowFirstColumn="0" w:firstRowLastColumn="0" w:lastRowFirstColumn="0" w:lastRowLastColumn="0"/>
            </w:pPr>
            <w:r w:rsidRPr="00C90254">
              <w:t>365.5</w:t>
            </w:r>
          </w:p>
        </w:tc>
        <w:tc>
          <w:tcPr>
            <w:tcW w:w="1007" w:type="dxa"/>
            <w:tcBorders>
              <w:top w:val="nil"/>
              <w:left w:val="nil"/>
              <w:bottom w:val="nil"/>
              <w:right w:val="nil"/>
            </w:tcBorders>
            <w:hideMark/>
          </w:tcPr>
          <w:p w:rsidR="00682FED" w:rsidRPr="00AA5244" w:rsidRDefault="00AC11C7" w:rsidP="00B23396">
            <w:pPr>
              <w:keepNext/>
              <w:cnfStyle w:val="000000000000" w:firstRow="0" w:lastRow="0" w:firstColumn="0" w:lastColumn="0" w:oddVBand="0" w:evenVBand="0" w:oddHBand="0" w:evenHBand="0" w:firstRowFirstColumn="0" w:firstRowLastColumn="0" w:lastRowFirstColumn="0" w:lastRowLastColumn="0"/>
            </w:pPr>
            <w:r w:rsidRPr="00AA5244">
              <w:t>380.1</w:t>
            </w:r>
          </w:p>
        </w:tc>
        <w:tc>
          <w:tcPr>
            <w:tcW w:w="1006" w:type="dxa"/>
            <w:tcBorders>
              <w:top w:val="nil"/>
              <w:left w:val="nil"/>
              <w:bottom w:val="nil"/>
              <w:right w:val="nil"/>
            </w:tcBorders>
          </w:tcPr>
          <w:p w:rsidR="00682FED" w:rsidRPr="00AA5244" w:rsidRDefault="00AC11C7" w:rsidP="00B23396">
            <w:pPr>
              <w:keepNext/>
              <w:cnfStyle w:val="000000000000" w:firstRow="0" w:lastRow="0" w:firstColumn="0" w:lastColumn="0" w:oddVBand="0" w:evenVBand="0" w:oddHBand="0" w:evenHBand="0" w:firstRowFirstColumn="0" w:firstRowLastColumn="0" w:lastRowFirstColumn="0" w:lastRowLastColumn="0"/>
            </w:pPr>
            <w:r w:rsidRPr="00AA5244">
              <w:t>393.9</w:t>
            </w:r>
          </w:p>
        </w:tc>
        <w:tc>
          <w:tcPr>
            <w:tcW w:w="1007" w:type="dxa"/>
            <w:tcBorders>
              <w:top w:val="nil"/>
              <w:left w:val="nil"/>
              <w:bottom w:val="nil"/>
              <w:right w:val="nil"/>
            </w:tcBorders>
          </w:tcPr>
          <w:p w:rsidR="00682FED" w:rsidRPr="00F67952" w:rsidRDefault="00AC11C7" w:rsidP="00B23396">
            <w:pPr>
              <w:keepNext/>
              <w:cnfStyle w:val="000000000000" w:firstRow="0" w:lastRow="0" w:firstColumn="0" w:lastColumn="0" w:oddVBand="0" w:evenVBand="0" w:oddHBand="0" w:evenHBand="0" w:firstRowFirstColumn="0" w:firstRowLastColumn="0" w:lastRowFirstColumn="0" w:lastRowLastColumn="0"/>
            </w:pPr>
            <w:r w:rsidRPr="00F67952">
              <w:t>408.2</w:t>
            </w:r>
          </w:p>
        </w:tc>
        <w:tc>
          <w:tcPr>
            <w:tcW w:w="1007" w:type="dxa"/>
            <w:tcBorders>
              <w:top w:val="nil"/>
              <w:left w:val="nil"/>
              <w:bottom w:val="nil"/>
              <w:right w:val="nil"/>
            </w:tcBorders>
          </w:tcPr>
          <w:p w:rsidR="00682FED" w:rsidRPr="00F67952" w:rsidRDefault="00AC11C7" w:rsidP="00B23396">
            <w:pPr>
              <w:keepNext/>
              <w:cnfStyle w:val="000000000000" w:firstRow="0" w:lastRow="0" w:firstColumn="0" w:lastColumn="0" w:oddVBand="0" w:evenVBand="0" w:oddHBand="0" w:evenHBand="0" w:firstRowFirstColumn="0" w:firstRowLastColumn="0" w:lastRowFirstColumn="0" w:lastRowLastColumn="0"/>
            </w:pPr>
            <w:r w:rsidRPr="00F67952">
              <w:t>423.0</w:t>
            </w:r>
          </w:p>
        </w:tc>
      </w:tr>
      <w:tr w:rsidR="00682FED" w:rsidRPr="000728BC" w:rsidTr="002939C7">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hideMark/>
          </w:tcPr>
          <w:p w:rsidR="00682FED" w:rsidRPr="000728BC" w:rsidRDefault="00682FED" w:rsidP="00B23396">
            <w:pPr>
              <w:keepNext/>
            </w:pPr>
            <w:r w:rsidRPr="000728BC">
              <w:t xml:space="preserve">Net capex </w:t>
            </w:r>
          </w:p>
        </w:tc>
        <w:tc>
          <w:tcPr>
            <w:tcW w:w="1006" w:type="dxa"/>
            <w:tcBorders>
              <w:top w:val="nil"/>
              <w:left w:val="nil"/>
              <w:bottom w:val="nil"/>
              <w:right w:val="nil"/>
            </w:tcBorders>
          </w:tcPr>
          <w:p w:rsidR="00682FED" w:rsidRPr="008E5F43" w:rsidRDefault="00682FED" w:rsidP="00B23396">
            <w:pPr>
              <w:keepNext/>
              <w:cnfStyle w:val="000000010000" w:firstRow="0" w:lastRow="0" w:firstColumn="0" w:lastColumn="0" w:oddVBand="0" w:evenVBand="0" w:oddHBand="0" w:evenHBand="1" w:firstRowFirstColumn="0" w:firstRowLastColumn="0" w:lastRowFirstColumn="0" w:lastRowLastColumn="0"/>
            </w:pPr>
            <w:r w:rsidRPr="008E5F43">
              <w:t>3</w:t>
            </w:r>
            <w:r w:rsidR="00AC11C7" w:rsidRPr="008E5F43">
              <w:t>1</w:t>
            </w:r>
            <w:r w:rsidRPr="008E5F43">
              <w:t>.8</w:t>
            </w:r>
          </w:p>
        </w:tc>
        <w:tc>
          <w:tcPr>
            <w:tcW w:w="1007" w:type="dxa"/>
            <w:tcBorders>
              <w:top w:val="nil"/>
              <w:left w:val="nil"/>
              <w:bottom w:val="nil"/>
              <w:right w:val="nil"/>
            </w:tcBorders>
          </w:tcPr>
          <w:p w:rsidR="00682FED" w:rsidRPr="00C90254" w:rsidRDefault="00AC11C7" w:rsidP="00B23396">
            <w:pPr>
              <w:keepNext/>
              <w:cnfStyle w:val="000000010000" w:firstRow="0" w:lastRow="0" w:firstColumn="0" w:lastColumn="0" w:oddVBand="0" w:evenVBand="0" w:oddHBand="0" w:evenHBand="1" w:firstRowFirstColumn="0" w:firstRowLastColumn="0" w:lastRowFirstColumn="0" w:lastRowLastColumn="0"/>
            </w:pPr>
            <w:r w:rsidRPr="00C90254">
              <w:t>20.1</w:t>
            </w:r>
          </w:p>
        </w:tc>
        <w:tc>
          <w:tcPr>
            <w:tcW w:w="1007" w:type="dxa"/>
            <w:tcBorders>
              <w:top w:val="nil"/>
              <w:left w:val="nil"/>
              <w:bottom w:val="nil"/>
              <w:right w:val="nil"/>
            </w:tcBorders>
          </w:tcPr>
          <w:p w:rsidR="00682FED" w:rsidRPr="00AA5244" w:rsidRDefault="00AC11C7" w:rsidP="00B23396">
            <w:pPr>
              <w:keepNext/>
              <w:cnfStyle w:val="000000010000" w:firstRow="0" w:lastRow="0" w:firstColumn="0" w:lastColumn="0" w:oddVBand="0" w:evenVBand="0" w:oddHBand="0" w:evenHBand="1" w:firstRowFirstColumn="0" w:firstRowLastColumn="0" w:lastRowFirstColumn="0" w:lastRowLastColumn="0"/>
            </w:pPr>
            <w:r w:rsidRPr="00AA5244">
              <w:t>19.9</w:t>
            </w:r>
          </w:p>
        </w:tc>
        <w:tc>
          <w:tcPr>
            <w:tcW w:w="1006" w:type="dxa"/>
            <w:tcBorders>
              <w:top w:val="nil"/>
              <w:left w:val="nil"/>
              <w:bottom w:val="nil"/>
              <w:right w:val="nil"/>
            </w:tcBorders>
          </w:tcPr>
          <w:p w:rsidR="00682FED" w:rsidRPr="00AA5244" w:rsidRDefault="00AC11C7" w:rsidP="00B23396">
            <w:pPr>
              <w:keepNext/>
              <w:cnfStyle w:val="000000010000" w:firstRow="0" w:lastRow="0" w:firstColumn="0" w:lastColumn="0" w:oddVBand="0" w:evenVBand="0" w:oddHBand="0" w:evenHBand="1" w:firstRowFirstColumn="0" w:firstRowLastColumn="0" w:lastRowFirstColumn="0" w:lastRowLastColumn="0"/>
            </w:pPr>
            <w:r w:rsidRPr="00AA5244">
              <w:t>21.4</w:t>
            </w:r>
          </w:p>
        </w:tc>
        <w:tc>
          <w:tcPr>
            <w:tcW w:w="1007" w:type="dxa"/>
            <w:tcBorders>
              <w:top w:val="nil"/>
              <w:left w:val="nil"/>
              <w:bottom w:val="nil"/>
              <w:right w:val="nil"/>
            </w:tcBorders>
          </w:tcPr>
          <w:p w:rsidR="00682FED" w:rsidRPr="00F67952" w:rsidRDefault="00682FED" w:rsidP="00B23396">
            <w:pPr>
              <w:keepNext/>
              <w:cnfStyle w:val="000000010000" w:firstRow="0" w:lastRow="0" w:firstColumn="0" w:lastColumn="0" w:oddVBand="0" w:evenVBand="0" w:oddHBand="0" w:evenHBand="1" w:firstRowFirstColumn="0" w:firstRowLastColumn="0" w:lastRowFirstColumn="0" w:lastRowLastColumn="0"/>
            </w:pPr>
            <w:r w:rsidRPr="00F67952">
              <w:t>2</w:t>
            </w:r>
            <w:r w:rsidR="00AC11C7" w:rsidRPr="00F67952">
              <w:t>2.7</w:t>
            </w:r>
          </w:p>
        </w:tc>
        <w:tc>
          <w:tcPr>
            <w:tcW w:w="1007" w:type="dxa"/>
            <w:tcBorders>
              <w:top w:val="nil"/>
              <w:left w:val="nil"/>
              <w:bottom w:val="nil"/>
              <w:right w:val="nil"/>
            </w:tcBorders>
          </w:tcPr>
          <w:p w:rsidR="00682FED" w:rsidRPr="00F67952" w:rsidRDefault="00AC11C7" w:rsidP="00B23396">
            <w:pPr>
              <w:keepNext/>
              <w:cnfStyle w:val="000000010000" w:firstRow="0" w:lastRow="0" w:firstColumn="0" w:lastColumn="0" w:oddVBand="0" w:evenVBand="0" w:oddHBand="0" w:evenHBand="1" w:firstRowFirstColumn="0" w:firstRowLastColumn="0" w:lastRowFirstColumn="0" w:lastRowLastColumn="0"/>
            </w:pPr>
            <w:r w:rsidRPr="00F67952">
              <w:t>18.5</w:t>
            </w:r>
          </w:p>
        </w:tc>
      </w:tr>
      <w:tr w:rsidR="00682FED" w:rsidRPr="000728BC" w:rsidTr="002939C7">
        <w:trPr>
          <w:trHeight w:val="246"/>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hideMark/>
          </w:tcPr>
          <w:p w:rsidR="00682FED" w:rsidRPr="000728BC" w:rsidRDefault="00682FED" w:rsidP="00B23396">
            <w:pPr>
              <w:keepNext/>
            </w:pPr>
            <w:r w:rsidRPr="000728BC">
              <w:t>Indexation of capital base</w:t>
            </w:r>
          </w:p>
        </w:tc>
        <w:tc>
          <w:tcPr>
            <w:tcW w:w="1006" w:type="dxa"/>
            <w:tcBorders>
              <w:top w:val="nil"/>
              <w:left w:val="nil"/>
              <w:bottom w:val="nil"/>
              <w:right w:val="nil"/>
            </w:tcBorders>
          </w:tcPr>
          <w:p w:rsidR="00682FED" w:rsidRPr="008E5F43" w:rsidRDefault="00AC11C7" w:rsidP="00B23396">
            <w:pPr>
              <w:keepNext/>
              <w:cnfStyle w:val="000000000000" w:firstRow="0" w:lastRow="0" w:firstColumn="0" w:lastColumn="0" w:oddVBand="0" w:evenVBand="0" w:oddHBand="0" w:evenHBand="0" w:firstRowFirstColumn="0" w:firstRowLastColumn="0" w:lastRowFirstColumn="0" w:lastRowLastColumn="0"/>
            </w:pPr>
            <w:r w:rsidRPr="008E5F43">
              <w:t>7.4</w:t>
            </w:r>
          </w:p>
        </w:tc>
        <w:tc>
          <w:tcPr>
            <w:tcW w:w="1007" w:type="dxa"/>
            <w:tcBorders>
              <w:top w:val="nil"/>
              <w:left w:val="nil"/>
              <w:bottom w:val="nil"/>
              <w:right w:val="nil"/>
            </w:tcBorders>
          </w:tcPr>
          <w:p w:rsidR="00682FED" w:rsidRPr="00C90254" w:rsidRDefault="00AC11C7" w:rsidP="00B23396">
            <w:pPr>
              <w:keepNext/>
              <w:cnfStyle w:val="000000000000" w:firstRow="0" w:lastRow="0" w:firstColumn="0" w:lastColumn="0" w:oddVBand="0" w:evenVBand="0" w:oddHBand="0" w:evenHBand="0" w:firstRowFirstColumn="0" w:firstRowLastColumn="0" w:lastRowFirstColumn="0" w:lastRowLastColumn="0"/>
            </w:pPr>
            <w:r w:rsidRPr="00C90254">
              <w:t>8.0</w:t>
            </w:r>
          </w:p>
        </w:tc>
        <w:tc>
          <w:tcPr>
            <w:tcW w:w="1007" w:type="dxa"/>
            <w:tcBorders>
              <w:top w:val="nil"/>
              <w:left w:val="nil"/>
              <w:bottom w:val="nil"/>
              <w:right w:val="nil"/>
            </w:tcBorders>
          </w:tcPr>
          <w:p w:rsidR="00682FED" w:rsidRPr="00AA5244" w:rsidRDefault="00AC11C7" w:rsidP="00B23396">
            <w:pPr>
              <w:keepNext/>
              <w:cnfStyle w:val="000000000000" w:firstRow="0" w:lastRow="0" w:firstColumn="0" w:lastColumn="0" w:oddVBand="0" w:evenVBand="0" w:oddHBand="0" w:evenHBand="0" w:firstRowFirstColumn="0" w:firstRowLastColumn="0" w:lastRowFirstColumn="0" w:lastRowLastColumn="0"/>
            </w:pPr>
            <w:r w:rsidRPr="00AA5244">
              <w:t>8.3</w:t>
            </w:r>
          </w:p>
        </w:tc>
        <w:tc>
          <w:tcPr>
            <w:tcW w:w="1006" w:type="dxa"/>
            <w:tcBorders>
              <w:top w:val="nil"/>
              <w:left w:val="nil"/>
              <w:bottom w:val="nil"/>
              <w:right w:val="nil"/>
            </w:tcBorders>
          </w:tcPr>
          <w:p w:rsidR="00682FED" w:rsidRPr="00AA5244" w:rsidRDefault="00AC11C7" w:rsidP="00B23396">
            <w:pPr>
              <w:keepNext/>
              <w:cnfStyle w:val="000000000000" w:firstRow="0" w:lastRow="0" w:firstColumn="0" w:lastColumn="0" w:oddVBand="0" w:evenVBand="0" w:oddHBand="0" w:evenHBand="0" w:firstRowFirstColumn="0" w:firstRowLastColumn="0" w:lastRowFirstColumn="0" w:lastRowLastColumn="0"/>
            </w:pPr>
            <w:r w:rsidRPr="00AA5244">
              <w:t>8.6</w:t>
            </w:r>
          </w:p>
        </w:tc>
        <w:tc>
          <w:tcPr>
            <w:tcW w:w="1007" w:type="dxa"/>
            <w:tcBorders>
              <w:top w:val="nil"/>
              <w:left w:val="nil"/>
              <w:bottom w:val="nil"/>
              <w:right w:val="nil"/>
            </w:tcBorders>
          </w:tcPr>
          <w:p w:rsidR="00682FED" w:rsidRPr="00F67952" w:rsidRDefault="00AC11C7" w:rsidP="00B23396">
            <w:pPr>
              <w:keepNext/>
              <w:cnfStyle w:val="000000000000" w:firstRow="0" w:lastRow="0" w:firstColumn="0" w:lastColumn="0" w:oddVBand="0" w:evenVBand="0" w:oddHBand="0" w:evenHBand="0" w:firstRowFirstColumn="0" w:firstRowLastColumn="0" w:lastRowFirstColumn="0" w:lastRowLastColumn="0"/>
            </w:pPr>
            <w:r w:rsidRPr="00F67952">
              <w:t>8.9</w:t>
            </w:r>
          </w:p>
        </w:tc>
        <w:tc>
          <w:tcPr>
            <w:tcW w:w="1007" w:type="dxa"/>
            <w:tcBorders>
              <w:top w:val="nil"/>
              <w:left w:val="nil"/>
              <w:bottom w:val="nil"/>
              <w:right w:val="nil"/>
            </w:tcBorders>
          </w:tcPr>
          <w:p w:rsidR="00682FED" w:rsidRPr="00F67952" w:rsidRDefault="00AC11C7" w:rsidP="00B23396">
            <w:pPr>
              <w:keepNext/>
              <w:cnfStyle w:val="000000000000" w:firstRow="0" w:lastRow="0" w:firstColumn="0" w:lastColumn="0" w:oddVBand="0" w:evenVBand="0" w:oddHBand="0" w:evenHBand="0" w:firstRowFirstColumn="0" w:firstRowLastColumn="0" w:lastRowFirstColumn="0" w:lastRowLastColumn="0"/>
            </w:pPr>
            <w:r w:rsidRPr="00F67952">
              <w:t>9.3</w:t>
            </w:r>
          </w:p>
        </w:tc>
      </w:tr>
      <w:tr w:rsidR="00682FED" w:rsidRPr="000728BC" w:rsidTr="002939C7">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right w:val="nil"/>
            </w:tcBorders>
            <w:hideMark/>
          </w:tcPr>
          <w:p w:rsidR="00682FED" w:rsidRPr="000728BC" w:rsidRDefault="00682FED" w:rsidP="00B23396">
            <w:pPr>
              <w:keepNext/>
            </w:pPr>
            <w:r w:rsidRPr="000728BC">
              <w:t>Depreciation</w:t>
            </w:r>
          </w:p>
        </w:tc>
        <w:tc>
          <w:tcPr>
            <w:tcW w:w="1006" w:type="dxa"/>
            <w:tcBorders>
              <w:top w:val="nil"/>
              <w:left w:val="nil"/>
              <w:bottom w:val="nil"/>
              <w:right w:val="nil"/>
            </w:tcBorders>
          </w:tcPr>
          <w:p w:rsidR="00682FED" w:rsidRPr="008E5F43" w:rsidRDefault="00682FED" w:rsidP="00B23396">
            <w:pPr>
              <w:keepNext/>
              <w:cnfStyle w:val="000000010000" w:firstRow="0" w:lastRow="0" w:firstColumn="0" w:lastColumn="0" w:oddVBand="0" w:evenVBand="0" w:oddHBand="0" w:evenHBand="1" w:firstRowFirstColumn="0" w:firstRowLastColumn="0" w:lastRowFirstColumn="0" w:lastRowLastColumn="0"/>
            </w:pPr>
            <w:r w:rsidRPr="008E5F43">
              <w:t>–</w:t>
            </w:r>
            <w:r w:rsidR="00AC11C7" w:rsidRPr="008E5F43">
              <w:t>11.8</w:t>
            </w:r>
          </w:p>
        </w:tc>
        <w:tc>
          <w:tcPr>
            <w:tcW w:w="1007" w:type="dxa"/>
            <w:tcBorders>
              <w:top w:val="nil"/>
              <w:left w:val="nil"/>
              <w:bottom w:val="nil"/>
              <w:right w:val="nil"/>
            </w:tcBorders>
          </w:tcPr>
          <w:p w:rsidR="00682FED" w:rsidRPr="00C90254" w:rsidRDefault="00682FED" w:rsidP="00B23396">
            <w:pPr>
              <w:keepNext/>
              <w:cnfStyle w:val="000000010000" w:firstRow="0" w:lastRow="0" w:firstColumn="0" w:lastColumn="0" w:oddVBand="0" w:evenVBand="0" w:oddHBand="0" w:evenHBand="1" w:firstRowFirstColumn="0" w:firstRowLastColumn="0" w:lastRowFirstColumn="0" w:lastRowLastColumn="0"/>
            </w:pPr>
            <w:r w:rsidRPr="00C90254">
              <w:t>–</w:t>
            </w:r>
            <w:r w:rsidR="00AC11C7" w:rsidRPr="00C90254">
              <w:t>13.4</w:t>
            </w:r>
          </w:p>
        </w:tc>
        <w:tc>
          <w:tcPr>
            <w:tcW w:w="1007" w:type="dxa"/>
            <w:tcBorders>
              <w:top w:val="nil"/>
              <w:left w:val="nil"/>
              <w:bottom w:val="nil"/>
              <w:right w:val="nil"/>
            </w:tcBorders>
          </w:tcPr>
          <w:p w:rsidR="00682FED" w:rsidRPr="00AA5244" w:rsidRDefault="00682FED" w:rsidP="00B23396">
            <w:pPr>
              <w:keepNext/>
              <w:cnfStyle w:val="000000010000" w:firstRow="0" w:lastRow="0" w:firstColumn="0" w:lastColumn="0" w:oddVBand="0" w:evenVBand="0" w:oddHBand="0" w:evenHBand="1" w:firstRowFirstColumn="0" w:firstRowLastColumn="0" w:lastRowFirstColumn="0" w:lastRowLastColumn="0"/>
            </w:pPr>
            <w:r w:rsidRPr="00AA5244">
              <w:t>–</w:t>
            </w:r>
            <w:r w:rsidR="00EE192C" w:rsidRPr="00AA5244">
              <w:t>14.5</w:t>
            </w:r>
          </w:p>
        </w:tc>
        <w:tc>
          <w:tcPr>
            <w:tcW w:w="1006" w:type="dxa"/>
            <w:tcBorders>
              <w:top w:val="nil"/>
              <w:left w:val="nil"/>
              <w:bottom w:val="nil"/>
              <w:right w:val="nil"/>
            </w:tcBorders>
          </w:tcPr>
          <w:p w:rsidR="00682FED" w:rsidRPr="000F5B8C" w:rsidRDefault="00682FED" w:rsidP="00B23396">
            <w:pPr>
              <w:keepNext/>
              <w:cnfStyle w:val="000000010000" w:firstRow="0" w:lastRow="0" w:firstColumn="0" w:lastColumn="0" w:oddVBand="0" w:evenVBand="0" w:oddHBand="0" w:evenHBand="1" w:firstRowFirstColumn="0" w:firstRowLastColumn="0" w:lastRowFirstColumn="0" w:lastRowLastColumn="0"/>
            </w:pPr>
            <w:r w:rsidRPr="000F5B8C">
              <w:t>–</w:t>
            </w:r>
            <w:r w:rsidR="00EE192C" w:rsidRPr="000F5B8C">
              <w:t>15.6</w:t>
            </w:r>
          </w:p>
        </w:tc>
        <w:tc>
          <w:tcPr>
            <w:tcW w:w="1007" w:type="dxa"/>
            <w:tcBorders>
              <w:top w:val="nil"/>
              <w:left w:val="nil"/>
              <w:bottom w:val="nil"/>
              <w:right w:val="nil"/>
            </w:tcBorders>
          </w:tcPr>
          <w:p w:rsidR="00682FED" w:rsidRPr="00F67952" w:rsidRDefault="00682FED" w:rsidP="00B23396">
            <w:pPr>
              <w:keepNext/>
              <w:cnfStyle w:val="000000010000" w:firstRow="0" w:lastRow="0" w:firstColumn="0" w:lastColumn="0" w:oddVBand="0" w:evenVBand="0" w:oddHBand="0" w:evenHBand="1" w:firstRowFirstColumn="0" w:firstRowLastColumn="0" w:lastRowFirstColumn="0" w:lastRowLastColumn="0"/>
            </w:pPr>
            <w:r w:rsidRPr="00F67952">
              <w:t>–</w:t>
            </w:r>
            <w:r w:rsidR="00EE192C" w:rsidRPr="00F67952">
              <w:t>16.9</w:t>
            </w:r>
          </w:p>
        </w:tc>
        <w:tc>
          <w:tcPr>
            <w:tcW w:w="1007" w:type="dxa"/>
            <w:tcBorders>
              <w:top w:val="nil"/>
              <w:left w:val="nil"/>
              <w:bottom w:val="nil"/>
              <w:right w:val="nil"/>
            </w:tcBorders>
          </w:tcPr>
          <w:p w:rsidR="00682FED" w:rsidRPr="00F67952" w:rsidRDefault="00682FED" w:rsidP="00B23396">
            <w:pPr>
              <w:keepNext/>
              <w:cnfStyle w:val="000000010000" w:firstRow="0" w:lastRow="0" w:firstColumn="0" w:lastColumn="0" w:oddVBand="0" w:evenVBand="0" w:oddHBand="0" w:evenHBand="1" w:firstRowFirstColumn="0" w:firstRowLastColumn="0" w:lastRowFirstColumn="0" w:lastRowLastColumn="0"/>
            </w:pPr>
            <w:r w:rsidRPr="00F67952">
              <w:t>–</w:t>
            </w:r>
            <w:r w:rsidR="00EE192C" w:rsidRPr="00F67952">
              <w:t>18.0</w:t>
            </w:r>
          </w:p>
        </w:tc>
      </w:tr>
      <w:tr w:rsidR="00682FED" w:rsidRPr="000728BC" w:rsidTr="002939C7">
        <w:trPr>
          <w:trHeight w:val="246"/>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single" w:sz="4" w:space="0" w:color="365F91"/>
              <w:right w:val="nil"/>
            </w:tcBorders>
            <w:hideMark/>
          </w:tcPr>
          <w:p w:rsidR="00682FED" w:rsidRPr="000728BC" w:rsidRDefault="00682FED" w:rsidP="00B23396">
            <w:pPr>
              <w:keepNext/>
            </w:pPr>
            <w:r w:rsidRPr="000728BC">
              <w:t>Closing capital base</w:t>
            </w:r>
          </w:p>
        </w:tc>
        <w:tc>
          <w:tcPr>
            <w:tcW w:w="1006" w:type="dxa"/>
            <w:tcBorders>
              <w:top w:val="nil"/>
              <w:left w:val="nil"/>
              <w:bottom w:val="single" w:sz="4" w:space="0" w:color="365F91"/>
              <w:right w:val="nil"/>
            </w:tcBorders>
          </w:tcPr>
          <w:p w:rsidR="00682FED" w:rsidRPr="008E5F43" w:rsidRDefault="00EE192C" w:rsidP="00B23396">
            <w:pPr>
              <w:keepNext/>
              <w:cnfStyle w:val="000000000000" w:firstRow="0" w:lastRow="0" w:firstColumn="0" w:lastColumn="0" w:oddVBand="0" w:evenVBand="0" w:oddHBand="0" w:evenHBand="0" w:firstRowFirstColumn="0" w:firstRowLastColumn="0" w:lastRowFirstColumn="0" w:lastRowLastColumn="0"/>
            </w:pPr>
            <w:r w:rsidRPr="008E5F43">
              <w:t>365.5</w:t>
            </w:r>
          </w:p>
        </w:tc>
        <w:tc>
          <w:tcPr>
            <w:tcW w:w="1007" w:type="dxa"/>
            <w:tcBorders>
              <w:top w:val="nil"/>
              <w:left w:val="nil"/>
              <w:bottom w:val="single" w:sz="4" w:space="0" w:color="365F91"/>
              <w:right w:val="nil"/>
            </w:tcBorders>
          </w:tcPr>
          <w:p w:rsidR="00682FED" w:rsidRPr="00C90254" w:rsidRDefault="00682FED" w:rsidP="00B23396">
            <w:pPr>
              <w:keepNext/>
              <w:cnfStyle w:val="000000000000" w:firstRow="0" w:lastRow="0" w:firstColumn="0" w:lastColumn="0" w:oddVBand="0" w:evenVBand="0" w:oddHBand="0" w:evenHBand="0" w:firstRowFirstColumn="0" w:firstRowLastColumn="0" w:lastRowFirstColumn="0" w:lastRowLastColumn="0"/>
            </w:pPr>
            <w:r w:rsidRPr="00C90254">
              <w:t>3</w:t>
            </w:r>
            <w:r w:rsidR="00EE192C" w:rsidRPr="00C90254">
              <w:t>80.1</w:t>
            </w:r>
          </w:p>
        </w:tc>
        <w:tc>
          <w:tcPr>
            <w:tcW w:w="1007" w:type="dxa"/>
            <w:tcBorders>
              <w:top w:val="nil"/>
              <w:left w:val="nil"/>
              <w:bottom w:val="single" w:sz="4" w:space="0" w:color="365F91"/>
              <w:right w:val="nil"/>
            </w:tcBorders>
          </w:tcPr>
          <w:p w:rsidR="00682FED" w:rsidRPr="00AA5244" w:rsidRDefault="00EE192C" w:rsidP="00B23396">
            <w:pPr>
              <w:keepNext/>
              <w:cnfStyle w:val="000000000000" w:firstRow="0" w:lastRow="0" w:firstColumn="0" w:lastColumn="0" w:oddVBand="0" w:evenVBand="0" w:oddHBand="0" w:evenHBand="0" w:firstRowFirstColumn="0" w:firstRowLastColumn="0" w:lastRowFirstColumn="0" w:lastRowLastColumn="0"/>
            </w:pPr>
            <w:r w:rsidRPr="00AA5244">
              <w:t>393.9</w:t>
            </w:r>
          </w:p>
        </w:tc>
        <w:tc>
          <w:tcPr>
            <w:tcW w:w="1006" w:type="dxa"/>
            <w:tcBorders>
              <w:top w:val="nil"/>
              <w:left w:val="nil"/>
              <w:bottom w:val="single" w:sz="4" w:space="0" w:color="365F91"/>
              <w:right w:val="nil"/>
            </w:tcBorders>
          </w:tcPr>
          <w:p w:rsidR="00682FED" w:rsidRPr="00AA5244" w:rsidRDefault="00EE192C" w:rsidP="00B23396">
            <w:pPr>
              <w:keepNext/>
              <w:cnfStyle w:val="000000000000" w:firstRow="0" w:lastRow="0" w:firstColumn="0" w:lastColumn="0" w:oddVBand="0" w:evenVBand="0" w:oddHBand="0" w:evenHBand="0" w:firstRowFirstColumn="0" w:firstRowLastColumn="0" w:lastRowFirstColumn="0" w:lastRowLastColumn="0"/>
            </w:pPr>
            <w:r w:rsidRPr="00AA5244">
              <w:t>408.2</w:t>
            </w:r>
          </w:p>
        </w:tc>
        <w:tc>
          <w:tcPr>
            <w:tcW w:w="1007" w:type="dxa"/>
            <w:tcBorders>
              <w:top w:val="nil"/>
              <w:left w:val="nil"/>
              <w:bottom w:val="single" w:sz="4" w:space="0" w:color="365F91"/>
              <w:right w:val="nil"/>
            </w:tcBorders>
          </w:tcPr>
          <w:p w:rsidR="00682FED" w:rsidRPr="00F67952" w:rsidRDefault="00EE192C" w:rsidP="00B23396">
            <w:pPr>
              <w:keepNext/>
              <w:cnfStyle w:val="000000000000" w:firstRow="0" w:lastRow="0" w:firstColumn="0" w:lastColumn="0" w:oddVBand="0" w:evenVBand="0" w:oddHBand="0" w:evenHBand="0" w:firstRowFirstColumn="0" w:firstRowLastColumn="0" w:lastRowFirstColumn="0" w:lastRowLastColumn="0"/>
            </w:pPr>
            <w:r w:rsidRPr="00F67952">
              <w:t>423.0</w:t>
            </w:r>
          </w:p>
        </w:tc>
        <w:tc>
          <w:tcPr>
            <w:tcW w:w="1007" w:type="dxa"/>
            <w:tcBorders>
              <w:top w:val="nil"/>
              <w:left w:val="nil"/>
              <w:bottom w:val="single" w:sz="4" w:space="0" w:color="365F91"/>
              <w:right w:val="nil"/>
            </w:tcBorders>
          </w:tcPr>
          <w:p w:rsidR="00682FED" w:rsidRPr="00F67952" w:rsidRDefault="00682FED" w:rsidP="00B23396">
            <w:pPr>
              <w:keepNext/>
              <w:cnfStyle w:val="000000000000" w:firstRow="0" w:lastRow="0" w:firstColumn="0" w:lastColumn="0" w:oddVBand="0" w:evenVBand="0" w:oddHBand="0" w:evenHBand="0" w:firstRowFirstColumn="0" w:firstRowLastColumn="0" w:lastRowFirstColumn="0" w:lastRowLastColumn="0"/>
            </w:pPr>
            <w:r w:rsidRPr="00F67952">
              <w:t>4</w:t>
            </w:r>
            <w:r w:rsidR="00EE192C" w:rsidRPr="00F67952">
              <w:t>32.7</w:t>
            </w:r>
          </w:p>
        </w:tc>
      </w:tr>
    </w:tbl>
    <w:p w:rsidR="00604DAF" w:rsidRPr="00604DAF" w:rsidRDefault="00682FED" w:rsidP="00B23396">
      <w:pPr>
        <w:pStyle w:val="AERtablesource"/>
        <w:keepNext/>
      </w:pPr>
      <w:r w:rsidRPr="00682FED">
        <w:rPr>
          <w:rFonts w:eastAsia="Calibri"/>
        </w:rPr>
        <w:t xml:space="preserve">Source: </w:t>
      </w:r>
      <w:r w:rsidRPr="00682FED">
        <w:rPr>
          <w:rFonts w:eastAsia="Calibri"/>
        </w:rPr>
        <w:tab/>
      </w:r>
      <w:proofErr w:type="gramStart"/>
      <w:r w:rsidRPr="00682FED">
        <w:rPr>
          <w:rFonts w:eastAsia="Calibri"/>
        </w:rPr>
        <w:t>ActewAGL</w:t>
      </w:r>
      <w:r>
        <w:t>,</w:t>
      </w:r>
      <w:proofErr w:type="gramEnd"/>
      <w:r>
        <w:t xml:space="preserve"> </w:t>
      </w:r>
      <w:r w:rsidR="00A75557" w:rsidRPr="00D94C0F">
        <w:rPr>
          <w:rStyle w:val="AERtextitalic"/>
        </w:rPr>
        <w:t xml:space="preserve">Revised </w:t>
      </w:r>
      <w:r>
        <w:rPr>
          <w:rStyle w:val="AERtextitalic"/>
        </w:rPr>
        <w:t>Proposed PTRM</w:t>
      </w:r>
      <w:r>
        <w:t>, J</w:t>
      </w:r>
      <w:r w:rsidR="00EE192C">
        <w:t>anuary 2016</w:t>
      </w:r>
      <w:r>
        <w:t>.</w:t>
      </w:r>
    </w:p>
    <w:p w:rsidR="00682FED" w:rsidRDefault="00682FED" w:rsidP="00682FED">
      <w:pPr>
        <w:pStyle w:val="Heading2"/>
      </w:pPr>
      <w:bookmarkStart w:id="26" w:name="_Toc430706230"/>
      <w:bookmarkStart w:id="27" w:name="_Toc408404322"/>
      <w:bookmarkStart w:id="28" w:name="_Toc436040729"/>
      <w:bookmarkStart w:id="29" w:name="_Toc451759142"/>
      <w:bookmarkEnd w:id="26"/>
      <w:r w:rsidRPr="0074565D">
        <w:t>AER’s assessment approach</w:t>
      </w:r>
      <w:bookmarkEnd w:id="27"/>
      <w:bookmarkEnd w:id="28"/>
      <w:bookmarkEnd w:id="29"/>
    </w:p>
    <w:p w:rsidR="007A10C5" w:rsidRDefault="007A10C5" w:rsidP="007A10C5">
      <w:r>
        <w:t>We have not changed our assessment approach for the capital base from our draft decision. Section 2.3 of our draft decision details that approach.</w:t>
      </w:r>
      <w:r w:rsidR="00DC6D36">
        <w:rPr>
          <w:rStyle w:val="FootnoteReference"/>
        </w:rPr>
        <w:footnoteReference w:id="5"/>
      </w:r>
    </w:p>
    <w:p w:rsidR="007923E3" w:rsidRDefault="008E5F43" w:rsidP="007A10C5">
      <w:r>
        <w:t>We received one submission from t</w:t>
      </w:r>
      <w:r w:rsidR="007923E3">
        <w:t>he CCP rais</w:t>
      </w:r>
      <w:r>
        <w:t>ing</w:t>
      </w:r>
      <w:r w:rsidR="007923E3">
        <w:t xml:space="preserve"> concerns </w:t>
      </w:r>
      <w:r>
        <w:t>over</w:t>
      </w:r>
      <w:r w:rsidR="007923E3">
        <w:t xml:space="preserve"> the rate of increase in the value of ActewAGL's capital base over the 11</w:t>
      </w:r>
      <w:r w:rsidR="00DA2065">
        <w:t>-</w:t>
      </w:r>
      <w:r w:rsidR="007923E3">
        <w:t>year period spanning the current and previous access arrangements</w:t>
      </w:r>
      <w:r w:rsidR="000728BC">
        <w:t>.</w:t>
      </w:r>
      <w:r w:rsidR="007923E3">
        <w:rPr>
          <w:rStyle w:val="FootnoteReference"/>
        </w:rPr>
        <w:footnoteReference w:id="6"/>
      </w:r>
      <w:r w:rsidR="007923E3">
        <w:t xml:space="preserve"> </w:t>
      </w:r>
      <w:r w:rsidR="0048005B">
        <w:t xml:space="preserve">The increase in ActewAGL's capital base is mostly driven by an increase in capex. </w:t>
      </w:r>
      <w:r w:rsidR="00547004" w:rsidRPr="000B58EC">
        <w:t xml:space="preserve">We have carefully reviewed </w:t>
      </w:r>
      <w:r w:rsidR="00547004">
        <w:t>the cost drivers of ActewAGL</w:t>
      </w:r>
      <w:r w:rsidR="00547004" w:rsidRPr="000B58EC">
        <w:t xml:space="preserve">'s </w:t>
      </w:r>
      <w:r w:rsidR="00547004">
        <w:t>forecast</w:t>
      </w:r>
      <w:r w:rsidR="00547004" w:rsidRPr="000B58EC">
        <w:t xml:space="preserve"> capex </w:t>
      </w:r>
      <w:r w:rsidR="00547004">
        <w:t xml:space="preserve">in terms of </w:t>
      </w:r>
      <w:r w:rsidR="00547004" w:rsidRPr="000B58EC">
        <w:t>pruden</w:t>
      </w:r>
      <w:r w:rsidR="00547004">
        <w:t>cy and efficiency</w:t>
      </w:r>
      <w:r w:rsidR="00547004" w:rsidRPr="000B58EC">
        <w:t>.</w:t>
      </w:r>
      <w:r w:rsidR="00547004">
        <w:t xml:space="preserve"> </w:t>
      </w:r>
      <w:r w:rsidR="00547004">
        <w:rPr>
          <w:rStyle w:val="AERbody"/>
        </w:rPr>
        <w:t>W</w:t>
      </w:r>
      <w:r w:rsidR="00547004" w:rsidRPr="000B58EC">
        <w:rPr>
          <w:rStyle w:val="AERbody"/>
        </w:rPr>
        <w:t xml:space="preserve">e </w:t>
      </w:r>
      <w:r w:rsidR="00547004">
        <w:t>have not accepted</w:t>
      </w:r>
      <w:r w:rsidR="0048005B">
        <w:t xml:space="preserve"> ActewAGL's </w:t>
      </w:r>
      <w:r w:rsidR="00547004">
        <w:t xml:space="preserve">forecast </w:t>
      </w:r>
      <w:r w:rsidR="0048005B">
        <w:t xml:space="preserve">capex </w:t>
      </w:r>
      <w:r w:rsidR="00547004">
        <w:t xml:space="preserve">in its entirety and our assessment </w:t>
      </w:r>
      <w:r w:rsidR="0048005B">
        <w:t>is detailed in attachment</w:t>
      </w:r>
      <w:r w:rsidR="001D0F02">
        <w:t> </w:t>
      </w:r>
      <w:r w:rsidR="0048005B">
        <w:t>6.</w:t>
      </w:r>
    </w:p>
    <w:p w:rsidR="00682FED" w:rsidRDefault="00682FED" w:rsidP="00682FED">
      <w:pPr>
        <w:pStyle w:val="Heading2"/>
      </w:pPr>
      <w:bookmarkStart w:id="30" w:name="_Toc408404324"/>
      <w:bookmarkStart w:id="31" w:name="_Toc436040731"/>
      <w:bookmarkStart w:id="32" w:name="_Toc451759143"/>
      <w:r w:rsidRPr="0074565D">
        <w:t xml:space="preserve">Reasons for </w:t>
      </w:r>
      <w:r>
        <w:t>final</w:t>
      </w:r>
      <w:r w:rsidRPr="0074565D">
        <w:t xml:space="preserve"> decision</w:t>
      </w:r>
      <w:bookmarkEnd w:id="30"/>
      <w:bookmarkEnd w:id="31"/>
      <w:bookmarkEnd w:id="32"/>
    </w:p>
    <w:p w:rsidR="00FE3D87" w:rsidRPr="00FE3D87" w:rsidRDefault="00682FED" w:rsidP="00FE3D87">
      <w:r>
        <w:t xml:space="preserve">We </w:t>
      </w:r>
      <w:r w:rsidR="00AC2371">
        <w:t xml:space="preserve">do not </w:t>
      </w:r>
      <w:r w:rsidRPr="00682FED">
        <w:rPr>
          <w:rStyle w:val="AERbody"/>
        </w:rPr>
        <w:t>approve ActewAGL’s proposed opening capital base of $</w:t>
      </w:r>
      <w:r w:rsidR="0077479A">
        <w:rPr>
          <w:rStyle w:val="AERbody"/>
        </w:rPr>
        <w:t xml:space="preserve">338.1 </w:t>
      </w:r>
      <w:r w:rsidRPr="00682FED">
        <w:rPr>
          <w:rStyle w:val="AERbody"/>
        </w:rPr>
        <w:t>million ($nominal) as at 1 July 2015.</w:t>
      </w:r>
      <w:r w:rsidR="002654CA">
        <w:rPr>
          <w:rStyle w:val="AERbody"/>
        </w:rPr>
        <w:t xml:space="preserve"> </w:t>
      </w:r>
      <w:r w:rsidR="00FE3D87" w:rsidRPr="00FE3D87">
        <w:t xml:space="preserve">We determine an opening capital base of $338.4 million ($nominal) as at 1 July 2015 for ActewAGL. This is $0.3 million (or 0.1 per cent) more than the revised proposed amount. This is because we have updated the capital base roll forward for the conforming capex for 2014–15. </w:t>
      </w:r>
    </w:p>
    <w:p w:rsidR="00682FED" w:rsidRPr="00682FED" w:rsidRDefault="00FE3D87" w:rsidP="00682FED">
      <w:pPr>
        <w:rPr>
          <w:rStyle w:val="AERbody"/>
        </w:rPr>
      </w:pPr>
      <w:r>
        <w:rPr>
          <w:rStyle w:val="AERbody"/>
        </w:rPr>
        <w:t>W</w:t>
      </w:r>
      <w:r w:rsidR="002A2CDB" w:rsidRPr="00682FED">
        <w:rPr>
          <w:rStyle w:val="AERbody"/>
        </w:rPr>
        <w:t xml:space="preserve">e </w:t>
      </w:r>
      <w:r>
        <w:rPr>
          <w:rStyle w:val="AERbody"/>
        </w:rPr>
        <w:t xml:space="preserve">also </w:t>
      </w:r>
      <w:r w:rsidR="00682FED" w:rsidRPr="00682FED">
        <w:rPr>
          <w:rStyle w:val="AERbody"/>
        </w:rPr>
        <w:t>do not approve ActewAGL’s projected closing capital base of $</w:t>
      </w:r>
      <w:r w:rsidR="0077479A">
        <w:rPr>
          <w:rStyle w:val="AERbody"/>
        </w:rPr>
        <w:t>432.7</w:t>
      </w:r>
      <w:r w:rsidR="00682FED" w:rsidRPr="00682FED">
        <w:rPr>
          <w:rStyle w:val="AERbody"/>
        </w:rPr>
        <w:t> million ($nominal) as at 30 June 2021. We instead determine a closing capital base of $</w:t>
      </w:r>
      <w:r>
        <w:rPr>
          <w:rStyle w:val="AERbody"/>
        </w:rPr>
        <w:t>4</w:t>
      </w:r>
      <w:r w:rsidR="0027301F">
        <w:rPr>
          <w:rStyle w:val="AERbody"/>
        </w:rPr>
        <w:t>17</w:t>
      </w:r>
      <w:r>
        <w:rPr>
          <w:rStyle w:val="AERbody"/>
        </w:rPr>
        <w:t>.</w:t>
      </w:r>
      <w:r w:rsidR="0027301F">
        <w:rPr>
          <w:rStyle w:val="AERbody"/>
        </w:rPr>
        <w:t>8</w:t>
      </w:r>
      <w:r w:rsidR="00682FED" w:rsidRPr="00682FED">
        <w:rPr>
          <w:rStyle w:val="AERbody"/>
        </w:rPr>
        <w:t xml:space="preserve"> million ($nominal) as at 30 June 2021, a reduction of $</w:t>
      </w:r>
      <w:r w:rsidR="0027301F">
        <w:rPr>
          <w:rStyle w:val="AERbody"/>
        </w:rPr>
        <w:t>14.9</w:t>
      </w:r>
      <w:r w:rsidR="00682FED" w:rsidRPr="00682FED">
        <w:rPr>
          <w:rStyle w:val="AERbody"/>
        </w:rPr>
        <w:t xml:space="preserve"> million or </w:t>
      </w:r>
      <w:r w:rsidR="0027301F">
        <w:rPr>
          <w:rStyle w:val="AERbody"/>
        </w:rPr>
        <w:t>3.4</w:t>
      </w:r>
      <w:r w:rsidR="00682FED" w:rsidRPr="00682FED">
        <w:rPr>
          <w:rStyle w:val="AERbody"/>
        </w:rPr>
        <w:t xml:space="preserve"> per cent from the proposed value. The main reasons for the reduction are our adjustments to </w:t>
      </w:r>
      <w:r w:rsidR="00AC787E">
        <w:rPr>
          <w:rStyle w:val="AERbody"/>
        </w:rPr>
        <w:t>ActewAGL's</w:t>
      </w:r>
      <w:r w:rsidR="00682FED" w:rsidRPr="00682FED">
        <w:rPr>
          <w:rStyle w:val="AERbody"/>
        </w:rPr>
        <w:t xml:space="preserve"> </w:t>
      </w:r>
      <w:r w:rsidRPr="00FE3D87">
        <w:rPr>
          <w:rStyle w:val="AERbody"/>
        </w:rPr>
        <w:t>forecast inflation (attachment 3)</w:t>
      </w:r>
      <w:r>
        <w:rPr>
          <w:rStyle w:val="AERbody"/>
        </w:rPr>
        <w:t xml:space="preserve">, </w:t>
      </w:r>
      <w:r w:rsidRPr="00FE3D87">
        <w:rPr>
          <w:rStyle w:val="AERbody"/>
        </w:rPr>
        <w:t xml:space="preserve">forecast depreciation (attachment 5) </w:t>
      </w:r>
      <w:r>
        <w:rPr>
          <w:rStyle w:val="AERbody"/>
        </w:rPr>
        <w:t xml:space="preserve">and </w:t>
      </w:r>
      <w:r w:rsidR="00682FED" w:rsidRPr="00682FED">
        <w:rPr>
          <w:rStyle w:val="AERbody"/>
        </w:rPr>
        <w:t>forecast net capex (attachment 6)</w:t>
      </w:r>
      <w:r>
        <w:rPr>
          <w:rStyle w:val="AERbody"/>
        </w:rPr>
        <w:t>.</w:t>
      </w:r>
      <w:r w:rsidR="00AC787E" w:rsidRPr="00682FED">
        <w:rPr>
          <w:rStyle w:val="AERbody"/>
        </w:rPr>
        <w:t xml:space="preserve"> </w:t>
      </w:r>
    </w:p>
    <w:p w:rsidR="00682FED" w:rsidRDefault="00682FED" w:rsidP="00682FED">
      <w:r>
        <w:t>We are satisfied each of these amendments is necessary having regard to the requirements of the NGR. The reasons for our decision are discussed below.</w:t>
      </w:r>
    </w:p>
    <w:p w:rsidR="00682FED" w:rsidRDefault="00264C19" w:rsidP="00682FED">
      <w:pPr>
        <w:pStyle w:val="Heading3"/>
      </w:pPr>
      <w:bookmarkStart w:id="33" w:name="_Ref435518049"/>
      <w:bookmarkStart w:id="34" w:name="_Toc436040732"/>
      <w:bookmarkStart w:id="35" w:name="_Ref450636815"/>
      <w:bookmarkStart w:id="36" w:name="_Toc404256806"/>
      <w:bookmarkStart w:id="37" w:name="_Toc404158167"/>
      <w:bookmarkStart w:id="38" w:name="_Toc404157804"/>
      <w:bookmarkStart w:id="39" w:name="_Toc429575472"/>
      <w:bookmarkStart w:id="40" w:name="_Toc451759144"/>
      <w:r>
        <w:t xml:space="preserve">Roll forward of </w:t>
      </w:r>
      <w:r w:rsidR="00682FED">
        <w:t>capital base</w:t>
      </w:r>
      <w:r>
        <w:t xml:space="preserve"> during the 2010–15</w:t>
      </w:r>
      <w:bookmarkEnd w:id="33"/>
      <w:bookmarkEnd w:id="34"/>
      <w:r>
        <w:t xml:space="preserve"> access arrangement period</w:t>
      </w:r>
      <w:bookmarkEnd w:id="35"/>
      <w:bookmarkEnd w:id="40"/>
    </w:p>
    <w:bookmarkEnd w:id="36"/>
    <w:bookmarkEnd w:id="37"/>
    <w:bookmarkEnd w:id="38"/>
    <w:bookmarkEnd w:id="39"/>
    <w:p w:rsidR="00682FED" w:rsidRDefault="00264C19">
      <w:r w:rsidRPr="00264C19">
        <w:t xml:space="preserve">We determine </w:t>
      </w:r>
      <w:r w:rsidR="000805F6" w:rsidRPr="000805F6">
        <w:t>ActewAGL</w:t>
      </w:r>
      <w:r w:rsidR="000805F6">
        <w:t>'s</w:t>
      </w:r>
      <w:r w:rsidRPr="00264C19">
        <w:t xml:space="preserve"> opening capital base as at 1 July 2015 </w:t>
      </w:r>
      <w:r w:rsidR="000805F6">
        <w:t>to be</w:t>
      </w:r>
      <w:r w:rsidR="000805F6" w:rsidRPr="000805F6">
        <w:t xml:space="preserve"> $338.4 million ($nominal)</w:t>
      </w:r>
      <w:r w:rsidRPr="00264C19">
        <w:t>. This</w:t>
      </w:r>
      <w:r w:rsidR="000805F6">
        <w:t xml:space="preserve"> amount</w:t>
      </w:r>
      <w:r w:rsidRPr="00264C19">
        <w:t xml:space="preserve"> is $0.3 million (or 0.1 per cent) more than </w:t>
      </w:r>
      <w:r w:rsidR="00C974C4">
        <w:t>ActewAGL's</w:t>
      </w:r>
      <w:r w:rsidR="000805F6">
        <w:t xml:space="preserve"> revised proposed value of $</w:t>
      </w:r>
      <w:r w:rsidR="000805F6" w:rsidRPr="000805F6">
        <w:rPr>
          <w:rStyle w:val="AERbody"/>
        </w:rPr>
        <w:t>338.1</w:t>
      </w:r>
      <w:r w:rsidRPr="00264C19">
        <w:t>. This is because we have updated the capital base roll forward for the conforming capex for 2014–15.</w:t>
      </w:r>
    </w:p>
    <w:p w:rsidR="00FE0DD2" w:rsidRDefault="00FE0DD2" w:rsidP="00682FED">
      <w:r>
        <w:t>In our draft decision</w:t>
      </w:r>
      <w:r w:rsidR="00C90254">
        <w:t>,</w:t>
      </w:r>
      <w:r>
        <w:t xml:space="preserve"> we did not approve ActewAGL's proposed exclusion of its over-depreciated IT systems capital base value </w:t>
      </w:r>
      <w:r w:rsidR="00B951B2">
        <w:t xml:space="preserve">(resulting in a negative value for the 'IT systems' asset class) </w:t>
      </w:r>
      <w:r>
        <w:t>from the opening capital base. ActewAGL has adopted our draft decision on this</w:t>
      </w:r>
      <w:r w:rsidR="00C90254">
        <w:t xml:space="preserve"> issue</w:t>
      </w:r>
      <w:r w:rsidR="00B951B2">
        <w:t xml:space="preserve"> in its revised proposal</w:t>
      </w:r>
      <w:r>
        <w:t>.</w:t>
      </w:r>
      <w:r w:rsidR="002B1736">
        <w:rPr>
          <w:rStyle w:val="FootnoteReference"/>
        </w:rPr>
        <w:footnoteReference w:id="7"/>
      </w:r>
    </w:p>
    <w:p w:rsidR="00E26914" w:rsidRDefault="00FC479A" w:rsidP="00682FED">
      <w:r>
        <w:t>We note that ActewAGL</w:t>
      </w:r>
      <w:r w:rsidR="00F71DB7">
        <w:t>'s revised proposal</w:t>
      </w:r>
      <w:r>
        <w:t xml:space="preserve"> ha</w:t>
      </w:r>
      <w:r w:rsidR="00E26914">
        <w:t>s</w:t>
      </w:r>
      <w:r>
        <w:t xml:space="preserve"> corrected</w:t>
      </w:r>
      <w:r w:rsidR="00E26914">
        <w:t xml:space="preserve"> an error in its RFM for the reported allocation of actual capex between </w:t>
      </w:r>
      <w:r w:rsidR="009129B1">
        <w:t xml:space="preserve">the 'contract meters' and 'tariff meters' </w:t>
      </w:r>
      <w:r w:rsidR="00E26914">
        <w:t>asset class</w:t>
      </w:r>
      <w:r w:rsidR="00DA2065">
        <w:t>es</w:t>
      </w:r>
      <w:r w:rsidR="00E26914">
        <w:t>.</w:t>
      </w:r>
      <w:r w:rsidR="0000662E">
        <w:rPr>
          <w:rStyle w:val="FootnoteReference"/>
        </w:rPr>
        <w:footnoteReference w:id="8"/>
      </w:r>
      <w:r w:rsidR="00E26914">
        <w:t xml:space="preserve"> </w:t>
      </w:r>
      <w:r w:rsidR="00277EAD">
        <w:t>We accept this correction as it</w:t>
      </w:r>
      <w:r w:rsidR="00E26914">
        <w:t xml:space="preserve"> does </w:t>
      </w:r>
      <w:r w:rsidR="00277EAD">
        <w:t>not change t</w:t>
      </w:r>
      <w:r w:rsidR="00E26914">
        <w:t>he value of the opening capital base.</w:t>
      </w:r>
    </w:p>
    <w:p w:rsidR="00682FED" w:rsidRDefault="00682FED" w:rsidP="00682FED">
      <w:pPr>
        <w:pStyle w:val="HeadingBoldBlue"/>
        <w:numPr>
          <w:ilvl w:val="0"/>
          <w:numId w:val="24"/>
        </w:numPr>
      </w:pPr>
      <w:bookmarkStart w:id="41" w:name="_Ref333306080"/>
      <w:bookmarkStart w:id="42" w:name="_Toc444694934"/>
      <w:bookmarkStart w:id="43" w:name="_Toc451759145"/>
      <w:r>
        <w:t>Conforming capital expenditure in the 2010–15 access arrangement period</w:t>
      </w:r>
      <w:bookmarkEnd w:id="41"/>
      <w:bookmarkEnd w:id="42"/>
      <w:bookmarkEnd w:id="43"/>
    </w:p>
    <w:p w:rsidR="00C90254" w:rsidRDefault="00B951B2" w:rsidP="00682FED">
      <w:r w:rsidRPr="00682FED">
        <w:rPr>
          <w:rStyle w:val="AERbody"/>
        </w:rPr>
        <w:t>In</w:t>
      </w:r>
      <w:r>
        <w:t xml:space="preserve"> determining the opening capital base as at 1 July 2015, we assessed whether ActewAGL’s proposed capex amounts for the 2010–15 access arrangement are properly accounted for in the capital base roll forward. </w:t>
      </w:r>
      <w:r w:rsidR="00682FED">
        <w:t xml:space="preserve">Our assessment of </w:t>
      </w:r>
      <w:r w:rsidR="00B26067">
        <w:t xml:space="preserve">ActewAGL's </w:t>
      </w:r>
      <w:r w:rsidR="00682FED">
        <w:t xml:space="preserve">conforming capex (net of customer contributions) </w:t>
      </w:r>
      <w:r w:rsidR="00604DAF">
        <w:t xml:space="preserve">for the 2010–15 access arrangement </w:t>
      </w:r>
      <w:proofErr w:type="gramStart"/>
      <w:r w:rsidR="00604DAF">
        <w:t>period</w:t>
      </w:r>
      <w:proofErr w:type="gramEnd"/>
      <w:r w:rsidR="00604DAF">
        <w:t xml:space="preserve"> </w:t>
      </w:r>
      <w:r w:rsidR="00682FED">
        <w:t xml:space="preserve">is set out in the </w:t>
      </w:r>
      <w:r w:rsidR="00682FED" w:rsidRPr="00682FED">
        <w:rPr>
          <w:rStyle w:val="AERbody"/>
        </w:rPr>
        <w:t xml:space="preserve">capex attachment 6. </w:t>
      </w:r>
    </w:p>
    <w:p w:rsidR="0038577F" w:rsidRPr="0038577F" w:rsidRDefault="00776F63" w:rsidP="003619FD">
      <w:r>
        <w:rPr>
          <w:rStyle w:val="AERbody"/>
        </w:rPr>
        <w:t>For this final decision, we updated ActewAGL's revised proposed capex for 2014–15</w:t>
      </w:r>
      <w:r w:rsidR="003619FD">
        <w:rPr>
          <w:rStyle w:val="AERbody"/>
        </w:rPr>
        <w:t xml:space="preserve">. This is because </w:t>
      </w:r>
      <w:r w:rsidR="001F136A">
        <w:t>ActewAGL</w:t>
      </w:r>
      <w:r>
        <w:t xml:space="preserve"> </w:t>
      </w:r>
      <w:r w:rsidR="0038577F">
        <w:t xml:space="preserve">has further revised the actual capex 2014–15 after the submission of the revised proposal. As shown in attachment 6, we have accepted the updated actual capex 2014–15 as conforming capex. </w:t>
      </w:r>
      <w:r w:rsidR="00352E7F">
        <w:t>Our final decisions on ActewAGL's capital base roll</w:t>
      </w:r>
      <w:r w:rsidR="0038577F" w:rsidRPr="0038577F">
        <w:t xml:space="preserve"> forward</w:t>
      </w:r>
      <w:r w:rsidR="00352E7F">
        <w:t xml:space="preserve"> for the 2010–15 access arrangement </w:t>
      </w:r>
      <w:proofErr w:type="gramStart"/>
      <w:r w:rsidR="00352E7F">
        <w:t>period</w:t>
      </w:r>
      <w:proofErr w:type="gramEnd"/>
      <w:r w:rsidR="0038577F" w:rsidRPr="0038577F">
        <w:t xml:space="preserve"> </w:t>
      </w:r>
      <w:r w:rsidR="0038577F">
        <w:t>reflect</w:t>
      </w:r>
      <w:r w:rsidR="00352E7F">
        <w:t>s</w:t>
      </w:r>
      <w:r>
        <w:t xml:space="preserve"> </w:t>
      </w:r>
      <w:r w:rsidR="00352E7F">
        <w:t>the conforming capex for 2014–15</w:t>
      </w:r>
      <w:r>
        <w:t xml:space="preserve"> which is consistent with the requirements of the NGR.</w:t>
      </w:r>
      <w:r w:rsidRPr="009656AB">
        <w:rPr>
          <w:rStyle w:val="FootnoteReference"/>
        </w:rPr>
        <w:footnoteReference w:id="9"/>
      </w:r>
    </w:p>
    <w:p w:rsidR="00682FED" w:rsidRPr="00682FED" w:rsidRDefault="00682FED" w:rsidP="00B23396">
      <w:pPr>
        <w:pStyle w:val="Heading3"/>
        <w:keepNext/>
      </w:pPr>
      <w:bookmarkStart w:id="44" w:name="_Toc449432381"/>
      <w:bookmarkStart w:id="45" w:name="_Toc404256807"/>
      <w:bookmarkStart w:id="46" w:name="_Toc404158168"/>
      <w:bookmarkStart w:id="47" w:name="_Toc404157805"/>
      <w:bookmarkStart w:id="48" w:name="_Toc429575473"/>
      <w:bookmarkStart w:id="49" w:name="_Toc436040733"/>
      <w:bookmarkStart w:id="50" w:name="_Toc451759146"/>
      <w:bookmarkEnd w:id="44"/>
      <w:r>
        <w:t>Projected capital base over 2015–16 and the 2016–21 access arrangement period</w:t>
      </w:r>
      <w:bookmarkEnd w:id="45"/>
      <w:bookmarkEnd w:id="46"/>
      <w:bookmarkEnd w:id="47"/>
      <w:bookmarkEnd w:id="48"/>
      <w:bookmarkEnd w:id="49"/>
      <w:bookmarkEnd w:id="50"/>
    </w:p>
    <w:p w:rsidR="00682FED" w:rsidRPr="00682FED" w:rsidRDefault="00B951B2" w:rsidP="00B23396">
      <w:pPr>
        <w:keepNext/>
        <w:rPr>
          <w:rStyle w:val="AERbody"/>
        </w:rPr>
      </w:pPr>
      <w:r>
        <w:t xml:space="preserve">We do not approve ActewAGL's projected capital base </w:t>
      </w:r>
      <w:r w:rsidR="00142948">
        <w:t xml:space="preserve">as </w:t>
      </w:r>
      <w:r>
        <w:t>at 30 June 2021 in its revised proposal. Instead, w</w:t>
      </w:r>
      <w:r>
        <w:rPr>
          <w:rStyle w:val="AERbody"/>
        </w:rPr>
        <w:t>e</w:t>
      </w:r>
      <w:r w:rsidR="00A97581">
        <w:rPr>
          <w:rStyle w:val="AERbody"/>
        </w:rPr>
        <w:t xml:space="preserve"> forecast </w:t>
      </w:r>
      <w:r w:rsidR="00682FED" w:rsidRPr="00682FED">
        <w:rPr>
          <w:rStyle w:val="AERbody"/>
        </w:rPr>
        <w:t>ActewAGL’s projected capital base at 30 June 2021 to be $</w:t>
      </w:r>
      <w:r w:rsidR="006566A8" w:rsidRPr="006566A8">
        <w:rPr>
          <w:rStyle w:val="AERbody"/>
        </w:rPr>
        <w:t>4</w:t>
      </w:r>
      <w:r w:rsidR="001D1D08">
        <w:rPr>
          <w:rStyle w:val="AERbody"/>
        </w:rPr>
        <w:t>17</w:t>
      </w:r>
      <w:r w:rsidR="006566A8" w:rsidRPr="006566A8">
        <w:rPr>
          <w:rStyle w:val="AERbody"/>
        </w:rPr>
        <w:t>.</w:t>
      </w:r>
      <w:r w:rsidR="001D1D08">
        <w:rPr>
          <w:rStyle w:val="AERbody"/>
        </w:rPr>
        <w:t>8</w:t>
      </w:r>
      <w:r w:rsidR="006566A8" w:rsidRPr="006566A8">
        <w:rPr>
          <w:rStyle w:val="AERbody"/>
        </w:rPr>
        <w:t xml:space="preserve"> </w:t>
      </w:r>
      <w:r w:rsidR="00682FED" w:rsidRPr="00682FED">
        <w:rPr>
          <w:rStyle w:val="AERbody"/>
        </w:rPr>
        <w:t>million ($nominal), a reduction of $</w:t>
      </w:r>
      <w:r w:rsidR="001D1D08">
        <w:rPr>
          <w:rStyle w:val="AERbody"/>
        </w:rPr>
        <w:t>14.9</w:t>
      </w:r>
      <w:r w:rsidR="00682FED" w:rsidRPr="00682FED">
        <w:rPr>
          <w:rStyle w:val="AERbody"/>
        </w:rPr>
        <w:t xml:space="preserve"> million or </w:t>
      </w:r>
      <w:r w:rsidR="001D1D08">
        <w:rPr>
          <w:rStyle w:val="AERbody"/>
        </w:rPr>
        <w:t>3.4</w:t>
      </w:r>
      <w:r w:rsidR="00682FED" w:rsidRPr="00682FED">
        <w:rPr>
          <w:rStyle w:val="AERbody"/>
        </w:rPr>
        <w:t xml:space="preserve"> per cent from ActewAGL’s </w:t>
      </w:r>
      <w:r>
        <w:rPr>
          <w:rStyle w:val="AERbody"/>
        </w:rPr>
        <w:t xml:space="preserve">revised </w:t>
      </w:r>
      <w:r w:rsidR="00682FED" w:rsidRPr="00682FED">
        <w:rPr>
          <w:rStyle w:val="AERbody"/>
        </w:rPr>
        <w:t xml:space="preserve">proposal. This results from our </w:t>
      </w:r>
      <w:r w:rsidR="00682FED">
        <w:rPr>
          <w:rStyle w:val="AERbody"/>
        </w:rPr>
        <w:t>final</w:t>
      </w:r>
      <w:r w:rsidR="00682FED" w:rsidRPr="00682FED">
        <w:rPr>
          <w:rStyle w:val="AERbody"/>
        </w:rPr>
        <w:t xml:space="preserve"> decision on the inputs to the determination of the projected capital base. We have amended the inputs in the following ways:</w:t>
      </w:r>
    </w:p>
    <w:p w:rsidR="001D1D08" w:rsidRDefault="001D59E5" w:rsidP="001D1D08">
      <w:pPr>
        <w:pStyle w:val="AERbulletlistfirststyle"/>
        <w:rPr>
          <w:rStyle w:val="AERbody"/>
        </w:rPr>
      </w:pPr>
      <w:proofErr w:type="gramStart"/>
      <w:r>
        <w:rPr>
          <w:rStyle w:val="AERbody"/>
        </w:rPr>
        <w:t>r</w:t>
      </w:r>
      <w:r w:rsidR="001D1D08" w:rsidRPr="001D1D08">
        <w:rPr>
          <w:rStyle w:val="AERbody"/>
        </w:rPr>
        <w:t>educed</w:t>
      </w:r>
      <w:proofErr w:type="gramEnd"/>
      <w:r w:rsidR="001D1D08" w:rsidRPr="001D1D08">
        <w:rPr>
          <w:rStyle w:val="AERbody"/>
        </w:rPr>
        <w:t xml:space="preserve"> </w:t>
      </w:r>
      <w:proofErr w:type="spellStart"/>
      <w:r w:rsidR="001D1D08" w:rsidRPr="001D1D08">
        <w:rPr>
          <w:rStyle w:val="AERbody"/>
        </w:rPr>
        <w:t>ActewAGL's</w:t>
      </w:r>
      <w:proofErr w:type="spellEnd"/>
      <w:r w:rsidR="001D1D08" w:rsidRPr="001D1D08">
        <w:rPr>
          <w:rStyle w:val="AERbody"/>
        </w:rPr>
        <w:t xml:space="preserve"> revised proposed forecast inflation to 2.18 per cent per annum for 2015–16 and the 2016–21 access arrangement period from 2.19 per cent per annum. Our assessment of ActewAGL’s revised proposed forecast inflation is set out in attachment 3.</w:t>
      </w:r>
    </w:p>
    <w:p w:rsidR="001D1D08" w:rsidRPr="001D1D08" w:rsidRDefault="001D59E5" w:rsidP="001D1D08">
      <w:pPr>
        <w:pStyle w:val="AERbulletlistfirststyle"/>
        <w:rPr>
          <w:rStyle w:val="AERbody"/>
        </w:rPr>
      </w:pPr>
      <w:proofErr w:type="gramStart"/>
      <w:r>
        <w:rPr>
          <w:rStyle w:val="AERbody"/>
        </w:rPr>
        <w:t>r</w:t>
      </w:r>
      <w:r w:rsidR="001D1D08" w:rsidRPr="001D1D08">
        <w:rPr>
          <w:rStyle w:val="AERbody"/>
        </w:rPr>
        <w:t>educed</w:t>
      </w:r>
      <w:proofErr w:type="gramEnd"/>
      <w:r w:rsidR="001D1D08" w:rsidRPr="001D1D08">
        <w:rPr>
          <w:rStyle w:val="AERbody"/>
        </w:rPr>
        <w:t xml:space="preserve"> </w:t>
      </w:r>
      <w:proofErr w:type="spellStart"/>
      <w:r w:rsidR="001D1D08" w:rsidRPr="001D1D08">
        <w:rPr>
          <w:rStyle w:val="AERbody"/>
        </w:rPr>
        <w:t>ActewAGL’s</w:t>
      </w:r>
      <w:proofErr w:type="spellEnd"/>
      <w:r w:rsidR="001D1D08" w:rsidRPr="001D1D08">
        <w:rPr>
          <w:rStyle w:val="AERbody"/>
        </w:rPr>
        <w:t xml:space="preserve"> revised proposed forecast straight-line depreciation over 2015–16 and the 2016–21 access arrangement period by $0.9 million ($nominal) or 1.0 per cent. Our assessment of the revised proposed forecast depreciation is set out in attachment 5. </w:t>
      </w:r>
    </w:p>
    <w:p w:rsidR="00682FED" w:rsidRDefault="001D59E5">
      <w:pPr>
        <w:pStyle w:val="AERbulletlistfirststyle"/>
        <w:rPr>
          <w:rStyle w:val="AERbody"/>
          <w:rFonts w:cstheme="minorBidi"/>
        </w:rPr>
      </w:pPr>
      <w:proofErr w:type="gramStart"/>
      <w:r>
        <w:rPr>
          <w:rStyle w:val="AERbody"/>
        </w:rPr>
        <w:t>r</w:t>
      </w:r>
      <w:r w:rsidR="00682FED" w:rsidRPr="003C0C11">
        <w:rPr>
          <w:rStyle w:val="AERbody"/>
        </w:rPr>
        <w:t>educed</w:t>
      </w:r>
      <w:proofErr w:type="gramEnd"/>
      <w:r w:rsidR="00682FED" w:rsidRPr="003C0C11">
        <w:rPr>
          <w:rStyle w:val="AERbody"/>
        </w:rPr>
        <w:t xml:space="preserve"> </w:t>
      </w:r>
      <w:proofErr w:type="spellStart"/>
      <w:r w:rsidR="00682FED" w:rsidRPr="003C0C11">
        <w:rPr>
          <w:rStyle w:val="AERbody"/>
        </w:rPr>
        <w:t>A</w:t>
      </w:r>
      <w:r w:rsidR="00682FED" w:rsidRPr="00682FED">
        <w:rPr>
          <w:rStyle w:val="AERbody"/>
        </w:rPr>
        <w:t>ctewAGL’s</w:t>
      </w:r>
      <w:proofErr w:type="spellEnd"/>
      <w:r w:rsidR="00682FED" w:rsidRPr="00682FED">
        <w:rPr>
          <w:rStyle w:val="AERbody"/>
        </w:rPr>
        <w:t xml:space="preserve"> </w:t>
      </w:r>
      <w:r w:rsidR="00B951B2">
        <w:rPr>
          <w:rStyle w:val="AERbody"/>
        </w:rPr>
        <w:t xml:space="preserve">revised </w:t>
      </w:r>
      <w:r w:rsidR="00682FED" w:rsidRPr="00682FED">
        <w:rPr>
          <w:rStyle w:val="AERbody"/>
        </w:rPr>
        <w:t>proposed forecast net capex over 2015–16 and the 2016–21 access arrangement period by $</w:t>
      </w:r>
      <w:r w:rsidR="001D1D08">
        <w:rPr>
          <w:rStyle w:val="AERbody"/>
        </w:rPr>
        <w:t>1</w:t>
      </w:r>
      <w:r w:rsidR="007C11AE">
        <w:rPr>
          <w:rStyle w:val="AERbody"/>
        </w:rPr>
        <w:t>5</w:t>
      </w:r>
      <w:r w:rsidR="001D1D08">
        <w:rPr>
          <w:rStyle w:val="AERbody"/>
        </w:rPr>
        <w:t>.</w:t>
      </w:r>
      <w:r w:rsidR="007C11AE">
        <w:rPr>
          <w:rStyle w:val="AERbody"/>
        </w:rPr>
        <w:t>4</w:t>
      </w:r>
      <w:r w:rsidR="00682FED" w:rsidRPr="00682FED">
        <w:rPr>
          <w:rStyle w:val="AERbody"/>
        </w:rPr>
        <w:t xml:space="preserve"> million ($</w:t>
      </w:r>
      <w:r w:rsidR="007C11AE">
        <w:rPr>
          <w:rStyle w:val="AERbody"/>
        </w:rPr>
        <w:t>nominal</w:t>
      </w:r>
      <w:r w:rsidR="00682FED" w:rsidRPr="00682FED">
        <w:rPr>
          <w:rStyle w:val="AERbody"/>
        </w:rPr>
        <w:t xml:space="preserve">) or </w:t>
      </w:r>
      <w:r w:rsidR="001D1D08">
        <w:rPr>
          <w:rStyle w:val="AERbody"/>
        </w:rPr>
        <w:t>11.</w:t>
      </w:r>
      <w:r w:rsidR="007C11AE">
        <w:rPr>
          <w:rStyle w:val="AERbody"/>
        </w:rPr>
        <w:t>5</w:t>
      </w:r>
      <w:r w:rsidR="00682FED" w:rsidRPr="00682FED">
        <w:rPr>
          <w:rStyle w:val="AERbody"/>
        </w:rPr>
        <w:t xml:space="preserve"> per cent. Our assessment of the </w:t>
      </w:r>
      <w:r w:rsidR="00B951B2">
        <w:rPr>
          <w:rStyle w:val="AERbody"/>
        </w:rPr>
        <w:t xml:space="preserve">revised </w:t>
      </w:r>
      <w:r w:rsidR="00682FED" w:rsidRPr="00682FED">
        <w:rPr>
          <w:rStyle w:val="AERbody"/>
        </w:rPr>
        <w:t>proposed forecast capex is set out in attachment 6.</w:t>
      </w:r>
    </w:p>
    <w:p w:rsidR="00682FED" w:rsidRDefault="00682FED" w:rsidP="00682FED">
      <w:pPr>
        <w:pStyle w:val="Heading3"/>
      </w:pPr>
      <w:bookmarkStart w:id="51" w:name="_Toc449432383"/>
      <w:bookmarkStart w:id="52" w:name="_Toc449432384"/>
      <w:bookmarkStart w:id="53" w:name="_Toc449432385"/>
      <w:bookmarkStart w:id="54" w:name="_Toc429575474"/>
      <w:bookmarkStart w:id="55" w:name="_Toc436040734"/>
      <w:bookmarkStart w:id="56" w:name="_Toc451759147"/>
      <w:bookmarkEnd w:id="51"/>
      <w:bookmarkEnd w:id="52"/>
      <w:bookmarkEnd w:id="53"/>
      <w:r>
        <w:t>Capital base at the commencement of the 2021–26 access arrangement period</w:t>
      </w:r>
      <w:bookmarkEnd w:id="54"/>
      <w:bookmarkEnd w:id="55"/>
      <w:bookmarkEnd w:id="56"/>
    </w:p>
    <w:p w:rsidR="00682FED" w:rsidRDefault="00682FED" w:rsidP="00682FED">
      <w:r>
        <w:t xml:space="preserve">The capital base at the commencement of the 2021–26 access arrangement </w:t>
      </w:r>
      <w:proofErr w:type="gramStart"/>
      <w:r>
        <w:t>period</w:t>
      </w:r>
      <w:proofErr w:type="gramEnd"/>
      <w:r>
        <w:t xml:space="preserve"> will be subject to adjustments consistent with the NGR.</w:t>
      </w:r>
      <w:r w:rsidRPr="00682FED">
        <w:rPr>
          <w:rStyle w:val="FootnoteReference"/>
        </w:rPr>
        <w:footnoteReference w:id="10"/>
      </w:r>
      <w:r>
        <w:t xml:space="preserve"> The adjustments for ActewAGL include (but are not limited to) </w:t>
      </w:r>
      <w:r w:rsidRPr="00BF4761">
        <w:t xml:space="preserve">actual inflation and approved depreciation over </w:t>
      </w:r>
      <w:r>
        <w:t xml:space="preserve">2015–16 and the </w:t>
      </w:r>
      <w:r w:rsidRPr="00BF4761">
        <w:t>2016–21 access arrangement period.</w:t>
      </w:r>
      <w:r>
        <w:rPr>
          <w:rStyle w:val="FootnoteReference"/>
        </w:rPr>
        <w:footnoteReference w:id="11"/>
      </w:r>
      <w:r w:rsidRPr="00BF4761">
        <w:t xml:space="preserve"> </w:t>
      </w:r>
    </w:p>
    <w:p w:rsidR="00682FED" w:rsidRPr="00682FED" w:rsidRDefault="00AA5244">
      <w:r>
        <w:t>We note ActewAGL's revised proposal adopted our draft decision on the use of forecast depreciation (as approved in this final decision for 2015–16 and the 2016–21 access arrangement period) for establishing the opening capital base at 1 July 2021.</w:t>
      </w:r>
      <w:r>
        <w:rPr>
          <w:rStyle w:val="FootnoteReference"/>
        </w:rPr>
        <w:footnoteReference w:id="12"/>
      </w:r>
      <w:r>
        <w:t xml:space="preserve"> This approach is consistent with the approach outlined in the AER's </w:t>
      </w:r>
      <w:r w:rsidRPr="006302C7">
        <w:rPr>
          <w:rStyle w:val="AERtextitalic"/>
        </w:rPr>
        <w:t xml:space="preserve">Access arrangement </w:t>
      </w:r>
      <w:r w:rsidRPr="00AF2D81">
        <w:rPr>
          <w:rStyle w:val="AERtextitalic"/>
        </w:rPr>
        <w:t>g</w:t>
      </w:r>
      <w:r w:rsidRPr="006302C7">
        <w:rPr>
          <w:rStyle w:val="AERtextitalic"/>
        </w:rPr>
        <w:t>uideline</w:t>
      </w:r>
      <w:r>
        <w:t>.</w:t>
      </w:r>
      <w:r w:rsidR="00142948">
        <w:rPr>
          <w:rStyle w:val="FootnoteReference"/>
        </w:rPr>
        <w:footnoteReference w:id="13"/>
      </w:r>
      <w:r>
        <w:t xml:space="preserve"> We therefore maintain our draft decision position on this issue for this final decision.</w:t>
      </w:r>
      <w:bookmarkStart w:id="57" w:name="_Toc430706237"/>
      <w:bookmarkEnd w:id="57"/>
    </w:p>
    <w:sectPr w:rsidR="00682FED" w:rsidRPr="00682FED"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8B" w:rsidRPr="00290C63" w:rsidRDefault="005B068B" w:rsidP="00290C63">
      <w:r>
        <w:separator/>
      </w:r>
    </w:p>
    <w:p w:rsidR="005B068B" w:rsidRDefault="005B068B"/>
  </w:endnote>
  <w:endnote w:type="continuationSeparator" w:id="0">
    <w:p w:rsidR="005B068B" w:rsidRPr="00290C63" w:rsidRDefault="005B068B" w:rsidP="00290C63">
      <w:r>
        <w:continuationSeparator/>
      </w:r>
    </w:p>
    <w:p w:rsidR="005B068B" w:rsidRDefault="005B0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8B" w:rsidRDefault="005B068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5B068B" w:rsidRDefault="005B068B">
    <w:pPr>
      <w:pStyle w:val="Footer"/>
    </w:pPr>
  </w:p>
  <w:p w:rsidR="005B068B" w:rsidRDefault="005B068B">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5B068B" w:rsidRPr="00CA52A2" w:rsidRDefault="005B068B" w:rsidP="00CA52A2">
        <w:pPr>
          <w:pStyle w:val="Footer"/>
        </w:pPr>
        <w:r w:rsidRPr="00CA52A2">
          <w:fldChar w:fldCharType="begin"/>
        </w:r>
        <w:r>
          <w:instrText xml:space="preserve"> PAGE   \* MERGEFORMAT </w:instrText>
        </w:r>
        <w:r w:rsidRPr="00CA52A2">
          <w:fldChar w:fldCharType="separate"/>
        </w:r>
        <w:r w:rsidR="00324705">
          <w:rPr>
            <w:noProof/>
          </w:rPr>
          <w:t>2-11</w:t>
        </w:r>
        <w:r w:rsidRPr="00CA52A2">
          <w:fldChar w:fldCharType="end"/>
        </w:r>
        <w:r w:rsidRPr="00CA52A2">
          <w:t xml:space="preserve">          Attachment </w:t>
        </w:r>
        <w:r>
          <w:t xml:space="preserve">2 </w:t>
        </w:r>
        <w:r w:rsidRPr="00CA52A2">
          <w:t xml:space="preserve">– </w:t>
        </w:r>
        <w:r>
          <w:t xml:space="preserve">Capital base </w:t>
        </w:r>
        <w:r w:rsidRPr="00CA52A2">
          <w:t xml:space="preserve">| </w:t>
        </w:r>
        <w:r>
          <w:t>Final decision: ActewAGL Distribution Access Arrangement 2016</w:t>
        </w:r>
        <w:r w:rsidRPr="00CA52A2">
          <w:t>–</w:t>
        </w:r>
        <w:r>
          <w:t>21</w:t>
        </w:r>
      </w:p>
    </w:sdtContent>
  </w:sdt>
  <w:p w:rsidR="005B068B" w:rsidRDefault="005B068B">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8B" w:rsidRPr="00290C63" w:rsidRDefault="005B068B" w:rsidP="00290C63">
      <w:r>
        <w:separator/>
      </w:r>
    </w:p>
    <w:p w:rsidR="005B068B" w:rsidRDefault="005B068B"/>
  </w:footnote>
  <w:footnote w:type="continuationSeparator" w:id="0">
    <w:p w:rsidR="005B068B" w:rsidRPr="00290C63" w:rsidRDefault="005B068B" w:rsidP="00290C63">
      <w:r>
        <w:continuationSeparator/>
      </w:r>
    </w:p>
    <w:p w:rsidR="005B068B" w:rsidRDefault="005B068B"/>
  </w:footnote>
  <w:footnote w:id="1">
    <w:p w:rsidR="005B068B" w:rsidRDefault="005B068B" w:rsidP="00433BA0">
      <w:pPr>
        <w:pStyle w:val="FootnoteText"/>
      </w:pPr>
      <w:r>
        <w:rPr>
          <w:rStyle w:val="FootnoteReference"/>
        </w:rPr>
        <w:footnoteRef/>
      </w:r>
      <w:r>
        <w:t xml:space="preserve"> </w:t>
      </w:r>
      <w:r>
        <w:tab/>
      </w:r>
      <w:r w:rsidRPr="00433BA0">
        <w:rPr>
          <w:rStyle w:val="AERtexthighlight"/>
          <w:shd w:val="clear" w:color="auto" w:fill="auto"/>
        </w:rPr>
        <w:t>The term ‘rolled forward’ means the process of carrying over the value of the capital base from one regulatory year to the next.</w:t>
      </w:r>
      <w:r w:rsidRPr="00433BA0">
        <w:rPr>
          <w:rStyle w:val="AERtexthighlight"/>
        </w:rPr>
        <w:t xml:space="preserve">     </w:t>
      </w:r>
    </w:p>
  </w:footnote>
  <w:footnote w:id="2">
    <w:p w:rsidR="005B068B" w:rsidRDefault="005B068B" w:rsidP="00682FED">
      <w:pPr>
        <w:pStyle w:val="FootnoteText"/>
      </w:pPr>
      <w:r>
        <w:rPr>
          <w:rStyle w:val="FootnoteReference"/>
        </w:rPr>
        <w:footnoteRef/>
      </w:r>
      <w:r>
        <w:t xml:space="preserve"> </w:t>
      </w:r>
      <w:r>
        <w:tab/>
      </w:r>
      <w:r w:rsidRPr="005B068B">
        <w:t>ActewAGL Distribution</w:t>
      </w:r>
      <w:r>
        <w:t xml:space="preserve">, </w:t>
      </w:r>
      <w:r w:rsidRPr="00B23396">
        <w:rPr>
          <w:rStyle w:val="AERtextitalic"/>
        </w:rPr>
        <w:t>Access arrangement information for the ACT Queanbeyan and Palerang access arrangement—Revised in response to the AER's draft decision</w:t>
      </w:r>
      <w:r>
        <w:t xml:space="preserve">, </w:t>
      </w:r>
      <w:r w:rsidRPr="005B068B">
        <w:t>6 January 2016</w:t>
      </w:r>
      <w:r>
        <w:t>, p. 10.</w:t>
      </w:r>
    </w:p>
  </w:footnote>
  <w:footnote w:id="3">
    <w:p w:rsidR="005B068B" w:rsidRDefault="005B068B" w:rsidP="00056A8D">
      <w:pPr>
        <w:pStyle w:val="FootnoteText"/>
      </w:pPr>
      <w:r>
        <w:rPr>
          <w:rStyle w:val="FootnoteReference"/>
        </w:rPr>
        <w:footnoteRef/>
      </w:r>
      <w:r>
        <w:t xml:space="preserve"> </w:t>
      </w:r>
      <w:r>
        <w:tab/>
      </w:r>
      <w:r w:rsidRPr="005B068B">
        <w:t xml:space="preserve">ActewAGL Distribution, </w:t>
      </w:r>
      <w:r w:rsidRPr="005B068B">
        <w:rPr>
          <w:rStyle w:val="AERtextitalic"/>
        </w:rPr>
        <w:t>Access arrangement information for the ACT Queanbeyan and Palerang access arrangement—Revised in response to the AER's draft decision</w:t>
      </w:r>
      <w:r w:rsidRPr="005B068B">
        <w:t>, 6 January 2016</w:t>
      </w:r>
      <w:r>
        <w:t>, p. 10.</w:t>
      </w:r>
    </w:p>
  </w:footnote>
  <w:footnote w:id="4">
    <w:p w:rsidR="005B068B" w:rsidRDefault="005B068B">
      <w:pPr>
        <w:pStyle w:val="FootnoteText"/>
      </w:pPr>
      <w:r>
        <w:rPr>
          <w:rStyle w:val="FootnoteReference"/>
        </w:rPr>
        <w:footnoteRef/>
      </w:r>
      <w:r>
        <w:t xml:space="preserve"> </w:t>
      </w:r>
      <w:r>
        <w:tab/>
        <w:t>ActewAGL</w:t>
      </w:r>
      <w:r w:rsidR="002B3EFA">
        <w:t xml:space="preserve"> Distribution</w:t>
      </w:r>
      <w:r>
        <w:t xml:space="preserve">, </w:t>
      </w:r>
      <w:r w:rsidRPr="0063188B">
        <w:rPr>
          <w:rStyle w:val="AERtextitalic"/>
        </w:rPr>
        <w:t>Response to the AER's draft decision: 2016–21 ACT, Queanbeyan and Palerang gas network access arrangement</w:t>
      </w:r>
      <w:r>
        <w:t>, January 2016, pp. 30–31.</w:t>
      </w:r>
    </w:p>
  </w:footnote>
  <w:footnote w:id="5">
    <w:p w:rsidR="005B068B" w:rsidRDefault="005B068B">
      <w:pPr>
        <w:pStyle w:val="FootnoteText"/>
      </w:pPr>
      <w:r>
        <w:rPr>
          <w:rStyle w:val="FootnoteReference"/>
        </w:rPr>
        <w:footnoteRef/>
      </w:r>
      <w:r>
        <w:t xml:space="preserve"> </w:t>
      </w:r>
      <w:r>
        <w:tab/>
        <w:t xml:space="preserve">AER, </w:t>
      </w:r>
      <w:r w:rsidRPr="007C11AE">
        <w:rPr>
          <w:rStyle w:val="AERtextitalic"/>
        </w:rPr>
        <w:t>Draft decision: ActewAGL distribution access arrangement, attachment 2</w:t>
      </w:r>
      <w:r>
        <w:t>, November 2015, pp. 10-11.</w:t>
      </w:r>
    </w:p>
  </w:footnote>
  <w:footnote w:id="6">
    <w:p w:rsidR="005B068B" w:rsidRDefault="005B068B">
      <w:pPr>
        <w:pStyle w:val="FootnoteText"/>
      </w:pPr>
      <w:r>
        <w:rPr>
          <w:rStyle w:val="FootnoteReference"/>
        </w:rPr>
        <w:footnoteRef/>
      </w:r>
      <w:r>
        <w:t xml:space="preserve"> </w:t>
      </w:r>
      <w:r>
        <w:tab/>
        <w:t xml:space="preserve">CCP, </w:t>
      </w:r>
      <w:r w:rsidRPr="00472BF8">
        <w:rPr>
          <w:rStyle w:val="AERtextitalic"/>
        </w:rPr>
        <w:t>Advice to AER from Consumer Challenge Panel sub-panel 8 regarding the AER Draft Decision and ActewAGL Distribution's Revised Access Arrangement 2016–21 proposal</w:t>
      </w:r>
      <w:r>
        <w:t>, March 2016, p. 3.</w:t>
      </w:r>
    </w:p>
  </w:footnote>
  <w:footnote w:id="7">
    <w:p w:rsidR="005B068B" w:rsidRDefault="005B068B">
      <w:pPr>
        <w:pStyle w:val="FootnoteText"/>
      </w:pPr>
      <w:r>
        <w:rPr>
          <w:rStyle w:val="FootnoteReference"/>
        </w:rPr>
        <w:footnoteRef/>
      </w:r>
      <w:r>
        <w:t xml:space="preserve"> </w:t>
      </w:r>
      <w:r>
        <w:tab/>
      </w:r>
      <w:proofErr w:type="gramStart"/>
      <w:r>
        <w:t>ActewAGL</w:t>
      </w:r>
      <w:r w:rsidR="002B3EFA">
        <w:t xml:space="preserve"> Distribution</w:t>
      </w:r>
      <w:r>
        <w:t xml:space="preserve">, </w:t>
      </w:r>
      <w:r w:rsidRPr="007C11AE">
        <w:rPr>
          <w:rStyle w:val="AERtextitalic"/>
        </w:rPr>
        <w:t>Response to the AER's draft decision–2016-21 ACT, Queanbeyan and Palerang gas network access arrangement</w:t>
      </w:r>
      <w:r>
        <w:t>, January 2016, p. 30.</w:t>
      </w:r>
      <w:proofErr w:type="gramEnd"/>
    </w:p>
  </w:footnote>
  <w:footnote w:id="8">
    <w:p w:rsidR="005B068B" w:rsidRDefault="005B068B">
      <w:pPr>
        <w:pStyle w:val="FootnoteText"/>
      </w:pPr>
      <w:r>
        <w:rPr>
          <w:rStyle w:val="FootnoteReference"/>
        </w:rPr>
        <w:footnoteRef/>
      </w:r>
      <w:r>
        <w:t xml:space="preserve"> </w:t>
      </w:r>
      <w:r>
        <w:tab/>
      </w:r>
      <w:proofErr w:type="gramStart"/>
      <w:r>
        <w:t>ActewAGL</w:t>
      </w:r>
      <w:r w:rsidR="002B3EFA">
        <w:t xml:space="preserve"> Distribution</w:t>
      </w:r>
      <w:r>
        <w:t xml:space="preserve">, </w:t>
      </w:r>
      <w:r w:rsidRPr="007C11AE">
        <w:rPr>
          <w:rStyle w:val="AERtextitalic"/>
        </w:rPr>
        <w:t>Response to the AER's draft decision–2016-21 ACT, Queanbeyan and Palerang gas network access arrangement</w:t>
      </w:r>
      <w:r>
        <w:t>, January 2016, p. 31.</w:t>
      </w:r>
      <w:proofErr w:type="gramEnd"/>
    </w:p>
  </w:footnote>
  <w:footnote w:id="9">
    <w:p w:rsidR="005B068B" w:rsidRDefault="005B068B" w:rsidP="00776F63">
      <w:pPr>
        <w:pStyle w:val="FootnoteText"/>
      </w:pPr>
      <w:r>
        <w:rPr>
          <w:rStyle w:val="FootnoteReference"/>
        </w:rPr>
        <w:footnoteRef/>
      </w:r>
      <w:r>
        <w:t xml:space="preserve"> </w:t>
      </w:r>
      <w:r>
        <w:tab/>
        <w:t xml:space="preserve">NGR, </w:t>
      </w:r>
      <w:r>
        <w:rPr>
          <w:rFonts w:eastAsia="Calibri"/>
        </w:rPr>
        <w:t>r. 77(2</w:t>
      </w:r>
      <w:proofErr w:type="gramStart"/>
      <w:r>
        <w:rPr>
          <w:rFonts w:eastAsia="Calibri"/>
        </w:rPr>
        <w:t>)(</w:t>
      </w:r>
      <w:proofErr w:type="gramEnd"/>
      <w:r>
        <w:rPr>
          <w:rFonts w:eastAsia="Calibri"/>
        </w:rPr>
        <w:t>b).</w:t>
      </w:r>
    </w:p>
  </w:footnote>
  <w:footnote w:id="10">
    <w:p w:rsidR="005B068B" w:rsidRDefault="005B068B" w:rsidP="00682FED">
      <w:pPr>
        <w:pStyle w:val="FootnoteText"/>
      </w:pPr>
      <w:r>
        <w:rPr>
          <w:rStyle w:val="FootnoteReference"/>
        </w:rPr>
        <w:footnoteRef/>
      </w:r>
      <w:r>
        <w:t xml:space="preserve"> </w:t>
      </w:r>
      <w:r>
        <w:tab/>
      </w:r>
      <w:proofErr w:type="gramStart"/>
      <w:r>
        <w:t xml:space="preserve">NGR, </w:t>
      </w:r>
      <w:r>
        <w:rPr>
          <w:rFonts w:eastAsia="Calibri"/>
        </w:rPr>
        <w:t>r. 77(2).</w:t>
      </w:r>
      <w:proofErr w:type="gramEnd"/>
    </w:p>
  </w:footnote>
  <w:footnote w:id="11">
    <w:p w:rsidR="005B068B" w:rsidRDefault="005B068B" w:rsidP="00682FED">
      <w:pPr>
        <w:pStyle w:val="FootnoteText"/>
      </w:pPr>
      <w:r>
        <w:rPr>
          <w:rStyle w:val="FootnoteReference"/>
        </w:rPr>
        <w:footnoteRef/>
      </w:r>
      <w:r>
        <w:t xml:space="preserve"> </w:t>
      </w:r>
      <w:r>
        <w:tab/>
        <w:t xml:space="preserve">For this final decision we have included the actual capex for the last year of the 2010–15 access arrangement </w:t>
      </w:r>
      <w:proofErr w:type="gramStart"/>
      <w:r>
        <w:t>period</w:t>
      </w:r>
      <w:proofErr w:type="gramEnd"/>
      <w:r>
        <w:t xml:space="preserve"> (2014–15). Therefore, there is no need to make a true-up adjustment for 2014–15 capex at the next access arrangement review.</w:t>
      </w:r>
    </w:p>
  </w:footnote>
  <w:footnote w:id="12">
    <w:p w:rsidR="005B068B" w:rsidRDefault="005B068B" w:rsidP="00AA5244">
      <w:pPr>
        <w:pStyle w:val="FootnoteText"/>
      </w:pPr>
      <w:r>
        <w:rPr>
          <w:rStyle w:val="FootnoteReference"/>
        </w:rPr>
        <w:footnoteRef/>
      </w:r>
      <w:r>
        <w:t xml:space="preserve"> </w:t>
      </w:r>
      <w:r>
        <w:tab/>
      </w:r>
      <w:proofErr w:type="gramStart"/>
      <w:r>
        <w:t>ActewAGL</w:t>
      </w:r>
      <w:r w:rsidR="002B3EFA">
        <w:t xml:space="preserve"> Distribution</w:t>
      </w:r>
      <w:r>
        <w:t xml:space="preserve">, </w:t>
      </w:r>
      <w:r w:rsidRPr="00E26914">
        <w:rPr>
          <w:rStyle w:val="AERtextitalic"/>
        </w:rPr>
        <w:t xml:space="preserve">Response to the AER's draft decision, </w:t>
      </w:r>
      <w:r w:rsidRPr="00AA5244">
        <w:rPr>
          <w:rStyle w:val="AERtextitalic"/>
        </w:rPr>
        <w:t>2016–21 ACT, Que</w:t>
      </w:r>
      <w:r w:rsidRPr="000F5B8C">
        <w:rPr>
          <w:rStyle w:val="AERtextitalic"/>
        </w:rPr>
        <w:t>anbeyan</w:t>
      </w:r>
      <w:r>
        <w:rPr>
          <w:rStyle w:val="AERtextitalic"/>
        </w:rPr>
        <w:t xml:space="preserve"> and Palerang gas network access arrangement,</w:t>
      </w:r>
      <w:r>
        <w:t xml:space="preserve"> January 2016, p. 30.</w:t>
      </w:r>
      <w:proofErr w:type="gramEnd"/>
      <w:r>
        <w:t xml:space="preserve"> </w:t>
      </w:r>
    </w:p>
  </w:footnote>
  <w:footnote w:id="13">
    <w:p w:rsidR="005B068B" w:rsidRDefault="005B068B" w:rsidP="00142948">
      <w:pPr>
        <w:pStyle w:val="FootnoteText"/>
      </w:pPr>
      <w:r>
        <w:rPr>
          <w:rStyle w:val="FootnoteReference"/>
        </w:rPr>
        <w:footnoteRef/>
      </w:r>
      <w:r>
        <w:t xml:space="preserve"> </w:t>
      </w:r>
      <w:r>
        <w:tab/>
      </w:r>
      <w:proofErr w:type="gramStart"/>
      <w:r>
        <w:t xml:space="preserve">AER, </w:t>
      </w:r>
      <w:r>
        <w:rPr>
          <w:rStyle w:val="AERtextitalic"/>
        </w:rPr>
        <w:t>Final access arrangement guideline</w:t>
      </w:r>
      <w:r>
        <w:t>, March 2009, pp. 61</w:t>
      </w:r>
      <w:r w:rsidRPr="00AA5244">
        <w:t>–</w:t>
      </w:r>
      <w:r>
        <w:t>62.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8B" w:rsidRDefault="008B36EE">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5B068B">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8B" w:rsidRDefault="008B36EE">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E09C8320"/>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WK6dFDPNigj1jBMMP2HUKoLiXBwu/vbcizjiHbWimX4=" w:saltValue="etd6z7t/vaWCuPUNosUr3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780\AER15 4331  AER - Final decision Amadeus Gas Pipeline Access Arrangement - Attachment 2 - Capital base - April 2016.DOCX"/>
  </w:docVars>
  <w:rsids>
    <w:rsidRoot w:val="00961A4A"/>
    <w:rsid w:val="00004633"/>
    <w:rsid w:val="0000662E"/>
    <w:rsid w:val="00010286"/>
    <w:rsid w:val="00021202"/>
    <w:rsid w:val="00021C2B"/>
    <w:rsid w:val="0002517F"/>
    <w:rsid w:val="00026495"/>
    <w:rsid w:val="0003578C"/>
    <w:rsid w:val="000401AF"/>
    <w:rsid w:val="00041DDA"/>
    <w:rsid w:val="000424AA"/>
    <w:rsid w:val="00056A8D"/>
    <w:rsid w:val="00063247"/>
    <w:rsid w:val="00063A92"/>
    <w:rsid w:val="00070F9F"/>
    <w:rsid w:val="0007137B"/>
    <w:rsid w:val="000728BC"/>
    <w:rsid w:val="000805F6"/>
    <w:rsid w:val="00085663"/>
    <w:rsid w:val="00085EBF"/>
    <w:rsid w:val="00085F93"/>
    <w:rsid w:val="00091B15"/>
    <w:rsid w:val="000A1E7C"/>
    <w:rsid w:val="000A3020"/>
    <w:rsid w:val="000A6C7B"/>
    <w:rsid w:val="000B0360"/>
    <w:rsid w:val="000B55D1"/>
    <w:rsid w:val="000C2B40"/>
    <w:rsid w:val="000D01F4"/>
    <w:rsid w:val="000D0579"/>
    <w:rsid w:val="000D06C1"/>
    <w:rsid w:val="000D122C"/>
    <w:rsid w:val="000D3016"/>
    <w:rsid w:val="000D64F2"/>
    <w:rsid w:val="000D7F32"/>
    <w:rsid w:val="000E1819"/>
    <w:rsid w:val="000E1975"/>
    <w:rsid w:val="000E25BA"/>
    <w:rsid w:val="000E4821"/>
    <w:rsid w:val="000E6C72"/>
    <w:rsid w:val="000F0B2B"/>
    <w:rsid w:val="000F3E72"/>
    <w:rsid w:val="000F48B1"/>
    <w:rsid w:val="000F5B8C"/>
    <w:rsid w:val="000F723D"/>
    <w:rsid w:val="0010048C"/>
    <w:rsid w:val="00100F64"/>
    <w:rsid w:val="00103A67"/>
    <w:rsid w:val="00116EB2"/>
    <w:rsid w:val="00124609"/>
    <w:rsid w:val="00124A85"/>
    <w:rsid w:val="00126A4C"/>
    <w:rsid w:val="00134053"/>
    <w:rsid w:val="00142948"/>
    <w:rsid w:val="00142AB6"/>
    <w:rsid w:val="0014573B"/>
    <w:rsid w:val="00147E70"/>
    <w:rsid w:val="00156DCC"/>
    <w:rsid w:val="001573E4"/>
    <w:rsid w:val="00160756"/>
    <w:rsid w:val="0017232E"/>
    <w:rsid w:val="00174102"/>
    <w:rsid w:val="0017480F"/>
    <w:rsid w:val="001754EE"/>
    <w:rsid w:val="00180157"/>
    <w:rsid w:val="00182467"/>
    <w:rsid w:val="00185CB9"/>
    <w:rsid w:val="00186F77"/>
    <w:rsid w:val="001926A4"/>
    <w:rsid w:val="00192AD5"/>
    <w:rsid w:val="001A2328"/>
    <w:rsid w:val="001A6D85"/>
    <w:rsid w:val="001B3F62"/>
    <w:rsid w:val="001B45A0"/>
    <w:rsid w:val="001B45C0"/>
    <w:rsid w:val="001B6F2E"/>
    <w:rsid w:val="001B7D00"/>
    <w:rsid w:val="001C17E7"/>
    <w:rsid w:val="001D055E"/>
    <w:rsid w:val="001D0F02"/>
    <w:rsid w:val="001D1D08"/>
    <w:rsid w:val="001D25B2"/>
    <w:rsid w:val="001D59E5"/>
    <w:rsid w:val="001E009C"/>
    <w:rsid w:val="001E2625"/>
    <w:rsid w:val="001E5FE2"/>
    <w:rsid w:val="001F05A4"/>
    <w:rsid w:val="001F136A"/>
    <w:rsid w:val="001F36F8"/>
    <w:rsid w:val="001F492E"/>
    <w:rsid w:val="001F6DA3"/>
    <w:rsid w:val="002010BC"/>
    <w:rsid w:val="002016E7"/>
    <w:rsid w:val="00201F98"/>
    <w:rsid w:val="00202E03"/>
    <w:rsid w:val="0020478D"/>
    <w:rsid w:val="0020492C"/>
    <w:rsid w:val="00205A33"/>
    <w:rsid w:val="002220CC"/>
    <w:rsid w:val="00224102"/>
    <w:rsid w:val="0022444D"/>
    <w:rsid w:val="00224DB9"/>
    <w:rsid w:val="00227DCE"/>
    <w:rsid w:val="0023276C"/>
    <w:rsid w:val="00233775"/>
    <w:rsid w:val="00245624"/>
    <w:rsid w:val="00251745"/>
    <w:rsid w:val="0026301C"/>
    <w:rsid w:val="00263AC0"/>
    <w:rsid w:val="00264264"/>
    <w:rsid w:val="00264C19"/>
    <w:rsid w:val="002654CA"/>
    <w:rsid w:val="0026772D"/>
    <w:rsid w:val="0027301F"/>
    <w:rsid w:val="00277554"/>
    <w:rsid w:val="00277EAD"/>
    <w:rsid w:val="00286874"/>
    <w:rsid w:val="00290C63"/>
    <w:rsid w:val="002939C7"/>
    <w:rsid w:val="00296B65"/>
    <w:rsid w:val="0029724D"/>
    <w:rsid w:val="002A2129"/>
    <w:rsid w:val="002A2CDB"/>
    <w:rsid w:val="002A6688"/>
    <w:rsid w:val="002A7DEF"/>
    <w:rsid w:val="002B1003"/>
    <w:rsid w:val="002B1736"/>
    <w:rsid w:val="002B3EFA"/>
    <w:rsid w:val="002B573C"/>
    <w:rsid w:val="002B7A5D"/>
    <w:rsid w:val="002C233C"/>
    <w:rsid w:val="002D72E8"/>
    <w:rsid w:val="002D7AE7"/>
    <w:rsid w:val="002E7B22"/>
    <w:rsid w:val="002F02AB"/>
    <w:rsid w:val="002F4133"/>
    <w:rsid w:val="002F7986"/>
    <w:rsid w:val="00301B40"/>
    <w:rsid w:val="00301F1F"/>
    <w:rsid w:val="003029A5"/>
    <w:rsid w:val="003029EE"/>
    <w:rsid w:val="0030370B"/>
    <w:rsid w:val="00305CC8"/>
    <w:rsid w:val="00307F6D"/>
    <w:rsid w:val="003130C9"/>
    <w:rsid w:val="00316964"/>
    <w:rsid w:val="003177A2"/>
    <w:rsid w:val="00320869"/>
    <w:rsid w:val="00324705"/>
    <w:rsid w:val="00326B1D"/>
    <w:rsid w:val="003271B5"/>
    <w:rsid w:val="0032744A"/>
    <w:rsid w:val="00327A1E"/>
    <w:rsid w:val="00331264"/>
    <w:rsid w:val="003330C0"/>
    <w:rsid w:val="003338A2"/>
    <w:rsid w:val="00334C8D"/>
    <w:rsid w:val="0033548E"/>
    <w:rsid w:val="00343A18"/>
    <w:rsid w:val="00344473"/>
    <w:rsid w:val="00344D08"/>
    <w:rsid w:val="003457F9"/>
    <w:rsid w:val="00347114"/>
    <w:rsid w:val="003518B3"/>
    <w:rsid w:val="00352E7F"/>
    <w:rsid w:val="003578CD"/>
    <w:rsid w:val="003619FD"/>
    <w:rsid w:val="003666F2"/>
    <w:rsid w:val="003717D8"/>
    <w:rsid w:val="00375725"/>
    <w:rsid w:val="003846F1"/>
    <w:rsid w:val="0038577F"/>
    <w:rsid w:val="003903D4"/>
    <w:rsid w:val="00391BF0"/>
    <w:rsid w:val="003931A7"/>
    <w:rsid w:val="00393646"/>
    <w:rsid w:val="003B484F"/>
    <w:rsid w:val="003B7FBA"/>
    <w:rsid w:val="003F174D"/>
    <w:rsid w:val="003F572D"/>
    <w:rsid w:val="003F7442"/>
    <w:rsid w:val="00415F31"/>
    <w:rsid w:val="0042205D"/>
    <w:rsid w:val="00423A77"/>
    <w:rsid w:val="00433BA0"/>
    <w:rsid w:val="00436ECD"/>
    <w:rsid w:val="004373CE"/>
    <w:rsid w:val="00440395"/>
    <w:rsid w:val="00452473"/>
    <w:rsid w:val="0045777E"/>
    <w:rsid w:val="00461B0F"/>
    <w:rsid w:val="00461C29"/>
    <w:rsid w:val="00472BF8"/>
    <w:rsid w:val="00474EC7"/>
    <w:rsid w:val="0048005B"/>
    <w:rsid w:val="00480B4B"/>
    <w:rsid w:val="00485DC4"/>
    <w:rsid w:val="004A0A5E"/>
    <w:rsid w:val="004A35AD"/>
    <w:rsid w:val="004A43D1"/>
    <w:rsid w:val="004B355D"/>
    <w:rsid w:val="004B4412"/>
    <w:rsid w:val="004C0C43"/>
    <w:rsid w:val="004C348C"/>
    <w:rsid w:val="004C6A30"/>
    <w:rsid w:val="004D1A96"/>
    <w:rsid w:val="004D55BA"/>
    <w:rsid w:val="004E22EC"/>
    <w:rsid w:val="004E2A4C"/>
    <w:rsid w:val="004F38C7"/>
    <w:rsid w:val="004F6A0E"/>
    <w:rsid w:val="00530128"/>
    <w:rsid w:val="00532467"/>
    <w:rsid w:val="00537FD6"/>
    <w:rsid w:val="0054588F"/>
    <w:rsid w:val="00547004"/>
    <w:rsid w:val="00564A4D"/>
    <w:rsid w:val="0056588A"/>
    <w:rsid w:val="00567BA5"/>
    <w:rsid w:val="00571B35"/>
    <w:rsid w:val="00571D57"/>
    <w:rsid w:val="0057423D"/>
    <w:rsid w:val="00577A09"/>
    <w:rsid w:val="005829C2"/>
    <w:rsid w:val="00584D8F"/>
    <w:rsid w:val="00585A4E"/>
    <w:rsid w:val="00586819"/>
    <w:rsid w:val="0059476F"/>
    <w:rsid w:val="0059704C"/>
    <w:rsid w:val="005A404D"/>
    <w:rsid w:val="005B068B"/>
    <w:rsid w:val="005B1E3C"/>
    <w:rsid w:val="005B3FB7"/>
    <w:rsid w:val="005B4D33"/>
    <w:rsid w:val="005B704A"/>
    <w:rsid w:val="005C0A7F"/>
    <w:rsid w:val="005C26CC"/>
    <w:rsid w:val="005C4C9C"/>
    <w:rsid w:val="005C6218"/>
    <w:rsid w:val="005D03B1"/>
    <w:rsid w:val="005D6728"/>
    <w:rsid w:val="005D7BA2"/>
    <w:rsid w:val="005E36C2"/>
    <w:rsid w:val="005F0183"/>
    <w:rsid w:val="005F52F3"/>
    <w:rsid w:val="005F727F"/>
    <w:rsid w:val="006007DE"/>
    <w:rsid w:val="00601638"/>
    <w:rsid w:val="00604DAF"/>
    <w:rsid w:val="00610EF9"/>
    <w:rsid w:val="00612F4F"/>
    <w:rsid w:val="00615C6B"/>
    <w:rsid w:val="00615FC4"/>
    <w:rsid w:val="00617E63"/>
    <w:rsid w:val="00620DC3"/>
    <w:rsid w:val="00621DCE"/>
    <w:rsid w:val="00625491"/>
    <w:rsid w:val="006307C7"/>
    <w:rsid w:val="0063188B"/>
    <w:rsid w:val="00632D6D"/>
    <w:rsid w:val="00635B1F"/>
    <w:rsid w:val="00640812"/>
    <w:rsid w:val="00642C3E"/>
    <w:rsid w:val="00651825"/>
    <w:rsid w:val="00651C3A"/>
    <w:rsid w:val="00651CB2"/>
    <w:rsid w:val="006560CA"/>
    <w:rsid w:val="006566A8"/>
    <w:rsid w:val="0066104A"/>
    <w:rsid w:val="00663DAD"/>
    <w:rsid w:val="00665649"/>
    <w:rsid w:val="00666E20"/>
    <w:rsid w:val="006672AA"/>
    <w:rsid w:val="00675E20"/>
    <w:rsid w:val="00676679"/>
    <w:rsid w:val="006812E7"/>
    <w:rsid w:val="00682FED"/>
    <w:rsid w:val="00683C89"/>
    <w:rsid w:val="00684C16"/>
    <w:rsid w:val="0068540F"/>
    <w:rsid w:val="00691D9A"/>
    <w:rsid w:val="0069783C"/>
    <w:rsid w:val="006A2D19"/>
    <w:rsid w:val="006A3C8F"/>
    <w:rsid w:val="006A7CB9"/>
    <w:rsid w:val="006A7D76"/>
    <w:rsid w:val="006B2395"/>
    <w:rsid w:val="006B45A4"/>
    <w:rsid w:val="006B4CF9"/>
    <w:rsid w:val="006B785B"/>
    <w:rsid w:val="006B7AC8"/>
    <w:rsid w:val="006B7FE4"/>
    <w:rsid w:val="006C1736"/>
    <w:rsid w:val="006C4798"/>
    <w:rsid w:val="006C774D"/>
    <w:rsid w:val="006D22F2"/>
    <w:rsid w:val="006D550F"/>
    <w:rsid w:val="006E3F76"/>
    <w:rsid w:val="006E46A6"/>
    <w:rsid w:val="006F1F83"/>
    <w:rsid w:val="006F3AD1"/>
    <w:rsid w:val="006F3FC8"/>
    <w:rsid w:val="006F6183"/>
    <w:rsid w:val="006F642F"/>
    <w:rsid w:val="0070011E"/>
    <w:rsid w:val="00701CAB"/>
    <w:rsid w:val="00707563"/>
    <w:rsid w:val="0072348C"/>
    <w:rsid w:val="00724A37"/>
    <w:rsid w:val="007303C3"/>
    <w:rsid w:val="00741C46"/>
    <w:rsid w:val="00741E23"/>
    <w:rsid w:val="007429BE"/>
    <w:rsid w:val="00743223"/>
    <w:rsid w:val="00746E01"/>
    <w:rsid w:val="00747EEA"/>
    <w:rsid w:val="00750F60"/>
    <w:rsid w:val="007516FF"/>
    <w:rsid w:val="00752C8D"/>
    <w:rsid w:val="00757364"/>
    <w:rsid w:val="00757BDF"/>
    <w:rsid w:val="0076068A"/>
    <w:rsid w:val="007609D0"/>
    <w:rsid w:val="00763618"/>
    <w:rsid w:val="00763E5D"/>
    <w:rsid w:val="00766526"/>
    <w:rsid w:val="00767740"/>
    <w:rsid w:val="00767F56"/>
    <w:rsid w:val="007702F4"/>
    <w:rsid w:val="0077479A"/>
    <w:rsid w:val="00776F63"/>
    <w:rsid w:val="00777EE6"/>
    <w:rsid w:val="00782EEA"/>
    <w:rsid w:val="007923E3"/>
    <w:rsid w:val="007974AD"/>
    <w:rsid w:val="007A10C5"/>
    <w:rsid w:val="007A4D17"/>
    <w:rsid w:val="007A7002"/>
    <w:rsid w:val="007A7136"/>
    <w:rsid w:val="007A7F63"/>
    <w:rsid w:val="007B011C"/>
    <w:rsid w:val="007B186E"/>
    <w:rsid w:val="007B2C72"/>
    <w:rsid w:val="007B6C52"/>
    <w:rsid w:val="007C11AE"/>
    <w:rsid w:val="007C1C53"/>
    <w:rsid w:val="007C74BB"/>
    <w:rsid w:val="007D456E"/>
    <w:rsid w:val="007E42F4"/>
    <w:rsid w:val="007E4904"/>
    <w:rsid w:val="007E4CB5"/>
    <w:rsid w:val="007F066B"/>
    <w:rsid w:val="007F213A"/>
    <w:rsid w:val="007F75C4"/>
    <w:rsid w:val="00801B91"/>
    <w:rsid w:val="008033C4"/>
    <w:rsid w:val="008057DE"/>
    <w:rsid w:val="00806C88"/>
    <w:rsid w:val="00810070"/>
    <w:rsid w:val="0081034E"/>
    <w:rsid w:val="00812B03"/>
    <w:rsid w:val="00815CAC"/>
    <w:rsid w:val="008168E7"/>
    <w:rsid w:val="00821004"/>
    <w:rsid w:val="008221F2"/>
    <w:rsid w:val="00825985"/>
    <w:rsid w:val="008301A7"/>
    <w:rsid w:val="008301B2"/>
    <w:rsid w:val="008344F6"/>
    <w:rsid w:val="0083510F"/>
    <w:rsid w:val="008408C5"/>
    <w:rsid w:val="008414FC"/>
    <w:rsid w:val="00847887"/>
    <w:rsid w:val="00851209"/>
    <w:rsid w:val="0085722A"/>
    <w:rsid w:val="00862B19"/>
    <w:rsid w:val="00864B35"/>
    <w:rsid w:val="00866D99"/>
    <w:rsid w:val="00867CF6"/>
    <w:rsid w:val="00874963"/>
    <w:rsid w:val="008749E0"/>
    <w:rsid w:val="00874CD0"/>
    <w:rsid w:val="00882481"/>
    <w:rsid w:val="008837AC"/>
    <w:rsid w:val="008A587D"/>
    <w:rsid w:val="008A7B7A"/>
    <w:rsid w:val="008B35CD"/>
    <w:rsid w:val="008B36EE"/>
    <w:rsid w:val="008B48D8"/>
    <w:rsid w:val="008B5FCC"/>
    <w:rsid w:val="008B7544"/>
    <w:rsid w:val="008C3374"/>
    <w:rsid w:val="008C39F0"/>
    <w:rsid w:val="008C5486"/>
    <w:rsid w:val="008C63DF"/>
    <w:rsid w:val="008C708B"/>
    <w:rsid w:val="008D1661"/>
    <w:rsid w:val="008D25E2"/>
    <w:rsid w:val="008D6800"/>
    <w:rsid w:val="008E5F43"/>
    <w:rsid w:val="008E7031"/>
    <w:rsid w:val="008E77DE"/>
    <w:rsid w:val="008F07A3"/>
    <w:rsid w:val="008F16B3"/>
    <w:rsid w:val="008F34DD"/>
    <w:rsid w:val="009001B6"/>
    <w:rsid w:val="00900E1B"/>
    <w:rsid w:val="00901C3C"/>
    <w:rsid w:val="009038ED"/>
    <w:rsid w:val="009129B1"/>
    <w:rsid w:val="00922E99"/>
    <w:rsid w:val="009233EE"/>
    <w:rsid w:val="00923CFC"/>
    <w:rsid w:val="00923FA9"/>
    <w:rsid w:val="009272AD"/>
    <w:rsid w:val="009277DC"/>
    <w:rsid w:val="009321D2"/>
    <w:rsid w:val="009460AA"/>
    <w:rsid w:val="0094641C"/>
    <w:rsid w:val="00951978"/>
    <w:rsid w:val="00961115"/>
    <w:rsid w:val="00961A4A"/>
    <w:rsid w:val="009661DE"/>
    <w:rsid w:val="0097682B"/>
    <w:rsid w:val="00983C25"/>
    <w:rsid w:val="009856B7"/>
    <w:rsid w:val="00985C86"/>
    <w:rsid w:val="00996BAF"/>
    <w:rsid w:val="009972D8"/>
    <w:rsid w:val="009A4FAA"/>
    <w:rsid w:val="009A5113"/>
    <w:rsid w:val="009A539D"/>
    <w:rsid w:val="009A5FC3"/>
    <w:rsid w:val="009B5DC8"/>
    <w:rsid w:val="009B6BF2"/>
    <w:rsid w:val="009B6F84"/>
    <w:rsid w:val="009B7343"/>
    <w:rsid w:val="009B74B0"/>
    <w:rsid w:val="009C691D"/>
    <w:rsid w:val="009D2B38"/>
    <w:rsid w:val="009D3906"/>
    <w:rsid w:val="009D6B46"/>
    <w:rsid w:val="009E0942"/>
    <w:rsid w:val="009F4940"/>
    <w:rsid w:val="009F5BA1"/>
    <w:rsid w:val="00A02A88"/>
    <w:rsid w:val="00A0562E"/>
    <w:rsid w:val="00A06085"/>
    <w:rsid w:val="00A0726D"/>
    <w:rsid w:val="00A16596"/>
    <w:rsid w:val="00A228F2"/>
    <w:rsid w:val="00A2303E"/>
    <w:rsid w:val="00A32FBB"/>
    <w:rsid w:val="00A428EE"/>
    <w:rsid w:val="00A4478A"/>
    <w:rsid w:val="00A44852"/>
    <w:rsid w:val="00A45717"/>
    <w:rsid w:val="00A4650A"/>
    <w:rsid w:val="00A50502"/>
    <w:rsid w:val="00A57D04"/>
    <w:rsid w:val="00A60A26"/>
    <w:rsid w:val="00A61598"/>
    <w:rsid w:val="00A7259C"/>
    <w:rsid w:val="00A75557"/>
    <w:rsid w:val="00A84A99"/>
    <w:rsid w:val="00A84F46"/>
    <w:rsid w:val="00A871F4"/>
    <w:rsid w:val="00A90AA4"/>
    <w:rsid w:val="00A923BF"/>
    <w:rsid w:val="00A95D46"/>
    <w:rsid w:val="00A96009"/>
    <w:rsid w:val="00A97581"/>
    <w:rsid w:val="00AA5244"/>
    <w:rsid w:val="00AB47E1"/>
    <w:rsid w:val="00AB7920"/>
    <w:rsid w:val="00AC11C7"/>
    <w:rsid w:val="00AC1B2C"/>
    <w:rsid w:val="00AC2371"/>
    <w:rsid w:val="00AC3264"/>
    <w:rsid w:val="00AC787E"/>
    <w:rsid w:val="00AD3884"/>
    <w:rsid w:val="00AD7B56"/>
    <w:rsid w:val="00AE1BF1"/>
    <w:rsid w:val="00AF0DD2"/>
    <w:rsid w:val="00B0209D"/>
    <w:rsid w:val="00B02165"/>
    <w:rsid w:val="00B02961"/>
    <w:rsid w:val="00B04908"/>
    <w:rsid w:val="00B04B4C"/>
    <w:rsid w:val="00B07CEA"/>
    <w:rsid w:val="00B13048"/>
    <w:rsid w:val="00B1716D"/>
    <w:rsid w:val="00B17A1D"/>
    <w:rsid w:val="00B200D2"/>
    <w:rsid w:val="00B207A0"/>
    <w:rsid w:val="00B21789"/>
    <w:rsid w:val="00B23396"/>
    <w:rsid w:val="00B26067"/>
    <w:rsid w:val="00B40CAA"/>
    <w:rsid w:val="00B514DD"/>
    <w:rsid w:val="00B51F3F"/>
    <w:rsid w:val="00B52AF0"/>
    <w:rsid w:val="00B54AC4"/>
    <w:rsid w:val="00B561BD"/>
    <w:rsid w:val="00B56E03"/>
    <w:rsid w:val="00B61EDF"/>
    <w:rsid w:val="00B6271E"/>
    <w:rsid w:val="00B74AC5"/>
    <w:rsid w:val="00B757A6"/>
    <w:rsid w:val="00B8080B"/>
    <w:rsid w:val="00B82223"/>
    <w:rsid w:val="00B87BA5"/>
    <w:rsid w:val="00B87C39"/>
    <w:rsid w:val="00B9186B"/>
    <w:rsid w:val="00B951B2"/>
    <w:rsid w:val="00B9562D"/>
    <w:rsid w:val="00BA0731"/>
    <w:rsid w:val="00BA4665"/>
    <w:rsid w:val="00BA47EE"/>
    <w:rsid w:val="00BB2FB2"/>
    <w:rsid w:val="00BB3304"/>
    <w:rsid w:val="00BB3FD7"/>
    <w:rsid w:val="00BB6848"/>
    <w:rsid w:val="00BB7528"/>
    <w:rsid w:val="00BC18DE"/>
    <w:rsid w:val="00BC2FAF"/>
    <w:rsid w:val="00BC42EF"/>
    <w:rsid w:val="00BD0920"/>
    <w:rsid w:val="00BD0C45"/>
    <w:rsid w:val="00BD310B"/>
    <w:rsid w:val="00BD3446"/>
    <w:rsid w:val="00BE1F1B"/>
    <w:rsid w:val="00BE47B5"/>
    <w:rsid w:val="00BF0C8F"/>
    <w:rsid w:val="00BF0CD7"/>
    <w:rsid w:val="00C038EC"/>
    <w:rsid w:val="00C04223"/>
    <w:rsid w:val="00C25FA6"/>
    <w:rsid w:val="00C275C4"/>
    <w:rsid w:val="00C30637"/>
    <w:rsid w:val="00C33777"/>
    <w:rsid w:val="00C34D9E"/>
    <w:rsid w:val="00C36F19"/>
    <w:rsid w:val="00C373F7"/>
    <w:rsid w:val="00C4240E"/>
    <w:rsid w:val="00C42ACA"/>
    <w:rsid w:val="00C4492D"/>
    <w:rsid w:val="00C5122C"/>
    <w:rsid w:val="00C538A9"/>
    <w:rsid w:val="00C53B5A"/>
    <w:rsid w:val="00C54434"/>
    <w:rsid w:val="00C54F5A"/>
    <w:rsid w:val="00C569B4"/>
    <w:rsid w:val="00C56A01"/>
    <w:rsid w:val="00C56A3E"/>
    <w:rsid w:val="00C67A92"/>
    <w:rsid w:val="00C705D3"/>
    <w:rsid w:val="00C7497E"/>
    <w:rsid w:val="00C74D43"/>
    <w:rsid w:val="00C81568"/>
    <w:rsid w:val="00C84560"/>
    <w:rsid w:val="00C84F52"/>
    <w:rsid w:val="00C86679"/>
    <w:rsid w:val="00C90254"/>
    <w:rsid w:val="00C974C4"/>
    <w:rsid w:val="00C97CDF"/>
    <w:rsid w:val="00CA2ABF"/>
    <w:rsid w:val="00CA2C1D"/>
    <w:rsid w:val="00CA489E"/>
    <w:rsid w:val="00CA52A2"/>
    <w:rsid w:val="00CB0279"/>
    <w:rsid w:val="00CB666B"/>
    <w:rsid w:val="00CC7F1D"/>
    <w:rsid w:val="00CD19EE"/>
    <w:rsid w:val="00CE4440"/>
    <w:rsid w:val="00CE484B"/>
    <w:rsid w:val="00CE4900"/>
    <w:rsid w:val="00CF0DEE"/>
    <w:rsid w:val="00CF2395"/>
    <w:rsid w:val="00CF2C05"/>
    <w:rsid w:val="00CF5282"/>
    <w:rsid w:val="00CF6EDE"/>
    <w:rsid w:val="00D006AE"/>
    <w:rsid w:val="00D01CF0"/>
    <w:rsid w:val="00D01EFD"/>
    <w:rsid w:val="00D0442A"/>
    <w:rsid w:val="00D06055"/>
    <w:rsid w:val="00D066B7"/>
    <w:rsid w:val="00D17683"/>
    <w:rsid w:val="00D36FCC"/>
    <w:rsid w:val="00D41E80"/>
    <w:rsid w:val="00D45694"/>
    <w:rsid w:val="00D46BD3"/>
    <w:rsid w:val="00D608F6"/>
    <w:rsid w:val="00D60EFF"/>
    <w:rsid w:val="00D61388"/>
    <w:rsid w:val="00D61A54"/>
    <w:rsid w:val="00D64275"/>
    <w:rsid w:val="00D64DEA"/>
    <w:rsid w:val="00D7168E"/>
    <w:rsid w:val="00D71E57"/>
    <w:rsid w:val="00D75AA2"/>
    <w:rsid w:val="00D7645E"/>
    <w:rsid w:val="00D80893"/>
    <w:rsid w:val="00D84854"/>
    <w:rsid w:val="00D848B4"/>
    <w:rsid w:val="00D86B06"/>
    <w:rsid w:val="00D92CF1"/>
    <w:rsid w:val="00D92D38"/>
    <w:rsid w:val="00D94C0F"/>
    <w:rsid w:val="00D950F5"/>
    <w:rsid w:val="00D96662"/>
    <w:rsid w:val="00DA0BCC"/>
    <w:rsid w:val="00DA1DEC"/>
    <w:rsid w:val="00DA2065"/>
    <w:rsid w:val="00DA4752"/>
    <w:rsid w:val="00DA61F3"/>
    <w:rsid w:val="00DA6B93"/>
    <w:rsid w:val="00DA6F94"/>
    <w:rsid w:val="00DA7099"/>
    <w:rsid w:val="00DB0F93"/>
    <w:rsid w:val="00DB1A67"/>
    <w:rsid w:val="00DB5074"/>
    <w:rsid w:val="00DB5B21"/>
    <w:rsid w:val="00DC0C5F"/>
    <w:rsid w:val="00DC6D36"/>
    <w:rsid w:val="00DC7981"/>
    <w:rsid w:val="00DD1C15"/>
    <w:rsid w:val="00DE1093"/>
    <w:rsid w:val="00DE4EFA"/>
    <w:rsid w:val="00DE5520"/>
    <w:rsid w:val="00DE563D"/>
    <w:rsid w:val="00DE5E2E"/>
    <w:rsid w:val="00DE772C"/>
    <w:rsid w:val="00DF1D9A"/>
    <w:rsid w:val="00DF312A"/>
    <w:rsid w:val="00E04818"/>
    <w:rsid w:val="00E06442"/>
    <w:rsid w:val="00E06BCF"/>
    <w:rsid w:val="00E1001C"/>
    <w:rsid w:val="00E11949"/>
    <w:rsid w:val="00E23993"/>
    <w:rsid w:val="00E257D6"/>
    <w:rsid w:val="00E25B8C"/>
    <w:rsid w:val="00E26914"/>
    <w:rsid w:val="00E3544F"/>
    <w:rsid w:val="00E439ED"/>
    <w:rsid w:val="00E51D65"/>
    <w:rsid w:val="00E60845"/>
    <w:rsid w:val="00E610A1"/>
    <w:rsid w:val="00E6200B"/>
    <w:rsid w:val="00E65C85"/>
    <w:rsid w:val="00E66199"/>
    <w:rsid w:val="00E711C7"/>
    <w:rsid w:val="00E7494F"/>
    <w:rsid w:val="00E755EC"/>
    <w:rsid w:val="00E7617D"/>
    <w:rsid w:val="00E7624D"/>
    <w:rsid w:val="00E97242"/>
    <w:rsid w:val="00EA2778"/>
    <w:rsid w:val="00EA38F3"/>
    <w:rsid w:val="00EA3D42"/>
    <w:rsid w:val="00EA6B1B"/>
    <w:rsid w:val="00EB5BC8"/>
    <w:rsid w:val="00EB606C"/>
    <w:rsid w:val="00EC04F1"/>
    <w:rsid w:val="00EC1B2B"/>
    <w:rsid w:val="00EC32E5"/>
    <w:rsid w:val="00ED0EC2"/>
    <w:rsid w:val="00ED3474"/>
    <w:rsid w:val="00ED7323"/>
    <w:rsid w:val="00EE192C"/>
    <w:rsid w:val="00EE28F3"/>
    <w:rsid w:val="00EE50D1"/>
    <w:rsid w:val="00EE77FA"/>
    <w:rsid w:val="00EE7A83"/>
    <w:rsid w:val="00EF1B7A"/>
    <w:rsid w:val="00EF3CC1"/>
    <w:rsid w:val="00EF5110"/>
    <w:rsid w:val="00F0334E"/>
    <w:rsid w:val="00F05F8E"/>
    <w:rsid w:val="00F07967"/>
    <w:rsid w:val="00F10411"/>
    <w:rsid w:val="00F15882"/>
    <w:rsid w:val="00F171E0"/>
    <w:rsid w:val="00F17558"/>
    <w:rsid w:val="00F20BD3"/>
    <w:rsid w:val="00F2526A"/>
    <w:rsid w:val="00F26A1F"/>
    <w:rsid w:val="00F2740A"/>
    <w:rsid w:val="00F27D0F"/>
    <w:rsid w:val="00F34EEB"/>
    <w:rsid w:val="00F35081"/>
    <w:rsid w:val="00F373A5"/>
    <w:rsid w:val="00F42E08"/>
    <w:rsid w:val="00F47559"/>
    <w:rsid w:val="00F5040E"/>
    <w:rsid w:val="00F5396C"/>
    <w:rsid w:val="00F57907"/>
    <w:rsid w:val="00F61176"/>
    <w:rsid w:val="00F62A30"/>
    <w:rsid w:val="00F64C7B"/>
    <w:rsid w:val="00F65B25"/>
    <w:rsid w:val="00F676DD"/>
    <w:rsid w:val="00F67952"/>
    <w:rsid w:val="00F71667"/>
    <w:rsid w:val="00F71DB7"/>
    <w:rsid w:val="00F73895"/>
    <w:rsid w:val="00F75A26"/>
    <w:rsid w:val="00F76706"/>
    <w:rsid w:val="00F768C8"/>
    <w:rsid w:val="00F81B8D"/>
    <w:rsid w:val="00F83FAD"/>
    <w:rsid w:val="00F8653A"/>
    <w:rsid w:val="00F91F55"/>
    <w:rsid w:val="00F92349"/>
    <w:rsid w:val="00F93B21"/>
    <w:rsid w:val="00F952A0"/>
    <w:rsid w:val="00FA3C7F"/>
    <w:rsid w:val="00FA7B26"/>
    <w:rsid w:val="00FB1BF3"/>
    <w:rsid w:val="00FB2537"/>
    <w:rsid w:val="00FB4402"/>
    <w:rsid w:val="00FB60FE"/>
    <w:rsid w:val="00FB74E2"/>
    <w:rsid w:val="00FC479A"/>
    <w:rsid w:val="00FC71DC"/>
    <w:rsid w:val="00FD173F"/>
    <w:rsid w:val="00FD2ED2"/>
    <w:rsid w:val="00FD4278"/>
    <w:rsid w:val="00FD5614"/>
    <w:rsid w:val="00FD5E78"/>
    <w:rsid w:val="00FE0BE1"/>
    <w:rsid w:val="00FE0DD2"/>
    <w:rsid w:val="00FE1DE9"/>
    <w:rsid w:val="00FE36AF"/>
    <w:rsid w:val="00FE39C2"/>
    <w:rsid w:val="00FE3C32"/>
    <w:rsid w:val="00FE3D87"/>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2192293">
      <w:bodyDiv w:val="1"/>
      <w:marLeft w:val="0"/>
      <w:marRight w:val="0"/>
      <w:marTop w:val="0"/>
      <w:marBottom w:val="0"/>
      <w:divBdr>
        <w:top w:val="none" w:sz="0" w:space="0" w:color="auto"/>
        <w:left w:val="none" w:sz="0" w:space="0" w:color="auto"/>
        <w:bottom w:val="none" w:sz="0" w:space="0" w:color="auto"/>
        <w:right w:val="none" w:sz="0" w:space="0" w:color="auto"/>
      </w:divBdr>
    </w:div>
    <w:div w:id="14008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9FFF5D-7C5C-4157-8600-9A9E930F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FEF99461</Template>
  <TotalTime>0</TotalTime>
  <Pages>12</Pages>
  <Words>2541</Words>
  <Characters>14484</Characters>
  <Application>Microsoft Office Word</Application>
  <DocSecurity>0</DocSecurity>
  <Lines>120</Lines>
  <Paragraphs>33</Paragraphs>
  <ScaleCrop>false</ScaleCrop>
  <Company/>
  <LinksUpToDate>false</LinksUpToDate>
  <CharactersWithSpaces>16992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2016-05-22T23:30:00Z</dcterms:created>
  <dcterms:modified xsi:type="dcterms:W3CDTF">2016-05-22T23:30:00Z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8576142</vt:lpwstr>
  </property>
</Properties>
</file>