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bookmarkStart w:id="0" w:name="_GoBack" w:displacedByCustomXml="prev"/>
        <w:p w:rsidR="000A6C7B" w:rsidRPr="00290C63" w:rsidRDefault="009B5D4A" w:rsidP="00290C63">
          <w:r w:rsidRPr="009B5D4A">
            <w:rPr>
              <w:noProof/>
              <w:lang w:eastAsia="en-AU"/>
            </w:rPr>
            <w:drawing>
              <wp:anchor distT="0" distB="0" distL="114300" distR="114300" simplePos="0" relativeHeight="251665408" behindDoc="1" locked="0" layoutInCell="1" allowOverlap="1" wp14:anchorId="01051F16" wp14:editId="3C862F49">
                <wp:simplePos x="0" y="0"/>
                <wp:positionH relativeFrom="column">
                  <wp:posOffset>-1109066</wp:posOffset>
                </wp:positionH>
                <wp:positionV relativeFrom="paragraph">
                  <wp:posOffset>-897673</wp:posOffset>
                </wp:positionV>
                <wp:extent cx="8883210" cy="10844561"/>
                <wp:effectExtent l="0" t="0" r="0"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916" cy="10853969"/>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B04B4C" w:rsidRDefault="00B04B4C" w:rsidP="00F171E0"/>
        <w:p w:rsidR="00F171E0" w:rsidRDefault="00F171E0" w:rsidP="00F171E0"/>
        <w:p w:rsidR="00327A1E" w:rsidRDefault="001754EE" w:rsidP="001754EE">
          <w:pPr>
            <w:pStyle w:val="ReportSubtitle"/>
            <w:tabs>
              <w:tab w:val="left" w:pos="1122"/>
              <w:tab w:val="center" w:pos="4238"/>
            </w:tabs>
            <w:jc w:val="left"/>
          </w:pPr>
          <w:r>
            <w:tab/>
          </w:r>
          <w:r>
            <w:tab/>
          </w:r>
          <w:r w:rsidR="00A2303E">
            <w:t>FINAL</w:t>
          </w:r>
          <w:r w:rsidR="00DA4752">
            <w:t xml:space="preserve"> DECISION</w:t>
          </w:r>
        </w:p>
        <w:p w:rsidR="00415F31" w:rsidRDefault="00F848E2" w:rsidP="008F07A3">
          <w:pPr>
            <w:pStyle w:val="ReportSubtitle"/>
          </w:pPr>
          <w:r>
            <w:t>ActewAGL Distribution</w:t>
          </w:r>
          <w:r w:rsidR="00CF2C05">
            <w:br/>
            <w:t>Access Arrangement</w:t>
          </w:r>
        </w:p>
        <w:p w:rsidR="000A6C7B" w:rsidRDefault="005C0A7F" w:rsidP="008F07A3">
          <w:pPr>
            <w:pStyle w:val="ReportSubtitle"/>
          </w:pPr>
          <w:r>
            <w:t>20</w:t>
          </w:r>
          <w:r w:rsidR="00DA4752">
            <w:t xml:space="preserve">16 to </w:t>
          </w:r>
          <w:r w:rsidR="00A06085">
            <w:t>2021</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C54434">
            <w:t>3</w:t>
          </w:r>
          <w:r w:rsidR="00DA4752">
            <w:t xml:space="preserve"> </w:t>
          </w:r>
          <w:r w:rsidR="00415F31">
            <w:rPr>
              <w:rFonts w:cs="Arial"/>
            </w:rPr>
            <w:t>–</w:t>
          </w:r>
          <w:r w:rsidR="00DA4752">
            <w:t xml:space="preserve"> </w:t>
          </w:r>
          <w:r w:rsidR="00C54434">
            <w:t>Rate of return</w:t>
          </w:r>
        </w:p>
        <w:p w:rsidR="000A6C7B" w:rsidRPr="00327A1E" w:rsidRDefault="00A678CB" w:rsidP="00327A1E">
          <w:pPr>
            <w:pStyle w:val="ReportDate"/>
          </w:pPr>
          <w:r>
            <w:t>May</w:t>
          </w:r>
          <w:r w:rsidR="005C0A7F">
            <w:t xml:space="preserve"> </w:t>
          </w:r>
          <w:r w:rsidR="00A2303E">
            <w:t>2016</w:t>
          </w:r>
        </w:p>
      </w:sdtContent>
    </w:sdt>
    <w:p w:rsidR="00327A1E" w:rsidRPr="00290C63" w:rsidRDefault="00327A1E" w:rsidP="00290C63">
      <w:r>
        <w:br w:type="page"/>
      </w:r>
    </w:p>
    <w:p w:rsidR="000A6C7B" w:rsidRDefault="00BD1BEA" w:rsidP="00961A4A">
      <w:pPr>
        <w:pStyle w:val="Copyright"/>
      </w:pPr>
      <w:r>
        <w:lastRenderedPageBreak/>
        <w:t>© Commonwealth of Australia 2016</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DE772C">
      <w:pPr>
        <w:pStyle w:val="UnnumberedHeading"/>
        <w:numPr>
          <w:ilvl w:val="0"/>
          <w:numId w:val="23"/>
        </w:numPr>
      </w:pPr>
      <w:bookmarkStart w:id="5" w:name="_Toc451945461"/>
      <w:r>
        <w:t>N</w:t>
      </w:r>
      <w:r w:rsidR="008F07A3">
        <w:t>ote</w:t>
      </w:r>
      <w:bookmarkEnd w:id="1"/>
      <w:bookmarkEnd w:id="2"/>
      <w:bookmarkEnd w:id="3"/>
      <w:bookmarkEnd w:id="4"/>
      <w:bookmarkEnd w:id="5"/>
    </w:p>
    <w:p w:rsidR="00415F31" w:rsidRDefault="00415F31" w:rsidP="00DE772C">
      <w:pPr>
        <w:numPr>
          <w:ilvl w:val="0"/>
          <w:numId w:val="24"/>
        </w:numPr>
        <w:spacing w:before="0" w:after="240" w:line="288" w:lineRule="auto"/>
        <w:jc w:val="both"/>
      </w:pPr>
    </w:p>
    <w:p w:rsidR="00415F31" w:rsidRDefault="008F07A3" w:rsidP="00DE772C">
      <w:pPr>
        <w:numPr>
          <w:ilvl w:val="0"/>
          <w:numId w:val="24"/>
        </w:numPr>
        <w:spacing w:before="0" w:after="240" w:line="288" w:lineRule="auto"/>
        <w:jc w:val="both"/>
      </w:pPr>
      <w:r>
        <w:t xml:space="preserve">This </w:t>
      </w:r>
      <w:r w:rsidR="00415F31">
        <w:t xml:space="preserve">attachment forms part of the AER's </w:t>
      </w:r>
      <w:r w:rsidR="00A2303E">
        <w:t>final</w:t>
      </w:r>
      <w:r w:rsidR="00415F31">
        <w:t xml:space="preserve"> decision on </w:t>
      </w:r>
      <w:r w:rsidR="0033548E">
        <w:t>the</w:t>
      </w:r>
      <w:r w:rsidR="00415F31">
        <w:t xml:space="preserve"> </w:t>
      </w:r>
      <w:r w:rsidR="00CF2C05">
        <w:t>access</w:t>
      </w:r>
      <w:r w:rsidR="00415F31">
        <w:t xml:space="preserve"> </w:t>
      </w:r>
      <w:r w:rsidR="00CF2C05">
        <w:t>arrangement for</w:t>
      </w:r>
      <w:r w:rsidR="00415F31">
        <w:t xml:space="preserve"> </w:t>
      </w:r>
      <w:r w:rsidR="00F848E2">
        <w:t xml:space="preserve">ActewAGL Distribution </w:t>
      </w:r>
      <w:r w:rsidR="0033548E">
        <w:t xml:space="preserve">for </w:t>
      </w:r>
      <w:r w:rsidR="00415F31">
        <w:t>201</w:t>
      </w:r>
      <w:r w:rsidR="005C0A7F">
        <w:t>6</w:t>
      </w:r>
      <w:r w:rsidR="00415F31" w:rsidRPr="00D904FA">
        <w:t>–</w:t>
      </w:r>
      <w:r w:rsidR="00103A67">
        <w:t>21</w:t>
      </w:r>
      <w:r w:rsidR="00415F31">
        <w:t xml:space="preserve">. It should be read with </w:t>
      </w:r>
      <w:r w:rsidR="005C0A7F">
        <w:t xml:space="preserve">all </w:t>
      </w:r>
      <w:r w:rsidR="00415F31">
        <w:t xml:space="preserve">other parts of the </w:t>
      </w:r>
      <w:r w:rsidR="00A2303E">
        <w:t>final</w:t>
      </w:r>
      <w:r w:rsidR="005C0A7F">
        <w:t xml:space="preserve"> </w:t>
      </w:r>
      <w:r w:rsidR="00415F31">
        <w:t>decision.</w:t>
      </w:r>
    </w:p>
    <w:p w:rsidR="00415F31" w:rsidRDefault="00415F31" w:rsidP="00DE772C">
      <w:pPr>
        <w:numPr>
          <w:ilvl w:val="0"/>
          <w:numId w:val="24"/>
        </w:numPr>
        <w:spacing w:before="0" w:after="240" w:line="288" w:lineRule="auto"/>
        <w:jc w:val="both"/>
      </w:pPr>
      <w:r>
        <w:t xml:space="preserve">The </w:t>
      </w:r>
      <w:r w:rsidR="00A2303E">
        <w:t>final</w:t>
      </w:r>
      <w:r w:rsidR="005C0A7F">
        <w:t xml:space="preserve"> </w:t>
      </w:r>
      <w:r>
        <w:t>decision includes the following documents:</w:t>
      </w:r>
    </w:p>
    <w:p w:rsidR="00415F31" w:rsidRDefault="00415F31" w:rsidP="00DE772C">
      <w:pPr>
        <w:numPr>
          <w:ilvl w:val="0"/>
          <w:numId w:val="24"/>
        </w:numPr>
        <w:spacing w:before="0" w:after="240" w:line="288" w:lineRule="auto"/>
        <w:jc w:val="both"/>
      </w:pPr>
      <w:r>
        <w:t>Overview</w:t>
      </w:r>
    </w:p>
    <w:p w:rsidR="0070011E" w:rsidRDefault="0070011E" w:rsidP="0070011E">
      <w:r>
        <w:t xml:space="preserve">Attachment 1 - </w:t>
      </w:r>
      <w:r w:rsidR="00EE77FA">
        <w:t>Services covered by the access arrangement</w:t>
      </w:r>
    </w:p>
    <w:p w:rsidR="0070011E" w:rsidRDefault="0070011E" w:rsidP="0070011E">
      <w:r>
        <w:t xml:space="preserve">Attachment 2 - </w:t>
      </w:r>
      <w:r w:rsidR="00EE77FA">
        <w:t>Capital base</w:t>
      </w:r>
    </w:p>
    <w:p w:rsidR="0070011E" w:rsidRDefault="0070011E" w:rsidP="0070011E">
      <w:r>
        <w:t xml:space="preserve">Attachment 3 - </w:t>
      </w:r>
      <w:r w:rsidR="00EE77FA">
        <w:t>R</w:t>
      </w:r>
      <w:r>
        <w:t>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 xml:space="preserve">Attachment 9 - Efficiency </w:t>
      </w:r>
      <w:r w:rsidR="00EE77FA">
        <w:t>carryover mechanism</w:t>
      </w:r>
    </w:p>
    <w:p w:rsidR="0070011E" w:rsidRDefault="0070011E" w:rsidP="0070011E">
      <w:r>
        <w:t xml:space="preserve">Attachment 10 - </w:t>
      </w:r>
      <w:r w:rsidR="00EE77FA">
        <w:t>Reference tariff setting</w:t>
      </w:r>
    </w:p>
    <w:p w:rsidR="0070011E" w:rsidRDefault="0070011E" w:rsidP="0070011E">
      <w:r>
        <w:t xml:space="preserve">Attachment 11 - </w:t>
      </w:r>
      <w:r w:rsidR="00EE77FA">
        <w:t>Reference tariff variation mechanism</w:t>
      </w:r>
    </w:p>
    <w:p w:rsidR="0070011E" w:rsidRDefault="0070011E" w:rsidP="0070011E">
      <w:r>
        <w:t xml:space="preserve">Attachment 12 - </w:t>
      </w:r>
      <w:r w:rsidR="00EE77FA">
        <w:t>Non-tariff components</w:t>
      </w:r>
    </w:p>
    <w:p w:rsidR="0070011E" w:rsidRDefault="0070011E" w:rsidP="0070011E">
      <w:r>
        <w:t xml:space="preserve">Attachment 13 - </w:t>
      </w:r>
      <w:r w:rsidR="00EE77FA">
        <w:t>Demand</w:t>
      </w:r>
    </w:p>
    <w:p w:rsidR="00DE563D" w:rsidRPr="00A72B34" w:rsidRDefault="00DE563D" w:rsidP="00DE772C">
      <w:pPr>
        <w:pStyle w:val="UnnumberedHeading"/>
        <w:numPr>
          <w:ilvl w:val="0"/>
          <w:numId w:val="23"/>
        </w:numPr>
      </w:pPr>
      <w:bookmarkStart w:id="6" w:name="_Toc403144133"/>
      <w:bookmarkStart w:id="7" w:name="_Toc451945462"/>
      <w:r>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120312" w:rsidRDefault="00120312">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3,3,Heading 7,1,Heading 8,2" </w:instrText>
          </w:r>
          <w:r>
            <w:rPr>
              <w:color w:val="auto"/>
              <w:sz w:val="22"/>
            </w:rPr>
            <w:fldChar w:fldCharType="separate"/>
          </w:r>
          <w:hyperlink w:anchor="_Toc451945461" w:history="1">
            <w:r w:rsidRPr="00A328B6">
              <w:rPr>
                <w:rStyle w:val="Hyperlink"/>
              </w:rPr>
              <w:t>Note</w:t>
            </w:r>
            <w:r>
              <w:rPr>
                <w:webHidden/>
              </w:rPr>
              <w:tab/>
            </w:r>
            <w:r>
              <w:rPr>
                <w:webHidden/>
              </w:rPr>
              <w:fldChar w:fldCharType="begin"/>
            </w:r>
            <w:r>
              <w:rPr>
                <w:webHidden/>
              </w:rPr>
              <w:instrText xml:space="preserve"> PAGEREF _Toc451945461 \h </w:instrText>
            </w:r>
            <w:r>
              <w:rPr>
                <w:webHidden/>
              </w:rPr>
            </w:r>
            <w:r>
              <w:rPr>
                <w:webHidden/>
              </w:rPr>
              <w:fldChar w:fldCharType="separate"/>
            </w:r>
            <w:r>
              <w:rPr>
                <w:webHidden/>
              </w:rPr>
              <w:t>3-2</w:t>
            </w:r>
            <w:r>
              <w:rPr>
                <w:webHidden/>
              </w:rPr>
              <w:fldChar w:fldCharType="end"/>
            </w:r>
          </w:hyperlink>
        </w:p>
        <w:p w:rsidR="00120312" w:rsidRDefault="007A39AA">
          <w:pPr>
            <w:pStyle w:val="TOC1"/>
            <w:rPr>
              <w:rFonts w:asciiTheme="minorHAnsi" w:eastAsiaTheme="minorEastAsia" w:hAnsiTheme="minorHAnsi"/>
              <w:b w:val="0"/>
              <w:color w:val="auto"/>
              <w:sz w:val="22"/>
              <w:lang w:val="en-AU" w:eastAsia="en-AU"/>
            </w:rPr>
          </w:pPr>
          <w:hyperlink w:anchor="_Toc451945462" w:history="1">
            <w:r w:rsidR="00120312" w:rsidRPr="00A328B6">
              <w:rPr>
                <w:rStyle w:val="Hyperlink"/>
              </w:rPr>
              <w:t>Contents</w:t>
            </w:r>
            <w:r w:rsidR="00120312">
              <w:rPr>
                <w:webHidden/>
              </w:rPr>
              <w:tab/>
            </w:r>
            <w:r w:rsidR="00120312">
              <w:rPr>
                <w:webHidden/>
              </w:rPr>
              <w:fldChar w:fldCharType="begin"/>
            </w:r>
            <w:r w:rsidR="00120312">
              <w:rPr>
                <w:webHidden/>
              </w:rPr>
              <w:instrText xml:space="preserve"> PAGEREF _Toc451945462 \h </w:instrText>
            </w:r>
            <w:r w:rsidR="00120312">
              <w:rPr>
                <w:webHidden/>
              </w:rPr>
            </w:r>
            <w:r w:rsidR="00120312">
              <w:rPr>
                <w:webHidden/>
              </w:rPr>
              <w:fldChar w:fldCharType="separate"/>
            </w:r>
            <w:r w:rsidR="00120312">
              <w:rPr>
                <w:webHidden/>
              </w:rPr>
              <w:t>3-3</w:t>
            </w:r>
            <w:r w:rsidR="00120312">
              <w:rPr>
                <w:webHidden/>
              </w:rPr>
              <w:fldChar w:fldCharType="end"/>
            </w:r>
          </w:hyperlink>
        </w:p>
        <w:p w:rsidR="00120312" w:rsidRDefault="007A39AA">
          <w:pPr>
            <w:pStyle w:val="TOC1"/>
            <w:rPr>
              <w:rFonts w:asciiTheme="minorHAnsi" w:eastAsiaTheme="minorEastAsia" w:hAnsiTheme="minorHAnsi"/>
              <w:b w:val="0"/>
              <w:color w:val="auto"/>
              <w:sz w:val="22"/>
              <w:lang w:val="en-AU" w:eastAsia="en-AU"/>
            </w:rPr>
          </w:pPr>
          <w:hyperlink w:anchor="_Toc451945463" w:history="1">
            <w:r w:rsidR="00120312" w:rsidRPr="00A328B6">
              <w:rPr>
                <w:rStyle w:val="Hyperlink"/>
              </w:rPr>
              <w:t>Shortened forms</w:t>
            </w:r>
            <w:r w:rsidR="00120312">
              <w:rPr>
                <w:webHidden/>
              </w:rPr>
              <w:tab/>
            </w:r>
            <w:r w:rsidR="00120312">
              <w:rPr>
                <w:webHidden/>
              </w:rPr>
              <w:fldChar w:fldCharType="begin"/>
            </w:r>
            <w:r w:rsidR="00120312">
              <w:rPr>
                <w:webHidden/>
              </w:rPr>
              <w:instrText xml:space="preserve"> PAGEREF _Toc451945463 \h </w:instrText>
            </w:r>
            <w:r w:rsidR="00120312">
              <w:rPr>
                <w:webHidden/>
              </w:rPr>
            </w:r>
            <w:r w:rsidR="00120312">
              <w:rPr>
                <w:webHidden/>
              </w:rPr>
              <w:fldChar w:fldCharType="separate"/>
            </w:r>
            <w:r w:rsidR="00120312">
              <w:rPr>
                <w:webHidden/>
              </w:rPr>
              <w:t>3-6</w:t>
            </w:r>
            <w:r w:rsidR="00120312">
              <w:rPr>
                <w:webHidden/>
              </w:rPr>
              <w:fldChar w:fldCharType="end"/>
            </w:r>
          </w:hyperlink>
        </w:p>
        <w:p w:rsidR="00120312" w:rsidRDefault="007A39AA">
          <w:pPr>
            <w:pStyle w:val="TOC1"/>
            <w:rPr>
              <w:rFonts w:asciiTheme="minorHAnsi" w:eastAsiaTheme="minorEastAsia" w:hAnsiTheme="minorHAnsi"/>
              <w:b w:val="0"/>
              <w:color w:val="auto"/>
              <w:sz w:val="22"/>
              <w:lang w:val="en-AU" w:eastAsia="en-AU"/>
            </w:rPr>
          </w:pPr>
          <w:hyperlink w:anchor="_Toc451945464" w:history="1">
            <w:r w:rsidR="00120312" w:rsidRPr="00A328B6">
              <w:rPr>
                <w:rStyle w:val="Hyperlink"/>
              </w:rPr>
              <w:t>3</w:t>
            </w:r>
            <w:r w:rsidR="00120312">
              <w:rPr>
                <w:rFonts w:asciiTheme="minorHAnsi" w:eastAsiaTheme="minorEastAsia" w:hAnsiTheme="minorHAnsi"/>
                <w:b w:val="0"/>
                <w:color w:val="auto"/>
                <w:sz w:val="22"/>
                <w:lang w:val="en-AU" w:eastAsia="en-AU"/>
              </w:rPr>
              <w:tab/>
            </w:r>
            <w:r w:rsidR="00120312" w:rsidRPr="00A328B6">
              <w:rPr>
                <w:rStyle w:val="Hyperlink"/>
              </w:rPr>
              <w:t>Rate of return</w:t>
            </w:r>
            <w:r w:rsidR="00120312">
              <w:rPr>
                <w:webHidden/>
              </w:rPr>
              <w:tab/>
            </w:r>
            <w:r w:rsidR="00120312">
              <w:rPr>
                <w:webHidden/>
              </w:rPr>
              <w:fldChar w:fldCharType="begin"/>
            </w:r>
            <w:r w:rsidR="00120312">
              <w:rPr>
                <w:webHidden/>
              </w:rPr>
              <w:instrText xml:space="preserve"> PAGEREF _Toc451945464 \h </w:instrText>
            </w:r>
            <w:r w:rsidR="00120312">
              <w:rPr>
                <w:webHidden/>
              </w:rPr>
            </w:r>
            <w:r w:rsidR="00120312">
              <w:rPr>
                <w:webHidden/>
              </w:rPr>
              <w:fldChar w:fldCharType="separate"/>
            </w:r>
            <w:r w:rsidR="00120312">
              <w:rPr>
                <w:webHidden/>
              </w:rPr>
              <w:t>3-8</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65" w:history="1">
            <w:r w:rsidR="00120312" w:rsidRPr="00A328B6">
              <w:rPr>
                <w:rStyle w:val="Hyperlink"/>
              </w:rPr>
              <w:t>3.1</w:t>
            </w:r>
            <w:r w:rsidR="00120312">
              <w:rPr>
                <w:rFonts w:asciiTheme="minorHAnsi" w:eastAsiaTheme="minorEastAsia" w:hAnsiTheme="minorHAnsi"/>
                <w:b w:val="0"/>
                <w:color w:val="auto"/>
                <w:sz w:val="22"/>
                <w:lang w:eastAsia="en-AU"/>
              </w:rPr>
              <w:tab/>
            </w:r>
            <w:r w:rsidR="00120312" w:rsidRPr="00A328B6">
              <w:rPr>
                <w:rStyle w:val="Hyperlink"/>
              </w:rPr>
              <w:t>Final decision</w:t>
            </w:r>
            <w:r w:rsidR="00120312">
              <w:rPr>
                <w:webHidden/>
              </w:rPr>
              <w:tab/>
            </w:r>
            <w:r w:rsidR="00120312">
              <w:rPr>
                <w:webHidden/>
              </w:rPr>
              <w:fldChar w:fldCharType="begin"/>
            </w:r>
            <w:r w:rsidR="00120312">
              <w:rPr>
                <w:webHidden/>
              </w:rPr>
              <w:instrText xml:space="preserve"> PAGEREF _Toc451945465 \h </w:instrText>
            </w:r>
            <w:r w:rsidR="00120312">
              <w:rPr>
                <w:webHidden/>
              </w:rPr>
            </w:r>
            <w:r w:rsidR="00120312">
              <w:rPr>
                <w:webHidden/>
              </w:rPr>
              <w:fldChar w:fldCharType="separate"/>
            </w:r>
            <w:r w:rsidR="00120312">
              <w:rPr>
                <w:webHidden/>
              </w:rPr>
              <w:t>3-8</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66" w:history="1">
            <w:r w:rsidR="00120312" w:rsidRPr="00A328B6">
              <w:rPr>
                <w:rStyle w:val="Hyperlink"/>
              </w:rPr>
              <w:t>3.2</w:t>
            </w:r>
            <w:r w:rsidR="00120312">
              <w:rPr>
                <w:rFonts w:asciiTheme="minorHAnsi" w:eastAsiaTheme="minorEastAsia" w:hAnsiTheme="minorHAnsi"/>
                <w:b w:val="0"/>
                <w:color w:val="auto"/>
                <w:sz w:val="22"/>
                <w:lang w:eastAsia="en-AU"/>
              </w:rPr>
              <w:tab/>
            </w:r>
            <w:r w:rsidR="00120312" w:rsidRPr="00A328B6">
              <w:rPr>
                <w:rStyle w:val="Hyperlink"/>
              </w:rPr>
              <w:t>ActewAGL's revised proposal</w:t>
            </w:r>
            <w:r w:rsidR="00120312">
              <w:rPr>
                <w:webHidden/>
              </w:rPr>
              <w:tab/>
            </w:r>
            <w:r w:rsidR="00120312">
              <w:rPr>
                <w:webHidden/>
              </w:rPr>
              <w:fldChar w:fldCharType="begin"/>
            </w:r>
            <w:r w:rsidR="00120312">
              <w:rPr>
                <w:webHidden/>
              </w:rPr>
              <w:instrText xml:space="preserve"> PAGEREF _Toc451945466 \h </w:instrText>
            </w:r>
            <w:r w:rsidR="00120312">
              <w:rPr>
                <w:webHidden/>
              </w:rPr>
            </w:r>
            <w:r w:rsidR="00120312">
              <w:rPr>
                <w:webHidden/>
              </w:rPr>
              <w:fldChar w:fldCharType="separate"/>
            </w:r>
            <w:r w:rsidR="00120312">
              <w:rPr>
                <w:webHidden/>
              </w:rPr>
              <w:t>3-13</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67" w:history="1">
            <w:r w:rsidR="00120312" w:rsidRPr="00A328B6">
              <w:rPr>
                <w:rStyle w:val="Hyperlink"/>
              </w:rPr>
              <w:t>3.3</w:t>
            </w:r>
            <w:r w:rsidR="00120312">
              <w:rPr>
                <w:rFonts w:asciiTheme="minorHAnsi" w:eastAsiaTheme="minorEastAsia" w:hAnsiTheme="minorHAnsi"/>
                <w:b w:val="0"/>
                <w:color w:val="auto"/>
                <w:sz w:val="22"/>
                <w:lang w:eastAsia="en-AU"/>
              </w:rPr>
              <w:tab/>
            </w:r>
            <w:r w:rsidR="00120312" w:rsidRPr="00A328B6">
              <w:rPr>
                <w:rStyle w:val="Hyperlink"/>
              </w:rPr>
              <w:t>Assessment approach</w:t>
            </w:r>
            <w:r w:rsidR="00120312">
              <w:rPr>
                <w:webHidden/>
              </w:rPr>
              <w:tab/>
            </w:r>
            <w:r w:rsidR="00120312">
              <w:rPr>
                <w:webHidden/>
              </w:rPr>
              <w:fldChar w:fldCharType="begin"/>
            </w:r>
            <w:r w:rsidR="00120312">
              <w:rPr>
                <w:webHidden/>
              </w:rPr>
              <w:instrText xml:space="preserve"> PAGEREF _Toc451945467 \h </w:instrText>
            </w:r>
            <w:r w:rsidR="00120312">
              <w:rPr>
                <w:webHidden/>
              </w:rPr>
            </w:r>
            <w:r w:rsidR="00120312">
              <w:rPr>
                <w:webHidden/>
              </w:rPr>
              <w:fldChar w:fldCharType="separate"/>
            </w:r>
            <w:r w:rsidR="00120312">
              <w:rPr>
                <w:webHidden/>
              </w:rPr>
              <w:t>3-14</w:t>
            </w:r>
            <w:r w:rsidR="00120312">
              <w:rPr>
                <w:webHidden/>
              </w:rPr>
              <w:fldChar w:fldCharType="end"/>
            </w:r>
          </w:hyperlink>
        </w:p>
        <w:p w:rsidR="00120312" w:rsidRDefault="007A39AA">
          <w:pPr>
            <w:pStyle w:val="TOC3"/>
            <w:rPr>
              <w:rFonts w:asciiTheme="minorHAnsi" w:eastAsiaTheme="minorEastAsia" w:hAnsiTheme="minorHAnsi"/>
              <w:lang w:eastAsia="en-AU"/>
            </w:rPr>
          </w:pPr>
          <w:hyperlink w:anchor="_Toc451945468" w:history="1">
            <w:r w:rsidR="00120312" w:rsidRPr="00A328B6">
              <w:rPr>
                <w:rStyle w:val="Hyperlink"/>
              </w:rPr>
              <w:t>3.3.1</w:t>
            </w:r>
            <w:r w:rsidR="00120312">
              <w:rPr>
                <w:rFonts w:asciiTheme="minorHAnsi" w:eastAsiaTheme="minorEastAsia" w:hAnsiTheme="minorHAnsi"/>
                <w:lang w:eastAsia="en-AU"/>
              </w:rPr>
              <w:tab/>
            </w:r>
            <w:r w:rsidR="00120312" w:rsidRPr="00A328B6">
              <w:rPr>
                <w:rStyle w:val="Hyperlink"/>
              </w:rPr>
              <w:t>National gas law</w:t>
            </w:r>
            <w:r w:rsidR="00120312">
              <w:rPr>
                <w:webHidden/>
              </w:rPr>
              <w:tab/>
            </w:r>
            <w:r w:rsidR="00120312">
              <w:rPr>
                <w:webHidden/>
              </w:rPr>
              <w:fldChar w:fldCharType="begin"/>
            </w:r>
            <w:r w:rsidR="00120312">
              <w:rPr>
                <w:webHidden/>
              </w:rPr>
              <w:instrText xml:space="preserve"> PAGEREF _Toc451945468 \h </w:instrText>
            </w:r>
            <w:r w:rsidR="00120312">
              <w:rPr>
                <w:webHidden/>
              </w:rPr>
            </w:r>
            <w:r w:rsidR="00120312">
              <w:rPr>
                <w:webHidden/>
              </w:rPr>
              <w:fldChar w:fldCharType="separate"/>
            </w:r>
            <w:r w:rsidR="00120312">
              <w:rPr>
                <w:webHidden/>
              </w:rPr>
              <w:t>3-14</w:t>
            </w:r>
            <w:r w:rsidR="00120312">
              <w:rPr>
                <w:webHidden/>
              </w:rPr>
              <w:fldChar w:fldCharType="end"/>
            </w:r>
          </w:hyperlink>
        </w:p>
        <w:p w:rsidR="00120312" w:rsidRDefault="007A39AA">
          <w:pPr>
            <w:pStyle w:val="TOC3"/>
            <w:rPr>
              <w:rFonts w:asciiTheme="minorHAnsi" w:eastAsiaTheme="minorEastAsia" w:hAnsiTheme="minorHAnsi"/>
              <w:lang w:eastAsia="en-AU"/>
            </w:rPr>
          </w:pPr>
          <w:hyperlink w:anchor="_Toc451945469" w:history="1">
            <w:r w:rsidR="00120312" w:rsidRPr="00A328B6">
              <w:rPr>
                <w:rStyle w:val="Hyperlink"/>
              </w:rPr>
              <w:t>3.3.2</w:t>
            </w:r>
            <w:r w:rsidR="00120312">
              <w:rPr>
                <w:rFonts w:asciiTheme="minorHAnsi" w:eastAsiaTheme="minorEastAsia" w:hAnsiTheme="minorHAnsi"/>
                <w:lang w:eastAsia="en-AU"/>
              </w:rPr>
              <w:tab/>
            </w:r>
            <w:r w:rsidR="00120312" w:rsidRPr="00A328B6">
              <w:rPr>
                <w:rStyle w:val="Hyperlink"/>
              </w:rPr>
              <w:t>The overall rate of return</w:t>
            </w:r>
            <w:r w:rsidR="00120312">
              <w:rPr>
                <w:webHidden/>
              </w:rPr>
              <w:tab/>
            </w:r>
            <w:r w:rsidR="00120312">
              <w:rPr>
                <w:webHidden/>
              </w:rPr>
              <w:fldChar w:fldCharType="begin"/>
            </w:r>
            <w:r w:rsidR="00120312">
              <w:rPr>
                <w:webHidden/>
              </w:rPr>
              <w:instrText xml:space="preserve"> PAGEREF _Toc451945469 \h </w:instrText>
            </w:r>
            <w:r w:rsidR="00120312">
              <w:rPr>
                <w:webHidden/>
              </w:rPr>
            </w:r>
            <w:r w:rsidR="00120312">
              <w:rPr>
                <w:webHidden/>
              </w:rPr>
              <w:fldChar w:fldCharType="separate"/>
            </w:r>
            <w:r w:rsidR="00120312">
              <w:rPr>
                <w:webHidden/>
              </w:rPr>
              <w:t>3-15</w:t>
            </w:r>
            <w:r w:rsidR="00120312">
              <w:rPr>
                <w:webHidden/>
              </w:rPr>
              <w:fldChar w:fldCharType="end"/>
            </w:r>
          </w:hyperlink>
        </w:p>
        <w:p w:rsidR="00120312" w:rsidRDefault="007A39AA">
          <w:pPr>
            <w:pStyle w:val="TOC3"/>
            <w:rPr>
              <w:rFonts w:asciiTheme="minorHAnsi" w:eastAsiaTheme="minorEastAsia" w:hAnsiTheme="minorHAnsi"/>
              <w:lang w:eastAsia="en-AU"/>
            </w:rPr>
          </w:pPr>
          <w:hyperlink w:anchor="_Toc451945470" w:history="1">
            <w:r w:rsidR="00120312" w:rsidRPr="00A328B6">
              <w:rPr>
                <w:rStyle w:val="Hyperlink"/>
              </w:rPr>
              <w:t>3.3.3</w:t>
            </w:r>
            <w:r w:rsidR="00120312">
              <w:rPr>
                <w:rFonts w:asciiTheme="minorHAnsi" w:eastAsiaTheme="minorEastAsia" w:hAnsiTheme="minorHAnsi"/>
                <w:lang w:eastAsia="en-AU"/>
              </w:rPr>
              <w:tab/>
            </w:r>
            <w:r w:rsidR="00120312" w:rsidRPr="00A328B6">
              <w:rPr>
                <w:rStyle w:val="Hyperlink"/>
              </w:rPr>
              <w:t>Allowed rate of return objective</w:t>
            </w:r>
            <w:r w:rsidR="00120312">
              <w:rPr>
                <w:webHidden/>
              </w:rPr>
              <w:tab/>
            </w:r>
            <w:r w:rsidR="00120312">
              <w:rPr>
                <w:webHidden/>
              </w:rPr>
              <w:fldChar w:fldCharType="begin"/>
            </w:r>
            <w:r w:rsidR="00120312">
              <w:rPr>
                <w:webHidden/>
              </w:rPr>
              <w:instrText xml:space="preserve"> PAGEREF _Toc451945470 \h </w:instrText>
            </w:r>
            <w:r w:rsidR="00120312">
              <w:rPr>
                <w:webHidden/>
              </w:rPr>
            </w:r>
            <w:r w:rsidR="00120312">
              <w:rPr>
                <w:webHidden/>
              </w:rPr>
              <w:fldChar w:fldCharType="separate"/>
            </w:r>
            <w:r w:rsidR="00120312">
              <w:rPr>
                <w:webHidden/>
              </w:rPr>
              <w:t>3-16</w:t>
            </w:r>
            <w:r w:rsidR="00120312">
              <w:rPr>
                <w:webHidden/>
              </w:rPr>
              <w:fldChar w:fldCharType="end"/>
            </w:r>
          </w:hyperlink>
        </w:p>
        <w:p w:rsidR="00120312" w:rsidRDefault="007A39AA">
          <w:pPr>
            <w:pStyle w:val="TOC3"/>
            <w:rPr>
              <w:rFonts w:asciiTheme="minorHAnsi" w:eastAsiaTheme="minorEastAsia" w:hAnsiTheme="minorHAnsi"/>
              <w:lang w:eastAsia="en-AU"/>
            </w:rPr>
          </w:pPr>
          <w:hyperlink w:anchor="_Toc451945471" w:history="1">
            <w:r w:rsidR="00120312" w:rsidRPr="00A328B6">
              <w:rPr>
                <w:rStyle w:val="Hyperlink"/>
              </w:rPr>
              <w:t>3.3.4</w:t>
            </w:r>
            <w:r w:rsidR="00120312">
              <w:rPr>
                <w:rFonts w:asciiTheme="minorHAnsi" w:eastAsiaTheme="minorEastAsia" w:hAnsiTheme="minorHAnsi"/>
                <w:lang w:eastAsia="en-AU"/>
              </w:rPr>
              <w:tab/>
            </w:r>
            <w:r w:rsidR="00120312" w:rsidRPr="00A328B6">
              <w:rPr>
                <w:rStyle w:val="Hyperlink"/>
              </w:rPr>
              <w:t>Return on debt factors in the rules</w:t>
            </w:r>
            <w:r w:rsidR="00120312">
              <w:rPr>
                <w:webHidden/>
              </w:rPr>
              <w:tab/>
            </w:r>
            <w:r w:rsidR="00120312">
              <w:rPr>
                <w:webHidden/>
              </w:rPr>
              <w:fldChar w:fldCharType="begin"/>
            </w:r>
            <w:r w:rsidR="00120312">
              <w:rPr>
                <w:webHidden/>
              </w:rPr>
              <w:instrText xml:space="preserve"> PAGEREF _Toc451945471 \h </w:instrText>
            </w:r>
            <w:r w:rsidR="00120312">
              <w:rPr>
                <w:webHidden/>
              </w:rPr>
            </w:r>
            <w:r w:rsidR="00120312">
              <w:rPr>
                <w:webHidden/>
              </w:rPr>
              <w:fldChar w:fldCharType="separate"/>
            </w:r>
            <w:r w:rsidR="00120312">
              <w:rPr>
                <w:webHidden/>
              </w:rPr>
              <w:t>3-27</w:t>
            </w:r>
            <w:r w:rsidR="00120312">
              <w:rPr>
                <w:webHidden/>
              </w:rPr>
              <w:fldChar w:fldCharType="end"/>
            </w:r>
          </w:hyperlink>
        </w:p>
        <w:p w:rsidR="00120312" w:rsidRDefault="007A39AA">
          <w:pPr>
            <w:pStyle w:val="TOC3"/>
            <w:rPr>
              <w:rFonts w:asciiTheme="minorHAnsi" w:eastAsiaTheme="minorEastAsia" w:hAnsiTheme="minorHAnsi"/>
              <w:lang w:eastAsia="en-AU"/>
            </w:rPr>
          </w:pPr>
          <w:hyperlink w:anchor="_Toc451945472" w:history="1">
            <w:r w:rsidR="00120312" w:rsidRPr="00A328B6">
              <w:rPr>
                <w:rStyle w:val="Hyperlink"/>
              </w:rPr>
              <w:t>3.3.5</w:t>
            </w:r>
            <w:r w:rsidR="00120312">
              <w:rPr>
                <w:rFonts w:asciiTheme="minorHAnsi" w:eastAsiaTheme="minorEastAsia" w:hAnsiTheme="minorHAnsi"/>
                <w:lang w:eastAsia="en-AU"/>
              </w:rPr>
              <w:tab/>
            </w:r>
            <w:r w:rsidR="00120312" w:rsidRPr="00A328B6">
              <w:rPr>
                <w:rStyle w:val="Hyperlink"/>
              </w:rPr>
              <w:t>Rate of return Guideline</w:t>
            </w:r>
            <w:r w:rsidR="00120312">
              <w:rPr>
                <w:webHidden/>
              </w:rPr>
              <w:tab/>
            </w:r>
            <w:r w:rsidR="00120312">
              <w:rPr>
                <w:webHidden/>
              </w:rPr>
              <w:fldChar w:fldCharType="begin"/>
            </w:r>
            <w:r w:rsidR="00120312">
              <w:rPr>
                <w:webHidden/>
              </w:rPr>
              <w:instrText xml:space="preserve"> PAGEREF _Toc451945472 \h </w:instrText>
            </w:r>
            <w:r w:rsidR="00120312">
              <w:rPr>
                <w:webHidden/>
              </w:rPr>
            </w:r>
            <w:r w:rsidR="00120312">
              <w:rPr>
                <w:webHidden/>
              </w:rPr>
              <w:fldChar w:fldCharType="separate"/>
            </w:r>
            <w:r w:rsidR="00120312">
              <w:rPr>
                <w:webHidden/>
              </w:rPr>
              <w:t>3-29</w:t>
            </w:r>
            <w:r w:rsidR="00120312">
              <w:rPr>
                <w:webHidden/>
              </w:rPr>
              <w:fldChar w:fldCharType="end"/>
            </w:r>
          </w:hyperlink>
        </w:p>
        <w:p w:rsidR="00120312" w:rsidRDefault="007A39AA">
          <w:pPr>
            <w:pStyle w:val="TOC3"/>
            <w:rPr>
              <w:rFonts w:asciiTheme="minorHAnsi" w:eastAsiaTheme="minorEastAsia" w:hAnsiTheme="minorHAnsi"/>
              <w:lang w:eastAsia="en-AU"/>
            </w:rPr>
          </w:pPr>
          <w:hyperlink w:anchor="_Toc451945473" w:history="1">
            <w:r w:rsidR="00120312" w:rsidRPr="00A328B6">
              <w:rPr>
                <w:rStyle w:val="Hyperlink"/>
              </w:rPr>
              <w:t>3.3.6</w:t>
            </w:r>
            <w:r w:rsidR="00120312">
              <w:rPr>
                <w:rFonts w:asciiTheme="minorHAnsi" w:eastAsiaTheme="minorEastAsia" w:hAnsiTheme="minorHAnsi"/>
                <w:lang w:eastAsia="en-AU"/>
              </w:rPr>
              <w:tab/>
            </w:r>
            <w:r w:rsidR="00120312" w:rsidRPr="00A328B6">
              <w:rPr>
                <w:rStyle w:val="Hyperlink"/>
              </w:rPr>
              <w:t>Interrelationships</w:t>
            </w:r>
            <w:r w:rsidR="00120312">
              <w:rPr>
                <w:webHidden/>
              </w:rPr>
              <w:tab/>
            </w:r>
            <w:r w:rsidR="00120312">
              <w:rPr>
                <w:webHidden/>
              </w:rPr>
              <w:fldChar w:fldCharType="begin"/>
            </w:r>
            <w:r w:rsidR="00120312">
              <w:rPr>
                <w:webHidden/>
              </w:rPr>
              <w:instrText xml:space="preserve"> PAGEREF _Toc451945473 \h </w:instrText>
            </w:r>
            <w:r w:rsidR="00120312">
              <w:rPr>
                <w:webHidden/>
              </w:rPr>
            </w:r>
            <w:r w:rsidR="00120312">
              <w:rPr>
                <w:webHidden/>
              </w:rPr>
              <w:fldChar w:fldCharType="separate"/>
            </w:r>
            <w:r w:rsidR="00120312">
              <w:rPr>
                <w:webHidden/>
              </w:rPr>
              <w:t>3-35</w:t>
            </w:r>
            <w:r w:rsidR="00120312">
              <w:rPr>
                <w:webHidden/>
              </w:rPr>
              <w:fldChar w:fldCharType="end"/>
            </w:r>
          </w:hyperlink>
        </w:p>
        <w:p w:rsidR="00120312" w:rsidRDefault="007A39AA">
          <w:pPr>
            <w:pStyle w:val="TOC3"/>
            <w:rPr>
              <w:rFonts w:asciiTheme="minorHAnsi" w:eastAsiaTheme="minorEastAsia" w:hAnsiTheme="minorHAnsi"/>
              <w:lang w:eastAsia="en-AU"/>
            </w:rPr>
          </w:pPr>
          <w:hyperlink w:anchor="_Toc451945474" w:history="1">
            <w:r w:rsidR="00120312" w:rsidRPr="00A328B6">
              <w:rPr>
                <w:rStyle w:val="Hyperlink"/>
              </w:rPr>
              <w:t>3.3.7</w:t>
            </w:r>
            <w:r w:rsidR="00120312">
              <w:rPr>
                <w:rFonts w:asciiTheme="minorHAnsi" w:eastAsiaTheme="minorEastAsia" w:hAnsiTheme="minorHAnsi"/>
                <w:lang w:eastAsia="en-AU"/>
              </w:rPr>
              <w:tab/>
            </w:r>
            <w:r w:rsidR="00120312" w:rsidRPr="00A328B6">
              <w:rPr>
                <w:rStyle w:val="Hyperlink"/>
              </w:rPr>
              <w:t>Consideration of relevant material</w:t>
            </w:r>
            <w:r w:rsidR="00120312">
              <w:rPr>
                <w:webHidden/>
              </w:rPr>
              <w:tab/>
            </w:r>
            <w:r w:rsidR="00120312">
              <w:rPr>
                <w:webHidden/>
              </w:rPr>
              <w:fldChar w:fldCharType="begin"/>
            </w:r>
            <w:r w:rsidR="00120312">
              <w:rPr>
                <w:webHidden/>
              </w:rPr>
              <w:instrText xml:space="preserve"> PAGEREF _Toc451945474 \h </w:instrText>
            </w:r>
            <w:r w:rsidR="00120312">
              <w:rPr>
                <w:webHidden/>
              </w:rPr>
            </w:r>
            <w:r w:rsidR="00120312">
              <w:rPr>
                <w:webHidden/>
              </w:rPr>
              <w:fldChar w:fldCharType="separate"/>
            </w:r>
            <w:r w:rsidR="00120312">
              <w:rPr>
                <w:webHidden/>
              </w:rPr>
              <w:t>3-37</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75" w:history="1">
            <w:r w:rsidR="00120312" w:rsidRPr="00A328B6">
              <w:rPr>
                <w:rStyle w:val="Hyperlink"/>
              </w:rPr>
              <w:t>3.4</w:t>
            </w:r>
            <w:r w:rsidR="00120312">
              <w:rPr>
                <w:rFonts w:asciiTheme="minorHAnsi" w:eastAsiaTheme="minorEastAsia" w:hAnsiTheme="minorHAnsi"/>
                <w:b w:val="0"/>
                <w:color w:val="auto"/>
                <w:sz w:val="22"/>
                <w:lang w:eastAsia="en-AU"/>
              </w:rPr>
              <w:tab/>
            </w:r>
            <w:r w:rsidR="00120312" w:rsidRPr="00A328B6">
              <w:rPr>
                <w:rStyle w:val="Hyperlink"/>
              </w:rPr>
              <w:t>Reasons for final decision</w:t>
            </w:r>
            <w:r w:rsidR="00120312">
              <w:rPr>
                <w:webHidden/>
              </w:rPr>
              <w:tab/>
            </w:r>
            <w:r w:rsidR="00120312">
              <w:rPr>
                <w:webHidden/>
              </w:rPr>
              <w:fldChar w:fldCharType="begin"/>
            </w:r>
            <w:r w:rsidR="00120312">
              <w:rPr>
                <w:webHidden/>
              </w:rPr>
              <w:instrText xml:space="preserve"> PAGEREF _Toc451945475 \h </w:instrText>
            </w:r>
            <w:r w:rsidR="00120312">
              <w:rPr>
                <w:webHidden/>
              </w:rPr>
            </w:r>
            <w:r w:rsidR="00120312">
              <w:rPr>
                <w:webHidden/>
              </w:rPr>
              <w:fldChar w:fldCharType="separate"/>
            </w:r>
            <w:r w:rsidR="00120312">
              <w:rPr>
                <w:webHidden/>
              </w:rPr>
              <w:t>3-42</w:t>
            </w:r>
            <w:r w:rsidR="00120312">
              <w:rPr>
                <w:webHidden/>
              </w:rPr>
              <w:fldChar w:fldCharType="end"/>
            </w:r>
          </w:hyperlink>
        </w:p>
        <w:p w:rsidR="00120312" w:rsidRDefault="007A39AA">
          <w:pPr>
            <w:pStyle w:val="TOC3"/>
            <w:rPr>
              <w:rFonts w:asciiTheme="minorHAnsi" w:eastAsiaTheme="minorEastAsia" w:hAnsiTheme="minorHAnsi"/>
              <w:lang w:eastAsia="en-AU"/>
            </w:rPr>
          </w:pPr>
          <w:hyperlink w:anchor="_Toc451945476" w:history="1">
            <w:r w:rsidR="00120312" w:rsidRPr="00A328B6">
              <w:rPr>
                <w:rStyle w:val="Hyperlink"/>
              </w:rPr>
              <w:t>3.4.1</w:t>
            </w:r>
            <w:r w:rsidR="00120312">
              <w:rPr>
                <w:rFonts w:asciiTheme="minorHAnsi" w:eastAsiaTheme="minorEastAsia" w:hAnsiTheme="minorHAnsi"/>
                <w:lang w:eastAsia="en-AU"/>
              </w:rPr>
              <w:tab/>
            </w:r>
            <w:r w:rsidR="00120312" w:rsidRPr="00A328B6">
              <w:rPr>
                <w:rStyle w:val="Hyperlink"/>
              </w:rPr>
              <w:t>Return on equity</w:t>
            </w:r>
            <w:r w:rsidR="00120312">
              <w:rPr>
                <w:webHidden/>
              </w:rPr>
              <w:tab/>
            </w:r>
            <w:r w:rsidR="00120312">
              <w:rPr>
                <w:webHidden/>
              </w:rPr>
              <w:fldChar w:fldCharType="begin"/>
            </w:r>
            <w:r w:rsidR="00120312">
              <w:rPr>
                <w:webHidden/>
              </w:rPr>
              <w:instrText xml:space="preserve"> PAGEREF _Toc451945476 \h </w:instrText>
            </w:r>
            <w:r w:rsidR="00120312">
              <w:rPr>
                <w:webHidden/>
              </w:rPr>
            </w:r>
            <w:r w:rsidR="00120312">
              <w:rPr>
                <w:webHidden/>
              </w:rPr>
              <w:fldChar w:fldCharType="separate"/>
            </w:r>
            <w:r w:rsidR="00120312">
              <w:rPr>
                <w:webHidden/>
              </w:rPr>
              <w:t>3-42</w:t>
            </w:r>
            <w:r w:rsidR="00120312">
              <w:rPr>
                <w:webHidden/>
              </w:rPr>
              <w:fldChar w:fldCharType="end"/>
            </w:r>
          </w:hyperlink>
        </w:p>
        <w:p w:rsidR="00120312" w:rsidRDefault="007A39AA">
          <w:pPr>
            <w:pStyle w:val="TOC3"/>
            <w:rPr>
              <w:rFonts w:asciiTheme="minorHAnsi" w:eastAsiaTheme="minorEastAsia" w:hAnsiTheme="minorHAnsi"/>
              <w:lang w:eastAsia="en-AU"/>
            </w:rPr>
          </w:pPr>
          <w:hyperlink w:anchor="_Toc451945477" w:history="1">
            <w:r w:rsidR="00120312" w:rsidRPr="00A328B6">
              <w:rPr>
                <w:rStyle w:val="Hyperlink"/>
              </w:rPr>
              <w:t>3.4.2</w:t>
            </w:r>
            <w:r w:rsidR="00120312">
              <w:rPr>
                <w:rFonts w:asciiTheme="minorHAnsi" w:eastAsiaTheme="minorEastAsia" w:hAnsiTheme="minorHAnsi"/>
                <w:lang w:eastAsia="en-AU"/>
              </w:rPr>
              <w:tab/>
            </w:r>
            <w:r w:rsidR="00120312" w:rsidRPr="00A328B6">
              <w:rPr>
                <w:rStyle w:val="Hyperlink"/>
              </w:rPr>
              <w:t>Return on debt</w:t>
            </w:r>
            <w:r w:rsidR="00120312">
              <w:rPr>
                <w:webHidden/>
              </w:rPr>
              <w:tab/>
            </w:r>
            <w:r w:rsidR="00120312">
              <w:rPr>
                <w:webHidden/>
              </w:rPr>
              <w:fldChar w:fldCharType="begin"/>
            </w:r>
            <w:r w:rsidR="00120312">
              <w:rPr>
                <w:webHidden/>
              </w:rPr>
              <w:instrText xml:space="preserve"> PAGEREF _Toc451945477 \h </w:instrText>
            </w:r>
            <w:r w:rsidR="00120312">
              <w:rPr>
                <w:webHidden/>
              </w:rPr>
            </w:r>
            <w:r w:rsidR="00120312">
              <w:rPr>
                <w:webHidden/>
              </w:rPr>
              <w:fldChar w:fldCharType="separate"/>
            </w:r>
            <w:r w:rsidR="00120312">
              <w:rPr>
                <w:webHidden/>
              </w:rPr>
              <w:t>3-89</w:t>
            </w:r>
            <w:r w:rsidR="00120312">
              <w:rPr>
                <w:webHidden/>
              </w:rPr>
              <w:fldChar w:fldCharType="end"/>
            </w:r>
          </w:hyperlink>
        </w:p>
        <w:p w:rsidR="00120312" w:rsidRDefault="007A39AA">
          <w:pPr>
            <w:pStyle w:val="TOC3"/>
            <w:rPr>
              <w:rFonts w:asciiTheme="minorHAnsi" w:eastAsiaTheme="minorEastAsia" w:hAnsiTheme="minorHAnsi"/>
              <w:lang w:eastAsia="en-AU"/>
            </w:rPr>
          </w:pPr>
          <w:hyperlink w:anchor="_Toc451945478" w:history="1">
            <w:r w:rsidR="00120312" w:rsidRPr="00A328B6">
              <w:rPr>
                <w:rStyle w:val="Hyperlink"/>
              </w:rPr>
              <w:t>3.4.3</w:t>
            </w:r>
            <w:r w:rsidR="00120312">
              <w:rPr>
                <w:rFonts w:asciiTheme="minorHAnsi" w:eastAsiaTheme="minorEastAsia" w:hAnsiTheme="minorHAnsi"/>
                <w:lang w:eastAsia="en-AU"/>
              </w:rPr>
              <w:tab/>
            </w:r>
            <w:r w:rsidR="00120312" w:rsidRPr="00A328B6">
              <w:rPr>
                <w:rStyle w:val="Hyperlink"/>
              </w:rPr>
              <w:t>Gearing</w:t>
            </w:r>
            <w:r w:rsidR="00120312">
              <w:rPr>
                <w:webHidden/>
              </w:rPr>
              <w:tab/>
            </w:r>
            <w:r w:rsidR="00120312">
              <w:rPr>
                <w:webHidden/>
              </w:rPr>
              <w:fldChar w:fldCharType="begin"/>
            </w:r>
            <w:r w:rsidR="00120312">
              <w:rPr>
                <w:webHidden/>
              </w:rPr>
              <w:instrText xml:space="preserve"> PAGEREF _Toc451945478 \h </w:instrText>
            </w:r>
            <w:r w:rsidR="00120312">
              <w:rPr>
                <w:webHidden/>
              </w:rPr>
            </w:r>
            <w:r w:rsidR="00120312">
              <w:rPr>
                <w:webHidden/>
              </w:rPr>
              <w:fldChar w:fldCharType="separate"/>
            </w:r>
            <w:r w:rsidR="00120312">
              <w:rPr>
                <w:webHidden/>
              </w:rPr>
              <w:t>3-148</w:t>
            </w:r>
            <w:r w:rsidR="00120312">
              <w:rPr>
                <w:webHidden/>
              </w:rPr>
              <w:fldChar w:fldCharType="end"/>
            </w:r>
          </w:hyperlink>
        </w:p>
        <w:p w:rsidR="00120312" w:rsidRDefault="007A39AA">
          <w:pPr>
            <w:pStyle w:val="TOC3"/>
            <w:rPr>
              <w:rFonts w:asciiTheme="minorHAnsi" w:eastAsiaTheme="minorEastAsia" w:hAnsiTheme="minorHAnsi"/>
              <w:lang w:eastAsia="en-AU"/>
            </w:rPr>
          </w:pPr>
          <w:hyperlink w:anchor="_Toc451945479" w:history="1">
            <w:r w:rsidR="00120312" w:rsidRPr="00A328B6">
              <w:rPr>
                <w:rStyle w:val="Hyperlink"/>
              </w:rPr>
              <w:t>3.4.4</w:t>
            </w:r>
            <w:r w:rsidR="00120312">
              <w:rPr>
                <w:rFonts w:asciiTheme="minorHAnsi" w:eastAsiaTheme="minorEastAsia" w:hAnsiTheme="minorHAnsi"/>
                <w:lang w:eastAsia="en-AU"/>
              </w:rPr>
              <w:tab/>
            </w:r>
            <w:r w:rsidR="00120312" w:rsidRPr="00A328B6">
              <w:rPr>
                <w:rStyle w:val="Hyperlink"/>
              </w:rPr>
              <w:t>Expected inflation rate</w:t>
            </w:r>
            <w:r w:rsidR="00120312">
              <w:rPr>
                <w:webHidden/>
              </w:rPr>
              <w:tab/>
            </w:r>
            <w:r w:rsidR="00120312">
              <w:rPr>
                <w:webHidden/>
              </w:rPr>
              <w:fldChar w:fldCharType="begin"/>
            </w:r>
            <w:r w:rsidR="00120312">
              <w:rPr>
                <w:webHidden/>
              </w:rPr>
              <w:instrText xml:space="preserve"> PAGEREF _Toc451945479 \h </w:instrText>
            </w:r>
            <w:r w:rsidR="00120312">
              <w:rPr>
                <w:webHidden/>
              </w:rPr>
            </w:r>
            <w:r w:rsidR="00120312">
              <w:rPr>
                <w:webHidden/>
              </w:rPr>
              <w:fldChar w:fldCharType="separate"/>
            </w:r>
            <w:r w:rsidR="00120312">
              <w:rPr>
                <w:webHidden/>
              </w:rPr>
              <w:t>3-151</w:t>
            </w:r>
            <w:r w:rsidR="00120312">
              <w:rPr>
                <w:webHidden/>
              </w:rPr>
              <w:fldChar w:fldCharType="end"/>
            </w:r>
          </w:hyperlink>
        </w:p>
        <w:p w:rsidR="00120312" w:rsidRDefault="007A39AA">
          <w:pPr>
            <w:pStyle w:val="TOC1"/>
            <w:rPr>
              <w:rFonts w:asciiTheme="minorHAnsi" w:eastAsiaTheme="minorEastAsia" w:hAnsiTheme="minorHAnsi"/>
              <w:b w:val="0"/>
              <w:color w:val="auto"/>
              <w:sz w:val="22"/>
              <w:lang w:val="en-AU" w:eastAsia="en-AU"/>
            </w:rPr>
          </w:pPr>
          <w:hyperlink w:anchor="_Toc451945480" w:history="1">
            <w:r w:rsidR="00120312" w:rsidRPr="00A328B6">
              <w:rPr>
                <w:rStyle w:val="Hyperlink"/>
              </w:rPr>
              <w:t>A</w:t>
            </w:r>
            <w:r w:rsidR="00120312">
              <w:rPr>
                <w:rFonts w:asciiTheme="minorHAnsi" w:eastAsiaTheme="minorEastAsia" w:hAnsiTheme="minorHAnsi"/>
                <w:b w:val="0"/>
                <w:color w:val="auto"/>
                <w:sz w:val="22"/>
                <w:lang w:val="en-AU" w:eastAsia="en-AU"/>
              </w:rPr>
              <w:tab/>
            </w:r>
            <w:r w:rsidR="00120312" w:rsidRPr="00A328B6">
              <w:rPr>
                <w:rStyle w:val="Hyperlink"/>
              </w:rPr>
              <w:t>Our foundation model approach</w:t>
            </w:r>
            <w:r w:rsidR="00120312">
              <w:rPr>
                <w:webHidden/>
              </w:rPr>
              <w:tab/>
            </w:r>
            <w:r w:rsidR="00120312">
              <w:rPr>
                <w:webHidden/>
              </w:rPr>
              <w:fldChar w:fldCharType="begin"/>
            </w:r>
            <w:r w:rsidR="00120312">
              <w:rPr>
                <w:webHidden/>
              </w:rPr>
              <w:instrText xml:space="preserve"> PAGEREF _Toc451945480 \h </w:instrText>
            </w:r>
            <w:r w:rsidR="00120312">
              <w:rPr>
                <w:webHidden/>
              </w:rPr>
            </w:r>
            <w:r w:rsidR="00120312">
              <w:rPr>
                <w:webHidden/>
              </w:rPr>
              <w:fldChar w:fldCharType="separate"/>
            </w:r>
            <w:r w:rsidR="00120312">
              <w:rPr>
                <w:webHidden/>
              </w:rPr>
              <w:t>3-162</w:t>
            </w:r>
            <w:r w:rsidR="00120312">
              <w:rPr>
                <w:webHidden/>
              </w:rPr>
              <w:fldChar w:fldCharType="end"/>
            </w:r>
          </w:hyperlink>
        </w:p>
        <w:p w:rsidR="00120312" w:rsidRDefault="007A39AA">
          <w:pPr>
            <w:pStyle w:val="TOC1"/>
            <w:rPr>
              <w:rFonts w:asciiTheme="minorHAnsi" w:eastAsiaTheme="minorEastAsia" w:hAnsiTheme="minorHAnsi"/>
              <w:b w:val="0"/>
              <w:color w:val="auto"/>
              <w:sz w:val="22"/>
              <w:lang w:val="en-AU" w:eastAsia="en-AU"/>
            </w:rPr>
          </w:pPr>
          <w:hyperlink w:anchor="_Toc451945481" w:history="1">
            <w:r w:rsidR="00120312" w:rsidRPr="00A328B6">
              <w:rPr>
                <w:rStyle w:val="Hyperlink"/>
              </w:rPr>
              <w:t>B</w:t>
            </w:r>
            <w:r w:rsidR="00120312">
              <w:rPr>
                <w:rFonts w:asciiTheme="minorHAnsi" w:eastAsiaTheme="minorEastAsia" w:hAnsiTheme="minorHAnsi"/>
                <w:b w:val="0"/>
                <w:color w:val="auto"/>
                <w:sz w:val="22"/>
                <w:lang w:val="en-AU" w:eastAsia="en-AU"/>
              </w:rPr>
              <w:tab/>
            </w:r>
            <w:r w:rsidR="00120312" w:rsidRPr="00A328B6">
              <w:rPr>
                <w:rStyle w:val="Hyperlink"/>
              </w:rPr>
              <w:t>Equity models</w:t>
            </w:r>
            <w:r w:rsidR="00120312">
              <w:rPr>
                <w:webHidden/>
              </w:rPr>
              <w:tab/>
            </w:r>
            <w:r w:rsidR="00120312">
              <w:rPr>
                <w:webHidden/>
              </w:rPr>
              <w:fldChar w:fldCharType="begin"/>
            </w:r>
            <w:r w:rsidR="00120312">
              <w:rPr>
                <w:webHidden/>
              </w:rPr>
              <w:instrText xml:space="preserve"> PAGEREF _Toc451945481 \h </w:instrText>
            </w:r>
            <w:r w:rsidR="00120312">
              <w:rPr>
                <w:webHidden/>
              </w:rPr>
            </w:r>
            <w:r w:rsidR="00120312">
              <w:rPr>
                <w:webHidden/>
              </w:rPr>
              <w:fldChar w:fldCharType="separate"/>
            </w:r>
            <w:r w:rsidR="00120312">
              <w:rPr>
                <w:webHidden/>
              </w:rPr>
              <w:t>3-165</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82" w:history="1">
            <w:r w:rsidR="00120312" w:rsidRPr="00A328B6">
              <w:rPr>
                <w:rStyle w:val="Hyperlink"/>
              </w:rPr>
              <w:t>B.1</w:t>
            </w:r>
            <w:r w:rsidR="00120312">
              <w:rPr>
                <w:rFonts w:asciiTheme="minorHAnsi" w:eastAsiaTheme="minorEastAsia" w:hAnsiTheme="minorHAnsi"/>
                <w:b w:val="0"/>
                <w:color w:val="auto"/>
                <w:sz w:val="22"/>
                <w:lang w:eastAsia="en-AU"/>
              </w:rPr>
              <w:tab/>
            </w:r>
            <w:r w:rsidR="00120312" w:rsidRPr="00A328B6">
              <w:rPr>
                <w:rStyle w:val="Hyperlink"/>
              </w:rPr>
              <w:t>Sharpe-Lintner CAPM</w:t>
            </w:r>
            <w:r w:rsidR="00120312">
              <w:rPr>
                <w:webHidden/>
              </w:rPr>
              <w:tab/>
            </w:r>
            <w:r w:rsidR="00120312">
              <w:rPr>
                <w:webHidden/>
              </w:rPr>
              <w:fldChar w:fldCharType="begin"/>
            </w:r>
            <w:r w:rsidR="00120312">
              <w:rPr>
                <w:webHidden/>
              </w:rPr>
              <w:instrText xml:space="preserve"> PAGEREF _Toc451945482 \h </w:instrText>
            </w:r>
            <w:r w:rsidR="00120312">
              <w:rPr>
                <w:webHidden/>
              </w:rPr>
            </w:r>
            <w:r w:rsidR="00120312">
              <w:rPr>
                <w:webHidden/>
              </w:rPr>
              <w:fldChar w:fldCharType="separate"/>
            </w:r>
            <w:r w:rsidR="00120312">
              <w:rPr>
                <w:webHidden/>
              </w:rPr>
              <w:t>3-166</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83" w:history="1">
            <w:r w:rsidR="00120312" w:rsidRPr="00A328B6">
              <w:rPr>
                <w:rStyle w:val="Hyperlink"/>
              </w:rPr>
              <w:t>B.2</w:t>
            </w:r>
            <w:r w:rsidR="00120312">
              <w:rPr>
                <w:rFonts w:asciiTheme="minorHAnsi" w:eastAsiaTheme="minorEastAsia" w:hAnsiTheme="minorHAnsi"/>
                <w:b w:val="0"/>
                <w:color w:val="auto"/>
                <w:sz w:val="22"/>
                <w:lang w:eastAsia="en-AU"/>
              </w:rPr>
              <w:tab/>
            </w:r>
            <w:r w:rsidR="00120312" w:rsidRPr="00A328B6">
              <w:rPr>
                <w:rStyle w:val="Hyperlink"/>
              </w:rPr>
              <w:t>Black CAPM</w:t>
            </w:r>
            <w:r w:rsidR="00120312">
              <w:rPr>
                <w:webHidden/>
              </w:rPr>
              <w:tab/>
            </w:r>
            <w:r w:rsidR="00120312">
              <w:rPr>
                <w:webHidden/>
              </w:rPr>
              <w:fldChar w:fldCharType="begin"/>
            </w:r>
            <w:r w:rsidR="00120312">
              <w:rPr>
                <w:webHidden/>
              </w:rPr>
              <w:instrText xml:space="preserve"> PAGEREF _Toc451945483 \h </w:instrText>
            </w:r>
            <w:r w:rsidR="00120312">
              <w:rPr>
                <w:webHidden/>
              </w:rPr>
            </w:r>
            <w:r w:rsidR="00120312">
              <w:rPr>
                <w:webHidden/>
              </w:rPr>
              <w:fldChar w:fldCharType="separate"/>
            </w:r>
            <w:r w:rsidR="00120312">
              <w:rPr>
                <w:webHidden/>
              </w:rPr>
              <w:t>3-179</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84" w:history="1">
            <w:r w:rsidR="00120312" w:rsidRPr="00A328B6">
              <w:rPr>
                <w:rStyle w:val="Hyperlink"/>
              </w:rPr>
              <w:t>B.3</w:t>
            </w:r>
            <w:r w:rsidR="00120312">
              <w:rPr>
                <w:rFonts w:asciiTheme="minorHAnsi" w:eastAsiaTheme="minorEastAsia" w:hAnsiTheme="minorHAnsi"/>
                <w:b w:val="0"/>
                <w:color w:val="auto"/>
                <w:sz w:val="22"/>
                <w:lang w:eastAsia="en-AU"/>
              </w:rPr>
              <w:tab/>
            </w:r>
            <w:r w:rsidR="00120312" w:rsidRPr="00A328B6">
              <w:rPr>
                <w:rStyle w:val="Hyperlink"/>
              </w:rPr>
              <w:t>Fama-French model</w:t>
            </w:r>
            <w:r w:rsidR="00120312">
              <w:rPr>
                <w:webHidden/>
              </w:rPr>
              <w:tab/>
            </w:r>
            <w:r w:rsidR="00120312">
              <w:rPr>
                <w:webHidden/>
              </w:rPr>
              <w:fldChar w:fldCharType="begin"/>
            </w:r>
            <w:r w:rsidR="00120312">
              <w:rPr>
                <w:webHidden/>
              </w:rPr>
              <w:instrText xml:space="preserve"> PAGEREF _Toc451945484 \h </w:instrText>
            </w:r>
            <w:r w:rsidR="00120312">
              <w:rPr>
                <w:webHidden/>
              </w:rPr>
            </w:r>
            <w:r w:rsidR="00120312">
              <w:rPr>
                <w:webHidden/>
              </w:rPr>
              <w:fldChar w:fldCharType="separate"/>
            </w:r>
            <w:r w:rsidR="00120312">
              <w:rPr>
                <w:webHidden/>
              </w:rPr>
              <w:t>3-193</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85" w:history="1">
            <w:r w:rsidR="00120312" w:rsidRPr="00A328B6">
              <w:rPr>
                <w:rStyle w:val="Hyperlink"/>
              </w:rPr>
              <w:t>B.4</w:t>
            </w:r>
            <w:r w:rsidR="00120312">
              <w:rPr>
                <w:rFonts w:asciiTheme="minorHAnsi" w:eastAsiaTheme="minorEastAsia" w:hAnsiTheme="minorHAnsi"/>
                <w:b w:val="0"/>
                <w:color w:val="auto"/>
                <w:sz w:val="22"/>
                <w:lang w:eastAsia="en-AU"/>
              </w:rPr>
              <w:tab/>
            </w:r>
            <w:r w:rsidR="00120312" w:rsidRPr="00A328B6">
              <w:rPr>
                <w:rStyle w:val="Hyperlink"/>
              </w:rPr>
              <w:t>Dividend growth model</w:t>
            </w:r>
            <w:r w:rsidR="00120312">
              <w:rPr>
                <w:webHidden/>
              </w:rPr>
              <w:tab/>
            </w:r>
            <w:r w:rsidR="00120312">
              <w:rPr>
                <w:webHidden/>
              </w:rPr>
              <w:fldChar w:fldCharType="begin"/>
            </w:r>
            <w:r w:rsidR="00120312">
              <w:rPr>
                <w:webHidden/>
              </w:rPr>
              <w:instrText xml:space="preserve"> PAGEREF _Toc451945485 \h </w:instrText>
            </w:r>
            <w:r w:rsidR="00120312">
              <w:rPr>
                <w:webHidden/>
              </w:rPr>
            </w:r>
            <w:r w:rsidR="00120312">
              <w:rPr>
                <w:webHidden/>
              </w:rPr>
              <w:fldChar w:fldCharType="separate"/>
            </w:r>
            <w:r w:rsidR="00120312">
              <w:rPr>
                <w:webHidden/>
              </w:rPr>
              <w:t>3-202</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86" w:history="1">
            <w:r w:rsidR="00120312" w:rsidRPr="00A328B6">
              <w:rPr>
                <w:rStyle w:val="Hyperlink"/>
              </w:rPr>
              <w:t>B.5</w:t>
            </w:r>
            <w:r w:rsidR="00120312">
              <w:rPr>
                <w:rFonts w:asciiTheme="minorHAnsi" w:eastAsiaTheme="minorEastAsia" w:hAnsiTheme="minorHAnsi"/>
                <w:b w:val="0"/>
                <w:color w:val="auto"/>
                <w:sz w:val="22"/>
                <w:lang w:eastAsia="en-AU"/>
              </w:rPr>
              <w:tab/>
            </w:r>
            <w:r w:rsidR="00120312" w:rsidRPr="00A328B6">
              <w:rPr>
                <w:rStyle w:val="Hyperlink"/>
              </w:rPr>
              <w:t>Wright CAPM and historical CAPM</w:t>
            </w:r>
            <w:r w:rsidR="00120312">
              <w:rPr>
                <w:webHidden/>
              </w:rPr>
              <w:tab/>
            </w:r>
            <w:r w:rsidR="00120312">
              <w:rPr>
                <w:webHidden/>
              </w:rPr>
              <w:fldChar w:fldCharType="begin"/>
            </w:r>
            <w:r w:rsidR="00120312">
              <w:rPr>
                <w:webHidden/>
              </w:rPr>
              <w:instrText xml:space="preserve"> PAGEREF _Toc451945486 \h </w:instrText>
            </w:r>
            <w:r w:rsidR="00120312">
              <w:rPr>
                <w:webHidden/>
              </w:rPr>
            </w:r>
            <w:r w:rsidR="00120312">
              <w:rPr>
                <w:webHidden/>
              </w:rPr>
              <w:fldChar w:fldCharType="separate"/>
            </w:r>
            <w:r w:rsidR="00120312">
              <w:rPr>
                <w:webHidden/>
              </w:rPr>
              <w:t>3-209</w:t>
            </w:r>
            <w:r w:rsidR="00120312">
              <w:rPr>
                <w:webHidden/>
              </w:rPr>
              <w:fldChar w:fldCharType="end"/>
            </w:r>
          </w:hyperlink>
        </w:p>
        <w:p w:rsidR="00120312" w:rsidRDefault="007A39AA">
          <w:pPr>
            <w:pStyle w:val="TOC1"/>
            <w:rPr>
              <w:rFonts w:asciiTheme="minorHAnsi" w:eastAsiaTheme="minorEastAsia" w:hAnsiTheme="minorHAnsi"/>
              <w:b w:val="0"/>
              <w:color w:val="auto"/>
              <w:sz w:val="22"/>
              <w:lang w:val="en-AU" w:eastAsia="en-AU"/>
            </w:rPr>
          </w:pPr>
          <w:hyperlink w:anchor="_Toc451945487" w:history="1">
            <w:r w:rsidR="00120312" w:rsidRPr="00A328B6">
              <w:rPr>
                <w:rStyle w:val="Hyperlink"/>
              </w:rPr>
              <w:t>C</w:t>
            </w:r>
            <w:r w:rsidR="00120312">
              <w:rPr>
                <w:rFonts w:asciiTheme="minorHAnsi" w:eastAsiaTheme="minorEastAsia" w:hAnsiTheme="minorHAnsi"/>
                <w:b w:val="0"/>
                <w:color w:val="auto"/>
                <w:sz w:val="22"/>
                <w:lang w:val="en-AU" w:eastAsia="en-AU"/>
              </w:rPr>
              <w:tab/>
            </w:r>
            <w:r w:rsidR="00120312" w:rsidRPr="00A328B6">
              <w:rPr>
                <w:rStyle w:val="Hyperlink"/>
              </w:rPr>
              <w:t>Historical stock returns</w:t>
            </w:r>
            <w:r w:rsidR="00120312">
              <w:rPr>
                <w:webHidden/>
              </w:rPr>
              <w:tab/>
            </w:r>
            <w:r w:rsidR="00120312">
              <w:rPr>
                <w:webHidden/>
              </w:rPr>
              <w:fldChar w:fldCharType="begin"/>
            </w:r>
            <w:r w:rsidR="00120312">
              <w:rPr>
                <w:webHidden/>
              </w:rPr>
              <w:instrText xml:space="preserve"> PAGEREF _Toc451945487 \h </w:instrText>
            </w:r>
            <w:r w:rsidR="00120312">
              <w:rPr>
                <w:webHidden/>
              </w:rPr>
            </w:r>
            <w:r w:rsidR="00120312">
              <w:rPr>
                <w:webHidden/>
              </w:rPr>
              <w:fldChar w:fldCharType="separate"/>
            </w:r>
            <w:r w:rsidR="00120312">
              <w:rPr>
                <w:webHidden/>
              </w:rPr>
              <w:t>3-213</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88" w:history="1">
            <w:r w:rsidR="00120312" w:rsidRPr="00A328B6">
              <w:rPr>
                <w:rStyle w:val="Hyperlink"/>
              </w:rPr>
              <w:t>C.1</w:t>
            </w:r>
            <w:r w:rsidR="00120312">
              <w:rPr>
                <w:rFonts w:asciiTheme="minorHAnsi" w:eastAsiaTheme="minorEastAsia" w:hAnsiTheme="minorHAnsi"/>
                <w:b w:val="0"/>
                <w:color w:val="auto"/>
                <w:sz w:val="22"/>
                <w:lang w:eastAsia="en-AU"/>
              </w:rPr>
              <w:tab/>
            </w:r>
            <w:r w:rsidR="00120312" w:rsidRPr="00A328B6">
              <w:rPr>
                <w:rStyle w:val="Hyperlink"/>
              </w:rPr>
              <w:t>Prevailing estimates: excess returns</w:t>
            </w:r>
            <w:r w:rsidR="00120312">
              <w:rPr>
                <w:webHidden/>
              </w:rPr>
              <w:tab/>
            </w:r>
            <w:r w:rsidR="00120312">
              <w:rPr>
                <w:webHidden/>
              </w:rPr>
              <w:fldChar w:fldCharType="begin"/>
            </w:r>
            <w:r w:rsidR="00120312">
              <w:rPr>
                <w:webHidden/>
              </w:rPr>
              <w:instrText xml:space="preserve"> PAGEREF _Toc451945488 \h </w:instrText>
            </w:r>
            <w:r w:rsidR="00120312">
              <w:rPr>
                <w:webHidden/>
              </w:rPr>
            </w:r>
            <w:r w:rsidR="00120312">
              <w:rPr>
                <w:webHidden/>
              </w:rPr>
              <w:fldChar w:fldCharType="separate"/>
            </w:r>
            <w:r w:rsidR="00120312">
              <w:rPr>
                <w:webHidden/>
              </w:rPr>
              <w:t>3-213</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89" w:history="1">
            <w:r w:rsidR="00120312" w:rsidRPr="00A328B6">
              <w:rPr>
                <w:rStyle w:val="Hyperlink"/>
              </w:rPr>
              <w:t>C.2</w:t>
            </w:r>
            <w:r w:rsidR="00120312">
              <w:rPr>
                <w:rFonts w:asciiTheme="minorHAnsi" w:eastAsiaTheme="minorEastAsia" w:hAnsiTheme="minorHAnsi"/>
                <w:b w:val="0"/>
                <w:color w:val="auto"/>
                <w:sz w:val="22"/>
                <w:lang w:eastAsia="en-AU"/>
              </w:rPr>
              <w:tab/>
            </w:r>
            <w:r w:rsidR="00120312" w:rsidRPr="00A328B6">
              <w:rPr>
                <w:rStyle w:val="Hyperlink"/>
              </w:rPr>
              <w:t>Prevailing estimates: total returns</w:t>
            </w:r>
            <w:r w:rsidR="00120312">
              <w:rPr>
                <w:webHidden/>
              </w:rPr>
              <w:tab/>
            </w:r>
            <w:r w:rsidR="00120312">
              <w:rPr>
                <w:webHidden/>
              </w:rPr>
              <w:fldChar w:fldCharType="begin"/>
            </w:r>
            <w:r w:rsidR="00120312">
              <w:rPr>
                <w:webHidden/>
              </w:rPr>
              <w:instrText xml:space="preserve"> PAGEREF _Toc451945489 \h </w:instrText>
            </w:r>
            <w:r w:rsidR="00120312">
              <w:rPr>
                <w:webHidden/>
              </w:rPr>
            </w:r>
            <w:r w:rsidR="00120312">
              <w:rPr>
                <w:webHidden/>
              </w:rPr>
              <w:fldChar w:fldCharType="separate"/>
            </w:r>
            <w:r w:rsidR="00120312">
              <w:rPr>
                <w:webHidden/>
              </w:rPr>
              <w:t>3-214</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90" w:history="1">
            <w:r w:rsidR="00120312" w:rsidRPr="00A328B6">
              <w:rPr>
                <w:rStyle w:val="Hyperlink"/>
              </w:rPr>
              <w:t>C.3</w:t>
            </w:r>
            <w:r w:rsidR="00120312">
              <w:rPr>
                <w:rFonts w:asciiTheme="minorHAnsi" w:eastAsiaTheme="minorEastAsia" w:hAnsiTheme="minorHAnsi"/>
                <w:b w:val="0"/>
                <w:color w:val="auto"/>
                <w:sz w:val="22"/>
                <w:lang w:eastAsia="en-AU"/>
              </w:rPr>
              <w:tab/>
            </w:r>
            <w:r w:rsidR="00120312" w:rsidRPr="00A328B6">
              <w:rPr>
                <w:rStyle w:val="Hyperlink"/>
              </w:rPr>
              <w:t>Arithmetic and geometric averages</w:t>
            </w:r>
            <w:r w:rsidR="00120312">
              <w:rPr>
                <w:webHidden/>
              </w:rPr>
              <w:tab/>
            </w:r>
            <w:r w:rsidR="00120312">
              <w:rPr>
                <w:webHidden/>
              </w:rPr>
              <w:fldChar w:fldCharType="begin"/>
            </w:r>
            <w:r w:rsidR="00120312">
              <w:rPr>
                <w:webHidden/>
              </w:rPr>
              <w:instrText xml:space="preserve"> PAGEREF _Toc451945490 \h </w:instrText>
            </w:r>
            <w:r w:rsidR="00120312">
              <w:rPr>
                <w:webHidden/>
              </w:rPr>
            </w:r>
            <w:r w:rsidR="00120312">
              <w:rPr>
                <w:webHidden/>
              </w:rPr>
              <w:fldChar w:fldCharType="separate"/>
            </w:r>
            <w:r w:rsidR="00120312">
              <w:rPr>
                <w:webHidden/>
              </w:rPr>
              <w:t>3-215</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91" w:history="1">
            <w:r w:rsidR="00120312" w:rsidRPr="00A328B6">
              <w:rPr>
                <w:rStyle w:val="Hyperlink"/>
              </w:rPr>
              <w:t>C.4</w:t>
            </w:r>
            <w:r w:rsidR="00120312">
              <w:rPr>
                <w:rFonts w:asciiTheme="minorHAnsi" w:eastAsiaTheme="minorEastAsia" w:hAnsiTheme="minorHAnsi"/>
                <w:b w:val="0"/>
                <w:color w:val="auto"/>
                <w:sz w:val="22"/>
                <w:lang w:eastAsia="en-AU"/>
              </w:rPr>
              <w:tab/>
            </w:r>
            <w:r w:rsidR="00120312" w:rsidRPr="00A328B6">
              <w:rPr>
                <w:rStyle w:val="Hyperlink"/>
              </w:rPr>
              <w:t>ASX adjustment to historical data</w:t>
            </w:r>
            <w:r w:rsidR="00120312">
              <w:rPr>
                <w:webHidden/>
              </w:rPr>
              <w:tab/>
            </w:r>
            <w:r w:rsidR="00120312">
              <w:rPr>
                <w:webHidden/>
              </w:rPr>
              <w:fldChar w:fldCharType="begin"/>
            </w:r>
            <w:r w:rsidR="00120312">
              <w:rPr>
                <w:webHidden/>
              </w:rPr>
              <w:instrText xml:space="preserve"> PAGEREF _Toc451945491 \h </w:instrText>
            </w:r>
            <w:r w:rsidR="00120312">
              <w:rPr>
                <w:webHidden/>
              </w:rPr>
            </w:r>
            <w:r w:rsidR="00120312">
              <w:rPr>
                <w:webHidden/>
              </w:rPr>
              <w:fldChar w:fldCharType="separate"/>
            </w:r>
            <w:r w:rsidR="00120312">
              <w:rPr>
                <w:webHidden/>
              </w:rPr>
              <w:t>3-219</w:t>
            </w:r>
            <w:r w:rsidR="00120312">
              <w:rPr>
                <w:webHidden/>
              </w:rPr>
              <w:fldChar w:fldCharType="end"/>
            </w:r>
          </w:hyperlink>
        </w:p>
        <w:p w:rsidR="00120312" w:rsidRDefault="007A39AA">
          <w:pPr>
            <w:pStyle w:val="TOC1"/>
            <w:rPr>
              <w:rFonts w:asciiTheme="minorHAnsi" w:eastAsiaTheme="minorEastAsia" w:hAnsiTheme="minorHAnsi"/>
              <w:b w:val="0"/>
              <w:color w:val="auto"/>
              <w:sz w:val="22"/>
              <w:lang w:val="en-AU" w:eastAsia="en-AU"/>
            </w:rPr>
          </w:pPr>
          <w:hyperlink w:anchor="_Toc451945492" w:history="1">
            <w:r w:rsidR="00120312" w:rsidRPr="00A328B6">
              <w:rPr>
                <w:rStyle w:val="Hyperlink"/>
              </w:rPr>
              <w:t>D</w:t>
            </w:r>
            <w:r w:rsidR="00120312">
              <w:rPr>
                <w:rFonts w:asciiTheme="minorHAnsi" w:eastAsiaTheme="minorEastAsia" w:hAnsiTheme="minorHAnsi"/>
                <w:b w:val="0"/>
                <w:color w:val="auto"/>
                <w:sz w:val="22"/>
                <w:lang w:val="en-AU" w:eastAsia="en-AU"/>
              </w:rPr>
              <w:tab/>
            </w:r>
            <w:r w:rsidR="00120312" w:rsidRPr="00A328B6">
              <w:rPr>
                <w:rStyle w:val="Hyperlink"/>
              </w:rPr>
              <w:t>AER's dividend growth model</w:t>
            </w:r>
            <w:r w:rsidR="00120312">
              <w:rPr>
                <w:webHidden/>
              </w:rPr>
              <w:tab/>
            </w:r>
            <w:r w:rsidR="00120312">
              <w:rPr>
                <w:webHidden/>
              </w:rPr>
              <w:fldChar w:fldCharType="begin"/>
            </w:r>
            <w:r w:rsidR="00120312">
              <w:rPr>
                <w:webHidden/>
              </w:rPr>
              <w:instrText xml:space="preserve"> PAGEREF _Toc451945492 \h </w:instrText>
            </w:r>
            <w:r w:rsidR="00120312">
              <w:rPr>
                <w:webHidden/>
              </w:rPr>
            </w:r>
            <w:r w:rsidR="00120312">
              <w:rPr>
                <w:webHidden/>
              </w:rPr>
              <w:fldChar w:fldCharType="separate"/>
            </w:r>
            <w:r w:rsidR="00120312">
              <w:rPr>
                <w:webHidden/>
              </w:rPr>
              <w:t>3-224</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93" w:history="1">
            <w:r w:rsidR="00120312" w:rsidRPr="00A328B6">
              <w:rPr>
                <w:rStyle w:val="Hyperlink"/>
              </w:rPr>
              <w:t>D.1</w:t>
            </w:r>
            <w:r w:rsidR="00120312">
              <w:rPr>
                <w:rFonts w:asciiTheme="minorHAnsi" w:eastAsiaTheme="minorEastAsia" w:hAnsiTheme="minorHAnsi"/>
                <w:b w:val="0"/>
                <w:color w:val="auto"/>
                <w:sz w:val="22"/>
                <w:lang w:eastAsia="en-AU"/>
              </w:rPr>
              <w:tab/>
            </w:r>
            <w:r w:rsidR="00120312" w:rsidRPr="00A328B6">
              <w:rPr>
                <w:rStyle w:val="Hyperlink"/>
              </w:rPr>
              <w:t>Prevailing estimates</w:t>
            </w:r>
            <w:r w:rsidR="00120312">
              <w:rPr>
                <w:webHidden/>
              </w:rPr>
              <w:tab/>
            </w:r>
            <w:r w:rsidR="00120312">
              <w:rPr>
                <w:webHidden/>
              </w:rPr>
              <w:fldChar w:fldCharType="begin"/>
            </w:r>
            <w:r w:rsidR="00120312">
              <w:rPr>
                <w:webHidden/>
              </w:rPr>
              <w:instrText xml:space="preserve"> PAGEREF _Toc451945493 \h </w:instrText>
            </w:r>
            <w:r w:rsidR="00120312">
              <w:rPr>
                <w:webHidden/>
              </w:rPr>
            </w:r>
            <w:r w:rsidR="00120312">
              <w:rPr>
                <w:webHidden/>
              </w:rPr>
              <w:fldChar w:fldCharType="separate"/>
            </w:r>
            <w:r w:rsidR="00120312">
              <w:rPr>
                <w:webHidden/>
              </w:rPr>
              <w:t>3-224</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94" w:history="1">
            <w:r w:rsidR="00120312" w:rsidRPr="00A328B6">
              <w:rPr>
                <w:rStyle w:val="Hyperlink"/>
              </w:rPr>
              <w:t>D.2</w:t>
            </w:r>
            <w:r w:rsidR="00120312">
              <w:rPr>
                <w:rFonts w:asciiTheme="minorHAnsi" w:eastAsiaTheme="minorEastAsia" w:hAnsiTheme="minorHAnsi"/>
                <w:b w:val="0"/>
                <w:color w:val="auto"/>
                <w:sz w:val="22"/>
                <w:lang w:eastAsia="en-AU"/>
              </w:rPr>
              <w:tab/>
            </w:r>
            <w:r w:rsidR="00120312" w:rsidRPr="00A328B6">
              <w:rPr>
                <w:rStyle w:val="Hyperlink"/>
              </w:rPr>
              <w:t>Sensitivity analysis</w:t>
            </w:r>
            <w:r w:rsidR="00120312">
              <w:rPr>
                <w:webHidden/>
              </w:rPr>
              <w:tab/>
            </w:r>
            <w:r w:rsidR="00120312">
              <w:rPr>
                <w:webHidden/>
              </w:rPr>
              <w:fldChar w:fldCharType="begin"/>
            </w:r>
            <w:r w:rsidR="00120312">
              <w:rPr>
                <w:webHidden/>
              </w:rPr>
              <w:instrText xml:space="preserve"> PAGEREF _Toc451945494 \h </w:instrText>
            </w:r>
            <w:r w:rsidR="00120312">
              <w:rPr>
                <w:webHidden/>
              </w:rPr>
            </w:r>
            <w:r w:rsidR="00120312">
              <w:rPr>
                <w:webHidden/>
              </w:rPr>
              <w:fldChar w:fldCharType="separate"/>
            </w:r>
            <w:r w:rsidR="00120312">
              <w:rPr>
                <w:webHidden/>
              </w:rPr>
              <w:t>3-225</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95" w:history="1">
            <w:r w:rsidR="00120312" w:rsidRPr="00A328B6">
              <w:rPr>
                <w:rStyle w:val="Hyperlink"/>
              </w:rPr>
              <w:t>D.3</w:t>
            </w:r>
            <w:r w:rsidR="00120312">
              <w:rPr>
                <w:rFonts w:asciiTheme="minorHAnsi" w:eastAsiaTheme="minorEastAsia" w:hAnsiTheme="minorHAnsi"/>
                <w:b w:val="0"/>
                <w:color w:val="auto"/>
                <w:sz w:val="22"/>
                <w:lang w:eastAsia="en-AU"/>
              </w:rPr>
              <w:tab/>
            </w:r>
            <w:r w:rsidR="00120312" w:rsidRPr="00A328B6">
              <w:rPr>
                <w:rStyle w:val="Hyperlink"/>
              </w:rPr>
              <w:t>Preferred construction of the dividend growth model</w:t>
            </w:r>
            <w:r w:rsidR="00120312">
              <w:rPr>
                <w:webHidden/>
              </w:rPr>
              <w:tab/>
            </w:r>
            <w:r w:rsidR="00120312">
              <w:rPr>
                <w:webHidden/>
              </w:rPr>
              <w:fldChar w:fldCharType="begin"/>
            </w:r>
            <w:r w:rsidR="00120312">
              <w:rPr>
                <w:webHidden/>
              </w:rPr>
              <w:instrText xml:space="preserve"> PAGEREF _Toc451945495 \h </w:instrText>
            </w:r>
            <w:r w:rsidR="00120312">
              <w:rPr>
                <w:webHidden/>
              </w:rPr>
            </w:r>
            <w:r w:rsidR="00120312">
              <w:rPr>
                <w:webHidden/>
              </w:rPr>
              <w:fldChar w:fldCharType="separate"/>
            </w:r>
            <w:r w:rsidR="00120312">
              <w:rPr>
                <w:webHidden/>
              </w:rPr>
              <w:t>3-226</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96" w:history="1">
            <w:r w:rsidR="00120312" w:rsidRPr="00A328B6">
              <w:rPr>
                <w:rStyle w:val="Hyperlink"/>
              </w:rPr>
              <w:t>D.4</w:t>
            </w:r>
            <w:r w:rsidR="00120312">
              <w:rPr>
                <w:rFonts w:asciiTheme="minorHAnsi" w:eastAsiaTheme="minorEastAsia" w:hAnsiTheme="minorHAnsi"/>
                <w:b w:val="0"/>
                <w:color w:val="auto"/>
                <w:sz w:val="22"/>
                <w:lang w:eastAsia="en-AU"/>
              </w:rPr>
              <w:tab/>
            </w:r>
            <w:r w:rsidR="00120312" w:rsidRPr="00A328B6">
              <w:rPr>
                <w:rStyle w:val="Hyperlink"/>
              </w:rPr>
              <w:t>Sources of potential upward bias</w:t>
            </w:r>
            <w:r w:rsidR="00120312">
              <w:rPr>
                <w:webHidden/>
              </w:rPr>
              <w:tab/>
            </w:r>
            <w:r w:rsidR="00120312">
              <w:rPr>
                <w:webHidden/>
              </w:rPr>
              <w:fldChar w:fldCharType="begin"/>
            </w:r>
            <w:r w:rsidR="00120312">
              <w:rPr>
                <w:webHidden/>
              </w:rPr>
              <w:instrText xml:space="preserve"> PAGEREF _Toc451945496 \h </w:instrText>
            </w:r>
            <w:r w:rsidR="00120312">
              <w:rPr>
                <w:webHidden/>
              </w:rPr>
            </w:r>
            <w:r w:rsidR="00120312">
              <w:rPr>
                <w:webHidden/>
              </w:rPr>
              <w:fldChar w:fldCharType="separate"/>
            </w:r>
            <w:r w:rsidR="00120312">
              <w:rPr>
                <w:webHidden/>
              </w:rPr>
              <w:t>3-228</w:t>
            </w:r>
            <w:r w:rsidR="00120312">
              <w:rPr>
                <w:webHidden/>
              </w:rPr>
              <w:fldChar w:fldCharType="end"/>
            </w:r>
          </w:hyperlink>
        </w:p>
        <w:p w:rsidR="00120312" w:rsidRDefault="007A39AA">
          <w:pPr>
            <w:pStyle w:val="TOC1"/>
            <w:rPr>
              <w:rFonts w:asciiTheme="minorHAnsi" w:eastAsiaTheme="minorEastAsia" w:hAnsiTheme="minorHAnsi"/>
              <w:b w:val="0"/>
              <w:color w:val="auto"/>
              <w:sz w:val="22"/>
              <w:lang w:val="en-AU" w:eastAsia="en-AU"/>
            </w:rPr>
          </w:pPr>
          <w:hyperlink w:anchor="_Toc451945497" w:history="1">
            <w:r w:rsidR="00120312" w:rsidRPr="00A328B6">
              <w:rPr>
                <w:rStyle w:val="Hyperlink"/>
              </w:rPr>
              <w:t>E</w:t>
            </w:r>
            <w:r w:rsidR="00120312">
              <w:rPr>
                <w:rFonts w:asciiTheme="minorHAnsi" w:eastAsiaTheme="minorEastAsia" w:hAnsiTheme="minorHAnsi"/>
                <w:b w:val="0"/>
                <w:color w:val="auto"/>
                <w:sz w:val="22"/>
                <w:lang w:val="en-AU" w:eastAsia="en-AU"/>
              </w:rPr>
              <w:tab/>
            </w:r>
            <w:r w:rsidR="00120312" w:rsidRPr="00A328B6">
              <w:rPr>
                <w:rStyle w:val="Hyperlink"/>
              </w:rPr>
              <w:t>Return on equity conditioning variables</w:t>
            </w:r>
            <w:r w:rsidR="00120312">
              <w:rPr>
                <w:webHidden/>
              </w:rPr>
              <w:tab/>
            </w:r>
            <w:r w:rsidR="00120312">
              <w:rPr>
                <w:webHidden/>
              </w:rPr>
              <w:fldChar w:fldCharType="begin"/>
            </w:r>
            <w:r w:rsidR="00120312">
              <w:rPr>
                <w:webHidden/>
              </w:rPr>
              <w:instrText xml:space="preserve"> PAGEREF _Toc451945497 \h </w:instrText>
            </w:r>
            <w:r w:rsidR="00120312">
              <w:rPr>
                <w:webHidden/>
              </w:rPr>
            </w:r>
            <w:r w:rsidR="00120312">
              <w:rPr>
                <w:webHidden/>
              </w:rPr>
              <w:fldChar w:fldCharType="separate"/>
            </w:r>
            <w:r w:rsidR="00120312">
              <w:rPr>
                <w:webHidden/>
              </w:rPr>
              <w:t>3-231</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98" w:history="1">
            <w:r w:rsidR="00120312" w:rsidRPr="00A328B6">
              <w:rPr>
                <w:rStyle w:val="Hyperlink"/>
              </w:rPr>
              <w:t>E.1</w:t>
            </w:r>
            <w:r w:rsidR="00120312">
              <w:rPr>
                <w:rFonts w:asciiTheme="minorHAnsi" w:eastAsiaTheme="minorEastAsia" w:hAnsiTheme="minorHAnsi"/>
                <w:b w:val="0"/>
                <w:color w:val="auto"/>
                <w:sz w:val="22"/>
                <w:lang w:eastAsia="en-AU"/>
              </w:rPr>
              <w:tab/>
            </w:r>
            <w:r w:rsidR="00120312" w:rsidRPr="00A328B6">
              <w:rPr>
                <w:rStyle w:val="Hyperlink"/>
              </w:rPr>
              <w:t>Implied volatility</w:t>
            </w:r>
            <w:r w:rsidR="00120312">
              <w:rPr>
                <w:webHidden/>
              </w:rPr>
              <w:tab/>
            </w:r>
            <w:r w:rsidR="00120312">
              <w:rPr>
                <w:webHidden/>
              </w:rPr>
              <w:fldChar w:fldCharType="begin"/>
            </w:r>
            <w:r w:rsidR="00120312">
              <w:rPr>
                <w:webHidden/>
              </w:rPr>
              <w:instrText xml:space="preserve"> PAGEREF _Toc451945498 \h </w:instrText>
            </w:r>
            <w:r w:rsidR="00120312">
              <w:rPr>
                <w:webHidden/>
              </w:rPr>
            </w:r>
            <w:r w:rsidR="00120312">
              <w:rPr>
                <w:webHidden/>
              </w:rPr>
              <w:fldChar w:fldCharType="separate"/>
            </w:r>
            <w:r w:rsidR="00120312">
              <w:rPr>
                <w:webHidden/>
              </w:rPr>
              <w:t>3-232</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499" w:history="1">
            <w:r w:rsidR="00120312" w:rsidRPr="00A328B6">
              <w:rPr>
                <w:rStyle w:val="Hyperlink"/>
              </w:rPr>
              <w:t>E.2</w:t>
            </w:r>
            <w:r w:rsidR="00120312">
              <w:rPr>
                <w:rFonts w:asciiTheme="minorHAnsi" w:eastAsiaTheme="minorEastAsia" w:hAnsiTheme="minorHAnsi"/>
                <w:b w:val="0"/>
                <w:color w:val="auto"/>
                <w:sz w:val="22"/>
                <w:lang w:eastAsia="en-AU"/>
              </w:rPr>
              <w:tab/>
            </w:r>
            <w:r w:rsidR="00120312" w:rsidRPr="00A328B6">
              <w:rPr>
                <w:rStyle w:val="Hyperlink"/>
              </w:rPr>
              <w:t>Dividend yields</w:t>
            </w:r>
            <w:r w:rsidR="00120312">
              <w:rPr>
                <w:webHidden/>
              </w:rPr>
              <w:tab/>
            </w:r>
            <w:r w:rsidR="00120312">
              <w:rPr>
                <w:webHidden/>
              </w:rPr>
              <w:fldChar w:fldCharType="begin"/>
            </w:r>
            <w:r w:rsidR="00120312">
              <w:rPr>
                <w:webHidden/>
              </w:rPr>
              <w:instrText xml:space="preserve"> PAGEREF _Toc451945499 \h </w:instrText>
            </w:r>
            <w:r w:rsidR="00120312">
              <w:rPr>
                <w:webHidden/>
              </w:rPr>
            </w:r>
            <w:r w:rsidR="00120312">
              <w:rPr>
                <w:webHidden/>
              </w:rPr>
              <w:fldChar w:fldCharType="separate"/>
            </w:r>
            <w:r w:rsidR="00120312">
              <w:rPr>
                <w:webHidden/>
              </w:rPr>
              <w:t>3-233</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00" w:history="1">
            <w:r w:rsidR="00120312" w:rsidRPr="00A328B6">
              <w:rPr>
                <w:rStyle w:val="Hyperlink"/>
              </w:rPr>
              <w:t>E.3</w:t>
            </w:r>
            <w:r w:rsidR="00120312">
              <w:rPr>
                <w:rFonts w:asciiTheme="minorHAnsi" w:eastAsiaTheme="minorEastAsia" w:hAnsiTheme="minorHAnsi"/>
                <w:b w:val="0"/>
                <w:color w:val="auto"/>
                <w:sz w:val="22"/>
                <w:lang w:eastAsia="en-AU"/>
              </w:rPr>
              <w:tab/>
            </w:r>
            <w:r w:rsidR="00120312" w:rsidRPr="00A328B6">
              <w:rPr>
                <w:rStyle w:val="Hyperlink"/>
              </w:rPr>
              <w:t>Yield spreads</w:t>
            </w:r>
            <w:r w:rsidR="00120312">
              <w:rPr>
                <w:webHidden/>
              </w:rPr>
              <w:tab/>
            </w:r>
            <w:r w:rsidR="00120312">
              <w:rPr>
                <w:webHidden/>
              </w:rPr>
              <w:fldChar w:fldCharType="begin"/>
            </w:r>
            <w:r w:rsidR="00120312">
              <w:rPr>
                <w:webHidden/>
              </w:rPr>
              <w:instrText xml:space="preserve"> PAGEREF _Toc451945500 \h </w:instrText>
            </w:r>
            <w:r w:rsidR="00120312">
              <w:rPr>
                <w:webHidden/>
              </w:rPr>
            </w:r>
            <w:r w:rsidR="00120312">
              <w:rPr>
                <w:webHidden/>
              </w:rPr>
              <w:fldChar w:fldCharType="separate"/>
            </w:r>
            <w:r w:rsidR="00120312">
              <w:rPr>
                <w:webHidden/>
              </w:rPr>
              <w:t>3-234</w:t>
            </w:r>
            <w:r w:rsidR="00120312">
              <w:rPr>
                <w:webHidden/>
              </w:rPr>
              <w:fldChar w:fldCharType="end"/>
            </w:r>
          </w:hyperlink>
        </w:p>
        <w:p w:rsidR="00120312" w:rsidRDefault="007A39AA">
          <w:pPr>
            <w:pStyle w:val="TOC1"/>
            <w:rPr>
              <w:rFonts w:asciiTheme="minorHAnsi" w:eastAsiaTheme="minorEastAsia" w:hAnsiTheme="minorHAnsi"/>
              <w:b w:val="0"/>
              <w:color w:val="auto"/>
              <w:sz w:val="22"/>
              <w:lang w:val="en-AU" w:eastAsia="en-AU"/>
            </w:rPr>
          </w:pPr>
          <w:hyperlink w:anchor="_Toc451945501" w:history="1">
            <w:r w:rsidR="00120312" w:rsidRPr="00A328B6">
              <w:rPr>
                <w:rStyle w:val="Hyperlink"/>
              </w:rPr>
              <w:t>F</w:t>
            </w:r>
            <w:r w:rsidR="00120312">
              <w:rPr>
                <w:rFonts w:asciiTheme="minorHAnsi" w:eastAsiaTheme="minorEastAsia" w:hAnsiTheme="minorHAnsi"/>
                <w:b w:val="0"/>
                <w:color w:val="auto"/>
                <w:sz w:val="22"/>
                <w:lang w:val="en-AU" w:eastAsia="en-AU"/>
              </w:rPr>
              <w:tab/>
            </w:r>
            <w:r w:rsidR="00120312" w:rsidRPr="00A328B6">
              <w:rPr>
                <w:rStyle w:val="Hyperlink"/>
              </w:rPr>
              <w:t>Other practitioner's return on equity estimates</w:t>
            </w:r>
            <w:r w:rsidR="00120312">
              <w:rPr>
                <w:webHidden/>
              </w:rPr>
              <w:tab/>
            </w:r>
            <w:r w:rsidR="00120312">
              <w:rPr>
                <w:webHidden/>
              </w:rPr>
              <w:fldChar w:fldCharType="begin"/>
            </w:r>
            <w:r w:rsidR="00120312">
              <w:rPr>
                <w:webHidden/>
              </w:rPr>
              <w:instrText xml:space="preserve"> PAGEREF _Toc451945501 \h </w:instrText>
            </w:r>
            <w:r w:rsidR="00120312">
              <w:rPr>
                <w:webHidden/>
              </w:rPr>
            </w:r>
            <w:r w:rsidR="00120312">
              <w:rPr>
                <w:webHidden/>
              </w:rPr>
              <w:fldChar w:fldCharType="separate"/>
            </w:r>
            <w:r w:rsidR="00120312">
              <w:rPr>
                <w:webHidden/>
              </w:rPr>
              <w:t>3-240</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02" w:history="1">
            <w:r w:rsidR="00120312" w:rsidRPr="00A328B6">
              <w:rPr>
                <w:rStyle w:val="Hyperlink"/>
              </w:rPr>
              <w:t>F.1</w:t>
            </w:r>
            <w:r w:rsidR="00120312">
              <w:rPr>
                <w:rFonts w:asciiTheme="minorHAnsi" w:eastAsiaTheme="minorEastAsia" w:hAnsiTheme="minorHAnsi"/>
                <w:b w:val="0"/>
                <w:color w:val="auto"/>
                <w:sz w:val="22"/>
                <w:lang w:eastAsia="en-AU"/>
              </w:rPr>
              <w:tab/>
            </w:r>
            <w:r w:rsidR="00120312" w:rsidRPr="00A328B6">
              <w:rPr>
                <w:rStyle w:val="Hyperlink"/>
              </w:rPr>
              <w:t>Prevailing estimates: surveys</w:t>
            </w:r>
            <w:r w:rsidR="00120312">
              <w:rPr>
                <w:webHidden/>
              </w:rPr>
              <w:tab/>
            </w:r>
            <w:r w:rsidR="00120312">
              <w:rPr>
                <w:webHidden/>
              </w:rPr>
              <w:fldChar w:fldCharType="begin"/>
            </w:r>
            <w:r w:rsidR="00120312">
              <w:rPr>
                <w:webHidden/>
              </w:rPr>
              <w:instrText xml:space="preserve"> PAGEREF _Toc451945502 \h </w:instrText>
            </w:r>
            <w:r w:rsidR="00120312">
              <w:rPr>
                <w:webHidden/>
              </w:rPr>
            </w:r>
            <w:r w:rsidR="00120312">
              <w:rPr>
                <w:webHidden/>
              </w:rPr>
              <w:fldChar w:fldCharType="separate"/>
            </w:r>
            <w:r w:rsidR="00120312">
              <w:rPr>
                <w:webHidden/>
              </w:rPr>
              <w:t>3-241</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03" w:history="1">
            <w:r w:rsidR="00120312" w:rsidRPr="00A328B6">
              <w:rPr>
                <w:rStyle w:val="Hyperlink"/>
              </w:rPr>
              <w:t>F.2</w:t>
            </w:r>
            <w:r w:rsidR="00120312">
              <w:rPr>
                <w:rFonts w:asciiTheme="minorHAnsi" w:eastAsiaTheme="minorEastAsia" w:hAnsiTheme="minorHAnsi"/>
                <w:b w:val="0"/>
                <w:color w:val="auto"/>
                <w:sz w:val="22"/>
                <w:lang w:eastAsia="en-AU"/>
              </w:rPr>
              <w:tab/>
            </w:r>
            <w:r w:rsidR="00120312" w:rsidRPr="00A328B6">
              <w:rPr>
                <w:rStyle w:val="Hyperlink"/>
              </w:rPr>
              <w:t>Prevailing estimates: broker reports</w:t>
            </w:r>
            <w:r w:rsidR="00120312">
              <w:rPr>
                <w:webHidden/>
              </w:rPr>
              <w:tab/>
            </w:r>
            <w:r w:rsidR="00120312">
              <w:rPr>
                <w:webHidden/>
              </w:rPr>
              <w:fldChar w:fldCharType="begin"/>
            </w:r>
            <w:r w:rsidR="00120312">
              <w:rPr>
                <w:webHidden/>
              </w:rPr>
              <w:instrText xml:space="preserve"> PAGEREF _Toc451945503 \h </w:instrText>
            </w:r>
            <w:r w:rsidR="00120312">
              <w:rPr>
                <w:webHidden/>
              </w:rPr>
            </w:r>
            <w:r w:rsidR="00120312">
              <w:rPr>
                <w:webHidden/>
              </w:rPr>
              <w:fldChar w:fldCharType="separate"/>
            </w:r>
            <w:r w:rsidR="00120312">
              <w:rPr>
                <w:webHidden/>
              </w:rPr>
              <w:t>3-243</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04" w:history="1">
            <w:r w:rsidR="00120312" w:rsidRPr="00A328B6">
              <w:rPr>
                <w:rStyle w:val="Hyperlink"/>
              </w:rPr>
              <w:t>F.3</w:t>
            </w:r>
            <w:r w:rsidR="00120312">
              <w:rPr>
                <w:rFonts w:asciiTheme="minorHAnsi" w:eastAsiaTheme="minorEastAsia" w:hAnsiTheme="minorHAnsi"/>
                <w:b w:val="0"/>
                <w:color w:val="auto"/>
                <w:sz w:val="22"/>
                <w:lang w:eastAsia="en-AU"/>
              </w:rPr>
              <w:tab/>
            </w:r>
            <w:r w:rsidR="00120312" w:rsidRPr="00A328B6">
              <w:rPr>
                <w:rStyle w:val="Hyperlink"/>
              </w:rPr>
              <w:t>Prevailing estimates: valuation reports</w:t>
            </w:r>
            <w:r w:rsidR="00120312">
              <w:rPr>
                <w:webHidden/>
              </w:rPr>
              <w:tab/>
            </w:r>
            <w:r w:rsidR="00120312">
              <w:rPr>
                <w:webHidden/>
              </w:rPr>
              <w:fldChar w:fldCharType="begin"/>
            </w:r>
            <w:r w:rsidR="00120312">
              <w:rPr>
                <w:webHidden/>
              </w:rPr>
              <w:instrText xml:space="preserve"> PAGEREF _Toc451945504 \h </w:instrText>
            </w:r>
            <w:r w:rsidR="00120312">
              <w:rPr>
                <w:webHidden/>
              </w:rPr>
            </w:r>
            <w:r w:rsidR="00120312">
              <w:rPr>
                <w:webHidden/>
              </w:rPr>
              <w:fldChar w:fldCharType="separate"/>
            </w:r>
            <w:r w:rsidR="00120312">
              <w:rPr>
                <w:webHidden/>
              </w:rPr>
              <w:t>3-244</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05" w:history="1">
            <w:r w:rsidR="00120312" w:rsidRPr="00A328B6">
              <w:rPr>
                <w:rStyle w:val="Hyperlink"/>
              </w:rPr>
              <w:t>F.4</w:t>
            </w:r>
            <w:r w:rsidR="00120312">
              <w:rPr>
                <w:rFonts w:asciiTheme="minorHAnsi" w:eastAsiaTheme="minorEastAsia" w:hAnsiTheme="minorHAnsi"/>
                <w:b w:val="0"/>
                <w:color w:val="auto"/>
                <w:sz w:val="22"/>
                <w:lang w:eastAsia="en-AU"/>
              </w:rPr>
              <w:tab/>
            </w:r>
            <w:r w:rsidR="00120312" w:rsidRPr="00A328B6">
              <w:rPr>
                <w:rStyle w:val="Hyperlink"/>
              </w:rPr>
              <w:t>Prevailing estimates: other regulators</w:t>
            </w:r>
            <w:r w:rsidR="00120312">
              <w:rPr>
                <w:webHidden/>
              </w:rPr>
              <w:tab/>
            </w:r>
            <w:r w:rsidR="00120312">
              <w:rPr>
                <w:webHidden/>
              </w:rPr>
              <w:fldChar w:fldCharType="begin"/>
            </w:r>
            <w:r w:rsidR="00120312">
              <w:rPr>
                <w:webHidden/>
              </w:rPr>
              <w:instrText xml:space="preserve"> PAGEREF _Toc451945505 \h </w:instrText>
            </w:r>
            <w:r w:rsidR="00120312">
              <w:rPr>
                <w:webHidden/>
              </w:rPr>
            </w:r>
            <w:r w:rsidR="00120312">
              <w:rPr>
                <w:webHidden/>
              </w:rPr>
              <w:fldChar w:fldCharType="separate"/>
            </w:r>
            <w:r w:rsidR="00120312">
              <w:rPr>
                <w:webHidden/>
              </w:rPr>
              <w:t>3-247</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06" w:history="1">
            <w:r w:rsidR="00120312" w:rsidRPr="00A328B6">
              <w:rPr>
                <w:rStyle w:val="Hyperlink"/>
              </w:rPr>
              <w:t>F.5</w:t>
            </w:r>
            <w:r w:rsidR="00120312">
              <w:rPr>
                <w:rFonts w:asciiTheme="minorHAnsi" w:eastAsiaTheme="minorEastAsia" w:hAnsiTheme="minorHAnsi"/>
                <w:b w:val="0"/>
                <w:color w:val="auto"/>
                <w:sz w:val="22"/>
                <w:lang w:eastAsia="en-AU"/>
              </w:rPr>
              <w:tab/>
            </w:r>
            <w:r w:rsidR="00120312" w:rsidRPr="00A328B6">
              <w:rPr>
                <w:rStyle w:val="Hyperlink"/>
              </w:rPr>
              <w:t>Relationship between risk free rate and market risk premium in valuation reports</w:t>
            </w:r>
            <w:r w:rsidR="00120312">
              <w:rPr>
                <w:webHidden/>
              </w:rPr>
              <w:tab/>
            </w:r>
            <w:r w:rsidR="00120312">
              <w:rPr>
                <w:webHidden/>
              </w:rPr>
              <w:fldChar w:fldCharType="begin"/>
            </w:r>
            <w:r w:rsidR="00120312">
              <w:rPr>
                <w:webHidden/>
              </w:rPr>
              <w:instrText xml:space="preserve"> PAGEREF _Toc451945506 \h </w:instrText>
            </w:r>
            <w:r w:rsidR="00120312">
              <w:rPr>
                <w:webHidden/>
              </w:rPr>
            </w:r>
            <w:r w:rsidR="00120312">
              <w:rPr>
                <w:webHidden/>
              </w:rPr>
              <w:fldChar w:fldCharType="separate"/>
            </w:r>
            <w:r w:rsidR="00120312">
              <w:rPr>
                <w:webHidden/>
              </w:rPr>
              <w:t>3-250</w:t>
            </w:r>
            <w:r w:rsidR="00120312">
              <w:rPr>
                <w:webHidden/>
              </w:rPr>
              <w:fldChar w:fldCharType="end"/>
            </w:r>
          </w:hyperlink>
        </w:p>
        <w:p w:rsidR="00120312" w:rsidRDefault="007A39AA">
          <w:pPr>
            <w:pStyle w:val="TOC1"/>
            <w:rPr>
              <w:rFonts w:asciiTheme="minorHAnsi" w:eastAsiaTheme="minorEastAsia" w:hAnsiTheme="minorHAnsi"/>
              <w:b w:val="0"/>
              <w:color w:val="auto"/>
              <w:sz w:val="22"/>
              <w:lang w:val="en-AU" w:eastAsia="en-AU"/>
            </w:rPr>
          </w:pPr>
          <w:hyperlink w:anchor="_Toc451945507" w:history="1">
            <w:r w:rsidR="00120312" w:rsidRPr="00A328B6">
              <w:rPr>
                <w:rStyle w:val="Hyperlink"/>
              </w:rPr>
              <w:t>G</w:t>
            </w:r>
            <w:r w:rsidR="00120312">
              <w:rPr>
                <w:rFonts w:asciiTheme="minorHAnsi" w:eastAsiaTheme="minorEastAsia" w:hAnsiTheme="minorHAnsi"/>
                <w:b w:val="0"/>
                <w:color w:val="auto"/>
                <w:sz w:val="22"/>
                <w:lang w:val="en-AU" w:eastAsia="en-AU"/>
              </w:rPr>
              <w:tab/>
            </w:r>
            <w:r w:rsidR="00120312" w:rsidRPr="00A328B6">
              <w:rPr>
                <w:rStyle w:val="Hyperlink"/>
              </w:rPr>
              <w:t>Empirical estimates of equity beta</w:t>
            </w:r>
            <w:r w:rsidR="00120312">
              <w:rPr>
                <w:webHidden/>
              </w:rPr>
              <w:tab/>
            </w:r>
            <w:r w:rsidR="00120312">
              <w:rPr>
                <w:webHidden/>
              </w:rPr>
              <w:fldChar w:fldCharType="begin"/>
            </w:r>
            <w:r w:rsidR="00120312">
              <w:rPr>
                <w:webHidden/>
              </w:rPr>
              <w:instrText xml:space="preserve"> PAGEREF _Toc451945507 \h </w:instrText>
            </w:r>
            <w:r w:rsidR="00120312">
              <w:rPr>
                <w:webHidden/>
              </w:rPr>
            </w:r>
            <w:r w:rsidR="00120312">
              <w:rPr>
                <w:webHidden/>
              </w:rPr>
              <w:fldChar w:fldCharType="separate"/>
            </w:r>
            <w:r w:rsidR="00120312">
              <w:rPr>
                <w:webHidden/>
              </w:rPr>
              <w:t>3-256</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08" w:history="1">
            <w:r w:rsidR="00120312" w:rsidRPr="00A328B6">
              <w:rPr>
                <w:rStyle w:val="Hyperlink"/>
              </w:rPr>
              <w:t>G.1</w:t>
            </w:r>
            <w:r w:rsidR="00120312">
              <w:rPr>
                <w:rFonts w:asciiTheme="minorHAnsi" w:eastAsiaTheme="minorEastAsia" w:hAnsiTheme="minorHAnsi"/>
                <w:b w:val="0"/>
                <w:color w:val="auto"/>
                <w:sz w:val="22"/>
                <w:lang w:eastAsia="en-AU"/>
              </w:rPr>
              <w:tab/>
            </w:r>
            <w:r w:rsidR="00120312" w:rsidRPr="00A328B6">
              <w:rPr>
                <w:rStyle w:val="Hyperlink"/>
              </w:rPr>
              <w:t>Australian empirical estimates from Henry's 2014 report</w:t>
            </w:r>
            <w:r w:rsidR="00120312">
              <w:rPr>
                <w:webHidden/>
              </w:rPr>
              <w:tab/>
            </w:r>
            <w:r w:rsidR="00120312">
              <w:rPr>
                <w:webHidden/>
              </w:rPr>
              <w:fldChar w:fldCharType="begin"/>
            </w:r>
            <w:r w:rsidR="00120312">
              <w:rPr>
                <w:webHidden/>
              </w:rPr>
              <w:instrText xml:space="preserve"> PAGEREF _Toc451945508 \h </w:instrText>
            </w:r>
            <w:r w:rsidR="00120312">
              <w:rPr>
                <w:webHidden/>
              </w:rPr>
            </w:r>
            <w:r w:rsidR="00120312">
              <w:rPr>
                <w:webHidden/>
              </w:rPr>
              <w:fldChar w:fldCharType="separate"/>
            </w:r>
            <w:r w:rsidR="00120312">
              <w:rPr>
                <w:webHidden/>
              </w:rPr>
              <w:t>3-256</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09" w:history="1">
            <w:r w:rsidR="00120312" w:rsidRPr="00A328B6">
              <w:rPr>
                <w:rStyle w:val="Hyperlink"/>
              </w:rPr>
              <w:t>G.2</w:t>
            </w:r>
            <w:r w:rsidR="00120312">
              <w:rPr>
                <w:rFonts w:asciiTheme="minorHAnsi" w:eastAsiaTheme="minorEastAsia" w:hAnsiTheme="minorHAnsi"/>
                <w:b w:val="0"/>
                <w:color w:val="auto"/>
                <w:sz w:val="22"/>
                <w:lang w:eastAsia="en-AU"/>
              </w:rPr>
              <w:tab/>
            </w:r>
            <w:r w:rsidR="00120312" w:rsidRPr="00A328B6">
              <w:rPr>
                <w:rStyle w:val="Hyperlink"/>
              </w:rPr>
              <w:t>Australian empirical estimates from other studies</w:t>
            </w:r>
            <w:r w:rsidR="00120312">
              <w:rPr>
                <w:webHidden/>
              </w:rPr>
              <w:tab/>
            </w:r>
            <w:r w:rsidR="00120312">
              <w:rPr>
                <w:webHidden/>
              </w:rPr>
              <w:fldChar w:fldCharType="begin"/>
            </w:r>
            <w:r w:rsidR="00120312">
              <w:rPr>
                <w:webHidden/>
              </w:rPr>
              <w:instrText xml:space="preserve"> PAGEREF _Toc451945509 \h </w:instrText>
            </w:r>
            <w:r w:rsidR="00120312">
              <w:rPr>
                <w:webHidden/>
              </w:rPr>
            </w:r>
            <w:r w:rsidR="00120312">
              <w:rPr>
                <w:webHidden/>
              </w:rPr>
              <w:fldChar w:fldCharType="separate"/>
            </w:r>
            <w:r w:rsidR="00120312">
              <w:rPr>
                <w:webHidden/>
              </w:rPr>
              <w:t>3-260</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10" w:history="1">
            <w:r w:rsidR="00120312" w:rsidRPr="00A328B6">
              <w:rPr>
                <w:rStyle w:val="Hyperlink"/>
              </w:rPr>
              <w:t>G.3</w:t>
            </w:r>
            <w:r w:rsidR="00120312">
              <w:rPr>
                <w:rFonts w:asciiTheme="minorHAnsi" w:eastAsiaTheme="minorEastAsia" w:hAnsiTheme="minorHAnsi"/>
                <w:b w:val="0"/>
                <w:color w:val="auto"/>
                <w:sz w:val="22"/>
                <w:lang w:eastAsia="en-AU"/>
              </w:rPr>
              <w:tab/>
            </w:r>
            <w:r w:rsidR="00120312" w:rsidRPr="00A328B6">
              <w:rPr>
                <w:rStyle w:val="Hyperlink"/>
              </w:rPr>
              <w:t>International empirical estimates</w:t>
            </w:r>
            <w:r w:rsidR="00120312">
              <w:rPr>
                <w:webHidden/>
              </w:rPr>
              <w:tab/>
            </w:r>
            <w:r w:rsidR="00120312">
              <w:rPr>
                <w:webHidden/>
              </w:rPr>
              <w:fldChar w:fldCharType="begin"/>
            </w:r>
            <w:r w:rsidR="00120312">
              <w:rPr>
                <w:webHidden/>
              </w:rPr>
              <w:instrText xml:space="preserve"> PAGEREF _Toc451945510 \h </w:instrText>
            </w:r>
            <w:r w:rsidR="00120312">
              <w:rPr>
                <w:webHidden/>
              </w:rPr>
            </w:r>
            <w:r w:rsidR="00120312">
              <w:rPr>
                <w:webHidden/>
              </w:rPr>
              <w:fldChar w:fldCharType="separate"/>
            </w:r>
            <w:r w:rsidR="00120312">
              <w:rPr>
                <w:webHidden/>
              </w:rPr>
              <w:t>3-262</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11" w:history="1">
            <w:r w:rsidR="00120312" w:rsidRPr="00A328B6">
              <w:rPr>
                <w:rStyle w:val="Hyperlink"/>
              </w:rPr>
              <w:t>G.4</w:t>
            </w:r>
            <w:r w:rsidR="00120312">
              <w:rPr>
                <w:rFonts w:asciiTheme="minorHAnsi" w:eastAsiaTheme="minorEastAsia" w:hAnsiTheme="minorHAnsi"/>
                <w:b w:val="0"/>
                <w:color w:val="auto"/>
                <w:sz w:val="22"/>
                <w:lang w:eastAsia="en-AU"/>
              </w:rPr>
              <w:tab/>
            </w:r>
            <w:r w:rsidR="00120312" w:rsidRPr="00A328B6">
              <w:rPr>
                <w:rStyle w:val="Hyperlink"/>
              </w:rPr>
              <w:t>Choice of comparator set</w:t>
            </w:r>
            <w:r w:rsidR="00120312">
              <w:rPr>
                <w:webHidden/>
              </w:rPr>
              <w:tab/>
            </w:r>
            <w:r w:rsidR="00120312">
              <w:rPr>
                <w:webHidden/>
              </w:rPr>
              <w:fldChar w:fldCharType="begin"/>
            </w:r>
            <w:r w:rsidR="00120312">
              <w:rPr>
                <w:webHidden/>
              </w:rPr>
              <w:instrText xml:space="preserve"> PAGEREF _Toc451945511 \h </w:instrText>
            </w:r>
            <w:r w:rsidR="00120312">
              <w:rPr>
                <w:webHidden/>
              </w:rPr>
            </w:r>
            <w:r w:rsidR="00120312">
              <w:rPr>
                <w:webHidden/>
              </w:rPr>
              <w:fldChar w:fldCharType="separate"/>
            </w:r>
            <w:r w:rsidR="00120312">
              <w:rPr>
                <w:webHidden/>
              </w:rPr>
              <w:t>3-264</w:t>
            </w:r>
            <w:r w:rsidR="00120312">
              <w:rPr>
                <w:webHidden/>
              </w:rPr>
              <w:fldChar w:fldCharType="end"/>
            </w:r>
          </w:hyperlink>
        </w:p>
        <w:p w:rsidR="00120312" w:rsidRDefault="007A39AA">
          <w:pPr>
            <w:pStyle w:val="TOC1"/>
            <w:rPr>
              <w:rFonts w:asciiTheme="minorHAnsi" w:eastAsiaTheme="minorEastAsia" w:hAnsiTheme="minorHAnsi"/>
              <w:b w:val="0"/>
              <w:color w:val="auto"/>
              <w:sz w:val="22"/>
              <w:lang w:val="en-AU" w:eastAsia="en-AU"/>
            </w:rPr>
          </w:pPr>
          <w:hyperlink w:anchor="_Toc451945512" w:history="1">
            <w:r w:rsidR="00120312" w:rsidRPr="00A328B6">
              <w:rPr>
                <w:rStyle w:val="Hyperlink"/>
              </w:rPr>
              <w:t>H</w:t>
            </w:r>
            <w:r w:rsidR="00120312">
              <w:rPr>
                <w:rFonts w:asciiTheme="minorHAnsi" w:eastAsiaTheme="minorEastAsia" w:hAnsiTheme="minorHAnsi"/>
                <w:b w:val="0"/>
                <w:color w:val="auto"/>
                <w:sz w:val="22"/>
                <w:lang w:val="en-AU" w:eastAsia="en-AU"/>
              </w:rPr>
              <w:tab/>
            </w:r>
            <w:r w:rsidR="00120312" w:rsidRPr="00A328B6">
              <w:rPr>
                <w:rStyle w:val="Hyperlink"/>
              </w:rPr>
              <w:t>Return on debt approach</w:t>
            </w:r>
            <w:r w:rsidR="00120312">
              <w:rPr>
                <w:webHidden/>
              </w:rPr>
              <w:tab/>
            </w:r>
            <w:r w:rsidR="00120312">
              <w:rPr>
                <w:webHidden/>
              </w:rPr>
              <w:fldChar w:fldCharType="begin"/>
            </w:r>
            <w:r w:rsidR="00120312">
              <w:rPr>
                <w:webHidden/>
              </w:rPr>
              <w:instrText xml:space="preserve"> PAGEREF _Toc451945512 \h </w:instrText>
            </w:r>
            <w:r w:rsidR="00120312">
              <w:rPr>
                <w:webHidden/>
              </w:rPr>
            </w:r>
            <w:r w:rsidR="00120312">
              <w:rPr>
                <w:webHidden/>
              </w:rPr>
              <w:fldChar w:fldCharType="separate"/>
            </w:r>
            <w:r w:rsidR="00120312">
              <w:rPr>
                <w:webHidden/>
              </w:rPr>
              <w:t>3-276</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13" w:history="1">
            <w:r w:rsidR="00120312" w:rsidRPr="00A328B6">
              <w:rPr>
                <w:rStyle w:val="Hyperlink"/>
              </w:rPr>
              <w:t>H.1</w:t>
            </w:r>
            <w:r w:rsidR="00120312">
              <w:rPr>
                <w:rFonts w:asciiTheme="minorHAnsi" w:eastAsiaTheme="minorEastAsia" w:hAnsiTheme="minorHAnsi"/>
                <w:b w:val="0"/>
                <w:color w:val="auto"/>
                <w:sz w:val="22"/>
                <w:lang w:eastAsia="en-AU"/>
              </w:rPr>
              <w:tab/>
            </w:r>
            <w:r w:rsidR="00120312" w:rsidRPr="00A328B6">
              <w:rPr>
                <w:rStyle w:val="Hyperlink"/>
              </w:rPr>
              <w:t>Interpretation of the ARORO</w:t>
            </w:r>
            <w:r w:rsidR="00120312">
              <w:rPr>
                <w:webHidden/>
              </w:rPr>
              <w:tab/>
            </w:r>
            <w:r w:rsidR="00120312">
              <w:rPr>
                <w:webHidden/>
              </w:rPr>
              <w:fldChar w:fldCharType="begin"/>
            </w:r>
            <w:r w:rsidR="00120312">
              <w:rPr>
                <w:webHidden/>
              </w:rPr>
              <w:instrText xml:space="preserve"> PAGEREF _Toc451945513 \h </w:instrText>
            </w:r>
            <w:r w:rsidR="00120312">
              <w:rPr>
                <w:webHidden/>
              </w:rPr>
            </w:r>
            <w:r w:rsidR="00120312">
              <w:rPr>
                <w:webHidden/>
              </w:rPr>
              <w:fldChar w:fldCharType="separate"/>
            </w:r>
            <w:r w:rsidR="00120312">
              <w:rPr>
                <w:webHidden/>
              </w:rPr>
              <w:t>3-277</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14" w:history="1">
            <w:r w:rsidR="00120312" w:rsidRPr="00A328B6">
              <w:rPr>
                <w:rStyle w:val="Hyperlink"/>
              </w:rPr>
              <w:t>H.2</w:t>
            </w:r>
            <w:r w:rsidR="00120312">
              <w:rPr>
                <w:rFonts w:asciiTheme="minorHAnsi" w:eastAsiaTheme="minorEastAsia" w:hAnsiTheme="minorHAnsi"/>
                <w:b w:val="0"/>
                <w:color w:val="auto"/>
                <w:sz w:val="22"/>
                <w:lang w:eastAsia="en-AU"/>
              </w:rPr>
              <w:tab/>
            </w:r>
            <w:r w:rsidR="00120312" w:rsidRPr="00A328B6">
              <w:rPr>
                <w:rStyle w:val="Hyperlink"/>
              </w:rPr>
              <w:t>Requirements under the ARORO</w:t>
            </w:r>
            <w:r w:rsidR="00120312">
              <w:rPr>
                <w:webHidden/>
              </w:rPr>
              <w:tab/>
            </w:r>
            <w:r w:rsidR="00120312">
              <w:rPr>
                <w:webHidden/>
              </w:rPr>
              <w:fldChar w:fldCharType="begin"/>
            </w:r>
            <w:r w:rsidR="00120312">
              <w:rPr>
                <w:webHidden/>
              </w:rPr>
              <w:instrText xml:space="preserve"> PAGEREF _Toc451945514 \h </w:instrText>
            </w:r>
            <w:r w:rsidR="00120312">
              <w:rPr>
                <w:webHidden/>
              </w:rPr>
            </w:r>
            <w:r w:rsidR="00120312">
              <w:rPr>
                <w:webHidden/>
              </w:rPr>
              <w:fldChar w:fldCharType="separate"/>
            </w:r>
            <w:r w:rsidR="00120312">
              <w:rPr>
                <w:webHidden/>
              </w:rPr>
              <w:t>3-281</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15" w:history="1">
            <w:r w:rsidR="00120312" w:rsidRPr="00A328B6">
              <w:rPr>
                <w:rStyle w:val="Hyperlink"/>
              </w:rPr>
              <w:t>H.3</w:t>
            </w:r>
            <w:r w:rsidR="00120312">
              <w:rPr>
                <w:rFonts w:asciiTheme="minorHAnsi" w:eastAsiaTheme="minorEastAsia" w:hAnsiTheme="minorHAnsi"/>
                <w:b w:val="0"/>
                <w:color w:val="auto"/>
                <w:sz w:val="22"/>
                <w:lang w:eastAsia="en-AU"/>
              </w:rPr>
              <w:tab/>
            </w:r>
            <w:r w:rsidR="00120312" w:rsidRPr="00A328B6">
              <w:rPr>
                <w:rStyle w:val="Hyperlink"/>
              </w:rPr>
              <w:t>On-the-day and trailing average approaches</w:t>
            </w:r>
            <w:r w:rsidR="00120312">
              <w:rPr>
                <w:webHidden/>
              </w:rPr>
              <w:tab/>
            </w:r>
            <w:r w:rsidR="00120312">
              <w:rPr>
                <w:webHidden/>
              </w:rPr>
              <w:fldChar w:fldCharType="begin"/>
            </w:r>
            <w:r w:rsidR="00120312">
              <w:rPr>
                <w:webHidden/>
              </w:rPr>
              <w:instrText xml:space="preserve"> PAGEREF _Toc451945515 \h </w:instrText>
            </w:r>
            <w:r w:rsidR="00120312">
              <w:rPr>
                <w:webHidden/>
              </w:rPr>
            </w:r>
            <w:r w:rsidR="00120312">
              <w:rPr>
                <w:webHidden/>
              </w:rPr>
              <w:fldChar w:fldCharType="separate"/>
            </w:r>
            <w:r w:rsidR="00120312">
              <w:rPr>
                <w:webHidden/>
              </w:rPr>
              <w:t>3-292</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16" w:history="1">
            <w:r w:rsidR="00120312" w:rsidRPr="00A328B6">
              <w:rPr>
                <w:rStyle w:val="Hyperlink"/>
              </w:rPr>
              <w:t>H.4</w:t>
            </w:r>
            <w:r w:rsidR="00120312">
              <w:rPr>
                <w:rFonts w:asciiTheme="minorHAnsi" w:eastAsiaTheme="minorEastAsia" w:hAnsiTheme="minorHAnsi"/>
                <w:b w:val="0"/>
                <w:color w:val="auto"/>
                <w:sz w:val="22"/>
                <w:lang w:eastAsia="en-AU"/>
              </w:rPr>
              <w:tab/>
            </w:r>
            <w:r w:rsidR="00120312" w:rsidRPr="00A328B6">
              <w:rPr>
                <w:rStyle w:val="Hyperlink"/>
              </w:rPr>
              <w:t>A full transition satisfies the ARORO</w:t>
            </w:r>
            <w:r w:rsidR="00120312">
              <w:rPr>
                <w:webHidden/>
              </w:rPr>
              <w:tab/>
            </w:r>
            <w:r w:rsidR="00120312">
              <w:rPr>
                <w:webHidden/>
              </w:rPr>
              <w:fldChar w:fldCharType="begin"/>
            </w:r>
            <w:r w:rsidR="00120312">
              <w:rPr>
                <w:webHidden/>
              </w:rPr>
              <w:instrText xml:space="preserve"> PAGEREF _Toc451945516 \h </w:instrText>
            </w:r>
            <w:r w:rsidR="00120312">
              <w:rPr>
                <w:webHidden/>
              </w:rPr>
            </w:r>
            <w:r w:rsidR="00120312">
              <w:rPr>
                <w:webHidden/>
              </w:rPr>
              <w:fldChar w:fldCharType="separate"/>
            </w:r>
            <w:r w:rsidR="00120312">
              <w:rPr>
                <w:webHidden/>
              </w:rPr>
              <w:t>3-307</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17" w:history="1">
            <w:r w:rsidR="00120312" w:rsidRPr="00A328B6">
              <w:rPr>
                <w:rStyle w:val="Hyperlink"/>
              </w:rPr>
              <w:t>H.5</w:t>
            </w:r>
            <w:r w:rsidR="00120312">
              <w:rPr>
                <w:rFonts w:asciiTheme="minorHAnsi" w:eastAsiaTheme="minorEastAsia" w:hAnsiTheme="minorHAnsi"/>
                <w:b w:val="0"/>
                <w:color w:val="auto"/>
                <w:sz w:val="22"/>
                <w:lang w:eastAsia="en-AU"/>
              </w:rPr>
              <w:tab/>
            </w:r>
            <w:r w:rsidR="00120312" w:rsidRPr="00A328B6">
              <w:rPr>
                <w:rStyle w:val="Hyperlink"/>
              </w:rPr>
              <w:t>An immediate (or hybrid) transition will not satisfy the ARORO</w:t>
            </w:r>
            <w:r w:rsidR="00120312">
              <w:rPr>
                <w:webHidden/>
              </w:rPr>
              <w:tab/>
            </w:r>
            <w:r w:rsidR="00120312">
              <w:rPr>
                <w:webHidden/>
              </w:rPr>
              <w:fldChar w:fldCharType="begin"/>
            </w:r>
            <w:r w:rsidR="00120312">
              <w:rPr>
                <w:webHidden/>
              </w:rPr>
              <w:instrText xml:space="preserve"> PAGEREF _Toc451945517 \h </w:instrText>
            </w:r>
            <w:r w:rsidR="00120312">
              <w:rPr>
                <w:webHidden/>
              </w:rPr>
            </w:r>
            <w:r w:rsidR="00120312">
              <w:rPr>
                <w:webHidden/>
              </w:rPr>
              <w:fldChar w:fldCharType="separate"/>
            </w:r>
            <w:r w:rsidR="00120312">
              <w:rPr>
                <w:webHidden/>
              </w:rPr>
              <w:t>3-308</w:t>
            </w:r>
            <w:r w:rsidR="00120312">
              <w:rPr>
                <w:webHidden/>
              </w:rPr>
              <w:fldChar w:fldCharType="end"/>
            </w:r>
          </w:hyperlink>
        </w:p>
        <w:p w:rsidR="00120312" w:rsidRDefault="007A39AA">
          <w:pPr>
            <w:pStyle w:val="TOC1"/>
            <w:rPr>
              <w:rFonts w:asciiTheme="minorHAnsi" w:eastAsiaTheme="minorEastAsia" w:hAnsiTheme="minorHAnsi"/>
              <w:b w:val="0"/>
              <w:color w:val="auto"/>
              <w:sz w:val="22"/>
              <w:lang w:val="en-AU" w:eastAsia="en-AU"/>
            </w:rPr>
          </w:pPr>
          <w:hyperlink w:anchor="_Toc451945518" w:history="1">
            <w:r w:rsidR="00120312" w:rsidRPr="00A328B6">
              <w:rPr>
                <w:rStyle w:val="Hyperlink"/>
              </w:rPr>
              <w:t>I</w:t>
            </w:r>
            <w:r w:rsidR="00120312">
              <w:rPr>
                <w:rFonts w:asciiTheme="minorHAnsi" w:eastAsiaTheme="minorEastAsia" w:hAnsiTheme="minorHAnsi"/>
                <w:b w:val="0"/>
                <w:color w:val="auto"/>
                <w:sz w:val="22"/>
                <w:lang w:val="en-AU" w:eastAsia="en-AU"/>
              </w:rPr>
              <w:tab/>
            </w:r>
            <w:r w:rsidR="00120312" w:rsidRPr="00A328B6">
              <w:rPr>
                <w:rStyle w:val="Hyperlink"/>
              </w:rPr>
              <w:t>Return on debt implementation</w:t>
            </w:r>
            <w:r w:rsidR="00120312">
              <w:rPr>
                <w:webHidden/>
              </w:rPr>
              <w:tab/>
            </w:r>
            <w:r w:rsidR="00120312">
              <w:rPr>
                <w:webHidden/>
              </w:rPr>
              <w:fldChar w:fldCharType="begin"/>
            </w:r>
            <w:r w:rsidR="00120312">
              <w:rPr>
                <w:webHidden/>
              </w:rPr>
              <w:instrText xml:space="preserve"> PAGEREF _Toc451945518 \h </w:instrText>
            </w:r>
            <w:r w:rsidR="00120312">
              <w:rPr>
                <w:webHidden/>
              </w:rPr>
            </w:r>
            <w:r w:rsidR="00120312">
              <w:rPr>
                <w:webHidden/>
              </w:rPr>
              <w:fldChar w:fldCharType="separate"/>
            </w:r>
            <w:r w:rsidR="00120312">
              <w:rPr>
                <w:webHidden/>
              </w:rPr>
              <w:t>3-320</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19" w:history="1">
            <w:r w:rsidR="00120312" w:rsidRPr="00A328B6">
              <w:rPr>
                <w:rStyle w:val="Hyperlink"/>
              </w:rPr>
              <w:t>I.1</w:t>
            </w:r>
            <w:r w:rsidR="00120312">
              <w:rPr>
                <w:rFonts w:asciiTheme="minorHAnsi" w:eastAsiaTheme="minorEastAsia" w:hAnsiTheme="minorHAnsi"/>
                <w:b w:val="0"/>
                <w:color w:val="auto"/>
                <w:sz w:val="22"/>
                <w:lang w:eastAsia="en-AU"/>
              </w:rPr>
              <w:tab/>
            </w:r>
            <w:r w:rsidR="00120312" w:rsidRPr="00A328B6">
              <w:rPr>
                <w:rStyle w:val="Hyperlink"/>
              </w:rPr>
              <w:t>The Thomson Reuters curve</w:t>
            </w:r>
            <w:r w:rsidR="00120312">
              <w:rPr>
                <w:webHidden/>
              </w:rPr>
              <w:tab/>
            </w:r>
            <w:r w:rsidR="00120312">
              <w:rPr>
                <w:webHidden/>
              </w:rPr>
              <w:fldChar w:fldCharType="begin"/>
            </w:r>
            <w:r w:rsidR="00120312">
              <w:rPr>
                <w:webHidden/>
              </w:rPr>
              <w:instrText xml:space="preserve"> PAGEREF _Toc451945519 \h </w:instrText>
            </w:r>
            <w:r w:rsidR="00120312">
              <w:rPr>
                <w:webHidden/>
              </w:rPr>
            </w:r>
            <w:r w:rsidR="00120312">
              <w:rPr>
                <w:webHidden/>
              </w:rPr>
              <w:fldChar w:fldCharType="separate"/>
            </w:r>
            <w:r w:rsidR="00120312">
              <w:rPr>
                <w:webHidden/>
              </w:rPr>
              <w:t>3-321</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20" w:history="1">
            <w:r w:rsidR="00120312" w:rsidRPr="00A328B6">
              <w:rPr>
                <w:rStyle w:val="Hyperlink"/>
              </w:rPr>
              <w:t>I.2</w:t>
            </w:r>
            <w:r w:rsidR="00120312">
              <w:rPr>
                <w:rFonts w:asciiTheme="minorHAnsi" w:eastAsiaTheme="minorEastAsia" w:hAnsiTheme="minorHAnsi"/>
                <w:b w:val="0"/>
                <w:color w:val="auto"/>
                <w:sz w:val="22"/>
                <w:lang w:eastAsia="en-AU"/>
              </w:rPr>
              <w:tab/>
            </w:r>
            <w:r w:rsidR="00120312" w:rsidRPr="00A328B6">
              <w:rPr>
                <w:rStyle w:val="Hyperlink"/>
              </w:rPr>
              <w:t>Criticisms of the BVAL curve</w:t>
            </w:r>
            <w:r w:rsidR="00120312">
              <w:rPr>
                <w:webHidden/>
              </w:rPr>
              <w:tab/>
            </w:r>
            <w:r w:rsidR="00120312">
              <w:rPr>
                <w:webHidden/>
              </w:rPr>
              <w:fldChar w:fldCharType="begin"/>
            </w:r>
            <w:r w:rsidR="00120312">
              <w:rPr>
                <w:webHidden/>
              </w:rPr>
              <w:instrText xml:space="preserve"> PAGEREF _Toc451945520 \h </w:instrText>
            </w:r>
            <w:r w:rsidR="00120312">
              <w:rPr>
                <w:webHidden/>
              </w:rPr>
            </w:r>
            <w:r w:rsidR="00120312">
              <w:rPr>
                <w:webHidden/>
              </w:rPr>
              <w:fldChar w:fldCharType="separate"/>
            </w:r>
            <w:r w:rsidR="00120312">
              <w:rPr>
                <w:webHidden/>
              </w:rPr>
              <w:t>3-326</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21" w:history="1">
            <w:r w:rsidR="00120312" w:rsidRPr="00A328B6">
              <w:rPr>
                <w:rStyle w:val="Hyperlink"/>
              </w:rPr>
              <w:t>I.3</w:t>
            </w:r>
            <w:r w:rsidR="00120312">
              <w:rPr>
                <w:rFonts w:asciiTheme="minorHAnsi" w:eastAsiaTheme="minorEastAsia" w:hAnsiTheme="minorHAnsi"/>
                <w:b w:val="0"/>
                <w:color w:val="auto"/>
                <w:sz w:val="22"/>
                <w:lang w:eastAsia="en-AU"/>
              </w:rPr>
              <w:tab/>
            </w:r>
            <w:r w:rsidR="00120312" w:rsidRPr="00A328B6">
              <w:rPr>
                <w:rStyle w:val="Hyperlink"/>
              </w:rPr>
              <w:t>Other issues</w:t>
            </w:r>
            <w:r w:rsidR="00120312">
              <w:rPr>
                <w:webHidden/>
              </w:rPr>
              <w:tab/>
            </w:r>
            <w:r w:rsidR="00120312">
              <w:rPr>
                <w:webHidden/>
              </w:rPr>
              <w:fldChar w:fldCharType="begin"/>
            </w:r>
            <w:r w:rsidR="00120312">
              <w:rPr>
                <w:webHidden/>
              </w:rPr>
              <w:instrText xml:space="preserve"> PAGEREF _Toc451945521 \h </w:instrText>
            </w:r>
            <w:r w:rsidR="00120312">
              <w:rPr>
                <w:webHidden/>
              </w:rPr>
            </w:r>
            <w:r w:rsidR="00120312">
              <w:rPr>
                <w:webHidden/>
              </w:rPr>
              <w:fldChar w:fldCharType="separate"/>
            </w:r>
            <w:r w:rsidR="00120312">
              <w:rPr>
                <w:webHidden/>
              </w:rPr>
              <w:t>3-340</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22" w:history="1">
            <w:r w:rsidR="00120312" w:rsidRPr="00A328B6">
              <w:rPr>
                <w:rStyle w:val="Hyperlink"/>
              </w:rPr>
              <w:t>I.4</w:t>
            </w:r>
            <w:r w:rsidR="00120312">
              <w:rPr>
                <w:rFonts w:asciiTheme="minorHAnsi" w:eastAsiaTheme="minorEastAsia" w:hAnsiTheme="minorHAnsi"/>
                <w:b w:val="0"/>
                <w:color w:val="auto"/>
                <w:sz w:val="22"/>
                <w:lang w:eastAsia="en-AU"/>
              </w:rPr>
              <w:tab/>
            </w:r>
            <w:r w:rsidR="00120312" w:rsidRPr="00A328B6">
              <w:rPr>
                <w:rStyle w:val="Hyperlink"/>
              </w:rPr>
              <w:t>Averaging periods</w:t>
            </w:r>
            <w:r w:rsidR="00120312">
              <w:rPr>
                <w:webHidden/>
              </w:rPr>
              <w:tab/>
            </w:r>
            <w:r w:rsidR="00120312">
              <w:rPr>
                <w:webHidden/>
              </w:rPr>
              <w:fldChar w:fldCharType="begin"/>
            </w:r>
            <w:r w:rsidR="00120312">
              <w:rPr>
                <w:webHidden/>
              </w:rPr>
              <w:instrText xml:space="preserve"> PAGEREF _Toc451945522 \h </w:instrText>
            </w:r>
            <w:r w:rsidR="00120312">
              <w:rPr>
                <w:webHidden/>
              </w:rPr>
            </w:r>
            <w:r w:rsidR="00120312">
              <w:rPr>
                <w:webHidden/>
              </w:rPr>
              <w:fldChar w:fldCharType="separate"/>
            </w:r>
            <w:r w:rsidR="00120312">
              <w:rPr>
                <w:webHidden/>
              </w:rPr>
              <w:t>3-342</w:t>
            </w:r>
            <w:r w:rsidR="00120312">
              <w:rPr>
                <w:webHidden/>
              </w:rPr>
              <w:fldChar w:fldCharType="end"/>
            </w:r>
          </w:hyperlink>
        </w:p>
        <w:p w:rsidR="00120312" w:rsidRDefault="007A39AA">
          <w:pPr>
            <w:pStyle w:val="TOC1"/>
            <w:rPr>
              <w:rFonts w:asciiTheme="minorHAnsi" w:eastAsiaTheme="minorEastAsia" w:hAnsiTheme="minorHAnsi"/>
              <w:b w:val="0"/>
              <w:color w:val="auto"/>
              <w:sz w:val="22"/>
              <w:lang w:val="en-AU" w:eastAsia="en-AU"/>
            </w:rPr>
          </w:pPr>
          <w:hyperlink w:anchor="_Toc451945523" w:history="1">
            <w:r w:rsidR="00120312" w:rsidRPr="00A328B6">
              <w:rPr>
                <w:rStyle w:val="Hyperlink"/>
              </w:rPr>
              <w:t>J</w:t>
            </w:r>
            <w:r w:rsidR="00120312">
              <w:rPr>
                <w:rFonts w:asciiTheme="minorHAnsi" w:eastAsiaTheme="minorEastAsia" w:hAnsiTheme="minorHAnsi"/>
                <w:b w:val="0"/>
                <w:color w:val="auto"/>
                <w:sz w:val="22"/>
                <w:lang w:val="en-AU" w:eastAsia="en-AU"/>
              </w:rPr>
              <w:tab/>
            </w:r>
            <w:r w:rsidR="00120312" w:rsidRPr="00A328B6">
              <w:rPr>
                <w:rStyle w:val="Hyperlink"/>
              </w:rPr>
              <w:t>Methodology to annual update the return on debt</w:t>
            </w:r>
            <w:r w:rsidR="00120312">
              <w:rPr>
                <w:webHidden/>
              </w:rPr>
              <w:tab/>
            </w:r>
            <w:r w:rsidR="00120312">
              <w:rPr>
                <w:webHidden/>
              </w:rPr>
              <w:fldChar w:fldCharType="begin"/>
            </w:r>
            <w:r w:rsidR="00120312">
              <w:rPr>
                <w:webHidden/>
              </w:rPr>
              <w:instrText xml:space="preserve"> PAGEREF _Toc451945523 \h </w:instrText>
            </w:r>
            <w:r w:rsidR="00120312">
              <w:rPr>
                <w:webHidden/>
              </w:rPr>
            </w:r>
            <w:r w:rsidR="00120312">
              <w:rPr>
                <w:webHidden/>
              </w:rPr>
              <w:fldChar w:fldCharType="separate"/>
            </w:r>
            <w:r w:rsidR="00120312">
              <w:rPr>
                <w:webHidden/>
              </w:rPr>
              <w:t>3-354</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24" w:history="1">
            <w:r w:rsidR="00120312" w:rsidRPr="00A328B6">
              <w:rPr>
                <w:rStyle w:val="Hyperlink"/>
              </w:rPr>
              <w:t>J.1</w:t>
            </w:r>
            <w:r w:rsidR="00120312">
              <w:rPr>
                <w:rFonts w:asciiTheme="minorHAnsi" w:eastAsiaTheme="minorEastAsia" w:hAnsiTheme="minorHAnsi"/>
                <w:b w:val="0"/>
                <w:color w:val="auto"/>
                <w:sz w:val="22"/>
                <w:lang w:eastAsia="en-AU"/>
              </w:rPr>
              <w:tab/>
            </w:r>
            <w:r w:rsidR="00120312" w:rsidRPr="00A328B6">
              <w:rPr>
                <w:rStyle w:val="Hyperlink"/>
              </w:rPr>
              <w:t>Approach to estimating the return on debt</w:t>
            </w:r>
            <w:r w:rsidR="00120312">
              <w:rPr>
                <w:webHidden/>
              </w:rPr>
              <w:tab/>
            </w:r>
            <w:r w:rsidR="00120312">
              <w:rPr>
                <w:webHidden/>
              </w:rPr>
              <w:fldChar w:fldCharType="begin"/>
            </w:r>
            <w:r w:rsidR="00120312">
              <w:rPr>
                <w:webHidden/>
              </w:rPr>
              <w:instrText xml:space="preserve"> PAGEREF _Toc451945524 \h </w:instrText>
            </w:r>
            <w:r w:rsidR="00120312">
              <w:rPr>
                <w:webHidden/>
              </w:rPr>
            </w:r>
            <w:r w:rsidR="00120312">
              <w:rPr>
                <w:webHidden/>
              </w:rPr>
              <w:fldChar w:fldCharType="separate"/>
            </w:r>
            <w:r w:rsidR="00120312">
              <w:rPr>
                <w:webHidden/>
              </w:rPr>
              <w:t>3-354</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25" w:history="1">
            <w:r w:rsidR="00120312" w:rsidRPr="00A328B6">
              <w:rPr>
                <w:rStyle w:val="Hyperlink"/>
              </w:rPr>
              <w:t>J.2</w:t>
            </w:r>
            <w:r w:rsidR="00120312">
              <w:rPr>
                <w:rFonts w:asciiTheme="minorHAnsi" w:eastAsiaTheme="minorEastAsia" w:hAnsiTheme="minorHAnsi"/>
                <w:b w:val="0"/>
                <w:color w:val="auto"/>
                <w:sz w:val="22"/>
                <w:lang w:eastAsia="en-AU"/>
              </w:rPr>
              <w:tab/>
            </w:r>
            <w:r w:rsidR="00120312" w:rsidRPr="00A328B6">
              <w:rPr>
                <w:rStyle w:val="Hyperlink"/>
              </w:rPr>
              <w:t>Implementing the return on debt approach</w:t>
            </w:r>
            <w:r w:rsidR="00120312">
              <w:rPr>
                <w:webHidden/>
              </w:rPr>
              <w:tab/>
            </w:r>
            <w:r w:rsidR="00120312">
              <w:rPr>
                <w:webHidden/>
              </w:rPr>
              <w:fldChar w:fldCharType="begin"/>
            </w:r>
            <w:r w:rsidR="00120312">
              <w:rPr>
                <w:webHidden/>
              </w:rPr>
              <w:instrText xml:space="preserve"> PAGEREF _Toc451945525 \h </w:instrText>
            </w:r>
            <w:r w:rsidR="00120312">
              <w:rPr>
                <w:webHidden/>
              </w:rPr>
            </w:r>
            <w:r w:rsidR="00120312">
              <w:rPr>
                <w:webHidden/>
              </w:rPr>
              <w:fldChar w:fldCharType="separate"/>
            </w:r>
            <w:r w:rsidR="00120312">
              <w:rPr>
                <w:webHidden/>
              </w:rPr>
              <w:t>3-356</w:t>
            </w:r>
            <w:r w:rsidR="00120312">
              <w:rPr>
                <w:webHidden/>
              </w:rPr>
              <w:fldChar w:fldCharType="end"/>
            </w:r>
          </w:hyperlink>
        </w:p>
        <w:p w:rsidR="00120312" w:rsidRDefault="007A39AA">
          <w:pPr>
            <w:pStyle w:val="TOC1"/>
            <w:rPr>
              <w:rFonts w:asciiTheme="minorHAnsi" w:eastAsiaTheme="minorEastAsia" w:hAnsiTheme="minorHAnsi"/>
              <w:b w:val="0"/>
              <w:color w:val="auto"/>
              <w:sz w:val="22"/>
              <w:lang w:val="en-AU" w:eastAsia="en-AU"/>
            </w:rPr>
          </w:pPr>
          <w:hyperlink w:anchor="_Toc451945526" w:history="1">
            <w:r w:rsidR="00120312" w:rsidRPr="00A328B6">
              <w:rPr>
                <w:rStyle w:val="Hyperlink"/>
              </w:rPr>
              <w:t>K</w:t>
            </w:r>
            <w:r w:rsidR="00120312">
              <w:rPr>
                <w:rFonts w:asciiTheme="minorHAnsi" w:eastAsiaTheme="minorEastAsia" w:hAnsiTheme="minorHAnsi"/>
                <w:b w:val="0"/>
                <w:color w:val="auto"/>
                <w:sz w:val="22"/>
                <w:lang w:val="en-AU" w:eastAsia="en-AU"/>
              </w:rPr>
              <w:tab/>
            </w:r>
            <w:r w:rsidR="00120312" w:rsidRPr="00A328B6">
              <w:rPr>
                <w:rStyle w:val="Hyperlink"/>
              </w:rPr>
              <w:t>Equity and debt raising costs</w:t>
            </w:r>
            <w:r w:rsidR="00120312">
              <w:rPr>
                <w:webHidden/>
              </w:rPr>
              <w:tab/>
            </w:r>
            <w:r w:rsidR="00120312">
              <w:rPr>
                <w:webHidden/>
              </w:rPr>
              <w:fldChar w:fldCharType="begin"/>
            </w:r>
            <w:r w:rsidR="00120312">
              <w:rPr>
                <w:webHidden/>
              </w:rPr>
              <w:instrText xml:space="preserve"> PAGEREF _Toc451945526 \h </w:instrText>
            </w:r>
            <w:r w:rsidR="00120312">
              <w:rPr>
                <w:webHidden/>
              </w:rPr>
            </w:r>
            <w:r w:rsidR="00120312">
              <w:rPr>
                <w:webHidden/>
              </w:rPr>
              <w:fldChar w:fldCharType="separate"/>
            </w:r>
            <w:r w:rsidR="00120312">
              <w:rPr>
                <w:webHidden/>
              </w:rPr>
              <w:t>3-367</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27" w:history="1">
            <w:r w:rsidR="00120312" w:rsidRPr="00A328B6">
              <w:rPr>
                <w:rStyle w:val="Hyperlink"/>
              </w:rPr>
              <w:t>K.1</w:t>
            </w:r>
            <w:r w:rsidR="00120312">
              <w:rPr>
                <w:rFonts w:asciiTheme="minorHAnsi" w:eastAsiaTheme="minorEastAsia" w:hAnsiTheme="minorHAnsi"/>
                <w:b w:val="0"/>
                <w:color w:val="auto"/>
                <w:sz w:val="22"/>
                <w:lang w:eastAsia="en-AU"/>
              </w:rPr>
              <w:tab/>
            </w:r>
            <w:r w:rsidR="00120312" w:rsidRPr="00A328B6">
              <w:rPr>
                <w:rStyle w:val="Hyperlink"/>
              </w:rPr>
              <w:t>Equity raising costs</w:t>
            </w:r>
            <w:r w:rsidR="00120312">
              <w:rPr>
                <w:webHidden/>
              </w:rPr>
              <w:tab/>
            </w:r>
            <w:r w:rsidR="00120312">
              <w:rPr>
                <w:webHidden/>
              </w:rPr>
              <w:fldChar w:fldCharType="begin"/>
            </w:r>
            <w:r w:rsidR="00120312">
              <w:rPr>
                <w:webHidden/>
              </w:rPr>
              <w:instrText xml:space="preserve"> PAGEREF _Toc451945527 \h </w:instrText>
            </w:r>
            <w:r w:rsidR="00120312">
              <w:rPr>
                <w:webHidden/>
              </w:rPr>
            </w:r>
            <w:r w:rsidR="00120312">
              <w:rPr>
                <w:webHidden/>
              </w:rPr>
              <w:fldChar w:fldCharType="separate"/>
            </w:r>
            <w:r w:rsidR="00120312">
              <w:rPr>
                <w:webHidden/>
              </w:rPr>
              <w:t>3-367</w:t>
            </w:r>
            <w:r w:rsidR="00120312">
              <w:rPr>
                <w:webHidden/>
              </w:rPr>
              <w:fldChar w:fldCharType="end"/>
            </w:r>
          </w:hyperlink>
        </w:p>
        <w:p w:rsidR="00120312" w:rsidRDefault="007A39AA">
          <w:pPr>
            <w:pStyle w:val="TOC2"/>
            <w:rPr>
              <w:rFonts w:asciiTheme="minorHAnsi" w:eastAsiaTheme="minorEastAsia" w:hAnsiTheme="minorHAnsi"/>
              <w:b w:val="0"/>
              <w:color w:val="auto"/>
              <w:sz w:val="22"/>
              <w:lang w:eastAsia="en-AU"/>
            </w:rPr>
          </w:pPr>
          <w:hyperlink w:anchor="_Toc451945528" w:history="1">
            <w:r w:rsidR="00120312" w:rsidRPr="00A328B6">
              <w:rPr>
                <w:rStyle w:val="Hyperlink"/>
              </w:rPr>
              <w:t>K.2</w:t>
            </w:r>
            <w:r w:rsidR="00120312">
              <w:rPr>
                <w:rFonts w:asciiTheme="minorHAnsi" w:eastAsiaTheme="minorEastAsia" w:hAnsiTheme="minorHAnsi"/>
                <w:b w:val="0"/>
                <w:color w:val="auto"/>
                <w:sz w:val="22"/>
                <w:lang w:eastAsia="en-AU"/>
              </w:rPr>
              <w:tab/>
            </w:r>
            <w:r w:rsidR="00120312" w:rsidRPr="00A328B6">
              <w:rPr>
                <w:rStyle w:val="Hyperlink"/>
              </w:rPr>
              <w:t>Debt raising costs</w:t>
            </w:r>
            <w:r w:rsidR="00120312">
              <w:rPr>
                <w:webHidden/>
              </w:rPr>
              <w:tab/>
            </w:r>
            <w:r w:rsidR="00120312">
              <w:rPr>
                <w:webHidden/>
              </w:rPr>
              <w:fldChar w:fldCharType="begin"/>
            </w:r>
            <w:r w:rsidR="00120312">
              <w:rPr>
                <w:webHidden/>
              </w:rPr>
              <w:instrText xml:space="preserve"> PAGEREF _Toc451945528 \h </w:instrText>
            </w:r>
            <w:r w:rsidR="00120312">
              <w:rPr>
                <w:webHidden/>
              </w:rPr>
            </w:r>
            <w:r w:rsidR="00120312">
              <w:rPr>
                <w:webHidden/>
              </w:rPr>
              <w:fldChar w:fldCharType="separate"/>
            </w:r>
            <w:r w:rsidR="00120312">
              <w:rPr>
                <w:webHidden/>
              </w:rPr>
              <w:t>3-368</w:t>
            </w:r>
            <w:r w:rsidR="00120312">
              <w:rPr>
                <w:webHidden/>
              </w:rPr>
              <w:fldChar w:fldCharType="end"/>
            </w:r>
          </w:hyperlink>
        </w:p>
        <w:p w:rsidR="00120312" w:rsidRDefault="007A39AA">
          <w:pPr>
            <w:pStyle w:val="TOC1"/>
            <w:rPr>
              <w:rFonts w:asciiTheme="minorHAnsi" w:eastAsiaTheme="minorEastAsia" w:hAnsiTheme="minorHAnsi"/>
              <w:b w:val="0"/>
              <w:color w:val="auto"/>
              <w:sz w:val="22"/>
              <w:lang w:val="en-AU" w:eastAsia="en-AU"/>
            </w:rPr>
          </w:pPr>
          <w:hyperlink w:anchor="_Toc451945529" w:history="1">
            <w:r w:rsidR="00120312" w:rsidRPr="00A328B6">
              <w:rPr>
                <w:rStyle w:val="Hyperlink"/>
              </w:rPr>
              <w:t>L</w:t>
            </w:r>
            <w:r w:rsidR="00120312">
              <w:rPr>
                <w:rFonts w:asciiTheme="minorHAnsi" w:eastAsiaTheme="minorEastAsia" w:hAnsiTheme="minorHAnsi"/>
                <w:b w:val="0"/>
                <w:color w:val="auto"/>
                <w:sz w:val="22"/>
                <w:lang w:val="en-AU" w:eastAsia="en-AU"/>
              </w:rPr>
              <w:tab/>
            </w:r>
            <w:r w:rsidR="00120312" w:rsidRPr="00A328B6">
              <w:rPr>
                <w:rStyle w:val="Hyperlink"/>
              </w:rPr>
              <w:t>Equity and debt averaging periods (Confidential)</w:t>
            </w:r>
            <w:r w:rsidR="00120312">
              <w:rPr>
                <w:webHidden/>
              </w:rPr>
              <w:tab/>
            </w:r>
            <w:r w:rsidR="00120312">
              <w:rPr>
                <w:webHidden/>
              </w:rPr>
              <w:fldChar w:fldCharType="begin"/>
            </w:r>
            <w:r w:rsidR="00120312">
              <w:rPr>
                <w:webHidden/>
              </w:rPr>
              <w:instrText xml:space="preserve"> PAGEREF _Toc451945529 \h </w:instrText>
            </w:r>
            <w:r w:rsidR="00120312">
              <w:rPr>
                <w:webHidden/>
              </w:rPr>
            </w:r>
            <w:r w:rsidR="00120312">
              <w:rPr>
                <w:webHidden/>
              </w:rPr>
              <w:fldChar w:fldCharType="separate"/>
            </w:r>
            <w:r w:rsidR="00120312">
              <w:rPr>
                <w:webHidden/>
              </w:rPr>
              <w:t>3-370</w:t>
            </w:r>
            <w:r w:rsidR="00120312">
              <w:rPr>
                <w:webHidden/>
              </w:rPr>
              <w:fldChar w:fldCharType="end"/>
            </w:r>
          </w:hyperlink>
        </w:p>
        <w:p w:rsidR="00DE563D" w:rsidRDefault="00120312" w:rsidP="00120312">
          <w:pPr>
            <w:pStyle w:val="TOC1"/>
          </w:pPr>
          <w:r>
            <w:rPr>
              <w:color w:val="auto"/>
              <w:sz w:val="22"/>
            </w:rPr>
            <w:fldChar w:fldCharType="end"/>
          </w:r>
        </w:p>
      </w:sdtContent>
    </w:sdt>
    <w:p w:rsidR="00DE563D" w:rsidRDefault="00C84560">
      <w:pPr>
        <w:spacing w:line="240" w:lineRule="auto"/>
      </w:pPr>
      <w:r>
        <w:t xml:space="preserve"> </w:t>
      </w:r>
    </w:p>
    <w:p w:rsidR="0069758F" w:rsidRDefault="00DE563D" w:rsidP="00DE772C">
      <w:pPr>
        <w:pStyle w:val="UnnumberedHeading"/>
        <w:numPr>
          <w:ilvl w:val="0"/>
          <w:numId w:val="23"/>
        </w:numPr>
      </w:pPr>
      <w:bookmarkStart w:id="8" w:name="_Toc404700925"/>
      <w:bookmarkStart w:id="9" w:name="_Toc451945463"/>
      <w:r>
        <w:t>Shortened forms</w:t>
      </w:r>
      <w:bookmarkEnd w:id="8"/>
      <w:bookmarkEnd w:id="9"/>
    </w:p>
    <w:tbl>
      <w:tblPr>
        <w:tblStyle w:val="AERtable-text0"/>
        <w:tblW w:w="0" w:type="auto"/>
        <w:tblLook w:val="04A0" w:firstRow="1" w:lastRow="0" w:firstColumn="1" w:lastColumn="0" w:noHBand="0" w:noVBand="1"/>
      </w:tblPr>
      <w:tblGrid>
        <w:gridCol w:w="3652"/>
        <w:gridCol w:w="5041"/>
      </w:tblGrid>
      <w:tr w:rsidR="00ED0219" w:rsidTr="00BB7AE6">
        <w:trPr>
          <w:cnfStyle w:val="100000000000" w:firstRow="1" w:lastRow="0" w:firstColumn="0" w:lastColumn="0" w:oddVBand="0" w:evenVBand="0" w:oddHBand="0" w:evenHBand="0" w:firstRowFirstColumn="0" w:firstRowLastColumn="0" w:lastRowFirstColumn="0" w:lastRowLastColumn="0"/>
          <w:tblHeader/>
        </w:trPr>
        <w:tc>
          <w:tcPr>
            <w:tcW w:w="3652" w:type="dxa"/>
          </w:tcPr>
          <w:p w:rsidR="00ED0219" w:rsidRPr="00ED0219" w:rsidRDefault="00ED0219" w:rsidP="00ED0219">
            <w:pPr>
              <w:numPr>
                <w:ilvl w:val="0"/>
                <w:numId w:val="24"/>
              </w:numPr>
            </w:pPr>
            <w:r w:rsidRPr="00ED0219">
              <w:t>Shortened form</w:t>
            </w:r>
          </w:p>
        </w:tc>
        <w:tc>
          <w:tcPr>
            <w:tcW w:w="5041" w:type="dxa"/>
          </w:tcPr>
          <w:p w:rsidR="00ED0219" w:rsidRPr="00ED0219" w:rsidRDefault="00ED0219" w:rsidP="00ED0219">
            <w:pPr>
              <w:numPr>
                <w:ilvl w:val="0"/>
                <w:numId w:val="24"/>
              </w:numPr>
            </w:pPr>
            <w:r w:rsidRPr="00ED0219">
              <w:t>Extended form</w:t>
            </w:r>
          </w:p>
        </w:tc>
      </w:tr>
      <w:tr w:rsidR="00ED0219" w:rsidTr="003220BF">
        <w:tc>
          <w:tcPr>
            <w:tcW w:w="3652" w:type="dxa"/>
          </w:tcPr>
          <w:p w:rsidR="00ED0219" w:rsidRPr="00ED0219" w:rsidRDefault="00ED0219" w:rsidP="00ED0219">
            <w:pPr>
              <w:numPr>
                <w:ilvl w:val="0"/>
                <w:numId w:val="24"/>
              </w:numPr>
            </w:pPr>
            <w:r w:rsidRPr="00ED0219">
              <w:t>AA</w:t>
            </w:r>
          </w:p>
        </w:tc>
        <w:tc>
          <w:tcPr>
            <w:tcW w:w="5041" w:type="dxa"/>
          </w:tcPr>
          <w:p w:rsidR="00ED0219" w:rsidRPr="00ED0219" w:rsidRDefault="00ED0219" w:rsidP="00ED0219">
            <w:r w:rsidRPr="00ED0219">
              <w:t>Access Arrangement</w:t>
            </w:r>
          </w:p>
        </w:tc>
      </w:tr>
      <w:tr w:rsidR="00ED0219" w:rsidTr="003220BF">
        <w:trPr>
          <w:cnfStyle w:val="000000010000" w:firstRow="0" w:lastRow="0" w:firstColumn="0" w:lastColumn="0" w:oddVBand="0" w:evenVBand="0" w:oddHBand="0" w:evenHBand="1" w:firstRowFirstColumn="0" w:firstRowLastColumn="0" w:lastRowFirstColumn="0" w:lastRowLastColumn="0"/>
        </w:trPr>
        <w:tc>
          <w:tcPr>
            <w:tcW w:w="3652" w:type="dxa"/>
          </w:tcPr>
          <w:p w:rsidR="00ED0219" w:rsidRPr="00ED0219" w:rsidRDefault="00ED0219" w:rsidP="00ED0219">
            <w:pPr>
              <w:numPr>
                <w:ilvl w:val="0"/>
                <w:numId w:val="24"/>
              </w:numPr>
            </w:pPr>
            <w:r w:rsidRPr="00ED0219">
              <w:t>AAI</w:t>
            </w:r>
          </w:p>
        </w:tc>
        <w:tc>
          <w:tcPr>
            <w:tcW w:w="5041" w:type="dxa"/>
          </w:tcPr>
          <w:p w:rsidR="00ED0219" w:rsidRPr="00ED0219" w:rsidRDefault="00ED0219" w:rsidP="00ED0219">
            <w:r w:rsidRPr="00ED0219">
              <w:t>Access Arrangement Information</w:t>
            </w:r>
          </w:p>
        </w:tc>
      </w:tr>
      <w:tr w:rsidR="00042383" w:rsidTr="003220BF">
        <w:tc>
          <w:tcPr>
            <w:tcW w:w="3652" w:type="dxa"/>
          </w:tcPr>
          <w:p w:rsidR="00042383" w:rsidRPr="00ED0219" w:rsidRDefault="00042383" w:rsidP="00042383">
            <w:pPr>
              <w:numPr>
                <w:ilvl w:val="0"/>
                <w:numId w:val="24"/>
              </w:numPr>
            </w:pPr>
            <w:r>
              <w:t>ActewAGL</w:t>
            </w:r>
          </w:p>
        </w:tc>
        <w:tc>
          <w:tcPr>
            <w:tcW w:w="5041" w:type="dxa"/>
          </w:tcPr>
          <w:p w:rsidR="00042383" w:rsidRPr="00ED0219" w:rsidRDefault="00042383" w:rsidP="00042383">
            <w:pPr>
              <w:numPr>
                <w:ilvl w:val="0"/>
                <w:numId w:val="24"/>
              </w:numPr>
            </w:pPr>
            <w:r>
              <w:t>ActewAGL Gas Distribution</w:t>
            </w:r>
          </w:p>
        </w:tc>
      </w:tr>
      <w:tr w:rsidR="00042383" w:rsidTr="003220BF">
        <w:trPr>
          <w:cnfStyle w:val="000000010000" w:firstRow="0" w:lastRow="0" w:firstColumn="0" w:lastColumn="0" w:oddVBand="0" w:evenVBand="0" w:oddHBand="0" w:evenHBand="1" w:firstRowFirstColumn="0" w:firstRowLastColumn="0" w:lastRowFirstColumn="0" w:lastRowLastColumn="0"/>
        </w:trPr>
        <w:tc>
          <w:tcPr>
            <w:tcW w:w="3652" w:type="dxa"/>
          </w:tcPr>
          <w:p w:rsidR="00042383" w:rsidRPr="00ED0219" w:rsidRDefault="00042383" w:rsidP="00042383">
            <w:pPr>
              <w:numPr>
                <w:ilvl w:val="0"/>
                <w:numId w:val="24"/>
              </w:numPr>
            </w:pPr>
            <w:r>
              <w:t>AEMC</w:t>
            </w:r>
          </w:p>
        </w:tc>
        <w:tc>
          <w:tcPr>
            <w:tcW w:w="5041" w:type="dxa"/>
          </w:tcPr>
          <w:p w:rsidR="00042383" w:rsidRPr="00ED0219" w:rsidRDefault="00042383" w:rsidP="00042383">
            <w:pPr>
              <w:numPr>
                <w:ilvl w:val="0"/>
                <w:numId w:val="24"/>
              </w:numPr>
            </w:pPr>
            <w:r>
              <w:t>Australian Energy Market Commission</w:t>
            </w:r>
          </w:p>
        </w:tc>
      </w:tr>
      <w:tr w:rsidR="00042383" w:rsidTr="003220BF">
        <w:tc>
          <w:tcPr>
            <w:tcW w:w="3652" w:type="dxa"/>
          </w:tcPr>
          <w:p w:rsidR="00042383" w:rsidRPr="00ED0219" w:rsidRDefault="00042383" w:rsidP="00042383">
            <w:pPr>
              <w:numPr>
                <w:ilvl w:val="0"/>
                <w:numId w:val="24"/>
              </w:numPr>
            </w:pPr>
            <w:r w:rsidRPr="00ED0219">
              <w:t>AER</w:t>
            </w:r>
          </w:p>
        </w:tc>
        <w:tc>
          <w:tcPr>
            <w:tcW w:w="5041" w:type="dxa"/>
          </w:tcPr>
          <w:p w:rsidR="00042383" w:rsidRPr="00ED0219" w:rsidRDefault="00042383" w:rsidP="00042383">
            <w:pPr>
              <w:numPr>
                <w:ilvl w:val="0"/>
                <w:numId w:val="24"/>
              </w:numPr>
            </w:pPr>
            <w:r w:rsidRPr="00ED0219">
              <w:t>Australian Energy Regulator</w:t>
            </w:r>
          </w:p>
        </w:tc>
      </w:tr>
      <w:tr w:rsidR="000F7B44" w:rsidTr="003220BF">
        <w:trPr>
          <w:cnfStyle w:val="000000010000" w:firstRow="0" w:lastRow="0" w:firstColumn="0" w:lastColumn="0" w:oddVBand="0" w:evenVBand="0" w:oddHBand="0" w:evenHBand="1" w:firstRowFirstColumn="0" w:firstRowLastColumn="0" w:lastRowFirstColumn="0" w:lastRowLastColumn="0"/>
        </w:trPr>
        <w:tc>
          <w:tcPr>
            <w:tcW w:w="3652" w:type="dxa"/>
          </w:tcPr>
          <w:p w:rsidR="000F7B44" w:rsidRPr="00ED0219" w:rsidRDefault="000F7B44" w:rsidP="00042383">
            <w:pPr>
              <w:numPr>
                <w:ilvl w:val="0"/>
                <w:numId w:val="24"/>
              </w:numPr>
            </w:pPr>
            <w:r>
              <w:t>ARORO</w:t>
            </w:r>
          </w:p>
        </w:tc>
        <w:tc>
          <w:tcPr>
            <w:tcW w:w="5041" w:type="dxa"/>
          </w:tcPr>
          <w:p w:rsidR="000F7B44" w:rsidRPr="00ED0219" w:rsidRDefault="000F7B44" w:rsidP="00042383">
            <w:pPr>
              <w:numPr>
                <w:ilvl w:val="0"/>
                <w:numId w:val="24"/>
              </w:numPr>
            </w:pPr>
            <w:r>
              <w:rPr>
                <w:rStyle w:val="AERtextsize8"/>
              </w:rPr>
              <w:t>allowed rate of return objective</w:t>
            </w:r>
          </w:p>
        </w:tc>
      </w:tr>
      <w:tr w:rsidR="000F7B44" w:rsidTr="003220BF">
        <w:tc>
          <w:tcPr>
            <w:tcW w:w="3652" w:type="dxa"/>
          </w:tcPr>
          <w:p w:rsidR="000F7B44" w:rsidRPr="00ED0219" w:rsidRDefault="000F7B44" w:rsidP="00042383">
            <w:pPr>
              <w:numPr>
                <w:ilvl w:val="0"/>
                <w:numId w:val="24"/>
              </w:numPr>
            </w:pPr>
            <w:r>
              <w:t>BVAL</w:t>
            </w:r>
          </w:p>
        </w:tc>
        <w:tc>
          <w:tcPr>
            <w:tcW w:w="5041" w:type="dxa"/>
          </w:tcPr>
          <w:p w:rsidR="000F7B44" w:rsidRPr="00ED0219" w:rsidRDefault="000F7B44" w:rsidP="00042383">
            <w:pPr>
              <w:numPr>
                <w:ilvl w:val="0"/>
                <w:numId w:val="24"/>
              </w:numPr>
            </w:pPr>
            <w:r w:rsidRPr="00075E3F">
              <w:rPr>
                <w:rStyle w:val="AERtextsize8"/>
              </w:rPr>
              <w:t>Bloomberg Valuation Service</w:t>
            </w:r>
          </w:p>
        </w:tc>
      </w:tr>
      <w:tr w:rsidR="00042383" w:rsidTr="003220BF">
        <w:trPr>
          <w:cnfStyle w:val="000000010000" w:firstRow="0" w:lastRow="0" w:firstColumn="0" w:lastColumn="0" w:oddVBand="0" w:evenVBand="0" w:oddHBand="0" w:evenHBand="1" w:firstRowFirstColumn="0" w:firstRowLastColumn="0" w:lastRowFirstColumn="0" w:lastRowLastColumn="0"/>
        </w:trPr>
        <w:tc>
          <w:tcPr>
            <w:tcW w:w="3652" w:type="dxa"/>
          </w:tcPr>
          <w:p w:rsidR="00042383" w:rsidRPr="00ED0219" w:rsidRDefault="00042383" w:rsidP="00042383">
            <w:pPr>
              <w:numPr>
                <w:ilvl w:val="0"/>
                <w:numId w:val="24"/>
              </w:numPr>
            </w:pPr>
            <w:r w:rsidRPr="00ED0219">
              <w:t>capex</w:t>
            </w:r>
          </w:p>
        </w:tc>
        <w:tc>
          <w:tcPr>
            <w:tcW w:w="5041" w:type="dxa"/>
          </w:tcPr>
          <w:p w:rsidR="00042383" w:rsidRPr="00ED0219" w:rsidRDefault="00042383" w:rsidP="00042383">
            <w:pPr>
              <w:numPr>
                <w:ilvl w:val="0"/>
                <w:numId w:val="24"/>
              </w:numPr>
            </w:pPr>
            <w:r w:rsidRPr="00ED0219">
              <w:t>capital expenditure</w:t>
            </w:r>
          </w:p>
        </w:tc>
      </w:tr>
      <w:tr w:rsidR="00042383" w:rsidTr="003220BF">
        <w:tc>
          <w:tcPr>
            <w:tcW w:w="3652" w:type="dxa"/>
          </w:tcPr>
          <w:p w:rsidR="00042383" w:rsidRPr="00ED0219" w:rsidRDefault="00042383" w:rsidP="00042383">
            <w:pPr>
              <w:numPr>
                <w:ilvl w:val="0"/>
                <w:numId w:val="24"/>
              </w:numPr>
            </w:pPr>
            <w:r w:rsidRPr="00ED0219">
              <w:t>CAPM</w:t>
            </w:r>
          </w:p>
        </w:tc>
        <w:tc>
          <w:tcPr>
            <w:tcW w:w="5041" w:type="dxa"/>
          </w:tcPr>
          <w:p w:rsidR="00042383" w:rsidRPr="00ED0219" w:rsidRDefault="00042383" w:rsidP="00042383">
            <w:pPr>
              <w:numPr>
                <w:ilvl w:val="0"/>
                <w:numId w:val="24"/>
              </w:numPr>
            </w:pPr>
            <w:r w:rsidRPr="00ED0219">
              <w:t>capital asset pricing model</w:t>
            </w:r>
          </w:p>
        </w:tc>
      </w:tr>
      <w:tr w:rsidR="000F7B44" w:rsidTr="003220BF">
        <w:trPr>
          <w:cnfStyle w:val="000000010000" w:firstRow="0" w:lastRow="0" w:firstColumn="0" w:lastColumn="0" w:oddVBand="0" w:evenVBand="0" w:oddHBand="0" w:evenHBand="1" w:firstRowFirstColumn="0" w:firstRowLastColumn="0" w:lastRowFirstColumn="0" w:lastRowLastColumn="0"/>
        </w:trPr>
        <w:tc>
          <w:tcPr>
            <w:tcW w:w="3652" w:type="dxa"/>
          </w:tcPr>
          <w:p w:rsidR="000F7B44" w:rsidRPr="00ED0219" w:rsidRDefault="000F7B44" w:rsidP="00042383">
            <w:pPr>
              <w:numPr>
                <w:ilvl w:val="0"/>
                <w:numId w:val="24"/>
              </w:numPr>
            </w:pPr>
            <w:r>
              <w:t>CCP</w:t>
            </w:r>
          </w:p>
        </w:tc>
        <w:tc>
          <w:tcPr>
            <w:tcW w:w="5041" w:type="dxa"/>
          </w:tcPr>
          <w:p w:rsidR="000F7B44" w:rsidRPr="00ED0219" w:rsidDel="00042383" w:rsidRDefault="000F7B44" w:rsidP="00042383">
            <w:pPr>
              <w:numPr>
                <w:ilvl w:val="0"/>
                <w:numId w:val="24"/>
              </w:numPr>
            </w:pPr>
            <w:r w:rsidRPr="00712239">
              <w:rPr>
                <w:rStyle w:val="AERtextsize8"/>
              </w:rPr>
              <w:t xml:space="preserve">Consumer </w:t>
            </w:r>
            <w:r w:rsidRPr="00EA768D">
              <w:rPr>
                <w:rStyle w:val="AERtextsize8"/>
              </w:rPr>
              <w:t>Challenge Panel</w:t>
            </w:r>
          </w:p>
        </w:tc>
      </w:tr>
      <w:tr w:rsidR="00042383" w:rsidTr="003220BF">
        <w:tc>
          <w:tcPr>
            <w:tcW w:w="3652" w:type="dxa"/>
          </w:tcPr>
          <w:p w:rsidR="00042383" w:rsidRPr="00ED0219" w:rsidRDefault="00042383" w:rsidP="00042383">
            <w:pPr>
              <w:numPr>
                <w:ilvl w:val="0"/>
                <w:numId w:val="24"/>
              </w:numPr>
            </w:pPr>
            <w:r w:rsidRPr="00ED0219">
              <w:t>C</w:t>
            </w:r>
            <w:r>
              <w:t>G</w:t>
            </w:r>
            <w:r w:rsidRPr="00ED0219">
              <w:t>S</w:t>
            </w:r>
          </w:p>
        </w:tc>
        <w:tc>
          <w:tcPr>
            <w:tcW w:w="5041" w:type="dxa"/>
          </w:tcPr>
          <w:p w:rsidR="00042383" w:rsidRPr="00ED0219" w:rsidRDefault="00042383" w:rsidP="00042383">
            <w:pPr>
              <w:numPr>
                <w:ilvl w:val="0"/>
                <w:numId w:val="24"/>
              </w:numPr>
            </w:pPr>
            <w:r>
              <w:t>Commonwealth Government Securities</w:t>
            </w:r>
          </w:p>
        </w:tc>
      </w:tr>
      <w:tr w:rsidR="00042383" w:rsidTr="003220BF">
        <w:trPr>
          <w:cnfStyle w:val="000000010000" w:firstRow="0" w:lastRow="0" w:firstColumn="0" w:lastColumn="0" w:oddVBand="0" w:evenVBand="0" w:oddHBand="0" w:evenHBand="1" w:firstRowFirstColumn="0" w:firstRowLastColumn="0" w:lastRowFirstColumn="0" w:lastRowLastColumn="0"/>
        </w:trPr>
        <w:tc>
          <w:tcPr>
            <w:tcW w:w="3652" w:type="dxa"/>
          </w:tcPr>
          <w:p w:rsidR="00042383" w:rsidRPr="00ED0219" w:rsidRDefault="00042383" w:rsidP="00042383">
            <w:pPr>
              <w:numPr>
                <w:ilvl w:val="0"/>
                <w:numId w:val="24"/>
              </w:numPr>
            </w:pPr>
            <w:r w:rsidRPr="00ED0219">
              <w:t>CPI</w:t>
            </w:r>
          </w:p>
        </w:tc>
        <w:tc>
          <w:tcPr>
            <w:tcW w:w="5041" w:type="dxa"/>
          </w:tcPr>
          <w:p w:rsidR="00042383" w:rsidRPr="00ED0219" w:rsidRDefault="00042383" w:rsidP="00042383">
            <w:pPr>
              <w:numPr>
                <w:ilvl w:val="0"/>
                <w:numId w:val="24"/>
              </w:numPr>
            </w:pPr>
            <w:r w:rsidRPr="00ED0219">
              <w:t>consumer price index</w:t>
            </w:r>
          </w:p>
        </w:tc>
      </w:tr>
      <w:tr w:rsidR="000F7B44" w:rsidTr="003220BF">
        <w:tc>
          <w:tcPr>
            <w:tcW w:w="3652" w:type="dxa"/>
          </w:tcPr>
          <w:p w:rsidR="000F7B44" w:rsidRPr="00ED0219" w:rsidRDefault="000F7B44" w:rsidP="00042383">
            <w:pPr>
              <w:numPr>
                <w:ilvl w:val="0"/>
                <w:numId w:val="24"/>
              </w:numPr>
            </w:pPr>
            <w:r>
              <w:t>DGM</w:t>
            </w:r>
          </w:p>
        </w:tc>
        <w:tc>
          <w:tcPr>
            <w:tcW w:w="5041" w:type="dxa"/>
          </w:tcPr>
          <w:p w:rsidR="000F7B44" w:rsidRPr="00ED0219" w:rsidRDefault="000F7B44" w:rsidP="00042383">
            <w:pPr>
              <w:numPr>
                <w:ilvl w:val="0"/>
                <w:numId w:val="24"/>
              </w:numPr>
            </w:pPr>
            <w:r>
              <w:rPr>
                <w:rStyle w:val="AERtextsize8"/>
              </w:rPr>
              <w:t>dividend growth model</w:t>
            </w:r>
          </w:p>
        </w:tc>
      </w:tr>
      <w:tr w:rsidR="000F7B44" w:rsidTr="000F7B44">
        <w:trPr>
          <w:cnfStyle w:val="000000010000" w:firstRow="0" w:lastRow="0" w:firstColumn="0" w:lastColumn="0" w:oddVBand="0" w:evenVBand="0" w:oddHBand="0" w:evenHBand="1" w:firstRowFirstColumn="0" w:firstRowLastColumn="0" w:lastRowFirstColumn="0" w:lastRowLastColumn="0"/>
        </w:trPr>
        <w:tc>
          <w:tcPr>
            <w:tcW w:w="3652" w:type="dxa"/>
          </w:tcPr>
          <w:p w:rsidR="000F7B44" w:rsidRPr="00ED0219" w:rsidRDefault="000F7B44" w:rsidP="000F7B44">
            <w:pPr>
              <w:numPr>
                <w:ilvl w:val="0"/>
                <w:numId w:val="24"/>
              </w:numPr>
            </w:pPr>
            <w:r w:rsidRPr="00ED0219">
              <w:t>DRP</w:t>
            </w:r>
          </w:p>
        </w:tc>
        <w:tc>
          <w:tcPr>
            <w:tcW w:w="5041" w:type="dxa"/>
          </w:tcPr>
          <w:p w:rsidR="000F7B44" w:rsidRPr="00ED0219" w:rsidRDefault="000F7B44" w:rsidP="000F7B44">
            <w:pPr>
              <w:numPr>
                <w:ilvl w:val="0"/>
                <w:numId w:val="24"/>
              </w:numPr>
            </w:pPr>
            <w:r w:rsidRPr="00ED0219">
              <w:t>debt risk premium</w:t>
            </w:r>
          </w:p>
        </w:tc>
      </w:tr>
      <w:tr w:rsidR="000F7B44" w:rsidTr="000F7B44">
        <w:tc>
          <w:tcPr>
            <w:tcW w:w="3652" w:type="dxa"/>
          </w:tcPr>
          <w:p w:rsidR="000F7B44" w:rsidRPr="00ED0219" w:rsidRDefault="000F7B44" w:rsidP="000F7B44">
            <w:pPr>
              <w:numPr>
                <w:ilvl w:val="0"/>
                <w:numId w:val="24"/>
              </w:numPr>
            </w:pPr>
            <w:r>
              <w:t>distributor</w:t>
            </w:r>
          </w:p>
        </w:tc>
        <w:tc>
          <w:tcPr>
            <w:tcW w:w="5041" w:type="dxa"/>
          </w:tcPr>
          <w:p w:rsidR="000F7B44" w:rsidRPr="00ED0219" w:rsidRDefault="000F7B44" w:rsidP="000F7B44">
            <w:pPr>
              <w:numPr>
                <w:ilvl w:val="0"/>
                <w:numId w:val="24"/>
              </w:numPr>
            </w:pPr>
            <w:r w:rsidRPr="00712239">
              <w:rPr>
                <w:rStyle w:val="AERtextsize8"/>
              </w:rPr>
              <w:t>distribution network service provider</w:t>
            </w:r>
          </w:p>
        </w:tc>
      </w:tr>
      <w:tr w:rsidR="000F7B44" w:rsidTr="000F7B44">
        <w:trPr>
          <w:cnfStyle w:val="000000010000" w:firstRow="0" w:lastRow="0" w:firstColumn="0" w:lastColumn="0" w:oddVBand="0" w:evenVBand="0" w:oddHBand="0" w:evenHBand="1" w:firstRowFirstColumn="0" w:firstRowLastColumn="0" w:lastRowFirstColumn="0" w:lastRowLastColumn="0"/>
        </w:trPr>
        <w:tc>
          <w:tcPr>
            <w:tcW w:w="3652" w:type="dxa"/>
          </w:tcPr>
          <w:p w:rsidR="000F7B44" w:rsidRPr="00ED0219" w:rsidRDefault="000F7B44" w:rsidP="000F7B44">
            <w:pPr>
              <w:numPr>
                <w:ilvl w:val="0"/>
                <w:numId w:val="24"/>
              </w:numPr>
            </w:pPr>
            <w:r w:rsidRPr="00ED0219">
              <w:t>ERP</w:t>
            </w:r>
          </w:p>
        </w:tc>
        <w:tc>
          <w:tcPr>
            <w:tcW w:w="5041" w:type="dxa"/>
          </w:tcPr>
          <w:p w:rsidR="000F7B44" w:rsidRPr="00ED0219" w:rsidRDefault="000F7B44" w:rsidP="000F7B44">
            <w:pPr>
              <w:numPr>
                <w:ilvl w:val="0"/>
                <w:numId w:val="24"/>
              </w:numPr>
            </w:pPr>
            <w:r w:rsidRPr="00ED0219">
              <w:t>equity risk premium</w:t>
            </w:r>
          </w:p>
        </w:tc>
      </w:tr>
      <w:tr w:rsidR="000F7B44" w:rsidTr="000F7B44">
        <w:tc>
          <w:tcPr>
            <w:tcW w:w="3652" w:type="dxa"/>
          </w:tcPr>
          <w:p w:rsidR="000F7B44" w:rsidRPr="00ED0219" w:rsidRDefault="000F7B44" w:rsidP="000F7B44">
            <w:pPr>
              <w:numPr>
                <w:ilvl w:val="0"/>
                <w:numId w:val="24"/>
              </w:numPr>
            </w:pPr>
            <w:r>
              <w:rPr>
                <w:rStyle w:val="AERtextsize8"/>
              </w:rPr>
              <w:t>FFM</w:t>
            </w:r>
          </w:p>
        </w:tc>
        <w:tc>
          <w:tcPr>
            <w:tcW w:w="5041" w:type="dxa"/>
          </w:tcPr>
          <w:p w:rsidR="000F7B44" w:rsidRPr="000F7B44" w:rsidRDefault="000F7B44" w:rsidP="000F7B44">
            <w:r>
              <w:rPr>
                <w:rStyle w:val="AERtextsize8"/>
              </w:rPr>
              <w:t>Fama-French three-factor model</w:t>
            </w:r>
          </w:p>
        </w:tc>
      </w:tr>
      <w:tr w:rsidR="000F7B44" w:rsidTr="000F7B44">
        <w:trPr>
          <w:cnfStyle w:val="000000010000" w:firstRow="0" w:lastRow="0" w:firstColumn="0" w:lastColumn="0" w:oddVBand="0" w:evenVBand="0" w:oddHBand="0" w:evenHBand="1" w:firstRowFirstColumn="0" w:firstRowLastColumn="0" w:lastRowFirstColumn="0" w:lastRowLastColumn="0"/>
        </w:trPr>
        <w:tc>
          <w:tcPr>
            <w:tcW w:w="3652" w:type="dxa"/>
          </w:tcPr>
          <w:p w:rsidR="000F7B44" w:rsidRPr="00ED0219" w:rsidRDefault="000F7B44" w:rsidP="000F7B44">
            <w:pPr>
              <w:numPr>
                <w:ilvl w:val="0"/>
                <w:numId w:val="24"/>
              </w:numPr>
            </w:pPr>
            <w:r w:rsidRPr="00ED0219">
              <w:t>gamma</w:t>
            </w:r>
          </w:p>
        </w:tc>
        <w:tc>
          <w:tcPr>
            <w:tcW w:w="5041" w:type="dxa"/>
          </w:tcPr>
          <w:p w:rsidR="000F7B44" w:rsidRPr="000F7B44" w:rsidRDefault="000F7B44" w:rsidP="000F7B44">
            <w:r w:rsidRPr="00ED0219">
              <w:t>Value of Imputation Credits</w:t>
            </w:r>
          </w:p>
        </w:tc>
      </w:tr>
      <w:tr w:rsidR="000F7B44" w:rsidTr="000F7B44">
        <w:tc>
          <w:tcPr>
            <w:tcW w:w="3652" w:type="dxa"/>
          </w:tcPr>
          <w:p w:rsidR="000F7B44" w:rsidRPr="00ED0219" w:rsidRDefault="000F7B44" w:rsidP="000F7B44">
            <w:pPr>
              <w:numPr>
                <w:ilvl w:val="0"/>
                <w:numId w:val="24"/>
              </w:numPr>
            </w:pPr>
            <w:r>
              <w:t>the Guideline</w:t>
            </w:r>
          </w:p>
        </w:tc>
        <w:tc>
          <w:tcPr>
            <w:tcW w:w="5041" w:type="dxa"/>
          </w:tcPr>
          <w:p w:rsidR="000F7B44" w:rsidRPr="00ED0219" w:rsidRDefault="000F7B44" w:rsidP="000F7B44">
            <w:pPr>
              <w:numPr>
                <w:ilvl w:val="0"/>
                <w:numId w:val="24"/>
              </w:numPr>
            </w:pPr>
            <w:r>
              <w:rPr>
                <w:rStyle w:val="AERtextsize8"/>
              </w:rPr>
              <w:t xml:space="preserve">the rate of </w:t>
            </w:r>
            <w:r w:rsidRPr="00EA768D">
              <w:rPr>
                <w:rStyle w:val="AERtextsize8"/>
              </w:rPr>
              <w:t>return guidelines, published December 2013</w:t>
            </w:r>
          </w:p>
        </w:tc>
      </w:tr>
      <w:tr w:rsidR="000F7B44" w:rsidTr="000F7B44">
        <w:trPr>
          <w:cnfStyle w:val="000000010000" w:firstRow="0" w:lastRow="0" w:firstColumn="0" w:lastColumn="0" w:oddVBand="0" w:evenVBand="0" w:oddHBand="0" w:evenHBand="1" w:firstRowFirstColumn="0" w:firstRowLastColumn="0" w:lastRowFirstColumn="0" w:lastRowLastColumn="0"/>
        </w:trPr>
        <w:tc>
          <w:tcPr>
            <w:tcW w:w="3652" w:type="dxa"/>
          </w:tcPr>
          <w:p w:rsidR="000F7B44" w:rsidRPr="00ED0219" w:rsidRDefault="000F7B44" w:rsidP="000F7B44">
            <w:pPr>
              <w:numPr>
                <w:ilvl w:val="0"/>
                <w:numId w:val="24"/>
              </w:numPr>
            </w:pPr>
            <w:r w:rsidRPr="00ED0219">
              <w:t>MRP</w:t>
            </w:r>
          </w:p>
        </w:tc>
        <w:tc>
          <w:tcPr>
            <w:tcW w:w="5041" w:type="dxa"/>
          </w:tcPr>
          <w:p w:rsidR="000F7B44" w:rsidRPr="00ED0219" w:rsidRDefault="000F7B44" w:rsidP="000F7B44">
            <w:pPr>
              <w:numPr>
                <w:ilvl w:val="0"/>
                <w:numId w:val="24"/>
              </w:numPr>
            </w:pPr>
            <w:r w:rsidRPr="00ED0219">
              <w:t>market risk premium</w:t>
            </w:r>
          </w:p>
        </w:tc>
      </w:tr>
      <w:tr w:rsidR="000F7B44" w:rsidTr="000F7B44">
        <w:tc>
          <w:tcPr>
            <w:tcW w:w="3652" w:type="dxa"/>
          </w:tcPr>
          <w:p w:rsidR="000F7B44" w:rsidRPr="00ED0219" w:rsidRDefault="000F7B44" w:rsidP="000F7B44">
            <w:pPr>
              <w:numPr>
                <w:ilvl w:val="0"/>
                <w:numId w:val="24"/>
              </w:numPr>
            </w:pPr>
            <w:r>
              <w:rPr>
                <w:rStyle w:val="AERtextsize8"/>
              </w:rPr>
              <w:t>MSE</w:t>
            </w:r>
          </w:p>
        </w:tc>
        <w:tc>
          <w:tcPr>
            <w:tcW w:w="5041" w:type="dxa"/>
          </w:tcPr>
          <w:p w:rsidR="000F7B44" w:rsidRPr="00ED0219" w:rsidRDefault="000F7B44" w:rsidP="000F7B44">
            <w:pPr>
              <w:numPr>
                <w:ilvl w:val="0"/>
                <w:numId w:val="24"/>
              </w:numPr>
            </w:pPr>
            <w:r w:rsidRPr="00075E3F">
              <w:rPr>
                <w:rStyle w:val="AERtextsize8"/>
              </w:rPr>
              <w:t>mean squared error</w:t>
            </w:r>
          </w:p>
        </w:tc>
      </w:tr>
      <w:tr w:rsidR="000F7B44" w:rsidTr="000F7B44">
        <w:trPr>
          <w:cnfStyle w:val="000000010000" w:firstRow="0" w:lastRow="0" w:firstColumn="0" w:lastColumn="0" w:oddVBand="0" w:evenVBand="0" w:oddHBand="0" w:evenHBand="1" w:firstRowFirstColumn="0" w:firstRowLastColumn="0" w:lastRowFirstColumn="0" w:lastRowLastColumn="0"/>
        </w:trPr>
        <w:tc>
          <w:tcPr>
            <w:tcW w:w="3652" w:type="dxa"/>
          </w:tcPr>
          <w:p w:rsidR="000F7B44" w:rsidRPr="00ED0219" w:rsidRDefault="000F7B44" w:rsidP="000F7B44">
            <w:pPr>
              <w:numPr>
                <w:ilvl w:val="0"/>
                <w:numId w:val="24"/>
              </w:numPr>
            </w:pPr>
            <w:r>
              <w:t>NEL</w:t>
            </w:r>
          </w:p>
        </w:tc>
        <w:tc>
          <w:tcPr>
            <w:tcW w:w="5041" w:type="dxa"/>
          </w:tcPr>
          <w:p w:rsidR="000F7B44" w:rsidRPr="00ED0219" w:rsidRDefault="000F7B44" w:rsidP="000F7B44">
            <w:pPr>
              <w:numPr>
                <w:ilvl w:val="0"/>
                <w:numId w:val="24"/>
              </w:numPr>
            </w:pPr>
            <w:r>
              <w:t>national electricity law</w:t>
            </w:r>
          </w:p>
        </w:tc>
      </w:tr>
      <w:tr w:rsidR="000F7B44" w:rsidTr="000F7B44">
        <w:tc>
          <w:tcPr>
            <w:tcW w:w="3652" w:type="dxa"/>
          </w:tcPr>
          <w:p w:rsidR="000F7B44" w:rsidRPr="00ED0219" w:rsidRDefault="000F7B44" w:rsidP="000F7B44">
            <w:pPr>
              <w:numPr>
                <w:ilvl w:val="0"/>
                <w:numId w:val="24"/>
              </w:numPr>
            </w:pPr>
            <w:r>
              <w:t>NEO</w:t>
            </w:r>
          </w:p>
        </w:tc>
        <w:tc>
          <w:tcPr>
            <w:tcW w:w="5041" w:type="dxa"/>
          </w:tcPr>
          <w:p w:rsidR="000F7B44" w:rsidRPr="00ED0219" w:rsidRDefault="000F7B44" w:rsidP="000F7B44">
            <w:pPr>
              <w:numPr>
                <w:ilvl w:val="0"/>
                <w:numId w:val="24"/>
              </w:numPr>
            </w:pPr>
            <w:r>
              <w:t>national electricity objective</w:t>
            </w:r>
          </w:p>
        </w:tc>
      </w:tr>
      <w:tr w:rsidR="000F7B44" w:rsidTr="000F7B44">
        <w:trPr>
          <w:cnfStyle w:val="000000010000" w:firstRow="0" w:lastRow="0" w:firstColumn="0" w:lastColumn="0" w:oddVBand="0" w:evenVBand="0" w:oddHBand="0" w:evenHBand="1" w:firstRowFirstColumn="0" w:firstRowLastColumn="0" w:lastRowFirstColumn="0" w:lastRowLastColumn="0"/>
        </w:trPr>
        <w:tc>
          <w:tcPr>
            <w:tcW w:w="3652" w:type="dxa"/>
          </w:tcPr>
          <w:p w:rsidR="000F7B44" w:rsidRPr="00ED0219" w:rsidRDefault="000F7B44" w:rsidP="000F7B44">
            <w:pPr>
              <w:numPr>
                <w:ilvl w:val="0"/>
                <w:numId w:val="24"/>
              </w:numPr>
            </w:pPr>
            <w:r>
              <w:t>NER</w:t>
            </w:r>
          </w:p>
        </w:tc>
        <w:tc>
          <w:tcPr>
            <w:tcW w:w="5041" w:type="dxa"/>
          </w:tcPr>
          <w:p w:rsidR="000F7B44" w:rsidRPr="00ED0219" w:rsidRDefault="000F7B44" w:rsidP="000F7B44">
            <w:pPr>
              <w:numPr>
                <w:ilvl w:val="0"/>
                <w:numId w:val="24"/>
              </w:numPr>
            </w:pPr>
            <w:r w:rsidRPr="00712239">
              <w:rPr>
                <w:rStyle w:val="AERtextsize8"/>
              </w:rPr>
              <w:t>national electricity rules</w:t>
            </w:r>
          </w:p>
        </w:tc>
      </w:tr>
      <w:tr w:rsidR="000F7B44" w:rsidTr="000F7B44">
        <w:tc>
          <w:tcPr>
            <w:tcW w:w="3652" w:type="dxa"/>
          </w:tcPr>
          <w:p w:rsidR="000F7B44" w:rsidRPr="00ED0219" w:rsidRDefault="000F7B44" w:rsidP="000F7B44">
            <w:pPr>
              <w:numPr>
                <w:ilvl w:val="0"/>
                <w:numId w:val="24"/>
              </w:numPr>
            </w:pPr>
            <w:r w:rsidRPr="00ED0219">
              <w:t>NGL</w:t>
            </w:r>
          </w:p>
        </w:tc>
        <w:tc>
          <w:tcPr>
            <w:tcW w:w="5041" w:type="dxa"/>
          </w:tcPr>
          <w:p w:rsidR="000F7B44" w:rsidRPr="00ED0219" w:rsidRDefault="000F7B44" w:rsidP="000F7B44">
            <w:pPr>
              <w:numPr>
                <w:ilvl w:val="0"/>
                <w:numId w:val="24"/>
              </w:numPr>
            </w:pPr>
            <w:r w:rsidRPr="00ED0219">
              <w:t>national gas law</w:t>
            </w:r>
          </w:p>
        </w:tc>
      </w:tr>
      <w:tr w:rsidR="000F7B44" w:rsidTr="000F7B44">
        <w:trPr>
          <w:cnfStyle w:val="000000010000" w:firstRow="0" w:lastRow="0" w:firstColumn="0" w:lastColumn="0" w:oddVBand="0" w:evenVBand="0" w:oddHBand="0" w:evenHBand="1" w:firstRowFirstColumn="0" w:firstRowLastColumn="0" w:lastRowFirstColumn="0" w:lastRowLastColumn="0"/>
        </w:trPr>
        <w:tc>
          <w:tcPr>
            <w:tcW w:w="3652" w:type="dxa"/>
          </w:tcPr>
          <w:p w:rsidR="000F7B44" w:rsidRPr="00ED0219" w:rsidRDefault="000F7B44" w:rsidP="000F7B44">
            <w:pPr>
              <w:numPr>
                <w:ilvl w:val="0"/>
                <w:numId w:val="24"/>
              </w:numPr>
            </w:pPr>
            <w:r w:rsidRPr="00ED0219">
              <w:t>NGO</w:t>
            </w:r>
          </w:p>
        </w:tc>
        <w:tc>
          <w:tcPr>
            <w:tcW w:w="5041" w:type="dxa"/>
          </w:tcPr>
          <w:p w:rsidR="000F7B44" w:rsidRPr="00ED0219" w:rsidRDefault="000F7B44" w:rsidP="000F7B44">
            <w:pPr>
              <w:numPr>
                <w:ilvl w:val="0"/>
                <w:numId w:val="24"/>
              </w:numPr>
            </w:pPr>
            <w:r w:rsidRPr="00ED0219">
              <w:t>national gas objective</w:t>
            </w:r>
          </w:p>
        </w:tc>
      </w:tr>
      <w:tr w:rsidR="000F7B44" w:rsidTr="000F7B44">
        <w:tc>
          <w:tcPr>
            <w:tcW w:w="3652" w:type="dxa"/>
          </w:tcPr>
          <w:p w:rsidR="000F7B44" w:rsidRPr="00ED0219" w:rsidRDefault="000F7B44" w:rsidP="000F7B44">
            <w:pPr>
              <w:numPr>
                <w:ilvl w:val="0"/>
                <w:numId w:val="24"/>
              </w:numPr>
            </w:pPr>
            <w:r w:rsidRPr="00ED0219">
              <w:t>NGR</w:t>
            </w:r>
          </w:p>
        </w:tc>
        <w:tc>
          <w:tcPr>
            <w:tcW w:w="5041" w:type="dxa"/>
          </w:tcPr>
          <w:p w:rsidR="000F7B44" w:rsidRPr="00ED0219" w:rsidRDefault="000F7B44" w:rsidP="000F7B44">
            <w:pPr>
              <w:numPr>
                <w:ilvl w:val="0"/>
                <w:numId w:val="24"/>
              </w:numPr>
            </w:pPr>
            <w:r w:rsidRPr="00ED0219">
              <w:t>national gas rules</w:t>
            </w:r>
          </w:p>
        </w:tc>
      </w:tr>
      <w:tr w:rsidR="000F7B44" w:rsidTr="000F7B44">
        <w:trPr>
          <w:cnfStyle w:val="000000010000" w:firstRow="0" w:lastRow="0" w:firstColumn="0" w:lastColumn="0" w:oddVBand="0" w:evenVBand="0" w:oddHBand="0" w:evenHBand="1" w:firstRowFirstColumn="0" w:firstRowLastColumn="0" w:lastRowFirstColumn="0" w:lastRowLastColumn="0"/>
        </w:trPr>
        <w:tc>
          <w:tcPr>
            <w:tcW w:w="3652" w:type="dxa"/>
          </w:tcPr>
          <w:p w:rsidR="000F7B44" w:rsidRPr="00ED0219" w:rsidRDefault="000F7B44" w:rsidP="000F7B44">
            <w:pPr>
              <w:numPr>
                <w:ilvl w:val="0"/>
                <w:numId w:val="24"/>
              </w:numPr>
            </w:pPr>
            <w:r w:rsidRPr="00ED0219">
              <w:t>NPV</w:t>
            </w:r>
          </w:p>
        </w:tc>
        <w:tc>
          <w:tcPr>
            <w:tcW w:w="5041" w:type="dxa"/>
          </w:tcPr>
          <w:p w:rsidR="000F7B44" w:rsidRPr="000F7B44" w:rsidRDefault="000F7B44" w:rsidP="000F7B44">
            <w:r w:rsidRPr="00ED0219">
              <w:t>net present value</w:t>
            </w:r>
          </w:p>
        </w:tc>
      </w:tr>
      <w:tr w:rsidR="000F7B44" w:rsidTr="000F7B44">
        <w:tc>
          <w:tcPr>
            <w:tcW w:w="3652" w:type="dxa"/>
          </w:tcPr>
          <w:p w:rsidR="000F7B44" w:rsidRPr="00ED0219" w:rsidRDefault="000F7B44" w:rsidP="000F7B44">
            <w:pPr>
              <w:numPr>
                <w:ilvl w:val="0"/>
                <w:numId w:val="24"/>
              </w:numPr>
            </w:pPr>
            <w:r w:rsidRPr="00712239">
              <w:rPr>
                <w:rStyle w:val="AERtextsize8"/>
              </w:rPr>
              <w:t>NSP</w:t>
            </w:r>
          </w:p>
        </w:tc>
        <w:tc>
          <w:tcPr>
            <w:tcW w:w="5041" w:type="dxa"/>
          </w:tcPr>
          <w:p w:rsidR="000F7B44" w:rsidRPr="00ED0219" w:rsidRDefault="000F7B44" w:rsidP="000F7B44">
            <w:pPr>
              <w:numPr>
                <w:ilvl w:val="0"/>
                <w:numId w:val="24"/>
              </w:numPr>
            </w:pPr>
            <w:r w:rsidRPr="00712239">
              <w:rPr>
                <w:rStyle w:val="AERtextsize8"/>
              </w:rPr>
              <w:t xml:space="preserve">network service </w:t>
            </w:r>
            <w:r w:rsidRPr="00EA768D">
              <w:rPr>
                <w:rStyle w:val="AERtextsize8"/>
              </w:rPr>
              <w:t>provider</w:t>
            </w:r>
          </w:p>
        </w:tc>
      </w:tr>
      <w:tr w:rsidR="000F7B44" w:rsidTr="000F7B44">
        <w:trPr>
          <w:cnfStyle w:val="000000010000" w:firstRow="0" w:lastRow="0" w:firstColumn="0" w:lastColumn="0" w:oddVBand="0" w:evenVBand="0" w:oddHBand="0" w:evenHBand="1" w:firstRowFirstColumn="0" w:firstRowLastColumn="0" w:lastRowFirstColumn="0" w:lastRowLastColumn="0"/>
        </w:trPr>
        <w:tc>
          <w:tcPr>
            <w:tcW w:w="3652" w:type="dxa"/>
          </w:tcPr>
          <w:p w:rsidR="000F7B44" w:rsidRPr="00ED0219" w:rsidRDefault="000F7B44" w:rsidP="000F7B44">
            <w:pPr>
              <w:numPr>
                <w:ilvl w:val="0"/>
                <w:numId w:val="24"/>
              </w:numPr>
            </w:pPr>
            <w:r>
              <w:t>OLS</w:t>
            </w:r>
          </w:p>
        </w:tc>
        <w:tc>
          <w:tcPr>
            <w:tcW w:w="5041" w:type="dxa"/>
          </w:tcPr>
          <w:p w:rsidR="000F7B44" w:rsidRPr="00ED0219" w:rsidRDefault="000F7B44" w:rsidP="000F7B44">
            <w:pPr>
              <w:numPr>
                <w:ilvl w:val="0"/>
                <w:numId w:val="24"/>
              </w:numPr>
            </w:pPr>
            <w:r>
              <w:rPr>
                <w:rStyle w:val="AERtextsize8"/>
              </w:rPr>
              <w:t>ordinary least s</w:t>
            </w:r>
            <w:r w:rsidRPr="00075E3F">
              <w:rPr>
                <w:rStyle w:val="AERtextsize8"/>
              </w:rPr>
              <w:t>quares</w:t>
            </w:r>
          </w:p>
        </w:tc>
      </w:tr>
      <w:tr w:rsidR="00E6432D" w:rsidTr="000F7B44">
        <w:tc>
          <w:tcPr>
            <w:tcW w:w="3652" w:type="dxa"/>
          </w:tcPr>
          <w:p w:rsidR="00E6432D" w:rsidRDefault="00E6432D" w:rsidP="00E6432D">
            <w:r>
              <w:t>PTRM</w:t>
            </w:r>
          </w:p>
        </w:tc>
        <w:tc>
          <w:tcPr>
            <w:tcW w:w="5041" w:type="dxa"/>
          </w:tcPr>
          <w:p w:rsidR="00E6432D" w:rsidRDefault="00E6432D" w:rsidP="00E6432D">
            <w:pPr>
              <w:numPr>
                <w:ilvl w:val="0"/>
                <w:numId w:val="24"/>
              </w:numPr>
            </w:pPr>
            <w:r>
              <w:t>post-tax revenue model</w:t>
            </w:r>
          </w:p>
        </w:tc>
      </w:tr>
      <w:tr w:rsidR="00E6432D" w:rsidTr="000F7B44">
        <w:trPr>
          <w:cnfStyle w:val="000000010000" w:firstRow="0" w:lastRow="0" w:firstColumn="0" w:lastColumn="0" w:oddVBand="0" w:evenVBand="0" w:oddHBand="0" w:evenHBand="1" w:firstRowFirstColumn="0" w:firstRowLastColumn="0" w:lastRowFirstColumn="0" w:lastRowLastColumn="0"/>
        </w:trPr>
        <w:tc>
          <w:tcPr>
            <w:tcW w:w="3652" w:type="dxa"/>
          </w:tcPr>
          <w:p w:rsidR="00E6432D" w:rsidRDefault="00E6432D" w:rsidP="00E6432D">
            <w:pPr>
              <w:numPr>
                <w:ilvl w:val="0"/>
                <w:numId w:val="24"/>
              </w:numPr>
            </w:pPr>
            <w:r>
              <w:t>RAB</w:t>
            </w:r>
          </w:p>
        </w:tc>
        <w:tc>
          <w:tcPr>
            <w:tcW w:w="5041" w:type="dxa"/>
          </w:tcPr>
          <w:p w:rsidR="00E6432D" w:rsidRDefault="00E6432D" w:rsidP="00E6432D">
            <w:pPr>
              <w:numPr>
                <w:ilvl w:val="0"/>
                <w:numId w:val="24"/>
              </w:numPr>
            </w:pPr>
            <w:r>
              <w:t>regulatory asset base</w:t>
            </w:r>
          </w:p>
        </w:tc>
      </w:tr>
      <w:tr w:rsidR="00E6432D" w:rsidTr="000F7B44">
        <w:tc>
          <w:tcPr>
            <w:tcW w:w="3652" w:type="dxa"/>
          </w:tcPr>
          <w:p w:rsidR="00E6432D" w:rsidRPr="00ED0219" w:rsidRDefault="00E6432D" w:rsidP="00E6432D">
            <w:pPr>
              <w:numPr>
                <w:ilvl w:val="0"/>
                <w:numId w:val="24"/>
              </w:numPr>
            </w:pPr>
            <w:r w:rsidRPr="00ED0219">
              <w:t>RBA</w:t>
            </w:r>
          </w:p>
        </w:tc>
        <w:tc>
          <w:tcPr>
            <w:tcW w:w="5041" w:type="dxa"/>
          </w:tcPr>
          <w:p w:rsidR="00E6432D" w:rsidRPr="00ED0219" w:rsidRDefault="00E6432D" w:rsidP="00E6432D">
            <w:pPr>
              <w:numPr>
                <w:ilvl w:val="0"/>
                <w:numId w:val="24"/>
              </w:numPr>
            </w:pPr>
            <w:r w:rsidRPr="00ED0219">
              <w:t>Reserve Bank of Australia</w:t>
            </w:r>
          </w:p>
        </w:tc>
      </w:tr>
      <w:tr w:rsidR="00E6432D" w:rsidTr="000F7B44">
        <w:trPr>
          <w:cnfStyle w:val="000000010000" w:firstRow="0" w:lastRow="0" w:firstColumn="0" w:lastColumn="0" w:oddVBand="0" w:evenVBand="0" w:oddHBand="0" w:evenHBand="1" w:firstRowFirstColumn="0" w:firstRowLastColumn="0" w:lastRowFirstColumn="0" w:lastRowLastColumn="0"/>
        </w:trPr>
        <w:tc>
          <w:tcPr>
            <w:tcW w:w="3652" w:type="dxa"/>
          </w:tcPr>
          <w:p w:rsidR="00E6432D" w:rsidRPr="00ED0219" w:rsidRDefault="00E6432D" w:rsidP="00E6432D">
            <w:pPr>
              <w:numPr>
                <w:ilvl w:val="0"/>
                <w:numId w:val="24"/>
              </w:numPr>
            </w:pPr>
            <w:r w:rsidRPr="00ED0219">
              <w:t>RPP</w:t>
            </w:r>
            <w:r>
              <w:t>s</w:t>
            </w:r>
          </w:p>
        </w:tc>
        <w:tc>
          <w:tcPr>
            <w:tcW w:w="5041" w:type="dxa"/>
          </w:tcPr>
          <w:p w:rsidR="00E6432D" w:rsidRPr="00ED0219" w:rsidRDefault="00E6432D" w:rsidP="00E6432D">
            <w:pPr>
              <w:numPr>
                <w:ilvl w:val="0"/>
                <w:numId w:val="24"/>
              </w:numPr>
            </w:pPr>
            <w:r w:rsidRPr="00ED0219">
              <w:t>revenue and pricing principles</w:t>
            </w:r>
          </w:p>
        </w:tc>
      </w:tr>
      <w:tr w:rsidR="00E6432D" w:rsidTr="000F7B44">
        <w:tc>
          <w:tcPr>
            <w:tcW w:w="3652" w:type="dxa"/>
          </w:tcPr>
          <w:p w:rsidR="00E6432D" w:rsidRPr="00ED0219" w:rsidRDefault="00E6432D" w:rsidP="00E6432D">
            <w:pPr>
              <w:numPr>
                <w:ilvl w:val="0"/>
                <w:numId w:val="24"/>
              </w:numPr>
            </w:pPr>
            <w:r>
              <w:rPr>
                <w:rStyle w:val="AERtextsize8"/>
              </w:rPr>
              <w:t>the Tribunal</w:t>
            </w:r>
          </w:p>
        </w:tc>
        <w:tc>
          <w:tcPr>
            <w:tcW w:w="5041" w:type="dxa"/>
          </w:tcPr>
          <w:p w:rsidR="00E6432D" w:rsidRPr="00E6432D" w:rsidRDefault="00E6432D" w:rsidP="00E6432D">
            <w:r>
              <w:rPr>
                <w:rStyle w:val="AERtextsize8"/>
              </w:rPr>
              <w:t>t</w:t>
            </w:r>
            <w:r w:rsidRPr="00E6432D">
              <w:rPr>
                <w:rStyle w:val="AERtextsize8"/>
              </w:rPr>
              <w:t>he Australian Competition Tribunal</w:t>
            </w:r>
          </w:p>
        </w:tc>
      </w:tr>
      <w:tr w:rsidR="00E6432D" w:rsidTr="000F7B44">
        <w:trPr>
          <w:cnfStyle w:val="000000010000" w:firstRow="0" w:lastRow="0" w:firstColumn="0" w:lastColumn="0" w:oddVBand="0" w:evenVBand="0" w:oddHBand="0" w:evenHBand="1" w:firstRowFirstColumn="0" w:firstRowLastColumn="0" w:lastRowFirstColumn="0" w:lastRowLastColumn="0"/>
        </w:trPr>
        <w:tc>
          <w:tcPr>
            <w:tcW w:w="3652" w:type="dxa"/>
          </w:tcPr>
          <w:p w:rsidR="00E6432D" w:rsidRPr="00ED0219" w:rsidRDefault="00E6432D" w:rsidP="00E6432D">
            <w:pPr>
              <w:numPr>
                <w:ilvl w:val="0"/>
                <w:numId w:val="24"/>
              </w:numPr>
            </w:pPr>
            <w:r w:rsidRPr="00ED0219">
              <w:t>WACC</w:t>
            </w:r>
          </w:p>
        </w:tc>
        <w:tc>
          <w:tcPr>
            <w:tcW w:w="5041" w:type="dxa"/>
          </w:tcPr>
          <w:p w:rsidR="00E6432D" w:rsidRPr="00ED0219" w:rsidRDefault="00E6432D" w:rsidP="00E6432D">
            <w:pPr>
              <w:numPr>
                <w:ilvl w:val="0"/>
                <w:numId w:val="24"/>
              </w:numPr>
            </w:pPr>
            <w:r w:rsidRPr="00ED0219">
              <w:t>weighted average cost of capital</w:t>
            </w:r>
          </w:p>
        </w:tc>
      </w:tr>
    </w:tbl>
    <w:p w:rsidR="00DE563D" w:rsidRDefault="00C54434" w:rsidP="00C54434">
      <w:pPr>
        <w:pStyle w:val="Heading1"/>
      </w:pPr>
      <w:bookmarkStart w:id="10" w:name="_Toc451945464"/>
      <w:r>
        <w:t>Rate of return</w:t>
      </w:r>
      <w:bookmarkEnd w:id="10"/>
    </w:p>
    <w:p w:rsidR="007505A3" w:rsidRPr="00874B16" w:rsidRDefault="007505A3" w:rsidP="007505A3">
      <w:bookmarkStart w:id="11" w:name="_Toc437001925"/>
      <w:bookmarkStart w:id="12" w:name="_Toc437332038"/>
      <w:r w:rsidRPr="00796C00">
        <w:t>The allowed rate of return provides a network service provider a return on capital</w:t>
      </w:r>
      <w:r>
        <w:t xml:space="preserve"> that a benchmark efficient entity would require</w:t>
      </w:r>
      <w:r w:rsidRPr="00796C00">
        <w:t xml:space="preserve"> to </w:t>
      </w:r>
      <w:r>
        <w:t>finance (through debt and equity) investment in its network</w:t>
      </w:r>
      <w:r w:rsidRPr="00796C00">
        <w:t>.</w:t>
      </w:r>
      <w:r>
        <w:rPr>
          <w:rStyle w:val="FootnoteReference"/>
        </w:rPr>
        <w:footnoteReference w:id="1"/>
      </w:r>
      <w:r w:rsidRPr="00796C00">
        <w:t xml:space="preserve"> The return on capital building block is calculated as a product of the rate of return and the value of the regulatory asset base (RAB). The rate of return is discussed in this attachment.</w:t>
      </w:r>
    </w:p>
    <w:p w:rsidR="00737E50" w:rsidRDefault="00737E50" w:rsidP="00737E50">
      <w:pPr>
        <w:pStyle w:val="Heading2"/>
      </w:pPr>
      <w:bookmarkStart w:id="13" w:name="_Toc451945465"/>
      <w:r>
        <w:t>Final decision</w:t>
      </w:r>
      <w:bookmarkEnd w:id="11"/>
      <w:bookmarkEnd w:id="13"/>
    </w:p>
    <w:p w:rsidR="007505A3" w:rsidRDefault="00737E50" w:rsidP="00737E50">
      <w:pPr>
        <w:numPr>
          <w:ilvl w:val="0"/>
          <w:numId w:val="24"/>
        </w:numPr>
      </w:pPr>
      <w:r>
        <w:t xml:space="preserve">We are satisfied that the allowed rate of return of </w:t>
      </w:r>
      <w:r w:rsidR="007505A3">
        <w:t>6.01</w:t>
      </w:r>
      <w:r>
        <w:t xml:space="preserve"> per cent (nominal vanilla) we determined achieves the </w:t>
      </w:r>
      <w:r w:rsidRPr="00E75E61">
        <w:t xml:space="preserve">allowed </w:t>
      </w:r>
      <w:r>
        <w:t>rate of return objective</w:t>
      </w:r>
      <w:r w:rsidR="007505A3">
        <w:t xml:space="preserve"> (ARORO)</w:t>
      </w:r>
      <w:r>
        <w:t>.</w:t>
      </w:r>
      <w:r>
        <w:rPr>
          <w:rStyle w:val="FootnoteReference"/>
        </w:rPr>
        <w:footnoteReference w:id="2"/>
      </w:r>
      <w:r>
        <w:t xml:space="preserve"> That is, we are satisfied that this allowed rate of return is commensurate with the efficient financing costs of a benchmark efficient entity with a similar degree of risk as that which applies to ActewAGL Gas Distribution (ActewAGL)</w:t>
      </w:r>
      <w:r w:rsidR="00225BF5">
        <w:t xml:space="preserve"> </w:t>
      </w:r>
      <w:r>
        <w:t>in providing reference services.</w:t>
      </w:r>
      <w:r>
        <w:rPr>
          <w:rStyle w:val="FootnoteReference"/>
        </w:rPr>
        <w:footnoteReference w:id="3"/>
      </w:r>
    </w:p>
    <w:p w:rsidR="00737E50" w:rsidRDefault="00737E50" w:rsidP="00256969">
      <w:pPr>
        <w:numPr>
          <w:ilvl w:val="0"/>
          <w:numId w:val="24"/>
        </w:numPr>
      </w:pPr>
      <w:r>
        <w:t xml:space="preserve">This allowed rate of return will apply to ActewAGL for the </w:t>
      </w:r>
      <w:r w:rsidR="0061715D">
        <w:t>2015–16</w:t>
      </w:r>
      <w:r w:rsidR="00BF5B14">
        <w:t xml:space="preserve"> regulatory year</w:t>
      </w:r>
      <w:r w:rsidR="0061715D">
        <w:t xml:space="preserve"> (the interval-of-delay period)</w:t>
      </w:r>
      <w:r>
        <w:t xml:space="preserve">. </w:t>
      </w:r>
      <w:r w:rsidR="0061715D">
        <w:t>For the 2016</w:t>
      </w:r>
      <w:r w:rsidR="0061715D">
        <w:rPr>
          <w:rFonts w:cs="Arial"/>
        </w:rPr>
        <w:t>–</w:t>
      </w:r>
      <w:r w:rsidR="0061715D">
        <w:t xml:space="preserve">17 regulatory year, we will apply a rate of return of </w:t>
      </w:r>
      <w:r w:rsidR="007505A3">
        <w:t>6.03</w:t>
      </w:r>
      <w:r w:rsidR="0061715D">
        <w:t xml:space="preserve"> per cent. This is because we update the return on debt component of the rate of return each year to partially reflect prevailing debt market conditions. Similarly, a</w:t>
      </w:r>
      <w:r>
        <w:t xml:space="preserve"> different rate of return will apply to ActewAGL for the remaining regulatory years of the </w:t>
      </w:r>
      <w:r w:rsidR="007D4998">
        <w:t>2016–21</w:t>
      </w:r>
      <w:r>
        <w:t xml:space="preserve"> </w:t>
      </w:r>
      <w:r w:rsidR="00757F7C">
        <w:t>access arrangement</w:t>
      </w:r>
      <w:r>
        <w:t xml:space="preserve"> period. We discuss this annual update further below. </w:t>
      </w:r>
      <w:r w:rsidR="00256969" w:rsidRPr="00256969">
        <w:t xml:space="preserve">We have revised the access arrangement having regard to our reasons for refusing to approve ActewAGL's proposal and the further matters identified in the NGR section 64(2). Our revisions are reflected in the </w:t>
      </w:r>
      <w:r w:rsidR="00256969" w:rsidRPr="00256969">
        <w:rPr>
          <w:rStyle w:val="AERtextitalic"/>
        </w:rPr>
        <w:t>Approved Access Arrangement for ActewAGL's Gas Distribution Network in the ACT for 2016–21</w:t>
      </w:r>
      <w:r w:rsidR="00256969" w:rsidRPr="00256969">
        <w:t>, which gives effect to this decision.</w:t>
      </w:r>
    </w:p>
    <w:p w:rsidR="00737E50" w:rsidRPr="009E54A9" w:rsidRDefault="00732CB6" w:rsidP="007505A3">
      <w:pPr>
        <w:pStyle w:val="ListParagraph"/>
        <w:numPr>
          <w:ilvl w:val="0"/>
          <w:numId w:val="24"/>
        </w:numPr>
      </w:pPr>
      <w:r w:rsidRPr="00732CB6">
        <w:t>We are not satisfied that ActewAGL's proposed 8.</w:t>
      </w:r>
      <w:r>
        <w:t>64</w:t>
      </w:r>
      <w:r w:rsidRPr="00732CB6">
        <w:t xml:space="preserve"> per cent rate of return for </w:t>
      </w:r>
      <w:r>
        <w:t>2015–16</w:t>
      </w:r>
      <w:r w:rsidRPr="00732CB6">
        <w:t xml:space="preserve"> </w:t>
      </w:r>
      <w:r w:rsidR="00BC466F">
        <w:t>(the interval-of-delay)</w:t>
      </w:r>
      <w:r w:rsidRPr="00732CB6">
        <w:t xml:space="preserve"> has been determined such that it achieves the </w:t>
      </w:r>
      <w:r w:rsidR="007505A3">
        <w:t>ARORO</w:t>
      </w:r>
      <w:r w:rsidRPr="00732CB6">
        <w:t xml:space="preserve">. </w:t>
      </w:r>
      <w:r>
        <w:t>Similarly, w</w:t>
      </w:r>
      <w:r w:rsidR="00737E50">
        <w:t>e are not satisfied that ActewAGL's proposed (indicative) 8.</w:t>
      </w:r>
      <w:r w:rsidR="00ED0B1B">
        <w:t>58</w:t>
      </w:r>
      <w:r w:rsidR="00737E50">
        <w:t xml:space="preserve"> per cent rate of return for the </w:t>
      </w:r>
      <w:r w:rsidR="00BF5B14">
        <w:t>2016–17 regulatory year</w:t>
      </w:r>
      <w:r w:rsidR="00737E50">
        <w:t xml:space="preserve"> has been determined such that it achieves the </w:t>
      </w:r>
      <w:r w:rsidR="007505A3">
        <w:t>ARORO</w:t>
      </w:r>
      <w:r w:rsidR="00737E50">
        <w:t>.</w:t>
      </w:r>
      <w:r w:rsidR="00737E50">
        <w:rPr>
          <w:rStyle w:val="FootnoteReference"/>
        </w:rPr>
        <w:footnoteReference w:id="4"/>
      </w:r>
      <w:r w:rsidR="00737E50">
        <w:t xml:space="preserve"> </w:t>
      </w:r>
    </w:p>
    <w:p w:rsidR="00737E50" w:rsidRDefault="00737E50" w:rsidP="00737E50">
      <w:pPr>
        <w:numPr>
          <w:ilvl w:val="0"/>
          <w:numId w:val="24"/>
        </w:numPr>
      </w:pPr>
      <w:r>
        <w:t>Our allowed rate of return is a weighted average of our return on equity and return on debt estimates (WACC)</w:t>
      </w:r>
      <w:r w:rsidRPr="008E2B69">
        <w:t xml:space="preserve"> </w:t>
      </w:r>
      <w:r>
        <w:t>determined on a nominal vanilla basis that is consistent with our estimate of the value of imputation credits.</w:t>
      </w:r>
      <w:r>
        <w:rPr>
          <w:rStyle w:val="FootnoteReference"/>
        </w:rPr>
        <w:footnoteReference w:id="5"/>
      </w:r>
      <w:r>
        <w:t xml:space="preserve"> </w:t>
      </w:r>
      <w:r w:rsidR="007505A3">
        <w:t xml:space="preserve">We are to determine the allowed rate of return such that it </w:t>
      </w:r>
      <w:r w:rsidR="007505A3" w:rsidRPr="003248EB">
        <w:t xml:space="preserve">achieves the </w:t>
      </w:r>
      <w:r w:rsidR="007505A3">
        <w:t>ARORO.</w:t>
      </w:r>
      <w:r w:rsidR="007505A3">
        <w:rPr>
          <w:rStyle w:val="FootnoteReference"/>
        </w:rPr>
        <w:footnoteReference w:id="6"/>
      </w:r>
      <w:r w:rsidR="007505A3">
        <w:t xml:space="preserve"> </w:t>
      </w:r>
      <w:r>
        <w:t>Also, in arriving at our decision we have taken into account the revenue and pricing principles (RPP</w:t>
      </w:r>
      <w:r w:rsidR="00AF66BF">
        <w:t>s</w:t>
      </w:r>
      <w:r>
        <w:t xml:space="preserve">) and are also satisfied that our decision will or is likely to contribute to the achievement of the National </w:t>
      </w:r>
      <w:r w:rsidR="00ED0B1B">
        <w:t xml:space="preserve">Gas </w:t>
      </w:r>
      <w:r>
        <w:t>Objective (N</w:t>
      </w:r>
      <w:r w:rsidR="00ED0B1B">
        <w:t>G</w:t>
      </w:r>
      <w:r>
        <w:t>O).</w:t>
      </w:r>
      <w:r>
        <w:rPr>
          <w:rStyle w:val="FootnoteReference"/>
        </w:rPr>
        <w:footnoteReference w:id="7"/>
      </w:r>
      <w:r>
        <w:t xml:space="preserve"> Our rate of return and ActewAGL's proposed rate of return is set out in the following </w:t>
      </w:r>
      <w:r w:rsidR="00AF66BF">
        <w:fldChar w:fldCharType="begin"/>
      </w:r>
      <w:r w:rsidR="00AF66BF">
        <w:instrText xml:space="preserve"> REF  _Ref420688085 \* Lower \h </w:instrText>
      </w:r>
      <w:r w:rsidR="00AF66BF">
        <w:fldChar w:fldCharType="separate"/>
      </w:r>
      <w:r w:rsidR="001A023B">
        <w:t xml:space="preserve">table </w:t>
      </w:r>
      <w:r w:rsidR="001A023B">
        <w:rPr>
          <w:noProof/>
        </w:rPr>
        <w:t>3</w:t>
      </w:r>
      <w:r w:rsidR="001A023B">
        <w:noBreakHyphen/>
      </w:r>
      <w:r w:rsidR="001A023B">
        <w:rPr>
          <w:noProof/>
        </w:rPr>
        <w:t>1</w:t>
      </w:r>
      <w:r w:rsidR="00AF66BF">
        <w:fldChar w:fldCharType="end"/>
      </w:r>
      <w:r>
        <w:t>.</w:t>
      </w:r>
    </w:p>
    <w:p w:rsidR="00737E50" w:rsidRDefault="00737E50" w:rsidP="00737E50">
      <w:pPr>
        <w:pStyle w:val="Caption"/>
        <w:numPr>
          <w:ilvl w:val="0"/>
          <w:numId w:val="24"/>
        </w:numPr>
      </w:pPr>
      <w:bookmarkStart w:id="14" w:name="_Ref420688085"/>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1</w:t>
      </w:r>
      <w:r w:rsidR="00120312">
        <w:rPr>
          <w:noProof/>
        </w:rPr>
        <w:fldChar w:fldCharType="end"/>
      </w:r>
      <w:bookmarkEnd w:id="14"/>
      <w:r>
        <w:tab/>
        <w:t>Final decision on ActewAGL's rate of return (nominal)</w:t>
      </w:r>
      <w:r w:rsidR="003952E7" w:rsidRPr="003952E7">
        <w:rPr>
          <w:rStyle w:val="AERsuperscript"/>
        </w:rPr>
        <w:t>(a)</w:t>
      </w:r>
    </w:p>
    <w:tbl>
      <w:tblPr>
        <w:tblStyle w:val="AERtable-numbers"/>
        <w:tblW w:w="5000" w:type="pct"/>
        <w:tblLayout w:type="fixed"/>
        <w:tblLook w:val="04A0" w:firstRow="1" w:lastRow="0" w:firstColumn="1" w:lastColumn="0" w:noHBand="0" w:noVBand="1"/>
      </w:tblPr>
      <w:tblGrid>
        <w:gridCol w:w="1386"/>
        <w:gridCol w:w="1134"/>
        <w:gridCol w:w="1274"/>
        <w:gridCol w:w="1276"/>
        <w:gridCol w:w="1144"/>
        <w:gridCol w:w="1241"/>
        <w:gridCol w:w="1238"/>
      </w:tblGrid>
      <w:tr w:rsidR="007505A3" w:rsidRPr="00255AE7" w:rsidTr="00750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Pr>
          <w:p w:rsidR="007505A3" w:rsidRPr="007505A3" w:rsidRDefault="007505A3" w:rsidP="007505A3">
            <w:r w:rsidRPr="007505A3">
              <w:t>Component</w:t>
            </w:r>
          </w:p>
        </w:tc>
        <w:tc>
          <w:tcPr>
            <w:tcW w:w="652" w:type="pct"/>
          </w:tcPr>
          <w:p w:rsidR="007505A3" w:rsidRPr="007505A3" w:rsidRDefault="007505A3" w:rsidP="007505A3">
            <w:pPr>
              <w:cnfStyle w:val="100000000000" w:firstRow="1" w:lastRow="0" w:firstColumn="0" w:lastColumn="0" w:oddVBand="0" w:evenVBand="0" w:oddHBand="0" w:evenHBand="0" w:firstRowFirstColumn="0" w:firstRowLastColumn="0" w:lastRowFirstColumn="0" w:lastRowLastColumn="0"/>
            </w:pPr>
            <w:r w:rsidRPr="007505A3">
              <w:t>Previous allowed return (2010–15)</w:t>
            </w:r>
          </w:p>
        </w:tc>
        <w:tc>
          <w:tcPr>
            <w:tcW w:w="733" w:type="pct"/>
          </w:tcPr>
          <w:p w:rsidR="007505A3" w:rsidRPr="007505A3" w:rsidRDefault="007505A3" w:rsidP="007505A3">
            <w:pPr>
              <w:cnfStyle w:val="100000000000" w:firstRow="1" w:lastRow="0" w:firstColumn="0" w:lastColumn="0" w:oddVBand="0" w:evenVBand="0" w:oddHBand="0" w:evenHBand="0" w:firstRowFirstColumn="0" w:firstRowLastColumn="0" w:lastRowFirstColumn="0" w:lastRowLastColumn="0"/>
            </w:pPr>
            <w:r w:rsidRPr="007505A3">
              <w:t>ActewAGL revised proposal (2015–16)</w:t>
            </w:r>
          </w:p>
        </w:tc>
        <w:tc>
          <w:tcPr>
            <w:tcW w:w="734" w:type="pct"/>
          </w:tcPr>
          <w:p w:rsidR="007505A3" w:rsidRPr="007505A3" w:rsidRDefault="007505A3" w:rsidP="007505A3">
            <w:pPr>
              <w:cnfStyle w:val="100000000000" w:firstRow="1" w:lastRow="0" w:firstColumn="0" w:lastColumn="0" w:oddVBand="0" w:evenVBand="0" w:oddHBand="0" w:evenHBand="0" w:firstRowFirstColumn="0" w:firstRowLastColumn="0" w:lastRowFirstColumn="0" w:lastRowLastColumn="0"/>
            </w:pPr>
            <w:r w:rsidRPr="007505A3">
              <w:t>ActewAGL revised proposal (2016–17)</w:t>
            </w:r>
            <w:r w:rsidR="00FE2A0E" w:rsidRPr="00FE2A0E">
              <w:rPr>
                <w:rStyle w:val="FootnoteReference"/>
              </w:rPr>
              <w:footnoteReference w:id="8"/>
            </w:r>
          </w:p>
        </w:tc>
        <w:tc>
          <w:tcPr>
            <w:tcW w:w="658" w:type="pct"/>
          </w:tcPr>
          <w:p w:rsidR="007505A3" w:rsidRPr="007505A3" w:rsidRDefault="007505A3" w:rsidP="007505A3">
            <w:pPr>
              <w:cnfStyle w:val="100000000000" w:firstRow="1" w:lastRow="0" w:firstColumn="0" w:lastColumn="0" w:oddVBand="0" w:evenVBand="0" w:oddHBand="0" w:evenHBand="0" w:firstRowFirstColumn="0" w:firstRowLastColumn="0" w:lastRowFirstColumn="0" w:lastRowLastColumn="0"/>
            </w:pPr>
            <w:r w:rsidRPr="007505A3">
              <w:t xml:space="preserve">AER final decision (2015–16) </w:t>
            </w:r>
          </w:p>
        </w:tc>
        <w:tc>
          <w:tcPr>
            <w:tcW w:w="714" w:type="pct"/>
          </w:tcPr>
          <w:p w:rsidR="007505A3" w:rsidRPr="007505A3" w:rsidRDefault="007505A3" w:rsidP="007505A3">
            <w:pPr>
              <w:cnfStyle w:val="100000000000" w:firstRow="1" w:lastRow="0" w:firstColumn="0" w:lastColumn="0" w:oddVBand="0" w:evenVBand="0" w:oddHBand="0" w:evenHBand="0" w:firstRowFirstColumn="0" w:firstRowLastColumn="0" w:lastRowFirstColumn="0" w:lastRowLastColumn="0"/>
            </w:pPr>
            <w:r w:rsidRPr="007505A3">
              <w:t>AER final decision (2016–17)</w:t>
            </w:r>
          </w:p>
        </w:tc>
        <w:tc>
          <w:tcPr>
            <w:tcW w:w="712" w:type="pct"/>
          </w:tcPr>
          <w:p w:rsidR="007505A3" w:rsidRPr="007505A3" w:rsidRDefault="007505A3" w:rsidP="007505A3">
            <w:pPr>
              <w:cnfStyle w:val="100000000000" w:firstRow="1" w:lastRow="0" w:firstColumn="0" w:lastColumn="0" w:oddVBand="0" w:evenVBand="0" w:oddHBand="0" w:evenHBand="0" w:firstRowFirstColumn="0" w:firstRowLastColumn="0" w:lastRowFirstColumn="0" w:lastRowLastColumn="0"/>
            </w:pPr>
            <w:r w:rsidRPr="007505A3">
              <w:t xml:space="preserve">Allowed return over 2016–21 </w:t>
            </w:r>
          </w:p>
        </w:tc>
      </w:tr>
      <w:tr w:rsidR="007505A3" w:rsidRPr="00255AE7" w:rsidTr="007505A3">
        <w:tc>
          <w:tcPr>
            <w:cnfStyle w:val="001000000000" w:firstRow="0" w:lastRow="0" w:firstColumn="1" w:lastColumn="0" w:oddVBand="0" w:evenVBand="0" w:oddHBand="0" w:evenHBand="0" w:firstRowFirstColumn="0" w:firstRowLastColumn="0" w:lastRowFirstColumn="0" w:lastRowLastColumn="0"/>
            <w:tcW w:w="797" w:type="pct"/>
          </w:tcPr>
          <w:p w:rsidR="007505A3" w:rsidRPr="007505A3" w:rsidRDefault="007505A3" w:rsidP="007505A3">
            <w:r w:rsidRPr="007505A3">
              <w:t xml:space="preserve">Return on equity    (nominal post–tax) </w:t>
            </w:r>
          </w:p>
        </w:tc>
        <w:tc>
          <w:tcPr>
            <w:tcW w:w="652"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10.83</w:t>
            </w:r>
          </w:p>
        </w:tc>
        <w:tc>
          <w:tcPr>
            <w:tcW w:w="733"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 xml:space="preserve">9.89 </w:t>
            </w:r>
          </w:p>
        </w:tc>
        <w:tc>
          <w:tcPr>
            <w:tcW w:w="734"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 xml:space="preserve">9.89 </w:t>
            </w:r>
          </w:p>
        </w:tc>
        <w:tc>
          <w:tcPr>
            <w:tcW w:w="658"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7.1</w:t>
            </w:r>
          </w:p>
        </w:tc>
        <w:tc>
          <w:tcPr>
            <w:tcW w:w="714"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7.1</w:t>
            </w:r>
          </w:p>
        </w:tc>
        <w:tc>
          <w:tcPr>
            <w:tcW w:w="712"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Constant (7.1%)</w:t>
            </w:r>
          </w:p>
        </w:tc>
      </w:tr>
      <w:tr w:rsidR="007505A3" w:rsidRPr="00255AE7" w:rsidTr="007505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Pr>
          <w:p w:rsidR="007505A3" w:rsidRPr="007505A3" w:rsidRDefault="007505A3" w:rsidP="007505A3">
            <w:r w:rsidRPr="007505A3">
              <w:t>Return on debt      (nominal pre–tax)</w:t>
            </w:r>
          </w:p>
        </w:tc>
        <w:tc>
          <w:tcPr>
            <w:tcW w:w="652" w:type="pct"/>
          </w:tcPr>
          <w:p w:rsidR="007505A3" w:rsidRPr="007505A3" w:rsidRDefault="007505A3" w:rsidP="007505A3">
            <w:pPr>
              <w:cnfStyle w:val="000000010000" w:firstRow="0" w:lastRow="0" w:firstColumn="0" w:lastColumn="0" w:oddVBand="0" w:evenVBand="0" w:oddHBand="0" w:evenHBand="1" w:firstRowFirstColumn="0" w:firstRowLastColumn="0" w:lastRowFirstColumn="0" w:lastRowLastColumn="0"/>
            </w:pPr>
            <w:r w:rsidRPr="007505A3">
              <w:t>9.52</w:t>
            </w:r>
          </w:p>
        </w:tc>
        <w:tc>
          <w:tcPr>
            <w:tcW w:w="733" w:type="pct"/>
          </w:tcPr>
          <w:p w:rsidR="007505A3" w:rsidRPr="007505A3" w:rsidRDefault="007505A3" w:rsidP="007505A3">
            <w:pPr>
              <w:cnfStyle w:val="000000010000" w:firstRow="0" w:lastRow="0" w:firstColumn="0" w:lastColumn="0" w:oddVBand="0" w:evenVBand="0" w:oddHBand="0" w:evenHBand="1" w:firstRowFirstColumn="0" w:firstRowLastColumn="0" w:lastRowFirstColumn="0" w:lastRowLastColumn="0"/>
            </w:pPr>
            <w:r w:rsidRPr="007505A3">
              <w:t>7.81</w:t>
            </w:r>
          </w:p>
        </w:tc>
        <w:tc>
          <w:tcPr>
            <w:tcW w:w="734" w:type="pct"/>
          </w:tcPr>
          <w:p w:rsidR="007505A3" w:rsidRPr="007505A3" w:rsidRDefault="007505A3" w:rsidP="007505A3">
            <w:pPr>
              <w:cnfStyle w:val="000000010000" w:firstRow="0" w:lastRow="0" w:firstColumn="0" w:lastColumn="0" w:oddVBand="0" w:evenVBand="0" w:oddHBand="0" w:evenHBand="1" w:firstRowFirstColumn="0" w:firstRowLastColumn="0" w:lastRowFirstColumn="0" w:lastRowLastColumn="0"/>
            </w:pPr>
            <w:r w:rsidRPr="007505A3">
              <w:t>7.7</w:t>
            </w:r>
          </w:p>
        </w:tc>
        <w:tc>
          <w:tcPr>
            <w:tcW w:w="658" w:type="pct"/>
          </w:tcPr>
          <w:p w:rsidR="007505A3" w:rsidRPr="007505A3" w:rsidRDefault="007505A3" w:rsidP="007505A3">
            <w:pPr>
              <w:cnfStyle w:val="000000010000" w:firstRow="0" w:lastRow="0" w:firstColumn="0" w:lastColumn="0" w:oddVBand="0" w:evenVBand="0" w:oddHBand="0" w:evenHBand="1" w:firstRowFirstColumn="0" w:firstRowLastColumn="0" w:lastRowFirstColumn="0" w:lastRowLastColumn="0"/>
            </w:pPr>
            <w:r w:rsidRPr="007505A3">
              <w:t>5.29</w:t>
            </w:r>
          </w:p>
        </w:tc>
        <w:tc>
          <w:tcPr>
            <w:tcW w:w="714" w:type="pct"/>
          </w:tcPr>
          <w:p w:rsidR="007505A3" w:rsidRPr="007505A3" w:rsidRDefault="007505A3" w:rsidP="007505A3">
            <w:pPr>
              <w:cnfStyle w:val="000000010000" w:firstRow="0" w:lastRow="0" w:firstColumn="0" w:lastColumn="0" w:oddVBand="0" w:evenVBand="0" w:oddHBand="0" w:evenHBand="1" w:firstRowFirstColumn="0" w:firstRowLastColumn="0" w:lastRowFirstColumn="0" w:lastRowLastColumn="0"/>
            </w:pPr>
            <w:r w:rsidRPr="007505A3">
              <w:t>5.31</w:t>
            </w:r>
          </w:p>
        </w:tc>
        <w:tc>
          <w:tcPr>
            <w:tcW w:w="712" w:type="pct"/>
          </w:tcPr>
          <w:p w:rsidR="007505A3" w:rsidRPr="007505A3" w:rsidRDefault="007505A3" w:rsidP="007505A3">
            <w:pPr>
              <w:cnfStyle w:val="000000010000" w:firstRow="0" w:lastRow="0" w:firstColumn="0" w:lastColumn="0" w:oddVBand="0" w:evenVBand="0" w:oddHBand="0" w:evenHBand="1" w:firstRowFirstColumn="0" w:firstRowLastColumn="0" w:lastRowFirstColumn="0" w:lastRowLastColumn="0"/>
            </w:pPr>
            <w:r w:rsidRPr="007505A3">
              <w:t>Updated annually</w:t>
            </w:r>
          </w:p>
        </w:tc>
      </w:tr>
      <w:tr w:rsidR="007505A3" w:rsidRPr="00255AE7" w:rsidTr="007505A3">
        <w:tc>
          <w:tcPr>
            <w:cnfStyle w:val="001000000000" w:firstRow="0" w:lastRow="0" w:firstColumn="1" w:lastColumn="0" w:oddVBand="0" w:evenVBand="0" w:oddHBand="0" w:evenHBand="0" w:firstRowFirstColumn="0" w:firstRowLastColumn="0" w:lastRowFirstColumn="0" w:lastRowLastColumn="0"/>
            <w:tcW w:w="797" w:type="pct"/>
          </w:tcPr>
          <w:p w:rsidR="007505A3" w:rsidRPr="007505A3" w:rsidRDefault="007505A3" w:rsidP="007505A3">
            <w:r w:rsidRPr="007505A3">
              <w:t>Gearing</w:t>
            </w:r>
          </w:p>
        </w:tc>
        <w:tc>
          <w:tcPr>
            <w:tcW w:w="652"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60</w:t>
            </w:r>
          </w:p>
        </w:tc>
        <w:tc>
          <w:tcPr>
            <w:tcW w:w="733"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60</w:t>
            </w:r>
          </w:p>
        </w:tc>
        <w:tc>
          <w:tcPr>
            <w:tcW w:w="734"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60</w:t>
            </w:r>
          </w:p>
        </w:tc>
        <w:tc>
          <w:tcPr>
            <w:tcW w:w="658"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60</w:t>
            </w:r>
          </w:p>
        </w:tc>
        <w:tc>
          <w:tcPr>
            <w:tcW w:w="714"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60</w:t>
            </w:r>
          </w:p>
        </w:tc>
        <w:tc>
          <w:tcPr>
            <w:tcW w:w="712"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Constant   (60%)</w:t>
            </w:r>
          </w:p>
        </w:tc>
      </w:tr>
      <w:tr w:rsidR="007505A3" w:rsidRPr="00255AE7" w:rsidTr="007505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Pr>
          <w:p w:rsidR="007505A3" w:rsidRPr="007505A3" w:rsidRDefault="007505A3" w:rsidP="007505A3">
            <w:r w:rsidRPr="007505A3">
              <w:t>Nominal vanilla WACC</w:t>
            </w:r>
          </w:p>
        </w:tc>
        <w:tc>
          <w:tcPr>
            <w:tcW w:w="652" w:type="pct"/>
          </w:tcPr>
          <w:p w:rsidR="007505A3" w:rsidRPr="007505A3" w:rsidRDefault="007505A3" w:rsidP="007505A3">
            <w:pPr>
              <w:cnfStyle w:val="000000010000" w:firstRow="0" w:lastRow="0" w:firstColumn="0" w:lastColumn="0" w:oddVBand="0" w:evenVBand="0" w:oddHBand="0" w:evenHBand="1" w:firstRowFirstColumn="0" w:firstRowLastColumn="0" w:lastRowFirstColumn="0" w:lastRowLastColumn="0"/>
            </w:pPr>
            <w:r w:rsidRPr="007505A3">
              <w:t>10.04</w:t>
            </w:r>
          </w:p>
        </w:tc>
        <w:tc>
          <w:tcPr>
            <w:tcW w:w="733" w:type="pct"/>
          </w:tcPr>
          <w:p w:rsidR="007505A3" w:rsidRPr="007505A3" w:rsidRDefault="007505A3" w:rsidP="007505A3">
            <w:pPr>
              <w:cnfStyle w:val="000000010000" w:firstRow="0" w:lastRow="0" w:firstColumn="0" w:lastColumn="0" w:oddVBand="0" w:evenVBand="0" w:oddHBand="0" w:evenHBand="1" w:firstRowFirstColumn="0" w:firstRowLastColumn="0" w:lastRowFirstColumn="0" w:lastRowLastColumn="0"/>
            </w:pPr>
            <w:r w:rsidRPr="007505A3">
              <w:t>8.64</w:t>
            </w:r>
          </w:p>
        </w:tc>
        <w:tc>
          <w:tcPr>
            <w:tcW w:w="734" w:type="pct"/>
          </w:tcPr>
          <w:p w:rsidR="007505A3" w:rsidRPr="007505A3" w:rsidRDefault="007505A3" w:rsidP="007505A3">
            <w:pPr>
              <w:cnfStyle w:val="000000010000" w:firstRow="0" w:lastRow="0" w:firstColumn="0" w:lastColumn="0" w:oddVBand="0" w:evenVBand="0" w:oddHBand="0" w:evenHBand="1" w:firstRowFirstColumn="0" w:firstRowLastColumn="0" w:lastRowFirstColumn="0" w:lastRowLastColumn="0"/>
            </w:pPr>
            <w:r w:rsidRPr="007505A3">
              <w:t>8.58</w:t>
            </w:r>
          </w:p>
        </w:tc>
        <w:tc>
          <w:tcPr>
            <w:tcW w:w="658" w:type="pct"/>
          </w:tcPr>
          <w:p w:rsidR="007505A3" w:rsidRPr="007505A3" w:rsidRDefault="007505A3" w:rsidP="007505A3">
            <w:pPr>
              <w:cnfStyle w:val="000000010000" w:firstRow="0" w:lastRow="0" w:firstColumn="0" w:lastColumn="0" w:oddVBand="0" w:evenVBand="0" w:oddHBand="0" w:evenHBand="1" w:firstRowFirstColumn="0" w:firstRowLastColumn="0" w:lastRowFirstColumn="0" w:lastRowLastColumn="0"/>
            </w:pPr>
            <w:r w:rsidRPr="007505A3">
              <w:t>6.01</w:t>
            </w:r>
          </w:p>
        </w:tc>
        <w:tc>
          <w:tcPr>
            <w:tcW w:w="714" w:type="pct"/>
          </w:tcPr>
          <w:p w:rsidR="007505A3" w:rsidRPr="007505A3" w:rsidRDefault="007505A3" w:rsidP="007505A3">
            <w:pPr>
              <w:cnfStyle w:val="000000010000" w:firstRow="0" w:lastRow="0" w:firstColumn="0" w:lastColumn="0" w:oddVBand="0" w:evenVBand="0" w:oddHBand="0" w:evenHBand="1" w:firstRowFirstColumn="0" w:firstRowLastColumn="0" w:lastRowFirstColumn="0" w:lastRowLastColumn="0"/>
            </w:pPr>
            <w:r w:rsidRPr="007505A3">
              <w:t>6.03</w:t>
            </w:r>
          </w:p>
        </w:tc>
        <w:tc>
          <w:tcPr>
            <w:tcW w:w="712" w:type="pct"/>
          </w:tcPr>
          <w:p w:rsidR="007505A3" w:rsidRPr="007505A3" w:rsidRDefault="007505A3" w:rsidP="007505A3">
            <w:pPr>
              <w:cnfStyle w:val="000000010000" w:firstRow="0" w:lastRow="0" w:firstColumn="0" w:lastColumn="0" w:oddVBand="0" w:evenVBand="0" w:oddHBand="0" w:evenHBand="1" w:firstRowFirstColumn="0" w:firstRowLastColumn="0" w:lastRowFirstColumn="0" w:lastRowLastColumn="0"/>
            </w:pPr>
            <w:r w:rsidRPr="007505A3">
              <w:t>Updated annually for debt</w:t>
            </w:r>
          </w:p>
        </w:tc>
      </w:tr>
      <w:tr w:rsidR="007505A3" w:rsidRPr="00255AE7" w:rsidTr="007505A3">
        <w:tc>
          <w:tcPr>
            <w:cnfStyle w:val="001000000000" w:firstRow="0" w:lastRow="0" w:firstColumn="1" w:lastColumn="0" w:oddVBand="0" w:evenVBand="0" w:oddHBand="0" w:evenHBand="0" w:firstRowFirstColumn="0" w:firstRowLastColumn="0" w:lastRowFirstColumn="0" w:lastRowLastColumn="0"/>
            <w:tcW w:w="797" w:type="pct"/>
          </w:tcPr>
          <w:p w:rsidR="007505A3" w:rsidRPr="007505A3" w:rsidRDefault="007505A3" w:rsidP="007505A3">
            <w:r w:rsidRPr="007505A3">
              <w:t>Forecast inflation</w:t>
            </w:r>
          </w:p>
        </w:tc>
        <w:tc>
          <w:tcPr>
            <w:tcW w:w="652"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2.52</w:t>
            </w:r>
          </w:p>
        </w:tc>
        <w:tc>
          <w:tcPr>
            <w:tcW w:w="733"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2.</w:t>
            </w:r>
            <w:r w:rsidR="00D612C6">
              <w:t>19</w:t>
            </w:r>
          </w:p>
        </w:tc>
        <w:tc>
          <w:tcPr>
            <w:tcW w:w="734"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2.</w:t>
            </w:r>
            <w:r w:rsidR="00D612C6">
              <w:t>19</w:t>
            </w:r>
          </w:p>
        </w:tc>
        <w:tc>
          <w:tcPr>
            <w:tcW w:w="658"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2.</w:t>
            </w:r>
            <w:r w:rsidR="00D612C6">
              <w:t>18</w:t>
            </w:r>
          </w:p>
        </w:tc>
        <w:tc>
          <w:tcPr>
            <w:tcW w:w="714"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2.18</w:t>
            </w:r>
          </w:p>
        </w:tc>
        <w:tc>
          <w:tcPr>
            <w:tcW w:w="712" w:type="pct"/>
          </w:tcPr>
          <w:p w:rsidR="007505A3" w:rsidRPr="007505A3" w:rsidRDefault="007505A3" w:rsidP="007505A3">
            <w:pPr>
              <w:cnfStyle w:val="000000000000" w:firstRow="0" w:lastRow="0" w:firstColumn="0" w:lastColumn="0" w:oddVBand="0" w:evenVBand="0" w:oddHBand="0" w:evenHBand="0" w:firstRowFirstColumn="0" w:firstRowLastColumn="0" w:lastRowFirstColumn="0" w:lastRowLastColumn="0"/>
            </w:pPr>
            <w:r w:rsidRPr="007505A3">
              <w:t>Constant (2.18%)</w:t>
            </w:r>
          </w:p>
        </w:tc>
      </w:tr>
    </w:tbl>
    <w:p w:rsidR="003952E7" w:rsidRDefault="00737E50" w:rsidP="00737E50">
      <w:pPr>
        <w:pStyle w:val="AERtablesource"/>
      </w:pPr>
      <w:r>
        <w:t>Source:</w:t>
      </w:r>
      <w:r>
        <w:tab/>
        <w:t xml:space="preserve">AER analysis; ActewAGL, </w:t>
      </w:r>
      <w:r w:rsidR="00C8593E">
        <w:rPr>
          <w:rStyle w:val="AERtextitalic"/>
        </w:rPr>
        <w:t>Appendix 5.01: Detailed response to rate of return, gamma and inflation</w:t>
      </w:r>
      <w:r>
        <w:t xml:space="preserve">, 6 January 2016; </w:t>
      </w:r>
      <w:r w:rsidR="0073552B">
        <w:t xml:space="preserve">ActewAGL, </w:t>
      </w:r>
      <w:r w:rsidR="0073552B">
        <w:rPr>
          <w:rStyle w:val="AERtextitalic"/>
        </w:rPr>
        <w:t>Access Arrangement Information for the ACT, Queanbeyan and Palerang gas distribution network: Amended by order of the Australian Competition Tribunal</w:t>
      </w:r>
      <w:r w:rsidR="0073552B">
        <w:t>, April 2010</w:t>
      </w:r>
      <w:r>
        <w:t>.</w:t>
      </w:r>
    </w:p>
    <w:p w:rsidR="00737E50" w:rsidRDefault="003952E7" w:rsidP="00737E50">
      <w:pPr>
        <w:pStyle w:val="AERtablesource"/>
      </w:pPr>
      <w:r>
        <w:t xml:space="preserve">(a) </w:t>
      </w:r>
      <w:r>
        <w:tab/>
        <w:t>ActewAGL's revised proposals for the 2016</w:t>
      </w:r>
      <w:r>
        <w:rPr>
          <w:rFonts w:cs="Arial"/>
        </w:rPr>
        <w:t>–</w:t>
      </w:r>
      <w:r>
        <w:t>17 return on debt and the risk free rate used in the return on equity are based on a placeholder averaging period of 20 business days to 30 September 2015</w:t>
      </w:r>
      <w:r w:rsidR="00514F58">
        <w:t>.</w:t>
      </w:r>
    </w:p>
    <w:p w:rsidR="00737E50" w:rsidRDefault="00737E50" w:rsidP="00737E50">
      <w:r>
        <w:t>Our return on equity estimate is 7</w:t>
      </w:r>
      <w:r w:rsidR="007505A3">
        <w:t>.1</w:t>
      </w:r>
      <w:r>
        <w:t xml:space="preserve"> per cent. </w:t>
      </w:r>
      <w:r w:rsidR="007505A3">
        <w:t>This rate will apply to ActewAGL in each regulatory year.</w:t>
      </w:r>
      <w:r>
        <w:t xml:space="preserve"> Our return on debt estimate for </w:t>
      </w:r>
      <w:r w:rsidR="00640951">
        <w:t>2015–16</w:t>
      </w:r>
      <w:r w:rsidR="00BF5B14">
        <w:t xml:space="preserve"> </w:t>
      </w:r>
      <w:r w:rsidR="00640951">
        <w:t xml:space="preserve">(the interval-of-delay) </w:t>
      </w:r>
      <w:r>
        <w:t>is 5</w:t>
      </w:r>
      <w:r w:rsidR="007505A3">
        <w:t>.29</w:t>
      </w:r>
      <w:r>
        <w:t xml:space="preserve"> per cent. </w:t>
      </w:r>
      <w:r w:rsidR="00640951">
        <w:t xml:space="preserve">Our return on debt estimate for the 2016–17 regulatory year is </w:t>
      </w:r>
      <w:r w:rsidR="007505A3">
        <w:t>5.31</w:t>
      </w:r>
      <w:r w:rsidR="00640951">
        <w:t> per cent.</w:t>
      </w:r>
      <w:r w:rsidR="00BC466F">
        <w:t xml:space="preserve"> </w:t>
      </w:r>
      <w:r w:rsidR="006C7915">
        <w:t>This estimate will change each year as we partially update the return on debt to reflect prevailing interest rates</w:t>
      </w:r>
      <w:r>
        <w:t xml:space="preserve"> over ActewAGL's debt averaging period in each year.</w:t>
      </w:r>
      <w:r w:rsidR="006C7915" w:rsidRPr="006C7915">
        <w:t xml:space="preserve"> </w:t>
      </w:r>
      <w:r w:rsidR="006C7915">
        <w:t xml:space="preserve">Our return on debt estimate for future regulatory years will be determined in accordance with the methodology and formulae we have specified in this decision. Due to updating the return on debt each year, the overall rate of return and </w:t>
      </w:r>
      <w:r>
        <w:t>ActewAGL'</w:t>
      </w:r>
      <w:r w:rsidR="007131A1">
        <w:t>s</w:t>
      </w:r>
      <w:r>
        <w:t xml:space="preserve"> revenue will also be updated.</w:t>
      </w:r>
    </w:p>
    <w:p w:rsidR="00737E50" w:rsidRDefault="00737E50" w:rsidP="00737E50">
      <w:pPr>
        <w:numPr>
          <w:ilvl w:val="0"/>
          <w:numId w:val="24"/>
        </w:numPr>
      </w:pPr>
      <w:r>
        <w:t>We agree with the following aspects of ActewAGL'</w:t>
      </w:r>
      <w:r w:rsidR="007131A1">
        <w:t>s</w:t>
      </w:r>
      <w:r>
        <w:t xml:space="preserve"> revised rate of return proposal:</w:t>
      </w:r>
    </w:p>
    <w:p w:rsidR="00737E50" w:rsidRPr="007A24FB" w:rsidRDefault="00737E50" w:rsidP="00737E50">
      <w:pPr>
        <w:pStyle w:val="AERbulletlistfirststyle"/>
      </w:pPr>
      <w:r>
        <w:t>adopting a weighted average of the return on equity and return on debt (WACC)</w:t>
      </w:r>
      <w:r w:rsidRPr="007A24FB">
        <w:t xml:space="preserve"> determined on a nominal vanilla basis (as required by the rules)</w:t>
      </w:r>
    </w:p>
    <w:p w:rsidR="00737E50" w:rsidRPr="007A24FB" w:rsidRDefault="00737E50" w:rsidP="00737E50">
      <w:pPr>
        <w:pStyle w:val="AERbulletlistfirststyle"/>
      </w:pPr>
      <w:r>
        <w:t>adopting a 60</w:t>
      </w:r>
      <w:r w:rsidRPr="007A24FB">
        <w:t xml:space="preserve"> per cent gearing ratio</w:t>
      </w:r>
    </w:p>
    <w:p w:rsidR="00737E50" w:rsidRPr="007A24FB" w:rsidRDefault="00737E50" w:rsidP="00737E50">
      <w:pPr>
        <w:pStyle w:val="AERbulletlistfirststyle"/>
      </w:pPr>
      <w:r>
        <w:t>adopting a 10 year term for the return on debt</w:t>
      </w:r>
    </w:p>
    <w:p w:rsidR="00BC466F" w:rsidRDefault="00737E50" w:rsidP="00737E50">
      <w:pPr>
        <w:pStyle w:val="AERbulletlistfirststyle"/>
      </w:pPr>
      <w:r>
        <w:t>estimating the return on debt by reference to a third party data series</w:t>
      </w:r>
    </w:p>
    <w:p w:rsidR="00AF66BF" w:rsidRDefault="00AF66BF" w:rsidP="00737E50">
      <w:pPr>
        <w:pStyle w:val="AERbulletlistfirststyle"/>
      </w:pPr>
      <w:r>
        <w:t>estimating the risk free rate used in the return on equity with nominal Commonwealth government securities (CGS) averaged over 20 business days as close as practical to the commencement of the access arrangement period</w:t>
      </w:r>
    </w:p>
    <w:p w:rsidR="00737E50" w:rsidRPr="007A24FB" w:rsidRDefault="00BC466F" w:rsidP="00BC466F">
      <w:pPr>
        <w:pStyle w:val="AERbulletlistfirststyle"/>
      </w:pPr>
      <w:r>
        <w:t xml:space="preserve">estimating an allowed rate of return </w:t>
      </w:r>
      <w:r w:rsidRPr="00BC466F">
        <w:t xml:space="preserve"> for the purpose </w:t>
      </w:r>
      <w:r>
        <w:t>of the true-up for the interval-of-</w:t>
      </w:r>
      <w:r w:rsidRPr="00BC466F">
        <w:t xml:space="preserve">delay that impacts on total revenues for the 2016-21 </w:t>
      </w:r>
      <w:r w:rsidR="00AF66BF">
        <w:t xml:space="preserve">access arrangement </w:t>
      </w:r>
      <w:r w:rsidRPr="00BC466F">
        <w:t>period</w:t>
      </w:r>
      <w:r w:rsidR="00737E50">
        <w:t>.</w:t>
      </w:r>
    </w:p>
    <w:p w:rsidR="006C7915" w:rsidRDefault="00737E50" w:rsidP="00737E50">
      <w:pPr>
        <w:numPr>
          <w:ilvl w:val="0"/>
          <w:numId w:val="24"/>
        </w:numPr>
      </w:pPr>
      <w:r>
        <w:t xml:space="preserve">Consistent with our </w:t>
      </w:r>
      <w:r w:rsidR="00265B00">
        <w:t>draft decision</w:t>
      </w:r>
      <w:r>
        <w:t xml:space="preserve">, we agree there should be a transition from the on-the-day approach to the trailing averaging approach. However, we disagree with the hybrid form of transition proposed in ActewAGL's </w:t>
      </w:r>
      <w:r w:rsidR="00265B00">
        <w:t>(initial) access arrangement proposal</w:t>
      </w:r>
      <w:r>
        <w:t>.</w:t>
      </w:r>
      <w:r w:rsidR="00BC466F">
        <w:rPr>
          <w:rStyle w:val="FootnoteReference"/>
        </w:rPr>
        <w:footnoteReference w:id="9"/>
      </w:r>
      <w:r>
        <w:t xml:space="preserve"> </w:t>
      </w:r>
    </w:p>
    <w:p w:rsidR="006C7915" w:rsidRDefault="006C7915" w:rsidP="006C7915">
      <w:pPr>
        <w:numPr>
          <w:ilvl w:val="0"/>
          <w:numId w:val="24"/>
        </w:numPr>
      </w:pPr>
      <w:r>
        <w:t xml:space="preserve">In its revised </w:t>
      </w:r>
      <w:r w:rsidR="00AF66BF">
        <w:t xml:space="preserve">access arrangement </w:t>
      </w:r>
      <w:r>
        <w:t>proposal, ActewAGL departed from its initial position to apply a transition to the trailing averaging approach.</w:t>
      </w:r>
      <w:r w:rsidRPr="006C7915">
        <w:rPr>
          <w:rStyle w:val="FootnoteReference"/>
        </w:rPr>
        <w:t xml:space="preserve"> </w:t>
      </w:r>
      <w:r>
        <w:rPr>
          <w:rStyle w:val="FootnoteReference"/>
        </w:rPr>
        <w:footnoteReference w:id="10"/>
      </w:r>
      <w:r>
        <w:t xml:space="preserve"> It now proposes to not apply a transition (that is, to immediately move to a trailing average approach). We disagree with ActewAGL on this and a number of other components of the rate of return.</w:t>
      </w:r>
    </w:p>
    <w:p w:rsidR="006C7915" w:rsidRDefault="006C7915" w:rsidP="006C7915">
      <w:pPr>
        <w:numPr>
          <w:ilvl w:val="0"/>
          <w:numId w:val="24"/>
        </w:numPr>
      </w:pPr>
      <w:r>
        <w:t xml:space="preserve">Our </w:t>
      </w:r>
      <w:r w:rsidRPr="00B174EF">
        <w:t>return on equity estimate</w:t>
      </w:r>
      <w:r>
        <w:t xml:space="preserve"> for this final decision</w:t>
      </w:r>
      <w:r w:rsidRPr="00B174EF">
        <w:t xml:space="preserve"> </w:t>
      </w:r>
      <w:r>
        <w:t xml:space="preserve">is 7.1 </w:t>
      </w:r>
      <w:r w:rsidRPr="00B174EF">
        <w:t>per cent</w:t>
      </w:r>
      <w:r>
        <w:t>.</w:t>
      </w:r>
      <w:r w:rsidRPr="0083677A">
        <w:t xml:space="preserve"> </w:t>
      </w:r>
      <w:r>
        <w:t>We derived this estimate by applying the same approach we applied to determine the allowed return on equity in our most recent final decision</w:t>
      </w:r>
      <w:r w:rsidR="00C90447">
        <w:t>s</w:t>
      </w:r>
      <w:r>
        <w:t>.</w:t>
      </w:r>
      <w:r>
        <w:rPr>
          <w:rStyle w:val="FootnoteReference"/>
        </w:rPr>
        <w:footnoteReference w:id="11"/>
      </w:r>
      <w:r>
        <w:t xml:space="preserve"> The Australian Competition Tribunal (Tribunal) recently upheld this approach.</w:t>
      </w:r>
      <w:r>
        <w:rPr>
          <w:rStyle w:val="FootnoteReference"/>
        </w:rPr>
        <w:footnoteReference w:id="12"/>
      </w:r>
      <w:r>
        <w:t xml:space="preserve"> This approach entails applying the </w:t>
      </w:r>
      <w:r w:rsidR="00EB67ED">
        <w:t>rate of return guideline (</w:t>
      </w:r>
      <w:r>
        <w:t>Guideline</w:t>
      </w:r>
      <w:r w:rsidR="00EB67ED">
        <w:t>)</w:t>
      </w:r>
      <w:r>
        <w:t xml:space="preserve"> approach referred to as the foundation model approach.</w:t>
      </w:r>
      <w:r>
        <w:rPr>
          <w:rStyle w:val="FootnoteReference"/>
        </w:rPr>
        <w:footnoteReference w:id="13"/>
      </w:r>
      <w:r>
        <w:t xml:space="preserve"> We applied this same approach in the draft decision.</w:t>
      </w:r>
      <w:r>
        <w:rPr>
          <w:rStyle w:val="FootnoteReference"/>
        </w:rPr>
        <w:footnoteReference w:id="14"/>
      </w:r>
      <w:r>
        <w:t xml:space="preserve"> This is a</w:t>
      </w:r>
      <w:r w:rsidRPr="00F15CAB">
        <w:t xml:space="preserve"> six step process</w:t>
      </w:r>
      <w:r>
        <w:t>, where we</w:t>
      </w:r>
      <w:r w:rsidRPr="00F15CAB">
        <w:t xml:space="preserve"> </w:t>
      </w:r>
      <w:r>
        <w:t xml:space="preserve">have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xml:space="preserve">. </w:t>
      </w:r>
    </w:p>
    <w:p w:rsidR="00737E50" w:rsidRDefault="00737E50" w:rsidP="006C7915">
      <w:pPr>
        <w:numPr>
          <w:ilvl w:val="0"/>
          <w:numId w:val="24"/>
        </w:numPr>
      </w:pPr>
      <w:r>
        <w:t xml:space="preserve">Our return on equity point estimate and the parameter inputs are set out in the </w:t>
      </w:r>
      <w:r w:rsidR="00AF66BF">
        <w:fldChar w:fldCharType="begin"/>
      </w:r>
      <w:r w:rsidR="00AF66BF">
        <w:instrText xml:space="preserve"> REF  _Ref433137430 \* Lower \h </w:instrText>
      </w:r>
      <w:r w:rsidR="00AF66BF">
        <w:fldChar w:fldCharType="separate"/>
      </w:r>
      <w:r w:rsidR="001A023B">
        <w:t xml:space="preserve">table </w:t>
      </w:r>
      <w:r w:rsidR="001A023B">
        <w:rPr>
          <w:noProof/>
        </w:rPr>
        <w:t>3</w:t>
      </w:r>
      <w:r w:rsidR="001A023B">
        <w:noBreakHyphen/>
      </w:r>
      <w:r w:rsidR="001A023B">
        <w:rPr>
          <w:noProof/>
        </w:rPr>
        <w:t>2</w:t>
      </w:r>
      <w:r w:rsidR="00AF66BF">
        <w:fldChar w:fldCharType="end"/>
      </w:r>
      <w:r>
        <w:t xml:space="preserve">. ActewAGL proposed departing from the approach in the Guideline. </w:t>
      </w:r>
      <w:r w:rsidR="00EB67ED" w:rsidRPr="00185E39">
        <w:t xml:space="preserve">We are not satisfied </w:t>
      </w:r>
      <w:r w:rsidR="00EB67ED">
        <w:t xml:space="preserve">that doing so </w:t>
      </w:r>
      <w:r w:rsidR="00EB67ED" w:rsidRPr="00185E39">
        <w:t xml:space="preserve">would result in an outcome that better achieves the </w:t>
      </w:r>
      <w:r w:rsidR="00EB67ED">
        <w:t>ARORO</w:t>
      </w:r>
      <w:r w:rsidR="00EB67ED" w:rsidRPr="00185E39">
        <w:t>.</w:t>
      </w:r>
      <w:r w:rsidR="00EB67ED" w:rsidRPr="00185E39">
        <w:rPr>
          <w:rStyle w:val="FootnoteReference"/>
        </w:rPr>
        <w:footnoteReference w:id="15"/>
      </w:r>
      <w:r w:rsidR="00EB67ED">
        <w:t xml:space="preserve"> </w:t>
      </w:r>
      <w:r w:rsidRPr="00185E39">
        <w:t xml:space="preserve">We do not agree with </w:t>
      </w:r>
      <w:r>
        <w:t xml:space="preserve">ActewAGL that our method applied in the </w:t>
      </w:r>
      <w:r w:rsidR="00265B00">
        <w:t>draft decision</w:t>
      </w:r>
      <w:r>
        <w:t xml:space="preserve"> will result in a return on equity which is inconsistent with the </w:t>
      </w:r>
      <w:r w:rsidR="006C7915">
        <w:t>ARORO</w:t>
      </w:r>
      <w:r>
        <w:t>.</w:t>
      </w:r>
      <w:r>
        <w:rPr>
          <w:rStyle w:val="FootnoteReference"/>
        </w:rPr>
        <w:footnoteReference w:id="16"/>
      </w:r>
      <w:r>
        <w:t xml:space="preserve"> </w:t>
      </w:r>
      <w:r w:rsidRPr="00185E39">
        <w:t xml:space="preserve">Our </w:t>
      </w:r>
      <w:r>
        <w:t xml:space="preserve">return on equity </w:t>
      </w:r>
      <w:r w:rsidR="00265B00">
        <w:t>draft decision</w:t>
      </w:r>
      <w:r>
        <w:t xml:space="preserve"> and this final decision </w:t>
      </w:r>
      <w:r w:rsidRPr="00185E39">
        <w:t xml:space="preserve">is largely consistent with the </w:t>
      </w:r>
      <w:r>
        <w:t xml:space="preserve">views in the </w:t>
      </w:r>
      <w:r w:rsidRPr="00185E39">
        <w:t>Guideline</w:t>
      </w:r>
      <w:r>
        <w:t>.</w:t>
      </w:r>
      <w:r w:rsidRPr="00796C00">
        <w:t xml:space="preserve"> </w:t>
      </w:r>
    </w:p>
    <w:p w:rsidR="00737E50" w:rsidRDefault="00737E50" w:rsidP="00737E50">
      <w:pPr>
        <w:pStyle w:val="Caption"/>
      </w:pPr>
      <w:bookmarkStart w:id="15" w:name="_Ref433137430"/>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2</w:t>
      </w:r>
      <w:r w:rsidR="00120312">
        <w:rPr>
          <w:noProof/>
        </w:rPr>
        <w:fldChar w:fldCharType="end"/>
      </w:r>
      <w:bookmarkEnd w:id="15"/>
      <w:r>
        <w:tab/>
        <w:t>Final decision on ActewAGL's return on equity (nominal)</w:t>
      </w:r>
    </w:p>
    <w:tbl>
      <w:tblPr>
        <w:tblStyle w:val="AERtable-numbers"/>
        <w:tblW w:w="5000" w:type="pct"/>
        <w:tblLook w:val="04A0" w:firstRow="1" w:lastRow="0" w:firstColumn="1" w:lastColumn="0" w:noHBand="0" w:noVBand="1"/>
      </w:tblPr>
      <w:tblGrid>
        <w:gridCol w:w="2376"/>
        <w:gridCol w:w="1972"/>
        <w:gridCol w:w="2173"/>
        <w:gridCol w:w="2172"/>
      </w:tblGrid>
      <w:tr w:rsidR="006C7915" w:rsidRPr="00255AE7" w:rsidTr="00313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pct"/>
          </w:tcPr>
          <w:p w:rsidR="006C7915" w:rsidRPr="00255AE7" w:rsidRDefault="006C7915" w:rsidP="006C7915">
            <w:pPr>
              <w:numPr>
                <w:ilvl w:val="0"/>
                <w:numId w:val="23"/>
              </w:numPr>
            </w:pPr>
          </w:p>
        </w:tc>
        <w:tc>
          <w:tcPr>
            <w:tcW w:w="1134" w:type="pct"/>
          </w:tcPr>
          <w:p w:rsidR="006C7915" w:rsidRPr="006C7915" w:rsidRDefault="006C7915" w:rsidP="006C7915">
            <w:pPr>
              <w:cnfStyle w:val="100000000000" w:firstRow="1" w:lastRow="0" w:firstColumn="0" w:lastColumn="0" w:oddVBand="0" w:evenVBand="0" w:oddHBand="0" w:evenHBand="0" w:firstRowFirstColumn="0" w:firstRowLastColumn="0" w:lastRowFirstColumn="0" w:lastRowLastColumn="0"/>
            </w:pPr>
            <w:r w:rsidRPr="00AB7263">
              <w:t>Previous access arrangement (2010–15)</w:t>
            </w:r>
          </w:p>
        </w:tc>
        <w:tc>
          <w:tcPr>
            <w:tcW w:w="1250" w:type="pct"/>
          </w:tcPr>
          <w:p w:rsidR="006C7915" w:rsidRPr="006C7915" w:rsidRDefault="006C7915" w:rsidP="006C7915">
            <w:pPr>
              <w:cnfStyle w:val="100000000000" w:firstRow="1" w:lastRow="0" w:firstColumn="0" w:lastColumn="0" w:oddVBand="0" w:evenVBand="0" w:oddHBand="0" w:evenHBand="0" w:firstRowFirstColumn="0" w:firstRowLastColumn="0" w:lastRowFirstColumn="0" w:lastRowLastColumn="0"/>
            </w:pPr>
            <w:r w:rsidRPr="00AB7263">
              <w:t>ActewAGL revised proposal (2015-21)</w:t>
            </w:r>
            <w:r w:rsidR="00FE2A0E">
              <w:rPr>
                <w:rStyle w:val="FootnoteReference"/>
              </w:rPr>
              <w:footnoteReference w:id="17"/>
            </w:r>
          </w:p>
        </w:tc>
        <w:tc>
          <w:tcPr>
            <w:tcW w:w="1249" w:type="pct"/>
          </w:tcPr>
          <w:p w:rsidR="006C7915" w:rsidRPr="006C7915" w:rsidRDefault="006C7915" w:rsidP="006C7915">
            <w:pPr>
              <w:cnfStyle w:val="100000000000" w:firstRow="1" w:lastRow="0" w:firstColumn="0" w:lastColumn="0" w:oddVBand="0" w:evenVBand="0" w:oddHBand="0" w:evenHBand="0" w:firstRowFirstColumn="0" w:firstRowLastColumn="0" w:lastRowFirstColumn="0" w:lastRowLastColumn="0"/>
            </w:pPr>
            <w:r w:rsidRPr="00AB7263">
              <w:t>AER final decision (2015–21)</w:t>
            </w:r>
          </w:p>
        </w:tc>
      </w:tr>
      <w:tr w:rsidR="006C7915" w:rsidRPr="00255AE7" w:rsidTr="0031325C">
        <w:tc>
          <w:tcPr>
            <w:cnfStyle w:val="001000000000" w:firstRow="0" w:lastRow="0" w:firstColumn="1" w:lastColumn="0" w:oddVBand="0" w:evenVBand="0" w:oddHBand="0" w:evenHBand="0" w:firstRowFirstColumn="0" w:firstRowLastColumn="0" w:lastRowFirstColumn="0" w:lastRowLastColumn="0"/>
            <w:tcW w:w="1367" w:type="pct"/>
          </w:tcPr>
          <w:p w:rsidR="006C7915" w:rsidRPr="006C7915" w:rsidRDefault="006C7915" w:rsidP="006C7915">
            <w:r w:rsidRPr="00AB7263">
              <w:t xml:space="preserve">Nominal risk free rate </w:t>
            </w:r>
            <w:r w:rsidRPr="006C7915">
              <w:t>(return on equity only)</w:t>
            </w:r>
          </w:p>
        </w:tc>
        <w:tc>
          <w:tcPr>
            <w:tcW w:w="1134" w:type="pct"/>
          </w:tcPr>
          <w:p w:rsidR="006C7915" w:rsidRPr="006C7915" w:rsidRDefault="006C7915" w:rsidP="006C7915">
            <w:pPr>
              <w:cnfStyle w:val="000000000000" w:firstRow="0" w:lastRow="0" w:firstColumn="0" w:lastColumn="0" w:oddVBand="0" w:evenVBand="0" w:oddHBand="0" w:evenHBand="0" w:firstRowFirstColumn="0" w:firstRowLastColumn="0" w:lastRowFirstColumn="0" w:lastRowLastColumn="0"/>
            </w:pPr>
            <w:r w:rsidRPr="00255AE7">
              <w:t>5.63%</w:t>
            </w:r>
          </w:p>
        </w:tc>
        <w:tc>
          <w:tcPr>
            <w:tcW w:w="1250" w:type="pct"/>
          </w:tcPr>
          <w:p w:rsidR="006C7915" w:rsidRPr="006C7915" w:rsidRDefault="006C7915" w:rsidP="006C7915">
            <w:pPr>
              <w:cnfStyle w:val="000000000000" w:firstRow="0" w:lastRow="0" w:firstColumn="0" w:lastColumn="0" w:oddVBand="0" w:evenVBand="0" w:oddHBand="0" w:evenHBand="0" w:firstRowFirstColumn="0" w:firstRowLastColumn="0" w:lastRowFirstColumn="0" w:lastRowLastColumn="0"/>
            </w:pPr>
            <w:r w:rsidRPr="00255AE7">
              <w:t>2.75%</w:t>
            </w:r>
            <w:r w:rsidRPr="006C7915">
              <w:t>*</w:t>
            </w:r>
          </w:p>
        </w:tc>
        <w:tc>
          <w:tcPr>
            <w:tcW w:w="1249" w:type="pct"/>
          </w:tcPr>
          <w:p w:rsidR="006C7915" w:rsidRPr="006C7915" w:rsidRDefault="006C7915" w:rsidP="006C7915">
            <w:pPr>
              <w:cnfStyle w:val="000000000000" w:firstRow="0" w:lastRow="0" w:firstColumn="0" w:lastColumn="0" w:oddVBand="0" w:evenVBand="0" w:oddHBand="0" w:evenHBand="0" w:firstRowFirstColumn="0" w:firstRowLastColumn="0" w:lastRowFirstColumn="0" w:lastRowLastColumn="0"/>
            </w:pPr>
            <w:r w:rsidRPr="00255AE7">
              <w:t>2.57%</w:t>
            </w:r>
            <w:r w:rsidRPr="006C7915">
              <w:t>**</w:t>
            </w:r>
          </w:p>
        </w:tc>
      </w:tr>
      <w:tr w:rsidR="006C7915" w:rsidRPr="00255AE7" w:rsidTr="003132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pct"/>
          </w:tcPr>
          <w:p w:rsidR="006C7915" w:rsidRPr="006C7915" w:rsidRDefault="006C7915" w:rsidP="006C7915">
            <w:r w:rsidRPr="00AB7263">
              <w:t xml:space="preserve">Equity risk premium </w:t>
            </w:r>
          </w:p>
        </w:tc>
        <w:tc>
          <w:tcPr>
            <w:tcW w:w="1134" w:type="pct"/>
          </w:tcPr>
          <w:p w:rsidR="006C7915" w:rsidRPr="006C7915" w:rsidRDefault="006C7915" w:rsidP="006C7915">
            <w:pPr>
              <w:cnfStyle w:val="000000010000" w:firstRow="0" w:lastRow="0" w:firstColumn="0" w:lastColumn="0" w:oddVBand="0" w:evenVBand="0" w:oddHBand="0" w:evenHBand="1" w:firstRowFirstColumn="0" w:firstRowLastColumn="0" w:lastRowFirstColumn="0" w:lastRowLastColumn="0"/>
            </w:pPr>
            <w:r w:rsidRPr="00255AE7">
              <w:t>5.20%</w:t>
            </w:r>
          </w:p>
        </w:tc>
        <w:tc>
          <w:tcPr>
            <w:tcW w:w="1250" w:type="pct"/>
          </w:tcPr>
          <w:p w:rsidR="006C7915" w:rsidRPr="006C7915" w:rsidRDefault="006C7915" w:rsidP="006C7915">
            <w:pPr>
              <w:cnfStyle w:val="000000010000" w:firstRow="0" w:lastRow="0" w:firstColumn="0" w:lastColumn="0" w:oddVBand="0" w:evenVBand="0" w:oddHBand="0" w:evenHBand="1" w:firstRowFirstColumn="0" w:firstRowLastColumn="0" w:lastRowFirstColumn="0" w:lastRowLastColumn="0"/>
            </w:pPr>
            <w:r w:rsidRPr="00255AE7">
              <w:t>7.19%</w:t>
            </w:r>
          </w:p>
        </w:tc>
        <w:tc>
          <w:tcPr>
            <w:tcW w:w="1249" w:type="pct"/>
          </w:tcPr>
          <w:p w:rsidR="006C7915" w:rsidRPr="006C7915" w:rsidRDefault="006C7915" w:rsidP="006C7915">
            <w:pPr>
              <w:cnfStyle w:val="000000010000" w:firstRow="0" w:lastRow="0" w:firstColumn="0" w:lastColumn="0" w:oddVBand="0" w:evenVBand="0" w:oddHBand="0" w:evenHBand="1" w:firstRowFirstColumn="0" w:firstRowLastColumn="0" w:lastRowFirstColumn="0" w:lastRowLastColumn="0"/>
            </w:pPr>
            <w:r w:rsidRPr="00255AE7">
              <w:t>4.55%</w:t>
            </w:r>
          </w:p>
        </w:tc>
      </w:tr>
      <w:tr w:rsidR="006C7915" w:rsidRPr="00255AE7" w:rsidTr="0031325C">
        <w:tc>
          <w:tcPr>
            <w:cnfStyle w:val="001000000000" w:firstRow="0" w:lastRow="0" w:firstColumn="1" w:lastColumn="0" w:oddVBand="0" w:evenVBand="0" w:oddHBand="0" w:evenHBand="0" w:firstRowFirstColumn="0" w:firstRowLastColumn="0" w:lastRowFirstColumn="0" w:lastRowLastColumn="0"/>
            <w:tcW w:w="1367" w:type="pct"/>
          </w:tcPr>
          <w:p w:rsidR="006C7915" w:rsidRPr="006C7915" w:rsidRDefault="006C7915" w:rsidP="006C7915">
            <w:r w:rsidRPr="00AB7263">
              <w:t>MRP</w:t>
            </w:r>
          </w:p>
        </w:tc>
        <w:tc>
          <w:tcPr>
            <w:tcW w:w="1134" w:type="pct"/>
          </w:tcPr>
          <w:p w:rsidR="006C7915" w:rsidRPr="006C7915" w:rsidRDefault="006C7915" w:rsidP="006C7915">
            <w:pPr>
              <w:cnfStyle w:val="000000000000" w:firstRow="0" w:lastRow="0" w:firstColumn="0" w:lastColumn="0" w:oddVBand="0" w:evenVBand="0" w:oddHBand="0" w:evenHBand="0" w:firstRowFirstColumn="0" w:firstRowLastColumn="0" w:lastRowFirstColumn="0" w:lastRowLastColumn="0"/>
            </w:pPr>
            <w:r w:rsidRPr="00255AE7">
              <w:t>6.50%</w:t>
            </w:r>
          </w:p>
        </w:tc>
        <w:tc>
          <w:tcPr>
            <w:tcW w:w="1250" w:type="pct"/>
          </w:tcPr>
          <w:p w:rsidR="006C7915" w:rsidRPr="006C7915" w:rsidRDefault="006C7915" w:rsidP="006C7915">
            <w:pPr>
              <w:cnfStyle w:val="000000000000" w:firstRow="0" w:lastRow="0" w:firstColumn="0" w:lastColumn="0" w:oddVBand="0" w:evenVBand="0" w:oddHBand="0" w:evenHBand="0" w:firstRowFirstColumn="0" w:firstRowLastColumn="0" w:lastRowFirstColumn="0" w:lastRowLastColumn="0"/>
            </w:pPr>
            <w:r w:rsidRPr="00255AE7">
              <w:t>7.9%</w:t>
            </w:r>
          </w:p>
        </w:tc>
        <w:tc>
          <w:tcPr>
            <w:tcW w:w="1249" w:type="pct"/>
          </w:tcPr>
          <w:p w:rsidR="006C7915" w:rsidRPr="006C7915" w:rsidRDefault="006C7915" w:rsidP="006C7915">
            <w:pPr>
              <w:cnfStyle w:val="000000000000" w:firstRow="0" w:lastRow="0" w:firstColumn="0" w:lastColumn="0" w:oddVBand="0" w:evenVBand="0" w:oddHBand="0" w:evenHBand="0" w:firstRowFirstColumn="0" w:firstRowLastColumn="0" w:lastRowFirstColumn="0" w:lastRowLastColumn="0"/>
            </w:pPr>
            <w:r w:rsidRPr="00255AE7">
              <w:t>6.50%</w:t>
            </w:r>
          </w:p>
        </w:tc>
      </w:tr>
      <w:tr w:rsidR="006C7915" w:rsidRPr="00255AE7" w:rsidTr="003132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pct"/>
          </w:tcPr>
          <w:p w:rsidR="006C7915" w:rsidRPr="006C7915" w:rsidRDefault="006C7915" w:rsidP="006C7915">
            <w:r w:rsidRPr="00AB7263">
              <w:t>Equity beta</w:t>
            </w:r>
          </w:p>
        </w:tc>
        <w:tc>
          <w:tcPr>
            <w:tcW w:w="1134" w:type="pct"/>
          </w:tcPr>
          <w:p w:rsidR="006C7915" w:rsidRPr="006C7915" w:rsidRDefault="006C7915" w:rsidP="006C7915">
            <w:pPr>
              <w:cnfStyle w:val="000000010000" w:firstRow="0" w:lastRow="0" w:firstColumn="0" w:lastColumn="0" w:oddVBand="0" w:evenVBand="0" w:oddHBand="0" w:evenHBand="1" w:firstRowFirstColumn="0" w:firstRowLastColumn="0" w:lastRowFirstColumn="0" w:lastRowLastColumn="0"/>
            </w:pPr>
            <w:r w:rsidRPr="00255AE7">
              <w:t>0.8</w:t>
            </w:r>
          </w:p>
        </w:tc>
        <w:tc>
          <w:tcPr>
            <w:tcW w:w="1250" w:type="pct"/>
          </w:tcPr>
          <w:p w:rsidR="006C7915" w:rsidRPr="006C7915" w:rsidRDefault="006C7915" w:rsidP="006C7915">
            <w:pPr>
              <w:cnfStyle w:val="000000010000" w:firstRow="0" w:lastRow="0" w:firstColumn="0" w:lastColumn="0" w:oddVBand="0" w:evenVBand="0" w:oddHBand="0" w:evenHBand="1" w:firstRowFirstColumn="0" w:firstRowLastColumn="0" w:lastRowFirstColumn="0" w:lastRowLastColumn="0"/>
            </w:pPr>
            <w:r w:rsidRPr="00255AE7">
              <w:t>0.91</w:t>
            </w:r>
          </w:p>
        </w:tc>
        <w:tc>
          <w:tcPr>
            <w:tcW w:w="1249" w:type="pct"/>
          </w:tcPr>
          <w:p w:rsidR="006C7915" w:rsidRPr="006C7915" w:rsidRDefault="006C7915" w:rsidP="006C7915">
            <w:pPr>
              <w:cnfStyle w:val="000000010000" w:firstRow="0" w:lastRow="0" w:firstColumn="0" w:lastColumn="0" w:oddVBand="0" w:evenVBand="0" w:oddHBand="0" w:evenHBand="1" w:firstRowFirstColumn="0" w:firstRowLastColumn="0" w:lastRowFirstColumn="0" w:lastRowLastColumn="0"/>
            </w:pPr>
            <w:r w:rsidRPr="00255AE7">
              <w:t>0.7</w:t>
            </w:r>
          </w:p>
        </w:tc>
      </w:tr>
      <w:tr w:rsidR="006C7915" w:rsidRPr="00255AE7" w:rsidTr="0031325C">
        <w:tc>
          <w:tcPr>
            <w:cnfStyle w:val="001000000000" w:firstRow="0" w:lastRow="0" w:firstColumn="1" w:lastColumn="0" w:oddVBand="0" w:evenVBand="0" w:oddHBand="0" w:evenHBand="0" w:firstRowFirstColumn="0" w:firstRowLastColumn="0" w:lastRowFirstColumn="0" w:lastRowLastColumn="0"/>
            <w:tcW w:w="1367" w:type="pct"/>
          </w:tcPr>
          <w:p w:rsidR="006C7915" w:rsidRPr="006C7915" w:rsidRDefault="006C7915" w:rsidP="006C7915">
            <w:r w:rsidRPr="00AB7263">
              <w:t xml:space="preserve">Nominal post–tax return on equity </w:t>
            </w:r>
          </w:p>
        </w:tc>
        <w:tc>
          <w:tcPr>
            <w:tcW w:w="1134" w:type="pct"/>
          </w:tcPr>
          <w:p w:rsidR="006C7915" w:rsidRPr="006C7915" w:rsidRDefault="006C7915" w:rsidP="006C7915">
            <w:pPr>
              <w:cnfStyle w:val="000000000000" w:firstRow="0" w:lastRow="0" w:firstColumn="0" w:lastColumn="0" w:oddVBand="0" w:evenVBand="0" w:oddHBand="0" w:evenHBand="0" w:firstRowFirstColumn="0" w:firstRowLastColumn="0" w:lastRowFirstColumn="0" w:lastRowLastColumn="0"/>
            </w:pPr>
            <w:r w:rsidRPr="00255AE7">
              <w:t>10.83%</w:t>
            </w:r>
          </w:p>
        </w:tc>
        <w:tc>
          <w:tcPr>
            <w:tcW w:w="1250" w:type="pct"/>
          </w:tcPr>
          <w:p w:rsidR="006C7915" w:rsidRPr="006C7915" w:rsidRDefault="006C7915" w:rsidP="006C7915">
            <w:pPr>
              <w:cnfStyle w:val="000000000000" w:firstRow="0" w:lastRow="0" w:firstColumn="0" w:lastColumn="0" w:oddVBand="0" w:evenVBand="0" w:oddHBand="0" w:evenHBand="0" w:firstRowFirstColumn="0" w:firstRowLastColumn="0" w:lastRowFirstColumn="0" w:lastRowLastColumn="0"/>
            </w:pPr>
            <w:r w:rsidRPr="00255AE7">
              <w:t>9.89%</w:t>
            </w:r>
          </w:p>
        </w:tc>
        <w:tc>
          <w:tcPr>
            <w:tcW w:w="1249" w:type="pct"/>
          </w:tcPr>
          <w:p w:rsidR="006C7915" w:rsidRPr="006C7915" w:rsidRDefault="006C7915" w:rsidP="006C7915">
            <w:pPr>
              <w:cnfStyle w:val="000000000000" w:firstRow="0" w:lastRow="0" w:firstColumn="0" w:lastColumn="0" w:oddVBand="0" w:evenVBand="0" w:oddHBand="0" w:evenHBand="0" w:firstRowFirstColumn="0" w:firstRowLastColumn="0" w:lastRowFirstColumn="0" w:lastRowLastColumn="0"/>
            </w:pPr>
            <w:r w:rsidRPr="00255AE7">
              <w:t>7.1%</w:t>
            </w:r>
          </w:p>
        </w:tc>
      </w:tr>
    </w:tbl>
    <w:p w:rsidR="006C7915" w:rsidRPr="00255AE7" w:rsidRDefault="006C7915" w:rsidP="006C7915">
      <w:pPr>
        <w:pStyle w:val="AERtablesource"/>
      </w:pPr>
      <w:r w:rsidRPr="00255AE7">
        <w:t>Source:</w:t>
      </w:r>
      <w:r w:rsidRPr="00255AE7">
        <w:tab/>
        <w:t xml:space="preserve">AER analysis; ActewAGL, Appendix 5.01: Detailed response to rate of return, gamma and inflation, 6 January 2016; ActewAGL, Access Arrangement Information for the ACT, Queanbeyan and Palerang gas distribution network: Amended by order of the Australian Competition Tribunal, April 2010. </w:t>
      </w:r>
    </w:p>
    <w:p w:rsidR="006C7915" w:rsidRDefault="006C7915" w:rsidP="006C7915">
      <w:pPr>
        <w:pStyle w:val="AERtablesource"/>
      </w:pPr>
      <w:r>
        <w:t>*</w:t>
      </w:r>
      <w:r w:rsidRPr="00255AE7">
        <w:t xml:space="preserve"> </w:t>
      </w:r>
      <w:r w:rsidRPr="00255AE7">
        <w:tab/>
      </w:r>
      <w:r>
        <w:t xml:space="preserve">Calculated with </w:t>
      </w:r>
      <w:r w:rsidRPr="00255AE7">
        <w:t xml:space="preserve">a placeholder </w:t>
      </w:r>
      <w:r>
        <w:t>averaging period of</w:t>
      </w:r>
      <w:r w:rsidRPr="00255AE7">
        <w:t xml:space="preserve"> 20 business day</w:t>
      </w:r>
      <w:r>
        <w:t>s</w:t>
      </w:r>
      <w:r w:rsidRPr="00255AE7">
        <w:t xml:space="preserve"> to 30 September 2015.</w:t>
      </w:r>
    </w:p>
    <w:p w:rsidR="006C7915" w:rsidRPr="00184434" w:rsidRDefault="006C7915" w:rsidP="006C7915">
      <w:pPr>
        <w:pStyle w:val="AERtablesource"/>
      </w:pPr>
      <w:r>
        <w:t>**</w:t>
      </w:r>
      <w:r>
        <w:tab/>
        <w:t>Calculated with an averaging period of 20 business days up to 24 March agreed upon in advance of its commencement.</w:t>
      </w:r>
      <w:r w:rsidR="00FE2A0E">
        <w:t xml:space="preserve"> </w:t>
      </w:r>
    </w:p>
    <w:p w:rsidR="00737E50" w:rsidRPr="007A24FB" w:rsidRDefault="00737E50" w:rsidP="007131A1">
      <w:r>
        <w:t>Our final decision on the return on debt approach is to:</w:t>
      </w:r>
    </w:p>
    <w:p w:rsidR="006C7915" w:rsidRPr="006C7915" w:rsidRDefault="006C7915" w:rsidP="006C7915">
      <w:pPr>
        <w:pStyle w:val="AERbulletlistfirststyle"/>
      </w:pPr>
      <w:r>
        <w:t>estimate</w:t>
      </w:r>
      <w:r w:rsidRPr="006C7915">
        <w:t xml:space="preserve"> the return on debt using an on-the-day approach (that is, based on prevailing market conditions)</w:t>
      </w:r>
      <w:r w:rsidR="00F50842">
        <w:t xml:space="preserve"> </w:t>
      </w:r>
      <w:r w:rsidR="00AF66BF">
        <w:t>for</w:t>
      </w:r>
      <w:r w:rsidRPr="006C7915">
        <w:t xml:space="preserve"> the </w:t>
      </w:r>
      <w:r w:rsidR="00AF66BF">
        <w:t xml:space="preserve">interval-of-delay </w:t>
      </w:r>
      <w:r w:rsidRPr="006C7915">
        <w:t>(201</w:t>
      </w:r>
      <w:r w:rsidR="00AF66BF">
        <w:t>5</w:t>
      </w:r>
      <w:r w:rsidR="00AF66BF">
        <w:rPr>
          <w:rFonts w:cs="Arial"/>
        </w:rPr>
        <w:t>–</w:t>
      </w:r>
      <w:r w:rsidRPr="006C7915">
        <w:t>6), and</w:t>
      </w:r>
    </w:p>
    <w:p w:rsidR="00737E50" w:rsidRPr="007A24FB" w:rsidRDefault="00737E50" w:rsidP="00737E50">
      <w:pPr>
        <w:pStyle w:val="AERbulletlistfirststyle"/>
      </w:pPr>
      <w:r>
        <w:t>gradually transition</w:t>
      </w:r>
      <w:r w:rsidRPr="007A24FB">
        <w:t xml:space="preserve"> this </w:t>
      </w:r>
      <w:r w:rsidR="003C68FD">
        <w:t>approach</w:t>
      </w:r>
      <w:r w:rsidRPr="007A24FB">
        <w:t xml:space="preserve"> into a trailing average approach (that is, a moving historical average) over 10 years.</w:t>
      </w:r>
      <w:r w:rsidRPr="007A24FB">
        <w:rPr>
          <w:rStyle w:val="FootnoteReference"/>
        </w:rPr>
        <w:footnoteReference w:id="18"/>
      </w:r>
    </w:p>
    <w:p w:rsidR="00737E50" w:rsidRPr="00235F75" w:rsidRDefault="006B666A" w:rsidP="00737E50">
      <w:r w:rsidRPr="00F17A9D">
        <w:t xml:space="preserve">This gradual transition will occur through updating 10 per cent of the </w:t>
      </w:r>
      <w:r>
        <w:t xml:space="preserve">entire </w:t>
      </w:r>
      <w:r w:rsidRPr="00F17A9D">
        <w:t>return on debt each year to reflect prevailing market conditions in that year</w:t>
      </w:r>
      <w:r>
        <w:t xml:space="preserve"> (a full transition)</w:t>
      </w:r>
      <w:r w:rsidRPr="00F17A9D">
        <w:t>.</w:t>
      </w:r>
      <w:r>
        <w:rPr>
          <w:rStyle w:val="FootnoteReference"/>
        </w:rPr>
        <w:footnoteReference w:id="19"/>
      </w:r>
      <w:r w:rsidR="00737E50">
        <w:t xml:space="preserve"> This approach is consistent with the approached we proposed in the Guideline and adopted in the </w:t>
      </w:r>
      <w:r w:rsidR="00265B00">
        <w:t>draft decision</w:t>
      </w:r>
      <w:r w:rsidR="00737E50">
        <w:t xml:space="preserve">. </w:t>
      </w:r>
      <w:r w:rsidR="00737E50" w:rsidRPr="00235F75">
        <w:t xml:space="preserve">Our </w:t>
      </w:r>
      <w:r w:rsidR="00737E50">
        <w:t>final decision is to estimate the return on debt in each regulatory year by reference to</w:t>
      </w:r>
      <w:r w:rsidR="00737E50" w:rsidRPr="00235F75">
        <w:t>:</w:t>
      </w:r>
    </w:p>
    <w:p w:rsidR="00737E50" w:rsidRPr="007A24FB" w:rsidRDefault="00737E50" w:rsidP="00737E50">
      <w:pPr>
        <w:pStyle w:val="AERbulletlistfirststyle"/>
      </w:pPr>
      <w:r w:rsidRPr="00235F75">
        <w:t>a benchmark credit rating of BBB+</w:t>
      </w:r>
    </w:p>
    <w:p w:rsidR="00737E50" w:rsidRPr="007A24FB" w:rsidRDefault="00737E50" w:rsidP="00737E50">
      <w:pPr>
        <w:pStyle w:val="AERbulletlistfirststyle"/>
      </w:pPr>
      <w:r w:rsidRPr="00235F75">
        <w:t>a benchmark term of debt of 10 years</w:t>
      </w:r>
    </w:p>
    <w:p w:rsidR="00737E50" w:rsidRPr="007A24FB" w:rsidRDefault="00737E50" w:rsidP="00737E50">
      <w:pPr>
        <w:pStyle w:val="AERbulletlistfirststyle"/>
      </w:pPr>
      <w:r w:rsidRPr="00235F75">
        <w:t>indepen</w:t>
      </w:r>
      <w:r w:rsidRPr="007A24FB">
        <w:t xml:space="preserve">dent third party data series—specifically, a simple average of the broad BBB rated debt data series published by </w:t>
      </w:r>
      <w:r w:rsidR="006B666A">
        <w:t xml:space="preserve">the Reserve Bank of Australia (RBA) </w:t>
      </w:r>
      <w:r w:rsidRPr="007A24FB">
        <w:t>and Bloomberg, adjusted to reflect a 10 year estimate and other adjustments</w:t>
      </w:r>
      <w:r w:rsidR="006B666A">
        <w:t>.</w:t>
      </w:r>
      <w:r w:rsidRPr="007A24FB">
        <w:rPr>
          <w:rStyle w:val="FootnoteReference"/>
        </w:rPr>
        <w:footnoteReference w:id="20"/>
      </w:r>
    </w:p>
    <w:p w:rsidR="00737E50" w:rsidRPr="007A24FB" w:rsidRDefault="00737E50" w:rsidP="00737E50">
      <w:pPr>
        <w:pStyle w:val="AERbulletlistfirststyle"/>
      </w:pPr>
      <w:r w:rsidRPr="00235F75">
        <w:t>an</w:t>
      </w:r>
      <w:r w:rsidRPr="007A24FB">
        <w:t xml:space="preserve"> averaging period for each regulatory year of between 10 business days and 12 months (nominated by the service provider), with that period being consistent with certain conditions that we proposed in the Guideline.</w:t>
      </w:r>
      <w:r w:rsidRPr="007A24FB">
        <w:rPr>
          <w:rStyle w:val="FootnoteReference"/>
        </w:rPr>
        <w:footnoteReference w:id="21"/>
      </w:r>
    </w:p>
    <w:p w:rsidR="006B666A" w:rsidRDefault="006B666A" w:rsidP="006B666A">
      <w:pPr>
        <w:numPr>
          <w:ilvl w:val="0"/>
          <w:numId w:val="24"/>
        </w:numPr>
      </w:pPr>
      <w:r>
        <w:t>It is worth noting that the Tribunal recently reviewed several aspects of our approach to estimating the allowed return on debt in recent decisions for ActewAGL, Jemena Gas Networks and Networks NSW. Specifically, the Tribunal was asked to review:</w:t>
      </w:r>
    </w:p>
    <w:p w:rsidR="006B666A" w:rsidRPr="006B666A" w:rsidRDefault="006B666A" w:rsidP="006B666A">
      <w:pPr>
        <w:pStyle w:val="AERbulletlistfirststyle"/>
      </w:pPr>
      <w:r>
        <w:t>Whether a</w:t>
      </w:r>
      <w:r w:rsidRPr="006B666A">
        <w:t xml:space="preserve"> benchmark efficient entity would have a credit rating of BBB rather than BBB+. It upheld our decision to define a benchmark credit rating as a BBB+ credit rating.</w:t>
      </w:r>
      <w:r w:rsidRPr="006B666A">
        <w:rPr>
          <w:rStyle w:val="FootnoteReference"/>
        </w:rPr>
        <w:footnoteReference w:id="22"/>
      </w:r>
    </w:p>
    <w:p w:rsidR="006B666A" w:rsidRPr="006B666A" w:rsidRDefault="006B666A" w:rsidP="006B666A">
      <w:pPr>
        <w:pStyle w:val="AERbulletlistfirststyle"/>
      </w:pPr>
      <w:r>
        <w:t xml:space="preserve">Whether we should estimate </w:t>
      </w:r>
      <w:r w:rsidRPr="006B666A">
        <w:t>the allowed return on debt using the RBA data series alone or a simple average of the RBA and Bloomberg data series. It upheld our decision and found that, 'averaging of the two curves was an acceptable measure of the DRP'.</w:t>
      </w:r>
      <w:r w:rsidRPr="006B666A">
        <w:rPr>
          <w:rStyle w:val="FootnoteReference"/>
        </w:rPr>
        <w:footnoteReference w:id="23"/>
      </w:r>
    </w:p>
    <w:p w:rsidR="006B666A" w:rsidRPr="006B666A" w:rsidRDefault="006B666A" w:rsidP="006B666A">
      <w:pPr>
        <w:pStyle w:val="AERbulletlistfirststyle"/>
      </w:pPr>
      <w:r>
        <w:t>Whether we should transition all of the return on debt</w:t>
      </w:r>
      <w:r w:rsidRPr="006B666A">
        <w:rPr>
          <w:rStyle w:val="FootnoteReference"/>
        </w:rPr>
        <w:footnoteReference w:id="24"/>
      </w:r>
      <w:r w:rsidRPr="006B666A">
        <w:t xml:space="preserve"> from an on-the-day approach in the first regulatory year to a trailing average by updating 10 per cent of the debt portfolio over 10 years (a full transition). It remitted the determination back to us to make a constituent decision on introducing the trailing average approach in accordance with several reasons outlined in its decision.</w:t>
      </w:r>
      <w:r w:rsidRPr="006B666A">
        <w:rPr>
          <w:rStyle w:val="FootnoteReference"/>
        </w:rPr>
        <w:footnoteReference w:id="25"/>
      </w:r>
      <w:r w:rsidRPr="006B666A">
        <w:t xml:space="preserve"> We note the Tribunal's decision in section </w:t>
      </w:r>
      <w:r w:rsidR="004C5238">
        <w:fldChar w:fldCharType="begin"/>
      </w:r>
      <w:r w:rsidR="004C5238">
        <w:instrText xml:space="preserve"> REF _Ref451326913 \r \h </w:instrText>
      </w:r>
      <w:r w:rsidR="004C5238">
        <w:fldChar w:fldCharType="separate"/>
      </w:r>
      <w:r w:rsidR="001A023B">
        <w:t>3.4.2</w:t>
      </w:r>
      <w:r w:rsidR="004C5238">
        <w:fldChar w:fldCharType="end"/>
      </w:r>
      <w:r w:rsidR="004C5238">
        <w:t xml:space="preserve"> </w:t>
      </w:r>
      <w:r w:rsidRPr="006B666A">
        <w:t>and Appendix</w:t>
      </w:r>
      <w:r w:rsidR="004C5238">
        <w:t xml:space="preserve"> </w:t>
      </w:r>
      <w:r w:rsidR="004C5238">
        <w:fldChar w:fldCharType="begin"/>
      </w:r>
      <w:r w:rsidR="004C5238">
        <w:instrText xml:space="preserve"> REF _Ref451326927 \r \h </w:instrText>
      </w:r>
      <w:r w:rsidR="004C5238">
        <w:fldChar w:fldCharType="separate"/>
      </w:r>
      <w:r w:rsidR="001A023B">
        <w:t>H</w:t>
      </w:r>
      <w:r w:rsidR="004C5238">
        <w:fldChar w:fldCharType="end"/>
      </w:r>
      <w:r w:rsidRPr="006B666A">
        <w:t>.</w:t>
      </w:r>
    </w:p>
    <w:p w:rsidR="006B666A" w:rsidRDefault="006B666A" w:rsidP="006B666A">
      <w:pPr>
        <w:numPr>
          <w:ilvl w:val="0"/>
          <w:numId w:val="24"/>
        </w:numPr>
      </w:pPr>
      <w:r w:rsidRPr="00235F75">
        <w:t xml:space="preserve">In the </w:t>
      </w:r>
      <w:r>
        <w:t>Guideline</w:t>
      </w:r>
      <w:r w:rsidRPr="00235F75">
        <w:t>, we proposed to use one or more third party data series to estimate the return on debt.</w:t>
      </w:r>
      <w:r w:rsidRPr="00135F86">
        <w:rPr>
          <w:rStyle w:val="FootnoteReference"/>
        </w:rPr>
        <w:footnoteReference w:id="26"/>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submissions from service providers.</w:t>
      </w:r>
      <w:r>
        <w:rPr>
          <w:rStyle w:val="FootnoteReference"/>
        </w:rPr>
        <w:footnoteReference w:id="27"/>
      </w:r>
      <w:r w:rsidRPr="00235F75">
        <w:t xml:space="preserve"> </w:t>
      </w:r>
      <w:r>
        <w:t>In the</w:t>
      </w:r>
      <w:r w:rsidR="0025775E">
        <w:t xml:space="preserve"> draft</w:t>
      </w:r>
      <w:r>
        <w:t xml:space="preserve"> decision, w</w:t>
      </w:r>
      <w:r w:rsidRPr="00235F75">
        <w:t xml:space="preserve">e </w:t>
      </w:r>
      <w:r>
        <w:t xml:space="preserve">formed a view on this issue and adopted a simple average of the RBA and Bloomberg data series. Since then, </w:t>
      </w:r>
      <w:r w:rsidRPr="002E41F8">
        <w:t xml:space="preserve">several service providers </w:t>
      </w:r>
      <w:r>
        <w:t>have proposed</w:t>
      </w:r>
      <w:r w:rsidRPr="002E41F8">
        <w:t xml:space="preserve"> to adopt a Thomson Reuters 10 year yield curve in addition to or in place of </w:t>
      </w:r>
      <w:r>
        <w:t xml:space="preserve">the </w:t>
      </w:r>
      <w:r w:rsidRPr="002E41F8">
        <w:t xml:space="preserve">Bloomberg </w:t>
      </w:r>
      <w:r>
        <w:t>data series</w:t>
      </w:r>
      <w:r w:rsidRPr="002E41F8">
        <w:t xml:space="preserve">. </w:t>
      </w:r>
      <w:r>
        <w:t xml:space="preserve">We have considered these proposals but maintain our </w:t>
      </w:r>
      <w:r w:rsidR="0025775E">
        <w:t xml:space="preserve">draft </w:t>
      </w:r>
      <w:r>
        <w:t>decision position for reasons discussed in section</w:t>
      </w:r>
      <w:r w:rsidR="004C5238">
        <w:t xml:space="preserve"> </w:t>
      </w:r>
      <w:r w:rsidR="004C5238">
        <w:fldChar w:fldCharType="begin"/>
      </w:r>
      <w:r w:rsidR="004C5238">
        <w:instrText xml:space="preserve"> REF _Ref451326913 \r \h </w:instrText>
      </w:r>
      <w:r w:rsidR="004C5238">
        <w:fldChar w:fldCharType="separate"/>
      </w:r>
      <w:r w:rsidR="001A023B">
        <w:t>3.4.2</w:t>
      </w:r>
      <w:r w:rsidR="004C5238">
        <w:fldChar w:fldCharType="end"/>
      </w:r>
      <w:r>
        <w:t xml:space="preserve">. </w:t>
      </w:r>
    </w:p>
    <w:p w:rsidR="006B666A" w:rsidRPr="00874B16" w:rsidRDefault="006B666A" w:rsidP="006B666A">
      <w:r>
        <w:t xml:space="preserve">Our formula for automatically updating </w:t>
      </w:r>
      <w:r w:rsidRPr="00C6581F">
        <w:t>the return on debt</w:t>
      </w:r>
      <w:r w:rsidRPr="006C2A62">
        <w:t xml:space="preserve"> </w:t>
      </w:r>
      <w:r>
        <w:t xml:space="preserve">annually is set out in </w:t>
      </w:r>
      <w:r w:rsidR="004C5238">
        <w:rPr>
          <w:rStyle w:val="AERbody"/>
        </w:rPr>
        <w:t xml:space="preserve">Appendix </w:t>
      </w:r>
      <w:r w:rsidR="004C5238">
        <w:rPr>
          <w:rStyle w:val="AERbody"/>
        </w:rPr>
        <w:fldChar w:fldCharType="begin"/>
      </w:r>
      <w:r w:rsidR="004C5238">
        <w:rPr>
          <w:rStyle w:val="AERbody"/>
        </w:rPr>
        <w:instrText xml:space="preserve"> REF _Ref451326940 \r \h </w:instrText>
      </w:r>
      <w:r w:rsidR="004C5238">
        <w:rPr>
          <w:rStyle w:val="AERbody"/>
        </w:rPr>
      </w:r>
      <w:r w:rsidR="004C5238">
        <w:rPr>
          <w:rStyle w:val="AERbody"/>
        </w:rPr>
        <w:fldChar w:fldCharType="separate"/>
      </w:r>
      <w:r w:rsidR="001A023B">
        <w:rPr>
          <w:rStyle w:val="AERbody"/>
        </w:rPr>
        <w:t>J</w:t>
      </w:r>
      <w:r w:rsidR="004C5238">
        <w:rPr>
          <w:rStyle w:val="AERbody"/>
        </w:rPr>
        <w:fldChar w:fldCharType="end"/>
      </w:r>
      <w:r w:rsidRPr="009114E9">
        <w:rPr>
          <w:rStyle w:val="AERbody"/>
        </w:rPr>
        <w:t xml:space="preserve"> of</w:t>
      </w:r>
      <w:r>
        <w:t xml:space="preserve"> this decision.</w:t>
      </w:r>
    </w:p>
    <w:p w:rsidR="00737E50" w:rsidRDefault="00737E50" w:rsidP="00737E50">
      <w:pPr>
        <w:pStyle w:val="Heading2"/>
      </w:pPr>
      <w:bookmarkStart w:id="16" w:name="_Toc437001926"/>
      <w:bookmarkStart w:id="17" w:name="_Toc451945466"/>
      <w:r>
        <w:t>ActewAGL's revised proposal</w:t>
      </w:r>
      <w:bookmarkEnd w:id="16"/>
      <w:bookmarkEnd w:id="17"/>
    </w:p>
    <w:p w:rsidR="00737E50" w:rsidRDefault="00737E50" w:rsidP="00737E50">
      <w:pPr>
        <w:pStyle w:val="HeadingBoldBlue"/>
        <w:numPr>
          <w:ilvl w:val="0"/>
          <w:numId w:val="24"/>
        </w:numPr>
      </w:pPr>
      <w:bookmarkStart w:id="18" w:name="_Toc430178091"/>
      <w:bookmarkStart w:id="19" w:name="_Toc430178372"/>
      <w:r>
        <w:t>Return on equity</w:t>
      </w:r>
      <w:bookmarkEnd w:id="18"/>
      <w:bookmarkEnd w:id="19"/>
    </w:p>
    <w:p w:rsidR="00737E50" w:rsidRDefault="00737E50" w:rsidP="00737E50">
      <w:pPr>
        <w:numPr>
          <w:ilvl w:val="0"/>
          <w:numId w:val="24"/>
        </w:numPr>
      </w:pPr>
      <w:r>
        <w:t>ActewAGL</w:t>
      </w:r>
      <w:r w:rsidRPr="00F1535D">
        <w:t xml:space="preserve"> proposed a</w:t>
      </w:r>
      <w:r>
        <w:t xml:space="preserve"> return on equity estimate of </w:t>
      </w:r>
      <w:r w:rsidR="007131A1">
        <w:t>9.89</w:t>
      </w:r>
      <w:r>
        <w:t xml:space="preserve"> </w:t>
      </w:r>
      <w:r w:rsidRPr="00F1535D">
        <w:t>per cent</w:t>
      </w:r>
      <w:r>
        <w:t>.</w:t>
      </w:r>
      <w:r>
        <w:rPr>
          <w:rStyle w:val="FootnoteReference"/>
        </w:rPr>
        <w:footnoteReference w:id="28"/>
      </w:r>
      <w:r>
        <w:t xml:space="preserve"> This is based on a foundation model approach with parameter uplifts that incorporate information from a multiple model approach.</w:t>
      </w:r>
      <w:r>
        <w:rPr>
          <w:rStyle w:val="FootnoteReference"/>
        </w:rPr>
        <w:footnoteReference w:id="29"/>
      </w:r>
      <w:r>
        <w:t xml:space="preserve"> While presented differently, this is practically similar to ActewAGL's initial proposed return on equity estimate, which was based on a multi-model approach</w:t>
      </w:r>
      <w:r w:rsidRPr="00F1535D">
        <w:t>.</w:t>
      </w:r>
      <w:r>
        <w:rPr>
          <w:rStyle w:val="FootnoteReference"/>
        </w:rPr>
        <w:footnoteReference w:id="30"/>
      </w:r>
    </w:p>
    <w:p w:rsidR="00737E50" w:rsidRDefault="00737E50" w:rsidP="00737E50">
      <w:pPr>
        <w:pStyle w:val="HeadingBoldBlue"/>
        <w:numPr>
          <w:ilvl w:val="0"/>
          <w:numId w:val="24"/>
        </w:numPr>
      </w:pPr>
      <w:bookmarkStart w:id="20" w:name="_Toc430178092"/>
      <w:bookmarkStart w:id="21" w:name="_Toc430178373"/>
      <w:r>
        <w:t xml:space="preserve">Return on debt </w:t>
      </w:r>
      <w:bookmarkEnd w:id="20"/>
      <w:bookmarkEnd w:id="21"/>
    </w:p>
    <w:p w:rsidR="00737E50" w:rsidRDefault="00737E50" w:rsidP="00737E50">
      <w:r>
        <w:t xml:space="preserve">In its revised </w:t>
      </w:r>
      <w:r w:rsidR="0025775E">
        <w:t xml:space="preserve">access arrangement </w:t>
      </w:r>
      <w:r>
        <w:t>proposal, ActewAGL</w:t>
      </w:r>
      <w:r w:rsidRPr="00F1535D">
        <w:t xml:space="preserve"> </w:t>
      </w:r>
      <w:r>
        <w:t xml:space="preserve">proposed to depart from the position in its </w:t>
      </w:r>
      <w:r w:rsidR="00265B00">
        <w:t>(initial) access arrangement proposal</w:t>
      </w:r>
      <w:r>
        <w:t xml:space="preserve"> on how to transition from the on-the-day approach to trailing average approach. ActewAGL</w:t>
      </w:r>
      <w:r w:rsidRPr="00F1535D">
        <w:t xml:space="preserve"> </w:t>
      </w:r>
      <w:r w:rsidR="008811C0">
        <w:t xml:space="preserve">previously proposed to calculate its </w:t>
      </w:r>
      <w:r w:rsidR="008811C0" w:rsidRPr="00D77A5F">
        <w:t xml:space="preserve">return on debt using a </w:t>
      </w:r>
      <w:r w:rsidR="008811C0">
        <w:t xml:space="preserve">hybrid transition which combines a gradual transition of the base rate with a </w:t>
      </w:r>
      <w:r w:rsidR="008811C0" w:rsidRPr="00D77A5F">
        <w:t>backwards looking</w:t>
      </w:r>
      <w:r w:rsidR="008811C0">
        <w:t xml:space="preserve"> trailing average debt risk premium (DRP)</w:t>
      </w:r>
      <w:r w:rsidRPr="00D77A5F">
        <w:t>.</w:t>
      </w:r>
      <w:r w:rsidR="00D66260">
        <w:rPr>
          <w:rStyle w:val="FootnoteReference"/>
        </w:rPr>
        <w:footnoteReference w:id="31"/>
      </w:r>
      <w:r w:rsidRPr="00D77A5F">
        <w:t xml:space="preserve"> </w:t>
      </w:r>
      <w:r>
        <w:t xml:space="preserve">However, it now proposes an immediate transition to a trailing average, using both a backwards looking base rate and </w:t>
      </w:r>
      <w:r w:rsidR="0025775E">
        <w:t>DRP</w:t>
      </w:r>
      <w:r>
        <w:t>. As such, ActewAGL</w:t>
      </w:r>
      <w:r w:rsidRPr="00F1535D">
        <w:t xml:space="preserve"> </w:t>
      </w:r>
      <w:r>
        <w:t xml:space="preserve">proposed a return on debt estimate of </w:t>
      </w:r>
      <w:r w:rsidR="00B258A1">
        <w:t xml:space="preserve">7.81 per cent for the interval-of-delay and </w:t>
      </w:r>
      <w:r>
        <w:t>7.</w:t>
      </w:r>
      <w:r w:rsidR="00D66260">
        <w:t>7</w:t>
      </w:r>
      <w:r>
        <w:t xml:space="preserve"> per cent for regulatory year 2016</w:t>
      </w:r>
      <w:r w:rsidR="00D66260">
        <w:rPr>
          <w:rFonts w:cs="Arial"/>
        </w:rPr>
        <w:t>–</w:t>
      </w:r>
      <w:r w:rsidR="00D66260">
        <w:t>17</w:t>
      </w:r>
      <w:r>
        <w:t>.</w:t>
      </w:r>
      <w:r>
        <w:rPr>
          <w:rStyle w:val="FootnoteReference"/>
        </w:rPr>
        <w:footnoteReference w:id="32"/>
      </w:r>
    </w:p>
    <w:p w:rsidR="00737E50" w:rsidRDefault="00737E50" w:rsidP="00737E50">
      <w:pPr>
        <w:numPr>
          <w:ilvl w:val="0"/>
          <w:numId w:val="24"/>
        </w:numPr>
      </w:pPr>
      <w:r>
        <w:t>In implementing the return on debt, ActewAGL</w:t>
      </w:r>
      <w:r w:rsidRPr="00F1535D">
        <w:t xml:space="preserve"> </w:t>
      </w:r>
      <w:r>
        <w:t>proposed:</w:t>
      </w:r>
      <w:r w:rsidR="00A26A41" w:rsidRPr="007A24FB">
        <w:rPr>
          <w:rStyle w:val="FootnoteReference"/>
        </w:rPr>
        <w:footnoteReference w:id="33"/>
      </w:r>
    </w:p>
    <w:p w:rsidR="00737E50" w:rsidRPr="007A24FB" w:rsidRDefault="00737E50" w:rsidP="00737E50">
      <w:pPr>
        <w:pStyle w:val="AERbulletlistfirststyle"/>
      </w:pPr>
      <w:r w:rsidRPr="00487B86">
        <w:t xml:space="preserve">a </w:t>
      </w:r>
      <w:r w:rsidRPr="007A24FB">
        <w:t>10 year term and BBB</w:t>
      </w:r>
      <w:r w:rsidR="00D66260">
        <w:t xml:space="preserve"> to BBB+</w:t>
      </w:r>
      <w:r w:rsidRPr="007A24FB">
        <w:t xml:space="preserve"> credit rating be used which is different to the BBB+ rating we proposed in the Guideline,</w:t>
      </w:r>
      <w:r w:rsidRPr="007A24FB">
        <w:rPr>
          <w:rStyle w:val="FootnoteReference"/>
        </w:rPr>
        <w:t xml:space="preserve"> </w:t>
      </w:r>
      <w:r w:rsidRPr="007A24FB">
        <w:t xml:space="preserve">and </w:t>
      </w:r>
    </w:p>
    <w:p w:rsidR="00737E50" w:rsidRPr="007A24FB" w:rsidRDefault="00737E50" w:rsidP="00737E50">
      <w:pPr>
        <w:pStyle w:val="AERbulletlistfirststyle"/>
      </w:pPr>
      <w:r w:rsidRPr="00A14E4E">
        <w:t xml:space="preserve">using a </w:t>
      </w:r>
      <w:r w:rsidR="00D66260">
        <w:t>pre-defined</w:t>
      </w:r>
      <w:r w:rsidRPr="00A14E4E">
        <w:t xml:space="preserve"> method for selecting the third-party data source and extrapolation method</w:t>
      </w:r>
      <w:r w:rsidRPr="007A24FB">
        <w:t xml:space="preserve"> to use in each year of the </w:t>
      </w:r>
      <w:r w:rsidR="00757F7C">
        <w:t>access arrangement</w:t>
      </w:r>
      <w:r w:rsidRPr="007A24FB">
        <w:t xml:space="preserve"> period.</w:t>
      </w:r>
    </w:p>
    <w:p w:rsidR="00737E50" w:rsidRDefault="00737E50" w:rsidP="00737E50">
      <w:pPr>
        <w:pStyle w:val="Heading2"/>
      </w:pPr>
      <w:bookmarkStart w:id="22" w:name="_Toc437001927"/>
      <w:bookmarkStart w:id="23" w:name="_Toc451945467"/>
      <w:r>
        <w:t>Assessment approach</w:t>
      </w:r>
      <w:bookmarkEnd w:id="22"/>
      <w:bookmarkEnd w:id="23"/>
    </w:p>
    <w:p w:rsidR="005C1DB5" w:rsidRDefault="005C1DB5" w:rsidP="005C1DB5">
      <w:pPr>
        <w:numPr>
          <w:ilvl w:val="0"/>
          <w:numId w:val="24"/>
        </w:numPr>
      </w:pPr>
      <w:bookmarkStart w:id="24" w:name="_Toc403144139"/>
      <w:r>
        <w:t>The National Electricity Law/National Gas Law (NEL/NGL) and rules (NER/NGR) form our framework for determining the rate of return. The key components of this framework include:</w:t>
      </w:r>
    </w:p>
    <w:p w:rsidR="005C1DB5" w:rsidRPr="005C1DB5" w:rsidRDefault="005C1DB5" w:rsidP="005C1DB5">
      <w:pPr>
        <w:pStyle w:val="AERbulletlistfirststyle"/>
      </w:pPr>
      <w:r>
        <w:t>national electricity/gas objective (NEO/NGO) and the RPPs in the</w:t>
      </w:r>
      <w:r w:rsidRPr="005C1DB5">
        <w:t xml:space="preserve"> NEL/NGL.</w:t>
      </w:r>
    </w:p>
    <w:p w:rsidR="005C1DB5" w:rsidRPr="005C1DB5" w:rsidRDefault="005C1DB5" w:rsidP="005C1DB5">
      <w:pPr>
        <w:pStyle w:val="AERbulletlistfirststyle"/>
      </w:pPr>
      <w:r>
        <w:t>the overall rate of return</w:t>
      </w:r>
      <w:r w:rsidRPr="005C1DB5">
        <w:t>―consisting of the allowed return on equity and debt</w:t>
      </w:r>
    </w:p>
    <w:p w:rsidR="005C1DB5" w:rsidRDefault="005C1DB5" w:rsidP="005C1DB5">
      <w:pPr>
        <w:pStyle w:val="AERbulletlistfirststyle"/>
      </w:pPr>
      <w:r>
        <w:t>the ARORO and its elements</w:t>
      </w:r>
    </w:p>
    <w:p w:rsidR="005C1DB5" w:rsidRDefault="005C1DB5" w:rsidP="005C1DB5">
      <w:pPr>
        <w:pStyle w:val="AERbulletlistfirststyle"/>
      </w:pPr>
      <w:r>
        <w:t>return on debt factors</w:t>
      </w:r>
    </w:p>
    <w:p w:rsidR="005C1DB5" w:rsidRPr="005C1DB5" w:rsidRDefault="005C1DB5" w:rsidP="005C1DB5">
      <w:pPr>
        <w:pStyle w:val="AERbulletlistfirststyle"/>
      </w:pPr>
      <w:r>
        <w:t>considering i</w:t>
      </w:r>
      <w:r w:rsidRPr="005C1DB5">
        <w:t>nterrelationships within the rate of return</w:t>
      </w:r>
    </w:p>
    <w:p w:rsidR="005C1DB5" w:rsidRPr="005C1DB5" w:rsidRDefault="005C1DB5" w:rsidP="005C1DB5">
      <w:pPr>
        <w:pStyle w:val="AERbulletlistfirststyle"/>
      </w:pPr>
      <w:r>
        <w:t xml:space="preserve">use of the </w:t>
      </w:r>
      <w:r w:rsidRPr="005C1DB5">
        <w:t xml:space="preserve">Guideline </w:t>
      </w:r>
    </w:p>
    <w:p w:rsidR="005C1DB5" w:rsidRDefault="005C1DB5" w:rsidP="00737E50">
      <w:pPr>
        <w:pStyle w:val="AERbulletlistfirststyle"/>
      </w:pPr>
      <w:r>
        <w:t>consideration of information before us.</w:t>
      </w:r>
    </w:p>
    <w:p w:rsidR="005C1DB5" w:rsidRPr="003337B3" w:rsidRDefault="005C1DB5" w:rsidP="005C1DB5">
      <w:pPr>
        <w:pStyle w:val="Heading3"/>
      </w:pPr>
      <w:bookmarkStart w:id="25" w:name="_Toc450917352"/>
      <w:bookmarkStart w:id="26" w:name="_Toc451945468"/>
      <w:r>
        <w:t>National gas law</w:t>
      </w:r>
      <w:bookmarkEnd w:id="25"/>
      <w:bookmarkEnd w:id="26"/>
    </w:p>
    <w:p w:rsidR="005C1DB5" w:rsidRPr="00762AAF" w:rsidRDefault="005C1DB5" w:rsidP="005C1DB5">
      <w:pPr>
        <w:numPr>
          <w:ilvl w:val="0"/>
          <w:numId w:val="24"/>
        </w:numPr>
      </w:pPr>
      <w:r w:rsidRPr="00762AAF">
        <w:t xml:space="preserve">In performing or exercising an economic regulatory function or power, we must do so in a manner that will or is likely to contribute to the </w:t>
      </w:r>
      <w:r>
        <w:t>NGO</w:t>
      </w:r>
      <w:r w:rsidRPr="00762AAF">
        <w:t>.</w:t>
      </w:r>
      <w:r w:rsidRPr="00762AAF">
        <w:rPr>
          <w:rStyle w:val="FootnoteReference"/>
        </w:rPr>
        <w:footnoteReference w:id="34"/>
      </w:r>
      <w:r w:rsidRPr="00762AAF">
        <w:t xml:space="preserve"> The </w:t>
      </w:r>
      <w:r>
        <w:t>NGO</w:t>
      </w:r>
      <w:r w:rsidRPr="00762AAF">
        <w:t xml:space="preserve"> states:</w:t>
      </w:r>
      <w:r>
        <w:rPr>
          <w:rStyle w:val="FootnoteReference"/>
        </w:rPr>
        <w:footnoteReference w:id="35"/>
      </w:r>
    </w:p>
    <w:p w:rsidR="005C1DB5" w:rsidRPr="00762AAF" w:rsidRDefault="005C1DB5" w:rsidP="005C1DB5">
      <w:pPr>
        <w:pStyle w:val="AERquote"/>
      </w:pPr>
      <w:r w:rsidRPr="00762AAF">
        <w:t xml:space="preserve">The objective of this Law is to promote efficient investment in, and efficient operation and use of, </w:t>
      </w:r>
      <w:r>
        <w:t>natural gas</w:t>
      </w:r>
      <w:r w:rsidRPr="00762AAF">
        <w:t xml:space="preserve"> services for the long term interests of consumers of </w:t>
      </w:r>
      <w:r>
        <w:t xml:space="preserve">natural gas </w:t>
      </w:r>
      <w:r w:rsidRPr="00762AAF">
        <w:t>with respect to</w:t>
      </w:r>
      <w:r>
        <w:t xml:space="preserve"> </w:t>
      </w:r>
      <w:r w:rsidRPr="00762AAF">
        <w:t xml:space="preserve">price, quality, safety, reliability and security of supply of </w:t>
      </w:r>
      <w:r>
        <w:t>natural gas</w:t>
      </w:r>
      <w:r w:rsidRPr="00762AAF">
        <w:t xml:space="preserve">. </w:t>
      </w:r>
    </w:p>
    <w:p w:rsidR="005C1DB5" w:rsidRDefault="005C1DB5" w:rsidP="005C1DB5">
      <w:pPr>
        <w:numPr>
          <w:ilvl w:val="0"/>
          <w:numId w:val="24"/>
        </w:numPr>
      </w:pPr>
      <w:r>
        <w:t>When we make an access arrangement decision</w:t>
      </w:r>
      <w:r w:rsidRPr="00762AAF">
        <w:t xml:space="preserve">, </w:t>
      </w:r>
      <w:r>
        <w:t>and set</w:t>
      </w:r>
      <w:r w:rsidRPr="00762AAF">
        <w:t xml:space="preserve"> the rate of return </w:t>
      </w:r>
      <w:r>
        <w:t xml:space="preserve">we are exercising </w:t>
      </w:r>
      <w:r w:rsidRPr="00762AAF">
        <w:t>economic regulatory function</w:t>
      </w:r>
      <w:r>
        <w:t>s</w:t>
      </w:r>
      <w:r w:rsidRPr="00762AAF">
        <w:t xml:space="preserve"> or power</w:t>
      </w:r>
      <w:r>
        <w:t>s</w:t>
      </w:r>
      <w:r w:rsidRPr="00762AAF">
        <w:t xml:space="preserve">. </w:t>
      </w:r>
    </w:p>
    <w:p w:rsidR="005C1DB5" w:rsidRDefault="005C1DB5" w:rsidP="005C1DB5">
      <w:pPr>
        <w:numPr>
          <w:ilvl w:val="0"/>
          <w:numId w:val="24"/>
        </w:numPr>
      </w:pPr>
      <w:r w:rsidRPr="00762AAF">
        <w:t xml:space="preserve">In addition, we </w:t>
      </w:r>
      <w:r>
        <w:t xml:space="preserve">must </w:t>
      </w:r>
      <w:r w:rsidRPr="00762AAF">
        <w:t xml:space="preserve">take into account the </w:t>
      </w:r>
      <w:r>
        <w:t>RPPs</w:t>
      </w:r>
      <w:r w:rsidRPr="00762AAF">
        <w:t xml:space="preserve"> when </w:t>
      </w:r>
      <w:r>
        <w:t xml:space="preserve">we </w:t>
      </w:r>
      <w:r w:rsidRPr="00762AAF">
        <w:t>exercis</w:t>
      </w:r>
      <w:r>
        <w:t>e</w:t>
      </w:r>
      <w:r w:rsidRPr="00762AAF">
        <w:t xml:space="preserve"> discretion.</w:t>
      </w:r>
      <w:r w:rsidRPr="00762AAF">
        <w:rPr>
          <w:rStyle w:val="FootnoteReference"/>
        </w:rPr>
        <w:footnoteReference w:id="36"/>
      </w:r>
      <w:r w:rsidRPr="00762AAF">
        <w:t xml:space="preserve"> In the context of the rate of return decision, we take particular account of the following </w:t>
      </w:r>
      <w:r>
        <w:t>RPPs:</w:t>
      </w:r>
    </w:p>
    <w:p w:rsidR="005C1DB5" w:rsidRPr="007A24FB" w:rsidRDefault="005C1DB5" w:rsidP="005C1DB5">
      <w:pPr>
        <w:pStyle w:val="AERbulletlistfirststyle"/>
      </w:pPr>
      <w:r w:rsidRPr="00762AAF">
        <w:t xml:space="preserve">A service provider should have a reasonable opportunity to recover at least the efficient costs that the operator (benchmark efficient entity) incurs in providing </w:t>
      </w:r>
      <w:r>
        <w:t>reference</w:t>
      </w:r>
      <w:r w:rsidRPr="00762AAF">
        <w:t xml:space="preserve"> services.</w:t>
      </w:r>
      <w:r w:rsidRPr="007A24FB">
        <w:rPr>
          <w:rStyle w:val="FootnoteReference"/>
        </w:rPr>
        <w:footnoteReference w:id="37"/>
      </w:r>
    </w:p>
    <w:p w:rsidR="005C1DB5" w:rsidRPr="007A24FB" w:rsidRDefault="005C1DB5" w:rsidP="005C1DB5">
      <w:pPr>
        <w:pStyle w:val="AERbulletlistfirststyle"/>
      </w:pPr>
      <w:r w:rsidRPr="00762AAF">
        <w:t xml:space="preserve">A service provider should have effective incentives to promote economic efficiency in the </w:t>
      </w:r>
      <w:r>
        <w:t>reference</w:t>
      </w:r>
      <w:r w:rsidRPr="00762AAF">
        <w:t xml:space="preserve"> services that it provides. That economic efficiency should include efficient investment in</w:t>
      </w:r>
      <w:r>
        <w:t xml:space="preserve"> (or in connection with) a pipeline with which it provides reference services</w:t>
      </w:r>
      <w:r w:rsidRPr="00762AAF">
        <w:t xml:space="preserve">, efficient provision of </w:t>
      </w:r>
      <w:r>
        <w:t>pipeline</w:t>
      </w:r>
      <w:r w:rsidRPr="00762AAF">
        <w:t xml:space="preserve"> services, and the efficient use of the </w:t>
      </w:r>
      <w:r>
        <w:t>pipeline</w:t>
      </w:r>
      <w:r w:rsidRPr="00762AAF">
        <w:t>.</w:t>
      </w:r>
      <w:r w:rsidRPr="007A24FB">
        <w:rPr>
          <w:rStyle w:val="FootnoteReference"/>
        </w:rPr>
        <w:footnoteReference w:id="38"/>
      </w:r>
      <w:r w:rsidRPr="007A24FB">
        <w:rPr>
          <w:rStyle w:val="FootnoteReference"/>
        </w:rPr>
        <w:t xml:space="preserve"> </w:t>
      </w:r>
    </w:p>
    <w:p w:rsidR="005C1DB5" w:rsidRPr="007A24FB" w:rsidRDefault="005C1DB5" w:rsidP="005C1DB5">
      <w:pPr>
        <w:pStyle w:val="AERbulletlistfirststyle"/>
      </w:pPr>
      <w:r w:rsidRPr="00762AAF">
        <w:t xml:space="preserve">A </w:t>
      </w:r>
      <w:r>
        <w:t>reference tariff</w:t>
      </w:r>
      <w:r w:rsidRPr="00762AAF">
        <w:t xml:space="preserve"> should allow for a return </w:t>
      </w:r>
      <w:r>
        <w:t>commensurate with the</w:t>
      </w:r>
      <w:r w:rsidRPr="00762AAF">
        <w:t xml:space="preserve"> regulatory and commercial risks </w:t>
      </w:r>
      <w:r>
        <w:t xml:space="preserve">involved in </w:t>
      </w:r>
      <w:r w:rsidRPr="00762AAF">
        <w:t xml:space="preserve">providing the </w:t>
      </w:r>
      <w:r>
        <w:t>reference</w:t>
      </w:r>
      <w:r w:rsidRPr="00762AAF">
        <w:t xml:space="preserve"> service </w:t>
      </w:r>
      <w:r>
        <w:t xml:space="preserve">to which </w:t>
      </w:r>
      <w:r w:rsidRPr="00762AAF">
        <w:t xml:space="preserve">that </w:t>
      </w:r>
      <w:r>
        <w:t>tariff</w:t>
      </w:r>
      <w:r w:rsidRPr="00762AAF">
        <w:t xml:space="preserve"> relates.</w:t>
      </w:r>
      <w:r w:rsidRPr="007A24FB">
        <w:rPr>
          <w:rStyle w:val="FootnoteReference"/>
        </w:rPr>
        <w:footnoteReference w:id="39"/>
      </w:r>
    </w:p>
    <w:p w:rsidR="005C1DB5" w:rsidRPr="007A24FB" w:rsidRDefault="005C1DB5" w:rsidP="005C1DB5">
      <w:pPr>
        <w:pStyle w:val="AERbulletlistfirststyle"/>
      </w:pPr>
      <w:r>
        <w:t>Regard should be had to t</w:t>
      </w:r>
      <w:r w:rsidRPr="00762AAF">
        <w:t xml:space="preserve">he economic costs and risks of the potential for under or over investment by a service provider in a </w:t>
      </w:r>
      <w:r>
        <w:t>pipeline with which the</w:t>
      </w:r>
      <w:r w:rsidRPr="00762AAF">
        <w:t xml:space="preserve"> service provider </w:t>
      </w:r>
      <w:r>
        <w:t>provides pipeline</w:t>
      </w:r>
      <w:r w:rsidRPr="00762AAF">
        <w:t xml:space="preserve"> services.</w:t>
      </w:r>
      <w:r w:rsidRPr="007A24FB">
        <w:rPr>
          <w:rStyle w:val="FootnoteReference"/>
        </w:rPr>
        <w:footnoteReference w:id="40"/>
      </w:r>
      <w:r w:rsidRPr="007A24FB">
        <w:t xml:space="preserve"> </w:t>
      </w:r>
    </w:p>
    <w:p w:rsidR="005C1DB5" w:rsidRPr="005C1DB5" w:rsidRDefault="005C1DB5" w:rsidP="005C1DB5">
      <w:pPr>
        <w:pStyle w:val="AERbulletlistfirststyle"/>
      </w:pPr>
      <w:r>
        <w:t>Regard should be had to t</w:t>
      </w:r>
      <w:r w:rsidRPr="00762AAF">
        <w:t xml:space="preserve">he economic costs and risks of the potential for under or over utilisation of a </w:t>
      </w:r>
      <w:r>
        <w:t>pipeline with which</w:t>
      </w:r>
      <w:r w:rsidRPr="00762AAF">
        <w:t xml:space="preserve"> </w:t>
      </w:r>
      <w:r>
        <w:t xml:space="preserve">the </w:t>
      </w:r>
      <w:r w:rsidRPr="00762AAF">
        <w:t>service provider provide</w:t>
      </w:r>
      <w:r>
        <w:t xml:space="preserve">s pipeline </w:t>
      </w:r>
      <w:r w:rsidRPr="00762AAF">
        <w:t>services.</w:t>
      </w:r>
      <w:r w:rsidRPr="007A24FB">
        <w:rPr>
          <w:rStyle w:val="FootnoteReference"/>
        </w:rPr>
        <w:footnoteReference w:id="41"/>
      </w:r>
      <w:r>
        <w:t xml:space="preserve"> </w:t>
      </w:r>
    </w:p>
    <w:p w:rsidR="005C1DB5" w:rsidRPr="003337B3" w:rsidRDefault="005C1DB5" w:rsidP="005C1DB5">
      <w:pPr>
        <w:pStyle w:val="Heading3"/>
      </w:pPr>
      <w:bookmarkStart w:id="27" w:name="_Toc450917353"/>
      <w:bookmarkStart w:id="28" w:name="_Toc451945469"/>
      <w:r>
        <w:t>The overall rate of return</w:t>
      </w:r>
      <w:bookmarkEnd w:id="27"/>
      <w:bookmarkEnd w:id="28"/>
    </w:p>
    <w:p w:rsidR="005C1DB5" w:rsidRDefault="005C1DB5" w:rsidP="005C1DB5">
      <w:pPr>
        <w:numPr>
          <w:ilvl w:val="0"/>
          <w:numId w:val="24"/>
        </w:numPr>
      </w:pPr>
      <w:r w:rsidRPr="003248EB">
        <w:t>The</w:t>
      </w:r>
      <w:r>
        <w:t xml:space="preserve"> rules </w:t>
      </w:r>
      <w:r w:rsidR="0025775E">
        <w:t xml:space="preserve">(that is, both the NER and NGR) </w:t>
      </w:r>
      <w:r>
        <w:t>require we determine the</w:t>
      </w:r>
      <w:r w:rsidRPr="003248EB">
        <w:t xml:space="preserve"> allowed rate of return for a regulatory year </w:t>
      </w:r>
      <w:r>
        <w:t xml:space="preserve">as </w:t>
      </w:r>
      <w:r w:rsidRPr="003248EB">
        <w:t xml:space="preserve">a weighted average of the return on equity for the </w:t>
      </w:r>
      <w:r w:rsidR="0025775E">
        <w:t>access arrangement</w:t>
      </w:r>
      <w:r>
        <w:t xml:space="preserve"> period </w:t>
      </w:r>
      <w:r w:rsidR="00EF1896">
        <w:t xml:space="preserve">or regulatory control period </w:t>
      </w:r>
      <w:r w:rsidRPr="003248EB">
        <w:t>in which that regulatory year occurs and the return o</w:t>
      </w:r>
      <w:r>
        <w:t>n debt for that regulatory year. This must be determined on a nominal vanilla basis that is consistent with the estimate of the value of imputation credits.</w:t>
      </w:r>
      <w:r w:rsidRPr="00D5405B">
        <w:rPr>
          <w:rStyle w:val="FootnoteReference"/>
        </w:rPr>
        <w:footnoteReference w:id="42"/>
      </w:r>
      <w:r>
        <w:t xml:space="preserve"> </w:t>
      </w:r>
      <w:r w:rsidRPr="00E75E61">
        <w:t xml:space="preserve">In </w:t>
      </w:r>
      <w:r>
        <w:t>determining</w:t>
      </w:r>
      <w:r w:rsidRPr="00E75E61">
        <w:t xml:space="preserve"> the allowed rate of return, </w:t>
      </w:r>
      <w:r>
        <w:t xml:space="preserve">we must have regard to </w:t>
      </w:r>
      <w:r w:rsidRPr="00E75E61">
        <w:t>the desirability of consistent application of financi</w:t>
      </w:r>
      <w:r>
        <w:t>al parameters that are relevant or common to</w:t>
      </w:r>
      <w:r w:rsidRPr="00E75E61">
        <w:t xml:space="preserve"> the return on equity and debt</w:t>
      </w:r>
      <w:r>
        <w:t>.</w:t>
      </w:r>
      <w:r>
        <w:rPr>
          <w:rStyle w:val="FootnoteReference"/>
        </w:rPr>
        <w:footnoteReference w:id="43"/>
      </w:r>
    </w:p>
    <w:p w:rsidR="005C1DB5" w:rsidRDefault="005C1DB5" w:rsidP="005C1DB5">
      <w:pPr>
        <w:numPr>
          <w:ilvl w:val="0"/>
          <w:numId w:val="24"/>
        </w:numPr>
      </w:pPr>
      <w:r>
        <w:t>The rules require that we estimate the return on equity</w:t>
      </w:r>
      <w:r w:rsidRPr="00D14E31">
        <w:t xml:space="preserve"> for a</w:t>
      </w:r>
      <w:r w:rsidR="0025775E">
        <w:t>n</w:t>
      </w:r>
      <w:r w:rsidRPr="00D14E31">
        <w:t xml:space="preserve"> </w:t>
      </w:r>
      <w:r w:rsidR="0025775E">
        <w:t>access arrangement</w:t>
      </w:r>
      <w:r w:rsidRPr="00D14E31">
        <w:t xml:space="preserve"> period</w:t>
      </w:r>
      <w:r>
        <w:t xml:space="preserve"> </w:t>
      </w:r>
      <w:r w:rsidRPr="00762AAF">
        <w:t xml:space="preserve">such that it contributes to the achievement of the </w:t>
      </w:r>
      <w:r w:rsidRPr="00D14E31">
        <w:t>ARORO. In estimating the return on equity, we have regard to the prevailing conditions in the market for equity funds.</w:t>
      </w:r>
      <w:r w:rsidRPr="00D14E31">
        <w:rPr>
          <w:rStyle w:val="FootnoteReference"/>
        </w:rPr>
        <w:footnoteReference w:id="44"/>
      </w:r>
    </w:p>
    <w:p w:rsidR="005C1DB5" w:rsidRPr="00762AAF" w:rsidRDefault="005C1DB5" w:rsidP="005C1DB5">
      <w:pPr>
        <w:numPr>
          <w:ilvl w:val="0"/>
          <w:numId w:val="24"/>
        </w:numPr>
      </w:pPr>
      <w:r>
        <w:t>We must determine the r</w:t>
      </w:r>
      <w:r w:rsidRPr="00762AAF">
        <w:t xml:space="preserve">eturn on debt for a regulatory year such that that it contributes to the achievement of the </w:t>
      </w:r>
      <w:r>
        <w:t>ARORO</w:t>
      </w:r>
      <w:r w:rsidRPr="00762AAF">
        <w:t>.</w:t>
      </w:r>
      <w:r w:rsidRPr="00762AAF">
        <w:rPr>
          <w:rStyle w:val="FootnoteReference"/>
        </w:rPr>
        <w:footnoteReference w:id="45"/>
      </w:r>
      <w:r>
        <w:t xml:space="preserve"> </w:t>
      </w:r>
      <w:r w:rsidRPr="00762AAF">
        <w:t xml:space="preserve">We </w:t>
      </w:r>
      <w:r>
        <w:t xml:space="preserve">may </w:t>
      </w:r>
      <w:r w:rsidRPr="00762AAF">
        <w:t xml:space="preserve">estimate the return on debt using a methodology which results in the return on debt (and consequently the allowed rate of return) being or potentially being, different for different regulatory years in the </w:t>
      </w:r>
      <w:r w:rsidR="0025775E">
        <w:t>access arrangement</w:t>
      </w:r>
      <w:r w:rsidR="0025775E" w:rsidRPr="00D14E31">
        <w:t xml:space="preserve"> </w:t>
      </w:r>
      <w:r w:rsidRPr="00762AAF">
        <w:t>period.</w:t>
      </w:r>
      <w:r w:rsidRPr="00762AAF">
        <w:rPr>
          <w:rStyle w:val="FootnoteReference"/>
        </w:rPr>
        <w:footnoteReference w:id="46"/>
      </w:r>
      <w:r>
        <w:t xml:space="preserve"> </w:t>
      </w:r>
      <w:r w:rsidRPr="00762AAF">
        <w:t>In estimating the return on debt we have regard to the following factors:</w:t>
      </w:r>
    </w:p>
    <w:p w:rsidR="005C1DB5" w:rsidRPr="005C1DB5" w:rsidRDefault="005C1DB5" w:rsidP="005C1DB5">
      <w:pPr>
        <w:pStyle w:val="AERbulletlistfirststyle"/>
      </w:pPr>
      <w:r>
        <w:t>t</w:t>
      </w:r>
      <w:r w:rsidRPr="005C1DB5">
        <w:t>he desirability of minimising any difference between the return on debt and the return on debt of a benchmark efficient entity referred to in the ARORO.</w:t>
      </w:r>
    </w:p>
    <w:p w:rsidR="005C1DB5" w:rsidRPr="005C1DB5" w:rsidRDefault="005C1DB5" w:rsidP="005C1DB5">
      <w:pPr>
        <w:pStyle w:val="AERbulletlistfirststyle"/>
      </w:pPr>
      <w:r>
        <w:t>t</w:t>
      </w:r>
      <w:r w:rsidRPr="005C1DB5">
        <w:t>he interrelationship between the return on equity and the return on debt.</w:t>
      </w:r>
    </w:p>
    <w:p w:rsidR="005C1DB5" w:rsidRPr="005C1DB5" w:rsidRDefault="005C1DB5" w:rsidP="005C1DB5">
      <w:pPr>
        <w:pStyle w:val="AERbulletlistfirststyle"/>
      </w:pPr>
      <w:r>
        <w:t>t</w:t>
      </w:r>
      <w:r w:rsidRPr="005C1DB5">
        <w:t xml:space="preserve">he incentive that the return on debt may provide in relation to capital expenditure over the </w:t>
      </w:r>
      <w:r w:rsidR="0025775E">
        <w:t>access arrangement</w:t>
      </w:r>
      <w:r w:rsidR="0025775E" w:rsidRPr="00D14E31">
        <w:t xml:space="preserve"> </w:t>
      </w:r>
      <w:r w:rsidRPr="005C1DB5">
        <w:t>period, including as to the timing of capital expenditure.</w:t>
      </w:r>
    </w:p>
    <w:p w:rsidR="005C1DB5" w:rsidRPr="005C1DB5" w:rsidRDefault="005C1DB5" w:rsidP="005C1DB5">
      <w:pPr>
        <w:pStyle w:val="AERbulletlistfirststyle"/>
      </w:pPr>
      <w:r>
        <w:t>a</w:t>
      </w:r>
      <w:r w:rsidRPr="005C1DB5">
        <w:t xml:space="preserve">ny impacts (including in relation to the costs of servicing debt across </w:t>
      </w:r>
      <w:r w:rsidR="0025775E">
        <w:t>access arrangement</w:t>
      </w:r>
      <w:r w:rsidRPr="005C1DB5">
        <w:t xml:space="preserve"> periods) on a benchmark efficient entity referred to in the </w:t>
      </w:r>
      <w:r w:rsidR="00270CE2">
        <w:t>ARORO</w:t>
      </w:r>
      <w:r w:rsidRPr="005C1DB5">
        <w:t xml:space="preserve"> that could arise as a result of changing the methodology that is used to estimate the return on debt from one </w:t>
      </w:r>
      <w:r w:rsidR="0025775E">
        <w:t>access arrangement</w:t>
      </w:r>
      <w:r w:rsidR="0025775E" w:rsidRPr="00D14E31">
        <w:t xml:space="preserve"> </w:t>
      </w:r>
      <w:r w:rsidRPr="005C1DB5">
        <w:t>period to the next.</w:t>
      </w:r>
      <w:r w:rsidRPr="005C1DB5">
        <w:rPr>
          <w:rStyle w:val="FootnoteReference"/>
        </w:rPr>
        <w:footnoteReference w:id="47"/>
      </w:r>
      <w:r w:rsidRPr="005C1DB5">
        <w:t xml:space="preserve"> </w:t>
      </w:r>
    </w:p>
    <w:p w:rsidR="005C1DB5" w:rsidRPr="003337B3" w:rsidRDefault="005C1DB5" w:rsidP="005C1DB5">
      <w:pPr>
        <w:pStyle w:val="Heading3"/>
      </w:pPr>
      <w:bookmarkStart w:id="29" w:name="_Toc450917354"/>
      <w:bookmarkStart w:id="30" w:name="_Ref451342623"/>
      <w:bookmarkStart w:id="31" w:name="_Ref451543983"/>
      <w:bookmarkStart w:id="32" w:name="_Ref451544012"/>
      <w:bookmarkStart w:id="33" w:name="_Toc451945470"/>
      <w:r w:rsidRPr="00BB2CB7">
        <w:t>Allowed rate of return objective</w:t>
      </w:r>
      <w:bookmarkEnd w:id="29"/>
      <w:bookmarkEnd w:id="30"/>
      <w:bookmarkEnd w:id="31"/>
      <w:bookmarkEnd w:id="32"/>
      <w:bookmarkEnd w:id="33"/>
    </w:p>
    <w:p w:rsidR="005C1DB5" w:rsidRPr="005100A9" w:rsidRDefault="005C1DB5" w:rsidP="005C1DB5">
      <w:pPr>
        <w:numPr>
          <w:ilvl w:val="0"/>
          <w:numId w:val="24"/>
        </w:numPr>
        <w:rPr>
          <w:rStyle w:val="FootnoteReference"/>
        </w:rPr>
      </w:pPr>
      <w:r>
        <w:t xml:space="preserve">We are to determine the allowed rate of return such that it </w:t>
      </w:r>
      <w:r w:rsidRPr="003248EB">
        <w:t xml:space="preserve">achieves the </w:t>
      </w:r>
      <w:r>
        <w:t>ARORO. The objective is:</w:t>
      </w:r>
      <w:r w:rsidRPr="005100A9">
        <w:rPr>
          <w:rStyle w:val="FootnoteReference"/>
        </w:rPr>
        <w:footnoteReference w:id="48"/>
      </w:r>
    </w:p>
    <w:p w:rsidR="005C1DB5" w:rsidRDefault="005C1DB5" w:rsidP="005C1DB5">
      <w:pPr>
        <w:pStyle w:val="AERquote"/>
      </w:pPr>
      <w:r w:rsidRPr="005100A9">
        <w:t xml:space="preserve">…that the rate of return for a </w:t>
      </w:r>
      <w:r>
        <w:t>distribution network service provider</w:t>
      </w:r>
      <w:r w:rsidRPr="005100A9">
        <w:t xml:space="preserve"> is to be commensurate with the efficient financing costs of a benchmark efficient entity with a similar degree of ris</w:t>
      </w:r>
      <w:r>
        <w:t xml:space="preserve">k as that which applies to the distribution network </w:t>
      </w:r>
      <w:r w:rsidRPr="005100A9">
        <w:t>service</w:t>
      </w:r>
      <w:r>
        <w:t xml:space="preserve"> provider</w:t>
      </w:r>
      <w:r w:rsidRPr="005100A9">
        <w:t xml:space="preserve"> in respect of the provision of </w:t>
      </w:r>
      <w:r>
        <w:t>standard control services</w:t>
      </w:r>
      <w:r w:rsidRPr="005100A9">
        <w:t>.</w:t>
      </w:r>
    </w:p>
    <w:p w:rsidR="005C1DB5" w:rsidRDefault="005C1DB5" w:rsidP="005C1DB5">
      <w:r w:rsidRPr="00F21B32">
        <w:t>The regulat</w:t>
      </w:r>
      <w:r>
        <w:t>ory regime is an ex-ante (forward looking) regime.</w:t>
      </w:r>
      <w:r>
        <w:rPr>
          <w:rStyle w:val="FootnoteReference"/>
        </w:rPr>
        <w:footnoteReference w:id="49"/>
      </w:r>
      <w:r>
        <w:t xml:space="preserve"> As such, we consider a </w:t>
      </w:r>
      <w:r w:rsidRPr="00723710">
        <w:t>rate of return that meets the ARORO must provide ex-ante compensation for efficient financing costs.</w:t>
      </w:r>
      <w:r>
        <w:rPr>
          <w:rStyle w:val="FootnoteReference"/>
        </w:rPr>
        <w:footnoteReference w:id="50"/>
      </w:r>
      <w:r w:rsidRPr="00723710">
        <w:t xml:space="preserve"> </w:t>
      </w:r>
      <w:r>
        <w:t>This return would give</w:t>
      </w:r>
      <w:r w:rsidRPr="007E018E">
        <w:t xml:space="preserve"> </w:t>
      </w:r>
      <w:r>
        <w:t xml:space="preserve">a </w:t>
      </w:r>
      <w:r w:rsidRPr="007E018E">
        <w:t xml:space="preserve">benchmark efficient entity a reasonable opportunity to recover </w:t>
      </w:r>
      <w:r>
        <w:t>at least</w:t>
      </w:r>
      <w:r w:rsidRPr="007E018E">
        <w:t xml:space="preserve"> </w:t>
      </w:r>
      <w:r>
        <w:t xml:space="preserve">its </w:t>
      </w:r>
      <w:r w:rsidRPr="007E018E">
        <w:t xml:space="preserve">efficient </w:t>
      </w:r>
      <w:r>
        <w:t xml:space="preserve">financing </w:t>
      </w:r>
      <w:r w:rsidRPr="00F243E1">
        <w:t>costs</w:t>
      </w:r>
      <w:r>
        <w:t>. This is a zero net present value (NPV) investment condition, which can be described as follows:</w:t>
      </w:r>
      <w:r>
        <w:rPr>
          <w:rStyle w:val="FootnoteReference"/>
        </w:rPr>
        <w:footnoteReference w:id="51"/>
      </w:r>
      <w:r>
        <w:t xml:space="preserve"> </w:t>
      </w:r>
    </w:p>
    <w:p w:rsidR="005C1DB5" w:rsidRDefault="005C1DB5" w:rsidP="005C1DB5">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5C1DB5" w:rsidRDefault="005C1DB5" w:rsidP="005C1DB5">
      <w:r>
        <w:t>Under our regulatory framework, a benchmark efficient entity's assets are captured in its RAB. The return on capital building block allows a benchmark efficient entity to finance (through debt and equity) investment in its network.</w:t>
      </w:r>
      <w:r>
        <w:rPr>
          <w:rStyle w:val="FootnoteReference"/>
        </w:rPr>
        <w:footnoteReference w:id="52"/>
      </w:r>
      <w:r>
        <w:t xml:space="preserve"> Because investments usually carry a degree of risk, to satisfy the zero NPV condition the allowed rate of return must be sufficient to compensate a benchmark efficient entity's debt and equity investors for the risk of their investment.</w:t>
      </w:r>
      <w:r>
        <w:rPr>
          <w:rStyle w:val="FootnoteReference"/>
        </w:rPr>
        <w:footnoteReference w:id="53"/>
      </w:r>
      <w:r>
        <w:t xml:space="preserve"> </w:t>
      </w:r>
    </w:p>
    <w:p w:rsidR="005C1DB5" w:rsidRDefault="005C1DB5" w:rsidP="005C1DB5">
      <w:pPr>
        <w:pStyle w:val="HeadingBoldBlue"/>
      </w:pPr>
      <w:bookmarkStart w:id="34" w:name="_Toc450917355"/>
      <w:r>
        <w:t>Elements of the ARORO—efficient financing costs</w:t>
      </w:r>
      <w:bookmarkEnd w:id="34"/>
    </w:p>
    <w:p w:rsidR="005C1DB5" w:rsidRDefault="005C1DB5" w:rsidP="005C1DB5">
      <w:r>
        <w:t xml:space="preserve">A key concept in the ARORO is 'efficient financing costs'. 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financing costs are reflected in the prevailing market cost of capital (or WACC) for an investment with a similar degree of risk as that which applies to a service provider in respect of the provision of regulated services.</w:t>
      </w:r>
      <w:r>
        <w:rPr>
          <w:rStyle w:val="FootnoteReference"/>
        </w:rPr>
        <w:footnoteReference w:id="54"/>
      </w:r>
      <w:r w:rsidRPr="00EE36F1">
        <w:t xml:space="preserve"> As Alfred Kahn stated</w:t>
      </w:r>
      <w:r>
        <w:t>, '</w:t>
      </w:r>
      <w:r w:rsidRPr="00EE36F1">
        <w:t>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r>
        <w:t>'.</w:t>
      </w:r>
      <w:r>
        <w:rPr>
          <w:rStyle w:val="FootnoteReference"/>
        </w:rPr>
        <w:footnoteReference w:id="55"/>
      </w:r>
    </w:p>
    <w:p w:rsidR="005C1DB5" w:rsidRDefault="005C1DB5" w:rsidP="005C1DB5">
      <w:r>
        <w:t>We consider employing a rate of return that is commensurate with the prevailing market cost of capital (or WACC) is consistent with the zero NPV investment condition (see above). We also consider economic efficiency more generally is advanced by employing a rate of return that reflects rates in the market for capital finance.</w:t>
      </w:r>
      <w:r>
        <w:rPr>
          <w:rStyle w:val="FootnoteReference"/>
        </w:rPr>
        <w:footnoteReference w:id="56"/>
      </w:r>
      <w:r>
        <w:t xml:space="preserve"> Similarly, Partington and Satchell interpret efficient financing costs as the opportunity cost of capital, which is a market rate of return for assets with a given level of risk.</w:t>
      </w:r>
      <w:r>
        <w:rPr>
          <w:rStyle w:val="FootnoteReference"/>
        </w:rPr>
        <w:footnoteReference w:id="57"/>
      </w:r>
      <w:r>
        <w:t xml:space="preserve"> </w:t>
      </w:r>
    </w:p>
    <w:p w:rsidR="005C1DB5" w:rsidRDefault="005C1DB5" w:rsidP="00BB7AE6">
      <w:pPr>
        <w:pStyle w:val="HeadingBoldBlue"/>
        <w:keepNext/>
      </w:pPr>
      <w:bookmarkStart w:id="35" w:name="_Toc450917356"/>
      <w:r>
        <w:t>Elements of the ARORO—benchmark efficient entity</w:t>
      </w:r>
      <w:bookmarkEnd w:id="35"/>
    </w:p>
    <w:p w:rsidR="005C1DB5" w:rsidRDefault="005C1DB5" w:rsidP="00BB7AE6">
      <w:pPr>
        <w:keepNext/>
        <w:numPr>
          <w:ilvl w:val="0"/>
          <w:numId w:val="24"/>
        </w:numPr>
      </w:pPr>
      <w:r>
        <w:t xml:space="preserve">A key concept in the ARORO is a 'benchmark efficient entity'. It is essential to recognise the context in which this term is used. The ARORO aims at setting </w:t>
      </w:r>
      <w:r w:rsidRPr="00D85725">
        <w:rPr>
          <w:rStyle w:val="AERtextitalic"/>
        </w:rPr>
        <w:t>the efficient financing costs</w:t>
      </w:r>
      <w:r>
        <w:t xml:space="preserve"> of a benchmark efficient entity </w:t>
      </w:r>
      <w:r w:rsidRPr="00D85725">
        <w:rPr>
          <w:rStyle w:val="AERtextitalic"/>
        </w:rPr>
        <w:t xml:space="preserve">with a similar degree of risk as that which applies to the service provider in respect of the provision of </w:t>
      </w:r>
      <w:r w:rsidR="0025775E">
        <w:rPr>
          <w:rStyle w:val="AERtextitalic"/>
        </w:rPr>
        <w:t>reference</w:t>
      </w:r>
      <w:r w:rsidRPr="00D85725">
        <w:rPr>
          <w:rStyle w:val="AERtextitalic"/>
        </w:rPr>
        <w:t xml:space="preserve"> services</w:t>
      </w:r>
      <w:r>
        <w:t>.  Given this, three important concepts to consider are: 'risk', 'similar' and '</w:t>
      </w:r>
      <w:r w:rsidR="0025775E">
        <w:t xml:space="preserve">reference </w:t>
      </w:r>
      <w:r>
        <w:t>services'. Having understood these concepts, we can better understand a benchmark efficient entity to give effect to the ARORO.</w:t>
      </w:r>
    </w:p>
    <w:p w:rsidR="005C1DB5" w:rsidRPr="00E76063" w:rsidRDefault="005C1DB5" w:rsidP="005C1DB5">
      <w:pPr>
        <w:pStyle w:val="HeadingBoldItalic"/>
      </w:pPr>
      <w:r>
        <w:t>'</w:t>
      </w:r>
      <w:r w:rsidRPr="00E76063">
        <w:t>Risk</w:t>
      </w:r>
      <w:r>
        <w:t>'</w:t>
      </w:r>
    </w:p>
    <w:p w:rsidR="005C1DB5" w:rsidRDefault="005C1DB5" w:rsidP="005C1DB5">
      <w:pPr>
        <w:numPr>
          <w:ilvl w:val="0"/>
          <w:numId w:val="24"/>
        </w:numPr>
      </w:pPr>
      <w:r>
        <w:t xml:space="preserve">The risk of a benchmark efficient entity is a core element of the rate of return due to the important relation between risk and required returns in </w:t>
      </w:r>
      <w:r w:rsidRPr="00855447">
        <w:t>finance theory</w:t>
      </w:r>
      <w:r>
        <w:t>.</w:t>
      </w:r>
      <w:r w:rsidRPr="00855447">
        <w:t xml:space="preserve"> </w:t>
      </w:r>
      <w:r>
        <w:t>Risk is the degree of uncertainty about an event</w:t>
      </w:r>
      <w:r w:rsidRPr="00785554">
        <w:t>―</w:t>
      </w:r>
      <w:r>
        <w:t>such as the</w:t>
      </w:r>
      <w:r w:rsidRPr="00855447">
        <w:t xml:space="preserve"> uncertainty around the expectation of the return</w:t>
      </w:r>
      <w:r>
        <w:t xml:space="preserve"> on an investment.</w:t>
      </w:r>
      <w:r>
        <w:rPr>
          <w:rStyle w:val="FootnoteReference"/>
        </w:rPr>
        <w:footnoteReference w:id="58"/>
      </w:r>
      <w:r>
        <w:t xml:space="preserve"> It is strictly a </w:t>
      </w:r>
      <w:r w:rsidRPr="00855447">
        <w:t>forward looking concept</w:t>
      </w:r>
      <w:r>
        <w:t xml:space="preserve"> as no event is uncertain after it has occurred.</w:t>
      </w:r>
    </w:p>
    <w:p w:rsidR="005C1DB5" w:rsidRDefault="005C1DB5" w:rsidP="005C1DB5">
      <w:pPr>
        <w:numPr>
          <w:ilvl w:val="0"/>
          <w:numId w:val="24"/>
        </w:numPr>
      </w:pPr>
      <w:r>
        <w:t>'Risk' has a specific meaning in finance theory. As such, it is important to apply this specific meaning in setting a rate of return that achieves the ARORO. In finance, there are two distinct types of risk</w:t>
      </w:r>
      <w:r w:rsidRPr="00785554">
        <w:t>―</w:t>
      </w:r>
      <w:r>
        <w:t>systematic (market or non-diversifiable) and non-systematic (firm-specific or diversifiable). That is, in finance:</w:t>
      </w:r>
      <w:r>
        <w:rPr>
          <w:rStyle w:val="FootnoteReference"/>
        </w:rPr>
        <w:footnoteReference w:id="59"/>
      </w:r>
    </w:p>
    <w:p w:rsidR="005C1DB5" w:rsidRDefault="005C1DB5" w:rsidP="005C1DB5">
      <w:pPr>
        <w:pStyle w:val="AERquote"/>
      </w:pPr>
      <w:r>
        <w:t xml:space="preserve">The risk of any share can be broken down into two parts. There is the </w:t>
      </w:r>
      <w:r w:rsidRPr="005772E3">
        <w:rPr>
          <w:rStyle w:val="AERtextitalic"/>
        </w:rPr>
        <w:t>unique risk</w:t>
      </w:r>
      <w:r>
        <w:t xml:space="preserve"> that is peculiar to that share, and there is the </w:t>
      </w:r>
      <w:r w:rsidRPr="005772E3">
        <w:rPr>
          <w:rStyle w:val="AERtextitalic"/>
        </w:rPr>
        <w:t>market risk</w:t>
      </w:r>
      <w:r>
        <w:t xml:space="preserve"> that is associated with market-wide variations. Investors can eliminate unique risk by holding a well-diversified portfolio, but they cannot eliminate market risk. </w:t>
      </w:r>
      <w:r w:rsidRPr="005772E3">
        <w:rPr>
          <w:rStyle w:val="AERtextitalic"/>
        </w:rPr>
        <w:t>All</w:t>
      </w:r>
      <w:r>
        <w:t xml:space="preserve"> the risk of a full diversified portfolio is market risk.</w:t>
      </w:r>
    </w:p>
    <w:p w:rsidR="005C1DB5" w:rsidRDefault="005C1DB5" w:rsidP="005C1DB5">
      <w:r>
        <w:t>Similarly, McKenzie and Partington advise:</w:t>
      </w:r>
      <w:r>
        <w:rPr>
          <w:rStyle w:val="FootnoteReference"/>
        </w:rPr>
        <w:footnoteReference w:id="60"/>
      </w:r>
    </w:p>
    <w:p w:rsidR="005C1DB5" w:rsidRPr="0039604A" w:rsidRDefault="005C1DB5" w:rsidP="005C1DB5">
      <w:pPr>
        <w:pStyle w:val="AERquote"/>
      </w:pPr>
      <w:r w:rsidRPr="0039604A">
        <w:t xml:space="preserve">modern finance theory specifies that the risk to be compensated via the WACC is the non-diversifiable, or systematic, component of total risk (in simple terms, that risk which cannot be eliminated by holding stocks in a well diversified portfolio). This risk is measured as covariance, or equivalently beta, risk. </w:t>
      </w:r>
    </w:p>
    <w:p w:rsidR="005C1DB5" w:rsidRDefault="005C1DB5" w:rsidP="005C1DB5">
      <w:r w:rsidRPr="00121A2D">
        <w:t xml:space="preserve">The rate of return allows a benchmark efficient entity to compensate investors for </w:t>
      </w:r>
      <w:r>
        <w:t>the risk of committing capital to fund</w:t>
      </w:r>
      <w:r w:rsidRPr="00121A2D">
        <w:t xml:space="preserve"> investments </w:t>
      </w:r>
      <w:r>
        <w:t>in its</w:t>
      </w:r>
      <w:r w:rsidRPr="00121A2D">
        <w:t xml:space="preserve"> </w:t>
      </w:r>
      <w:r>
        <w:t>network</w:t>
      </w:r>
      <w:r w:rsidRPr="00121A2D">
        <w:t xml:space="preserve">. </w:t>
      </w:r>
      <w:r>
        <w:t>We do not consider</w:t>
      </w:r>
      <w:r w:rsidRPr="00121A2D">
        <w:t xml:space="preserve"> investors require compensation for all risk</w:t>
      </w:r>
      <w:r>
        <w:t xml:space="preserve"> facing a benchmark efficient entity.</w:t>
      </w:r>
      <w:r w:rsidRPr="00121A2D">
        <w:t xml:space="preserve"> </w:t>
      </w:r>
      <w:r>
        <w:t xml:space="preserve">In setting the allowed return on equity, we provide compensation for the systematic risk that a benchmark efficient entity would face through the equity beta (see section </w:t>
      </w:r>
      <w:r w:rsidR="0047770A">
        <w:fldChar w:fldCharType="begin"/>
      </w:r>
      <w:r w:rsidR="0047770A">
        <w:instrText xml:space="preserve"> REF _Ref451691090 \r \h </w:instrText>
      </w:r>
      <w:r w:rsidR="0047770A">
        <w:fldChar w:fldCharType="separate"/>
      </w:r>
      <w:r w:rsidR="001A023B">
        <w:t>3.4.1</w:t>
      </w:r>
      <w:r w:rsidR="0047770A">
        <w:fldChar w:fldCharType="end"/>
      </w:r>
      <w:r>
        <w:t xml:space="preserve">). </w:t>
      </w:r>
      <w:r w:rsidRPr="00630B48">
        <w:t>The equity beta under the Sharpe–Lintner capital asset pricing model (CAPM) measures systematic risk</w:t>
      </w:r>
      <w:r>
        <w:t xml:space="preserve"> as</w:t>
      </w:r>
      <w:r w:rsidRPr="00630B48">
        <w:t xml:space="preserve"> the sensitivity of an asset or business</w:t>
      </w:r>
      <w:r>
        <w:rPr>
          <w:rStyle w:val="FootnoteReference"/>
        </w:rPr>
        <w:footnoteReference w:id="61"/>
      </w:r>
      <w:r w:rsidRPr="00630B48">
        <w:t xml:space="preserve"> to the </w:t>
      </w:r>
      <w:r>
        <w:t>overall movements in the market. It does this by measuring t</w:t>
      </w:r>
      <w:r w:rsidRPr="00630B48">
        <w:t xml:space="preserve">he standardised correlation between the returns on </w:t>
      </w:r>
      <w:r>
        <w:t xml:space="preserve">this </w:t>
      </w:r>
      <w:r w:rsidRPr="00630B48">
        <w:t>asset or business with that of the overall market.</w:t>
      </w:r>
      <w:r>
        <w:rPr>
          <w:rStyle w:val="FootnoteReference"/>
        </w:rPr>
        <w:footnoteReference w:id="62"/>
      </w:r>
      <w:r>
        <w:t xml:space="preserve"> T</w:t>
      </w:r>
      <w:r w:rsidRPr="00CE4978">
        <w:t>he key risks for debt holders are systematic (beta) risk, credit risk</w:t>
      </w:r>
      <w:r>
        <w:t xml:space="preserve"> (the risk of default and credit rating downgrades) </w:t>
      </w:r>
      <w:r w:rsidRPr="00CE4978">
        <w:t>and liquidity risk</w:t>
      </w:r>
      <w:r>
        <w:t>.</w:t>
      </w:r>
      <w:r>
        <w:rPr>
          <w:rStyle w:val="FootnoteReference"/>
        </w:rPr>
        <w:footnoteReference w:id="63"/>
      </w:r>
      <w:r>
        <w:t xml:space="preserve"> In setting the allowed return on debt, we provide compensation for a benchmark efficient entity's efficient costs from facing these risks, as they are included in the promised returns we observe using Bloomberg and RBA data.</w:t>
      </w:r>
      <w:r>
        <w:rPr>
          <w:rStyle w:val="FootnoteReference"/>
        </w:rPr>
        <w:footnoteReference w:id="64"/>
      </w:r>
    </w:p>
    <w:p w:rsidR="005C1DB5" w:rsidRDefault="005C1DB5" w:rsidP="005C1DB5">
      <w:r>
        <w:t xml:space="preserve">As such, </w:t>
      </w:r>
      <w:r w:rsidRPr="00CF5809">
        <w:t xml:space="preserve">when looking at the risks of supplying </w:t>
      </w:r>
      <w:r w:rsidR="0025775E">
        <w:t>reference</w:t>
      </w:r>
      <w:r w:rsidR="0025775E" w:rsidRPr="00CF5809" w:rsidDel="0025775E">
        <w:t xml:space="preserve"> </w:t>
      </w:r>
      <w:r w:rsidRPr="00CF5809">
        <w:t xml:space="preserve">services, it is important to differentiate between </w:t>
      </w:r>
      <w:r>
        <w:t>risk that is to be compensated through the allowed rate of return (compensable risk) and non-compensable risk</w:t>
      </w:r>
      <w:r w:rsidRPr="00CF5809">
        <w:t>. When developing the Guideline, we commissioned Frontier to explore these risks and to provide advice on what risks we should compensate service providers for through the allowed rate of return.</w:t>
      </w:r>
      <w:r w:rsidRPr="00CF5809">
        <w:rPr>
          <w:rStyle w:val="FootnoteReference"/>
        </w:rPr>
        <w:footnoteReference w:id="65"/>
      </w:r>
    </w:p>
    <w:p w:rsidR="005C1DB5" w:rsidRPr="00CF5809" w:rsidRDefault="005C1DB5" w:rsidP="005C1DB5">
      <w:r>
        <w:t>We accept the ARORO requires us to set an allowed rate of return that compensates for the efficient financing costs of a benchmark firm for bearing a similar degree of compensable risk as that which applies to the</w:t>
      </w:r>
      <w:r w:rsidRPr="00B077D0">
        <w:t xml:space="preserve"> </w:t>
      </w:r>
      <w:r>
        <w:t>network</w:t>
      </w:r>
      <w:r w:rsidRPr="00B077D0">
        <w:t xml:space="preserve"> service provider in respect of the provision of </w:t>
      </w:r>
      <w:r>
        <w:t xml:space="preserve">the relevant </w:t>
      </w:r>
      <w:r w:rsidRPr="00B077D0">
        <w:t>regulated services</w:t>
      </w:r>
      <w:r>
        <w:t>. This will reflect an ex-ante return that includes a risk premium over the risk free rate for bearing this level of compensable risk.</w:t>
      </w:r>
    </w:p>
    <w:p w:rsidR="005C1DB5" w:rsidRPr="004F02FD" w:rsidRDefault="005C1DB5" w:rsidP="005C1DB5">
      <w:pPr>
        <w:pStyle w:val="HeadingBoldItalic"/>
      </w:pPr>
      <w:r w:rsidRPr="00E76063">
        <w:t>'</w:t>
      </w:r>
      <w:r w:rsidRPr="004F02FD">
        <w:t>Similar'</w:t>
      </w:r>
    </w:p>
    <w:p w:rsidR="005C1DB5" w:rsidRDefault="005C1DB5" w:rsidP="005C1DB5">
      <w:pPr>
        <w:rPr>
          <w:rStyle w:val="AERbody"/>
        </w:rPr>
      </w:pPr>
      <w:r>
        <w:t>A benchmark efficient entity is to have</w:t>
      </w:r>
      <w:r w:rsidRPr="0046739D">
        <w:t xml:space="preserve"> a similar degree of risk as that which applies to the </w:t>
      </w:r>
      <w:r>
        <w:t>network</w:t>
      </w:r>
      <w:r w:rsidRPr="0046739D">
        <w:t xml:space="preserve"> service provider in respect of the provision of</w:t>
      </w:r>
      <w:r>
        <w:t xml:space="preserve"> the relevant</w:t>
      </w:r>
      <w:r w:rsidRPr="0046739D">
        <w:t xml:space="preserve"> regulated services.</w:t>
      </w:r>
      <w:r>
        <w:rPr>
          <w:rStyle w:val="FootnoteReference"/>
        </w:rPr>
        <w:footnoteReference w:id="66"/>
      </w:r>
      <w:r>
        <w:t xml:space="preserve"> As such, when developing the Guideline, we looked at the concept of 'a similar degree of risk' in some detail. We also sought advice from Frontier Economics on the risks to which energy network service providers are exposed in delivering regulated services.</w:t>
      </w:r>
      <w:r>
        <w:rPr>
          <w:rStyle w:val="FootnoteReference"/>
        </w:rPr>
        <w:footnoteReference w:id="67"/>
      </w:r>
      <w:r>
        <w:t xml:space="preserve"> We concluded the compensable risks facing the different service providers</w:t>
      </w:r>
      <w:r>
        <w:rPr>
          <w:rStyle w:val="FootnoteReference"/>
        </w:rPr>
        <w:footnoteReference w:id="68"/>
      </w:r>
      <w:r>
        <w:t xml:space="preserve"> were 'similar' for the purposes of characterising a benchmark efficient entity.</w:t>
      </w:r>
      <w:r>
        <w:rPr>
          <w:rStyle w:val="FootnoteReference"/>
        </w:rPr>
        <w:footnoteReference w:id="69"/>
      </w:r>
      <w:r>
        <w:t xml:space="preserve"> For this analysis, see chapter three of the Guideline's explanatory statement.</w:t>
      </w:r>
      <w:r>
        <w:rPr>
          <w:rStyle w:val="FootnoteReference"/>
        </w:rPr>
        <w:footnoteReference w:id="70"/>
      </w:r>
    </w:p>
    <w:p w:rsidR="005C1DB5" w:rsidRPr="0024342F" w:rsidRDefault="0025775E" w:rsidP="0024342F">
      <w:pPr>
        <w:pStyle w:val="HeadingBoldItalic"/>
        <w:rPr>
          <w:rStyle w:val="AERbody"/>
          <w:color w:val="51626F"/>
          <w:sz w:val="24"/>
        </w:rPr>
      </w:pPr>
      <w:r w:rsidRPr="0024342F">
        <w:rPr>
          <w:rStyle w:val="AERbody"/>
          <w:color w:val="51626F"/>
          <w:sz w:val="24"/>
        </w:rPr>
        <w:t>'</w:t>
      </w:r>
      <w:r w:rsidRPr="0024342F">
        <w:t>Reference</w:t>
      </w:r>
      <w:r w:rsidRPr="0024342F">
        <w:rPr>
          <w:rStyle w:val="AERbody"/>
          <w:color w:val="51626F"/>
          <w:sz w:val="24"/>
        </w:rPr>
        <w:t xml:space="preserve"> </w:t>
      </w:r>
      <w:r w:rsidR="005C1DB5" w:rsidRPr="0024342F">
        <w:rPr>
          <w:rStyle w:val="AERbody"/>
          <w:color w:val="51626F"/>
          <w:sz w:val="24"/>
        </w:rPr>
        <w:t>services'</w:t>
      </w:r>
    </w:p>
    <w:p w:rsidR="00CA5166" w:rsidRDefault="005C1DB5" w:rsidP="00CA5166">
      <w:r>
        <w:t>T</w:t>
      </w:r>
      <w:r w:rsidRPr="005C1DB5">
        <w:t xml:space="preserve">he allowed rate of return is to be commensurate with the efficient financing costs of a benchmark efficient entity with a similar degree of risk as that which applies to the service provider in respect to the provision of </w:t>
      </w:r>
      <w:r w:rsidR="00CA5166">
        <w:t>reference</w:t>
      </w:r>
      <w:r w:rsidR="00CA5166" w:rsidRPr="004F2761">
        <w:t xml:space="preserve"> services.</w:t>
      </w:r>
      <w:r w:rsidR="00CA5166" w:rsidRPr="004F2761">
        <w:rPr>
          <w:rStyle w:val="FootnoteReference"/>
        </w:rPr>
        <w:footnoteReference w:id="71"/>
      </w:r>
      <w:r w:rsidR="00CA5166" w:rsidRPr="004F2761">
        <w:t xml:space="preserve"> </w:t>
      </w:r>
      <w:r w:rsidR="00CA5166">
        <w:t>The NGL defines a reference service as, '</w:t>
      </w:r>
      <w:r w:rsidR="00CA5166" w:rsidRPr="006B7371">
        <w:t>a pipeline service specified by, or determined or approved by the AER under, t</w:t>
      </w:r>
      <w:r w:rsidR="00CA5166">
        <w:t>he Rules'.</w:t>
      </w:r>
      <w:r w:rsidR="00CA5166">
        <w:rPr>
          <w:rStyle w:val="FootnoteReference"/>
        </w:rPr>
        <w:footnoteReference w:id="72"/>
      </w:r>
    </w:p>
    <w:p w:rsidR="005C1DB5" w:rsidRPr="00785554" w:rsidRDefault="005C1DB5" w:rsidP="005C1DB5">
      <w:pPr>
        <w:pStyle w:val="HeadingBoldItalic"/>
        <w:rPr>
          <w:rStyle w:val="AERbody"/>
        </w:rPr>
      </w:pPr>
      <w:r w:rsidRPr="00785554">
        <w:rPr>
          <w:rStyle w:val="AERbody"/>
        </w:rPr>
        <w:t>Risk, regulation and a benchmark efficient entity</w:t>
      </w:r>
    </w:p>
    <w:p w:rsidR="005C1DB5" w:rsidRDefault="005C1DB5" w:rsidP="005C1DB5">
      <w:r>
        <w:rPr>
          <w:rStyle w:val="AERbody"/>
        </w:rPr>
        <w:t>T</w:t>
      </w:r>
      <w:r>
        <w:t xml:space="preserve">he rules </w:t>
      </w:r>
      <w:r w:rsidRPr="005F4630">
        <w:t>specify that the allowed rate of return is to be commensurate with the efficient financing costs of a</w:t>
      </w:r>
      <w:r>
        <w:t xml:space="preserve"> benchmark efficient entity</w:t>
      </w:r>
      <w:r w:rsidRPr="005F4630">
        <w:t xml:space="preserve"> with a similar degree of risk as that which applies</w:t>
      </w:r>
      <w:r>
        <w:t>:</w:t>
      </w:r>
      <w:r>
        <w:rPr>
          <w:rStyle w:val="FootnoteReference"/>
        </w:rPr>
        <w:footnoteReference w:id="73"/>
      </w:r>
    </w:p>
    <w:p w:rsidR="005C1DB5" w:rsidRPr="005C1DB5" w:rsidRDefault="005C1DB5" w:rsidP="005C1DB5">
      <w:pPr>
        <w:pStyle w:val="AERbulletlistfirststyle"/>
      </w:pPr>
      <w:r w:rsidRPr="005F4630">
        <w:t xml:space="preserve"> to the </w:t>
      </w:r>
      <w:r w:rsidRPr="005C1DB5">
        <w:t xml:space="preserve">service provider in which the decision relates (which will always be a business that is regulated under the rules and NEL/NGL) </w:t>
      </w:r>
    </w:p>
    <w:p w:rsidR="005C1DB5" w:rsidRPr="005C1DB5" w:rsidRDefault="005C1DB5" w:rsidP="005C1DB5">
      <w:pPr>
        <w:pStyle w:val="AERbulletlistfirststyle"/>
      </w:pPr>
      <w:r w:rsidRPr="005F4630">
        <w:t xml:space="preserve">in respect to the provision of </w:t>
      </w:r>
      <w:r w:rsidR="000934DD">
        <w:t>reference</w:t>
      </w:r>
      <w:r w:rsidRPr="005F4630">
        <w:t xml:space="preserve"> services</w:t>
      </w:r>
      <w:r w:rsidRPr="005C1DB5">
        <w:t xml:space="preserve"> (which are regulated services by definition),</w:t>
      </w:r>
      <w:r w:rsidRPr="005C1DB5">
        <w:rPr>
          <w:rStyle w:val="FootnoteReference"/>
        </w:rPr>
        <w:footnoteReference w:id="74"/>
      </w:r>
      <w:r w:rsidRPr="005C1DB5">
        <w:t xml:space="preserve"> which can only be provided by businesses regulated under the rules.</w:t>
      </w:r>
    </w:p>
    <w:p w:rsidR="005C1DB5" w:rsidRPr="005C1DB5" w:rsidRDefault="005C1DB5" w:rsidP="005C1DB5">
      <w:r>
        <w:t>As discussed under 'Risk' above, risk is the degree of uncertainty about an event</w:t>
      </w:r>
      <w:r w:rsidRPr="005C1DB5">
        <w:t>.</w:t>
      </w:r>
      <w:r w:rsidRPr="005C1DB5">
        <w:rPr>
          <w:rStyle w:val="FootnoteReference"/>
        </w:rPr>
        <w:t xml:space="preserve"> </w:t>
      </w:r>
      <w:r w:rsidRPr="005C1DB5">
        <w:rPr>
          <w:rStyle w:val="FootnoteReference"/>
        </w:rPr>
        <w:footnoteReference w:id="75"/>
      </w:r>
      <w:r w:rsidRPr="005C1DB5">
        <w:t xml:space="preserve"> For instance, investing in the share market is risky because there is a spread of possible outcomes. The usual measure of this spread is the standard deviation or variance.</w:t>
      </w:r>
      <w:r w:rsidRPr="005C1DB5">
        <w:rPr>
          <w:rStyle w:val="FootnoteReference"/>
        </w:rPr>
        <w:footnoteReference w:id="76"/>
      </w:r>
      <w:r w:rsidRPr="005C1DB5">
        <w:t xml:space="preserve"> Similarly, the risk of a benchmark efficient entity would be the uncertainty around its expected return. More specifically, the systematic or market risk of a benchmark efficient entity would be the uncertainty around its expected return relative to the expected returns on the market.  We would measure this as the standardised correlation between a benchmark efficient entity's returns with that of the overall market (measured by the equity beta in the CAPM).</w:t>
      </w:r>
      <w:r w:rsidRPr="005C1DB5">
        <w:rPr>
          <w:rStyle w:val="FootnoteReference"/>
        </w:rPr>
        <w:footnoteReference w:id="77"/>
      </w:r>
      <w:r w:rsidRPr="005C1DB5">
        <w:t xml:space="preserve"> </w:t>
      </w:r>
    </w:p>
    <w:p w:rsidR="005C1DB5" w:rsidRPr="005C1DB5" w:rsidRDefault="005C1DB5" w:rsidP="005C1DB5">
      <w:r>
        <w:t xml:space="preserve">Brealey et.al. use the figure </w:t>
      </w:r>
      <w:r w:rsidRPr="005C1DB5">
        <w:t xml:space="preserve">we have presented as </w:t>
      </w:r>
      <w:r w:rsidR="000934DD">
        <w:fldChar w:fldCharType="begin"/>
      </w:r>
      <w:r w:rsidR="000934DD">
        <w:instrText xml:space="preserve"> REF  _Ref451341272 \* Lower \h </w:instrText>
      </w:r>
      <w:r w:rsidR="000934DD">
        <w:fldChar w:fldCharType="separate"/>
      </w:r>
      <w:r w:rsidR="001A023B">
        <w:t xml:space="preserve">figure </w:t>
      </w:r>
      <w:r w:rsidR="001A023B">
        <w:rPr>
          <w:noProof/>
        </w:rPr>
        <w:t>3</w:t>
      </w:r>
      <w:r w:rsidR="001A023B">
        <w:noBreakHyphen/>
      </w:r>
      <w:r w:rsidR="001A023B">
        <w:rPr>
          <w:noProof/>
        </w:rPr>
        <w:t>1</w:t>
      </w:r>
      <w:r w:rsidR="000934DD">
        <w:fldChar w:fldCharType="end"/>
      </w:r>
      <w:r w:rsidR="0024342F">
        <w:t xml:space="preserve"> </w:t>
      </w:r>
      <w:r w:rsidRPr="005C1DB5">
        <w:t>to illustrate the following.</w:t>
      </w:r>
      <w:r w:rsidRPr="005C1DB5">
        <w:rPr>
          <w:rStyle w:val="FootnoteReference"/>
        </w:rPr>
        <w:footnoteReference w:id="78"/>
      </w:r>
    </w:p>
    <w:p w:rsidR="005C1DB5" w:rsidRDefault="005C1DB5" w:rsidP="005C1DB5">
      <w:pPr>
        <w:pStyle w:val="AERquote"/>
      </w:pPr>
      <w:r w:rsidRPr="00C75038">
        <w:t>Investments A and B both have an expected return of 10%, but because investment A has the greater spread of possible returns, it is more risky than B. We can mea</w:t>
      </w:r>
      <w:r>
        <w:t>sure this spread by the standard d</w:t>
      </w:r>
      <w:r w:rsidRPr="00C75038">
        <w:t>eviation. Investment A has a standard deviation of 15%; B, 7.5%. Most investors would prefer B to A.</w:t>
      </w:r>
      <w:r>
        <w:t xml:space="preserve"> </w:t>
      </w:r>
      <w:r w:rsidRPr="00C75038">
        <w:t>Investments B and C both have the same standard deviation, but C offers a higher expected return. Most</w:t>
      </w:r>
      <w:r>
        <w:t xml:space="preserve"> </w:t>
      </w:r>
      <w:r w:rsidRPr="00C75038">
        <w:t>investors would prefer C to B.</w:t>
      </w:r>
    </w:p>
    <w:p w:rsidR="005C1DB5" w:rsidRPr="00C75038" w:rsidRDefault="005C1DB5" w:rsidP="005C1DB5">
      <w:pPr>
        <w:pStyle w:val="Caption"/>
      </w:pPr>
      <w:bookmarkStart w:id="36" w:name="_Ref451341272"/>
      <w:r>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1</w:t>
      </w:r>
      <w:r w:rsidR="00120312">
        <w:rPr>
          <w:noProof/>
        </w:rPr>
        <w:fldChar w:fldCharType="end"/>
      </w:r>
      <w:bookmarkEnd w:id="36"/>
      <w:r>
        <w:tab/>
        <w:t>Risk versus expected return</w:t>
      </w:r>
    </w:p>
    <w:p w:rsidR="005C1DB5" w:rsidRPr="005C1DB5" w:rsidRDefault="005C1DB5" w:rsidP="005C1DB5">
      <w:pPr>
        <w:pStyle w:val="AERbulletlistfirststyle"/>
        <w:numPr>
          <w:ilvl w:val="0"/>
          <w:numId w:val="0"/>
        </w:numPr>
        <w:ind w:left="360" w:hanging="360"/>
      </w:pPr>
      <w:r w:rsidRPr="00785554">
        <w:rPr>
          <w:noProof/>
          <w:lang w:eastAsia="en-AU"/>
        </w:rPr>
        <w:drawing>
          <wp:inline distT="0" distB="0" distL="0" distR="0" wp14:anchorId="4E3C887A" wp14:editId="034C8CB6">
            <wp:extent cx="5382895" cy="7706511"/>
            <wp:effectExtent l="0" t="0" r="825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2895" cy="7706511"/>
                    </a:xfrm>
                    <a:prstGeom prst="rect">
                      <a:avLst/>
                    </a:prstGeom>
                  </pic:spPr>
                </pic:pic>
              </a:graphicData>
            </a:graphic>
          </wp:inline>
        </w:drawing>
      </w:r>
    </w:p>
    <w:p w:rsidR="005C1DB5" w:rsidRDefault="005C1DB5" w:rsidP="005C1DB5">
      <w:pPr>
        <w:pStyle w:val="AERtablesource"/>
      </w:pPr>
      <w:r>
        <w:t>Source: Brealey</w:t>
      </w:r>
      <w:r w:rsidRPr="001326E8">
        <w:t>, Myers, Allen</w:t>
      </w:r>
      <w:r>
        <w:t xml:space="preserve"> (2011), </w:t>
      </w:r>
      <w:r w:rsidRPr="001326E8">
        <w:t>Figure 8.2</w:t>
      </w:r>
      <w:r>
        <w:t>.</w:t>
      </w:r>
    </w:p>
    <w:p w:rsidR="005C1DB5" w:rsidRDefault="005C1DB5" w:rsidP="005C1DB5">
      <w:r>
        <w:t xml:space="preserve">We use the above example to explain the relationship between risk and return for a single investment. Investors are generally assumed to prefer an investment with a lower variance for a given expected return under the assumption that investors are risk averse. However, we note that for an investment that is to be included in an investment portfolio the risk that is relevant to its price is the risk it will add to this portfolio. Therefore, under the assumption that investors hold fully diversified </w:t>
      </w:r>
      <w:r w:rsidR="000934DD">
        <w:t>'</w:t>
      </w:r>
      <w:r>
        <w:t>efficient</w:t>
      </w:r>
      <w:r w:rsidR="000934DD">
        <w:t>'</w:t>
      </w:r>
      <w:r>
        <w:t xml:space="preserve"> market portfolios, it is an investment's non-diversifiable (or systematic) risk that is relevant. In the case of equity investments, as discussed above, this is measured by the equity beta of the investment. </w:t>
      </w:r>
    </w:p>
    <w:p w:rsidR="005C1DB5" w:rsidRPr="005C1DB5" w:rsidRDefault="005C1DB5" w:rsidP="00104749">
      <w:r>
        <w:t xml:space="preserve">We consider </w:t>
      </w:r>
      <w:r w:rsidRPr="005C1DB5">
        <w:t xml:space="preserve">a benchmark efficient entity </w:t>
      </w:r>
      <w:r w:rsidRPr="005C1DB5">
        <w:rPr>
          <w:rStyle w:val="AERtextitalic"/>
        </w:rPr>
        <w:t>with a similar degree of risk as that which applies to the service provider in the provision of its regulated services</w:t>
      </w:r>
      <w:r w:rsidRPr="005C1DB5">
        <w:t xml:space="preserve"> would be 'a pure play, regulated energy network business operating within Australia' acting efficiently.</w:t>
      </w:r>
      <w:r w:rsidRPr="005C1DB5">
        <w:rPr>
          <w:rStyle w:val="FootnoteReference"/>
        </w:rPr>
        <w:footnoteReference w:id="79"/>
      </w:r>
      <w:r w:rsidRPr="005C1DB5">
        <w:t xml:space="preserve"> </w:t>
      </w:r>
      <w:r w:rsidRPr="005C1DB5">
        <w:rPr>
          <w:rStyle w:val="AERbody"/>
        </w:rPr>
        <w:t xml:space="preserve"> To understand this position, </w:t>
      </w:r>
      <w:r w:rsidRPr="005C1DB5">
        <w:t>it is essential to understand the relationship and distinction between risk and expected returns. All else being equal, we consider an unregulated monopoly will have higher risk and higher expected returns than a regulated monopoly. This is because regulation:</w:t>
      </w:r>
    </w:p>
    <w:p w:rsidR="005C1DB5" w:rsidRDefault="005C1DB5" w:rsidP="005C1DB5">
      <w:pPr>
        <w:pStyle w:val="AERbulletlistfirststyle"/>
      </w:pPr>
      <w:r>
        <w:t xml:space="preserve"> mitigates monopolies from being able to extract monopoly rents, thereby constraining potential profits</w:t>
      </w:r>
    </w:p>
    <w:p w:rsidR="005C1DB5" w:rsidRDefault="005C1DB5" w:rsidP="005C1DB5">
      <w:pPr>
        <w:pStyle w:val="AERbulletlistfirststyle"/>
      </w:pPr>
      <w:r>
        <w:t>increases the certainty of the revenue stream, thereby reducing risk.</w:t>
      </w:r>
    </w:p>
    <w:p w:rsidR="005C1DB5" w:rsidRPr="005C1DB5" w:rsidRDefault="005C1DB5" w:rsidP="00104749">
      <w:r>
        <w:t xml:space="preserve">For clarity, </w:t>
      </w:r>
      <w:r w:rsidRPr="005C1DB5">
        <w:t>regulation reduces both risks that are compensated through the rate of return (for example, demand risk) and risks that would not be compensated through the rate of return (for example, by allowing cost pass throughs for unsystematic risks such as industry-specific tax changes or geographic-specific natural disasters). We only focus on risks that are compensated through the rate of return (compensable risks).</w:t>
      </w:r>
    </w:p>
    <w:p w:rsidR="005C1DB5" w:rsidRPr="005C1DB5" w:rsidRDefault="005C1DB5" w:rsidP="00104749">
      <w:r>
        <w:t xml:space="preserve">Incentive regulation affects </w:t>
      </w:r>
      <w:r w:rsidRPr="005C1DB5">
        <w:t>compensable risks by allowing service providers to earn more stable cash flows with periodic resets of revenues to better reflect actual expenditure. Most unregulated businesses do not have these same protections or restrictions, and so are likely to have a different systematic risk profile. We carefully considered this role when developing the Guideline when considering whether a benchmark efficient entity referred to in the context of the ARORO is likely to be regulated.</w:t>
      </w:r>
      <w:r w:rsidRPr="005C1DB5">
        <w:rPr>
          <w:rStyle w:val="FootnoteReference"/>
        </w:rPr>
        <w:footnoteReference w:id="80"/>
      </w:r>
      <w:r w:rsidRPr="005C1DB5">
        <w:t xml:space="preserve"> Frontier has also recognised the role of regulation in affecting risk in advising:</w:t>
      </w:r>
      <w:r w:rsidRPr="005C1DB5">
        <w:rPr>
          <w:rStyle w:val="FootnoteReference"/>
        </w:rPr>
        <w:footnoteReference w:id="81"/>
      </w:r>
    </w:p>
    <w:p w:rsidR="005C1DB5" w:rsidRPr="00F23C1C" w:rsidRDefault="005C1DB5" w:rsidP="005C1DB5">
      <w:pPr>
        <w:pStyle w:val="AERquote"/>
      </w:pPr>
      <w:r w:rsidRPr="00F23C1C">
        <w:t>The form and nature of regulation applicable to Australian energy networks mitigates most of the business risks they face as compared to the business risks faced by other types of firms in the economy. Regulated revenues are set on a periodic basis and changes in volumes may only affect the timing of revenues (under a revenue cap). Even where revenues fall short of expectations due to lower volumes (as under a price cap), the lower volumes imply that costs would probably also have been lower than expected. Unanticipated or poorly-managed changes in costs are partly borne by customers and only partly by the network business through the building block form of incentive regulation that applies. Stranding and optimisation risks are minimal for energy networks, a complete contrast to businesses operating in other sectors.</w:t>
      </w:r>
    </w:p>
    <w:p w:rsidR="005C1DB5" w:rsidRDefault="005C1DB5" w:rsidP="005C1DB5">
      <w:r>
        <w:t>Consumer Challenge Sub-Panel 3 (CCP3) also recognised this in highlighting the need to take into account the protections provided under the regulatory framework</w:t>
      </w:r>
      <w:r w:rsidRPr="0062715B">
        <w:t xml:space="preserve"> </w:t>
      </w:r>
      <w:r>
        <w:t>when making assessments about a benchmark efficient entity with a similar degree of risk as a service provider. These included risk reductions arising from:</w:t>
      </w:r>
      <w:r>
        <w:rPr>
          <w:rStyle w:val="FootnoteReference"/>
        </w:rPr>
        <w:footnoteReference w:id="82"/>
      </w:r>
    </w:p>
    <w:p w:rsidR="005C1DB5" w:rsidRPr="005C1DB5" w:rsidRDefault="005C1DB5" w:rsidP="005C1DB5">
      <w:pPr>
        <w:pStyle w:val="AERbulletlistfirststyle"/>
      </w:pPr>
      <w:r w:rsidRPr="003E0036">
        <w:t>a revenue cap</w:t>
      </w:r>
      <w:r w:rsidRPr="005C1DB5">
        <w:t>, which removes volume risk</w:t>
      </w:r>
    </w:p>
    <w:p w:rsidR="005C1DB5" w:rsidRPr="005C1DB5" w:rsidRDefault="005C1DB5" w:rsidP="005C1DB5">
      <w:pPr>
        <w:pStyle w:val="AERbulletlistfirststyle"/>
      </w:pPr>
      <w:r w:rsidRPr="003E0036">
        <w:t>the indexation of the RAB</w:t>
      </w:r>
      <w:r w:rsidRPr="005C1DB5">
        <w:t>, which protects the value of the underlying assets even when they might otherwise be written down in a commercial environment</w:t>
      </w:r>
    </w:p>
    <w:p w:rsidR="005C1DB5" w:rsidRPr="005C1DB5" w:rsidRDefault="005C1DB5" w:rsidP="005C1DB5">
      <w:pPr>
        <w:pStyle w:val="AERbulletlistfirststyle"/>
      </w:pPr>
      <w:r w:rsidRPr="003E0036">
        <w:t>the progressive transition to a 10</w:t>
      </w:r>
      <w:r w:rsidRPr="005C1DB5">
        <w:rPr>
          <w:rFonts w:ascii="Cambria Math" w:hAnsi="Cambria Math" w:cs="Cambria Math"/>
        </w:rPr>
        <w:t>‐</w:t>
      </w:r>
      <w:r w:rsidRPr="005C1DB5">
        <w:t>year trailing average, including annual updating of the return on debt.</w:t>
      </w:r>
    </w:p>
    <w:p w:rsidR="005C1DB5" w:rsidRPr="005C1DB5" w:rsidRDefault="005C1DB5" w:rsidP="00104749">
      <w:pPr>
        <w:rPr>
          <w:rStyle w:val="AERbody"/>
        </w:rPr>
      </w:pPr>
      <w:r>
        <w:t>M</w:t>
      </w:r>
      <w:r w:rsidRPr="005C1DB5">
        <w:t xml:space="preserve">any of the risks that the regulatory regime affects are systematic and therefore affect the cost of capital (or rate of return). From being inherently less exposed to systematic risk, regulated service providers have lower </w:t>
      </w:r>
      <w:r w:rsidRPr="005C1DB5">
        <w:rPr>
          <w:rStyle w:val="AERbody"/>
        </w:rPr>
        <w:t>equity betas than if they were unregulated and therefore lower costs of equity. Also</w:t>
      </w:r>
      <w:r w:rsidRPr="005C1DB5">
        <w:t>, given their lower risk cash flows</w:t>
      </w:r>
      <w:r w:rsidRPr="005C1DB5">
        <w:rPr>
          <w:rStyle w:val="AERbody"/>
        </w:rPr>
        <w:t xml:space="preserve">, regulated service providers might issue a </w:t>
      </w:r>
      <w:r w:rsidRPr="005C1DB5">
        <w:t>higher proportion of debt than if they were unregulated. This reduces their cost of capital if debt is cheaper than equity, for example due to taxes or other market imperfections. As a result, we consider a benchmark efficient entity faces lower compensable risk than would otherwise be the case absent regulation. As such, it would have a lower cost of capital.</w:t>
      </w:r>
    </w:p>
    <w:p w:rsidR="005C1DB5" w:rsidRPr="005C1DB5" w:rsidRDefault="005C1DB5" w:rsidP="00104749">
      <w:r>
        <w:rPr>
          <w:rStyle w:val="AERbody"/>
        </w:rPr>
        <w:t xml:space="preserve">Some systematic risks that regulation </w:t>
      </w:r>
      <w:r w:rsidRPr="005C1DB5">
        <w:rPr>
          <w:rStyle w:val="AERbody"/>
        </w:rPr>
        <w:t>reduces include:</w:t>
      </w:r>
    </w:p>
    <w:p w:rsidR="005C1DB5" w:rsidRPr="005C1DB5" w:rsidRDefault="005C1DB5" w:rsidP="005C1DB5">
      <w:pPr>
        <w:pStyle w:val="AERbulletlistfirststyle"/>
      </w:pPr>
      <w:r>
        <w:t xml:space="preserve">Demand risk: the </w:t>
      </w:r>
      <w:r w:rsidRPr="005C1DB5">
        <w:t>revenue or price setting mechanism mitigates demand risk. Under a price cap, service providers may mitigate the risk of forecast error by restructuring tariffs, such that higher fixed charges are set to offset falls in demand. Under a revenue cap, where forecast quantity demanded differs from actual quantity demanded, service providers are made whole for any variation through price adjustments in subsequent years. Further, in most cases, a transmission service provider will determine prices based on historical demand which reduces intra year revenue variations. This effectively mitigates the risk associated with demand volatility.</w:t>
      </w:r>
    </w:p>
    <w:p w:rsidR="005C1DB5" w:rsidRDefault="005C1DB5" w:rsidP="005C1DB5">
      <w:pPr>
        <w:pStyle w:val="AERbulletlistfirststyle"/>
      </w:pPr>
      <w:r>
        <w:t>Inflation risk: Regulated service providers face less inflation risk than unregulated businesses. Under the regulatory framework, they effectively expect to receive a  real return on their investments in their RABs and to also have their RABs indexed for actual inflation.</w:t>
      </w:r>
    </w:p>
    <w:p w:rsidR="005C1DB5" w:rsidRDefault="005C1DB5" w:rsidP="005C1DB5">
      <w:pPr>
        <w:pStyle w:val="AERbulletlistfirststyle"/>
      </w:pPr>
      <w:r>
        <w:t xml:space="preserve">Interest rate risk: Both regulated and unregulated service providers are exposed to interest rate risk. The regulatory framework effectively moves risk of interest rate movements impacting financing costs onto customers. Where service providers raise capital during the averaging period/s that they know in advance they can further limit their exposure to this risk. To the extent they are unable to raise capital over the averaging period/s, they can still materially reduce their exposure to interest rate risk by hedging the base rate. </w:t>
      </w:r>
    </w:p>
    <w:p w:rsidR="005C1DB5" w:rsidRDefault="00104749" w:rsidP="005C1DB5">
      <w:r>
        <w:fldChar w:fldCharType="begin"/>
      </w:r>
      <w:r>
        <w:instrText xml:space="preserve"> REF _Ref450921382 \h </w:instrText>
      </w:r>
      <w:r>
        <w:fldChar w:fldCharType="separate"/>
      </w:r>
      <w:r w:rsidR="001A023B">
        <w:t xml:space="preserve">Table </w:t>
      </w:r>
      <w:r w:rsidR="001A023B">
        <w:rPr>
          <w:noProof/>
        </w:rPr>
        <w:t>3</w:t>
      </w:r>
      <w:r w:rsidR="001A023B">
        <w:noBreakHyphen/>
      </w:r>
      <w:r w:rsidR="001A023B">
        <w:rPr>
          <w:noProof/>
        </w:rPr>
        <w:t>3</w:t>
      </w:r>
      <w:r>
        <w:fldChar w:fldCharType="end"/>
      </w:r>
      <w:r>
        <w:t xml:space="preserve"> </w:t>
      </w:r>
      <w:r w:rsidR="005C1DB5">
        <w:t>summarises a selection of provisions in the</w:t>
      </w:r>
      <w:r w:rsidR="00C14C3D">
        <w:t xml:space="preserve"> NGR</w:t>
      </w:r>
      <w:r w:rsidR="005C1DB5">
        <w:t xml:space="preserve"> that have the effect of mitigating various systematic and non-systematic risks.</w:t>
      </w:r>
    </w:p>
    <w:p w:rsidR="005C1DB5" w:rsidRDefault="005C1DB5" w:rsidP="005C1DB5">
      <w:pPr>
        <w:pStyle w:val="Caption"/>
      </w:pPr>
      <w:bookmarkStart w:id="37" w:name="_Ref450921382"/>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3</w:t>
      </w:r>
      <w:r w:rsidR="00120312">
        <w:rPr>
          <w:noProof/>
        </w:rPr>
        <w:fldChar w:fldCharType="end"/>
      </w:r>
      <w:bookmarkEnd w:id="37"/>
      <w:r>
        <w:t>: Key clauses in the</w:t>
      </w:r>
      <w:r w:rsidR="00C14C3D">
        <w:t xml:space="preserve"> NGR</w:t>
      </w:r>
      <w:r>
        <w:t xml:space="preserve"> that mitigate systematic risk</w:t>
      </w:r>
    </w:p>
    <w:tbl>
      <w:tblPr>
        <w:tblStyle w:val="AERtable-text0"/>
        <w:tblW w:w="0" w:type="auto"/>
        <w:tblLook w:val="04A0" w:firstRow="1" w:lastRow="0" w:firstColumn="1" w:lastColumn="0" w:noHBand="0" w:noVBand="1"/>
      </w:tblPr>
      <w:tblGrid>
        <w:gridCol w:w="1242"/>
        <w:gridCol w:w="7451"/>
      </w:tblGrid>
      <w:tr w:rsidR="005C1DB5" w:rsidTr="00BB7AE6">
        <w:trPr>
          <w:cnfStyle w:val="100000000000" w:firstRow="1" w:lastRow="0" w:firstColumn="0" w:lastColumn="0" w:oddVBand="0" w:evenVBand="0" w:oddHBand="0" w:evenHBand="0" w:firstRowFirstColumn="0" w:firstRowLastColumn="0" w:lastRowFirstColumn="0" w:lastRowLastColumn="0"/>
          <w:tblHeader/>
        </w:trPr>
        <w:tc>
          <w:tcPr>
            <w:tcW w:w="1242" w:type="dxa"/>
          </w:tcPr>
          <w:p w:rsidR="005C1DB5" w:rsidRPr="005C1DB5" w:rsidRDefault="005C1DB5" w:rsidP="005C1DB5">
            <w:r>
              <w:t>Rule</w:t>
            </w:r>
          </w:p>
        </w:tc>
        <w:tc>
          <w:tcPr>
            <w:tcW w:w="7451" w:type="dxa"/>
          </w:tcPr>
          <w:p w:rsidR="005C1DB5" w:rsidRPr="005C1DB5" w:rsidRDefault="005C1DB5" w:rsidP="005C1DB5">
            <w:r>
              <w:t>Effect on risk</w:t>
            </w:r>
          </w:p>
        </w:tc>
      </w:tr>
      <w:tr w:rsidR="00C14C3D" w:rsidTr="00C14C3D">
        <w:tc>
          <w:tcPr>
            <w:tcW w:w="1242" w:type="dxa"/>
            <w:hideMark/>
          </w:tcPr>
          <w:p w:rsidR="00C14C3D" w:rsidRPr="00C14C3D" w:rsidRDefault="00C14C3D" w:rsidP="00C14C3D">
            <w:r w:rsidRPr="00C14C3D">
              <w:t>50</w:t>
            </w:r>
          </w:p>
        </w:tc>
        <w:tc>
          <w:tcPr>
            <w:tcW w:w="7451" w:type="dxa"/>
            <w:hideMark/>
          </w:tcPr>
          <w:p w:rsidR="00C14C3D" w:rsidRPr="00C14C3D" w:rsidRDefault="00C14C3D" w:rsidP="00C14C3D">
            <w:r w:rsidRPr="00C14C3D">
              <w:t>The term of each access arrangement period is a fixed duration, and generally five years, in which a service provider is provided with a regulated return on its assets, certainty about reference tariffs and fixed terms of access for its services, supported by arbitration.</w:t>
            </w:r>
          </w:p>
        </w:tc>
      </w:tr>
      <w:tr w:rsidR="00C14C3D" w:rsidTr="00C14C3D">
        <w:trPr>
          <w:cnfStyle w:val="000000010000" w:firstRow="0" w:lastRow="0" w:firstColumn="0" w:lastColumn="0" w:oddVBand="0" w:evenVBand="0" w:oddHBand="0" w:evenHBand="1" w:firstRowFirstColumn="0" w:firstRowLastColumn="0" w:lastRowFirstColumn="0" w:lastRowLastColumn="0"/>
        </w:trPr>
        <w:tc>
          <w:tcPr>
            <w:tcW w:w="1242" w:type="dxa"/>
            <w:hideMark/>
          </w:tcPr>
          <w:p w:rsidR="00C14C3D" w:rsidRPr="00C14C3D" w:rsidRDefault="00C14C3D" w:rsidP="00C14C3D">
            <w:r w:rsidRPr="00C14C3D">
              <w:t>92</w:t>
            </w:r>
          </w:p>
        </w:tc>
        <w:tc>
          <w:tcPr>
            <w:tcW w:w="7451" w:type="dxa"/>
            <w:hideMark/>
          </w:tcPr>
          <w:p w:rsidR="00C14C3D" w:rsidRPr="00C14C3D" w:rsidRDefault="00C14C3D" w:rsidP="00C14C3D">
            <w:r w:rsidRPr="00C14C3D">
              <w:t>A reference tariff variation mechanism accounts for indexation and annual increases in efficient input costs.  The reference tariff variation can be used to smooth the reference tariff from year to year to provide service providers with a stable level of revenue over each access arrangement period, reducing risks of short term revenue and pricing volatility.</w:t>
            </w:r>
          </w:p>
        </w:tc>
      </w:tr>
      <w:tr w:rsidR="00C14C3D" w:rsidTr="00C14C3D">
        <w:tc>
          <w:tcPr>
            <w:tcW w:w="1242" w:type="dxa"/>
            <w:hideMark/>
          </w:tcPr>
          <w:p w:rsidR="00C14C3D" w:rsidRPr="00C14C3D" w:rsidRDefault="00C14C3D" w:rsidP="00C14C3D">
            <w:r w:rsidRPr="00C14C3D">
              <w:t>97(5)</w:t>
            </w:r>
          </w:p>
        </w:tc>
        <w:tc>
          <w:tcPr>
            <w:tcW w:w="7451" w:type="dxa"/>
            <w:hideMark/>
          </w:tcPr>
          <w:p w:rsidR="00C14C3D" w:rsidRPr="00C14C3D" w:rsidRDefault="00C14C3D" w:rsidP="00C14C3D">
            <w:r w:rsidRPr="00C14C3D">
              <w:t xml:space="preserve">The prices service providers may charge for reference services are certain.  Reference tariffs are not to vary during the course of an access arrangement period except as provided by a reference tariff variation mechanism. </w:t>
            </w:r>
          </w:p>
        </w:tc>
      </w:tr>
      <w:tr w:rsidR="00C14C3D" w:rsidTr="00C14C3D">
        <w:trPr>
          <w:cnfStyle w:val="000000010000" w:firstRow="0" w:lastRow="0" w:firstColumn="0" w:lastColumn="0" w:oddVBand="0" w:evenVBand="0" w:oddHBand="0" w:evenHBand="1" w:firstRowFirstColumn="0" w:firstRowLastColumn="0" w:lastRowFirstColumn="0" w:lastRowLastColumn="0"/>
        </w:trPr>
        <w:tc>
          <w:tcPr>
            <w:tcW w:w="1242" w:type="dxa"/>
          </w:tcPr>
          <w:p w:rsidR="00C14C3D" w:rsidRPr="00C14C3D" w:rsidRDefault="00C14C3D" w:rsidP="00C14C3D"/>
          <w:p w:rsidR="00C14C3D" w:rsidRPr="00C14C3D" w:rsidRDefault="00C14C3D" w:rsidP="00C14C3D">
            <w:r>
              <w:t>76, 77, 78,87(1), </w:t>
            </w:r>
            <w:r w:rsidRPr="00C14C3D">
              <w:t>90</w:t>
            </w:r>
          </w:p>
        </w:tc>
        <w:tc>
          <w:tcPr>
            <w:tcW w:w="7451" w:type="dxa"/>
            <w:hideMark/>
          </w:tcPr>
          <w:p w:rsidR="00C14C3D" w:rsidRPr="00C14C3D" w:rsidRDefault="00C14C3D" w:rsidP="00270CE2">
            <w:r w:rsidRPr="00C14C3D">
              <w:t xml:space="preserve">The AER’s determination of reference tariffs incorporates a return on and of the service provider's asset base. The historical asset base rolls forward from one </w:t>
            </w:r>
            <w:r w:rsidR="00270CE2">
              <w:t xml:space="preserve">access arrangement </w:t>
            </w:r>
            <w:r w:rsidRPr="00C14C3D">
              <w:t>period to the next and from year to year within each</w:t>
            </w:r>
            <w:r w:rsidR="00270CE2">
              <w:t xml:space="preserve"> a</w:t>
            </w:r>
            <w:r w:rsidR="00270CE2" w:rsidRPr="00270CE2">
              <w:t xml:space="preserve">ccess arrangement </w:t>
            </w:r>
            <w:r w:rsidRPr="00C14C3D">
              <w:t xml:space="preserve">period.  The NGR provides for recovery of historical asset costs through depreciation, the earning of a return on the asset base, indexation and recovery of future efficient capex. This substantially lessens risks in capital investment that might otherwise apply to a business operating in a workably competitive market. </w:t>
            </w:r>
          </w:p>
        </w:tc>
      </w:tr>
      <w:tr w:rsidR="00C14C3D" w:rsidTr="00C14C3D">
        <w:tc>
          <w:tcPr>
            <w:tcW w:w="1242" w:type="dxa"/>
            <w:hideMark/>
          </w:tcPr>
          <w:p w:rsidR="00C14C3D" w:rsidRPr="00C14C3D" w:rsidRDefault="00C14C3D" w:rsidP="00C14C3D">
            <w:r w:rsidRPr="00C14C3D">
              <w:t>87</w:t>
            </w:r>
          </w:p>
        </w:tc>
        <w:tc>
          <w:tcPr>
            <w:tcW w:w="7451" w:type="dxa"/>
            <w:hideMark/>
          </w:tcPr>
          <w:p w:rsidR="00C14C3D" w:rsidRPr="00C14C3D" w:rsidRDefault="00C14C3D" w:rsidP="00C14C3D">
            <w:r w:rsidRPr="00C14C3D">
              <w:t xml:space="preserve">The AER sets the rate of return on the asset base by reference to the risks faced by the service provider.  The AER updates this each </w:t>
            </w:r>
            <w:r w:rsidR="00270CE2">
              <w:t>a</w:t>
            </w:r>
            <w:r w:rsidR="00270CE2" w:rsidRPr="00270CE2">
              <w:t>ccess arrangement</w:t>
            </w:r>
            <w:r w:rsidRPr="00C14C3D">
              <w:t xml:space="preserve"> period to account for changed market conditions.</w:t>
            </w:r>
          </w:p>
        </w:tc>
      </w:tr>
      <w:tr w:rsidR="00C14C3D" w:rsidTr="00C14C3D">
        <w:trPr>
          <w:cnfStyle w:val="000000010000" w:firstRow="0" w:lastRow="0" w:firstColumn="0" w:lastColumn="0" w:oddVBand="0" w:evenVBand="0" w:oddHBand="0" w:evenHBand="1" w:firstRowFirstColumn="0" w:firstRowLastColumn="0" w:lastRowFirstColumn="0" w:lastRowLastColumn="0"/>
        </w:trPr>
        <w:tc>
          <w:tcPr>
            <w:tcW w:w="1242" w:type="dxa"/>
            <w:hideMark/>
          </w:tcPr>
          <w:p w:rsidR="00C14C3D" w:rsidRPr="00C14C3D" w:rsidRDefault="00C14C3D" w:rsidP="00C14C3D">
            <w:r w:rsidRPr="00C14C3D">
              <w:t>87A</w:t>
            </w:r>
          </w:p>
        </w:tc>
        <w:tc>
          <w:tcPr>
            <w:tcW w:w="7451" w:type="dxa"/>
            <w:hideMark/>
          </w:tcPr>
          <w:p w:rsidR="00C14C3D" w:rsidRPr="00C14C3D" w:rsidRDefault="00C14C3D" w:rsidP="00C14C3D">
            <w:r w:rsidRPr="00C14C3D">
              <w:t>Provision for tax in determining total revenue is required regardless of whether the service provider pays tax.</w:t>
            </w:r>
          </w:p>
        </w:tc>
      </w:tr>
      <w:tr w:rsidR="00C14C3D" w:rsidTr="00C14C3D">
        <w:tc>
          <w:tcPr>
            <w:tcW w:w="1242" w:type="dxa"/>
            <w:hideMark/>
          </w:tcPr>
          <w:p w:rsidR="00C14C3D" w:rsidRPr="00C14C3D" w:rsidRDefault="00C14C3D" w:rsidP="00C14C3D">
            <w:r w:rsidRPr="00C14C3D">
              <w:t>79, 91</w:t>
            </w:r>
          </w:p>
        </w:tc>
        <w:tc>
          <w:tcPr>
            <w:tcW w:w="7451" w:type="dxa"/>
            <w:hideMark/>
          </w:tcPr>
          <w:p w:rsidR="00C14C3D" w:rsidRPr="00C14C3D" w:rsidRDefault="00C14C3D" w:rsidP="00C14C3D">
            <w:r w:rsidRPr="00C14C3D">
              <w:t>The AER assesses expenditure requirements for each service provider by reference to the amount necessary to meet standards and objectives.  These include the need to meet the expected demand for services and to meet safety and integrity standards and regulatory obligations or requirements.  The AER does not assess expenditure by reference to the capacity of consumers to pay.  This removes risks that could otherwise arise in providing a reliable and safe service.  The AER reassesses the requirements of service providers for each</w:t>
            </w:r>
            <w:r w:rsidR="00270CE2">
              <w:t xml:space="preserve"> a</w:t>
            </w:r>
            <w:r w:rsidR="00270CE2" w:rsidRPr="00270CE2">
              <w:t xml:space="preserve">ccess arrangement </w:t>
            </w:r>
            <w:r w:rsidRPr="00C14C3D">
              <w:t>period to account for changes in market conditions and trends.</w:t>
            </w:r>
          </w:p>
        </w:tc>
      </w:tr>
      <w:tr w:rsidR="00C14C3D" w:rsidTr="00C14C3D">
        <w:trPr>
          <w:cnfStyle w:val="000000010000" w:firstRow="0" w:lastRow="0" w:firstColumn="0" w:lastColumn="0" w:oddVBand="0" w:evenVBand="0" w:oddHBand="0" w:evenHBand="1" w:firstRowFirstColumn="0" w:firstRowLastColumn="0" w:lastRowFirstColumn="0" w:lastRowLastColumn="0"/>
        </w:trPr>
        <w:tc>
          <w:tcPr>
            <w:tcW w:w="1242" w:type="dxa"/>
            <w:hideMark/>
          </w:tcPr>
          <w:p w:rsidR="00C14C3D" w:rsidRPr="00C14C3D" w:rsidRDefault="00C14C3D" w:rsidP="00C14C3D">
            <w:r w:rsidRPr="00C14C3D">
              <w:t xml:space="preserve">97 (1)(c) </w:t>
            </w:r>
          </w:p>
        </w:tc>
        <w:tc>
          <w:tcPr>
            <w:tcW w:w="7451" w:type="dxa"/>
            <w:hideMark/>
          </w:tcPr>
          <w:p w:rsidR="00C14C3D" w:rsidRPr="00C14C3D" w:rsidRDefault="00C14C3D" w:rsidP="00C14C3D">
            <w:r w:rsidRPr="00C14C3D">
              <w:t>Allows service providers to pass through certain costs to consumers in circumstances where this might not be possible in a workably competitive market.  For instance, the pass through provisions provide for a pass through of costs that arise through regulatory changes.</w:t>
            </w:r>
          </w:p>
        </w:tc>
      </w:tr>
      <w:tr w:rsidR="00C14C3D" w:rsidTr="00C14C3D">
        <w:tc>
          <w:tcPr>
            <w:tcW w:w="1242" w:type="dxa"/>
            <w:hideMark/>
          </w:tcPr>
          <w:p w:rsidR="00C14C3D" w:rsidRPr="00C14C3D" w:rsidRDefault="00C14C3D" w:rsidP="00C14C3D">
            <w:r w:rsidRPr="00C14C3D">
              <w:t>80-86, and 103-104</w:t>
            </w:r>
          </w:p>
        </w:tc>
        <w:tc>
          <w:tcPr>
            <w:tcW w:w="7451" w:type="dxa"/>
            <w:hideMark/>
          </w:tcPr>
          <w:p w:rsidR="00C14C3D" w:rsidRPr="00C14C3D" w:rsidRDefault="00C14C3D" w:rsidP="00C14C3D">
            <w:r w:rsidRPr="00C14C3D">
              <w:t>Includes provisions for appropriate planning which allow for greater certainty to deal with changes in the commercial environment, including provisions for dealing with the funding of new projects during an access arrangement period, and the treatment of extensions and expansions and customer access queuing.</w:t>
            </w:r>
          </w:p>
        </w:tc>
      </w:tr>
      <w:tr w:rsidR="00C14C3D" w:rsidTr="00C14C3D">
        <w:trPr>
          <w:cnfStyle w:val="000000010000" w:firstRow="0" w:lastRow="0" w:firstColumn="0" w:lastColumn="0" w:oddVBand="0" w:evenVBand="0" w:oddHBand="0" w:evenHBand="1" w:firstRowFirstColumn="0" w:firstRowLastColumn="0" w:lastRowFirstColumn="0" w:lastRowLastColumn="0"/>
        </w:trPr>
        <w:tc>
          <w:tcPr>
            <w:tcW w:w="1242" w:type="dxa"/>
            <w:hideMark/>
          </w:tcPr>
          <w:p w:rsidR="00C14C3D" w:rsidRPr="00C14C3D" w:rsidRDefault="00C14C3D" w:rsidP="00C14C3D">
            <w:r w:rsidRPr="00C14C3D">
              <w:t>Parts 19-21</w:t>
            </w:r>
          </w:p>
        </w:tc>
        <w:tc>
          <w:tcPr>
            <w:tcW w:w="7451" w:type="dxa"/>
            <w:hideMark/>
          </w:tcPr>
          <w:p w:rsidR="00C14C3D" w:rsidRPr="00C14C3D" w:rsidRDefault="00C14C3D" w:rsidP="00C14C3D">
            <w:r w:rsidRPr="00C14C3D">
              <w:t xml:space="preserve">Provides for a statutory billing and settlements framework with prudential requirements (and other similar provisions) to minimise financial risk associated with providing and charging for services.  There is also provision for dealing with potential risks associated with retailer insolvency. </w:t>
            </w:r>
          </w:p>
        </w:tc>
      </w:tr>
    </w:tbl>
    <w:p w:rsidR="005C1DB5" w:rsidRDefault="005C1DB5" w:rsidP="00C14C3D">
      <w:pPr>
        <w:pStyle w:val="AERtablesource"/>
        <w:ind w:left="0" w:firstLine="0"/>
      </w:pPr>
      <w:r>
        <w:t>Source: NGR, AER analysis.</w:t>
      </w:r>
    </w:p>
    <w:p w:rsidR="005C1DB5" w:rsidRPr="00785554" w:rsidRDefault="005C1DB5" w:rsidP="005C1DB5">
      <w:pPr>
        <w:pStyle w:val="HeadingBoldItalic"/>
        <w:rPr>
          <w:rStyle w:val="AERbody"/>
        </w:rPr>
      </w:pPr>
      <w:r w:rsidRPr="00785554">
        <w:rPr>
          <w:rStyle w:val="AERbody"/>
        </w:rPr>
        <w:t>Outcomes of a workably competitive market</w:t>
      </w:r>
    </w:p>
    <w:p w:rsidR="005C1DB5" w:rsidRDefault="005C1DB5" w:rsidP="005C1DB5">
      <w:pPr>
        <w:numPr>
          <w:ilvl w:val="0"/>
          <w:numId w:val="24"/>
        </w:numPr>
      </w:pPr>
      <w:r>
        <w:rPr>
          <w:rStyle w:val="AERbody"/>
        </w:rPr>
        <w:t>For clarity, we consider the</w:t>
      </w:r>
      <w:r w:rsidDel="0080070C">
        <w:t xml:space="preserve"> </w:t>
      </w:r>
      <w:r>
        <w:t xml:space="preserve">regulatory regime should seek to replicate the outcomes of a workably competitive market to the extent possible (notwithstanding that this is not an explicit requirement of the rules nor the NEL/NGL). We consider that this would entail replicating (to the extent possible while achieving the objectives of regulation) </w:t>
      </w:r>
      <w:r w:rsidRPr="00E64F99">
        <w:t xml:space="preserve">outcomes that a workably competitive market </w:t>
      </w:r>
      <w:r>
        <w:t xml:space="preserve">would theoretically produce </w:t>
      </w:r>
      <w:r w:rsidRPr="00E64F99">
        <w:t>with respect to efficiency and the resulting prices and service levels.</w:t>
      </w:r>
      <w:r>
        <w:rPr>
          <w:rStyle w:val="FootnoteReference"/>
        </w:rPr>
        <w:footnoteReference w:id="83"/>
      </w:r>
      <w:r>
        <w:t xml:space="preserve"> Incentive regulation aims to replicate these outcomes where competition is not available to achieve this. We are in an environment where competition is not viable as energy network service providers are natural monopolies. Consistent with economic theory, </w:t>
      </w:r>
      <w:r w:rsidRPr="00E64F99">
        <w:t>'the essence of natural monopoly is that there are increasing returns in production and that the level of demand is such that only a single firm can be profitable'.</w:t>
      </w:r>
      <w:r w:rsidRPr="00E64F99">
        <w:rPr>
          <w:rStyle w:val="FootnoteReference"/>
        </w:rPr>
        <w:footnoteReference w:id="84"/>
      </w:r>
    </w:p>
    <w:p w:rsidR="005C1DB5" w:rsidRDefault="005C1DB5" w:rsidP="005C1DB5">
      <w:pPr>
        <w:numPr>
          <w:ilvl w:val="0"/>
          <w:numId w:val="24"/>
        </w:numPr>
      </w:pPr>
      <w:r>
        <w:t>Incentive regulation aims to replicate workably competitive market outcomes by:</w:t>
      </w:r>
    </w:p>
    <w:p w:rsidR="005C1DB5" w:rsidRDefault="005C1DB5" w:rsidP="005C1DB5">
      <w:pPr>
        <w:pStyle w:val="AERbulletlistfirststyle"/>
      </w:pPr>
      <w:r>
        <w:t>Constraining monopoly rents by seeking for customers to only pay for efficient costs of providing the service. This results in service providers having a lower rate of return than if they were unregulated.</w:t>
      </w:r>
    </w:p>
    <w:p w:rsidR="005C1DB5" w:rsidRPr="005C1DB5" w:rsidRDefault="005C1DB5" w:rsidP="005C1DB5">
      <w:pPr>
        <w:pStyle w:val="AERbulletlistfirststyle"/>
      </w:pPr>
      <w:r>
        <w:t>Incentivising service providers to operate efficiently.</w:t>
      </w:r>
    </w:p>
    <w:p w:rsidR="005C1DB5" w:rsidRDefault="005C1DB5" w:rsidP="005C1DB5">
      <w:r>
        <w:t>Applying the first point to the allowed rate of return, the allowed rate of return should be consistent with the efficient financing cost of providing regulated services.</w:t>
      </w:r>
      <w:r>
        <w:rPr>
          <w:rStyle w:val="FootnoteReference"/>
        </w:rPr>
        <w:footnoteReference w:id="85"/>
      </w:r>
      <w:r>
        <w:t xml:space="preserve"> As</w:t>
      </w:r>
      <w:r w:rsidR="004C5238">
        <w:t xml:space="preserve"> we discuss above and in Appendix </w:t>
      </w:r>
      <w:r w:rsidR="004C5238">
        <w:fldChar w:fldCharType="begin"/>
      </w:r>
      <w:r w:rsidR="004C5238">
        <w:instrText xml:space="preserve"> REF _Ref451326987 \r \h </w:instrText>
      </w:r>
      <w:r w:rsidR="004C5238">
        <w:fldChar w:fldCharType="separate"/>
      </w:r>
      <w:r w:rsidR="001A023B">
        <w:t>H</w:t>
      </w:r>
      <w:r w:rsidR="004C5238">
        <w:fldChar w:fldCharType="end"/>
      </w:r>
      <w:r>
        <w:t>, we consider the current (or prevailing) cost of capital to be the efficient cost of capital. P</w:t>
      </w:r>
      <w:r w:rsidRPr="002624EC">
        <w:t xml:space="preserve">revailing market rates for capital finance </w:t>
      </w:r>
      <w:r>
        <w:t xml:space="preserve">are expected </w:t>
      </w:r>
      <w:r w:rsidRPr="002624EC">
        <w:t>to be competitive.</w:t>
      </w:r>
      <w:r w:rsidRPr="002624EC">
        <w:rPr>
          <w:rStyle w:val="FootnoteReference"/>
        </w:rPr>
        <w:footnoteReference w:id="86"/>
      </w:r>
      <w:r w:rsidRPr="002624EC">
        <w:t xml:space="preserve"> </w:t>
      </w:r>
      <w:r>
        <w:t>P</w:t>
      </w:r>
      <w:r w:rsidRPr="002624EC">
        <w:t xml:space="preserve">revailing market rates </w:t>
      </w:r>
      <w:r>
        <w:t xml:space="preserve">also represent </w:t>
      </w:r>
      <w:r w:rsidRPr="002624EC">
        <w:t>the costs that other service providers will face to enter the market.</w:t>
      </w:r>
      <w:r w:rsidRPr="002624EC">
        <w:rPr>
          <w:rStyle w:val="FootnoteReference"/>
        </w:rPr>
        <w:footnoteReference w:id="87"/>
      </w:r>
    </w:p>
    <w:p w:rsidR="005C1DB5" w:rsidRDefault="005C1DB5" w:rsidP="005C1DB5">
      <w:r>
        <w:t>Applying the second point to the allowed rate of return, we encourage services providers to operate efficiently by</w:t>
      </w:r>
      <w:r w:rsidRPr="00650403">
        <w:rPr>
          <w:rStyle w:val="AERbody"/>
        </w:rPr>
        <w:t xml:space="preserve"> </w:t>
      </w:r>
      <w:r>
        <w:rPr>
          <w:rStyle w:val="AERbody"/>
        </w:rPr>
        <w:t>s</w:t>
      </w:r>
      <w:r w:rsidRPr="00650403">
        <w:rPr>
          <w:rStyle w:val="AERbody"/>
        </w:rPr>
        <w:t>etting an allowed rate of return</w:t>
      </w:r>
      <w:r>
        <w:rPr>
          <w:rStyle w:val="AERbody"/>
        </w:rPr>
        <w:t xml:space="preserve"> that</w:t>
      </w:r>
      <w:r>
        <w:t xml:space="preserve">: </w:t>
      </w:r>
    </w:p>
    <w:p w:rsidR="005C1DB5" w:rsidRPr="005C1DB5" w:rsidRDefault="005C1DB5" w:rsidP="005C1DB5">
      <w:pPr>
        <w:pStyle w:val="AERbulletlistfirststyle"/>
        <w:rPr>
          <w:rStyle w:val="AERbody"/>
        </w:rPr>
      </w:pPr>
      <w:r w:rsidRPr="00650403">
        <w:rPr>
          <w:rStyle w:val="AERbody"/>
        </w:rPr>
        <w:t xml:space="preserve">Does not distort investment decisions. </w:t>
      </w:r>
      <w:r w:rsidRPr="005C1DB5">
        <w:rPr>
          <w:rStyle w:val="AERbody"/>
        </w:rPr>
        <w:t>This differs from cost of service regulation, which entails compensating service providers for their actual costs no matter how inefficient.</w:t>
      </w:r>
    </w:p>
    <w:p w:rsidR="005C1DB5" w:rsidRPr="005C1DB5" w:rsidRDefault="005C1DB5" w:rsidP="005C1DB5">
      <w:pPr>
        <w:pStyle w:val="AERbulletlistfirststyle"/>
        <w:rPr>
          <w:rStyle w:val="AERbody"/>
        </w:rPr>
      </w:pPr>
      <w:r>
        <w:rPr>
          <w:rStyle w:val="AERbody"/>
        </w:rPr>
        <w:t xml:space="preserve">Is </w:t>
      </w:r>
      <w:r w:rsidRPr="005C1DB5">
        <w:rPr>
          <w:rStyle w:val="AERbody"/>
        </w:rPr>
        <w:t>consistent with the expected return in the competitive capital market (determined by demand and supply) for an investment of similar degree of risk as a service provider supplying regulated services.</w:t>
      </w:r>
    </w:p>
    <w:p w:rsidR="005C1DB5" w:rsidRPr="005C1DB5" w:rsidRDefault="005C1DB5" w:rsidP="005C1DB5">
      <w:pPr>
        <w:pStyle w:val="AERbulletlistfirststyle"/>
      </w:pPr>
      <w:r w:rsidRPr="00650403">
        <w:rPr>
          <w:rStyle w:val="AERbody"/>
        </w:rPr>
        <w:t>Incentivises service providers to seek the lowest cost financing (all else being equal).</w:t>
      </w:r>
    </w:p>
    <w:p w:rsidR="005C1DB5" w:rsidRPr="00E64F99" w:rsidRDefault="005C1DB5" w:rsidP="005C1DB5">
      <w:r>
        <w:t xml:space="preserve">For clarity, promoting an efficient competitive outcome would not necessarily </w:t>
      </w:r>
      <w:r w:rsidRPr="00E64F99">
        <w:t xml:space="preserve">entail </w:t>
      </w:r>
      <w:r>
        <w:t>assuming a benchmark efficient entity would</w:t>
      </w:r>
      <w:r w:rsidRPr="00E64F99">
        <w:t xml:space="preserve"> conduct </w:t>
      </w:r>
      <w:r>
        <w:t>all of its</w:t>
      </w:r>
      <w:r w:rsidRPr="00E64F99">
        <w:t xml:space="preserve"> </w:t>
      </w:r>
      <w:r>
        <w:t>activities</w:t>
      </w:r>
      <w:r w:rsidRPr="00E64F99">
        <w:t xml:space="preserve"> as we would imagine an unregulated firm would. </w:t>
      </w:r>
      <w:r>
        <w:t>As before, an unregulated benchmark efficient entity would be a natural monopoly. As Partington and Satchell advise, an unregulated benchmark with monopoly power is not appropriate because, '</w:t>
      </w:r>
      <w:r w:rsidRPr="00247802">
        <w:t>if the benchmark entity is an unregulated firm which has monopoly power, then it will be extracting economic rents</w:t>
      </w:r>
      <w:r>
        <w:t>'.</w:t>
      </w:r>
      <w:r>
        <w:rPr>
          <w:rStyle w:val="FootnoteReference"/>
        </w:rPr>
        <w:footnoteReference w:id="88"/>
      </w:r>
    </w:p>
    <w:p w:rsidR="005C1DB5" w:rsidRDefault="005C1DB5" w:rsidP="005C1DB5">
      <w:pPr>
        <w:pStyle w:val="Heading3"/>
      </w:pPr>
      <w:bookmarkStart w:id="38" w:name="_Toc450917357"/>
      <w:bookmarkStart w:id="39" w:name="_Toc451945471"/>
      <w:r>
        <w:t>Return on debt factors in the rules</w:t>
      </w:r>
      <w:bookmarkEnd w:id="38"/>
      <w:bookmarkEnd w:id="39"/>
    </w:p>
    <w:p w:rsidR="005C1DB5" w:rsidRPr="002F1CCA" w:rsidRDefault="005C1DB5" w:rsidP="005C1DB5">
      <w:pPr>
        <w:numPr>
          <w:ilvl w:val="0"/>
          <w:numId w:val="24"/>
        </w:numPr>
      </w:pPr>
      <w:r w:rsidRPr="002F1CCA">
        <w:t xml:space="preserve">The </w:t>
      </w:r>
      <w:r>
        <w:t xml:space="preserve">rules </w:t>
      </w:r>
      <w:r w:rsidRPr="002F1CCA">
        <w:t>require that we must have regard to the following factors in estimating the return on debt:</w:t>
      </w:r>
      <w:r w:rsidRPr="001437CB">
        <w:rPr>
          <w:rStyle w:val="AERsuperscript"/>
        </w:rPr>
        <w:footnoteReference w:id="89"/>
      </w:r>
    </w:p>
    <w:p w:rsidR="005C1DB5" w:rsidRPr="005C1DB5" w:rsidRDefault="005C1DB5" w:rsidP="005C1DB5">
      <w:pPr>
        <w:pStyle w:val="AERbulletlistfirststyle"/>
      </w:pPr>
      <w:r w:rsidRPr="002F1CCA">
        <w:t xml:space="preserve">The desirability of minimising any difference between the return on debt and the return on debt of a benchmark efficient entity referred to in the </w:t>
      </w:r>
      <w:r w:rsidRPr="005C1DB5">
        <w:t>ARORO.</w:t>
      </w:r>
      <w:r w:rsidRPr="005C1DB5">
        <w:rPr>
          <w:rStyle w:val="AERsuperscript"/>
        </w:rPr>
        <w:footnoteReference w:id="90"/>
      </w:r>
      <w:r w:rsidRPr="005C1DB5">
        <w:t xml:space="preserve"> We understand this factor to mean the difference between the return on debt allowance and the cost of debt a benchmark efficient entity would incur. For clarity, we do not consider this factor relates 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p>
    <w:p w:rsidR="005C1DB5" w:rsidRPr="005C1DB5" w:rsidRDefault="005C1DB5" w:rsidP="005C1DB5">
      <w:pPr>
        <w:pStyle w:val="AERbulletlistfirststyle"/>
      </w:pPr>
      <w:r w:rsidRPr="002F1CCA">
        <w:t>The interrelationship between the return on equity and the return on debt.</w:t>
      </w:r>
      <w:r w:rsidRPr="005C1DB5">
        <w:rPr>
          <w:rStyle w:val="AERsuperscript"/>
        </w:rPr>
        <w:footnoteReference w:id="91"/>
      </w:r>
    </w:p>
    <w:p w:rsidR="005C1DB5" w:rsidRPr="005C1DB5" w:rsidRDefault="005C1DB5" w:rsidP="005C1DB5">
      <w:pPr>
        <w:pStyle w:val="AERbulletlistfirststyle"/>
      </w:pPr>
      <w:r w:rsidRPr="002F1CCA">
        <w:t xml:space="preserve">The incentives that the return on debt may provide in relation to capital expenditure over the </w:t>
      </w:r>
      <w:r w:rsidR="000934DD">
        <w:t>access arrangement</w:t>
      </w:r>
      <w:r w:rsidR="000934DD" w:rsidRPr="004F2761">
        <w:t xml:space="preserve"> </w:t>
      </w:r>
      <w:r w:rsidRPr="005C1DB5">
        <w:t>period, including as to the timing of any capital expenditure.</w:t>
      </w:r>
      <w:r w:rsidRPr="005C1DB5">
        <w:rPr>
          <w:rStyle w:val="AERsuperscript"/>
        </w:rPr>
        <w:footnoteReference w:id="92"/>
      </w:r>
    </w:p>
    <w:p w:rsidR="005C1DB5" w:rsidRPr="005C1DB5" w:rsidRDefault="005C1DB5" w:rsidP="005C1DB5">
      <w:pPr>
        <w:pStyle w:val="AERbulletlistfirststyle"/>
      </w:pPr>
      <w:r w:rsidRPr="002F1CCA">
        <w:t xml:space="preserve">Any impacts (including in relation to the costs of servicing debt across access arrangement periods) on a benchmark efficient entity referred to in the </w:t>
      </w:r>
      <w:r w:rsidRPr="005C1DB5">
        <w:t xml:space="preserve">ARORO that could arise as a result of changing the methodology that is used to estimate the return on debt from one </w:t>
      </w:r>
      <w:r w:rsidR="000934DD">
        <w:t>access arrangement</w:t>
      </w:r>
      <w:r w:rsidRPr="005C1DB5">
        <w:t xml:space="preserve"> period to the next.</w:t>
      </w:r>
      <w:r w:rsidRPr="005C1DB5">
        <w:rPr>
          <w:rStyle w:val="AERsuperscript"/>
        </w:rPr>
        <w:footnoteReference w:id="93"/>
      </w:r>
    </w:p>
    <w:p w:rsidR="005C1DB5" w:rsidRDefault="005C1DB5" w:rsidP="005C1DB5">
      <w:pPr>
        <w:rPr>
          <w:rStyle w:val="AERbody"/>
        </w:rPr>
      </w:pPr>
      <w:r>
        <w:t>Of these factors above, the latter</w:t>
      </w:r>
      <w:r w:rsidRPr="002F1CCA">
        <w:t xml:space="preserve"> is particularly relevant</w:t>
      </w:r>
      <w:r>
        <w:t>. This is</w:t>
      </w:r>
      <w:r w:rsidRPr="002F1CCA">
        <w:t xml:space="preserve"> </w:t>
      </w:r>
      <w:r>
        <w:t>because</w:t>
      </w:r>
      <w:r w:rsidRPr="002F1CCA">
        <w:t xml:space="preserve"> </w:t>
      </w:r>
      <w:r>
        <w:t>the</w:t>
      </w:r>
      <w:r w:rsidRPr="002F1CCA">
        <w:t xml:space="preserve"> method</w:t>
      </w:r>
      <w:r>
        <w:t>ology for estimating the return on debt</w:t>
      </w:r>
      <w:r w:rsidRPr="002F1CCA">
        <w:t xml:space="preserve"> </w:t>
      </w:r>
      <w:r>
        <w:t>in this decision is</w:t>
      </w:r>
      <w:r w:rsidRPr="002F1CCA">
        <w:t xml:space="preserve"> a change from the method</w:t>
      </w:r>
      <w:r>
        <w:t>ology</w:t>
      </w:r>
      <w:r w:rsidRPr="002F1CCA">
        <w:t xml:space="preserve"> used in the previous </w:t>
      </w:r>
      <w:r w:rsidR="000934DD">
        <w:t>access arrangement</w:t>
      </w:r>
      <w:r w:rsidR="000934DD" w:rsidRPr="004F2761">
        <w:t xml:space="preserve"> </w:t>
      </w:r>
      <w:r w:rsidRPr="002F1CCA">
        <w:t>period.</w:t>
      </w:r>
      <w:r w:rsidRPr="001437CB">
        <w:rPr>
          <w:rStyle w:val="AERsuperscript"/>
        </w:rPr>
        <w:footnoteReference w:id="94"/>
      </w:r>
      <w:r w:rsidRPr="001437CB">
        <w:rPr>
          <w:rStyle w:val="AERsuperscript"/>
        </w:rPr>
        <w:t xml:space="preserve"> </w:t>
      </w:r>
      <w:r w:rsidRPr="00FA6A21">
        <w:rPr>
          <w:rStyle w:val="AERbody"/>
        </w:rPr>
        <w:t xml:space="preserve"> </w:t>
      </w:r>
    </w:p>
    <w:p w:rsidR="005C1DB5" w:rsidRDefault="005C1DB5" w:rsidP="005C1DB5">
      <w:pPr>
        <w:rPr>
          <w:rStyle w:val="AERbody"/>
        </w:rPr>
      </w:pPr>
      <w:r>
        <w:t>Our transition between the two methodologies is '</w:t>
      </w:r>
      <w:r w:rsidRPr="00FA6A21">
        <w:t>revenue neutral'</w:t>
      </w:r>
      <w:r>
        <w:t xml:space="preserve"> in a present value sense.</w:t>
      </w:r>
      <w:r w:rsidRPr="00FA6A21">
        <w:t xml:space="preserve"> </w:t>
      </w:r>
      <w:r>
        <w:t>It</w:t>
      </w:r>
      <w:r w:rsidRPr="00FA6A21">
        <w:t xml:space="preserve"> prevents </w:t>
      </w:r>
      <w:r>
        <w:t>'</w:t>
      </w:r>
      <w:r w:rsidRPr="00FA6A21">
        <w:t>wealth transfers</w:t>
      </w:r>
      <w:r>
        <w:t>'</w:t>
      </w:r>
      <w:r>
        <w:rPr>
          <w:rStyle w:val="FootnoteReference"/>
        </w:rPr>
        <w:footnoteReference w:id="95"/>
      </w:r>
      <w:r w:rsidRPr="00FA6A21">
        <w:t xml:space="preserve"> </w:t>
      </w:r>
      <w:r>
        <w:t>flowing between a benchmark</w:t>
      </w:r>
      <w:r w:rsidR="000934DD">
        <w:t xml:space="preserve"> efficient</w:t>
      </w:r>
      <w:r>
        <w:t xml:space="preserve"> entity and its consumers because of the change in methodology. </w:t>
      </w:r>
      <w:r>
        <w:rPr>
          <w:rStyle w:val="AERbody"/>
        </w:rPr>
        <w:t>This mitigates any impacts</w:t>
      </w:r>
      <w:r w:rsidRPr="00500629">
        <w:t xml:space="preserve"> </w:t>
      </w:r>
      <w:r w:rsidRPr="00500629">
        <w:rPr>
          <w:rStyle w:val="AERbody"/>
        </w:rPr>
        <w:t xml:space="preserve">on a benchmark efficient entity that could arise as a result </w:t>
      </w:r>
      <w:r w:rsidRPr="002F1CCA">
        <w:t xml:space="preserve">of changing the methodology that is used to estimate the return on debt from one </w:t>
      </w:r>
      <w:r w:rsidR="000934DD">
        <w:t>access arrangement</w:t>
      </w:r>
      <w:r w:rsidRPr="002F1CCA">
        <w:t xml:space="preserve"> period to the next</w:t>
      </w:r>
      <w:r>
        <w:rPr>
          <w:rStyle w:val="AERbody"/>
        </w:rPr>
        <w:t xml:space="preserve">. </w:t>
      </w:r>
    </w:p>
    <w:p w:rsidR="005C1DB5" w:rsidRDefault="005C1DB5" w:rsidP="005C1DB5">
      <w:r>
        <w:t xml:space="preserve">If we change our </w:t>
      </w:r>
      <w:r w:rsidRPr="002F1CCA">
        <w:t>method</w:t>
      </w:r>
      <w:r>
        <w:t xml:space="preserve"> for estimating the return on debt without a transition, this would</w:t>
      </w:r>
      <w:r w:rsidRPr="00241758">
        <w:t xml:space="preserve"> change the allowed return on capital cash flows</w:t>
      </w:r>
      <w:r>
        <w:t xml:space="preserve"> relative to a continuation of the current (on-the-day) approach. This would</w:t>
      </w:r>
      <w:r w:rsidRPr="00241758">
        <w:t xml:space="preserve"> change the </w:t>
      </w:r>
      <w:r>
        <w:t xml:space="preserve">present </w:t>
      </w:r>
      <w:r w:rsidRPr="00241758">
        <w:t>value of a benchmark efficient entity (which is based on the present value of these expected future cash flows)</w:t>
      </w:r>
      <w:r>
        <w:t>, and this change would only arise due to a change in methodology. Changing the</w:t>
      </w:r>
      <w:r w:rsidRPr="00FA6A21">
        <w:t xml:space="preserve"> value of a benchmark efficient entity</w:t>
      </w:r>
      <w:r>
        <w:t xml:space="preserve"> would only contribute to the achievement of the ARORO if it would be under- or over-valued under the continuation of the current (on-the-day) methodology. There is no evidence before us to indicate the on-the-day approach would have, or would continue to, under- or over-value a benchmark efficient entity. Rather, we consider the on-the-day approach contributes to the achievement of the ARORO. This means it would not have, nor would it continue to, under- or over-value a benchmark efficient entity. On this basis, we consider any transition must be revenue neutral relative to the continuation of the on-the-day methodology. </w:t>
      </w:r>
    </w:p>
    <w:p w:rsidR="005C1DB5" w:rsidRPr="008D480D" w:rsidRDefault="005C1DB5" w:rsidP="005C1DB5">
      <w:r>
        <w:t xml:space="preserve">Further, the rules require that </w:t>
      </w:r>
      <w:r w:rsidRPr="002F1CCA">
        <w:t>if the return on debt method</w:t>
      </w:r>
      <w:r>
        <w:t>ology</w:t>
      </w:r>
      <w:r w:rsidRPr="002F1CCA">
        <w:t xml:space="preserve"> results in an estimate that is, or could be, different for different regulatory years, then the resulting change to the service provider’s total revenue must be effected through the automatic application of a formula that is specified in the decision </w:t>
      </w:r>
      <w:r>
        <w:t xml:space="preserve">for that </w:t>
      </w:r>
      <w:r w:rsidR="000934DD">
        <w:t>access arrangement</w:t>
      </w:r>
      <w:r>
        <w:t xml:space="preserve"> period</w:t>
      </w:r>
      <w:r w:rsidRPr="002F1CCA">
        <w:t>.</w:t>
      </w:r>
      <w:r w:rsidRPr="002F1CCA">
        <w:rPr>
          <w:rStyle w:val="AERsuperscript"/>
        </w:rPr>
        <w:footnoteReference w:id="96"/>
      </w:r>
      <w:r>
        <w:t xml:space="preserve"> We address this in our section on debt implementation.</w:t>
      </w:r>
    </w:p>
    <w:p w:rsidR="005C1DB5" w:rsidRPr="003337B3" w:rsidRDefault="005C1DB5" w:rsidP="005C1DB5">
      <w:pPr>
        <w:pStyle w:val="Heading3"/>
      </w:pPr>
      <w:bookmarkStart w:id="40" w:name="_Toc450917358"/>
      <w:bookmarkStart w:id="41" w:name="_Toc451945472"/>
      <w:r>
        <w:t>R</w:t>
      </w:r>
      <w:r w:rsidRPr="003337B3">
        <w:t>ate of return Guideline</w:t>
      </w:r>
      <w:bookmarkEnd w:id="40"/>
      <w:bookmarkEnd w:id="41"/>
    </w:p>
    <w:p w:rsidR="005C1DB5" w:rsidRDefault="005C1DB5" w:rsidP="005C1DB5">
      <w:r w:rsidRPr="00762AAF">
        <w:t xml:space="preserve">This section sets out the </w:t>
      </w:r>
      <w:r>
        <w:t xml:space="preserve">role and </w:t>
      </w:r>
      <w:r w:rsidRPr="00762AAF">
        <w:t>key elements of the Guideline. The explanatory statement (and appendices) to the Guideline explain our proposed approach in detail which we adopt for this section.</w:t>
      </w:r>
      <w:r w:rsidRPr="00762AAF">
        <w:rPr>
          <w:rStyle w:val="FootnoteReference"/>
        </w:rPr>
        <w:footnoteReference w:id="97"/>
      </w:r>
    </w:p>
    <w:p w:rsidR="005C1DB5" w:rsidRDefault="005C1DB5" w:rsidP="005C1DB5">
      <w:pPr>
        <w:pStyle w:val="HeadingBoldBlue"/>
      </w:pPr>
      <w:bookmarkStart w:id="42" w:name="_Toc450917359"/>
      <w:r>
        <w:t>Role of the Guideline</w:t>
      </w:r>
      <w:bookmarkEnd w:id="42"/>
    </w:p>
    <w:p w:rsidR="005C1DB5" w:rsidRDefault="005C1DB5" w:rsidP="005C1DB5">
      <w:pPr>
        <w:numPr>
          <w:ilvl w:val="0"/>
          <w:numId w:val="24"/>
        </w:numPr>
      </w:pPr>
      <w:r>
        <w:t>Our task is to estimate an allowed rate of return that achieves the ARORO rather than to merely apply the Guideline. Nevertheless, the Guideline has a significant role because any decision to depart from the Guideline must be a reasoned decision.</w:t>
      </w:r>
      <w:r>
        <w:rPr>
          <w:rStyle w:val="FootnoteReference"/>
        </w:rPr>
        <w:footnoteReference w:id="98"/>
      </w:r>
      <w:r w:rsidRPr="00843112">
        <w:t xml:space="preserve"> </w:t>
      </w:r>
      <w:r>
        <w:t>Similarly, service providers</w:t>
      </w:r>
      <w:r w:rsidRPr="00762AAF">
        <w:t xml:space="preserve"> must provide reasons for any proposed departures from the Guideline.</w:t>
      </w:r>
      <w:r w:rsidRPr="00762AAF">
        <w:rPr>
          <w:rStyle w:val="FootnoteReference"/>
        </w:rPr>
        <w:footnoteReference w:id="99"/>
      </w:r>
      <w:r w:rsidRPr="00762AAF">
        <w:t xml:space="preserve"> </w:t>
      </w:r>
      <w:r>
        <w:t>In practice, we have considered submissions on the rate of return made during this determination process anew so that we are satisfied that our estimate of the rate of return achieves the ARORO. Where we receive no new material</w:t>
      </w:r>
      <w:r w:rsidRPr="00864612">
        <w:t xml:space="preserve"> </w:t>
      </w:r>
      <w:r>
        <w:t>or there is no reason to change our Guideline approach, we maintain our view and reasons set out in the Guideline.</w:t>
      </w:r>
    </w:p>
    <w:p w:rsidR="005C1DB5" w:rsidRDefault="005C1DB5" w:rsidP="005C1DB5">
      <w:pPr>
        <w:numPr>
          <w:ilvl w:val="0"/>
          <w:numId w:val="24"/>
        </w:numPr>
      </w:pPr>
      <w:r>
        <w:t>Further, whilst the legislative framework allows us to depart from the Guideline, we would not do so lightly. This is because departing from it may undermine the certainty and predictability that stakeholders have said they value.</w:t>
      </w:r>
      <w:r>
        <w:rPr>
          <w:rStyle w:val="FootnoteReference"/>
        </w:rPr>
        <w:footnoteReference w:id="100"/>
      </w:r>
      <w:r>
        <w:t xml:space="preserve"> However, we would depart from the Guideline if we are satisfied that doing so would result in an outcome that better achieves the ARORO. We consider our approach is consistent with the AEMC's view that, 'the regulator would, in practice, be expected to follow the guidelines unless there had been some genuine change in the evidence'.</w:t>
      </w:r>
      <w:r w:rsidRPr="00696EC1">
        <w:rPr>
          <w:rStyle w:val="FootnoteReference"/>
        </w:rPr>
        <w:footnoteReference w:id="101"/>
      </w:r>
    </w:p>
    <w:p w:rsidR="005C1DB5" w:rsidRPr="00762AAF" w:rsidRDefault="005C1DB5" w:rsidP="005C1DB5">
      <w:pPr>
        <w:numPr>
          <w:ilvl w:val="0"/>
          <w:numId w:val="24"/>
        </w:numPr>
      </w:pPr>
      <w:r>
        <w:t xml:space="preserve">Consistent with the rules, </w:t>
      </w:r>
      <w:r w:rsidRPr="00762AAF">
        <w:t>we published the Guideline</w:t>
      </w:r>
      <w:r>
        <w:t xml:space="preserve"> setting </w:t>
      </w:r>
      <w:r w:rsidRPr="00762AAF">
        <w:t xml:space="preserve">out the estimation methods, financial models, market data and other evidence that we propose to take into account in estimating the </w:t>
      </w:r>
      <w:r>
        <w:t>allowed</w:t>
      </w:r>
      <w:r w:rsidRPr="00762AAF">
        <w:t xml:space="preserve"> return on equity, </w:t>
      </w:r>
      <w:r>
        <w:t xml:space="preserve">allowed </w:t>
      </w:r>
      <w:r w:rsidRPr="00762AAF">
        <w:t>return on debt and the value of imputation tax credits.</w:t>
      </w:r>
      <w:r w:rsidRPr="00762AAF">
        <w:rPr>
          <w:rStyle w:val="FootnoteReference"/>
        </w:rPr>
        <w:footnoteReference w:id="102"/>
      </w:r>
      <w:r w:rsidRPr="00762AAF">
        <w:t xml:space="preserve"> </w:t>
      </w:r>
      <w:r>
        <w:t>The Guideline specifies</w:t>
      </w:r>
      <w:r w:rsidRPr="00762AAF">
        <w:t>:</w:t>
      </w:r>
      <w:r w:rsidRPr="00762AAF">
        <w:rPr>
          <w:rStyle w:val="FootnoteReference"/>
        </w:rPr>
        <w:footnoteReference w:id="103"/>
      </w:r>
    </w:p>
    <w:p w:rsidR="005C1DB5" w:rsidRPr="005C1DB5" w:rsidRDefault="005C1DB5" w:rsidP="005C1DB5">
      <w:pPr>
        <w:pStyle w:val="AERbulletlistfirststyle"/>
      </w:pPr>
      <w:r>
        <w:t>t</w:t>
      </w:r>
      <w:r w:rsidRPr="005C1DB5">
        <w:t>he methodologies we propose to use to estimate the allowed rate of return (derived from the allowed return on equity and debt) for electricity and gas network businesses</w:t>
      </w:r>
    </w:p>
    <w:p w:rsidR="005C1DB5" w:rsidRPr="005C1DB5" w:rsidRDefault="005C1DB5" w:rsidP="005C1DB5">
      <w:pPr>
        <w:pStyle w:val="AERbulletlistfirststyle"/>
      </w:pPr>
      <w:r>
        <w:t>t</w:t>
      </w:r>
      <w:r w:rsidRPr="005C1DB5">
        <w:t>he method we propose to use to estimate the value of imputation tax credits used to establish a benchmark corporate income tax allowance (see attachment on the value of imputation credits)</w:t>
      </w:r>
    </w:p>
    <w:p w:rsidR="005C1DB5" w:rsidRPr="005C1DB5" w:rsidRDefault="005C1DB5" w:rsidP="005C1DB5">
      <w:pPr>
        <w:pStyle w:val="AERbulletlistfirststyle"/>
      </w:pPr>
      <w:r>
        <w:t>h</w:t>
      </w:r>
      <w:r w:rsidRPr="005C1DB5">
        <w:t>ow these methods will result in an allowed return on equity and return on debt which we are satisfied achieves the ARORO.</w:t>
      </w:r>
    </w:p>
    <w:p w:rsidR="005C1DB5" w:rsidRDefault="005C1DB5" w:rsidP="005C1DB5">
      <w:pPr>
        <w:numPr>
          <w:ilvl w:val="0"/>
          <w:numId w:val="24"/>
        </w:numPr>
      </w:pPr>
      <w:r>
        <w:t>Due to this, the Guideline provides transparency</w:t>
      </w:r>
      <w:r w:rsidRPr="00BC229B">
        <w:t xml:space="preserve"> and predictability for service providers, users and investors as to how we consider changes in market circumstances and make decisions. At the same time, it allows sufficient flexibility for us to account for changing market conditions at the time of each regulatory determination or access arrangement.</w:t>
      </w:r>
    </w:p>
    <w:p w:rsidR="005C1DB5" w:rsidRDefault="005C1DB5" w:rsidP="005C1DB5">
      <w:pPr>
        <w:numPr>
          <w:ilvl w:val="0"/>
          <w:numId w:val="24"/>
        </w:numPr>
      </w:pPr>
      <w:r>
        <w:t>In developing the Guideline, we also undertook an extensive consultation process that r</w:t>
      </w:r>
      <w:r w:rsidRPr="001559B4">
        <w:t>esulted in addressing the relevant issues.</w:t>
      </w:r>
      <w:r>
        <w:t xml:space="preserve"> We summarised this consultation process in several recent decisions.</w:t>
      </w:r>
      <w:r>
        <w:rPr>
          <w:rStyle w:val="FootnoteReference"/>
        </w:rPr>
        <w:footnoteReference w:id="104"/>
      </w:r>
      <w:r>
        <w:t xml:space="preserve"> Details of the Guideline development process are also on our website.</w:t>
      </w:r>
      <w:r>
        <w:rPr>
          <w:rStyle w:val="FootnoteReference"/>
        </w:rPr>
        <w:footnoteReference w:id="105"/>
      </w:r>
    </w:p>
    <w:p w:rsidR="005C1DB5" w:rsidRDefault="005C1DB5" w:rsidP="005C1DB5">
      <w:pPr>
        <w:pStyle w:val="HeadingBoldBlue"/>
      </w:pPr>
      <w:bookmarkStart w:id="43" w:name="_Toc450917360"/>
      <w:r>
        <w:t>Key elements of the Guideline</w:t>
      </w:r>
      <w:bookmarkEnd w:id="43"/>
      <w:r>
        <w:t xml:space="preserve"> </w:t>
      </w:r>
    </w:p>
    <w:p w:rsidR="005C1DB5" w:rsidRDefault="005C1DB5" w:rsidP="005C1DB5">
      <w:pPr>
        <w:rPr>
          <w:rStyle w:val="AERbody"/>
        </w:rPr>
      </w:pPr>
      <w:r>
        <w:rPr>
          <w:rStyle w:val="AERbody"/>
        </w:rPr>
        <w:t>The Guideline provides transparency on how we propose to estimate key components of the allowed rate of return. We summarise these below.</w:t>
      </w:r>
    </w:p>
    <w:p w:rsidR="005C1DB5" w:rsidRPr="00762AAF" w:rsidRDefault="005C1DB5" w:rsidP="005C1DB5">
      <w:pPr>
        <w:pStyle w:val="HeadingBoldItalic"/>
      </w:pPr>
      <w:r w:rsidRPr="00762AAF">
        <w:t>Application of criteria for assessing information</w:t>
      </w:r>
    </w:p>
    <w:p w:rsidR="005C1DB5" w:rsidRPr="00762AAF" w:rsidRDefault="005C1DB5" w:rsidP="005C1DB5">
      <w:pPr>
        <w:numPr>
          <w:ilvl w:val="0"/>
          <w:numId w:val="24"/>
        </w:numPr>
      </w:pPr>
      <w:r w:rsidRPr="00762AAF">
        <w:t xml:space="preserve">We developed a number of criteria and applied these to inform our regulatory judgement when evaluating material put before us. The criteria are subordinate to the law, the rules and especially the </w:t>
      </w:r>
      <w:r>
        <w:t>ARORO</w:t>
      </w:r>
      <w:r w:rsidRPr="00762AAF">
        <w:t>. We developed them to provide stakeholders greater certainty</w:t>
      </w:r>
      <w:r>
        <w:t xml:space="preserve"> </w:t>
      </w:r>
      <w:r w:rsidRPr="00762AAF">
        <w:t>as to how we intend to exercise our regulatory judgement whilst keeping sufficient flexibility to make decisions consistent with changing market conditions.</w:t>
      </w:r>
      <w:r w:rsidRPr="00762AAF">
        <w:rPr>
          <w:rStyle w:val="FootnoteReference"/>
        </w:rPr>
        <w:footnoteReference w:id="106"/>
      </w:r>
    </w:p>
    <w:p w:rsidR="005C1DB5" w:rsidRPr="00762AAF" w:rsidRDefault="005C1DB5" w:rsidP="005C1DB5">
      <w:pPr>
        <w:numPr>
          <w:ilvl w:val="0"/>
          <w:numId w:val="24"/>
        </w:numPr>
      </w:pPr>
      <w:r w:rsidRPr="00762AAF">
        <w:t>We proposed to apply assessment criteria to guide our selection and use of estimation methods, models, market data and other evidence which inform our assessment of the overall rate of return. Not all the various estimation methods, financial models, market data and other evidence (information) will be of equal value in determining the rate of return by reference to a benchmark efficient entity</w:t>
      </w:r>
      <w:r w:rsidRPr="00864612">
        <w:t xml:space="preserve"> </w:t>
      </w:r>
      <w:r>
        <w:t>with a similar degree of risk to the service provider in relation to the provision of its regulated services</w:t>
      </w:r>
      <w:r w:rsidRPr="00762AAF">
        <w:t xml:space="preserve">. For example, some information may be more relevant, more feasible to construct, or more reliable than others. We considered that our decisions on the rate of return are more likely to contribute to the achievement of the </w:t>
      </w:r>
      <w:r>
        <w:t>ARORO</w:t>
      </w:r>
      <w:r w:rsidRPr="00762AAF">
        <w:t xml:space="preserve"> because we use estimation methods, financial models, market data and other evidence that are:</w:t>
      </w:r>
    </w:p>
    <w:p w:rsidR="005C1DB5" w:rsidRPr="00762AAF" w:rsidRDefault="005C1DB5" w:rsidP="005C1DB5">
      <w:pPr>
        <w:numPr>
          <w:ilvl w:val="4"/>
          <w:numId w:val="24"/>
        </w:numPr>
      </w:pPr>
      <w:r w:rsidRPr="00762AAF">
        <w:t>where applicable, reflective of economic and finance principles and market information</w:t>
      </w:r>
    </w:p>
    <w:p w:rsidR="005C1DB5" w:rsidRPr="00762AAF" w:rsidRDefault="005C1DB5" w:rsidP="005C1DB5">
      <w:pPr>
        <w:numPr>
          <w:ilvl w:val="5"/>
          <w:numId w:val="24"/>
        </w:numPr>
      </w:pPr>
      <w:r w:rsidRPr="00762AAF">
        <w:t>estimation methods and financial models are consistent with well accepted economic and finance principles and informed by sound empirical analysis and robust data</w:t>
      </w:r>
    </w:p>
    <w:p w:rsidR="005C1DB5" w:rsidRPr="00762AAF" w:rsidRDefault="005C1DB5" w:rsidP="005C1DB5">
      <w:pPr>
        <w:numPr>
          <w:ilvl w:val="4"/>
          <w:numId w:val="24"/>
        </w:numPr>
      </w:pPr>
      <w:r w:rsidRPr="00762AAF">
        <w:t>fit for purpose</w:t>
      </w:r>
    </w:p>
    <w:p w:rsidR="005C1DB5" w:rsidRPr="00762AAF" w:rsidRDefault="005C1DB5" w:rsidP="005C1DB5">
      <w:pPr>
        <w:numPr>
          <w:ilvl w:val="5"/>
          <w:numId w:val="24"/>
        </w:numPr>
      </w:pPr>
      <w:r w:rsidRPr="00762AAF">
        <w:t xml:space="preserve">the use of estimation methods, financial models, market data and other evidence should be consistent with the original purpose for which it was compiled and have regard to the limitations of that purpose </w:t>
      </w:r>
    </w:p>
    <w:p w:rsidR="005C1DB5" w:rsidRPr="00762AAF" w:rsidRDefault="005C1DB5" w:rsidP="005C1DB5">
      <w:pPr>
        <w:numPr>
          <w:ilvl w:val="5"/>
          <w:numId w:val="24"/>
        </w:numPr>
      </w:pPr>
      <w:r w:rsidRPr="00762AAF">
        <w:t xml:space="preserve">promote simple over complex approaches where appropriate </w:t>
      </w:r>
    </w:p>
    <w:p w:rsidR="005C1DB5" w:rsidRPr="00762AAF" w:rsidRDefault="005C1DB5" w:rsidP="005C1DB5">
      <w:pPr>
        <w:numPr>
          <w:ilvl w:val="4"/>
          <w:numId w:val="24"/>
        </w:numPr>
      </w:pPr>
      <w:r w:rsidRPr="00762AAF">
        <w:t>implemented in accordance with good practice</w:t>
      </w:r>
    </w:p>
    <w:p w:rsidR="005C1DB5" w:rsidRPr="00762AAF" w:rsidRDefault="005C1DB5" w:rsidP="005C1DB5">
      <w:pPr>
        <w:numPr>
          <w:ilvl w:val="5"/>
          <w:numId w:val="24"/>
        </w:numPr>
      </w:pPr>
      <w:r w:rsidRPr="00762AAF">
        <w:t>supported by robust, transparent and replicable analysis that is derived from available credible datasets</w:t>
      </w:r>
    </w:p>
    <w:p w:rsidR="005C1DB5" w:rsidRPr="00762AAF" w:rsidRDefault="005C1DB5" w:rsidP="005C1DB5">
      <w:pPr>
        <w:numPr>
          <w:ilvl w:val="4"/>
          <w:numId w:val="24"/>
        </w:numPr>
      </w:pPr>
      <w:r w:rsidRPr="00762AAF">
        <w:t>where models of the return on equity and debt are used these are</w:t>
      </w:r>
    </w:p>
    <w:p w:rsidR="005C1DB5" w:rsidRPr="00762AAF" w:rsidRDefault="005C1DB5" w:rsidP="005C1DB5">
      <w:pPr>
        <w:numPr>
          <w:ilvl w:val="5"/>
          <w:numId w:val="24"/>
        </w:numPr>
      </w:pPr>
      <w:r w:rsidRPr="00762AAF">
        <w:t>based on quantitative modelling that is sufficiently robust as to not be unduly sensitive to errors in inputs estimation</w:t>
      </w:r>
    </w:p>
    <w:p w:rsidR="005C1DB5" w:rsidRPr="00762AAF" w:rsidRDefault="005C1DB5" w:rsidP="005C1DB5">
      <w:pPr>
        <w:numPr>
          <w:ilvl w:val="5"/>
          <w:numId w:val="24"/>
        </w:numPr>
      </w:pPr>
      <w:r w:rsidRPr="00762AAF">
        <w:t>based on quantitative modelling which avoids arbitrary filtering or adjustment of data, which does not have a sound rationale</w:t>
      </w:r>
    </w:p>
    <w:p w:rsidR="005C1DB5" w:rsidRPr="00762AAF" w:rsidRDefault="005C1DB5" w:rsidP="005C1DB5">
      <w:pPr>
        <w:numPr>
          <w:ilvl w:val="4"/>
          <w:numId w:val="24"/>
        </w:numPr>
      </w:pPr>
      <w:r w:rsidRPr="00762AAF">
        <w:t>where market data and other information is used, this information is</w:t>
      </w:r>
    </w:p>
    <w:p w:rsidR="005C1DB5" w:rsidRPr="00762AAF" w:rsidRDefault="005C1DB5" w:rsidP="005C1DB5">
      <w:pPr>
        <w:numPr>
          <w:ilvl w:val="5"/>
          <w:numId w:val="24"/>
        </w:numPr>
      </w:pPr>
      <w:r w:rsidRPr="00762AAF">
        <w:t>credible and verifiable</w:t>
      </w:r>
    </w:p>
    <w:p w:rsidR="005C1DB5" w:rsidRPr="00762AAF" w:rsidRDefault="005C1DB5" w:rsidP="005C1DB5">
      <w:pPr>
        <w:numPr>
          <w:ilvl w:val="5"/>
          <w:numId w:val="24"/>
        </w:numPr>
      </w:pPr>
      <w:r w:rsidRPr="00762AAF">
        <w:t>comparable and timely</w:t>
      </w:r>
    </w:p>
    <w:p w:rsidR="005C1DB5" w:rsidRPr="00762AAF" w:rsidRDefault="005C1DB5" w:rsidP="005C1DB5">
      <w:pPr>
        <w:numPr>
          <w:ilvl w:val="5"/>
          <w:numId w:val="24"/>
        </w:numPr>
      </w:pPr>
      <w:r w:rsidRPr="00762AAF">
        <w:t>clearly sourced</w:t>
      </w:r>
    </w:p>
    <w:p w:rsidR="005C1DB5" w:rsidRPr="00762AAF" w:rsidRDefault="005C1DB5" w:rsidP="005C1DB5">
      <w:pPr>
        <w:numPr>
          <w:ilvl w:val="4"/>
          <w:numId w:val="24"/>
        </w:numPr>
      </w:pPr>
      <w:r w:rsidRPr="00762AAF">
        <w:t>sufficiently flexible as to allow changing market conditions and new information to be reflected in regulatory outcomes, as appropriate.</w:t>
      </w:r>
    </w:p>
    <w:p w:rsidR="005C1DB5" w:rsidRPr="00762AAF" w:rsidRDefault="005C1DB5" w:rsidP="005C1DB5">
      <w:r>
        <w:t>We applied t</w:t>
      </w:r>
      <w:r w:rsidRPr="00762AAF">
        <w:t>hese criteria in this decision to guide us in deciding on the merits of the material before us and the best place to employ the material (if at all).</w:t>
      </w:r>
    </w:p>
    <w:p w:rsidR="005C1DB5" w:rsidRPr="00762AAF" w:rsidRDefault="005C1DB5" w:rsidP="00BB7AE6">
      <w:pPr>
        <w:pStyle w:val="HeadingBoldItalic"/>
        <w:keepNext/>
      </w:pPr>
      <w:r w:rsidRPr="00762AAF">
        <w:t xml:space="preserve">Benchmark efficient entity </w:t>
      </w:r>
    </w:p>
    <w:p w:rsidR="005C1DB5" w:rsidRDefault="005C1DB5" w:rsidP="00BB7AE6">
      <w:pPr>
        <w:keepNext/>
        <w:numPr>
          <w:ilvl w:val="0"/>
          <w:numId w:val="24"/>
        </w:numPr>
      </w:pPr>
      <w:r>
        <w:t>We generally see</w:t>
      </w:r>
      <w:r w:rsidRPr="00762AAF">
        <w:t xml:space="preserve"> a benchmark efficient entity</w:t>
      </w:r>
      <w:r>
        <w:t xml:space="preserve"> with a similar degree of risk as that applying to the service provider in respect of the provision of </w:t>
      </w:r>
      <w:r w:rsidR="000934DD">
        <w:t>regulated</w:t>
      </w:r>
      <w:r>
        <w:t xml:space="preserve"> services  as being </w:t>
      </w:r>
      <w:r w:rsidRPr="00762AAF">
        <w:t>'a pure play, regulated energy network business operating within Australia'.</w:t>
      </w:r>
      <w:r>
        <w:t xml:space="preserve"> This includes the following components:</w:t>
      </w:r>
      <w:r w:rsidRPr="00762AAF">
        <w:rPr>
          <w:rStyle w:val="FootnoteReference"/>
        </w:rPr>
        <w:footnoteReference w:id="107"/>
      </w:r>
    </w:p>
    <w:p w:rsidR="005C1DB5" w:rsidRPr="005C1DB5" w:rsidRDefault="005C1DB5" w:rsidP="005C1DB5">
      <w:pPr>
        <w:pStyle w:val="AERbulletlistfirststyle"/>
      </w:pPr>
      <w:r>
        <w:t>Pure play:</w:t>
      </w:r>
      <w:r w:rsidRPr="005C1DB5">
        <w:t xml:space="preserve"> An entity that offers services focused in one industry or product area. In this context, the industry is energy network services and, in particular the services are regulated energy network services.</w:t>
      </w:r>
    </w:p>
    <w:p w:rsidR="005C1DB5" w:rsidRPr="005C1DB5" w:rsidRDefault="005C1DB5" w:rsidP="005C1DB5">
      <w:pPr>
        <w:pStyle w:val="AERbulletlistfirststyle"/>
      </w:pPr>
      <w:r>
        <w:t>Regulated:</w:t>
      </w:r>
      <w:r w:rsidRPr="005C1DB5">
        <w:t xml:space="preserve"> An entity is subject to economic regulation (that is, revenue or price cap regulation) that makes it comparable for the purposes of assessing risk in the provision of regulated services. Comparable risk is an important component of the ARORO.</w:t>
      </w:r>
    </w:p>
    <w:p w:rsidR="005C1DB5" w:rsidRPr="005C1DB5" w:rsidRDefault="005C1DB5" w:rsidP="005C1DB5">
      <w:pPr>
        <w:pStyle w:val="AERbulletlistfirststyle"/>
      </w:pPr>
      <w:r>
        <w:t>Energy network business:</w:t>
      </w:r>
      <w:r w:rsidRPr="005C1DB5">
        <w:t xml:space="preserve"> Energy network refers to a gas distribution, gas transmission, electricity distribution or electricity transmission business.</w:t>
      </w:r>
    </w:p>
    <w:p w:rsidR="005C1DB5" w:rsidRPr="005C1DB5" w:rsidRDefault="005C1DB5" w:rsidP="005C1DB5">
      <w:pPr>
        <w:pStyle w:val="AERbulletlistfirststyle"/>
      </w:pPr>
      <w:r>
        <w:t>Operating in Australia:</w:t>
      </w:r>
      <w:r w:rsidRPr="005C1DB5">
        <w:t xml:space="preserve"> An entity operating within Australia as the location of a business determines the conditions under which the business operates. This includes the regulatory regime, tax laws, industry structure and broader economic environment.</w:t>
      </w:r>
    </w:p>
    <w:p w:rsidR="005C1DB5" w:rsidRPr="00762AAF" w:rsidRDefault="005C1DB5" w:rsidP="005C1DB5">
      <w:pPr>
        <w:pStyle w:val="HeadingBoldItalic"/>
      </w:pPr>
      <w:r w:rsidRPr="00762AAF">
        <w:t>Gearing</w:t>
      </w:r>
    </w:p>
    <w:p w:rsidR="005C1DB5" w:rsidRPr="00762AAF" w:rsidRDefault="005C1DB5" w:rsidP="005C1DB5">
      <w:pPr>
        <w:numPr>
          <w:ilvl w:val="0"/>
          <w:numId w:val="24"/>
        </w:numPr>
      </w:pPr>
      <w:r>
        <w:t>We base t</w:t>
      </w:r>
      <w:r w:rsidRPr="00762AAF">
        <w:t xml:space="preserve">he weight </w:t>
      </w:r>
      <w:r>
        <w:t>to</w:t>
      </w:r>
      <w:r w:rsidRPr="00762AAF">
        <w:t xml:space="preserve"> give to the point estimates of the return on equity and the return on debt to derive the overall rate of return </w:t>
      </w:r>
      <w:r>
        <w:t>on</w:t>
      </w:r>
      <w:r w:rsidRPr="00762AAF">
        <w:t xml:space="preserve"> our gearing ratio point estimate of 60 per cent. We give 60 per cent weight to debt and 40 per cent to equity.</w:t>
      </w:r>
      <w:r w:rsidRPr="00762AAF">
        <w:rPr>
          <w:rStyle w:val="FootnoteReference"/>
        </w:rPr>
        <w:footnoteReference w:id="108"/>
      </w:r>
    </w:p>
    <w:p w:rsidR="005C1DB5" w:rsidRPr="00762AAF" w:rsidRDefault="005C1DB5" w:rsidP="005C1DB5">
      <w:pPr>
        <w:pStyle w:val="HeadingBoldItalic"/>
      </w:pPr>
      <w:r w:rsidRPr="00762AAF">
        <w:t>Return on equity</w:t>
      </w:r>
    </w:p>
    <w:p w:rsidR="005C1DB5" w:rsidRPr="00762AAF" w:rsidRDefault="005C1DB5" w:rsidP="005C1DB5">
      <w:pPr>
        <w:numPr>
          <w:ilvl w:val="0"/>
          <w:numId w:val="24"/>
        </w:numPr>
      </w:pPr>
      <w:r w:rsidRPr="00762AAF">
        <w:t xml:space="preserve">We proposed to estimate the </w:t>
      </w:r>
      <w:r>
        <w:t>allowed</w:t>
      </w:r>
      <w:r w:rsidRPr="00762AAF">
        <w:t xml:space="preserve"> return on equity using the six steps set out in the flow chart in</w:t>
      </w:r>
      <w:r w:rsidR="00391CC7">
        <w:t xml:space="preserve"> </w:t>
      </w:r>
      <w:r w:rsidR="00391CC7">
        <w:fldChar w:fldCharType="begin"/>
      </w:r>
      <w:r w:rsidR="00391CC7">
        <w:instrText xml:space="preserve"> REF  _Ref451328315 \* Lower \h </w:instrText>
      </w:r>
      <w:r w:rsidR="00391CC7">
        <w:fldChar w:fldCharType="separate"/>
      </w:r>
      <w:r w:rsidR="001A023B" w:rsidRPr="00762AAF">
        <w:t xml:space="preserve">figure </w:t>
      </w:r>
      <w:r w:rsidR="001A023B">
        <w:rPr>
          <w:noProof/>
        </w:rPr>
        <w:t>3</w:t>
      </w:r>
      <w:r w:rsidR="001A023B">
        <w:noBreakHyphen/>
      </w:r>
      <w:r w:rsidR="001A023B">
        <w:rPr>
          <w:noProof/>
        </w:rPr>
        <w:t>2</w:t>
      </w:r>
      <w:r w:rsidR="00391CC7">
        <w:fldChar w:fldCharType="end"/>
      </w:r>
      <w:r>
        <w:t>. For t</w:t>
      </w:r>
      <w:r w:rsidRPr="00762AAF">
        <w:t xml:space="preserve">he reasons for adopting </w:t>
      </w:r>
      <w:r>
        <w:t xml:space="preserve">this process, see </w:t>
      </w:r>
      <w:r w:rsidRPr="00762AAF">
        <w:t>the documents and submissions considered during the different stages of developing the Guideline. These include our issues</w:t>
      </w:r>
      <w:r>
        <w:t xml:space="preserve"> paper and consultation paper</w:t>
      </w:r>
      <w:r w:rsidRPr="00762AAF">
        <w:t xml:space="preserve"> and draft and final explanatory statements</w:t>
      </w:r>
      <w:r>
        <w:t xml:space="preserve"> to the Guideline</w:t>
      </w:r>
      <w:r w:rsidRPr="00762AAF">
        <w:t>.</w:t>
      </w:r>
      <w:r w:rsidRPr="00762AAF">
        <w:rPr>
          <w:rStyle w:val="FootnoteReference"/>
        </w:rPr>
        <w:footnoteReference w:id="109"/>
      </w:r>
    </w:p>
    <w:p w:rsidR="005C1DB5" w:rsidRPr="00762AAF" w:rsidRDefault="005C1DB5" w:rsidP="005C1DB5">
      <w:pPr>
        <w:pStyle w:val="Caption"/>
      </w:pPr>
      <w:bookmarkStart w:id="44" w:name="_Ref451328315"/>
      <w:r w:rsidRPr="00762AAF">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2</w:t>
      </w:r>
      <w:r w:rsidR="00120312">
        <w:rPr>
          <w:noProof/>
        </w:rPr>
        <w:fldChar w:fldCharType="end"/>
      </w:r>
      <w:bookmarkEnd w:id="44"/>
      <w:r w:rsidRPr="00762AAF">
        <w:tab/>
        <w:t xml:space="preserve">Flowchart of the AER’s proposed approach to estimating the </w:t>
      </w:r>
      <w:r>
        <w:t>allowed</w:t>
      </w:r>
      <w:r w:rsidRPr="00762AAF">
        <w:t xml:space="preserve"> return on equity</w:t>
      </w:r>
    </w:p>
    <w:p w:rsidR="005C1DB5" w:rsidRPr="00762AAF" w:rsidRDefault="005C1DB5" w:rsidP="005C1DB5">
      <w:pPr>
        <w:numPr>
          <w:ilvl w:val="0"/>
          <w:numId w:val="24"/>
        </w:numPr>
      </w:pPr>
      <w:r w:rsidRPr="00785554">
        <w:rPr>
          <w:noProof/>
          <w:lang w:eastAsia="en-AU"/>
        </w:rPr>
        <w:drawing>
          <wp:inline distT="0" distB="0" distL="0" distR="0" wp14:anchorId="2ABED42C" wp14:editId="75DE5C59">
            <wp:extent cx="5729739" cy="748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3">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5C1DB5" w:rsidRPr="00F06EAD" w:rsidRDefault="005C1DB5" w:rsidP="005C1DB5">
      <w:pPr>
        <w:rPr>
          <w:rStyle w:val="AERbody"/>
        </w:rPr>
      </w:pPr>
    </w:p>
    <w:p w:rsidR="005C1DB5" w:rsidRPr="00762AAF" w:rsidRDefault="005C1DB5" w:rsidP="005C1DB5"/>
    <w:p w:rsidR="005C1DB5" w:rsidRPr="00762AAF" w:rsidRDefault="005C1DB5" w:rsidP="005C1DB5">
      <w:pPr>
        <w:pStyle w:val="HeadingBoldItalic"/>
      </w:pPr>
      <w:r w:rsidRPr="00762AAF">
        <w:t>Return on debt</w:t>
      </w:r>
    </w:p>
    <w:p w:rsidR="005C1DB5" w:rsidRDefault="005C1DB5" w:rsidP="005C1DB5">
      <w:pPr>
        <w:pStyle w:val="ListParagraph"/>
        <w:numPr>
          <w:ilvl w:val="0"/>
          <w:numId w:val="24"/>
        </w:numPr>
      </w:pPr>
      <w:r>
        <w:t>We proposed to:</w:t>
      </w:r>
    </w:p>
    <w:p w:rsidR="005C1DB5" w:rsidRPr="005C1DB5" w:rsidRDefault="005C1DB5" w:rsidP="005C1DB5">
      <w:pPr>
        <w:pStyle w:val="AERbulletlistfirststyle"/>
      </w:pPr>
      <w:r w:rsidRPr="00762AAF">
        <w:t>estimate a</w:t>
      </w:r>
      <w:r w:rsidRPr="005C1DB5">
        <w:t xml:space="preserve"> return on debt using the on-the-day approach (that is, based on prevailing market conditions) in the </w:t>
      </w:r>
      <w:r w:rsidR="00CE178D">
        <w:t xml:space="preserve">interval-of-delay </w:t>
      </w:r>
      <w:r w:rsidRPr="005C1DB5">
        <w:t>(201</w:t>
      </w:r>
      <w:r w:rsidR="00CE178D">
        <w:t>5</w:t>
      </w:r>
      <w:r w:rsidR="00CE178D">
        <w:rPr>
          <w:rFonts w:cs="Arial"/>
        </w:rPr>
        <w:t>–</w:t>
      </w:r>
      <w:r w:rsidRPr="005C1DB5">
        <w:t>6), and</w:t>
      </w:r>
    </w:p>
    <w:p w:rsidR="005C1DB5" w:rsidRPr="005C1DB5" w:rsidRDefault="005C1DB5" w:rsidP="005C1DB5">
      <w:pPr>
        <w:pStyle w:val="AERbulletlistfirststyle"/>
      </w:pPr>
      <w:r w:rsidRPr="00762AAF">
        <w:t xml:space="preserve">gradually transition this </w:t>
      </w:r>
      <w:r w:rsidRPr="005C1DB5">
        <w:t>approach into a trailing average (that is, a moving historical average) over 10 years by annually updating 10 per cent of the return on debt to reflect prevailing market conditions in that year.</w:t>
      </w:r>
      <w:r w:rsidRPr="005C1DB5">
        <w:rPr>
          <w:rStyle w:val="FootnoteReference"/>
        </w:rPr>
        <w:footnoteReference w:id="110"/>
      </w:r>
    </w:p>
    <w:p w:rsidR="005C1DB5" w:rsidRPr="00762AAF" w:rsidRDefault="005C1DB5" w:rsidP="005C1DB5">
      <w:r>
        <w:t>We also proposed</w:t>
      </w:r>
      <w:r w:rsidRPr="00762AAF">
        <w:t xml:space="preserve"> to estimate the return on debt in each regulatory year by reference to:</w:t>
      </w:r>
    </w:p>
    <w:p w:rsidR="005C1DB5" w:rsidRPr="00762AAF" w:rsidRDefault="005C1DB5" w:rsidP="005C1DB5">
      <w:pPr>
        <w:pStyle w:val="AERbulletlistfirststyle"/>
      </w:pPr>
      <w:r w:rsidRPr="00762AAF">
        <w:t>a benchmark credit rating of BBB+</w:t>
      </w:r>
    </w:p>
    <w:p w:rsidR="005C1DB5" w:rsidRPr="00762AAF" w:rsidRDefault="005C1DB5" w:rsidP="005C1DB5">
      <w:pPr>
        <w:pStyle w:val="AERbulletlistfirststyle"/>
      </w:pPr>
      <w:r w:rsidRPr="00762AAF">
        <w:t>a benchmark term of debt of 10 years</w:t>
      </w:r>
    </w:p>
    <w:p w:rsidR="005C1DB5" w:rsidRPr="005C1DB5" w:rsidRDefault="005C1DB5" w:rsidP="005C1DB5">
      <w:pPr>
        <w:pStyle w:val="AERbulletlistfirststyle"/>
      </w:pPr>
      <w:r w:rsidRPr="00762AAF">
        <w:t>independent third party data series—specifically, a simple average of the broad BBB rated debt data series published by the RBA and Bloomberg, adjusted to reflect a 10 year estimate and other adjustments</w:t>
      </w:r>
      <w:r w:rsidRPr="005C1DB5">
        <w:rPr>
          <w:rStyle w:val="FootnoteReference"/>
        </w:rPr>
        <w:footnoteReference w:id="111"/>
      </w:r>
    </w:p>
    <w:p w:rsidR="005C1DB5" w:rsidRPr="005C1DB5" w:rsidRDefault="005C1DB5" w:rsidP="005C1DB5">
      <w:pPr>
        <w:pStyle w:val="AERbulletlistfirststyle"/>
      </w:pPr>
      <w:r w:rsidRPr="00762AAF">
        <w:t xml:space="preserve">an averaging period for each regulatory year of between 10 business days and 12 months (nominated by the service provider), with that period being as close as practical to the start of each regulatory year and also consistent with other conditions that we </w:t>
      </w:r>
      <w:r w:rsidRPr="005C1DB5">
        <w:t>proposed in the Guideline.</w:t>
      </w:r>
      <w:r w:rsidRPr="005C1DB5">
        <w:rPr>
          <w:rStyle w:val="FootnoteReference"/>
        </w:rPr>
        <w:footnoteReference w:id="112"/>
      </w:r>
    </w:p>
    <w:p w:rsidR="005C1DB5" w:rsidRPr="00762AAF" w:rsidRDefault="005C1DB5" w:rsidP="005C1DB5">
      <w:pPr>
        <w:pStyle w:val="HeadingBoldItalic"/>
      </w:pPr>
      <w:r w:rsidRPr="00762AAF">
        <w:t>Mid period WACC adjustment</w:t>
      </w:r>
    </w:p>
    <w:p w:rsidR="005C1DB5" w:rsidRDefault="005C1DB5" w:rsidP="005C1DB5">
      <w:pPr>
        <w:numPr>
          <w:ilvl w:val="0"/>
          <w:numId w:val="24"/>
        </w:numPr>
      </w:pPr>
      <w:r w:rsidRPr="00762AAF">
        <w:t xml:space="preserve">We proposed </w:t>
      </w:r>
      <w:r>
        <w:t xml:space="preserve">to </w:t>
      </w:r>
      <w:r w:rsidRPr="00762AAF">
        <w:t>annually</w:t>
      </w:r>
      <w:r>
        <w:t xml:space="preserve"> update</w:t>
      </w:r>
      <w:r w:rsidRPr="00762AAF">
        <w:t xml:space="preserve"> </w:t>
      </w:r>
      <w:r>
        <w:t>the</w:t>
      </w:r>
      <w:r w:rsidRPr="00762AAF">
        <w:t xml:space="preserve"> overall rate of return estimate because</w:t>
      </w:r>
      <w:r>
        <w:t xml:space="preserve"> we are required to update</w:t>
      </w:r>
      <w:r w:rsidRPr="00762AAF">
        <w:t xml:space="preserve"> the return on debt annually.</w:t>
      </w:r>
      <w:r w:rsidRPr="00762AAF">
        <w:rPr>
          <w:rStyle w:val="FootnoteReference"/>
        </w:rPr>
        <w:footnoteReference w:id="113"/>
      </w:r>
      <w:r w:rsidRPr="00762AAF">
        <w:t xml:space="preserve"> We recently published amendments to the transmission and distribution post tax revenue model (PTRM) to enable </w:t>
      </w:r>
      <w:r>
        <w:t>applying annual updates</w:t>
      </w:r>
      <w:r w:rsidRPr="00762AAF">
        <w:t>.</w:t>
      </w:r>
      <w:r w:rsidRPr="00762AAF">
        <w:rPr>
          <w:rStyle w:val="FootnoteReference"/>
        </w:rPr>
        <w:footnoteReference w:id="114"/>
      </w:r>
    </w:p>
    <w:p w:rsidR="005C1DB5" w:rsidRPr="003337B3" w:rsidRDefault="005C1DB5" w:rsidP="00BB7AE6">
      <w:pPr>
        <w:pStyle w:val="Heading3"/>
        <w:keepNext/>
      </w:pPr>
      <w:bookmarkStart w:id="45" w:name="_Toc450917361"/>
      <w:bookmarkStart w:id="46" w:name="_Toc451945473"/>
      <w:r>
        <w:t>Interrelationships</w:t>
      </w:r>
      <w:bookmarkEnd w:id="45"/>
      <w:bookmarkEnd w:id="46"/>
    </w:p>
    <w:p w:rsidR="005C1DB5" w:rsidRPr="005C1DB5" w:rsidRDefault="005C1DB5" w:rsidP="00BB7AE6">
      <w:pPr>
        <w:keepNext/>
      </w:pPr>
      <w:r w:rsidRPr="00E75E61">
        <w:t xml:space="preserve">In </w:t>
      </w:r>
      <w:r w:rsidRPr="005C1DB5">
        <w:t>determining the allowed rate of return, we must have regard to any interrelationships between estimates of financial parameters that are relevant to the estimates of the return on equity and the return on debt.</w:t>
      </w:r>
      <w:r w:rsidRPr="005C1DB5">
        <w:rPr>
          <w:rStyle w:val="FootnoteReference"/>
        </w:rPr>
        <w:footnoteReference w:id="115"/>
      </w:r>
      <w:r w:rsidRPr="005C1DB5">
        <w:t xml:space="preserve"> In this section, we discuss the key interrelationships in our rate of return decision. The Guideline also describes these interrelationships in detail where we have had regard to them in developing our approach. The manner in which we consider these interrelationships is also set out as part of our reasoning and analysis in appendices to this attachment.</w:t>
      </w:r>
    </w:p>
    <w:p w:rsidR="005C1DB5" w:rsidRPr="00762AAF" w:rsidRDefault="005C1DB5" w:rsidP="005C1DB5">
      <w:pPr>
        <w:numPr>
          <w:ilvl w:val="0"/>
          <w:numId w:val="24"/>
        </w:numPr>
      </w:pPr>
      <w:r w:rsidRPr="00762AAF">
        <w:t>We estimate a rate of return for a benchmark efficient entity which is then applied to a specific service provider</w:t>
      </w:r>
      <w:r>
        <w:t>,</w:t>
      </w:r>
      <w:r w:rsidRPr="00762AAF">
        <w:t xml:space="preserve"> rather than determining the returns of a specific service provider based on </w:t>
      </w:r>
      <w:r>
        <w:t xml:space="preserve">all of </w:t>
      </w:r>
      <w:r w:rsidRPr="00762AAF">
        <w:t>its specific circumstances.</w:t>
      </w:r>
      <w:r w:rsidRPr="00762AAF">
        <w:rPr>
          <w:rStyle w:val="FootnoteReference"/>
        </w:rPr>
        <w:footnoteReference w:id="116"/>
      </w:r>
      <w:r w:rsidRPr="00762AAF">
        <w:t xml:space="preserve"> This is the same whether estimating the return on equity or return on debt as separate components. We set a rate of return that is commensurate with the efficient financing costs of a benchmark efficient entity with a similar degree of risk as the service provider in respect of the provision of </w:t>
      </w:r>
      <w:r w:rsidR="00CE178D">
        <w:t>regulated</w:t>
      </w:r>
      <w:r w:rsidRPr="00762AAF">
        <w:t xml:space="preserve"> services. This provides a reasonable opportunity to recover at least </w:t>
      </w:r>
      <w:r>
        <w:t xml:space="preserve">the </w:t>
      </w:r>
      <w:r w:rsidRPr="00762AAF">
        <w:t>efficient</w:t>
      </w:r>
      <w:r>
        <w:t xml:space="preserve"> financing</w:t>
      </w:r>
      <w:r w:rsidRPr="00762AAF">
        <w:t xml:space="preserve"> costs</w:t>
      </w:r>
      <w:r>
        <w:t xml:space="preserve"> of providing those services</w:t>
      </w:r>
      <w:r w:rsidRPr="00762AAF">
        <w:t>.</w:t>
      </w:r>
      <w:r w:rsidRPr="00762AAF">
        <w:rPr>
          <w:rStyle w:val="FootnoteReference"/>
        </w:rPr>
        <w:footnoteReference w:id="117"/>
      </w:r>
      <w:r w:rsidRPr="00762AAF">
        <w:t xml:space="preserve"> The service providers' actual returns could </w:t>
      </w:r>
      <w:r>
        <w:t>differ from</w:t>
      </w:r>
      <w:r w:rsidRPr="00762AAF">
        <w:t xml:space="preserve"> th</w:t>
      </w:r>
      <w:r>
        <w:t>ose of a</w:t>
      </w:r>
      <w:r w:rsidRPr="00762AAF">
        <w:t xml:space="preserve"> benchmark</w:t>
      </w:r>
      <w:r>
        <w:t xml:space="preserve"> entity</w:t>
      </w:r>
      <w:r w:rsidRPr="00762AAF">
        <w:t xml:space="preserve"> depending on how efficiently it operates its business. This is consistent with incentive regulation. That is, our rate of return approach drives efficient outcomes by creating the correct incentive by </w:t>
      </w:r>
      <w:r>
        <w:t>requiring</w:t>
      </w:r>
      <w:r w:rsidRPr="00762AAF">
        <w:t xml:space="preserve"> service providers to retain (fund) any additional income (costs) by outperforming (underperforming) the efficient benchmark.</w:t>
      </w:r>
      <w:r w:rsidRPr="00762AAF">
        <w:rPr>
          <w:rStyle w:val="FootnoteReference"/>
        </w:rPr>
        <w:footnoteReference w:id="118"/>
      </w:r>
    </w:p>
    <w:p w:rsidR="005C1DB5" w:rsidRPr="00762AAF" w:rsidRDefault="005C1DB5" w:rsidP="005C1DB5">
      <w:pPr>
        <w:numPr>
          <w:ilvl w:val="0"/>
          <w:numId w:val="24"/>
        </w:numPr>
      </w:pPr>
      <w:r w:rsidRPr="00762AAF">
        <w:t>We apply a benchmark approach and an i</w:t>
      </w:r>
      <w:r>
        <w:t>ncentive regulatory framework. One should not view a</w:t>
      </w:r>
      <w:r w:rsidRPr="00762AAF">
        <w:t>ny component or relevant parameter adopted for estimating the rate of return in isolation. In developing our approach and implementing it to derive the overall rate of return we are cognisant of a number of interrelationships relating to the estimation of the return on equity and debt and underlying input parameters.</w:t>
      </w:r>
    </w:p>
    <w:p w:rsidR="005C1DB5" w:rsidRPr="00762AAF" w:rsidRDefault="005C1DB5" w:rsidP="005C1DB5">
      <w:pPr>
        <w:rPr>
          <w:rStyle w:val="Strong"/>
        </w:rPr>
      </w:pPr>
      <w:r>
        <w:rPr>
          <w:rStyle w:val="Strong"/>
        </w:rPr>
        <w:t>A</w:t>
      </w:r>
      <w:r w:rsidRPr="00762AAF">
        <w:rPr>
          <w:rStyle w:val="Strong"/>
        </w:rPr>
        <w:t xml:space="preserve"> benchmark </w:t>
      </w:r>
    </w:p>
    <w:p w:rsidR="005C1DB5" w:rsidRPr="00762AAF" w:rsidRDefault="005C1DB5" w:rsidP="005C1DB5">
      <w:pPr>
        <w:numPr>
          <w:ilvl w:val="0"/>
          <w:numId w:val="24"/>
        </w:numPr>
      </w:pPr>
      <w:r>
        <w:t>In the Guideline and for this decision, w</w:t>
      </w:r>
      <w:r w:rsidRPr="00762AAF">
        <w:t xml:space="preserve">e </w:t>
      </w:r>
      <w:r>
        <w:t xml:space="preserve">have </w:t>
      </w:r>
      <w:r w:rsidRPr="00762AAF">
        <w:t>adopt</w:t>
      </w:r>
      <w:r>
        <w:t>ed</w:t>
      </w:r>
      <w:r w:rsidRPr="00762AAF">
        <w:t xml:space="preserve"> a </w:t>
      </w:r>
      <w:r>
        <w:t xml:space="preserve">hypothetical </w:t>
      </w:r>
      <w:r w:rsidRPr="00762AAF">
        <w:t xml:space="preserve">benchmark efficient entity </w:t>
      </w:r>
      <w:r>
        <w:t xml:space="preserve">that is common </w:t>
      </w:r>
      <w:r w:rsidRPr="00762AAF">
        <w:t xml:space="preserve">across all service providers. In deciding on a benchmark we considered </w:t>
      </w:r>
      <w:r>
        <w:t xml:space="preserve">the </w:t>
      </w:r>
      <w:r w:rsidRPr="00762AAF">
        <w:t>different types of risks and different risk drivers that may have the potential to lead to different risk exposures</w:t>
      </w:r>
      <w:r w:rsidRPr="00864612">
        <w:t xml:space="preserve"> </w:t>
      </w:r>
      <w:r>
        <w:t>for different businesses in the provision of their services</w:t>
      </w:r>
      <w:r w:rsidRPr="00762AAF">
        <w:t xml:space="preserve">. We also noted that the rate of return compensates investors only for non–diversifiable risks (systematic risks) </w:t>
      </w:r>
      <w:r>
        <w:t>while</w:t>
      </w:r>
      <w:r w:rsidRPr="00762AAF">
        <w:t xml:space="preserve"> other types of risks are compensated via cash flows and some may not be compensated at all.</w:t>
      </w:r>
      <w:r w:rsidRPr="00762AAF">
        <w:rPr>
          <w:rStyle w:val="FootnoteReference"/>
        </w:rPr>
        <w:footnoteReference w:id="119"/>
      </w:r>
      <w:r w:rsidRPr="00762AAF">
        <w:t xml:space="preserve"> These interrelationships between the types of risk and the required compensation via the rate of return are an important factor.</w:t>
      </w:r>
      <w:r w:rsidRPr="00762AAF">
        <w:rPr>
          <w:rStyle w:val="FootnoteReference"/>
        </w:rPr>
        <w:footnoteReference w:id="120"/>
      </w:r>
      <w:r w:rsidRPr="00762AAF">
        <w:t xml:space="preserve"> </w:t>
      </w:r>
      <w:r>
        <w:t>After careful analysis, our</w:t>
      </w:r>
      <w:r w:rsidRPr="00762AAF">
        <w:t xml:space="preserve"> view is that </w:t>
      </w:r>
      <w:r>
        <w:t>a benchmark eff</w:t>
      </w:r>
      <w:r w:rsidRPr="00762AAF">
        <w:t xml:space="preserve">icient entity would face a similar degree of risk </w:t>
      </w:r>
      <w:r>
        <w:t>to each of the service providers</w:t>
      </w:r>
      <w:r w:rsidRPr="00762AAF">
        <w:t xml:space="preserve"> irrespective of the: </w:t>
      </w:r>
    </w:p>
    <w:p w:rsidR="005C1DB5" w:rsidRPr="00762AAF" w:rsidRDefault="005C1DB5" w:rsidP="005C1DB5">
      <w:pPr>
        <w:pStyle w:val="AERbulletlistfirststyle"/>
      </w:pPr>
      <w:r w:rsidRPr="00762AAF">
        <w:t>energy type (gas or electricity)</w:t>
      </w:r>
    </w:p>
    <w:p w:rsidR="005C1DB5" w:rsidRPr="00762AAF" w:rsidRDefault="005C1DB5" w:rsidP="005C1DB5">
      <w:pPr>
        <w:pStyle w:val="AERbulletlistfirststyle"/>
      </w:pPr>
      <w:r w:rsidRPr="00762AAF">
        <w:t>network type (distribution or transmission)</w:t>
      </w:r>
    </w:p>
    <w:p w:rsidR="005C1DB5" w:rsidRPr="00762AAF" w:rsidRDefault="005C1DB5" w:rsidP="005C1DB5">
      <w:pPr>
        <w:pStyle w:val="AERbulletlistfirststyle"/>
      </w:pPr>
      <w:r w:rsidRPr="00762AAF">
        <w:t>ownership type (government or private)</w:t>
      </w:r>
    </w:p>
    <w:p w:rsidR="005C1DB5" w:rsidRPr="00762AAF" w:rsidRDefault="005C1DB5" w:rsidP="005C1DB5">
      <w:pPr>
        <w:pStyle w:val="AERbulletlistfirststyle"/>
      </w:pPr>
      <w:r w:rsidRPr="00762AAF">
        <w:t>size of the service provider (big or small).</w:t>
      </w:r>
    </w:p>
    <w:p w:rsidR="005C1DB5" w:rsidRPr="00762AAF" w:rsidRDefault="005C1DB5" w:rsidP="005C1DB5">
      <w:pPr>
        <w:numPr>
          <w:ilvl w:val="0"/>
          <w:numId w:val="24"/>
        </w:numPr>
        <w:rPr>
          <w:rStyle w:val="Strong"/>
        </w:rPr>
      </w:pPr>
      <w:r w:rsidRPr="00762AAF">
        <w:rPr>
          <w:rStyle w:val="Strong"/>
        </w:rPr>
        <w:t>Domestic market</w:t>
      </w:r>
    </w:p>
    <w:p w:rsidR="005C1DB5" w:rsidRPr="00762AAF" w:rsidRDefault="005C1DB5" w:rsidP="005C1DB5">
      <w:pPr>
        <w:numPr>
          <w:ilvl w:val="0"/>
          <w:numId w:val="24"/>
        </w:numPr>
      </w:pPr>
      <w:r w:rsidRPr="00762AAF">
        <w:t xml:space="preserve">We </w:t>
      </w:r>
      <w:r>
        <w:t>generally consider that</w:t>
      </w:r>
      <w:r w:rsidRPr="00762AAF">
        <w:t xml:space="preserve"> the Australian market </w:t>
      </w:r>
      <w:r>
        <w:t>i</w:t>
      </w:r>
      <w:r w:rsidRPr="00762AAF">
        <w:t xml:space="preserve">s the market within which </w:t>
      </w:r>
      <w:r>
        <w:t>a benchmark eff</w:t>
      </w:r>
      <w:r w:rsidRPr="00762AAF">
        <w:t xml:space="preserve">icient entity </w:t>
      </w:r>
      <w:r>
        <w:t xml:space="preserve">would </w:t>
      </w:r>
      <w:r w:rsidRPr="00762AAF">
        <w:t>operate</w:t>
      </w:r>
      <w:r>
        <w:t xml:space="preserve"> to make it properly comparable in degree of risk to a service provider</w:t>
      </w:r>
      <w:r w:rsidRPr="00762AAF">
        <w:t>. This recognises that the location of a business determines the conditions under which the business operates and these include the regulatory regime, tax laws, industry structure and broader economic environment. As most of these conditions will be different from those prevailing for overseas entities, the risk profile of overseas entities is likely to differ from those within Australia. Consequently, the returns required are also likely to differ. Hence, when estimating input parameters for the S</w:t>
      </w:r>
      <w:r>
        <w:t>harpe-</w:t>
      </w:r>
      <w:r w:rsidRPr="00762AAF">
        <w:t>L</w:t>
      </w:r>
      <w:r>
        <w:t xml:space="preserve">intner </w:t>
      </w:r>
      <w:r w:rsidRPr="00762AAF">
        <w:t>CAPM we place most reliance on Australian market data whilst using overseas data informatively.</w:t>
      </w:r>
    </w:p>
    <w:p w:rsidR="005C1DB5" w:rsidRPr="00762AAF" w:rsidRDefault="005C1DB5" w:rsidP="005C1DB5">
      <w:pPr>
        <w:rPr>
          <w:rStyle w:val="Strong"/>
        </w:rPr>
      </w:pPr>
      <w:r w:rsidRPr="00762AAF">
        <w:rPr>
          <w:rStyle w:val="Strong"/>
        </w:rPr>
        <w:t>Benchmark gearing</w:t>
      </w:r>
    </w:p>
    <w:p w:rsidR="005C1DB5" w:rsidRPr="00762AAF" w:rsidRDefault="005C1DB5" w:rsidP="005C1DB5">
      <w:r w:rsidRPr="00762AAF">
        <w:t>We apply a benchmark efficient level of gearing of 60 per cent, as noted above. This benchmark gearing level is used:</w:t>
      </w:r>
    </w:p>
    <w:p w:rsidR="005C1DB5" w:rsidRPr="005C1DB5" w:rsidRDefault="005C1DB5" w:rsidP="005C1DB5">
      <w:pPr>
        <w:pStyle w:val="AERbulletlistfirststyle"/>
      </w:pPr>
      <w:r w:rsidRPr="00762AAF">
        <w:t xml:space="preserve">to weight the </w:t>
      </w:r>
      <w:r w:rsidRPr="005C1DB5">
        <w:t>allowed return on debt and equity to derive the overall allowed rate of return using the WACC formula</w:t>
      </w:r>
    </w:p>
    <w:p w:rsidR="005C1DB5" w:rsidRPr="00762AAF" w:rsidRDefault="005C1DB5" w:rsidP="005C1DB5">
      <w:pPr>
        <w:pStyle w:val="AERbulletlistfirststyle"/>
      </w:pPr>
      <w:r w:rsidRPr="00762AAF">
        <w:t>to re-lever asset betas for the purposes of comparing the levels of systematic risk across businesses which is relevant for the equity beta estimate.</w:t>
      </w:r>
    </w:p>
    <w:p w:rsidR="005C1DB5" w:rsidRPr="00762AAF" w:rsidRDefault="005C1DB5" w:rsidP="005C1DB5">
      <w:r w:rsidRPr="00762AAF">
        <w:t>We adopt a benchmark credit rating which is BBB+ or its equivalent for the purposes of estimating the return on debt. To derive this benchmark rating and the gearing ratio, we reviewed a sample of regulated network</w:t>
      </w:r>
      <w:r>
        <w:t xml:space="preserve"> providers</w:t>
      </w:r>
      <w:r w:rsidRPr="00762AAF">
        <w:t xml:space="preserve">. Amongst a number of other factors, a regulated service provider's actual gearing levels have a direct relationship to its credit ratings. Hence, our findings on the benchmark gearing ratio of 60 per cent and the benchmark credit rating are interrelated given </w:t>
      </w:r>
      <w:r>
        <w:t>we derive</w:t>
      </w:r>
      <w:r w:rsidRPr="00762AAF">
        <w:t xml:space="preserve"> the underlying evidence from a sample of regulated network service providers.</w:t>
      </w:r>
      <w:r w:rsidRPr="00762AAF">
        <w:rPr>
          <w:rStyle w:val="FootnoteReference"/>
        </w:rPr>
        <w:footnoteReference w:id="121"/>
      </w:r>
    </w:p>
    <w:p w:rsidR="005C1DB5" w:rsidRPr="00762AAF" w:rsidRDefault="005C1DB5" w:rsidP="00BB7AE6">
      <w:pPr>
        <w:keepNext/>
        <w:rPr>
          <w:rStyle w:val="Strong"/>
        </w:rPr>
      </w:pPr>
      <w:r w:rsidRPr="00762AAF">
        <w:rPr>
          <w:rStyle w:val="Strong"/>
        </w:rPr>
        <w:t>Term of the rate of return</w:t>
      </w:r>
    </w:p>
    <w:p w:rsidR="005C1DB5" w:rsidRPr="00762AAF" w:rsidRDefault="005C1DB5" w:rsidP="00BB7AE6">
      <w:pPr>
        <w:keepNext/>
        <w:numPr>
          <w:ilvl w:val="0"/>
          <w:numId w:val="24"/>
        </w:numPr>
      </w:pPr>
      <w:r w:rsidRPr="00762AAF">
        <w:t>We adopt a 10 year term for our overall rate of return.</w:t>
      </w:r>
      <w:r w:rsidRPr="00762AAF">
        <w:rPr>
          <w:rStyle w:val="FootnoteReference"/>
        </w:rPr>
        <w:footnoteReference w:id="122"/>
      </w:r>
      <w:r w:rsidRPr="00762AAF">
        <w:t xml:space="preserve"> This results in the following economic interdependencies that impact on the implementation of our return on equity and debt estimation methods:</w:t>
      </w:r>
    </w:p>
    <w:p w:rsidR="005C1DB5" w:rsidRPr="005C1DB5" w:rsidRDefault="005C1DB5" w:rsidP="005C1DB5">
      <w:pPr>
        <w:pStyle w:val="AERbulletlistfirststyle"/>
      </w:pPr>
      <w:r>
        <w:t>t</w:t>
      </w:r>
      <w:r w:rsidRPr="005C1DB5">
        <w:t>he risk free rate used for estimating the return on equity is a 10 year forward looking rate</w:t>
      </w:r>
    </w:p>
    <w:p w:rsidR="005C1DB5" w:rsidRPr="005C1DB5" w:rsidRDefault="005C1DB5" w:rsidP="005C1DB5">
      <w:pPr>
        <w:pStyle w:val="AERbulletlistfirststyle"/>
      </w:pPr>
      <w:r>
        <w:t>t</w:t>
      </w:r>
      <w:r w:rsidRPr="005C1DB5">
        <w:t>he market risk premium (MRP) estimate is for a 10 year forward looking period</w:t>
      </w:r>
    </w:p>
    <w:p w:rsidR="005C1DB5" w:rsidRPr="005C1DB5" w:rsidRDefault="005C1DB5" w:rsidP="005C1DB5">
      <w:pPr>
        <w:pStyle w:val="AERbulletlistfirststyle"/>
      </w:pPr>
      <w:r>
        <w:t>w</w:t>
      </w:r>
      <w:r w:rsidRPr="005C1DB5">
        <w:t>e adopt a 10 year debt term for estimating the return on debt.</w:t>
      </w:r>
    </w:p>
    <w:p w:rsidR="005C1DB5" w:rsidRPr="003337B3" w:rsidRDefault="005C1DB5" w:rsidP="005C1DB5">
      <w:pPr>
        <w:pStyle w:val="Heading3"/>
      </w:pPr>
      <w:bookmarkStart w:id="47" w:name="_Toc450917362"/>
      <w:bookmarkStart w:id="48" w:name="_Toc451945474"/>
      <w:r>
        <w:t>Consideration of relevant material</w:t>
      </w:r>
      <w:bookmarkEnd w:id="47"/>
      <w:bookmarkEnd w:id="48"/>
    </w:p>
    <w:p w:rsidR="005C1DB5" w:rsidRDefault="005C1DB5" w:rsidP="005C1DB5">
      <w:r>
        <w:t>In making regulatory decisions, we are to have regard to information provided in regulatory proposals and submissions.</w:t>
      </w:r>
      <w:r>
        <w:rPr>
          <w:rStyle w:val="FootnoteReference"/>
        </w:rPr>
        <w:footnoteReference w:id="123"/>
      </w:r>
      <w:r>
        <w:t xml:space="preserve"> We also consider a broad range of material more generally. This is consistent with </w:t>
      </w:r>
      <w:r>
        <w:rPr>
          <w:rStyle w:val="AERbody"/>
        </w:rPr>
        <w:t>t</w:t>
      </w:r>
      <w:r w:rsidRPr="00AB3B54">
        <w:rPr>
          <w:rStyle w:val="AERbody"/>
        </w:rPr>
        <w:t xml:space="preserve">he </w:t>
      </w:r>
      <w:r>
        <w:rPr>
          <w:rStyle w:val="AERbody"/>
        </w:rPr>
        <w:t xml:space="preserve">rate of return framework that requires we have regard to </w:t>
      </w:r>
      <w:r w:rsidRPr="00AB3B54">
        <w:rPr>
          <w:rStyle w:val="AERbody"/>
        </w:rPr>
        <w:t>a wide range of relevant estimation methods, financial models, market data and other evidence.</w:t>
      </w:r>
      <w:r>
        <w:rPr>
          <w:rStyle w:val="FootnoteReference"/>
        </w:rPr>
        <w:footnoteReference w:id="124"/>
      </w:r>
      <w:r>
        <w:rPr>
          <w:rStyle w:val="AERbody"/>
        </w:rPr>
        <w:t xml:space="preserve"> </w:t>
      </w:r>
      <w:r w:rsidRPr="00284B79">
        <w:t>Th</w:t>
      </w:r>
      <w:r>
        <w:t xml:space="preserve">is is also consistent with statements of the AEMC that consider the rules are intended to permit </w:t>
      </w:r>
      <w:r w:rsidRPr="00284B79">
        <w:t>us to take account of a broad range of information</w:t>
      </w:r>
      <w:r>
        <w:t xml:space="preserve"> to improve</w:t>
      </w:r>
      <w:r w:rsidRPr="00284B79">
        <w:t xml:space="preserve"> the required rate of return</w:t>
      </w:r>
      <w:r>
        <w:t xml:space="preserve"> estimate</w:t>
      </w:r>
      <w:r w:rsidRPr="00284B79">
        <w:t>.</w:t>
      </w:r>
      <w:r>
        <w:rPr>
          <w:rStyle w:val="FootnoteReference"/>
        </w:rPr>
        <w:footnoteReference w:id="125"/>
      </w:r>
      <w:r w:rsidRPr="00284B79">
        <w:t xml:space="preserve"> </w:t>
      </w:r>
    </w:p>
    <w:p w:rsidR="005C1DB5" w:rsidRDefault="005C1DB5" w:rsidP="005C1DB5">
      <w:r>
        <w:t>In the following sections, we summarise how we have considered a large range of material. This includes, but is not limited to:</w:t>
      </w:r>
    </w:p>
    <w:p w:rsidR="005C1DB5" w:rsidRDefault="005C1DB5" w:rsidP="005C1DB5">
      <w:pPr>
        <w:pStyle w:val="AERbulletlistfirststyle"/>
      </w:pPr>
      <w:r>
        <w:t>service provider proposals</w:t>
      </w:r>
    </w:p>
    <w:p w:rsidR="005C1DB5" w:rsidRDefault="005C1DB5" w:rsidP="005C1DB5">
      <w:pPr>
        <w:pStyle w:val="AERbulletlistfirststyle"/>
      </w:pPr>
      <w:r>
        <w:t>expert reports</w:t>
      </w:r>
    </w:p>
    <w:p w:rsidR="005C1DB5" w:rsidRDefault="005C1DB5" w:rsidP="005C1DB5">
      <w:pPr>
        <w:pStyle w:val="AERbulletlistfirststyle"/>
      </w:pPr>
      <w:r>
        <w:t>stakeholder submissions</w:t>
      </w:r>
    </w:p>
    <w:p w:rsidR="005C1DB5" w:rsidRPr="005C1DB5" w:rsidRDefault="005C1DB5" w:rsidP="005C1DB5">
      <w:pPr>
        <w:pStyle w:val="AERbulletlistfirststyle"/>
      </w:pPr>
      <w:r>
        <w:t>recent Tribunal decisions.</w:t>
      </w:r>
    </w:p>
    <w:p w:rsidR="005C1DB5" w:rsidRDefault="005C1DB5" w:rsidP="005C1DB5">
      <w:pPr>
        <w:pStyle w:val="HeadingBoldBlue"/>
      </w:pPr>
      <w:bookmarkStart w:id="49" w:name="_Toc450917363"/>
      <w:r>
        <w:t>Service providers' proposals</w:t>
      </w:r>
      <w:bookmarkEnd w:id="49"/>
    </w:p>
    <w:p w:rsidR="005C1DB5" w:rsidRDefault="005C1DB5" w:rsidP="005C1DB5">
      <w:pPr>
        <w:numPr>
          <w:ilvl w:val="0"/>
          <w:numId w:val="24"/>
        </w:numPr>
      </w:pPr>
      <w:r>
        <w:t xml:space="preserve">The revised </w:t>
      </w:r>
      <w:r w:rsidR="00CE178D">
        <w:t>access arrangement</w:t>
      </w:r>
      <w:r w:rsidR="00CE178D" w:rsidRPr="004F2761">
        <w:t xml:space="preserve"> </w:t>
      </w:r>
      <w:r>
        <w:t xml:space="preserve">proposals that we are currently considering (including </w:t>
      </w:r>
      <w:r w:rsidR="00104749">
        <w:t>ActewAGL's</w:t>
      </w:r>
      <w:r>
        <w:t xml:space="preserve"> revised</w:t>
      </w:r>
      <w:r w:rsidR="00104749">
        <w:t xml:space="preserve"> access arrangement</w:t>
      </w:r>
      <w:r>
        <w:t xml:space="preserve"> proposal) have challenged most aspects of the Guideline approach (and methods) to estimating the return on equity and debt. We have reviewed the material submitted since our </w:t>
      </w:r>
      <w:r w:rsidR="003C68FD">
        <w:t>draft</w:t>
      </w:r>
      <w:r>
        <w:t xml:space="preserve"> decisions, and considered the reasons for the proposed departures from the Guideline. We have taken into account stakeholder submissions on our </w:t>
      </w:r>
      <w:r w:rsidR="003C68FD">
        <w:t>draft</w:t>
      </w:r>
      <w:r>
        <w:t xml:space="preserve"> decisions, and on service providers' revised and initial proposals. In doing so, we have undertaken two interdependent tasks as required by the rules:</w:t>
      </w:r>
    </w:p>
    <w:p w:rsidR="005C1DB5" w:rsidRPr="005C1DB5" w:rsidRDefault="005C1DB5" w:rsidP="005C1DB5">
      <w:pPr>
        <w:pStyle w:val="AERbulletlistfirststyle"/>
      </w:pPr>
      <w:r>
        <w:t xml:space="preserve">consider whether the proposed departures would better achieve the ARORO such that we should depart from the </w:t>
      </w:r>
      <w:r w:rsidRPr="005C1DB5">
        <w:t>Guideline</w:t>
      </w:r>
    </w:p>
    <w:p w:rsidR="005C1DB5" w:rsidRDefault="005C1DB5" w:rsidP="005C1DB5">
      <w:pPr>
        <w:pStyle w:val="AERbulletlistfirststyle"/>
      </w:pPr>
      <w:r>
        <w:t xml:space="preserve">determine a rate of return that we are satisfied achieves the ARORO.  </w:t>
      </w:r>
    </w:p>
    <w:p w:rsidR="005C1DB5" w:rsidRPr="005C1DB5" w:rsidRDefault="005C1DB5" w:rsidP="00104749">
      <w:r>
        <w:t>T</w:t>
      </w:r>
      <w:r w:rsidRPr="005C1DB5">
        <w:t>he service providers that submitted revised regulatory proposals</w:t>
      </w:r>
      <w:r w:rsidR="00CE178D">
        <w:t xml:space="preserve"> and revised access arrangement proposals</w:t>
      </w:r>
      <w:r w:rsidRPr="005C1DB5">
        <w:t xml:space="preserve"> that we are currently considering have submitted a large volume of material in support of their proposals.</w:t>
      </w:r>
      <w:r w:rsidRPr="005C1DB5">
        <w:rPr>
          <w:rStyle w:val="FootnoteReference"/>
        </w:rPr>
        <w:footnoteReference w:id="126"/>
      </w:r>
      <w:r w:rsidRPr="005C1DB5">
        <w:t xml:space="preserve"> We reviewed this material to identify what is new. Where service providers submitted new material, we reviewed this and considered its implications in determining the return that meets the ARORO and whether we should depart from the Guideline. We also referred this material to our consultants for their consideration prior to making our preliminary</w:t>
      </w:r>
      <w:r w:rsidR="00CE178D">
        <w:t xml:space="preserve">/draft </w:t>
      </w:r>
      <w:r w:rsidRPr="005C1DB5">
        <w:t>and final decisions. Our considerations are throughout this rate of return attachment and relevant appendices.</w:t>
      </w:r>
    </w:p>
    <w:p w:rsidR="005C1DB5" w:rsidRPr="005C1DB5" w:rsidRDefault="005C1DB5" w:rsidP="00104749">
      <w:r>
        <w:t>W</w:t>
      </w:r>
      <w:r w:rsidRPr="005C1DB5">
        <w:t>hile we consider each regulatory</w:t>
      </w:r>
      <w:r w:rsidR="003A24A4">
        <w:t>/access arrangement</w:t>
      </w:r>
      <w:r w:rsidRPr="005C1DB5">
        <w:t xml:space="preserve"> proposal afresh, much of the material currently before us is the same material we considered in making our decisions in 2015.</w:t>
      </w:r>
      <w:r w:rsidRPr="005C1DB5">
        <w:rPr>
          <w:rStyle w:val="FootnoteReference"/>
        </w:rPr>
        <w:footnoteReference w:id="127"/>
      </w:r>
      <w:r w:rsidRPr="005C1DB5">
        <w:t xml:space="preserve"> For this final decision, unless stated otherwise, we adopt the rate of return analysis and reasoning as set out in our most recent final decisions in October 2015.</w:t>
      </w:r>
      <w:r w:rsidRPr="005C1DB5">
        <w:rPr>
          <w:rStyle w:val="FootnoteReference"/>
        </w:rPr>
        <w:footnoteReference w:id="128"/>
      </w:r>
    </w:p>
    <w:p w:rsidR="005C1DB5" w:rsidRPr="005C1DB5" w:rsidRDefault="005C1DB5" w:rsidP="00104749">
      <w:r>
        <w:t>Our October 2015 final decisions c</w:t>
      </w:r>
      <w:r w:rsidRPr="005C1DB5">
        <w:t>omprehensively set out our allowed rate of return analysis and reasoning.</w:t>
      </w:r>
      <w:r w:rsidRPr="005C1DB5">
        <w:rPr>
          <w:rStyle w:val="FootnoteReference"/>
        </w:rPr>
        <w:footnoteReference w:id="129"/>
      </w:r>
      <w:r w:rsidRPr="005C1DB5">
        <w:t xml:space="preserve"> During these reset processes, we also considered a number of other regulatory resets.</w:t>
      </w:r>
      <w:r w:rsidRPr="005C1DB5">
        <w:rPr>
          <w:rStyle w:val="FootnoteReference"/>
        </w:rPr>
        <w:footnoteReference w:id="130"/>
      </w:r>
      <w:r w:rsidRPr="005C1DB5">
        <w:t xml:space="preserve"> TasNetworks' original proposal did not propose any departures from the Guideline. TasNetworks and Directlink adopted our return on equity draft decisions. At that time, the other service providers proposed varying reasons, material and propositions to justify their proposed departures from the Guideline and their proposals to not accept our draft decisions. Further, the service providers submitted a large volume of material in support of their proposals. Much of this material was not new to us and we had considered it when developing the Guideline and again in making our decisions. Nonetheless, we comprehensively reviewed all of this material. We also referred this material to our consultants for their consideration prior to publishing decisions in 2015.</w:t>
      </w:r>
      <w:r w:rsidRPr="005C1DB5">
        <w:rPr>
          <w:rStyle w:val="FootnoteReference"/>
        </w:rPr>
        <w:footnoteReference w:id="131"/>
      </w:r>
      <w:r w:rsidRPr="005C1DB5">
        <w:t xml:space="preserve"> </w:t>
      </w:r>
    </w:p>
    <w:p w:rsidR="005C1DB5" w:rsidRPr="00FC3B81" w:rsidRDefault="005C1DB5" w:rsidP="005C1DB5">
      <w:pPr>
        <w:pStyle w:val="HeadingBoldBlue"/>
        <w:numPr>
          <w:ilvl w:val="0"/>
          <w:numId w:val="24"/>
        </w:numPr>
      </w:pPr>
      <w:bookmarkStart w:id="50" w:name="_Toc450917364"/>
      <w:r>
        <w:t>Expert reports</w:t>
      </w:r>
      <w:bookmarkEnd w:id="50"/>
    </w:p>
    <w:p w:rsidR="005C1DB5" w:rsidRPr="00AC1D0D" w:rsidRDefault="005C1DB5" w:rsidP="005C1DB5">
      <w:pPr>
        <w:numPr>
          <w:ilvl w:val="0"/>
          <w:numId w:val="24"/>
        </w:numPr>
      </w:pPr>
      <w:r>
        <w:t xml:space="preserve">We </w:t>
      </w:r>
      <w:r w:rsidRPr="00AC1D0D">
        <w:t xml:space="preserve">commissioned expert advice from the following finance experts to assist us in making </w:t>
      </w:r>
      <w:r>
        <w:t xml:space="preserve">our </w:t>
      </w:r>
      <w:r w:rsidRPr="00AC1D0D">
        <w:t>decision</w:t>
      </w:r>
      <w:r>
        <w:t>s</w:t>
      </w:r>
      <w:r w:rsidRPr="00AC1D0D">
        <w:t>:</w:t>
      </w:r>
    </w:p>
    <w:p w:rsidR="005C1DB5" w:rsidRPr="005C1DB5" w:rsidRDefault="005C1DB5" w:rsidP="005C1DB5">
      <w:pPr>
        <w:pStyle w:val="AERbulletlistfirststyle"/>
      </w:pPr>
      <w:r>
        <w:t>Professor Michael McKenzie, University of Liverpool</w:t>
      </w:r>
      <w:r w:rsidRPr="005C1DB5">
        <w:t>.</w:t>
      </w:r>
      <w:r w:rsidRPr="005C1DB5">
        <w:rPr>
          <w:rStyle w:val="FootnoteReference"/>
        </w:rPr>
        <w:footnoteReference w:id="132"/>
      </w:r>
    </w:p>
    <w:p w:rsidR="005C1DB5" w:rsidRPr="005C1DB5" w:rsidRDefault="005C1DB5" w:rsidP="005C1DB5">
      <w:pPr>
        <w:pStyle w:val="AERbulletlistfirststyle"/>
      </w:pPr>
      <w:r>
        <w:t>Professor Stephen Satchell, Trinity College, Cambridge University</w:t>
      </w:r>
      <w:r w:rsidRPr="005C1DB5">
        <w:rPr>
          <w:rStyle w:val="FootnoteReference"/>
        </w:rPr>
        <w:footnoteReference w:id="133"/>
      </w:r>
    </w:p>
    <w:p w:rsidR="005C1DB5" w:rsidRPr="005C1DB5" w:rsidRDefault="005C1DB5" w:rsidP="005C1DB5">
      <w:pPr>
        <w:pStyle w:val="AERbulletlistfirststyle"/>
      </w:pPr>
      <w:r>
        <w:t>Associate professor Graham Partington, University of Sydney</w:t>
      </w:r>
      <w:r w:rsidRPr="005C1DB5">
        <w:t>.</w:t>
      </w:r>
      <w:r w:rsidRPr="005C1DB5">
        <w:rPr>
          <w:rStyle w:val="FootnoteReference"/>
        </w:rPr>
        <w:footnoteReference w:id="134"/>
      </w:r>
    </w:p>
    <w:p w:rsidR="005C1DB5" w:rsidRPr="005C1DB5" w:rsidRDefault="005C1DB5" w:rsidP="005C1DB5">
      <w:pPr>
        <w:pStyle w:val="AERbulletlistfirststyle"/>
      </w:pPr>
      <w:r>
        <w:t>Associate professor John Handley, University of Melbourne</w:t>
      </w:r>
      <w:r w:rsidRPr="005C1DB5">
        <w:t>.</w:t>
      </w:r>
      <w:r w:rsidRPr="005C1DB5">
        <w:rPr>
          <w:rStyle w:val="FootnoteReference"/>
        </w:rPr>
        <w:footnoteReference w:id="135"/>
      </w:r>
    </w:p>
    <w:p w:rsidR="005C1DB5" w:rsidRPr="005C1DB5" w:rsidRDefault="005C1DB5" w:rsidP="005C1DB5">
      <w:pPr>
        <w:pStyle w:val="AERbulletlistfirststyle"/>
      </w:pPr>
      <w:r>
        <w:t>Dr Martin Lally, Capital Financial Consultants</w:t>
      </w:r>
      <w:r w:rsidRPr="005C1DB5">
        <w:t>.</w:t>
      </w:r>
      <w:r w:rsidRPr="005C1DB5">
        <w:rPr>
          <w:rStyle w:val="FootnoteReference"/>
        </w:rPr>
        <w:footnoteReference w:id="136"/>
      </w:r>
    </w:p>
    <w:p w:rsidR="005C1DB5" w:rsidRPr="005C1DB5" w:rsidRDefault="005C1DB5" w:rsidP="005C1DB5">
      <w:pPr>
        <w:pStyle w:val="AERbulletlistfirststyle"/>
      </w:pPr>
      <w:r>
        <w:t>Chairmont, a financial market practitioner.</w:t>
      </w:r>
      <w:r w:rsidRPr="005C1DB5">
        <w:rPr>
          <w:rStyle w:val="FootnoteReference"/>
        </w:rPr>
        <w:footnoteReference w:id="137"/>
      </w:r>
    </w:p>
    <w:p w:rsidR="005C1DB5" w:rsidRDefault="005C1DB5" w:rsidP="005C1DB5">
      <w:pPr>
        <w:numPr>
          <w:ilvl w:val="0"/>
          <w:numId w:val="24"/>
        </w:numPr>
      </w:pPr>
      <w:r>
        <w:t>We received advice from Professor Olan Henry, University of Liverpool, on estimating the equity beta. We commissioned this during the Guideline development process and published the final report in April 2014.</w:t>
      </w:r>
      <w:r>
        <w:rPr>
          <w:rStyle w:val="FootnoteReference"/>
        </w:rPr>
        <w:footnoteReference w:id="138"/>
      </w:r>
      <w:r>
        <w:t xml:space="preserve"> We also received advice on return on debt estimation from the ACCC Regulatory Economic Unit (REU).</w:t>
      </w:r>
      <w:r>
        <w:rPr>
          <w:rStyle w:val="FootnoteReference"/>
        </w:rPr>
        <w:footnoteReference w:id="139"/>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These reports have also assisted us in making our decision</w:t>
      </w:r>
      <w:r>
        <w:t>.</w:t>
      </w:r>
      <w:r w:rsidRPr="00AC1D0D">
        <w:t xml:space="preserve"> </w:t>
      </w:r>
    </w:p>
    <w:p w:rsidR="005C1DB5" w:rsidRDefault="005C1DB5" w:rsidP="005C1DB5">
      <w:pPr>
        <w:pStyle w:val="HeadingBoldBlue"/>
        <w:numPr>
          <w:ilvl w:val="0"/>
          <w:numId w:val="24"/>
        </w:numPr>
      </w:pPr>
      <w:bookmarkStart w:id="51" w:name="_Toc450917365"/>
      <w:r>
        <w:t>Stakeholder submissions</w:t>
      </w:r>
      <w:bookmarkEnd w:id="51"/>
    </w:p>
    <w:p w:rsidR="00104749" w:rsidRPr="00104749" w:rsidRDefault="00104749" w:rsidP="00104749">
      <w:pPr>
        <w:pStyle w:val="ListParagraph"/>
        <w:numPr>
          <w:ilvl w:val="0"/>
          <w:numId w:val="24"/>
        </w:numPr>
      </w:pPr>
      <w:r w:rsidRPr="00104749">
        <w:t>Stakeholders made submissions specific to ActewAGL which we have considered.</w:t>
      </w:r>
      <w:r w:rsidRPr="00104749">
        <w:rPr>
          <w:rStyle w:val="FootnoteReference"/>
        </w:rPr>
        <w:footnoteReference w:id="140"/>
      </w:r>
      <w:r w:rsidRPr="00104749">
        <w:t xml:space="preserve"> Material that was submitted for the recent decisions published in April, June and October 2015 has also been considered in making this decision. Overall, in making these recent decisions we received a large number of submissions on the original proposals, draft decisions and revised rate of return proposals.</w:t>
      </w:r>
      <w:r w:rsidRPr="00104749">
        <w:rPr>
          <w:rStyle w:val="FootnoteReference"/>
        </w:rPr>
        <w:footnoteReference w:id="141"/>
      </w:r>
      <w:r w:rsidRPr="00104749">
        <w:rPr>
          <w:rStyle w:val="FootnoteReference"/>
        </w:rPr>
        <w:t xml:space="preserve"> </w:t>
      </w:r>
      <w:r w:rsidRPr="00104749">
        <w:t xml:space="preserve">Most of these submissions, including those on ActewAGL's revised </w:t>
      </w:r>
      <w:r w:rsidR="004B2215">
        <w:t xml:space="preserve">access arrangement </w:t>
      </w:r>
      <w:r w:rsidRPr="00104749">
        <w:t xml:space="preserve">proposal and our draft decision, had commentary relating to the rate of return. </w:t>
      </w:r>
    </w:p>
    <w:p w:rsidR="005C1DB5" w:rsidRDefault="005C1DB5" w:rsidP="005C1DB5">
      <w:r>
        <w:t>We received detailed input on the rate of return from the Consumer Challenge Panel (CCP). This included input form the CCP Sub Panel 3 (CCP3) on the current Victorian electricity distribution processes.</w:t>
      </w:r>
      <w:r>
        <w:rPr>
          <w:rStyle w:val="FootnoteReference"/>
        </w:rPr>
        <w:footnoteReference w:id="142"/>
      </w:r>
      <w:r>
        <w:t xml:space="preserve"> Also see advice from CCP Sub Panel 8 (CCP8) on the current gas access arrangement processes.</w:t>
      </w:r>
      <w:r>
        <w:rPr>
          <w:rStyle w:val="FootnoteReference"/>
        </w:rPr>
        <w:footnoteReference w:id="143"/>
      </w:r>
    </w:p>
    <w:p w:rsidR="001924DF" w:rsidRDefault="001924DF" w:rsidP="005C1DB5">
      <w:r>
        <w:t>We also received a late submission from ActewAGL on 12 May 2016 (</w:t>
      </w:r>
      <w:r w:rsidR="003739A9">
        <w:t>the consultation period closed on 4 February 2016).</w:t>
      </w:r>
      <w:r w:rsidR="003739A9" w:rsidRPr="003739A9">
        <w:rPr>
          <w:rStyle w:val="FootnoteReference"/>
        </w:rPr>
        <w:footnoteReference w:id="144"/>
      </w:r>
      <w:r w:rsidR="003739A9">
        <w:t xml:space="preserve"> </w:t>
      </w:r>
      <w:r w:rsidR="0002109A">
        <w:t xml:space="preserve">In this submission, ActewAGL provided its views </w:t>
      </w:r>
      <w:r>
        <w:t>on the implications of recent Tribunal decisions (made on February 2016)</w:t>
      </w:r>
      <w:r w:rsidR="0002109A">
        <w:t>, updated its rate of return estimates for its actual averaging periods (ending 24 March 2016)</w:t>
      </w:r>
      <w:r w:rsidR="00417D7C">
        <w:t xml:space="preserve"> and provided additional analysis on expected inflation.</w:t>
      </w:r>
      <w:r>
        <w:t xml:space="preserve"> </w:t>
      </w:r>
      <w:r w:rsidR="00533FF2">
        <w:t xml:space="preserve">Since we received this new material one fortnight before publishing this final decision, we have been unable to consult on it and </w:t>
      </w:r>
      <w:r w:rsidR="00533FF2" w:rsidRPr="00533FF2">
        <w:t>stakeholders</w:t>
      </w:r>
      <w:r w:rsidR="00533FF2">
        <w:t xml:space="preserve"> have not had the opportunity to</w:t>
      </w:r>
      <w:r w:rsidR="00533FF2" w:rsidRPr="00533FF2">
        <w:t xml:space="preserve"> </w:t>
      </w:r>
      <w:r w:rsidR="00533FF2">
        <w:t>respond to it.</w:t>
      </w:r>
      <w:r w:rsidR="00533FF2" w:rsidRPr="00533FF2">
        <w:t xml:space="preserve"> </w:t>
      </w:r>
      <w:r w:rsidR="00533FF2">
        <w:t xml:space="preserve">While we have had </w:t>
      </w:r>
      <w:r w:rsidR="00533FF2" w:rsidRPr="00533FF2">
        <w:t xml:space="preserve">limited opportunity to </w:t>
      </w:r>
      <w:r w:rsidR="00533FF2">
        <w:t xml:space="preserve">respond to this material in detail, this material does not cause us to depart from </w:t>
      </w:r>
      <w:r w:rsidR="001A49C7">
        <w:t xml:space="preserve">any of </w:t>
      </w:r>
      <w:r w:rsidR="00533FF2">
        <w:t>our positions set out in this decision</w:t>
      </w:r>
      <w:r w:rsidR="001A49C7">
        <w:t xml:space="preserve"> in relation to our approaches for estimating the return on debt, gamma and expected inflation</w:t>
      </w:r>
      <w:r w:rsidR="00C7487E">
        <w:t xml:space="preserve"> as set out in section</w:t>
      </w:r>
      <w:r w:rsidR="001A49C7">
        <w:t xml:space="preserve"> </w:t>
      </w:r>
      <w:r w:rsidR="001A49C7">
        <w:fldChar w:fldCharType="begin"/>
      </w:r>
      <w:r w:rsidR="001A49C7">
        <w:instrText xml:space="preserve"> REF _Ref451326913 \r \h </w:instrText>
      </w:r>
      <w:r w:rsidR="001A49C7">
        <w:fldChar w:fldCharType="separate"/>
      </w:r>
      <w:r w:rsidR="001A023B">
        <w:t>3.4.2</w:t>
      </w:r>
      <w:r w:rsidR="001A49C7">
        <w:fldChar w:fldCharType="end"/>
      </w:r>
      <w:r w:rsidR="00C7487E">
        <w:t xml:space="preserve">, section </w:t>
      </w:r>
      <w:r w:rsidR="001A49C7">
        <w:fldChar w:fldCharType="begin"/>
      </w:r>
      <w:r w:rsidR="001A49C7">
        <w:instrText xml:space="preserve"> REF _Ref450922240 \r \h </w:instrText>
      </w:r>
      <w:r w:rsidR="001A49C7">
        <w:fldChar w:fldCharType="separate"/>
      </w:r>
      <w:r w:rsidR="001A023B">
        <w:t>3.4.4</w:t>
      </w:r>
      <w:r w:rsidR="001A49C7">
        <w:fldChar w:fldCharType="end"/>
      </w:r>
      <w:r w:rsidR="00C7487E">
        <w:t xml:space="preserve"> and Attachment 4</w:t>
      </w:r>
      <w:r w:rsidR="00533FF2">
        <w:t>.</w:t>
      </w:r>
    </w:p>
    <w:p w:rsidR="005C1DB5" w:rsidRDefault="005C1DB5" w:rsidP="005C1DB5">
      <w:pPr>
        <w:pStyle w:val="HeadingBoldBlue"/>
      </w:pPr>
      <w:bookmarkStart w:id="52" w:name="_Toc450917366"/>
      <w:r>
        <w:t>Consideration of recent Tribunal decisions</w:t>
      </w:r>
      <w:bookmarkEnd w:id="52"/>
    </w:p>
    <w:p w:rsidR="005C1DB5" w:rsidRDefault="005C1DB5" w:rsidP="005C1DB5">
      <w:pPr>
        <w:numPr>
          <w:ilvl w:val="0"/>
          <w:numId w:val="24"/>
        </w:numPr>
      </w:pPr>
      <w:r>
        <w:t>The Tribunal recently reviewed and upheld several aspects of our approach to estimating the rate of return. These included:</w:t>
      </w:r>
      <w:r>
        <w:rPr>
          <w:rStyle w:val="FootnoteReference"/>
        </w:rPr>
        <w:footnoteReference w:id="145"/>
      </w:r>
    </w:p>
    <w:p w:rsidR="005C1DB5" w:rsidRDefault="005C1DB5" w:rsidP="005C1DB5">
      <w:pPr>
        <w:pStyle w:val="AERbulletlistfirststyle"/>
      </w:pPr>
      <w:r>
        <w:t>our approach to estimating the return on equity by applying the Guideline approach referred to as the foundation model approach</w:t>
      </w:r>
    </w:p>
    <w:p w:rsidR="005C1DB5" w:rsidRPr="005C1DB5" w:rsidRDefault="005C1DB5" w:rsidP="005C1DB5">
      <w:pPr>
        <w:pStyle w:val="AERbulletlistfirststyle"/>
      </w:pPr>
      <w:r>
        <w:t>our approach to specifying t</w:t>
      </w:r>
      <w:r w:rsidRPr="005C1DB5">
        <w:t>he benchmark credit rating at BBB+ rather than BBB as preferred by some of the service providers</w:t>
      </w:r>
    </w:p>
    <w:p w:rsidR="005C1DB5" w:rsidRPr="005C1DB5" w:rsidRDefault="005C1DB5" w:rsidP="005C1DB5">
      <w:pPr>
        <w:pStyle w:val="AERbulletlistfirststyle"/>
      </w:pPr>
      <w:r>
        <w:t xml:space="preserve">our approach to estimating </w:t>
      </w:r>
      <w:r w:rsidRPr="005C1DB5">
        <w:t>the allowed return on debt using a simple average of the RBA and Bloomberg data series, rather than the RBA data series alone as preferred by some of the service providers.</w:t>
      </w:r>
    </w:p>
    <w:p w:rsidR="005C1DB5" w:rsidRPr="005C1DB5" w:rsidRDefault="005C1DB5" w:rsidP="00104749">
      <w:r>
        <w:t>We have maintained our approach to estimating these components of the allowed rate of return in th</w:t>
      </w:r>
      <w:r w:rsidRPr="005C1DB5">
        <w:t>is decision.</w:t>
      </w:r>
    </w:p>
    <w:p w:rsidR="005C1DB5" w:rsidRPr="005C1DB5" w:rsidRDefault="005C1DB5" w:rsidP="00104749">
      <w:r>
        <w:t xml:space="preserve">The Tribunal also recently reviewed our approach to applying a full </w:t>
      </w:r>
      <w:r w:rsidRPr="005C1DB5">
        <w:t>transition from an on-the-day to a trailing average allowed return on debt for certain electricity distribution businesses operating in NSW and the ACT, and a gas distribution business in NSW. The Tribunal found error in our approach and remitted this matter back to us to make a decision on introducing the trailing average approach in accordance with several reasons outlined in its decision.</w:t>
      </w:r>
      <w:r w:rsidRPr="005C1DB5">
        <w:rPr>
          <w:rStyle w:val="FootnoteReference"/>
        </w:rPr>
        <w:footnoteReference w:id="146"/>
      </w:r>
      <w:r w:rsidRPr="005C1DB5">
        <w:t xml:space="preserve"> On 24 March 2016, we applied to the Federal Court for judicial review of this aspect of the Tribunal's decision. In particular, we have applied for review on:</w:t>
      </w:r>
    </w:p>
    <w:p w:rsidR="005C1DB5" w:rsidRPr="005C1DB5" w:rsidRDefault="005C1DB5" w:rsidP="005C1DB5">
      <w:pPr>
        <w:pStyle w:val="AERbulletlistfirststyle"/>
      </w:pPr>
      <w:r>
        <w:t>the Tribunal's finding that a</w:t>
      </w:r>
      <w:r w:rsidRPr="005C1DB5">
        <w:t xml:space="preserve"> benchmark efficient entity referred to in the NER </w:t>
      </w:r>
      <w:r w:rsidR="00F6574C">
        <w:t xml:space="preserve">clause </w:t>
      </w:r>
      <w:r w:rsidRPr="005C1DB5">
        <w:t>6.5.2(c) would be an unregulated entity</w:t>
      </w:r>
      <w:r w:rsidRPr="005C1DB5">
        <w:rPr>
          <w:rStyle w:val="FootnoteReference"/>
        </w:rPr>
        <w:t xml:space="preserve"> </w:t>
      </w:r>
      <w:r w:rsidRPr="005C1DB5">
        <w:rPr>
          <w:rStyle w:val="FootnoteReference"/>
        </w:rPr>
        <w:footnoteReference w:id="147"/>
      </w:r>
      <w:r w:rsidRPr="005C1DB5">
        <w:t xml:space="preserve"> </w:t>
      </w:r>
      <w:r w:rsidR="00F6574C">
        <w:t>We note that NGR 87(3) mirrors this clause.</w:t>
      </w:r>
    </w:p>
    <w:p w:rsidR="005C1DB5" w:rsidRPr="005C1DB5" w:rsidRDefault="005C1DB5" w:rsidP="005C1DB5">
      <w:pPr>
        <w:pStyle w:val="AERbulletlistfirststyle"/>
      </w:pPr>
      <w:r>
        <w:t>t</w:t>
      </w:r>
      <w:r w:rsidRPr="005C1DB5">
        <w:t>he Tribunal's rejection of a single benchmark efficient entity for those service providers</w:t>
      </w:r>
    </w:p>
    <w:p w:rsidR="005C1DB5" w:rsidRDefault="005C1DB5" w:rsidP="00737E50">
      <w:pPr>
        <w:pStyle w:val="AERbulletlistfirststyle"/>
      </w:pPr>
      <w:r>
        <w:t>t</w:t>
      </w:r>
      <w:r w:rsidRPr="005C1DB5">
        <w:t xml:space="preserve">he Tribunal's approach to the interpretation of </w:t>
      </w:r>
      <w:r w:rsidR="00F6574C">
        <w:t xml:space="preserve">clause </w:t>
      </w:r>
      <w:r w:rsidRPr="005C1DB5">
        <w:t>6.5.2(k)(4) of the NER.</w:t>
      </w:r>
      <w:r w:rsidRPr="005C1DB5">
        <w:rPr>
          <w:rStyle w:val="FootnoteReference"/>
        </w:rPr>
        <w:footnoteReference w:id="148"/>
      </w:r>
      <w:r w:rsidRPr="005C1DB5">
        <w:t xml:space="preserve"> </w:t>
      </w:r>
      <w:r w:rsidR="00F6574C">
        <w:t xml:space="preserve"> We note that NGR </w:t>
      </w:r>
      <w:r w:rsidR="0088682A">
        <w:t xml:space="preserve">rule </w:t>
      </w:r>
      <w:r w:rsidR="00F6574C">
        <w:t>87(11)(d) mirrors this clause.</w:t>
      </w:r>
    </w:p>
    <w:p w:rsidR="00737E50" w:rsidRDefault="00737E50" w:rsidP="00BB7AE6">
      <w:pPr>
        <w:pStyle w:val="Heading2"/>
        <w:keepNext/>
      </w:pPr>
      <w:bookmarkStart w:id="53" w:name="_Toc437001929"/>
      <w:bookmarkStart w:id="54" w:name="_Ref443996201"/>
      <w:bookmarkStart w:id="55" w:name="_Toc451945475"/>
      <w:bookmarkEnd w:id="24"/>
      <w:r>
        <w:t>Reasons for final decision</w:t>
      </w:r>
      <w:bookmarkEnd w:id="53"/>
      <w:bookmarkEnd w:id="54"/>
      <w:bookmarkEnd w:id="55"/>
    </w:p>
    <w:p w:rsidR="00737E50" w:rsidRPr="00D67998" w:rsidRDefault="00737E50" w:rsidP="00BB7AE6">
      <w:pPr>
        <w:keepNext/>
        <w:numPr>
          <w:ilvl w:val="0"/>
          <w:numId w:val="24"/>
        </w:numPr>
      </w:pPr>
      <w:r>
        <w:t xml:space="preserve">Our allowed rate of return is a weighted average of the return on equity and debt determined on a nominal vanilla basis (that is, a vanilla WACC). </w:t>
      </w:r>
      <w:r w:rsidRPr="00D67998">
        <w:t>It has been estimated consistently with the estimation of the value of imputation credits.</w:t>
      </w:r>
      <w:r w:rsidRPr="00D67998">
        <w:rPr>
          <w:rStyle w:val="FootnoteReference"/>
        </w:rPr>
        <w:footnoteReference w:id="149"/>
      </w:r>
      <w:r w:rsidRPr="00D67998">
        <w:rPr>
          <w:rStyle w:val="FootnoteReference"/>
        </w:rPr>
        <w:t xml:space="preserve"> </w:t>
      </w:r>
      <w:r w:rsidRPr="00D67998">
        <w:t xml:space="preserve"> </w:t>
      </w:r>
    </w:p>
    <w:p w:rsidR="00737E50" w:rsidRPr="00D67998" w:rsidRDefault="00737E50" w:rsidP="00737E50">
      <w:pPr>
        <w:numPr>
          <w:ilvl w:val="0"/>
          <w:numId w:val="24"/>
        </w:numPr>
      </w:pPr>
      <w:r w:rsidRPr="00D67998">
        <w:t>In deriving the WACC, and the estimated efficient debt and equity financing costs, we have applied the benchmark efficient entity gearing ratio of 0.6 (debt):0.4 (equity) that we proposed in the Guideline. We have no reason to depart from this gearing ratio.</w:t>
      </w:r>
      <w:r w:rsidRPr="00D67998">
        <w:rPr>
          <w:rStyle w:val="FootnoteReference"/>
        </w:rPr>
        <w:footnoteReference w:id="150"/>
      </w:r>
      <w:r w:rsidRPr="00D67998">
        <w:t xml:space="preserve"> </w:t>
      </w:r>
    </w:p>
    <w:p w:rsidR="00737E50" w:rsidRDefault="00737E50" w:rsidP="00737E50">
      <w:r>
        <w:t>In making this decision we have considered issues that have been raised by ActewAGL as well as different service providers and stakeholders in our recently published regulatory determinations. While we have addressed matters specifically raised by ActewAGL</w:t>
      </w:r>
      <w:r w:rsidRPr="00D67998">
        <w:t xml:space="preserve"> </w:t>
      </w:r>
      <w:r>
        <w:t>and/or stakeholders in this decision process, much of our analysis and reasoning also addresses maters raised by service providers (and stakeholders) in their regulatory determination processes. All of this material informs our view on ActewAGL's revised</w:t>
      </w:r>
      <w:r w:rsidRPr="00D67998">
        <w:t xml:space="preserve"> </w:t>
      </w:r>
      <w:r w:rsidR="00834575">
        <w:t xml:space="preserve">access arrangement </w:t>
      </w:r>
      <w:r>
        <w:t xml:space="preserve">proposal and also underpins our decision on the return on equity that contributes to the achievement of the </w:t>
      </w:r>
      <w:r w:rsidR="00F6574C">
        <w:t>ARORO</w:t>
      </w:r>
      <w:r>
        <w:t>.</w:t>
      </w:r>
      <w:r>
        <w:rPr>
          <w:rStyle w:val="FootnoteReference"/>
        </w:rPr>
        <w:footnoteReference w:id="151"/>
      </w:r>
      <w:r>
        <w:t xml:space="preserve"> That is, a return commensurate with the efficient financing costs of a benchmark efficient entity with a similar degree of risk as that which applies to ActewAGL</w:t>
      </w:r>
      <w:r w:rsidRPr="00D67998">
        <w:t xml:space="preserve"> </w:t>
      </w:r>
      <w:r>
        <w:t>in respect of the provision of reference services.</w:t>
      </w:r>
      <w:r>
        <w:rPr>
          <w:rStyle w:val="FootnoteReference"/>
        </w:rPr>
        <w:footnoteReference w:id="152"/>
      </w:r>
    </w:p>
    <w:p w:rsidR="00737E50" w:rsidRDefault="00737E50" w:rsidP="00F6574C">
      <w:pPr>
        <w:numPr>
          <w:ilvl w:val="0"/>
          <w:numId w:val="24"/>
        </w:numPr>
      </w:pPr>
      <w:r>
        <w:t>We discuss our reasons for the return on equity and return on debt under the separate subheadings,</w:t>
      </w:r>
      <w:r w:rsidR="007936A2">
        <w:t xml:space="preserve"> </w:t>
      </w:r>
      <w:r w:rsidR="007936A2">
        <w:fldChar w:fldCharType="begin"/>
      </w:r>
      <w:r w:rsidR="007936A2">
        <w:instrText xml:space="preserve"> REF _Ref451691090 \r \h </w:instrText>
      </w:r>
      <w:r w:rsidR="007936A2">
        <w:fldChar w:fldCharType="separate"/>
      </w:r>
      <w:r w:rsidR="001A023B">
        <w:t>3.4.1</w:t>
      </w:r>
      <w:r w:rsidR="007936A2">
        <w:fldChar w:fldCharType="end"/>
      </w:r>
      <w:r>
        <w:t xml:space="preserve"> and</w:t>
      </w:r>
      <w:r w:rsidR="003A24A4">
        <w:t xml:space="preserve"> </w:t>
      </w:r>
      <w:r w:rsidR="003A24A4">
        <w:fldChar w:fldCharType="begin"/>
      </w:r>
      <w:r w:rsidR="003A24A4">
        <w:instrText xml:space="preserve"> REF _Ref451326913 \r \h </w:instrText>
      </w:r>
      <w:r w:rsidR="003A24A4">
        <w:fldChar w:fldCharType="separate"/>
      </w:r>
      <w:r w:rsidR="001A023B">
        <w:t>3.4.2</w:t>
      </w:r>
      <w:r w:rsidR="003A24A4">
        <w:fldChar w:fldCharType="end"/>
      </w:r>
      <w:r>
        <w:t>, respectively.</w:t>
      </w:r>
      <w:r w:rsidR="00F6574C">
        <w:t xml:space="preserve"> </w:t>
      </w:r>
      <w:r>
        <w:t xml:space="preserve">Subsections </w:t>
      </w:r>
      <w:r w:rsidR="00F6574C">
        <w:fldChar w:fldCharType="begin"/>
      </w:r>
      <w:r w:rsidR="00F6574C">
        <w:instrText xml:space="preserve"> REF _Ref450922237 \r \h </w:instrText>
      </w:r>
      <w:r w:rsidR="00F6574C">
        <w:fldChar w:fldCharType="separate"/>
      </w:r>
      <w:r w:rsidR="001A023B">
        <w:t>3.4.3</w:t>
      </w:r>
      <w:r w:rsidR="00F6574C">
        <w:fldChar w:fldCharType="end"/>
      </w:r>
      <w:r w:rsidR="00F6574C">
        <w:t xml:space="preserve"> and </w:t>
      </w:r>
      <w:r w:rsidR="00F6574C">
        <w:fldChar w:fldCharType="begin"/>
      </w:r>
      <w:r w:rsidR="00F6574C">
        <w:instrText xml:space="preserve"> REF _Ref450922240 \r \h </w:instrText>
      </w:r>
      <w:r w:rsidR="00F6574C">
        <w:fldChar w:fldCharType="separate"/>
      </w:r>
      <w:r w:rsidR="001A023B">
        <w:t>3.4.4</w:t>
      </w:r>
      <w:r w:rsidR="00F6574C">
        <w:fldChar w:fldCharType="end"/>
      </w:r>
      <w:r>
        <w:t xml:space="preserve"> set out the gearing ratio and our expected</w:t>
      </w:r>
      <w:r w:rsidR="00F6574C">
        <w:t xml:space="preserve"> inflation rate for the</w:t>
      </w:r>
      <w:r w:rsidR="00C059E9">
        <w:t xml:space="preserve"> 2016–21</w:t>
      </w:r>
      <w:r w:rsidR="00F6574C">
        <w:t xml:space="preserve"> access arrangement </w:t>
      </w:r>
      <w:r>
        <w:t>period.</w:t>
      </w:r>
    </w:p>
    <w:p w:rsidR="00F81198" w:rsidRPr="007A24FB" w:rsidRDefault="00F81198" w:rsidP="00F81198">
      <w:pPr>
        <w:pStyle w:val="Heading3"/>
      </w:pPr>
      <w:bookmarkStart w:id="56" w:name="_Ref451691090"/>
      <w:bookmarkStart w:id="57" w:name="_Toc451945476"/>
      <w:r>
        <w:t>Return on equity</w:t>
      </w:r>
      <w:bookmarkEnd w:id="56"/>
      <w:bookmarkEnd w:id="57"/>
    </w:p>
    <w:p w:rsidR="00033144" w:rsidRPr="00033144" w:rsidRDefault="00033144" w:rsidP="00033144">
      <w:pPr>
        <w:numPr>
          <w:ilvl w:val="0"/>
          <w:numId w:val="24"/>
        </w:numPr>
      </w:pPr>
      <w:r w:rsidRPr="00033144">
        <w:t>Our return on equity estimate is 7.</w:t>
      </w:r>
      <w:r w:rsidR="00A74404">
        <w:t>1</w:t>
      </w:r>
      <w:r w:rsidRPr="00033144">
        <w:t xml:space="preserve"> per cent. We consider that 7.</w:t>
      </w:r>
      <w:r w:rsidR="00A74404">
        <w:t>1</w:t>
      </w:r>
      <w:r w:rsidRPr="00033144">
        <w:t xml:space="preserve"> per cent is the best estimate to combine with a return on debt estimate to form an overall allowed rate of return that achieves the </w:t>
      </w:r>
      <w:r w:rsidR="00270CE2">
        <w:t>ARORO</w:t>
      </w:r>
      <w:r w:rsidRPr="00033144">
        <w:t>. We also consider that 7.</w:t>
      </w:r>
      <w:r w:rsidR="00A74404">
        <w:t>1</w:t>
      </w:r>
      <w:r w:rsidRPr="00033144">
        <w:t xml:space="preserve"> per cent is consistent with the prevailing conditions in the market for equity funds.</w:t>
      </w:r>
    </w:p>
    <w:p w:rsidR="00033144" w:rsidRPr="00033144" w:rsidRDefault="00033144" w:rsidP="00033144">
      <w:pPr>
        <w:numPr>
          <w:ilvl w:val="0"/>
          <w:numId w:val="24"/>
        </w:numPr>
      </w:pPr>
      <w:r w:rsidRPr="00033144">
        <w:t>We hold these views because:</w:t>
      </w:r>
    </w:p>
    <w:p w:rsidR="00033144" w:rsidRPr="00033144" w:rsidRDefault="00033144" w:rsidP="00033144">
      <w:pPr>
        <w:pStyle w:val="AERbulletlistfirststyle"/>
      </w:pPr>
      <w:r w:rsidRPr="00033144">
        <w:t>We derive our estimate using the Sharpe–Lintner CAPM, which:</w:t>
      </w:r>
    </w:p>
    <w:p w:rsidR="00033144" w:rsidRPr="00033144" w:rsidRDefault="00033144" w:rsidP="00033144">
      <w:pPr>
        <w:pStyle w:val="AERbulletlistsecondstyle"/>
      </w:pPr>
      <w:r w:rsidRPr="00033144">
        <w:t>transparently presents the key risk and reward trade-off</w:t>
      </w:r>
      <w:r w:rsidRPr="00033144">
        <w:rPr>
          <w:rStyle w:val="FootnoteReference"/>
        </w:rPr>
        <w:footnoteReference w:id="153"/>
      </w:r>
      <w:r w:rsidRPr="00033144">
        <w:t xml:space="preserve"> that is at the heart of our task</w:t>
      </w:r>
      <w:r w:rsidRPr="00033144">
        <w:rPr>
          <w:rStyle w:val="FootnoteReference"/>
        </w:rPr>
        <w:footnoteReference w:id="154"/>
      </w:r>
    </w:p>
    <w:p w:rsidR="00033144" w:rsidRPr="00033144" w:rsidRDefault="00033144" w:rsidP="00033144">
      <w:pPr>
        <w:pStyle w:val="AERbulletlistsecondstyle"/>
      </w:pPr>
      <w:r w:rsidRPr="00033144">
        <w:t>is widely and consistently used for estimating the expected return on equity by financial market practitioners, academics, and other regulators</w:t>
      </w:r>
      <w:r w:rsidRPr="00033144">
        <w:rPr>
          <w:rStyle w:val="FootnoteReference"/>
        </w:rPr>
        <w:footnoteReference w:id="155"/>
      </w:r>
    </w:p>
    <w:p w:rsidR="00033144" w:rsidRPr="00033144" w:rsidRDefault="00033144" w:rsidP="00033144">
      <w:pPr>
        <w:pStyle w:val="AERbulletlistsecondstyle"/>
      </w:pPr>
      <w:r w:rsidRPr="00033144">
        <w:t>has well-accepted and unbiased methods for estimating its parameters, and these parameters can be estimated with tolerable accuracy, unlike the alternative models proposed by service providers.</w:t>
      </w:r>
    </w:p>
    <w:p w:rsidR="00033144" w:rsidRPr="00033144" w:rsidRDefault="00033144" w:rsidP="00033144">
      <w:pPr>
        <w:pStyle w:val="AERbulletlistfirststyle"/>
        <w:rPr>
          <w:rStyle w:val="AERtexthighlight"/>
        </w:rPr>
      </w:pPr>
      <w:r w:rsidRPr="00033144">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estimates from relevant market participants broadly supports our foundation model estimate of the return on equity. (see Appendix D and E for more discussions).</w:t>
      </w:r>
    </w:p>
    <w:p w:rsidR="00033144" w:rsidRPr="00F8641A" w:rsidRDefault="00033144" w:rsidP="00033144">
      <w:pPr>
        <w:pStyle w:val="AERbulletlistfirststyle"/>
        <w:rPr>
          <w:rStyle w:val="AERtexthighlight"/>
          <w:shd w:val="clear" w:color="auto" w:fill="auto"/>
        </w:rPr>
      </w:pPr>
      <w:r w:rsidRPr="00F8641A">
        <w:rPr>
          <w:rStyle w:val="AERtexthighlight"/>
          <w:shd w:val="clear" w:color="auto" w:fill="auto"/>
        </w:rPr>
        <w:t>Our estimate is supported by comparison to estimates from the Wright specification of the CAPM, broker reports, valuation reports, and other regulators' decisions.</w:t>
      </w:r>
    </w:p>
    <w:p w:rsidR="00033144" w:rsidRPr="00033144" w:rsidRDefault="00033144" w:rsidP="00033144">
      <w:pPr>
        <w:pStyle w:val="AERbulletlistfirststyle"/>
      </w:pPr>
      <w:r w:rsidRPr="00033144">
        <w:t>The consistency over time of our Sharpe-Lintner CAPM estimation approach (reflective of a risk premium above a prevailing risk free rate) has been supportive of investment. While taking into account the downward trends in both our risk premium and the risk free rate,</w:t>
      </w:r>
      <w:r w:rsidRPr="00033144">
        <w:rPr>
          <w:rStyle w:val="FootnoteReference"/>
        </w:rPr>
        <w:footnoteReference w:id="156"/>
      </w:r>
      <w:r w:rsidRPr="00033144">
        <w:t xml:space="preserve"> service providers have continued to invest in their networks and propose to continue to grow their asset bases.</w:t>
      </w:r>
      <w:r w:rsidRPr="00033144">
        <w:rPr>
          <w:rStyle w:val="FootnoteReference"/>
        </w:rPr>
        <w:footnoteReference w:id="157"/>
      </w:r>
      <w:r w:rsidRPr="00033144">
        <w:rPr>
          <w:rStyle w:val="AERtexthighlight"/>
        </w:rPr>
        <w:t xml:space="preserve"> </w:t>
      </w:r>
    </w:p>
    <w:p w:rsidR="00033144" w:rsidRPr="00033144" w:rsidRDefault="00033144" w:rsidP="00033144">
      <w:pPr>
        <w:pStyle w:val="AERbulletlistfirststyle"/>
      </w:pPr>
      <w:r w:rsidRPr="00033144">
        <w:t xml:space="preserve">Our return on equity estimate is approximately </w:t>
      </w:r>
      <w:r w:rsidR="00C207FD">
        <w:t>163</w:t>
      </w:r>
      <w:r w:rsidR="00A74404">
        <w:t xml:space="preserve"> </w:t>
      </w:r>
      <w:r w:rsidRPr="00033144">
        <w:t xml:space="preserve">basis points above the prevailing yield-to-maturity on BBB-rated debt with a 10 year term-to-maturity. For a benchmark efficient entity with a similar degree of risk as </w:t>
      </w:r>
      <w:r w:rsidR="00CA15BD">
        <w:t>ActewAGL</w:t>
      </w:r>
      <w:r w:rsidRPr="00033144">
        <w:t>, we would not expect the return on equity to be a long way above the prevailing return on debt.</w:t>
      </w:r>
      <w:r w:rsidRPr="00033144">
        <w:rPr>
          <w:rStyle w:val="FootnoteReference"/>
        </w:rPr>
        <w:footnoteReference w:id="158"/>
      </w:r>
    </w:p>
    <w:p w:rsidR="00033144" w:rsidRPr="00033144" w:rsidRDefault="00033144" w:rsidP="00033144">
      <w:pPr>
        <w:pStyle w:val="AERbulletlistfirststyle"/>
      </w:pPr>
      <w:r w:rsidRPr="00033144">
        <w:t>We have come to this estimate following the application of our foundation model approach, which:</w:t>
      </w:r>
    </w:p>
    <w:p w:rsidR="00033144" w:rsidRPr="00033144" w:rsidRDefault="00033144" w:rsidP="00033144">
      <w:pPr>
        <w:pStyle w:val="AERbulletlistsecondstyle"/>
      </w:pPr>
      <w:r w:rsidRPr="00033144">
        <w:t xml:space="preserve">involves consideration of all relevant material submitted to us, and the role for each piece of material that would best achieve the </w:t>
      </w:r>
      <w:r w:rsidR="00270CE2">
        <w:t>ARORO</w:t>
      </w:r>
      <w:r w:rsidRPr="00033144">
        <w:t>; and</w:t>
      </w:r>
    </w:p>
    <w:p w:rsidR="00033144" w:rsidRPr="00033144" w:rsidRDefault="00033144" w:rsidP="00033144">
      <w:pPr>
        <w:pStyle w:val="AERbulletlistsecondstyle"/>
      </w:pPr>
      <w:r w:rsidRPr="00033144">
        <w:t>was developed through extensive consultation during our Guideline review process.</w:t>
      </w:r>
    </w:p>
    <w:p w:rsidR="00033144" w:rsidRPr="00033144" w:rsidRDefault="00033144" w:rsidP="00033144">
      <w:pPr>
        <w:numPr>
          <w:ilvl w:val="0"/>
          <w:numId w:val="24"/>
        </w:numPr>
      </w:pPr>
      <w:r w:rsidRPr="00033144">
        <w:t>The Sharpe-Lintner CAPM provides that the return on equity can be calculated as the risk-free return and a premium for risk above the risk-free rate, with the risk premium calculated as the product of the market risk premium and equity beta.</w:t>
      </w:r>
      <w:r w:rsidRPr="00033144">
        <w:rPr>
          <w:rStyle w:val="FootnoteReference"/>
        </w:rPr>
        <w:footnoteReference w:id="159"/>
      </w:r>
      <w:r w:rsidRPr="00033144">
        <w:t xml:space="preserve"> Our Sharpe-Lintner CAPM estimate is based on:</w:t>
      </w:r>
    </w:p>
    <w:p w:rsidR="00033144" w:rsidRPr="00033144" w:rsidRDefault="00033144" w:rsidP="00033144">
      <w:pPr>
        <w:pStyle w:val="AERbulletlistfirststyle"/>
      </w:pPr>
      <w:r w:rsidRPr="00033144">
        <w:t>a prevailing risk free rate estimate of 2.</w:t>
      </w:r>
      <w:r w:rsidR="00A74404">
        <w:t>57</w:t>
      </w:r>
      <w:r w:rsidRPr="00033144">
        <w:t xml:space="preserve"> per cent</w:t>
      </w:r>
    </w:p>
    <w:p w:rsidR="00033144" w:rsidRPr="00033144" w:rsidRDefault="00033144" w:rsidP="00033144">
      <w:pPr>
        <w:pStyle w:val="AERbulletlistfirststyle"/>
      </w:pPr>
      <w:r w:rsidRPr="00033144">
        <w:t xml:space="preserve">a market risk premium estimate of 6.5 per cent, and </w:t>
      </w:r>
    </w:p>
    <w:p w:rsidR="00033144" w:rsidRPr="00033144" w:rsidRDefault="00033144" w:rsidP="00033144">
      <w:pPr>
        <w:pStyle w:val="AERbulletlistfirststyle"/>
      </w:pPr>
      <w:r w:rsidRPr="00033144">
        <w:t>an equity beta estimate of 0.7.</w:t>
      </w:r>
      <w:r w:rsidRPr="00033144">
        <w:rPr>
          <w:rStyle w:val="FootnoteReference"/>
        </w:rPr>
        <w:footnoteReference w:id="160"/>
      </w:r>
      <w:r w:rsidRPr="00033144">
        <w:t xml:space="preserve"> </w:t>
      </w:r>
    </w:p>
    <w:p w:rsidR="00033144" w:rsidRPr="00033144" w:rsidRDefault="00033144" w:rsidP="00033144">
      <w:pPr>
        <w:numPr>
          <w:ilvl w:val="0"/>
          <w:numId w:val="24"/>
        </w:numPr>
      </w:pPr>
      <w:r w:rsidRPr="00033144">
        <w:t>Our derivation of these parameter estimates is outlined in the subsections below.</w:t>
      </w:r>
    </w:p>
    <w:p w:rsidR="00033144" w:rsidRPr="00033144" w:rsidRDefault="00033144" w:rsidP="00033144">
      <w:pPr>
        <w:numPr>
          <w:ilvl w:val="0"/>
          <w:numId w:val="24"/>
        </w:numPr>
      </w:pPr>
      <w:r w:rsidRPr="00033144">
        <w:t>The following aspects of our return on equity estimate have broad agreement from both service providers and consumer groups:</w:t>
      </w:r>
    </w:p>
    <w:p w:rsidR="00033144" w:rsidRPr="00033144" w:rsidRDefault="00033144" w:rsidP="00033144">
      <w:pPr>
        <w:pStyle w:val="AERbulletlistfirststyle"/>
      </w:pPr>
      <w:r w:rsidRPr="00033144">
        <w:t>The Sharpe-Lintner CAPM, at least in combination with other relevant material, is valuable for estimating return on equity</w:t>
      </w:r>
    </w:p>
    <w:p w:rsidR="00033144" w:rsidRPr="00033144" w:rsidRDefault="00033144" w:rsidP="00033144">
      <w:pPr>
        <w:pStyle w:val="AERbulletlistfirststyle"/>
      </w:pPr>
      <w:r w:rsidRPr="00033144">
        <w:t>The risk free rate should be estimated as the yield, averaged over a 20 business day averaging period, on Australian government securities with a ten-year term-to-maturity.</w:t>
      </w:r>
      <w:r w:rsidRPr="00033144">
        <w:rPr>
          <w:rStyle w:val="FootnoteReference"/>
        </w:rPr>
        <w:footnoteReference w:id="161"/>
      </w:r>
    </w:p>
    <w:p w:rsidR="00033144" w:rsidRPr="00033144" w:rsidRDefault="00033144" w:rsidP="00033144">
      <w:pPr>
        <w:pStyle w:val="AERbulletlistfirststyle"/>
      </w:pPr>
      <w:r w:rsidRPr="00033144">
        <w:t>Market risk premium estimates should be informed by historical stock returns and (to some extent) dividend growth model estimates.</w:t>
      </w:r>
    </w:p>
    <w:p w:rsidR="00033144" w:rsidRPr="00033144" w:rsidRDefault="00033144" w:rsidP="00033144">
      <w:pPr>
        <w:pStyle w:val="AERbulletlistfirststyle"/>
      </w:pPr>
      <w:r w:rsidRPr="00033144">
        <w:t>Equity beta estimates should be informed by regression estimates of the equity beta of relevant Australian and, to some extent, international energy network businesses.</w:t>
      </w:r>
    </w:p>
    <w:p w:rsidR="00033144" w:rsidRPr="00033144" w:rsidRDefault="00033144" w:rsidP="00033144">
      <w:pPr>
        <w:pStyle w:val="AERbulletlistfirststyle"/>
      </w:pPr>
      <w:r w:rsidRPr="00033144">
        <w:t>The Wright specification of the CAPM, and return on equity estimates from broker and valuation reports, are relevant material that can inform return on equity estimation.</w:t>
      </w:r>
    </w:p>
    <w:p w:rsidR="00033144" w:rsidRPr="00033144" w:rsidRDefault="00033144" w:rsidP="00033144">
      <w:r w:rsidRPr="00033144">
        <w:t>There was also broad agreement from consumer groups on the application of our foundation model approach as set out in our Guideline. In applying our foundation model approach, some consumer groups supported our parameter estimates of 6.5 per cent for market risk premium and 0.7 for equity beta</w:t>
      </w:r>
      <w:r w:rsidRPr="00033144">
        <w:rPr>
          <w:rStyle w:val="FootnoteReference"/>
        </w:rPr>
        <w:footnoteReference w:id="162"/>
      </w:r>
      <w:r w:rsidRPr="00033144">
        <w:t xml:space="preserve"> while others submitted that these parameters should be lower.</w:t>
      </w:r>
      <w:r w:rsidRPr="00033144">
        <w:rPr>
          <w:rStyle w:val="FootnoteReference"/>
        </w:rPr>
        <w:footnoteReference w:id="163"/>
      </w:r>
    </w:p>
    <w:p w:rsidR="00033144" w:rsidRPr="00033144" w:rsidRDefault="00033144" w:rsidP="00033144">
      <w:r w:rsidRPr="00033144">
        <w:t>Origin Energy submitted that we have adopted a balanced and pragmatic approach that provides certain and predictable outcomes for investors and provides a balance between the views of consumer groups and the network businesses.</w:t>
      </w:r>
      <w:r w:rsidRPr="00033144">
        <w:rPr>
          <w:rStyle w:val="FootnoteReference"/>
        </w:rPr>
        <w:footnoteReference w:id="164"/>
      </w:r>
      <w:r w:rsidRPr="00033144">
        <w:t xml:space="preserve"> AGL submitted support for our Rate of Return Guideline as an equitable balance between the interests of the distribution networks and energy consumers.</w:t>
      </w:r>
      <w:r w:rsidRPr="00033144">
        <w:rPr>
          <w:rStyle w:val="FootnoteReference"/>
        </w:rPr>
        <w:footnoteReference w:id="165"/>
      </w:r>
      <w:r w:rsidRPr="00033144">
        <w:t xml:space="preserve"> The Energy Users Coalition of Victoria (EUCV) noted that consumers have accepted the guideline as being equitable and appropriate.</w:t>
      </w:r>
      <w:r w:rsidRPr="00033144">
        <w:rPr>
          <w:rStyle w:val="FootnoteReference"/>
        </w:rPr>
        <w:footnoteReference w:id="166"/>
      </w:r>
      <w:r w:rsidRPr="00033144">
        <w:t xml:space="preserve"> The Consumer Challenger Panel (sub-panel 3) (CCP3) noted that the AER should continue to apply the return on equity methodology set out in the Guideline because the regulated businesses have not provided sufficient reasons to move away from it.</w:t>
      </w:r>
      <w:r w:rsidRPr="00033144">
        <w:rPr>
          <w:rStyle w:val="FootnoteReference"/>
        </w:rPr>
        <w:footnoteReference w:id="167"/>
      </w:r>
    </w:p>
    <w:p w:rsidR="00033144" w:rsidRPr="00033144" w:rsidRDefault="00033144" w:rsidP="00033144">
      <w:r w:rsidRPr="00033144">
        <w:t>While there was general support for our parameter estimates, consumer groups also submitted that these parameter estimates reflect a 'cumulative conservatism' that may result in over-estimating the return on equity.</w:t>
      </w:r>
      <w:r w:rsidRPr="00033144">
        <w:rPr>
          <w:rStyle w:val="FootnoteReference"/>
        </w:rPr>
        <w:t xml:space="preserve"> </w:t>
      </w:r>
      <w:r w:rsidRPr="00033144">
        <w:rPr>
          <w:rStyle w:val="FootnoteReference"/>
        </w:rPr>
        <w:footnoteReference w:id="168"/>
      </w:r>
      <w:r w:rsidRPr="00033144">
        <w:t xml:space="preserve"> However, in supporting our parameter estimates, consumer groups submitted that they valued the predictability and transparency resulting from the application of our Guideline and foundation model approach.</w:t>
      </w:r>
      <w:r w:rsidRPr="00033144">
        <w:rPr>
          <w:rStyle w:val="FootnoteReference"/>
        </w:rPr>
        <w:footnoteReference w:id="169"/>
      </w:r>
    </w:p>
    <w:p w:rsidR="00033144" w:rsidRPr="00033144" w:rsidRDefault="00033144" w:rsidP="00033144">
      <w:pPr>
        <w:numPr>
          <w:ilvl w:val="0"/>
          <w:numId w:val="24"/>
        </w:numPr>
      </w:pPr>
      <w:r w:rsidRPr="00033144">
        <w:t>Service providers disagreed with us on the relative merits of relevant material, as well as some of our methodological choices, submitting that:</w:t>
      </w:r>
    </w:p>
    <w:p w:rsidR="00033144" w:rsidRPr="00033144" w:rsidRDefault="00033144" w:rsidP="00033144">
      <w:pPr>
        <w:pStyle w:val="AERbulletlistfirststyle"/>
      </w:pPr>
      <w:r w:rsidRPr="00033144">
        <w:t>The Black CAPM, Fama-French model, and dividend growth model can reliably inform an overall return on equity estimate and compensate for biases existing in the Sharpe-Lintner CAPM.</w:t>
      </w:r>
    </w:p>
    <w:p w:rsidR="00033144" w:rsidRPr="00033144" w:rsidRDefault="00033144" w:rsidP="00033144">
      <w:pPr>
        <w:pStyle w:val="AERbulletlistfirststyle"/>
      </w:pPr>
      <w:r w:rsidRPr="00033144">
        <w:t>In estimating the market risk premium we should afford greater weight to estimates from our dividend growth model, from valuation reports, and from the Wright specification of the CAPM; while affording less weight to estimates from surveys and other regulators' decisions. Further, we have incorrectly utilised this evidence.</w:t>
      </w:r>
    </w:p>
    <w:p w:rsidR="00033144" w:rsidRPr="00033144" w:rsidRDefault="00033144" w:rsidP="00033144">
      <w:pPr>
        <w:pStyle w:val="AERbulletlistfirststyle"/>
      </w:pPr>
      <w:r w:rsidRPr="00033144">
        <w:t>The regression evidence of equity betas for relevant businesses, which should not be restricted to regulated energy businesses, indicates that our equity beta estimate should be greater than 0.7. Further, our conceptual analysis of equity beta relies on an incorrect assessment of risk,</w:t>
      </w:r>
      <w:r w:rsidRPr="00033144">
        <w:rPr>
          <w:rStyle w:val="FootnoteReference"/>
        </w:rPr>
        <w:footnoteReference w:id="170"/>
      </w:r>
      <w:r w:rsidRPr="00033144">
        <w:t xml:space="preserve"> and our application of the theory of the Black CAPM should be quantified.</w:t>
      </w:r>
    </w:p>
    <w:p w:rsidR="00033144" w:rsidRPr="00033144" w:rsidRDefault="00033144" w:rsidP="00033144">
      <w:pPr>
        <w:pStyle w:val="AERbulletlistfirststyle"/>
      </w:pPr>
      <w:r w:rsidRPr="00033144">
        <w:t>In comparing our initial return on equity estimate, based on the Sharpe-Lintner CAPM, against a range of other independent material, we have incorrectly adjusted and interpreted evidence from the Wright approach, broker reports, valuation reports, and other regulators' decisions.</w:t>
      </w:r>
    </w:p>
    <w:p w:rsidR="00033144" w:rsidRPr="00F8641A" w:rsidRDefault="00033144" w:rsidP="00033144">
      <w:pPr>
        <w:pStyle w:val="AERbulletlistfirststyle"/>
        <w:rPr>
          <w:rStyle w:val="AERtexthighlight"/>
          <w:shd w:val="clear" w:color="auto" w:fill="auto"/>
        </w:rPr>
      </w:pPr>
      <w:r w:rsidRPr="00F8641A">
        <w:rPr>
          <w:rStyle w:val="AERtexthighlight"/>
          <w:shd w:val="clear" w:color="auto" w:fill="auto"/>
        </w:rPr>
        <w:t>Our foundation model approach follows movements in the risk free rate too closely, resulting in a return that is too low in the current market.</w:t>
      </w:r>
    </w:p>
    <w:p w:rsidR="00033144" w:rsidRPr="00033144" w:rsidRDefault="00033144" w:rsidP="00033144">
      <w:pPr>
        <w:numPr>
          <w:ilvl w:val="0"/>
          <w:numId w:val="24"/>
        </w:numPr>
      </w:pPr>
      <w:r w:rsidRPr="00033144">
        <w:t xml:space="preserve">These issues are discussed in turn below. We are not satisfied that any information submitted to us indicates that a departure from the Guideline would contribute to the achievement of the </w:t>
      </w:r>
      <w:r w:rsidR="00270CE2">
        <w:t>ARORO</w:t>
      </w:r>
      <w:r w:rsidRPr="00033144">
        <w:t xml:space="preserve">. In addition to the reasons outlined in the subsections below, we consider the importance placed by all stakeholders on predictability and transparency is important to contribute to the achievement of the </w:t>
      </w:r>
      <w:r w:rsidR="00270CE2">
        <w:t>ARORO</w:t>
      </w:r>
      <w:r w:rsidRPr="00033144">
        <w:t>.</w:t>
      </w:r>
      <w:r w:rsidRPr="00033144">
        <w:rPr>
          <w:rStyle w:val="FootnoteReference"/>
        </w:rPr>
        <w:footnoteReference w:id="171"/>
      </w:r>
    </w:p>
    <w:p w:rsidR="00033144" w:rsidRPr="00033144" w:rsidRDefault="00033144" w:rsidP="00BB7AE6">
      <w:pPr>
        <w:pStyle w:val="HeadingBoldBlue"/>
        <w:keepNext/>
        <w:numPr>
          <w:ilvl w:val="0"/>
          <w:numId w:val="24"/>
        </w:numPr>
        <w:rPr>
          <w:rStyle w:val="AERtextorange"/>
          <w:rFonts w:eastAsiaTheme="minorHAnsi" w:cstheme="minorBidi"/>
          <w:b w:val="0"/>
          <w:bCs w:val="0"/>
          <w:sz w:val="22"/>
        </w:rPr>
      </w:pPr>
      <w:bookmarkStart w:id="58" w:name="_Toc443923181"/>
      <w:r w:rsidRPr="00033144">
        <w:rPr>
          <w:rStyle w:val="AERtextorange"/>
        </w:rPr>
        <w:t>Services providers' proposed multi-model approach</w:t>
      </w:r>
      <w:bookmarkEnd w:id="58"/>
    </w:p>
    <w:p w:rsidR="00033144" w:rsidRPr="00033144" w:rsidRDefault="00033144" w:rsidP="00BB7AE6">
      <w:pPr>
        <w:keepNext/>
      </w:pPr>
      <w:r w:rsidRPr="00033144">
        <w:t>Our return on equity estimate of 7.</w:t>
      </w:r>
      <w:r w:rsidR="00F81198">
        <w:t>1</w:t>
      </w:r>
      <w:r w:rsidRPr="00033144">
        <w:t xml:space="preserve"> per cent is derived from our application of the Sharpe-Lintner CAPM as our foundation model. We consider the Sharpe-Lintner CAPM is the best model for estimating the efficient costs of equity financing because it:</w:t>
      </w:r>
    </w:p>
    <w:p w:rsidR="00033144" w:rsidRPr="00033144" w:rsidRDefault="00033144" w:rsidP="00033144">
      <w:pPr>
        <w:pStyle w:val="AERbulletlistfirststyle"/>
      </w:pPr>
      <w:r w:rsidRPr="00033144">
        <w:t>transparently presents the key risk and reward trade-off</w:t>
      </w:r>
      <w:r w:rsidRPr="00033144">
        <w:rPr>
          <w:rStyle w:val="FootnoteReference"/>
        </w:rPr>
        <w:footnoteReference w:id="172"/>
      </w:r>
      <w:r w:rsidRPr="00033144">
        <w:t xml:space="preserve"> that is at the heart of our task</w:t>
      </w:r>
      <w:r w:rsidRPr="00033144">
        <w:rPr>
          <w:rStyle w:val="FootnoteReference"/>
        </w:rPr>
        <w:footnoteReference w:id="173"/>
      </w:r>
    </w:p>
    <w:p w:rsidR="00033144" w:rsidRPr="00033144" w:rsidRDefault="00033144" w:rsidP="00033144">
      <w:pPr>
        <w:pStyle w:val="AERbulletlistfirststyle"/>
      </w:pPr>
      <w:r w:rsidRPr="00033144">
        <w:t>is widely and consistently used for estimating the expected return on equity by financial market practitioners, academics, and other regulators</w:t>
      </w:r>
      <w:r w:rsidRPr="00033144">
        <w:rPr>
          <w:rStyle w:val="FootnoteReference"/>
        </w:rPr>
        <w:footnoteReference w:id="174"/>
      </w:r>
    </w:p>
    <w:p w:rsidR="00033144" w:rsidRPr="00033144" w:rsidRDefault="00033144" w:rsidP="00033144">
      <w:pPr>
        <w:pStyle w:val="AERbulletlistfirststyle"/>
      </w:pPr>
      <w:r w:rsidRPr="00033144">
        <w:t>has well-accepted and unbiased methods for estimating its parameters, and these parameters can be estimated with tolerable accuracy, unlike the alternative models proposed by service providers.</w:t>
      </w:r>
    </w:p>
    <w:p w:rsidR="00033144" w:rsidRPr="00033144" w:rsidRDefault="00033144" w:rsidP="00033144">
      <w:r w:rsidRPr="00033144">
        <w:t>Our consultants have also agreed with our use of the Sharpe-Lintner CAPM as the foundation model. Handley stated:</w:t>
      </w:r>
      <w:r w:rsidRPr="00033144">
        <w:rPr>
          <w:rStyle w:val="FootnoteReference"/>
        </w:rPr>
        <w:footnoteReference w:id="175"/>
      </w:r>
    </w:p>
    <w:p w:rsidR="00033144" w:rsidRPr="00033144" w:rsidRDefault="00033144" w:rsidP="00033144">
      <w:pPr>
        <w:pStyle w:val="AERquote"/>
      </w:pPr>
      <w:r w:rsidRPr="00033144">
        <w:t>[t]he AER's choice of the Sharpe-CAPM as foundation model is entirely appropriate and reasonable for this purpose. The Sharpe-CAPM is the standard (equilibrium) asset pricing model. It has a long established and well understood theoretical foundation and is a transparent representation of one of the most fundamental paradigms of finance - the risk-return trade off.</w:t>
      </w:r>
    </w:p>
    <w:p w:rsidR="00033144" w:rsidRPr="00033144" w:rsidRDefault="00033144" w:rsidP="00033144">
      <w:r w:rsidRPr="00033144">
        <w:t>McKenzie and Partington indicated with respect to the Sharpe–Lintner CAPM:</w:t>
      </w:r>
      <w:r w:rsidRPr="00033144">
        <w:rPr>
          <w:rStyle w:val="FootnoteReference"/>
        </w:rPr>
        <w:footnoteReference w:id="176"/>
      </w:r>
    </w:p>
    <w:p w:rsidR="00033144" w:rsidRPr="00033144" w:rsidRDefault="00033144" w:rsidP="00033144">
      <w:pPr>
        <w:pStyle w:val="AERquote"/>
      </w:pPr>
      <w:r w:rsidRPr="00033144">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w:t>
      </w:r>
    </w:p>
    <w:p w:rsidR="00033144" w:rsidRPr="00033144" w:rsidRDefault="00033144" w:rsidP="00033144">
      <w:r w:rsidRPr="00033144">
        <w:t xml:space="preserve">Since publishing our Guideline service providers have submitted that the use of additional models for estimating the return on equity, and various methods for combining the models, would result in an improved estimate. The additional models submitted by service providers are the Black CAPM, Fama-French model, the dividend growth model, and the historical and Wright specifications to the Sharpe-Lintner CAPM.  </w:t>
      </w:r>
    </w:p>
    <w:p w:rsidR="00033144" w:rsidRPr="00033144" w:rsidRDefault="00033144" w:rsidP="00033144">
      <w:r w:rsidRPr="00033144">
        <w:t xml:space="preserve">We consider the relative merits of this material in detail in section </w:t>
      </w:r>
      <w:r w:rsidR="00E37804">
        <w:fldChar w:fldCharType="begin"/>
      </w:r>
      <w:r w:rsidR="00E37804">
        <w:instrText xml:space="preserve"> REF _Ref451691033 \r \h </w:instrText>
      </w:r>
      <w:r w:rsidR="00E37804">
        <w:fldChar w:fldCharType="separate"/>
      </w:r>
      <w:r w:rsidR="001A023B">
        <w:t>B</w:t>
      </w:r>
      <w:r w:rsidR="00E37804">
        <w:fldChar w:fldCharType="end"/>
      </w:r>
      <w:r w:rsidR="00E37804">
        <w:t xml:space="preserve"> </w:t>
      </w:r>
      <w:r w:rsidRPr="00033144">
        <w:t>of this attachment. In summary, we consider that the models other than the Sharpe-Lintner CAPM are too unreliable and at risk of potential bias to be relied upon. Given the limitations of the other equity models proposed by the service providers, we consider that:</w:t>
      </w:r>
    </w:p>
    <w:p w:rsidR="00033144" w:rsidRPr="00033144" w:rsidRDefault="00033144" w:rsidP="00033144">
      <w:pPr>
        <w:pStyle w:val="AERbulletlistfirststyle"/>
      </w:pPr>
      <w:r w:rsidRPr="00033144">
        <w:t>These models should not form part of our foundation model approach, either as the sole model or as part of a multi-model approach.</w:t>
      </w:r>
    </w:p>
    <w:p w:rsidR="00033144" w:rsidRPr="00033144" w:rsidRDefault="00033144" w:rsidP="00033144">
      <w:pPr>
        <w:pStyle w:val="AERbulletlistfirststyle"/>
      </w:pPr>
      <w:r w:rsidRPr="00033144">
        <w:t>The Wright approach, the dividend growth model, and the theory underpinning the Black CAPM may provide some (albeit limited) insights. This material has been used to inform our overall return on equity estimate (Wright) or the estimation of Sharpe-Lintner CAPM parameters (Black CAPM and dividend growth model).</w:t>
      </w:r>
      <w:r w:rsidRPr="00033144">
        <w:rPr>
          <w:rStyle w:val="FootnoteReference"/>
        </w:rPr>
        <w:footnoteReference w:id="177"/>
      </w:r>
    </w:p>
    <w:p w:rsidR="00033144" w:rsidRPr="00033144" w:rsidRDefault="00033144" w:rsidP="00033144">
      <w:pPr>
        <w:pStyle w:val="AERbulletlistfirststyle"/>
      </w:pPr>
      <w:r w:rsidRPr="00033144">
        <w:t xml:space="preserve">The Fama-French model and historical specification of the Sharpe-Lintner CAPM should not be used to inform our return on equity estimate in any capacity. </w:t>
      </w:r>
    </w:p>
    <w:p w:rsidR="00033144" w:rsidRPr="00033144" w:rsidRDefault="00033144" w:rsidP="00033144">
      <w:r w:rsidRPr="00033144">
        <w:t>Consumers and other stakeholders generally supported our use of the Sharp-Lintner CAPM and our foundation model approach.</w:t>
      </w:r>
      <w:r w:rsidRPr="00033144">
        <w:rPr>
          <w:rStyle w:val="FootnoteReference"/>
        </w:rPr>
        <w:footnoteReference w:id="178"/>
      </w:r>
      <w:r w:rsidRPr="00033144">
        <w:t xml:space="preserve"> </w:t>
      </w:r>
    </w:p>
    <w:p w:rsidR="00033144" w:rsidRPr="00033144" w:rsidRDefault="00033144" w:rsidP="00033144">
      <w:r w:rsidRPr="00033144">
        <w:t>Service providers generally expressed preference towards estimating the return on equity by combining estimates from the Sharpe-Lintner CAPM, Black CAPM, Fama-French model, and dividend growth model (the multi model approach).</w:t>
      </w:r>
      <w:r w:rsidRPr="00033144">
        <w:rPr>
          <w:rStyle w:val="FootnoteReference"/>
        </w:rPr>
        <w:footnoteReference w:id="179"/>
      </w:r>
      <w:r w:rsidRPr="00033144">
        <w:t xml:space="preserve"> </w:t>
      </w:r>
    </w:p>
    <w:p w:rsidR="00033144" w:rsidRPr="00033144" w:rsidRDefault="00033144" w:rsidP="00033144">
      <w:r w:rsidRPr="00033144">
        <w:t>Service providers also expressed a second preference for an alternative implementation of the Sharpe-Lintner CAPM, in which the equity beta is increased to account for the low-beta and book-to-market biases using outputs from the Black CAPM and the Fama-French model respectively.</w:t>
      </w:r>
      <w:r w:rsidRPr="00033144">
        <w:rPr>
          <w:rStyle w:val="FootnoteReference"/>
        </w:rPr>
        <w:footnoteReference w:id="180"/>
      </w:r>
      <w:r w:rsidRPr="00033144">
        <w:t xml:space="preserve"> However, we consider that Frontier's Sharpe-Lintner CAPM appears to be effectively another multi-model approach, applying a 75 per cent weight to the return on equity estimate from its Black CAPM and 25 per cent weight to its Fama-French model estimate.</w:t>
      </w:r>
      <w:r w:rsidRPr="00033144">
        <w:rPr>
          <w:rStyle w:val="FootnoteReference"/>
        </w:rPr>
        <w:footnoteReference w:id="181"/>
      </w:r>
      <w:r w:rsidRPr="00033144">
        <w:t xml:space="preserve"> </w:t>
      </w:r>
    </w:p>
    <w:p w:rsidR="00033144" w:rsidRPr="00033144" w:rsidRDefault="00033144" w:rsidP="00033144">
      <w:r w:rsidRPr="00033144">
        <w:t>The service providers submit that either approach better reflects efficient costs of equity financing, and that our foundation model approach results in an estimate of the required return on equity that is too low.</w:t>
      </w:r>
      <w:r w:rsidRPr="00033144">
        <w:rPr>
          <w:rStyle w:val="FootnoteReference"/>
        </w:rPr>
        <w:t xml:space="preserve"> </w:t>
      </w:r>
      <w:r w:rsidRPr="00033144">
        <w:rPr>
          <w:rStyle w:val="FootnoteReference"/>
        </w:rPr>
        <w:footnoteReference w:id="182"/>
      </w:r>
      <w:r w:rsidRPr="00033144">
        <w:t xml:space="preserve"> </w:t>
      </w:r>
    </w:p>
    <w:p w:rsidR="00033144" w:rsidRPr="00033144" w:rsidRDefault="00033144" w:rsidP="00033144">
      <w:pPr>
        <w:numPr>
          <w:ilvl w:val="0"/>
          <w:numId w:val="24"/>
        </w:numPr>
      </w:pPr>
      <w:r w:rsidRPr="00033144">
        <w:t>We note that service providers have raised similar arguments in previous submissions and revenue determinations.</w:t>
      </w:r>
      <w:r w:rsidRPr="00033144">
        <w:rPr>
          <w:rStyle w:val="FootnoteReference"/>
        </w:rPr>
        <w:t xml:space="preserve"> </w:t>
      </w:r>
      <w:r w:rsidRPr="00033144">
        <w:rPr>
          <w:rStyle w:val="FootnoteReference"/>
        </w:rPr>
        <w:footnoteReference w:id="183"/>
      </w:r>
      <w:r w:rsidRPr="00033144">
        <w:t xml:space="preserve"> They effectively revolve around the following claims: </w:t>
      </w:r>
    </w:p>
    <w:p w:rsidR="00033144" w:rsidRPr="00033144" w:rsidRDefault="00033144" w:rsidP="00033144">
      <w:pPr>
        <w:pStyle w:val="AERbulletlistfirststyle"/>
      </w:pPr>
      <w:r w:rsidRPr="00033144">
        <w:t>That empirical evidence shows that the Sharpe-Lintner CAPM is downwardly biased and that there are alternative models available that can reliably address these biases,</w:t>
      </w:r>
      <w:r w:rsidRPr="00033144">
        <w:rPr>
          <w:rStyle w:val="FootnoteReference"/>
        </w:rPr>
        <w:footnoteReference w:id="184"/>
      </w:r>
      <w:r w:rsidRPr="00033144">
        <w:t xml:space="preserve">  specifically:</w:t>
      </w:r>
    </w:p>
    <w:p w:rsidR="00033144" w:rsidRPr="00033144" w:rsidRDefault="00033144" w:rsidP="00033144">
      <w:pPr>
        <w:pStyle w:val="AERbulletlistsecondstyle"/>
      </w:pPr>
      <w:r w:rsidRPr="00033144">
        <w:t xml:space="preserve">the Black CAPM can address low beta bias in the Sharpe-Lintner CAPM (a tendency for the Sharpe-Lintner CAPM to estimate a downwardly-biased return on equity for stocks with an equity beta less than one), and </w:t>
      </w:r>
    </w:p>
    <w:p w:rsidR="00033144" w:rsidRPr="00033144" w:rsidRDefault="00033144" w:rsidP="00033144">
      <w:pPr>
        <w:pStyle w:val="AERbulletlistsecondstyle"/>
      </w:pPr>
      <w:r w:rsidRPr="00033144">
        <w:t>the Fama-French model can address book-to-market bias in the Sharpe-Lintner CAPM (a tendency for the Sharpe-Lintner CAPM to estimate a downwardly-biased return on equity for stocks with low book-to-market ratios)</w:t>
      </w:r>
    </w:p>
    <w:p w:rsidR="00033144" w:rsidRPr="00033144" w:rsidRDefault="00033144" w:rsidP="00033144">
      <w:pPr>
        <w:pStyle w:val="AERbulletlistfirststyle"/>
      </w:pPr>
      <w:r w:rsidRPr="00033144">
        <w:t xml:space="preserve">The dividend growth model more accurately and reliably reflects investors' prevailing required return on equity, and provides a better consideration of prevailing market conditions, than the Sharpe-Lintner CAPM. </w:t>
      </w:r>
    </w:p>
    <w:p w:rsidR="00033144" w:rsidRPr="00033144" w:rsidRDefault="00033144" w:rsidP="00033144">
      <w:pPr>
        <w:numPr>
          <w:ilvl w:val="0"/>
          <w:numId w:val="24"/>
        </w:numPr>
      </w:pPr>
      <w:r w:rsidRPr="00033144">
        <w:t>In their revised proposals, services providers provided new expert reports from Frontier and HoustonKemp to further support their views.</w:t>
      </w:r>
      <w:r w:rsidRPr="00033144">
        <w:rPr>
          <w:rStyle w:val="FootnoteReference"/>
        </w:rPr>
        <w:footnoteReference w:id="185"/>
      </w:r>
    </w:p>
    <w:p w:rsidR="00033144" w:rsidRPr="00033144" w:rsidRDefault="00033144" w:rsidP="00033144">
      <w:pPr>
        <w:numPr>
          <w:ilvl w:val="0"/>
          <w:numId w:val="24"/>
        </w:numPr>
      </w:pPr>
      <w:r w:rsidRPr="00033144">
        <w:t>We are not satisfied that the service providers' proposed application of other equity models</w:t>
      </w:r>
      <w:r w:rsidRPr="00033144">
        <w:rPr>
          <w:rStyle w:val="FootnoteReference"/>
        </w:rPr>
        <w:footnoteReference w:id="186"/>
      </w:r>
      <w:r w:rsidRPr="00033144">
        <w:t xml:space="preserve"> will result in a return on equity that is commensurate with efficient financing costs (given the risk of </w:t>
      </w:r>
      <w:r w:rsidR="00F8641A">
        <w:t>ActewAGL</w:t>
      </w:r>
      <w:r w:rsidR="00F8641A" w:rsidRPr="00033144">
        <w:t xml:space="preserve">'s </w:t>
      </w:r>
      <w:r w:rsidRPr="00033144">
        <w:t>regulated services).</w:t>
      </w:r>
      <w:r w:rsidRPr="00033144">
        <w:rPr>
          <w:rStyle w:val="FootnoteReference"/>
        </w:rPr>
        <w:footnoteReference w:id="187"/>
      </w:r>
      <w:r w:rsidRPr="00033144">
        <w:t xml:space="preserve"> We consider there is overwhelming evidence that the Sharpe-Lintner CAPM is the current standard-bearer for estimating expected equity returns. </w:t>
      </w:r>
    </w:p>
    <w:p w:rsidR="00033144" w:rsidRPr="00033144" w:rsidRDefault="00033144" w:rsidP="00033144">
      <w:pPr>
        <w:numPr>
          <w:ilvl w:val="0"/>
          <w:numId w:val="24"/>
        </w:numPr>
      </w:pPr>
      <w:r w:rsidRPr="00033144">
        <w:t>Our consultant, Partington and Satchell, noted that the 'SLCAPM remains the premier model used to estimate the cost of capital in practice, by both industry and regulators' and has wide agreement as 'a model of equilibrium expected returns'.</w:t>
      </w:r>
      <w:r w:rsidRPr="00033144">
        <w:rPr>
          <w:rStyle w:val="FootnoteReference"/>
        </w:rPr>
        <w:footnoteReference w:id="188"/>
      </w:r>
    </w:p>
    <w:p w:rsidR="00033144" w:rsidRPr="00033144" w:rsidRDefault="00033144" w:rsidP="00033144">
      <w:pPr>
        <w:numPr>
          <w:ilvl w:val="0"/>
          <w:numId w:val="24"/>
        </w:numPr>
      </w:pPr>
      <w:r w:rsidRPr="00033144">
        <w:t>Partington and Satchell also noted that the parsimony and observability of the Sharpe–Lintner CAPM 'reduces opportunities for cherry picking and also provides the opportunity for a relatively transparent implementation'.</w:t>
      </w:r>
      <w:r w:rsidRPr="00033144">
        <w:rPr>
          <w:rStyle w:val="FootnoteReference"/>
        </w:rPr>
        <w:footnoteReference w:id="189"/>
      </w:r>
    </w:p>
    <w:p w:rsidR="00033144" w:rsidRPr="00033144" w:rsidRDefault="00033144" w:rsidP="00033144">
      <w:pPr>
        <w:numPr>
          <w:ilvl w:val="0"/>
          <w:numId w:val="24"/>
        </w:numPr>
        <w:rPr>
          <w:rStyle w:val="AERbody"/>
        </w:rPr>
      </w:pPr>
      <w:r w:rsidRPr="00033144">
        <w:rPr>
          <w:rStyle w:val="AERbody"/>
        </w:rPr>
        <w:t xml:space="preserve">We do not agree that our application of the Sharpe-Lintner CAPM, given our choice of appropriate parameters, is downwardly biased for either low beta bias or book-to-market bias. We do not consider that reliable estimates of the return on equity can be derived from the Black CAPM, Fama-French model, or dividend growth model. </w:t>
      </w:r>
    </w:p>
    <w:p w:rsidR="00033144" w:rsidRPr="00033144" w:rsidRDefault="00033144" w:rsidP="00033144">
      <w:pPr>
        <w:numPr>
          <w:ilvl w:val="0"/>
          <w:numId w:val="24"/>
        </w:numPr>
      </w:pPr>
      <w:r w:rsidRPr="00033144">
        <w:t>We have considered and responded to these issues and the associated supporting material in our previous decisions.</w:t>
      </w:r>
      <w:r w:rsidRPr="00033144">
        <w:rPr>
          <w:rStyle w:val="FootnoteReference"/>
        </w:rPr>
        <w:footnoteReference w:id="190"/>
      </w:r>
      <w:r w:rsidRPr="00033144">
        <w:t xml:space="preserve"> That reasoning remains valid here. We respond to each of the issues raised in </w:t>
      </w:r>
      <w:r w:rsidRPr="00033144">
        <w:fldChar w:fldCharType="begin"/>
      </w:r>
      <w:r w:rsidRPr="00033144">
        <w:instrText xml:space="preserve"> REF  _Ref446349201 \* Lower \h </w:instrText>
      </w:r>
      <w:r w:rsidRPr="00033144">
        <w:fldChar w:fldCharType="separate"/>
      </w:r>
      <w:r w:rsidR="001A023B" w:rsidRPr="00033144">
        <w:t xml:space="preserve">table </w:t>
      </w:r>
      <w:r w:rsidR="001A023B">
        <w:rPr>
          <w:noProof/>
        </w:rPr>
        <w:t>3</w:t>
      </w:r>
      <w:r w:rsidR="001A023B" w:rsidRPr="00033144">
        <w:noBreakHyphen/>
      </w:r>
      <w:r w:rsidR="001A023B">
        <w:rPr>
          <w:noProof/>
        </w:rPr>
        <w:t>4</w:t>
      </w:r>
      <w:r w:rsidRPr="00033144">
        <w:fldChar w:fldCharType="end"/>
      </w:r>
      <w:r w:rsidRPr="00033144">
        <w:t>.</w:t>
      </w:r>
    </w:p>
    <w:p w:rsidR="00033144" w:rsidRPr="00033144" w:rsidRDefault="00033144" w:rsidP="00033144">
      <w:pPr>
        <w:rPr>
          <w:rStyle w:val="AERbody"/>
        </w:rPr>
      </w:pPr>
      <w:r w:rsidRPr="00033144">
        <w:rPr>
          <w:rStyle w:val="AERbody"/>
        </w:rPr>
        <w:t>We also note that our consideration of the relative merits of the Sharpe-Lintner CAPM, Black CAPM, Fama-French model, and dividend growth model are supported by the widespread use of the Sharpe-Lintner CAPM over the other models by market participants including brokers, valuers, and other regulators.</w:t>
      </w:r>
      <w:r w:rsidRPr="00033144">
        <w:rPr>
          <w:rStyle w:val="FootnoteReference"/>
        </w:rPr>
        <w:footnoteReference w:id="191"/>
      </w:r>
      <w:r w:rsidRPr="00033144">
        <w:rPr>
          <w:rStyle w:val="AERbody"/>
        </w:rPr>
        <w:t xml:space="preserve"> </w:t>
      </w:r>
      <w:r w:rsidRPr="00033144">
        <w:t xml:space="preserve">Further, our application of the Sharpe-Lintner CAPM in our foundation model approach and our return on equity estimate are supported by a range of relevant material including market-based evidence (see </w:t>
      </w:r>
      <w:r w:rsidRPr="00033144">
        <w:rPr>
          <w:rStyle w:val="AERbody"/>
        </w:rPr>
        <w:t>'</w:t>
      </w:r>
      <w:r w:rsidRPr="00033144">
        <w:rPr>
          <w:rStyle w:val="AERbody"/>
        </w:rPr>
        <w:fldChar w:fldCharType="begin"/>
      </w:r>
      <w:r w:rsidRPr="00033144">
        <w:rPr>
          <w:rStyle w:val="AERbody"/>
        </w:rPr>
        <w:instrText xml:space="preserve"> REF _Ref446347167 \h  \* MERGEFORMAT </w:instrText>
      </w:r>
      <w:r w:rsidRPr="00033144">
        <w:rPr>
          <w:rStyle w:val="AERbody"/>
        </w:rPr>
      </w:r>
      <w:r w:rsidRPr="00033144">
        <w:rPr>
          <w:rStyle w:val="AERbody"/>
        </w:rPr>
        <w:fldChar w:fldCharType="separate"/>
      </w:r>
      <w:r w:rsidR="001A023B" w:rsidRPr="00BB7AE6">
        <w:rPr>
          <w:rStyle w:val="AERbody"/>
        </w:rPr>
        <w:t>The overall return on equity</w:t>
      </w:r>
      <w:r w:rsidRPr="00033144">
        <w:rPr>
          <w:rStyle w:val="AERbody"/>
        </w:rPr>
        <w:fldChar w:fldCharType="end"/>
      </w:r>
      <w:r w:rsidRPr="00033144">
        <w:rPr>
          <w:rStyle w:val="AERbody"/>
        </w:rPr>
        <w:t xml:space="preserve">' </w:t>
      </w:r>
      <w:r w:rsidRPr="00033144">
        <w:rPr>
          <w:rStyle w:val="AERbody"/>
        </w:rPr>
        <w:fldChar w:fldCharType="begin"/>
      </w:r>
      <w:r w:rsidRPr="00033144">
        <w:rPr>
          <w:rStyle w:val="AERbody"/>
        </w:rPr>
        <w:instrText xml:space="preserve"> REF _Ref446347167 \p \h  \* MERGEFORMAT </w:instrText>
      </w:r>
      <w:r w:rsidRPr="00033144">
        <w:rPr>
          <w:rStyle w:val="AERbody"/>
        </w:rPr>
      </w:r>
      <w:r w:rsidRPr="00033144">
        <w:rPr>
          <w:rStyle w:val="AERbody"/>
        </w:rPr>
        <w:fldChar w:fldCharType="separate"/>
      </w:r>
      <w:r w:rsidR="001A023B">
        <w:rPr>
          <w:rStyle w:val="AERbody"/>
        </w:rPr>
        <w:t>below</w:t>
      </w:r>
      <w:r w:rsidRPr="00033144">
        <w:rPr>
          <w:rStyle w:val="AERbody"/>
        </w:rPr>
        <w:fldChar w:fldCharType="end"/>
      </w:r>
      <w:r w:rsidRPr="00033144">
        <w:rPr>
          <w:rStyle w:val="AERbody"/>
        </w:rPr>
        <w:t>).</w:t>
      </w:r>
    </w:p>
    <w:p w:rsidR="00033144" w:rsidRPr="00033144" w:rsidRDefault="00033144" w:rsidP="00033144">
      <w:pPr>
        <w:pStyle w:val="Caption"/>
      </w:pPr>
      <w:bookmarkStart w:id="59" w:name="_Ref446349201"/>
      <w:r w:rsidRPr="00033144">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Pr="00033144">
        <w:noBreakHyphen/>
      </w:r>
      <w:r w:rsidR="00120312">
        <w:fldChar w:fldCharType="begin"/>
      </w:r>
      <w:r w:rsidR="00120312">
        <w:instrText xml:space="preserve"> SEQ Table \* ARABIC \s 1 </w:instrText>
      </w:r>
      <w:r w:rsidR="00120312">
        <w:fldChar w:fldCharType="separate"/>
      </w:r>
      <w:r w:rsidR="001A023B">
        <w:rPr>
          <w:noProof/>
        </w:rPr>
        <w:t>4</w:t>
      </w:r>
      <w:r w:rsidR="00120312">
        <w:rPr>
          <w:noProof/>
        </w:rPr>
        <w:fldChar w:fldCharType="end"/>
      </w:r>
      <w:bookmarkEnd w:id="59"/>
      <w:r w:rsidRPr="00033144">
        <w:tab/>
        <w:t>Issues raised about our use of equity models</w:t>
      </w:r>
    </w:p>
    <w:tbl>
      <w:tblPr>
        <w:tblStyle w:val="AERtable-text0"/>
        <w:tblW w:w="0" w:type="auto"/>
        <w:tblLook w:val="04A0" w:firstRow="1" w:lastRow="0" w:firstColumn="1" w:lastColumn="0" w:noHBand="0" w:noVBand="1"/>
      </w:tblPr>
      <w:tblGrid>
        <w:gridCol w:w="1809"/>
        <w:gridCol w:w="6884"/>
      </w:tblGrid>
      <w:tr w:rsidR="00033144" w:rsidTr="00BB7AE6">
        <w:trPr>
          <w:cnfStyle w:val="100000000000" w:firstRow="1" w:lastRow="0" w:firstColumn="0" w:lastColumn="0" w:oddVBand="0" w:evenVBand="0" w:oddHBand="0" w:evenHBand="0" w:firstRowFirstColumn="0" w:firstRowLastColumn="0" w:lastRowFirstColumn="0" w:lastRowLastColumn="0"/>
          <w:tblHeader/>
        </w:trPr>
        <w:tc>
          <w:tcPr>
            <w:tcW w:w="1809" w:type="dxa"/>
          </w:tcPr>
          <w:p w:rsidR="00033144" w:rsidRPr="00033144" w:rsidRDefault="00033144" w:rsidP="00033144">
            <w:r w:rsidRPr="00033144">
              <w:t>Issue</w:t>
            </w:r>
          </w:p>
        </w:tc>
        <w:tc>
          <w:tcPr>
            <w:tcW w:w="6884" w:type="dxa"/>
          </w:tcPr>
          <w:p w:rsidR="00033144" w:rsidRPr="00033144" w:rsidRDefault="00033144" w:rsidP="00033144">
            <w:r w:rsidRPr="00033144">
              <w:t>Summary of our response</w:t>
            </w:r>
          </w:p>
        </w:tc>
      </w:tr>
      <w:tr w:rsidR="00033144" w:rsidTr="00033144">
        <w:tc>
          <w:tcPr>
            <w:tcW w:w="1809" w:type="dxa"/>
          </w:tcPr>
          <w:p w:rsidR="00033144" w:rsidRPr="00033144" w:rsidRDefault="00033144" w:rsidP="00033144">
            <w:r w:rsidRPr="00033144">
              <w:t>A multi-model approach results in a more reliable estimate of the return on equity than a single-model approach, regardless of the models used.</w:t>
            </w:r>
            <w:r w:rsidRPr="00033144">
              <w:rPr>
                <w:rStyle w:val="FootnoteReference"/>
              </w:rPr>
              <w:t xml:space="preserve"> </w:t>
            </w:r>
            <w:r w:rsidRPr="00033144">
              <w:rPr>
                <w:rStyle w:val="FootnoteReference"/>
              </w:rPr>
              <w:footnoteReference w:id="192"/>
            </w:r>
          </w:p>
          <w:p w:rsidR="00033144" w:rsidRPr="00033144" w:rsidRDefault="00033144" w:rsidP="00033144">
            <w:r w:rsidRPr="00033144">
              <w:t>The AER must run the Black CAPM, Fama-French model and dividend growth model in order to have regard to them.</w:t>
            </w:r>
            <w:r w:rsidRPr="00033144">
              <w:rPr>
                <w:rStyle w:val="FootnoteReference"/>
              </w:rPr>
              <w:t xml:space="preserve"> </w:t>
            </w:r>
            <w:r w:rsidRPr="00033144">
              <w:rPr>
                <w:rStyle w:val="FootnoteReference"/>
              </w:rPr>
              <w:footnoteReference w:id="193"/>
            </w:r>
          </w:p>
        </w:tc>
        <w:tc>
          <w:tcPr>
            <w:tcW w:w="6884" w:type="dxa"/>
          </w:tcPr>
          <w:p w:rsidR="00033144" w:rsidRPr="00033144" w:rsidRDefault="00033144" w:rsidP="00033144">
            <w:r w:rsidRPr="00033144">
              <w:t>We are not (in principle) averse to a multi-model approach where the models are equally valid for the intended objective.</w:t>
            </w:r>
            <w:r w:rsidRPr="00033144">
              <w:rPr>
                <w:rStyle w:val="FootnoteReference"/>
              </w:rPr>
              <w:footnoteReference w:id="194"/>
            </w:r>
            <w:r w:rsidRPr="00033144">
              <w:t xml:space="preserve"> However, we are not satisfied that is the case. Having regard to relevant material must include having regard to the relative merits of the material. Partington has emphasised the dangers of simply combining information from different models. He advised that:</w:t>
            </w:r>
            <w:r w:rsidRPr="00033144">
              <w:rPr>
                <w:rStyle w:val="FootnoteReference"/>
              </w:rPr>
              <w:t xml:space="preserve"> </w:t>
            </w:r>
            <w:r w:rsidRPr="00033144">
              <w:rPr>
                <w:rStyle w:val="FootnoteReference"/>
              </w:rPr>
              <w:footnoteReference w:id="195"/>
            </w:r>
          </w:p>
          <w:p w:rsidR="00033144" w:rsidRPr="00033144" w:rsidRDefault="00033144" w:rsidP="00033144">
            <w:pPr>
              <w:pStyle w:val="Quote"/>
            </w:pPr>
            <w:r w:rsidRPr="00033144">
              <w:t>It is by no means assured that more information will result in a better estimate if that information is of poor quality or is downright misleading…it cannot be taken for granted that a number is meaningful without fully understanding the context in which it is estimated.</w:t>
            </w:r>
          </w:p>
          <w:p w:rsidR="00033144" w:rsidRPr="00033144" w:rsidRDefault="00033144" w:rsidP="00033144">
            <w:r w:rsidRPr="00033144">
              <w:t>Partington and Satchell also cautioned against 'giving these models significant weight in a regulatory setting' due to their weaknesses such as being prone to manipulation and lack of wide-spread use in practice.</w:t>
            </w:r>
            <w:r w:rsidRPr="00033144">
              <w:rPr>
                <w:rStyle w:val="FootnoteReference"/>
              </w:rPr>
              <w:footnoteReference w:id="196"/>
            </w:r>
          </w:p>
          <w:p w:rsidR="00033144" w:rsidRPr="00033144" w:rsidRDefault="00033144" w:rsidP="0018625A">
            <w:r w:rsidRPr="00033144">
              <w:t>For the reasons outlined in the remainder of this table and in section</w:t>
            </w:r>
            <w:r w:rsidR="0018625A">
              <w:t xml:space="preserve"> </w:t>
            </w:r>
            <w:r w:rsidR="0018625A">
              <w:fldChar w:fldCharType="begin"/>
            </w:r>
            <w:r w:rsidR="0018625A">
              <w:instrText xml:space="preserve"> REF _Ref451691033 \r \h </w:instrText>
            </w:r>
            <w:r w:rsidR="0018625A">
              <w:fldChar w:fldCharType="separate"/>
            </w:r>
            <w:r w:rsidR="001A023B">
              <w:t>B</w:t>
            </w:r>
            <w:r w:rsidR="0018625A">
              <w:fldChar w:fldCharType="end"/>
            </w:r>
            <w:r w:rsidRPr="00033144">
              <w:t>, we do not consider that quantitative application of the Black CAPM, Fama-French model or the dividend growth model (for estimating return on equity) would be beneficial. Neither do we consider that it is necessary to run the models to have regard to them.</w:t>
            </w:r>
            <w:r w:rsidRPr="00033144">
              <w:rPr>
                <w:rStyle w:val="FootnoteReference"/>
              </w:rPr>
              <w:footnoteReference w:id="197"/>
            </w:r>
          </w:p>
        </w:tc>
      </w:tr>
      <w:tr w:rsidR="00033144" w:rsidTr="00033144">
        <w:trPr>
          <w:cnfStyle w:val="000000010000" w:firstRow="0" w:lastRow="0" w:firstColumn="0" w:lastColumn="0" w:oddVBand="0" w:evenVBand="0" w:oddHBand="0" w:evenHBand="1" w:firstRowFirstColumn="0" w:firstRowLastColumn="0" w:lastRowFirstColumn="0" w:lastRowLastColumn="0"/>
        </w:trPr>
        <w:tc>
          <w:tcPr>
            <w:tcW w:w="1809" w:type="dxa"/>
          </w:tcPr>
          <w:p w:rsidR="00033144" w:rsidRPr="00033144" w:rsidRDefault="00033144" w:rsidP="00033144">
            <w:r w:rsidRPr="00033144">
              <w:t>Use of the Black CAPM can address the Sharpe-Lintner CAPM’s limitation of having low beta bias.</w:t>
            </w:r>
            <w:r w:rsidRPr="00033144">
              <w:rPr>
                <w:rStyle w:val="FootnoteReference"/>
              </w:rPr>
              <w:t xml:space="preserve"> </w:t>
            </w:r>
            <w:r w:rsidRPr="00033144">
              <w:rPr>
                <w:rStyle w:val="FootnoteReference"/>
              </w:rPr>
              <w:footnoteReference w:id="198"/>
            </w:r>
          </w:p>
        </w:tc>
        <w:tc>
          <w:tcPr>
            <w:tcW w:w="6884" w:type="dxa"/>
          </w:tcPr>
          <w:p w:rsidR="00033144" w:rsidRPr="00033144" w:rsidRDefault="00033144" w:rsidP="00033144">
            <w:r w:rsidRPr="00033144">
              <w:t>We consider there may be merit in the theory underpinning the Black CAPM. We recognise that the Black CAPM theory involves different underpinning assumptions to the Sharpe-Lintner CAPM that result in a higher return on equity than the Sharpe-Lintner CAPM when equity beta is less than one. We also recognise that Black CAPM theory may provide one possible explanation for the performance of the Sharpe-Lintner CAPM in empirical literature, although there are competing alternative explanations, and we note that the assumptions underpinning the Black CAPM appear no more realistic than those of the Sharpe-Lintner CAPM. It is important to note that all models with simplifying assumptions will likely be affected by market imperfections when they are applied in a practical setting.</w:t>
            </w:r>
          </w:p>
          <w:p w:rsidR="00033144" w:rsidRPr="00033144" w:rsidRDefault="00033144" w:rsidP="00033144">
            <w:r w:rsidRPr="00033144">
              <w:t>However, we consider that there are no generally accepted methods for estimating the Black CAPM's parameters, resulting in it being sensitive to input assumptions and creating potential for biased results. We also note that there appears no widespread use of the Black CAPM by market practitioners.</w:t>
            </w:r>
          </w:p>
          <w:p w:rsidR="00033144" w:rsidRPr="00033144" w:rsidRDefault="00033144" w:rsidP="00033144">
            <w:r w:rsidRPr="00033144">
              <w:t>These views are supported by Partington and Satchell who reiterate concerns with implementing the Black CAPM.</w:t>
            </w:r>
            <w:r w:rsidRPr="00033144">
              <w:rPr>
                <w:rStyle w:val="FootnoteReference"/>
              </w:rPr>
              <w:footnoteReference w:id="199"/>
            </w:r>
            <w:r w:rsidRPr="00033144">
              <w:t xml:space="preserve"> Partington and Satchell noted that the “low beta bias” is a 'tendency for low beta stocks to overperform and high beta stocks to underperform relative to the CAPM… this does not necessarily imply anything other than that the stocks have outperformed or underperformed.</w:t>
            </w:r>
            <w:r w:rsidRPr="00033144">
              <w:rPr>
                <w:rStyle w:val="FootnoteReference"/>
              </w:rPr>
              <w:footnoteReference w:id="200"/>
            </w:r>
            <w:r w:rsidRPr="00033144">
              <w:t xml:space="preserve"> </w:t>
            </w:r>
          </w:p>
          <w:p w:rsidR="00033144" w:rsidRPr="00033144" w:rsidRDefault="00033144" w:rsidP="00033144">
            <w:r w:rsidRPr="00033144">
              <w:t xml:space="preserve">For these reasons, we consider that the accuracy and reliability of our return on equity estimate is not improved by estimating the Black CAPM. However, we consider that the theory of the Black CAPM may be used to inform our return on equity estimate. As the implications of the theory of the Black CAPM are relative to the size of our estimated equity beta, we consider it is prudent to have regard to this material in our consideration of equity beta. More detail on our consideration of the Black CAPM is in section </w:t>
            </w:r>
            <w:r w:rsidRPr="00033144">
              <w:fldChar w:fldCharType="begin"/>
            </w:r>
            <w:r w:rsidRPr="00033144">
              <w:instrText xml:space="preserve"> REF _Ref449007419 \r \h </w:instrText>
            </w:r>
            <w:r w:rsidRPr="00033144">
              <w:fldChar w:fldCharType="separate"/>
            </w:r>
            <w:r w:rsidR="001A023B">
              <w:t>B.2</w:t>
            </w:r>
            <w:r w:rsidRPr="00033144">
              <w:fldChar w:fldCharType="end"/>
            </w:r>
            <w:r w:rsidRPr="00033144">
              <w:t>.</w:t>
            </w:r>
          </w:p>
        </w:tc>
      </w:tr>
      <w:tr w:rsidR="00033144" w:rsidTr="00033144">
        <w:tc>
          <w:tcPr>
            <w:tcW w:w="1809" w:type="dxa"/>
          </w:tcPr>
          <w:p w:rsidR="00033144" w:rsidRPr="00033144" w:rsidRDefault="00033144" w:rsidP="00033144">
            <w:r w:rsidRPr="00033144">
              <w:t>We have not justified how the selection of input parameters adequately corrects for biased estimates from the Sharpe-Lintner CAPM.</w:t>
            </w:r>
            <w:r w:rsidRPr="00033144">
              <w:rPr>
                <w:rStyle w:val="FootnoteReference"/>
              </w:rPr>
              <w:t xml:space="preserve"> </w:t>
            </w:r>
            <w:r w:rsidRPr="00033144">
              <w:rPr>
                <w:rStyle w:val="FootnoteReference"/>
              </w:rPr>
              <w:footnoteReference w:id="201"/>
            </w:r>
          </w:p>
        </w:tc>
        <w:tc>
          <w:tcPr>
            <w:tcW w:w="6884" w:type="dxa"/>
          </w:tcPr>
          <w:p w:rsidR="00033144" w:rsidRPr="00033144" w:rsidRDefault="00033144" w:rsidP="00033144">
            <w:pPr>
              <w:rPr>
                <w:rStyle w:val="AERtextsize8"/>
              </w:rPr>
            </w:pPr>
            <w:r w:rsidRPr="00033144">
              <w:rPr>
                <w:rStyle w:val="AERtextsize8"/>
              </w:rPr>
              <w:t xml:space="preserve">We do not use the theory underlying the Black CAPM to apply a specific uplift to the equity beta. We do not accept that our use of the theory underlying the Black CAPM implies that we consider the Sharpe-Lintner CAPM produces biased return on equity estimates. </w:t>
            </w:r>
          </w:p>
          <w:p w:rsidR="00033144" w:rsidRPr="00033144" w:rsidRDefault="00033144" w:rsidP="00F8641A">
            <w:r w:rsidRPr="00033144">
              <w:rPr>
                <w:rStyle w:val="AERtextsize8"/>
              </w:rPr>
              <w:t xml:space="preserve">For more detail see sections D.4, D.5.3, and A.2 of Attachment 3 to </w:t>
            </w:r>
            <w:r w:rsidR="00F8641A">
              <w:rPr>
                <w:rStyle w:val="AERtextsize8"/>
              </w:rPr>
              <w:t>ActewAGL</w:t>
            </w:r>
            <w:r w:rsidRPr="00033144">
              <w:rPr>
                <w:rStyle w:val="AERtextsize8"/>
              </w:rPr>
              <w:t xml:space="preserve">'s </w:t>
            </w:r>
            <w:r w:rsidR="00F8641A">
              <w:rPr>
                <w:rStyle w:val="AERtextsize8"/>
              </w:rPr>
              <w:t>draft</w:t>
            </w:r>
            <w:r w:rsidRPr="00033144">
              <w:rPr>
                <w:rStyle w:val="AERtextsize8"/>
              </w:rPr>
              <w:t xml:space="preserve"> decision.</w:t>
            </w:r>
          </w:p>
        </w:tc>
      </w:tr>
      <w:tr w:rsidR="00033144" w:rsidTr="00033144">
        <w:trPr>
          <w:cnfStyle w:val="000000010000" w:firstRow="0" w:lastRow="0" w:firstColumn="0" w:lastColumn="0" w:oddVBand="0" w:evenVBand="0" w:oddHBand="0" w:evenHBand="1" w:firstRowFirstColumn="0" w:firstRowLastColumn="0" w:lastRowFirstColumn="0" w:lastRowLastColumn="0"/>
        </w:trPr>
        <w:tc>
          <w:tcPr>
            <w:tcW w:w="1809" w:type="dxa"/>
          </w:tcPr>
          <w:p w:rsidR="00033144" w:rsidRPr="00033144" w:rsidRDefault="00033144" w:rsidP="00033144">
            <w:r w:rsidRPr="00033144">
              <w:t>Valuers uplift their return on equity estimates to a larger extent for businesses with a relatively low equity beta.</w:t>
            </w:r>
            <w:r w:rsidRPr="00033144">
              <w:rPr>
                <w:rStyle w:val="FootnoteReference"/>
              </w:rPr>
              <w:t xml:space="preserve"> </w:t>
            </w:r>
            <w:r w:rsidRPr="00033144">
              <w:rPr>
                <w:rStyle w:val="FootnoteReference"/>
              </w:rPr>
              <w:footnoteReference w:id="202"/>
            </w:r>
            <w:r w:rsidRPr="00033144">
              <w:t xml:space="preserve"> Broker reports apply a version of the Black CAPM in practice.</w:t>
            </w:r>
            <w:r w:rsidRPr="00033144">
              <w:rPr>
                <w:rStyle w:val="FootnoteReference"/>
              </w:rPr>
              <w:t xml:space="preserve"> </w:t>
            </w:r>
            <w:r w:rsidRPr="00033144">
              <w:rPr>
                <w:rStyle w:val="FootnoteReference"/>
              </w:rPr>
              <w:footnoteReference w:id="203"/>
            </w:r>
          </w:p>
        </w:tc>
        <w:tc>
          <w:tcPr>
            <w:tcW w:w="6884" w:type="dxa"/>
          </w:tcPr>
          <w:p w:rsidR="00033144" w:rsidRPr="00033144" w:rsidRDefault="00033144" w:rsidP="00033144">
            <w:r w:rsidRPr="00033144">
              <w:t>We consider that there is not enough data in Incenta's analysis for accurate inferences to be drawn. The results shown in Figure 4.2 of Incenta's report appear highly sensitive to one data point, and are based on valuation reports from only one firm. None of the valuation reports dated between 10 April 2013 and 28 February 2015 explicitly mentioned low-beta bias or the Black CAPM as a reason for an uplift (or at all in any context). There does not appear to be a strong correlation (in any direction) between the uplifts in these reports and the size of the equity beta estimate. At least one broker has recently stated that it had previously used a static valuation methodology, hence any difference between the broker's risk free rate estimate and the yield on government bonds did not necessarily reflect an intentional uplift.</w:t>
            </w:r>
          </w:p>
          <w:p w:rsidR="00033144" w:rsidRPr="00033144" w:rsidRDefault="00033144" w:rsidP="00033144">
            <w:r w:rsidRPr="00033144">
              <w:t xml:space="preserve">For more details, see section E.7 of Attachment 3 to our </w:t>
            </w:r>
            <w:r w:rsidR="00F8641A" w:rsidRPr="00F8641A">
              <w:rPr>
                <w:rStyle w:val="AERtextsize8"/>
              </w:rPr>
              <w:t>draft</w:t>
            </w:r>
            <w:r w:rsidRPr="00033144">
              <w:t xml:space="preserve"> decision for </w:t>
            </w:r>
            <w:r w:rsidR="00F8641A" w:rsidRPr="00F8641A">
              <w:rPr>
                <w:rStyle w:val="AERtextsize8"/>
              </w:rPr>
              <w:t>ActewAGL</w:t>
            </w:r>
            <w:r w:rsidRPr="00033144">
              <w:t>.</w:t>
            </w:r>
          </w:p>
        </w:tc>
      </w:tr>
      <w:tr w:rsidR="00033144" w:rsidTr="00033144">
        <w:tc>
          <w:tcPr>
            <w:tcW w:w="1809" w:type="dxa"/>
          </w:tcPr>
          <w:p w:rsidR="00033144" w:rsidRPr="00033144" w:rsidRDefault="00033144" w:rsidP="00033144">
            <w:r w:rsidRPr="00033144">
              <w:t>Use of the Fama-French model can address the Sharpe-Lintner CAPM’s limitation of having book-to-market bias.</w:t>
            </w:r>
            <w:r w:rsidRPr="00033144">
              <w:rPr>
                <w:rStyle w:val="FootnoteReference"/>
              </w:rPr>
              <w:t xml:space="preserve"> </w:t>
            </w:r>
            <w:r w:rsidRPr="00033144">
              <w:rPr>
                <w:rStyle w:val="FootnoteReference"/>
              </w:rPr>
              <w:footnoteReference w:id="204"/>
            </w:r>
          </w:p>
        </w:tc>
        <w:tc>
          <w:tcPr>
            <w:tcW w:w="6884" w:type="dxa"/>
          </w:tcPr>
          <w:p w:rsidR="00033144" w:rsidRPr="00033144" w:rsidRDefault="00033144" w:rsidP="00033144">
            <w:r w:rsidRPr="00033144">
              <w:t>We are not convinced that the Sharpe-Lintner CAPM is downwardly biased for stocks with a high book-to-market ratio. We are concerned that the Fama-French model lacks well-accepted theoretical foundations, and as a consequence it is not clear that the size and value factors in the model reflect ex ante priced risk factors. This uncertainty is further compounded by the numerous specifications of the Fama-French model that produce different estimates of the return on equity.</w:t>
            </w:r>
          </w:p>
          <w:p w:rsidR="00033144" w:rsidRPr="00033144" w:rsidRDefault="00033144" w:rsidP="00033144">
            <w:r w:rsidRPr="00033144">
              <w:t xml:space="preserve">We also consider that the Fama-French model is not suitable for estimating the required return on equity due to concerns with its sensitivity to input assumptions, complexity, and potential for bias given there are no generally accepted methods for estimating its parameters. We also note that there appears no widespread use of the model by market practitioners. More detail on our consideration of the Fama-French model is in section </w:t>
            </w:r>
            <w:r w:rsidRPr="00033144">
              <w:fldChar w:fldCharType="begin"/>
            </w:r>
            <w:r w:rsidRPr="00033144">
              <w:instrText xml:space="preserve"> REF _Ref451415763 \r \h </w:instrText>
            </w:r>
            <w:r w:rsidRPr="00033144">
              <w:fldChar w:fldCharType="separate"/>
            </w:r>
            <w:r w:rsidR="001A023B">
              <w:t>B</w:t>
            </w:r>
            <w:r w:rsidRPr="00033144">
              <w:fldChar w:fldCharType="end"/>
            </w:r>
            <w:r w:rsidRPr="00033144">
              <w:t>.</w:t>
            </w:r>
          </w:p>
          <w:p w:rsidR="00033144" w:rsidRPr="00033144" w:rsidRDefault="00033144" w:rsidP="00033144">
            <w:r w:rsidRPr="00033144">
              <w:t>Partington and Satchell reiterated that the Fama-French model lack theoretical foundation and is 'still to [gain acceptance] in the world of practice', 'being increasingly questioned'.</w:t>
            </w:r>
            <w:r w:rsidRPr="00033144">
              <w:rPr>
                <w:rStyle w:val="FootnoteReference"/>
              </w:rPr>
              <w:footnoteReference w:id="205"/>
            </w:r>
            <w:r w:rsidRPr="00033144">
              <w:t xml:space="preserve"> They also noted that this model can be prone to manipulation. </w:t>
            </w:r>
          </w:p>
        </w:tc>
      </w:tr>
      <w:tr w:rsidR="00033144" w:rsidTr="00033144">
        <w:trPr>
          <w:cnfStyle w:val="000000010000" w:firstRow="0" w:lastRow="0" w:firstColumn="0" w:lastColumn="0" w:oddVBand="0" w:evenVBand="0" w:oddHBand="0" w:evenHBand="1" w:firstRowFirstColumn="0" w:firstRowLastColumn="0" w:lastRowFirstColumn="0" w:lastRowLastColumn="0"/>
        </w:trPr>
        <w:tc>
          <w:tcPr>
            <w:tcW w:w="1809" w:type="dxa"/>
          </w:tcPr>
          <w:p w:rsidR="00033144" w:rsidRPr="00033144" w:rsidRDefault="00033144" w:rsidP="00033144">
            <w:r w:rsidRPr="00033144">
              <w:t>The Black CAPM and Fama-French model are well-respected and widely used.</w:t>
            </w:r>
            <w:r w:rsidRPr="00033144">
              <w:rPr>
                <w:rStyle w:val="FootnoteReference"/>
              </w:rPr>
              <w:t xml:space="preserve"> </w:t>
            </w:r>
            <w:r w:rsidRPr="00033144">
              <w:rPr>
                <w:rStyle w:val="FootnoteReference"/>
              </w:rPr>
              <w:footnoteReference w:id="206"/>
            </w:r>
          </w:p>
        </w:tc>
        <w:tc>
          <w:tcPr>
            <w:tcW w:w="6884" w:type="dxa"/>
          </w:tcPr>
          <w:p w:rsidR="00033144" w:rsidRPr="00033144" w:rsidRDefault="00033144" w:rsidP="00033144">
            <w:r w:rsidRPr="00033144">
              <w:t>We acknowledge that the Black CAPM and Fama-French model have been discussed at length in academic literature. However, we have not been presented with evidence that the models have been widely applied by market practitioners. We examined 78 suitable valuation reports dated between May 2013 and January 2016, and none appeared to estimate the Black CAPM or Fama-French model. There is no indication that the broker reports we have examined estimate these models. There has been some limited use of the Black CAPM by US regulators,</w:t>
            </w:r>
            <w:r w:rsidRPr="00033144">
              <w:rPr>
                <w:rStyle w:val="FootnoteReference"/>
              </w:rPr>
              <w:footnoteReference w:id="207"/>
            </w:r>
            <w:r w:rsidRPr="00033144">
              <w:t xml:space="preserve"> but we are not aware of any use of these models by Australian regulators.</w:t>
            </w:r>
          </w:p>
          <w:p w:rsidR="00033144" w:rsidRPr="00033144" w:rsidRDefault="00033144" w:rsidP="00033144">
            <w:r w:rsidRPr="00033144">
              <w:t>Partington and Satchell also noted that these models are not widely used in practice.</w:t>
            </w:r>
            <w:r w:rsidRPr="00033144">
              <w:rPr>
                <w:rStyle w:val="FootnoteReference"/>
              </w:rPr>
              <w:footnoteReference w:id="208"/>
            </w:r>
          </w:p>
        </w:tc>
      </w:tr>
      <w:tr w:rsidR="00033144" w:rsidTr="00033144">
        <w:tc>
          <w:tcPr>
            <w:tcW w:w="1809" w:type="dxa"/>
          </w:tcPr>
          <w:p w:rsidR="00033144" w:rsidRPr="00033144" w:rsidRDefault="00033144" w:rsidP="00033144">
            <w:r w:rsidRPr="00033144">
              <w:t>Use of the dividend growth model to estimate return on equity provides a better incorporation of prevailing market conditions.</w:t>
            </w:r>
            <w:r w:rsidRPr="00033144">
              <w:rPr>
                <w:rStyle w:val="FootnoteReference"/>
              </w:rPr>
              <w:t xml:space="preserve"> </w:t>
            </w:r>
            <w:r w:rsidRPr="00033144">
              <w:rPr>
                <w:rStyle w:val="FootnoteReference"/>
              </w:rPr>
              <w:footnoteReference w:id="209"/>
            </w:r>
          </w:p>
        </w:tc>
        <w:tc>
          <w:tcPr>
            <w:tcW w:w="6884" w:type="dxa"/>
          </w:tcPr>
          <w:p w:rsidR="00033144" w:rsidRPr="00033144" w:rsidRDefault="00033144" w:rsidP="00033144">
            <w:r w:rsidRPr="00033144">
              <w:t>We consider that the dividend growth model is very sensitive to input assumptions, particularly the long-term growth rate. We consider there is potential for biased results from dividend growth models as there is no generally accepted method for estimating the long-term growth rate in dividends per share for individual businesses or sectors. We also consider that dividend growth models are likely to be biased in the current market, due to concerns about slow-changing dividend forecasts, bias in analysts' forecasts, and to the extent that there is a term structure for the return on equity. Our consultant, Partington and Satchell, also share long-standing concerns on these issues.</w:t>
            </w:r>
            <w:r w:rsidRPr="00033144">
              <w:rPr>
                <w:rStyle w:val="FootnoteReference"/>
              </w:rPr>
              <w:footnoteReference w:id="210"/>
            </w:r>
          </w:p>
          <w:p w:rsidR="00033144" w:rsidRPr="00033144" w:rsidRDefault="00033144" w:rsidP="00033144">
            <w:r w:rsidRPr="00033144">
              <w:t xml:space="preserve">Given these concerns, we do not consider that the dividend growth model at this time provides a more reliable indication of prevailing market conditions than the Sharpe-Lintner CAPM. </w:t>
            </w:r>
          </w:p>
          <w:p w:rsidR="00033144" w:rsidRPr="00033144" w:rsidRDefault="00033144" w:rsidP="00033144">
            <w:r w:rsidRPr="00033144">
              <w:t xml:space="preserve">More detail of our consideration of the dividend growth model is in section </w:t>
            </w:r>
            <w:r w:rsidRPr="00033144">
              <w:fldChar w:fldCharType="begin"/>
            </w:r>
            <w:r w:rsidRPr="00033144">
              <w:instrText xml:space="preserve"> REF _Ref449007421 \r \h </w:instrText>
            </w:r>
            <w:r w:rsidRPr="00033144">
              <w:fldChar w:fldCharType="separate"/>
            </w:r>
            <w:r w:rsidR="001A023B">
              <w:t>B.4</w:t>
            </w:r>
            <w:r w:rsidRPr="00033144">
              <w:fldChar w:fldCharType="end"/>
            </w:r>
            <w:r w:rsidRPr="00033144">
              <w:t xml:space="preserve">.  </w:t>
            </w:r>
          </w:p>
        </w:tc>
      </w:tr>
      <w:tr w:rsidR="00033144" w:rsidTr="00033144">
        <w:trPr>
          <w:cnfStyle w:val="000000010000" w:firstRow="0" w:lastRow="0" w:firstColumn="0" w:lastColumn="0" w:oddVBand="0" w:evenVBand="0" w:oddHBand="0" w:evenHBand="1" w:firstRowFirstColumn="0" w:firstRowLastColumn="0" w:lastRowFirstColumn="0" w:lastRowLastColumn="0"/>
        </w:trPr>
        <w:tc>
          <w:tcPr>
            <w:tcW w:w="1809" w:type="dxa"/>
          </w:tcPr>
          <w:p w:rsidR="00033144" w:rsidRPr="00033144" w:rsidRDefault="00033144" w:rsidP="00033144">
            <w:r w:rsidRPr="00033144">
              <w:t>Our foundation model approach prevents other relevant material from being properly considered.</w:t>
            </w:r>
            <w:r w:rsidRPr="00033144">
              <w:rPr>
                <w:rStyle w:val="FootnoteReference"/>
              </w:rPr>
              <w:t xml:space="preserve"> </w:t>
            </w:r>
            <w:r w:rsidRPr="00033144">
              <w:rPr>
                <w:rStyle w:val="FootnoteReference"/>
              </w:rPr>
              <w:footnoteReference w:id="211"/>
            </w:r>
          </w:p>
        </w:tc>
        <w:tc>
          <w:tcPr>
            <w:tcW w:w="6884" w:type="dxa"/>
          </w:tcPr>
          <w:p w:rsidR="00033144" w:rsidRPr="00033144" w:rsidRDefault="00033144" w:rsidP="00033144">
            <w:r w:rsidRPr="00033144">
              <w:t>This mischaracterises our approach. As part of our foundation model approach, we assign a role to relevant information (including financial models) based on a consideration of their strengths, weaknesses and suitability for our regulatory task. We identify and assess each of the models on their merits and determine a role for them.</w:t>
            </w:r>
          </w:p>
        </w:tc>
      </w:tr>
    </w:tbl>
    <w:p w:rsidR="00FB2F4C" w:rsidRPr="0032489B" w:rsidRDefault="00FB2F4C" w:rsidP="00FB2F4C">
      <w:pPr>
        <w:pStyle w:val="HeadingBoldBlue"/>
        <w:numPr>
          <w:ilvl w:val="0"/>
          <w:numId w:val="24"/>
        </w:numPr>
        <w:rPr>
          <w:rStyle w:val="AERtextorange"/>
        </w:rPr>
      </w:pPr>
      <w:bookmarkStart w:id="60" w:name="_Toc443923183"/>
      <w:bookmarkStart w:id="61" w:name="_Ref430958623"/>
      <w:bookmarkStart w:id="62" w:name="_Toc433446504"/>
      <w:r>
        <w:rPr>
          <w:rStyle w:val="AERtextorange"/>
        </w:rPr>
        <w:t>Estimating the market risk premium</w:t>
      </w:r>
      <w:bookmarkEnd w:id="60"/>
    </w:p>
    <w:p w:rsidR="00FB2F4C" w:rsidRDefault="00FB2F4C" w:rsidP="00FB2F4C">
      <w:pPr>
        <w:numPr>
          <w:ilvl w:val="0"/>
          <w:numId w:val="24"/>
        </w:numPr>
      </w:pPr>
      <w:r>
        <w:t>Our estimate of the prevailing market risk premium for this decision is 6.5 per cent. This is a forward-looking estimate of the risk premium—the return above the government bond rate—on the market portfolio required by investors with a ten-year investment horizon.</w:t>
      </w:r>
    </w:p>
    <w:p w:rsidR="00FB2F4C" w:rsidRDefault="00FB2F4C" w:rsidP="00FB2F4C">
      <w:r>
        <w:t xml:space="preserve">We consider 6.5 per cent to be the best estimate of the market risk premium to contribute to the achievement of the </w:t>
      </w:r>
      <w:r w:rsidR="00270CE2">
        <w:t xml:space="preserve">ARORO </w:t>
      </w:r>
      <w:r>
        <w:t>because:</w:t>
      </w:r>
    </w:p>
    <w:p w:rsidR="00FB2F4C" w:rsidRDefault="00FB2F4C" w:rsidP="00FB2F4C">
      <w:pPr>
        <w:pStyle w:val="AERbulletlistfirststyle"/>
      </w:pPr>
      <w:r>
        <w:t>it is supported by our consideration of all relevant material submitted to us (following consideration of their relative merits)</w:t>
      </w:r>
    </w:p>
    <w:p w:rsidR="00FB2F4C" w:rsidRPr="00FB2F4C" w:rsidRDefault="00FB2F4C" w:rsidP="00FB2F4C">
      <w:pPr>
        <w:pStyle w:val="AERbulletlistfirststyle"/>
      </w:pPr>
      <w:r>
        <w:t>it is corroborated</w:t>
      </w:r>
      <w:r w:rsidRPr="00FB2F4C" w:rsidDel="00DA7338">
        <w:t xml:space="preserve"> </w:t>
      </w:r>
      <w:r w:rsidRPr="00FB2F4C">
        <w:t>by our cross-checks on the overall return on equity and equity risk premium. This further supports our estimate of the equity risk premium (of which the market risk premium is a component)</w:t>
      </w:r>
    </w:p>
    <w:p w:rsidR="00FB2F4C" w:rsidRDefault="00FB2F4C" w:rsidP="00FB2F4C">
      <w:pPr>
        <w:pStyle w:val="AERbulletlistfirststyle"/>
      </w:pPr>
      <w:r>
        <w:t>it provides a balanced outcome between submissions by service providers and other stakeholders.</w:t>
      </w:r>
    </w:p>
    <w:p w:rsidR="00FB2F4C" w:rsidRDefault="00FB2F4C" w:rsidP="00FB2F4C">
      <w:pPr>
        <w:numPr>
          <w:ilvl w:val="0"/>
          <w:numId w:val="24"/>
        </w:numPr>
      </w:pPr>
      <w:r>
        <w:fldChar w:fldCharType="begin"/>
      </w:r>
      <w:r>
        <w:instrText xml:space="preserve"> REF _Ref446266907 \h </w:instrText>
      </w:r>
      <w:r>
        <w:fldChar w:fldCharType="separate"/>
      </w:r>
      <w:r w:rsidR="001A023B">
        <w:t xml:space="preserve">Figure </w:t>
      </w:r>
      <w:r w:rsidR="001A023B">
        <w:rPr>
          <w:noProof/>
        </w:rPr>
        <w:t>3</w:t>
      </w:r>
      <w:r w:rsidR="001A023B">
        <w:noBreakHyphen/>
      </w:r>
      <w:r w:rsidR="001A023B">
        <w:rPr>
          <w:noProof/>
        </w:rPr>
        <w:t>3</w:t>
      </w:r>
      <w:r>
        <w:fldChar w:fldCharType="end"/>
      </w:r>
      <w:r>
        <w:t xml:space="preserve"> shows the market risk premium estimates from the relevant material that has informed our decision. These estimates range from 4.8 per cent to 8.</w:t>
      </w:r>
      <w:r w:rsidR="00A82001">
        <w:t>74</w:t>
      </w:r>
      <w:r>
        <w:t xml:space="preserve"> per cent. </w:t>
      </w:r>
    </w:p>
    <w:p w:rsidR="00FB2F4C" w:rsidRDefault="00FB2F4C" w:rsidP="00FB2F4C">
      <w:pPr>
        <w:pStyle w:val="Caption"/>
        <w:numPr>
          <w:ilvl w:val="0"/>
          <w:numId w:val="24"/>
        </w:numPr>
      </w:pPr>
      <w:bookmarkStart w:id="63" w:name="_Ref446266907"/>
      <w:bookmarkStart w:id="64" w:name="_Ref417222210"/>
      <w:r>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3</w:t>
      </w:r>
      <w:r w:rsidR="00120312">
        <w:rPr>
          <w:noProof/>
        </w:rPr>
        <w:fldChar w:fldCharType="end"/>
      </w:r>
      <w:bookmarkEnd w:id="63"/>
      <w:r>
        <w:tab/>
        <w:t xml:space="preserve">Comparison of estimates of the market risk premium </w:t>
      </w:r>
    </w:p>
    <w:bookmarkEnd w:id="64"/>
    <w:p w:rsidR="00FB2F4C" w:rsidRPr="005A629D" w:rsidRDefault="00DB39DB" w:rsidP="00FB2F4C">
      <w:pPr>
        <w:pStyle w:val="AERtablesource"/>
      </w:pPr>
      <w:r w:rsidRPr="00DB39DB">
        <w:rPr>
          <w:noProof/>
          <w:lang w:eastAsia="en-AU"/>
        </w:rPr>
        <w:drawing>
          <wp:inline distT="0" distB="0" distL="0" distR="0" wp14:anchorId="6E89B44C" wp14:editId="33D6AC17">
            <wp:extent cx="5382895" cy="2890655"/>
            <wp:effectExtent l="0" t="0" r="825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2895" cy="2890655"/>
                    </a:xfrm>
                    <a:prstGeom prst="rect">
                      <a:avLst/>
                    </a:prstGeom>
                    <a:noFill/>
                    <a:ln>
                      <a:noFill/>
                    </a:ln>
                  </pic:spPr>
                </pic:pic>
              </a:graphicData>
            </a:graphic>
          </wp:inline>
        </w:drawing>
      </w:r>
    </w:p>
    <w:p w:rsidR="00FB2F4C" w:rsidRPr="005A629D" w:rsidRDefault="00FB2F4C" w:rsidP="00FB2F4C">
      <w:pPr>
        <w:pStyle w:val="AERtablesource"/>
      </w:pPr>
      <w:r w:rsidRPr="005A629D">
        <w:t xml:space="preserve">Source:     AER analysis </w:t>
      </w:r>
    </w:p>
    <w:p w:rsidR="00FB2F4C" w:rsidRPr="005A629D" w:rsidRDefault="00FB2F4C" w:rsidP="00FB2F4C">
      <w:pPr>
        <w:pStyle w:val="AERtablesource"/>
      </w:pPr>
      <w:r w:rsidRPr="003720E1">
        <w:t>Note:         The average of each state r</w:t>
      </w:r>
      <w:r>
        <w:t>egulator's most recent decision</w:t>
      </w:r>
      <w:r w:rsidRPr="003720E1">
        <w:t xml:space="preserve"> on the </w:t>
      </w:r>
      <w:r w:rsidRPr="00DC64DA">
        <w:t>market risk premium</w:t>
      </w:r>
      <w:r>
        <w:t xml:space="preserve"> </w:t>
      </w:r>
      <w:r w:rsidRPr="003720E1">
        <w:t xml:space="preserve">forms the point estimate (6.4 per cent) for other regulator estimates. The top of this range </w:t>
      </w:r>
      <w:r>
        <w:t>(</w:t>
      </w:r>
      <w:r w:rsidRPr="003720E1">
        <w:t>7.6 per cent</w:t>
      </w:r>
      <w:r>
        <w:t>) is from the ERA, while the bottom of this range (</w:t>
      </w:r>
      <w:r w:rsidRPr="003720E1">
        <w:t>6.0 per cent</w:t>
      </w:r>
      <w:r>
        <w:t>) is from</w:t>
      </w:r>
      <w:r w:rsidRPr="003720E1">
        <w:t xml:space="preserve"> ESCV, ESCOSA, NTUC, TER and the ACCC.</w:t>
      </w:r>
      <w:r>
        <w:rPr>
          <w:rStyle w:val="FootnoteReference"/>
        </w:rPr>
        <w:footnoteReference w:id="212"/>
      </w:r>
      <w:r w:rsidRPr="005A629D">
        <w:t xml:space="preserve"> The stakeholder submissions range is intended to reflect the views of consumer groups and those who use/</w:t>
      </w:r>
      <w:r>
        <w:t xml:space="preserve">engage with the energy network </w:t>
      </w:r>
      <w:r w:rsidRPr="005A629D">
        <w:t xml:space="preserve">or pipeline, and as such it does not include submissions from </w:t>
      </w:r>
      <w:r>
        <w:t>services providers</w:t>
      </w:r>
      <w:r w:rsidRPr="005A629D">
        <w:t xml:space="preserve">. The bottom and top of the stakeholder range comes from the Victorian Energy Consumer and </w:t>
      </w:r>
      <w:r w:rsidRPr="003720E1">
        <w:t>User Alliance (VECUA)</w:t>
      </w:r>
      <w:r>
        <w:t>, Energy Consumer Coalition of South Australia (ECCSA), Origin Energy and Consumer Challenge Panel (CCP)</w:t>
      </w:r>
      <w:r w:rsidRPr="003720E1">
        <w:t>.</w:t>
      </w:r>
      <w:r>
        <w:rPr>
          <w:rStyle w:val="FootnoteReference"/>
        </w:rPr>
        <w:footnoteReference w:id="213"/>
      </w:r>
      <w:r w:rsidRPr="005A629D">
        <w:t xml:space="preserve"> The bottom and top of the service provider proposed range comes from APTNT's (Amadeus gas pipeline) proposal.</w:t>
      </w:r>
      <w:r>
        <w:rPr>
          <w:rStyle w:val="FootnoteReference"/>
        </w:rPr>
        <w:footnoteReference w:id="214"/>
      </w:r>
    </w:p>
    <w:p w:rsidR="00FB2F4C" w:rsidRDefault="00FB2F4C" w:rsidP="00FB2F4C">
      <w:pPr>
        <w:numPr>
          <w:ilvl w:val="0"/>
          <w:numId w:val="24"/>
        </w:numPr>
      </w:pPr>
      <w:r>
        <w:t xml:space="preserve">We derive our point estimate from within this range by considering the relative merits of all of the relevant material. The application of our approach is set out as follows: </w:t>
      </w:r>
    </w:p>
    <w:p w:rsidR="00FB2F4C" w:rsidRPr="00FB2F4C" w:rsidRDefault="00FB2F4C" w:rsidP="00FB2F4C">
      <w:pPr>
        <w:pStyle w:val="AERbulletlistfirststyle"/>
      </w:pPr>
      <w:r>
        <w:t>Historical excess returns provide our baseline estimate and indicates a market risk premium of approximately 5.5 to 6.0 per cent from a range of 4.8 per cent to 6.0 per cent. We c</w:t>
      </w:r>
      <w:r w:rsidRPr="00FB2F4C">
        <w:t>onsider both geometric and arithmetic averages of historical returns. However, we consider there may be evidence of bias in the geometric averages.</w:t>
      </w:r>
      <w:r w:rsidRPr="00FB2F4C">
        <w:rPr>
          <w:rStyle w:val="FootnoteReference"/>
        </w:rPr>
        <w:footnoteReference w:id="215"/>
      </w:r>
      <w:r w:rsidRPr="00FB2F4C">
        <w:t xml:space="preserve"> Therefore, our range for historical returns is based on arithmetic averages.</w:t>
      </w:r>
    </w:p>
    <w:p w:rsidR="00FB2F4C" w:rsidRPr="00FB2F4C" w:rsidRDefault="00FB2F4C" w:rsidP="00FB2F4C">
      <w:pPr>
        <w:pStyle w:val="AERbulletlistfirststyle"/>
      </w:pPr>
      <w:r>
        <w:t>Dividend growth model estimates indicate a market risk premium estimate above this baseline with a range of 7.</w:t>
      </w:r>
      <w:r w:rsidR="00A82001">
        <w:t>4</w:t>
      </w:r>
      <w:r>
        <w:t>8 to 8.</w:t>
      </w:r>
      <w:r w:rsidR="00A82001">
        <w:t>74</w:t>
      </w:r>
      <w:r>
        <w:t xml:space="preserve"> </w:t>
      </w:r>
      <w:r w:rsidRPr="00FB2F4C">
        <w:t>per cent. We consider our dividend growth model is theoretically sound but that there are many limitations in practically implementing this model. We are not confident that the recent increases in estimates of the market risk premium from these models necessarily reflect an increase in the 'true' expected ten-year forward looking market risk premium. We consider our, and other, dividend growth models are likely to produce upward biased estimates in the current market.</w:t>
      </w:r>
      <w:r w:rsidRPr="00FB2F4C">
        <w:rPr>
          <w:rStyle w:val="FootnoteReference"/>
        </w:rPr>
        <w:footnoteReference w:id="216"/>
      </w:r>
      <w:r w:rsidRPr="00FB2F4C">
        <w:t xml:space="preserve"> We also consider our, and other, models may not accurately track changes in the return on equity for the market.</w:t>
      </w:r>
      <w:r w:rsidRPr="00FB2F4C">
        <w:rPr>
          <w:rStyle w:val="FootnoteReference"/>
        </w:rPr>
        <w:footnoteReference w:id="217"/>
      </w:r>
      <w:r w:rsidRPr="00FB2F4C">
        <w:t xml:space="preserve"> See section </w:t>
      </w:r>
      <w:r w:rsidR="00F81198">
        <w:fldChar w:fldCharType="begin"/>
      </w:r>
      <w:r w:rsidR="00F81198">
        <w:instrText xml:space="preserve"> REF _Ref449007421 \r \h </w:instrText>
      </w:r>
      <w:r w:rsidR="00F81198">
        <w:fldChar w:fldCharType="separate"/>
      </w:r>
      <w:r w:rsidR="001A023B">
        <w:t>B.4</w:t>
      </w:r>
      <w:r w:rsidR="00F81198">
        <w:fldChar w:fldCharType="end"/>
      </w:r>
      <w:r w:rsidR="00F81198">
        <w:t xml:space="preserve"> </w:t>
      </w:r>
      <w:r w:rsidRPr="00FB2F4C">
        <w:t xml:space="preserve">for more detail these limitations. For these reasons, we do not consider that the dividend growth model estimates are reliable on their own, but that they do provide some support for a point estimate above the range from historical returns. </w:t>
      </w:r>
    </w:p>
    <w:p w:rsidR="00FB2F4C" w:rsidRPr="00FB2F4C" w:rsidRDefault="00FB2F4C" w:rsidP="00FB2F4C">
      <w:pPr>
        <w:pStyle w:val="AERbulletlistfirststyle"/>
      </w:pPr>
      <w:r>
        <w:t xml:space="preserve">Survey evidence supports a market risk premium around 6.0 to 6.5 per cent. Other regulators' estimates are used as a cross check and indicate a market risk premium estimate of around 6.5 per cent is reasonable. Conditioning variables indicate that there has not been a material change in market conditions since our draft </w:t>
      </w:r>
      <w:r w:rsidRPr="00FB2F4C">
        <w:t xml:space="preserve">decision. See sections </w:t>
      </w:r>
      <w:r w:rsidRPr="00FB2F4C">
        <w:fldChar w:fldCharType="begin"/>
      </w:r>
      <w:r w:rsidRPr="00FB2F4C">
        <w:instrText xml:space="preserve"> REF _Ref446272549 \r \h </w:instrText>
      </w:r>
      <w:r w:rsidRPr="00FB2F4C">
        <w:fldChar w:fldCharType="separate"/>
      </w:r>
      <w:r w:rsidR="001A023B">
        <w:t>F.1</w:t>
      </w:r>
      <w:r w:rsidRPr="00FB2F4C">
        <w:fldChar w:fldCharType="end"/>
      </w:r>
      <w:r w:rsidRPr="00FB2F4C">
        <w:t xml:space="preserve">, </w:t>
      </w:r>
      <w:r w:rsidR="00F81198">
        <w:fldChar w:fldCharType="begin"/>
      </w:r>
      <w:r w:rsidR="00F81198">
        <w:instrText xml:space="preserve"> REF _Ref451416189 \r \h </w:instrText>
      </w:r>
      <w:r w:rsidR="00F81198">
        <w:fldChar w:fldCharType="separate"/>
      </w:r>
      <w:r w:rsidR="001A023B">
        <w:t>F.4</w:t>
      </w:r>
      <w:r w:rsidR="00F81198">
        <w:fldChar w:fldCharType="end"/>
      </w:r>
      <w:r w:rsidRPr="00FB2F4C">
        <w:t xml:space="preserve">, and </w:t>
      </w:r>
      <w:r w:rsidR="00F81198">
        <w:fldChar w:fldCharType="begin"/>
      </w:r>
      <w:r w:rsidR="00F81198">
        <w:instrText xml:space="preserve"> REF _Ref451689044 \r \h </w:instrText>
      </w:r>
      <w:r w:rsidR="00F81198">
        <w:fldChar w:fldCharType="separate"/>
      </w:r>
      <w:r w:rsidR="001A023B">
        <w:t>E</w:t>
      </w:r>
      <w:r w:rsidR="00F81198">
        <w:fldChar w:fldCharType="end"/>
      </w:r>
      <w:r w:rsidR="00F81198">
        <w:t xml:space="preserve"> </w:t>
      </w:r>
      <w:r w:rsidRPr="00FB2F4C">
        <w:t>for more detail on this material.</w:t>
      </w:r>
    </w:p>
    <w:p w:rsidR="00FB2F4C" w:rsidRDefault="00FB2F4C" w:rsidP="00FB2F4C">
      <w:r>
        <w:t>Stakeholder submissions since our draft decision (excluding submissions by service providers) have generally supported a market risk premium at or below the 6.5 per cent which we estimated in our draft decision. For example:</w:t>
      </w:r>
    </w:p>
    <w:p w:rsidR="00FB2F4C" w:rsidRPr="00FB2F4C" w:rsidRDefault="00FB2F4C" w:rsidP="00FB2F4C">
      <w:pPr>
        <w:pStyle w:val="AERbulletlistfirststyle"/>
      </w:pPr>
      <w:r>
        <w:t xml:space="preserve">The </w:t>
      </w:r>
      <w:r w:rsidRPr="00FB2F4C">
        <w:t>Victorian Energy Consumer and User Alliance (VECUA) continued to recommend a market risk premium of 5.0 per cent, at the bottom of the range determined in the Guideline.</w:t>
      </w:r>
      <w:r w:rsidRPr="00FB2F4C">
        <w:rPr>
          <w:rStyle w:val="FootnoteReference"/>
        </w:rPr>
        <w:footnoteReference w:id="218"/>
      </w:r>
      <w:r w:rsidRPr="00FB2F4C">
        <w:t xml:space="preserve"> VECUA submitted that this appeared to be based on outcome-based considerations regarding the profitability and low risk of service providers and decisions made by other regulators, as well as a view that the AER should exercise its discretion in a more balanced manner.</w:t>
      </w:r>
      <w:r w:rsidRPr="00FB2F4C">
        <w:rPr>
          <w:rStyle w:val="FootnoteReference"/>
        </w:rPr>
        <w:footnoteReference w:id="219"/>
      </w:r>
    </w:p>
    <w:p w:rsidR="00FB2F4C" w:rsidRPr="00FB2F4C" w:rsidRDefault="00FB2F4C" w:rsidP="00FB2F4C">
      <w:pPr>
        <w:pStyle w:val="AERbulletlistfirststyle"/>
      </w:pPr>
      <w:r>
        <w:t>The Energy Consumers Coalition of South Australia (ECCSA) commented that</w:t>
      </w:r>
      <w:r w:rsidRPr="00FB2F4C">
        <w:t xml:space="preserve"> the market risk premium estimate in our </w:t>
      </w:r>
      <w:r>
        <w:t>draft</w:t>
      </w:r>
      <w:r w:rsidRPr="00FB2F4C">
        <w:t xml:space="preserve"> decision, as it was set at the higher end of the credible range, added ‘considerable conservatism’ into the rate of return calculation.</w:t>
      </w:r>
      <w:r w:rsidRPr="00FB2F4C">
        <w:rPr>
          <w:rStyle w:val="FootnoteReference"/>
        </w:rPr>
        <w:footnoteReference w:id="220"/>
      </w:r>
    </w:p>
    <w:p w:rsidR="00FB2F4C" w:rsidRPr="00FB2F4C" w:rsidRDefault="00FB2F4C" w:rsidP="00FB2F4C">
      <w:pPr>
        <w:pStyle w:val="AERbulletlistfirststyle"/>
      </w:pPr>
      <w:r>
        <w:t xml:space="preserve">Origin Energy continued to support our </w:t>
      </w:r>
      <w:r w:rsidRPr="00FB2F4C">
        <w:t>market risk premium estimate of 6.5 per cent as this better reflects the efficient financing costs of a business exposed to the level of risk that applies to an Australian regulated network business.</w:t>
      </w:r>
      <w:r w:rsidRPr="00FB2F4C">
        <w:rPr>
          <w:rStyle w:val="FootnoteReference"/>
        </w:rPr>
        <w:footnoteReference w:id="221"/>
      </w:r>
    </w:p>
    <w:p w:rsidR="00FB2F4C" w:rsidRPr="00FB2F4C" w:rsidRDefault="00FB2F4C" w:rsidP="00FB2F4C">
      <w:pPr>
        <w:pStyle w:val="AERbulletlistfirststyle"/>
      </w:pPr>
      <w:r>
        <w:t>In a separate regulatory process, t</w:t>
      </w:r>
      <w:r w:rsidRPr="00FB2F4C">
        <w:t>he Consumer Challenge Panel (CCP) advised that we could still set a market risk premium of 6 per cent or below, commenting that a point estimate within our range but lower than those set by us to date would be ‘more in the long term interests of consumers while still meeting investors’ rights to an adequate return on capital invested’.</w:t>
      </w:r>
      <w:r w:rsidRPr="00FB2F4C">
        <w:rPr>
          <w:rStyle w:val="FootnoteReference"/>
        </w:rPr>
        <w:footnoteReference w:id="222"/>
      </w:r>
    </w:p>
    <w:p w:rsidR="00FB2F4C" w:rsidRDefault="00FB2F4C" w:rsidP="00FB2F4C">
      <w:r>
        <w:t xml:space="preserve">Most service providers proposed a </w:t>
      </w:r>
      <w:r w:rsidRPr="00707D90">
        <w:t xml:space="preserve">market risk premium </w:t>
      </w:r>
      <w:r>
        <w:t>of 7.8 to 7.9 per cent, based on SFG’s</w:t>
      </w:r>
      <w:r>
        <w:rPr>
          <w:rStyle w:val="FootnoteReference"/>
        </w:rPr>
        <w:footnoteReference w:id="223"/>
      </w:r>
      <w:r>
        <w:t xml:space="preserve"> weighted average of estimates from the dividend growth model, </w:t>
      </w:r>
      <w:r w:rsidRPr="00FE65B9">
        <w:t>historical excess returns, the Wright approach</w:t>
      </w:r>
      <w:r>
        <w:t xml:space="preserve">, and independent valuation reports. In its revised access arrangement proposal, </w:t>
      </w:r>
      <w:r w:rsidRPr="00CA4C4F">
        <w:t>APTN</w:t>
      </w:r>
      <w:r>
        <w:t>T</w:t>
      </w:r>
      <w:r w:rsidRPr="00CA4C4F">
        <w:t xml:space="preserve"> </w:t>
      </w:r>
      <w:r>
        <w:t xml:space="preserve">appeared to use a </w:t>
      </w:r>
      <w:r w:rsidRPr="00707D90">
        <w:t xml:space="preserve">market risk premium </w:t>
      </w:r>
      <w:r>
        <w:t>range of 7.48 to 8.58 per cent based on the Wright approach.</w:t>
      </w:r>
      <w:r>
        <w:rPr>
          <w:rStyle w:val="FootnoteReference"/>
        </w:rPr>
        <w:footnoteReference w:id="224"/>
      </w:r>
      <w:r>
        <w:t xml:space="preserve"> However, it also used an estimated </w:t>
      </w:r>
      <w:r w:rsidRPr="00707D90">
        <w:t xml:space="preserve">market risk premium </w:t>
      </w:r>
      <w:r>
        <w:t>of 6.1 per cent in its consideration of the Fama-French three-factor model.</w:t>
      </w:r>
      <w:r>
        <w:rPr>
          <w:rStyle w:val="FootnoteReference"/>
        </w:rPr>
        <w:footnoteReference w:id="225"/>
      </w:r>
    </w:p>
    <w:p w:rsidR="00FB2F4C" w:rsidRDefault="00FB2F4C" w:rsidP="00FB2F4C">
      <w:pPr>
        <w:numPr>
          <w:ilvl w:val="0"/>
          <w:numId w:val="24"/>
        </w:numPr>
      </w:pPr>
      <w:r>
        <w:t xml:space="preserve">We note </w:t>
      </w:r>
      <w:r w:rsidRPr="00010BCE">
        <w:t>th</w:t>
      </w:r>
      <w:r>
        <w:t>at</w:t>
      </w:r>
      <w:r w:rsidRPr="00010BCE">
        <w:t xml:space="preserve"> </w:t>
      </w:r>
      <w:r>
        <w:t>some stakeholders</w:t>
      </w:r>
      <w:r w:rsidRPr="00010BCE">
        <w:t xml:space="preserve">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or that we made inappropriate methodological choices in our empirical analysis</w:t>
      </w:r>
      <w:r w:rsidRPr="00010BCE">
        <w:t xml:space="preserve">. </w:t>
      </w:r>
      <w:r>
        <w:fldChar w:fldCharType="begin"/>
      </w:r>
      <w:r>
        <w:instrText xml:space="preserve"> REF _Ref446275314 \h </w:instrText>
      </w:r>
      <w:r>
        <w:fldChar w:fldCharType="separate"/>
      </w:r>
      <w:r w:rsidR="001A023B">
        <w:t xml:space="preserve">Table </w:t>
      </w:r>
      <w:r w:rsidR="001A023B">
        <w:rPr>
          <w:noProof/>
        </w:rPr>
        <w:t>3</w:t>
      </w:r>
      <w:r w:rsidR="001A023B">
        <w:noBreakHyphen/>
      </w:r>
      <w:r w:rsidR="001A023B">
        <w:rPr>
          <w:noProof/>
        </w:rPr>
        <w:t>5</w:t>
      </w:r>
      <w:r>
        <w:fldChar w:fldCharType="end"/>
      </w:r>
      <w:r>
        <w:t xml:space="preserve"> sets out stakeholder views on our use of relevant material and our responses. </w:t>
      </w:r>
      <w:r w:rsidRPr="00B005DF">
        <w:t xml:space="preserve">Having considered the overall information and </w:t>
      </w:r>
      <w:r>
        <w:t xml:space="preserve">all </w:t>
      </w:r>
      <w:r w:rsidRPr="00B005DF">
        <w:t xml:space="preserve">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rsidR="00270CE2">
        <w:t xml:space="preserve">ARORO </w:t>
      </w:r>
      <w:r>
        <w:t xml:space="preserve">and the National </w:t>
      </w:r>
      <w:r w:rsidR="00C21AC6">
        <w:t>Gas</w:t>
      </w:r>
      <w:r>
        <w:t xml:space="preserve"> Objective</w:t>
      </w:r>
      <w:r w:rsidRPr="00B005DF">
        <w:t xml:space="preserve">. </w:t>
      </w:r>
      <w:r>
        <w:t xml:space="preserve"> </w:t>
      </w:r>
    </w:p>
    <w:p w:rsidR="00FB2F4C" w:rsidRPr="005F7128" w:rsidRDefault="00FB2F4C" w:rsidP="00FB2F4C">
      <w:pPr>
        <w:pStyle w:val="Caption"/>
      </w:pPr>
      <w:bookmarkStart w:id="65" w:name="_Ref446275314"/>
      <w:bookmarkStart w:id="66" w:name="_Ref444171050"/>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5</w:t>
      </w:r>
      <w:r w:rsidR="00120312">
        <w:rPr>
          <w:noProof/>
        </w:rPr>
        <w:fldChar w:fldCharType="end"/>
      </w:r>
      <w:bookmarkEnd w:id="65"/>
      <w:r>
        <w:tab/>
        <w:t>Issues raised about estimating market risk premium</w:t>
      </w:r>
      <w:bookmarkEnd w:id="66"/>
    </w:p>
    <w:tbl>
      <w:tblPr>
        <w:tblStyle w:val="AERtable-text0"/>
        <w:tblW w:w="0" w:type="auto"/>
        <w:tblLook w:val="04A0" w:firstRow="1" w:lastRow="0" w:firstColumn="1" w:lastColumn="0" w:noHBand="0" w:noVBand="1"/>
      </w:tblPr>
      <w:tblGrid>
        <w:gridCol w:w="1951"/>
        <w:gridCol w:w="6742"/>
      </w:tblGrid>
      <w:tr w:rsidR="00FB2F4C" w:rsidTr="00BB7AE6">
        <w:trPr>
          <w:cnfStyle w:val="100000000000" w:firstRow="1" w:lastRow="0" w:firstColumn="0" w:lastColumn="0" w:oddVBand="0" w:evenVBand="0" w:oddHBand="0" w:evenHBand="0" w:firstRowFirstColumn="0" w:firstRowLastColumn="0" w:lastRowFirstColumn="0" w:lastRowLastColumn="0"/>
          <w:tblHeader/>
        </w:trPr>
        <w:tc>
          <w:tcPr>
            <w:tcW w:w="1951" w:type="dxa"/>
          </w:tcPr>
          <w:p w:rsidR="00FB2F4C" w:rsidRPr="00FB2F4C" w:rsidRDefault="00FB2F4C" w:rsidP="00FB2F4C">
            <w:r>
              <w:t>Issue</w:t>
            </w:r>
          </w:p>
        </w:tc>
        <w:tc>
          <w:tcPr>
            <w:tcW w:w="6742" w:type="dxa"/>
          </w:tcPr>
          <w:p w:rsidR="00FB2F4C" w:rsidRPr="00FB2F4C" w:rsidRDefault="00FB2F4C" w:rsidP="00FB2F4C">
            <w:r>
              <w:t>O</w:t>
            </w:r>
            <w:r w:rsidRPr="00FB2F4C">
              <w:t>ur response</w:t>
            </w:r>
          </w:p>
        </w:tc>
      </w:tr>
      <w:tr w:rsidR="00FB2F4C" w:rsidTr="004C5238">
        <w:tc>
          <w:tcPr>
            <w:tcW w:w="1951" w:type="dxa"/>
          </w:tcPr>
          <w:p w:rsidR="00FB2F4C" w:rsidRPr="00FB2F4C" w:rsidRDefault="00FB2F4C" w:rsidP="00FB2F4C">
            <w:pPr>
              <w:rPr>
                <w:rStyle w:val="AERtextsize8"/>
              </w:rPr>
            </w:pPr>
            <w:r>
              <w:rPr>
                <w:rStyle w:val="AERtextsize8"/>
              </w:rPr>
              <w:t xml:space="preserve">Our approach </w:t>
            </w:r>
            <w:r w:rsidRPr="00FB2F4C">
              <w:rPr>
                <w:rStyle w:val="AERtextsize8"/>
              </w:rPr>
              <w:t>provides no real regard to the dividend growth model</w:t>
            </w:r>
          </w:p>
        </w:tc>
        <w:tc>
          <w:tcPr>
            <w:tcW w:w="6742" w:type="dxa"/>
          </w:tcPr>
          <w:p w:rsidR="00FB2F4C" w:rsidRPr="00FB2F4C" w:rsidRDefault="00FB2F4C" w:rsidP="008811C0">
            <w:pPr>
              <w:rPr>
                <w:rStyle w:val="AERtextsize8"/>
              </w:rPr>
            </w:pPr>
            <w:r w:rsidRPr="00133A9B">
              <w:t xml:space="preserve">Consistent </w:t>
            </w:r>
            <w:r w:rsidRPr="00FB2F4C">
              <w:t xml:space="preserve">with the rate of return Guideline, we use dividend growth model estimates (from our preferred construction of the dividend growth model) to inform the estimate of the market risk premium, having regard to evidence that the output from the models is very sensitive  to  input  assumptions  and  likely  to  show  an  upward  bias in current market conditions. This extent is appropriate given the limitations of dividend growth models. </w:t>
            </w:r>
            <w:r w:rsidRPr="00FB2F4C">
              <w:rPr>
                <w:rStyle w:val="AERtextsize8"/>
              </w:rPr>
              <w:t xml:space="preserve">See </w:t>
            </w:r>
            <w:r w:rsidR="008811C0">
              <w:rPr>
                <w:rStyle w:val="AERtextsize8"/>
              </w:rPr>
              <w:t xml:space="preserve">section </w:t>
            </w:r>
            <w:r w:rsidR="008811C0">
              <w:rPr>
                <w:rStyle w:val="AERtextsize8"/>
              </w:rPr>
              <w:fldChar w:fldCharType="begin"/>
            </w:r>
            <w:r w:rsidR="008811C0">
              <w:rPr>
                <w:rStyle w:val="AERtextsize8"/>
              </w:rPr>
              <w:instrText xml:space="preserve"> REF _Ref449007421 \r \h </w:instrText>
            </w:r>
            <w:r w:rsidR="008811C0">
              <w:rPr>
                <w:rStyle w:val="AERtextsize8"/>
              </w:rPr>
            </w:r>
            <w:r w:rsidR="008811C0">
              <w:rPr>
                <w:rStyle w:val="AERtextsize8"/>
              </w:rPr>
              <w:fldChar w:fldCharType="separate"/>
            </w:r>
            <w:r w:rsidR="001A023B">
              <w:rPr>
                <w:rStyle w:val="AERtextsize8"/>
              </w:rPr>
              <w:t>B.4</w:t>
            </w:r>
            <w:r w:rsidR="008811C0">
              <w:rPr>
                <w:rStyle w:val="AERtextsize8"/>
              </w:rPr>
              <w:fldChar w:fldCharType="end"/>
            </w:r>
            <w:r w:rsidR="008811C0">
              <w:rPr>
                <w:rStyle w:val="AERtextsize8"/>
              </w:rPr>
              <w:t xml:space="preserve"> </w:t>
            </w:r>
            <w:r w:rsidRPr="00FB2F4C">
              <w:rPr>
                <w:rStyle w:val="AERtextsize8"/>
              </w:rPr>
              <w:t xml:space="preserve">for details on the models limitations. </w:t>
            </w:r>
          </w:p>
        </w:tc>
      </w:tr>
      <w:tr w:rsidR="00FB2F4C" w:rsidTr="004C5238">
        <w:trPr>
          <w:cnfStyle w:val="000000010000" w:firstRow="0" w:lastRow="0" w:firstColumn="0" w:lastColumn="0" w:oddVBand="0" w:evenVBand="0" w:oddHBand="0" w:evenHBand="1" w:firstRowFirstColumn="0" w:firstRowLastColumn="0" w:lastRowFirstColumn="0" w:lastRowLastColumn="0"/>
        </w:trPr>
        <w:tc>
          <w:tcPr>
            <w:tcW w:w="1951" w:type="dxa"/>
          </w:tcPr>
          <w:p w:rsidR="00FB2F4C" w:rsidRPr="00FB2F4C" w:rsidRDefault="00FB2F4C" w:rsidP="00FB2F4C">
            <w:pPr>
              <w:rPr>
                <w:rStyle w:val="AERtextsize8"/>
              </w:rPr>
            </w:pPr>
            <w:r w:rsidRPr="007C153E">
              <w:rPr>
                <w:rStyle w:val="AERtextsize8"/>
              </w:rPr>
              <w:t>The Wright approach to estimating historical stock returns is useful for estimating market risk premium</w:t>
            </w:r>
          </w:p>
        </w:tc>
        <w:tc>
          <w:tcPr>
            <w:tcW w:w="6742" w:type="dxa"/>
          </w:tcPr>
          <w:p w:rsidR="00FB2F4C" w:rsidRPr="007C153E" w:rsidRDefault="00FB2F4C" w:rsidP="00F81198">
            <w:pPr>
              <w:numPr>
                <w:ilvl w:val="0"/>
                <w:numId w:val="24"/>
              </w:numPr>
              <w:rPr>
                <w:rStyle w:val="AERtextsize8"/>
              </w:rPr>
            </w:pPr>
            <w:r>
              <w:rPr>
                <w:rStyle w:val="AERtextsize8"/>
              </w:rPr>
              <w:t>Our consideration of the Wright approach is informative of our market risk premium estimate: as a cross-check on our overall return on equity, it is a cross-check on our return on equity parameters, including the market risk premium. However, w</w:t>
            </w:r>
            <w:r w:rsidRPr="007C153E">
              <w:rPr>
                <w:rStyle w:val="AERtextsize8"/>
              </w:rPr>
              <w:t>hile we have used a range from the Wright</w:t>
            </w:r>
            <w:r>
              <w:rPr>
                <w:rStyle w:val="AERtextsize8"/>
              </w:rPr>
              <w:t xml:space="preserve"> approach to</w:t>
            </w:r>
            <w:r w:rsidRPr="007C153E">
              <w:rPr>
                <w:rStyle w:val="AERtextsize8"/>
              </w:rPr>
              <w:t xml:space="preserve"> CAPM specification to inform the overall return on equity, we have placed little reliance on this information given </w:t>
            </w:r>
            <w:r>
              <w:rPr>
                <w:rStyle w:val="AERtextsize8"/>
              </w:rPr>
              <w:t>w</w:t>
            </w:r>
            <w:r w:rsidRPr="007C153E">
              <w:rPr>
                <w:rStyle w:val="AERtextsize8"/>
              </w:rPr>
              <w:t xml:space="preserve">e do not agree with </w:t>
            </w:r>
            <w:r>
              <w:rPr>
                <w:rStyle w:val="AERtextsize8"/>
              </w:rPr>
              <w:t>its historical</w:t>
            </w:r>
            <w:r w:rsidRPr="007C153E">
              <w:rPr>
                <w:rStyle w:val="AERtextsize8"/>
              </w:rPr>
              <w:t xml:space="preserve"> form. The CAPM is a forward looking asset pricing model.</w:t>
            </w:r>
            <w:r w:rsidRPr="007A10C2">
              <w:rPr>
                <w:rStyle w:val="FootnoteReference"/>
              </w:rPr>
              <w:footnoteReference w:id="226"/>
            </w:r>
            <w:r w:rsidRPr="007C153E">
              <w:rPr>
                <w:rStyle w:val="AERtextsize8"/>
              </w:rPr>
              <w:t xml:space="preserve"> Historical data (such as historical excess returns on the market) may be used as a basis for estimates of the input parameters into the model where they are good evidence of forward looking parameters. However, we do not consider using historically based estimates that are clearly not representative of the forward looking rate will result in an unbiased estimate of the return on equity.</w:t>
            </w:r>
            <w:r>
              <w:rPr>
                <w:rStyle w:val="AERtextsize8"/>
              </w:rPr>
              <w:t xml:space="preserve"> Further details of our reasons are in section </w:t>
            </w:r>
            <w:r w:rsidR="00F81198">
              <w:rPr>
                <w:rStyle w:val="AERtextsize8"/>
              </w:rPr>
              <w:fldChar w:fldCharType="begin"/>
            </w:r>
            <w:r w:rsidR="00F81198">
              <w:rPr>
                <w:rStyle w:val="AERtextsize8"/>
              </w:rPr>
              <w:instrText xml:space="preserve"> REF _Ref449018117 \r \h </w:instrText>
            </w:r>
            <w:r w:rsidR="00F81198">
              <w:rPr>
                <w:rStyle w:val="AERtextsize8"/>
              </w:rPr>
            </w:r>
            <w:r w:rsidR="00F81198">
              <w:rPr>
                <w:rStyle w:val="AERtextsize8"/>
              </w:rPr>
              <w:fldChar w:fldCharType="separate"/>
            </w:r>
            <w:r w:rsidR="001A023B">
              <w:rPr>
                <w:rStyle w:val="AERtextsize8"/>
              </w:rPr>
              <w:t>B.5</w:t>
            </w:r>
            <w:r w:rsidR="00F81198">
              <w:rPr>
                <w:rStyle w:val="AERtextsize8"/>
              </w:rPr>
              <w:fldChar w:fldCharType="end"/>
            </w:r>
            <w:r w:rsidR="00F81198">
              <w:rPr>
                <w:rStyle w:val="AERtextsize8"/>
              </w:rPr>
              <w:t xml:space="preserve"> </w:t>
            </w:r>
            <w:r>
              <w:rPr>
                <w:rStyle w:val="AERtextsize8"/>
              </w:rPr>
              <w:t>of this attachment.</w:t>
            </w:r>
          </w:p>
        </w:tc>
      </w:tr>
      <w:tr w:rsidR="00FB2F4C" w:rsidTr="004C5238">
        <w:tc>
          <w:tcPr>
            <w:tcW w:w="1951" w:type="dxa"/>
          </w:tcPr>
          <w:p w:rsidR="00FB2F4C" w:rsidRPr="00FB2F4C" w:rsidRDefault="00FB2F4C" w:rsidP="00FB2F4C">
            <w:pPr>
              <w:rPr>
                <w:rStyle w:val="AERtextsize8"/>
              </w:rPr>
            </w:pPr>
            <w:r w:rsidRPr="007C153E">
              <w:rPr>
                <w:rStyle w:val="AERtextsize8"/>
              </w:rPr>
              <w:t>Information from valuation reports is useful for estimating market risk premium</w:t>
            </w:r>
          </w:p>
        </w:tc>
        <w:tc>
          <w:tcPr>
            <w:tcW w:w="6742" w:type="dxa"/>
          </w:tcPr>
          <w:p w:rsidR="00FB2F4C" w:rsidRPr="00FB2F4C" w:rsidRDefault="00FB2F4C" w:rsidP="00F81198">
            <w:pPr>
              <w:rPr>
                <w:rStyle w:val="AERtextsize8"/>
              </w:rPr>
            </w:pPr>
            <w:r>
              <w:rPr>
                <w:rStyle w:val="AERtextsize8"/>
              </w:rPr>
              <w:t>Our consideration of valuation reports is informative of our market risk premium estimate: as a cross-check on our overall ret</w:t>
            </w:r>
            <w:r w:rsidRPr="00FB2F4C">
              <w:rPr>
                <w:rStyle w:val="AERtextsize8"/>
              </w:rPr>
              <w:t xml:space="preserve">urn on equity, they are a cross-check on our return on equity parameters, including the market risk premium. </w:t>
            </w:r>
            <w:r w:rsidRPr="00FB2F4C">
              <w:t xml:space="preserve">Valuation reports have a different objective to the </w:t>
            </w:r>
            <w:r w:rsidR="00270CE2">
              <w:t>A</w:t>
            </w:r>
            <w:r w:rsidR="00270CE2" w:rsidRPr="00270CE2">
              <w:t>RORO</w:t>
            </w:r>
            <w:r w:rsidRPr="00FB2F4C">
              <w:t>, which may make their estimates unsuitable for our purpose. This effect is likely more prevalent for input parameters than the overall return on equity. A lack of transparency on how the return on equity estimates are derived prevents adjusting for these effects. These limitations are discussed further in section</w:t>
            </w:r>
            <w:r w:rsidR="00F81198">
              <w:t xml:space="preserve"> </w:t>
            </w:r>
            <w:r w:rsidR="00F81198">
              <w:fldChar w:fldCharType="begin"/>
            </w:r>
            <w:r w:rsidR="00F81198">
              <w:instrText xml:space="preserve"> REF _Ref451689098 \r \h </w:instrText>
            </w:r>
            <w:r w:rsidR="00F81198">
              <w:fldChar w:fldCharType="separate"/>
            </w:r>
            <w:r w:rsidR="001A023B">
              <w:t>F.5</w:t>
            </w:r>
            <w:r w:rsidR="00F81198">
              <w:fldChar w:fldCharType="end"/>
            </w:r>
            <w:r w:rsidRPr="00FB2F4C">
              <w:t>.</w:t>
            </w:r>
          </w:p>
        </w:tc>
      </w:tr>
      <w:tr w:rsidR="00FB2F4C" w:rsidTr="004C5238">
        <w:trPr>
          <w:cnfStyle w:val="000000010000" w:firstRow="0" w:lastRow="0" w:firstColumn="0" w:lastColumn="0" w:oddVBand="0" w:evenVBand="0" w:oddHBand="0" w:evenHBand="1" w:firstRowFirstColumn="0" w:firstRowLastColumn="0" w:lastRowFirstColumn="0" w:lastRowLastColumn="0"/>
        </w:trPr>
        <w:tc>
          <w:tcPr>
            <w:tcW w:w="1951" w:type="dxa"/>
          </w:tcPr>
          <w:p w:rsidR="00FB2F4C" w:rsidRPr="00FB2F4C" w:rsidRDefault="00FB2F4C" w:rsidP="00FB2F4C">
            <w:pPr>
              <w:rPr>
                <w:rStyle w:val="AERtextsize8"/>
              </w:rPr>
            </w:pPr>
            <w:r w:rsidRPr="007C153E">
              <w:rPr>
                <w:rStyle w:val="AERtextsize8"/>
              </w:rPr>
              <w:t>Surveys should not be relied upon</w:t>
            </w:r>
            <w:r w:rsidRPr="00FB2F4C">
              <w:rPr>
                <w:rStyle w:val="AERtextsize8"/>
              </w:rPr>
              <w:t xml:space="preserve"> as survey responses are unlikely to be independent</w:t>
            </w:r>
          </w:p>
        </w:tc>
        <w:tc>
          <w:tcPr>
            <w:tcW w:w="6742" w:type="dxa"/>
          </w:tcPr>
          <w:p w:rsidR="00FB2F4C" w:rsidRPr="00FB2F4C" w:rsidRDefault="00FB2F4C" w:rsidP="00FB2F4C">
            <w:pPr>
              <w:rPr>
                <w:rStyle w:val="AERtextsize8"/>
              </w:rPr>
            </w:pPr>
            <w:r w:rsidRPr="0048679F">
              <w:rPr>
                <w:rStyle w:val="AERtextsize8"/>
              </w:rPr>
              <w:t xml:space="preserve">While survey estimates are intended to provide an arm’s length assessment, we would not expect them to necessarily have complete impartiality. Survey estimates may strive for objective views but it seems unlikely that they will be entirely uninfluenced by commercial and other external interests. </w:t>
            </w:r>
            <w:r w:rsidRPr="00FB2F4C">
              <w:rPr>
                <w:rStyle w:val="AERtextsize8"/>
              </w:rPr>
              <w:t>Respondents may also display some 'herding' behaviour. Therefore, we view that survey estimates supply relevant, but not definitive, information and considerable care needs to be taken in the analysis and interpretation of such estimates. Nonetheless, survey estimates explore investor expectations about the market risk premium by directly asking investors and market practitioners what their expectations are and/or what they apply in practice, and we consider this remains useful for informing our market risk premium estimate.</w:t>
            </w:r>
          </w:p>
        </w:tc>
      </w:tr>
      <w:tr w:rsidR="00FB2F4C" w:rsidTr="00F81198">
        <w:trPr>
          <w:trHeight w:val="284"/>
        </w:trPr>
        <w:tc>
          <w:tcPr>
            <w:tcW w:w="1951" w:type="dxa"/>
          </w:tcPr>
          <w:p w:rsidR="00FB2F4C" w:rsidRPr="00FB2F4C" w:rsidRDefault="00FB2F4C" w:rsidP="00FB2F4C">
            <w:pPr>
              <w:rPr>
                <w:rStyle w:val="AERtextsize8"/>
              </w:rPr>
            </w:pPr>
            <w:r w:rsidRPr="00F825D9">
              <w:rPr>
                <w:rStyle w:val="AERtextsize8"/>
              </w:rPr>
              <w:t xml:space="preserve">HoustonKemp's analysis of valuation reports </w:t>
            </w:r>
            <w:r w:rsidRPr="00FB2F4C">
              <w:rPr>
                <w:rStyle w:val="AERtextsize8"/>
              </w:rPr>
              <w:t>indicates an inverse relationship between the risk free rate and the market risk premium</w:t>
            </w:r>
          </w:p>
        </w:tc>
        <w:tc>
          <w:tcPr>
            <w:tcW w:w="6742" w:type="dxa"/>
          </w:tcPr>
          <w:p w:rsidR="00FB2F4C" w:rsidRPr="00FB2F4C" w:rsidRDefault="00FB2F4C" w:rsidP="00F81198">
            <w:r>
              <w:t xml:space="preserve">The relationship found by HoustonKemp is driven by the difference between the valuer's chosen risk free rate and the yield on </w:t>
            </w:r>
            <w:r w:rsidRPr="00FB2F4C">
              <w:t>Australian government securities.</w:t>
            </w:r>
            <w:r w:rsidRPr="00FB2F4C">
              <w:rPr>
                <w:rStyle w:val="FootnoteReference"/>
              </w:rPr>
              <w:footnoteReference w:id="227"/>
            </w:r>
            <w:r w:rsidRPr="00FB2F4C">
              <w:t xml:space="preserve"> We continue to be unsatisfied that this difference reflects uplift to the market risk premium, or is a widespread and persistent practice. Further detail of our reasons are in section </w:t>
            </w:r>
            <w:r w:rsidR="00F81198">
              <w:fldChar w:fldCharType="begin"/>
            </w:r>
            <w:r w:rsidR="00F81198">
              <w:instrText xml:space="preserve"> REF _Ref451689115 \r \h </w:instrText>
            </w:r>
            <w:r w:rsidR="00F81198">
              <w:fldChar w:fldCharType="separate"/>
            </w:r>
            <w:r w:rsidR="001A023B">
              <w:t>F.5</w:t>
            </w:r>
            <w:r w:rsidR="00F81198">
              <w:fldChar w:fldCharType="end"/>
            </w:r>
            <w:r w:rsidR="00F81198">
              <w:t xml:space="preserve"> </w:t>
            </w:r>
            <w:r w:rsidRPr="00FB2F4C">
              <w:t>of this attachment.</w:t>
            </w:r>
          </w:p>
        </w:tc>
      </w:tr>
      <w:tr w:rsidR="00FB2F4C" w:rsidTr="004C5238">
        <w:trPr>
          <w:cnfStyle w:val="000000010000" w:firstRow="0" w:lastRow="0" w:firstColumn="0" w:lastColumn="0" w:oddVBand="0" w:evenVBand="0" w:oddHBand="0" w:evenHBand="1" w:firstRowFirstColumn="0" w:firstRowLastColumn="0" w:lastRowFirstColumn="0" w:lastRowLastColumn="0"/>
        </w:trPr>
        <w:tc>
          <w:tcPr>
            <w:tcW w:w="1951" w:type="dxa"/>
          </w:tcPr>
          <w:p w:rsidR="00FB2F4C" w:rsidRPr="00FB2F4C" w:rsidRDefault="00FB2F4C" w:rsidP="00FB2F4C">
            <w:pPr>
              <w:rPr>
                <w:rStyle w:val="AERtextsize8"/>
              </w:rPr>
            </w:pPr>
            <w:r w:rsidRPr="00F825D9">
              <w:rPr>
                <w:rStyle w:val="AERtextsize8"/>
              </w:rPr>
              <w:t xml:space="preserve">Our concern about sticky dividends creating bias in the dividend growth model is not material in the current </w:t>
            </w:r>
            <w:r w:rsidRPr="00FB2F4C">
              <w:rPr>
                <w:rStyle w:val="AERtextsize8"/>
              </w:rPr>
              <w:t>market as dividends are forecast to grow from 2015 to 2017</w:t>
            </w:r>
            <w:r w:rsidRPr="00FB2F4C">
              <w:rPr>
                <w:rStyle w:val="FootnoteReference"/>
              </w:rPr>
              <w:footnoteReference w:id="228"/>
            </w:r>
          </w:p>
        </w:tc>
        <w:tc>
          <w:tcPr>
            <w:tcW w:w="6742" w:type="dxa"/>
          </w:tcPr>
          <w:p w:rsidR="00FB2F4C" w:rsidRPr="00FB2F4C" w:rsidRDefault="00FB2F4C" w:rsidP="00FB2F4C">
            <w:r>
              <w:t xml:space="preserve">We consider that sticky dividends </w:t>
            </w:r>
            <w:r w:rsidRPr="00FB2F4C">
              <w:t>may create bias in the dividend growth model, and there is no reason to believe that this bias is not material in the current market. Frontier submitted that market capitalisation weighted average earnings per share are forecasted to increase from 2015 to 2017.  We consider that expectations reflected in market prices are longer-term than to 2017, such that expectations post-2017 may have greater effect on prices than expectations for 2015 to 2017. Moreover, RBA data suggests that forecast growth in earnings per share will likely slow over the 2015-16 and 2016-17 financial years.</w:t>
            </w:r>
            <w:r w:rsidRPr="00FB2F4C">
              <w:rPr>
                <w:rStyle w:val="FootnoteReference"/>
              </w:rPr>
              <w:footnoteReference w:id="229"/>
            </w:r>
            <w:r w:rsidRPr="00FB2F4C">
              <w:t xml:space="preserve"> We do not consider it is certain that investors expect positive growth in dividends per share post-2017.</w:t>
            </w:r>
          </w:p>
        </w:tc>
      </w:tr>
      <w:tr w:rsidR="00FB2F4C" w:rsidTr="004C5238">
        <w:tc>
          <w:tcPr>
            <w:tcW w:w="1951" w:type="dxa"/>
          </w:tcPr>
          <w:p w:rsidR="00FB2F4C" w:rsidRPr="00FB2F4C" w:rsidRDefault="00FB2F4C" w:rsidP="00FB2F4C">
            <w:pPr>
              <w:rPr>
                <w:rStyle w:val="AERtextsize8"/>
              </w:rPr>
            </w:pPr>
            <w:r w:rsidRPr="00F825D9">
              <w:rPr>
                <w:rStyle w:val="AERtextsize8"/>
              </w:rPr>
              <w:t>Our concern about upwards bias in analysts' dividend forecasts is not material in the current market</w:t>
            </w:r>
          </w:p>
        </w:tc>
        <w:tc>
          <w:tcPr>
            <w:tcW w:w="6742" w:type="dxa"/>
          </w:tcPr>
          <w:p w:rsidR="00FB2F4C" w:rsidRPr="001135E9" w:rsidRDefault="00FB2F4C" w:rsidP="00FB2F4C">
            <w:pPr>
              <w:numPr>
                <w:ilvl w:val="0"/>
                <w:numId w:val="24"/>
              </w:numPr>
            </w:pPr>
            <w:r w:rsidRPr="00B4711B">
              <w:t>Analyst forecasts are well understood to be upward</w:t>
            </w:r>
            <w:r>
              <w:t>ly</w:t>
            </w:r>
            <w:r w:rsidRPr="00B4711B">
              <w:t xml:space="preserve"> biased.</w:t>
            </w:r>
            <w:r>
              <w:rPr>
                <w:rStyle w:val="FootnoteReference"/>
              </w:rPr>
              <w:footnoteReference w:id="230"/>
            </w:r>
            <w:r w:rsidRPr="00B4711B">
              <w:t xml:space="preserve"> </w:t>
            </w:r>
            <w:r>
              <w:t xml:space="preserve">Although we show the effect of potential bias of ten percent (see section </w:t>
            </w:r>
            <w:r>
              <w:fldChar w:fldCharType="begin"/>
            </w:r>
            <w:r>
              <w:instrText xml:space="preserve"> REF _Ref443651537 \r \h </w:instrText>
            </w:r>
            <w:r>
              <w:fldChar w:fldCharType="separate"/>
            </w:r>
            <w:r w:rsidR="001A023B">
              <w:t>D.2</w:t>
            </w:r>
            <w:r>
              <w:fldChar w:fldCharType="end"/>
            </w:r>
            <w:r>
              <w:t xml:space="preserve">), the extent of any bias is unclear. No stakeholder has proposed methods to estimate the extent of any bias, and such methods may be complex, without widespread acceptance, and open to gaming. For this reason, we do not apply an adjustment. </w:t>
            </w:r>
          </w:p>
        </w:tc>
      </w:tr>
      <w:tr w:rsidR="00FB2F4C" w:rsidTr="004C5238">
        <w:trPr>
          <w:cnfStyle w:val="000000010000" w:firstRow="0" w:lastRow="0" w:firstColumn="0" w:lastColumn="0" w:oddVBand="0" w:evenVBand="0" w:oddHBand="0" w:evenHBand="1" w:firstRowFirstColumn="0" w:firstRowLastColumn="0" w:lastRowFirstColumn="0" w:lastRowLastColumn="0"/>
        </w:trPr>
        <w:tc>
          <w:tcPr>
            <w:tcW w:w="1951" w:type="dxa"/>
          </w:tcPr>
          <w:p w:rsidR="00FB2F4C" w:rsidRPr="00FB2F4C" w:rsidRDefault="00FB2F4C" w:rsidP="00FB2F4C">
            <w:pPr>
              <w:rPr>
                <w:rStyle w:val="AERtextsize8"/>
              </w:rPr>
            </w:pPr>
            <w:r w:rsidRPr="00F825D9">
              <w:rPr>
                <w:rStyle w:val="AERtextsize8"/>
              </w:rPr>
              <w:t>Our concern about upwards bias in analysts' dividend forecasts is not relevant as the forecasts reflect analysts' implied discount rates</w:t>
            </w:r>
          </w:p>
        </w:tc>
        <w:tc>
          <w:tcPr>
            <w:tcW w:w="6742" w:type="dxa"/>
          </w:tcPr>
          <w:p w:rsidR="00FB2F4C" w:rsidRPr="001566F2" w:rsidRDefault="00FB2F4C" w:rsidP="00FB2F4C">
            <w:pPr>
              <w:numPr>
                <w:ilvl w:val="0"/>
                <w:numId w:val="24"/>
              </w:numPr>
            </w:pPr>
            <w:r w:rsidRPr="00952754">
              <w:t>If analysts’ dividend and price forecasts are biased, it is also plausible that the analysts’ implied return on equity is biased.</w:t>
            </w:r>
            <w:r w:rsidRPr="00B4711B">
              <w:t xml:space="preserve"> McKenzie and Partington also consider that analysts’ forecasts are slow to adjust to changing information.</w:t>
            </w:r>
            <w:r w:rsidRPr="00B4711B">
              <w:rPr>
                <w:rStyle w:val="FootnoteReference"/>
              </w:rPr>
              <w:footnoteReference w:id="231"/>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tc>
      </w:tr>
      <w:tr w:rsidR="00FB2F4C" w:rsidTr="004C5238">
        <w:tc>
          <w:tcPr>
            <w:tcW w:w="1951" w:type="dxa"/>
          </w:tcPr>
          <w:p w:rsidR="00FB2F4C" w:rsidRPr="00FB2F4C" w:rsidRDefault="00FB2F4C" w:rsidP="00FB2F4C">
            <w:pPr>
              <w:rPr>
                <w:rStyle w:val="AERtextsize8"/>
              </w:rPr>
            </w:pPr>
            <w:r w:rsidRPr="00F825D9">
              <w:rPr>
                <w:rStyle w:val="AERtextsize8"/>
              </w:rPr>
              <w:t>NERA's adjustment to historical stock returns is more reliable than the ASX's adjustment</w:t>
            </w:r>
          </w:p>
        </w:tc>
        <w:tc>
          <w:tcPr>
            <w:tcW w:w="6742" w:type="dxa"/>
          </w:tcPr>
          <w:p w:rsidR="00FB2F4C" w:rsidRPr="00FB2F4C" w:rsidRDefault="00FB2F4C" w:rsidP="00FB2F4C">
            <w:r>
              <w:rPr>
                <w:rStyle w:val="AERtextsize8"/>
              </w:rPr>
              <w:t xml:space="preserve">We do not consider </w:t>
            </w:r>
            <w:r w:rsidRPr="00FB2F4C">
              <w:rPr>
                <w:rStyle w:val="AERtextsize8"/>
              </w:rPr>
              <w:t>NERA's adjustment, which is based on less than ten data points out of 300, represents a material improvement in reliability</w:t>
            </w:r>
            <w:r w:rsidRPr="00FB2F4C">
              <w:t xml:space="preserve">. NERA has also not reconciled the data it uses for its adjustment to the data of the original series. Further details of our reasons are in section B.4 of this attachment.   </w:t>
            </w:r>
          </w:p>
        </w:tc>
      </w:tr>
      <w:tr w:rsidR="00FB2F4C" w:rsidTr="004C5238">
        <w:trPr>
          <w:cnfStyle w:val="000000010000" w:firstRow="0" w:lastRow="0" w:firstColumn="0" w:lastColumn="0" w:oddVBand="0" w:evenVBand="0" w:oddHBand="0" w:evenHBand="1" w:firstRowFirstColumn="0" w:firstRowLastColumn="0" w:lastRowFirstColumn="0" w:lastRowLastColumn="0"/>
        </w:trPr>
        <w:tc>
          <w:tcPr>
            <w:tcW w:w="1951" w:type="dxa"/>
          </w:tcPr>
          <w:p w:rsidR="00FB2F4C" w:rsidRPr="00FB2F4C" w:rsidRDefault="00FB2F4C" w:rsidP="00FB2F4C">
            <w:r>
              <w:t>Arithmetic averaging of historical stock returns is more appropriate than geometric averaging</w:t>
            </w:r>
          </w:p>
        </w:tc>
        <w:tc>
          <w:tcPr>
            <w:tcW w:w="6742" w:type="dxa"/>
          </w:tcPr>
          <w:p w:rsidR="00FB2F4C" w:rsidRPr="00FB2F4C" w:rsidRDefault="00FB2F4C" w:rsidP="00FB2F4C">
            <w:pPr>
              <w:rPr>
                <w:rStyle w:val="AERtextsize8"/>
              </w:rPr>
            </w:pPr>
            <w:r>
              <w:t xml:space="preserve">In estimating the </w:t>
            </w:r>
            <w:r w:rsidRPr="00FB2F4C">
              <w:t>market risk premium, we have regard to both arithmetic and geometric average historical excess returns. Partington and Satchell recommended the consideration of both arithmetic and geometric averages, tempered by an understanding of the potential biases in both.</w:t>
            </w:r>
            <w:r w:rsidRPr="00FB2F4C">
              <w:rPr>
                <w:rStyle w:val="FootnoteReference"/>
              </w:rPr>
              <w:footnoteReference w:id="232"/>
            </w:r>
            <w:r w:rsidRPr="00FB2F4C">
              <w:t xml:space="preserve"> Also, they supported this position in their most recent 2016 report.</w:t>
            </w:r>
            <w:r w:rsidRPr="00FB2F4C">
              <w:rPr>
                <w:rStyle w:val="FootnoteReference"/>
              </w:rPr>
              <w:footnoteReference w:id="233"/>
            </w:r>
            <w:r w:rsidRPr="00FB2F4C">
              <w:t xml:space="preserve"> Further details of our reasons are in section C.3 of this attachment.   </w:t>
            </w:r>
          </w:p>
        </w:tc>
      </w:tr>
      <w:tr w:rsidR="00FB2F4C" w:rsidTr="004C5238">
        <w:tc>
          <w:tcPr>
            <w:tcW w:w="1951" w:type="dxa"/>
          </w:tcPr>
          <w:p w:rsidR="00FB2F4C" w:rsidRPr="00FB2F4C" w:rsidRDefault="00FB2F4C" w:rsidP="00FB2F4C">
            <w:r>
              <w:t xml:space="preserve">We should </w:t>
            </w:r>
            <w:r w:rsidRPr="00FB2F4C">
              <w:t>use only the longest sample period, and we should not use overlapping sample periods, when estimating historical stock returns</w:t>
            </w:r>
          </w:p>
        </w:tc>
        <w:tc>
          <w:tcPr>
            <w:tcW w:w="6742" w:type="dxa"/>
          </w:tcPr>
          <w:p w:rsidR="00FB2F4C" w:rsidRPr="00FB2F4C" w:rsidRDefault="00FB2F4C" w:rsidP="00FB2F4C">
            <w:pPr>
              <w:rPr>
                <w:rStyle w:val="AERtextsize8"/>
              </w:rPr>
            </w:pPr>
            <w:r w:rsidRPr="006B7989">
              <w:rPr>
                <w:rStyle w:val="AERtextsize8"/>
              </w:rPr>
              <w:t xml:space="preserve">Partington and Satchell </w:t>
            </w:r>
            <w:r w:rsidRPr="00FB2F4C">
              <w:rPr>
                <w:rStyle w:val="AERtextsize8"/>
              </w:rPr>
              <w:t>considered that, although it reduces the precision of the estimates, there are reasons for using multiple sampling periods, such as possible structural breaks in the data and issues regarding data quality.</w:t>
            </w:r>
            <w:r w:rsidRPr="00FB2F4C">
              <w:rPr>
                <w:rStyle w:val="FootnoteReference"/>
              </w:rPr>
              <w:footnoteReference w:id="234"/>
            </w:r>
            <w:r w:rsidRPr="00FB2F4C">
              <w:rPr>
                <w:rStyle w:val="AERtextsize8"/>
              </w:rPr>
              <w:t xml:space="preserve"> We consider that concerns about data quality become increasingly important the further back into the past one looks. We have regard to five sampling periods because each has different strengths and weaknesses. Further detail of our reasons can be found in section C.1.2 of Attachment 3 to our </w:t>
            </w:r>
            <w:r>
              <w:rPr>
                <w:rStyle w:val="AERtextsize8"/>
              </w:rPr>
              <w:t>draft</w:t>
            </w:r>
            <w:r w:rsidRPr="00FB2F4C">
              <w:rPr>
                <w:rStyle w:val="AERtextsize8"/>
              </w:rPr>
              <w:t xml:space="preserve"> decision.</w:t>
            </w:r>
          </w:p>
        </w:tc>
      </w:tr>
      <w:tr w:rsidR="00FB2F4C" w:rsidTr="004C5238">
        <w:trPr>
          <w:cnfStyle w:val="000000010000" w:firstRow="0" w:lastRow="0" w:firstColumn="0" w:lastColumn="0" w:oddVBand="0" w:evenVBand="0" w:oddHBand="0" w:evenHBand="1" w:firstRowFirstColumn="0" w:firstRowLastColumn="0" w:lastRowFirstColumn="0" w:lastRowLastColumn="0"/>
        </w:trPr>
        <w:tc>
          <w:tcPr>
            <w:tcW w:w="1951" w:type="dxa"/>
          </w:tcPr>
          <w:p w:rsidR="00FB2F4C" w:rsidRPr="00FB2F4C" w:rsidRDefault="00FB2F4C" w:rsidP="00FB2F4C">
            <w:r>
              <w:t xml:space="preserve">SFG's method for adjusting dividend imputation </w:t>
            </w:r>
            <w:r w:rsidRPr="00FB2F4C">
              <w:t xml:space="preserve">is </w:t>
            </w:r>
            <w:r w:rsidRPr="00FB2F4C">
              <w:rPr>
                <w:rStyle w:val="AERtextsize8"/>
              </w:rPr>
              <w:t>more consistent with how we adjust for imputation credits in the post-tax revenue model.</w:t>
            </w:r>
            <w:r w:rsidRPr="00FB2F4C">
              <w:rPr>
                <w:rStyle w:val="FootnoteReference"/>
              </w:rPr>
              <w:footnoteReference w:id="235"/>
            </w:r>
          </w:p>
        </w:tc>
        <w:tc>
          <w:tcPr>
            <w:tcW w:w="6742" w:type="dxa"/>
          </w:tcPr>
          <w:p w:rsidR="00FB2F4C" w:rsidRPr="00DB0499" w:rsidRDefault="00FB2F4C" w:rsidP="00FB2F4C">
            <w:pPr>
              <w:numPr>
                <w:ilvl w:val="0"/>
                <w:numId w:val="24"/>
              </w:numPr>
              <w:rPr>
                <w:rStyle w:val="AERtextsize8"/>
              </w:rPr>
            </w:pPr>
            <w:r w:rsidRPr="006B7989">
              <w:rPr>
                <w:rStyle w:val="AERtextsize8"/>
              </w:rPr>
              <w:t>We d</w:t>
            </w:r>
            <w:r>
              <w:rPr>
                <w:rStyle w:val="AERtextsize8"/>
              </w:rPr>
              <w:t>o</w:t>
            </w:r>
            <w:r w:rsidRPr="006B7989">
              <w:rPr>
                <w:rStyle w:val="AERtextsize8"/>
              </w:rPr>
              <w:t xml:space="preserve"> not agree</w:t>
            </w:r>
            <w:r>
              <w:rPr>
                <w:rStyle w:val="AERtextsize8"/>
              </w:rPr>
              <w:t xml:space="preserve"> that there is a consistency issue between our imputation adjustment approach and the post-tax revenue model.</w:t>
            </w:r>
            <w:r w:rsidRPr="006B7989">
              <w:rPr>
                <w:rStyle w:val="AERtextsize8"/>
              </w:rPr>
              <w:t xml:space="preserve"> </w:t>
            </w:r>
            <w:r>
              <w:rPr>
                <w:rStyle w:val="AERtextsize8"/>
              </w:rPr>
              <w:t>We also consider that SFG's method is likely to overestimate the market risk premium as it assumes returns are provided entirely from dividends. Further detail of our reasons can be found in section C.6 of Attachment 3 to our draft decision.</w:t>
            </w:r>
            <w:r w:rsidRPr="00952754">
              <w:rPr>
                <w:rStyle w:val="AERtextsize8"/>
              </w:rPr>
              <w:t xml:space="preserve"> </w:t>
            </w:r>
          </w:p>
        </w:tc>
      </w:tr>
      <w:tr w:rsidR="00FB2F4C" w:rsidTr="004C5238">
        <w:tc>
          <w:tcPr>
            <w:tcW w:w="1951" w:type="dxa"/>
          </w:tcPr>
          <w:p w:rsidR="00FB2F4C" w:rsidRPr="00FB2F4C" w:rsidRDefault="00FB2F4C" w:rsidP="00FB2F4C">
            <w:r>
              <w:t>We arbitrarily adjust</w:t>
            </w:r>
            <w:r w:rsidRPr="00FB2F4C">
              <w:t xml:space="preserve"> the long-term dividend growth rate used in our dividend growth model</w:t>
            </w:r>
          </w:p>
        </w:tc>
        <w:tc>
          <w:tcPr>
            <w:tcW w:w="6742" w:type="dxa"/>
          </w:tcPr>
          <w:p w:rsidR="00FB2F4C" w:rsidRPr="00FB2F4C" w:rsidRDefault="00FB2F4C" w:rsidP="00FB2F4C">
            <w:r>
              <w:t xml:space="preserve">We use the long-term growth rate in real </w:t>
            </w:r>
            <w:r w:rsidRPr="00FB2F4C">
              <w:t>gross domestic product (GDP) as a proxy for the long-term growth rate in dividends. To get an estimate of long-term growth in dividends per share, we adjust the long-term growth rate in real GDP (dividends) downwards to account for the net creation of new shares through share issuances and new companies. The size of our adjustment is not arbitrary but based on the available evidence. F</w:t>
            </w:r>
            <w:r w:rsidRPr="00FB2F4C">
              <w:rPr>
                <w:rStyle w:val="AERtextsize8"/>
              </w:rPr>
              <w:t xml:space="preserve">urther detail of our reasons can be found in section B.2.1 of Attachment 3 to our </w:t>
            </w:r>
            <w:r>
              <w:rPr>
                <w:rStyle w:val="AERtextsize8"/>
              </w:rPr>
              <w:t>draft</w:t>
            </w:r>
            <w:r w:rsidRPr="00FB2F4C">
              <w:rPr>
                <w:rStyle w:val="AERtextsize8"/>
              </w:rPr>
              <w:t xml:space="preserve"> decision.</w:t>
            </w:r>
          </w:p>
        </w:tc>
      </w:tr>
    </w:tbl>
    <w:p w:rsidR="006A1FD6" w:rsidRPr="0032489B" w:rsidRDefault="006A1FD6" w:rsidP="006A1FD6">
      <w:pPr>
        <w:pStyle w:val="HeadingBoldBlue"/>
        <w:numPr>
          <w:ilvl w:val="0"/>
          <w:numId w:val="24"/>
        </w:numPr>
        <w:rPr>
          <w:rStyle w:val="AERtextorange"/>
        </w:rPr>
      </w:pPr>
      <w:bookmarkStart w:id="67" w:name="_Toc443923184"/>
      <w:r>
        <w:rPr>
          <w:rStyle w:val="AERtextorange"/>
        </w:rPr>
        <w:t>Estimating equity beta</w:t>
      </w:r>
      <w:bookmarkEnd w:id="67"/>
    </w:p>
    <w:p w:rsidR="006A1FD6" w:rsidRDefault="006A1FD6" w:rsidP="006A1FD6">
      <w:pPr>
        <w:numPr>
          <w:ilvl w:val="0"/>
          <w:numId w:val="24"/>
        </w:numPr>
        <w:rPr>
          <w:rStyle w:val="AERbody"/>
        </w:rPr>
      </w:pPr>
      <w:r>
        <w:t>E</w:t>
      </w:r>
      <w:r w:rsidRPr="003A198B">
        <w:t xml:space="preserve">quity beta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236"/>
      </w:r>
      <w:r>
        <w:t xml:space="preserve"> </w:t>
      </w:r>
    </w:p>
    <w:p w:rsidR="006A1FD6" w:rsidRDefault="006A1FD6" w:rsidP="006A1FD6">
      <w:pPr>
        <w:numPr>
          <w:ilvl w:val="0"/>
          <w:numId w:val="24"/>
        </w:numPr>
      </w:pPr>
      <w:r w:rsidRPr="003A198B">
        <w:rPr>
          <w:rStyle w:val="AERbody"/>
        </w:rPr>
        <w:t>We adopt an equity beta point estimate of 0.7 from a range of 0.4 to 0.7</w:t>
      </w:r>
      <w:r w:rsidRPr="00B90B7A">
        <w:rPr>
          <w:rStyle w:val="AERbody"/>
        </w:rPr>
        <w:t xml:space="preserve">. </w:t>
      </w:r>
      <w:r>
        <w:rPr>
          <w:rStyle w:val="AERbody"/>
        </w:rPr>
        <w:t>Our equity beta estimate is required to be commensurate with a similar degree of risk as that which applies to ActewAGL's provision of regulated gas pipeline services.</w:t>
      </w:r>
      <w:r>
        <w:rPr>
          <w:rStyle w:val="FootnoteReference"/>
        </w:rPr>
        <w:footnoteReference w:id="237"/>
      </w:r>
      <w:r>
        <w:rPr>
          <w:rStyle w:val="AERbody"/>
        </w:rPr>
        <w:t xml:space="preserve"> </w:t>
      </w:r>
      <w:r w:rsidRPr="00B90B7A">
        <w:rPr>
          <w:rStyle w:val="AERbody"/>
        </w:rPr>
        <w:t xml:space="preserve">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w:t>
      </w:r>
      <w:r>
        <w:rPr>
          <w:rStyle w:val="AERbody"/>
        </w:rPr>
        <w:t>reflects a similar degree of</w:t>
      </w:r>
      <w:r w:rsidRPr="00B90B7A">
        <w:rPr>
          <w:rStyle w:val="AERbody"/>
        </w:rPr>
        <w:t xml:space="preserve"> systematic risk a</w:t>
      </w:r>
      <w:r>
        <w:rPr>
          <w:rStyle w:val="AERbody"/>
        </w:rPr>
        <w:t>s</w:t>
      </w:r>
      <w:r w:rsidRPr="00B90B7A">
        <w:rPr>
          <w:rStyle w:val="AERbody"/>
        </w:rPr>
        <w:t xml:space="preserve"> </w:t>
      </w:r>
      <w:r>
        <w:rPr>
          <w:rStyle w:val="AERbody"/>
        </w:rPr>
        <w:t>ActewAGL</w:t>
      </w:r>
      <w:r w:rsidRPr="00B90B7A">
        <w:rPr>
          <w:rStyle w:val="AERbody"/>
        </w:rPr>
        <w:t xml:space="preserve"> is exposed to </w:t>
      </w:r>
      <w:r>
        <w:rPr>
          <w:rStyle w:val="AERbody"/>
        </w:rPr>
        <w:t>in providing regulated services</w:t>
      </w:r>
      <w:r w:rsidRPr="00B90B7A">
        <w:rPr>
          <w:rStyle w:val="AERbody"/>
        </w:rPr>
        <w:t>.</w:t>
      </w:r>
      <w:r w:rsidRPr="00A71CB9">
        <w:t xml:space="preserve"> </w:t>
      </w:r>
      <w:r>
        <w:t>We hold this view because:</w:t>
      </w:r>
    </w:p>
    <w:p w:rsidR="006A1FD6" w:rsidRPr="00176D8B" w:rsidRDefault="006A1FD6" w:rsidP="006A1FD6">
      <w:pPr>
        <w:pStyle w:val="AERbulletlistfirststyle"/>
      </w:pPr>
      <w:r>
        <w:t xml:space="preserve">Our range and point estimate are based on direct measurements (that is, empirical estimates) of the equity beta that businesses with a similar degree of risk as ActewAGL </w:t>
      </w:r>
      <w:r w:rsidRPr="00176D8B">
        <w:t xml:space="preserve">have exhibited in the past. We consider these are reliable indicators of the prevailing, forward-looking equity beta for an efficient business (or benchmark efficient entity) with a similar degree of risk as </w:t>
      </w:r>
      <w:r>
        <w:t>ActewAGL</w:t>
      </w:r>
      <w:r w:rsidRPr="00176D8B">
        <w:t xml:space="preserve">. </w:t>
      </w:r>
    </w:p>
    <w:p w:rsidR="006A1FD6" w:rsidRPr="00176D8B" w:rsidRDefault="006A1FD6" w:rsidP="006A1FD6">
      <w:pPr>
        <w:pStyle w:val="AERbulletlistfirststyle"/>
        <w:rPr>
          <w:rStyle w:val="AERbody"/>
        </w:rPr>
      </w:pPr>
      <w:r>
        <w:t>Our range</w:t>
      </w:r>
      <w:r w:rsidRPr="00176D8B">
        <w:rPr>
          <w:rStyle w:val="AERbody"/>
        </w:rPr>
        <w:t xml:space="preserve"> and point estimate are consistent with our conceptual analysis. This suggests the systematic risk of </w:t>
      </w:r>
      <w:r>
        <w:rPr>
          <w:rStyle w:val="AERbody"/>
        </w:rPr>
        <w:t>ActewAGL</w:t>
      </w:r>
      <w:r w:rsidRPr="00176D8B">
        <w:rPr>
          <w:rStyle w:val="FootnoteReference"/>
        </w:rPr>
        <w:footnoteReference w:id="238"/>
      </w:r>
      <w:r w:rsidRPr="00176D8B">
        <w:rPr>
          <w:rStyle w:val="AERbody"/>
        </w:rPr>
        <w:t xml:space="preserve"> would be less than the systematic risk of the market as a whole (that is, its equity beta would be less than 1.0). Our conceptual analysis is supported by McKenzie and Partington.</w:t>
      </w:r>
      <w:r w:rsidRPr="00176D8B">
        <w:rPr>
          <w:rStyle w:val="FootnoteReference"/>
        </w:rPr>
        <w:footnoteReference w:id="239"/>
      </w:r>
    </w:p>
    <w:p w:rsidR="006A1FD6" w:rsidRPr="00176D8B" w:rsidRDefault="006A1FD6" w:rsidP="006A1FD6">
      <w:pPr>
        <w:pStyle w:val="AERbulletlistfirststyle"/>
        <w:rPr>
          <w:rStyle w:val="AERbody"/>
        </w:rPr>
      </w:pPr>
      <w:r>
        <w:rPr>
          <w:rStyle w:val="AERbody"/>
        </w:rPr>
        <w:t xml:space="preserve">The </w:t>
      </w:r>
      <w:r w:rsidRPr="00176D8B">
        <w:rPr>
          <w:rStyle w:val="AERbody"/>
        </w:rPr>
        <w:t xml:space="preserve">theoretical principles underpinning the Black CAPM are reasonably consistent with an equity beta towards the upper end of our range. For firms with an equity beta below 1.0, the Black CAPM theory may support using a higher equity beta than those estimated from businesses with a similar degree of risk as </w:t>
      </w:r>
      <w:r>
        <w:rPr>
          <w:rStyle w:val="AERbody"/>
        </w:rPr>
        <w:t>ActewAGL</w:t>
      </w:r>
      <w:r w:rsidRPr="00176D8B">
        <w:rPr>
          <w:rStyle w:val="AERbody"/>
        </w:rPr>
        <w:t xml:space="preserve"> when used within a Sharpe-Lintner CAPM. This is a result of the Black CAPM relaxing an assumption underlying the Sharpe-Lintner CAPM, which allows for unlimited borrowing and lending at the risk free rate.</w:t>
      </w:r>
      <w:r w:rsidRPr="00176D8B">
        <w:rPr>
          <w:rStyle w:val="FootnoteReference"/>
        </w:rPr>
        <w:footnoteReference w:id="240"/>
      </w:r>
      <w:r w:rsidRPr="00176D8B">
        <w:rPr>
          <w:rStyle w:val="AERbody"/>
        </w:rPr>
        <w:t xml:space="preserve"> However, we do not consider the theory underlying the Black CAPM warrants a specific uplift or adjustment to the equity beta point estimate. The reasons for our use of the Black CAPM theory are set out in more detail in section</w:t>
      </w:r>
      <w:r w:rsidR="00F81198">
        <w:rPr>
          <w:rStyle w:val="AERbody"/>
        </w:rPr>
        <w:t xml:space="preserve"> </w:t>
      </w:r>
      <w:r w:rsidR="00F81198">
        <w:rPr>
          <w:rStyle w:val="AERbody"/>
        </w:rPr>
        <w:fldChar w:fldCharType="begin"/>
      </w:r>
      <w:r w:rsidR="00F81198">
        <w:rPr>
          <w:rStyle w:val="AERbody"/>
        </w:rPr>
        <w:instrText xml:space="preserve"> REF _Ref448924785 \r \h </w:instrText>
      </w:r>
      <w:r w:rsidR="00F81198">
        <w:rPr>
          <w:rStyle w:val="AERbody"/>
        </w:rPr>
      </w:r>
      <w:r w:rsidR="00F81198">
        <w:rPr>
          <w:rStyle w:val="AERbody"/>
        </w:rPr>
        <w:fldChar w:fldCharType="separate"/>
      </w:r>
      <w:r w:rsidR="001A023B">
        <w:rPr>
          <w:rStyle w:val="AERbody"/>
        </w:rPr>
        <w:t>B.2.3</w:t>
      </w:r>
      <w:r w:rsidR="00F81198">
        <w:rPr>
          <w:rStyle w:val="AERbody"/>
        </w:rPr>
        <w:fldChar w:fldCharType="end"/>
      </w:r>
      <w:r w:rsidRPr="00176D8B">
        <w:rPr>
          <w:rStyle w:val="AERbody"/>
        </w:rPr>
        <w:t>.</w:t>
      </w:r>
    </w:p>
    <w:p w:rsidR="006A1FD6" w:rsidRPr="00176D8B" w:rsidRDefault="006A1FD6" w:rsidP="006A1FD6">
      <w:pPr>
        <w:pStyle w:val="AERbulletlistfirststyle"/>
      </w:pPr>
      <w:r>
        <w:rPr>
          <w:rStyle w:val="AERbody"/>
        </w:rPr>
        <w:t>W</w:t>
      </w:r>
      <w:r w:rsidRPr="00176D8B">
        <w:rPr>
          <w:rStyle w:val="AERbody"/>
        </w:rPr>
        <w:t xml:space="preserve">e recognise the importance of providing stakeholders with transparency and predictability in our rate of return decisions, which we consider is consistent with the achievement of the </w:t>
      </w:r>
      <w:r w:rsidR="00270CE2">
        <w:t>ARORO</w:t>
      </w:r>
      <w:r w:rsidRPr="00176D8B">
        <w:rPr>
          <w:rStyle w:val="AERbody"/>
        </w:rPr>
        <w:t>.</w:t>
      </w:r>
      <w:r w:rsidRPr="00176D8B">
        <w:rPr>
          <w:rStyle w:val="FootnoteReference"/>
        </w:rPr>
        <w:footnoteReference w:id="241"/>
      </w:r>
      <w:r w:rsidRPr="00176D8B">
        <w:rPr>
          <w:rStyle w:val="AERbody"/>
        </w:rPr>
        <w:t xml:space="preserve"> In this context, a point estimate of 0.7 is consistent with our Guideline (which was developed following extensive consultation) and is a modest step down from previous regulatory determinations.</w:t>
      </w:r>
      <w:r w:rsidRPr="00176D8B">
        <w:rPr>
          <w:rStyle w:val="FootnoteReference"/>
        </w:rPr>
        <w:footnoteReference w:id="242"/>
      </w:r>
      <w:r w:rsidRPr="00176D8B">
        <w:rPr>
          <w:rStyle w:val="AERbody"/>
        </w:rPr>
        <w:t xml:space="preserve"> It also recognises the uncertainty inherent in estimating unobservable parameters, such as the equity beta for a benchmark efficient entity.</w:t>
      </w:r>
    </w:p>
    <w:p w:rsidR="006A1FD6" w:rsidRDefault="006A1FD6" w:rsidP="006A1FD6">
      <w:r>
        <w:t xml:space="preserve">Our direct measurements of the equity beta for businesses with a similar degree of risk as ActewAGL are primarily </w:t>
      </w:r>
      <w:r w:rsidRPr="00B90B7A">
        <w:rPr>
          <w:rStyle w:val="AERbody"/>
        </w:rPr>
        <w:t xml:space="preserve">based on </w:t>
      </w:r>
      <w:r>
        <w:t xml:space="preserve">an expert report from Professor Olan Henry (Henry), which uses data for </w:t>
      </w:r>
      <w:r w:rsidRPr="00B90B7A">
        <w:rPr>
          <w:rStyle w:val="AERbody"/>
        </w:rPr>
        <w:t xml:space="preserve">a set of Australian energy </w:t>
      </w:r>
      <w:r>
        <w:rPr>
          <w:rStyle w:val="AERbody"/>
        </w:rPr>
        <w:t>network</w:t>
      </w:r>
      <w:r w:rsidRPr="00B90B7A">
        <w:rPr>
          <w:rStyle w:val="AERbody"/>
        </w:rPr>
        <w:t xml:space="preserve"> </w:t>
      </w:r>
      <w:r>
        <w:rPr>
          <w:rStyle w:val="AERbody"/>
        </w:rPr>
        <w:t>businesses</w:t>
      </w:r>
      <w:r w:rsidRPr="00B90B7A">
        <w:rPr>
          <w:rStyle w:val="AERbody"/>
        </w:rPr>
        <w:t xml:space="preserve"> </w:t>
      </w:r>
      <w:r>
        <w:t>up to 28 June 2013.</w:t>
      </w:r>
      <w:r>
        <w:rPr>
          <w:rStyle w:val="FootnoteReference"/>
        </w:rPr>
        <w:footnoteReference w:id="243"/>
      </w:r>
      <w:r>
        <w:t xml:space="preserve"> We also consider a number of other empirical studies of the equity beta of Australian energy network businesses. These empirical studies show a consistent pattern of equity beta estimates that is robust to the use of different econometric methods and time periods. From 2002 to 2014, these empirical studies present equity beta estimates that converge on the range of 0.4 to 0.7.</w:t>
      </w:r>
      <w:r>
        <w:rPr>
          <w:rStyle w:val="FootnoteReference"/>
        </w:rPr>
        <w:footnoteReference w:id="244"/>
      </w:r>
      <w:r>
        <w:t xml:space="preserve"> We also consider recent equity beta estimates for international energy businesses, which range from 0.3 to 1.0. However, the pattern of international estimates is not consistent and we consider international businesses are less likely than Australian businesses to have a similar degree of systematic risk as ActewAGL. More information on empirical estimates can be found in section</w:t>
      </w:r>
      <w:r w:rsidR="00F81198">
        <w:t xml:space="preserve"> </w:t>
      </w:r>
      <w:r w:rsidR="00F81198">
        <w:fldChar w:fldCharType="begin"/>
      </w:r>
      <w:r w:rsidR="00F81198">
        <w:instrText xml:space="preserve"> REF _Ref451689189 \r \h </w:instrText>
      </w:r>
      <w:r w:rsidR="00F81198">
        <w:fldChar w:fldCharType="separate"/>
      </w:r>
      <w:r w:rsidR="001A023B">
        <w:t>G</w:t>
      </w:r>
      <w:r w:rsidR="00F81198">
        <w:fldChar w:fldCharType="end"/>
      </w:r>
      <w:r>
        <w:t>.</w:t>
      </w:r>
    </w:p>
    <w:p w:rsidR="006A1FD6" w:rsidRPr="002D3111" w:rsidRDefault="006A1FD6" w:rsidP="006A1FD6">
      <w:pPr>
        <w:rPr>
          <w:rStyle w:val="AERbody"/>
        </w:rPr>
      </w:pPr>
      <w:r w:rsidDel="00246056">
        <w:rPr>
          <w:rStyle w:val="AERbody"/>
        </w:rPr>
        <w:t xml:space="preserve">We </w:t>
      </w:r>
      <w:r w:rsidRPr="002D3111" w:rsidDel="00246056">
        <w:rPr>
          <w:rStyle w:val="AERbody"/>
        </w:rPr>
        <w:t xml:space="preserve">consider the evidence in Henry's 2014 report suggests a best empirical estimate </w:t>
      </w:r>
      <w:r w:rsidDel="00246056">
        <w:rPr>
          <w:rStyle w:val="AERbody"/>
        </w:rPr>
        <w:t xml:space="preserve">for the equity beta </w:t>
      </w:r>
      <w:r w:rsidRPr="002D3111" w:rsidDel="00246056">
        <w:rPr>
          <w:rStyle w:val="AERbody"/>
        </w:rPr>
        <w:t xml:space="preserve">of approximately 0.5. </w:t>
      </w:r>
      <w:r w:rsidRPr="002D3111">
        <w:rPr>
          <w:rStyle w:val="AERbody"/>
        </w:rPr>
        <w:t xml:space="preserve">However, </w:t>
      </w:r>
      <w:r>
        <w:rPr>
          <w:rStyle w:val="AERbody"/>
        </w:rPr>
        <w:t>we consider that the international estimates, in conjunction with considerations of the Black CAPM and investor certainty (as discussed above), support a higher estimate and an estimate at the upper end of our range.</w:t>
      </w:r>
      <w:r>
        <w:rPr>
          <w:rStyle w:val="FootnoteReference"/>
        </w:rPr>
        <w:footnoteReference w:id="245"/>
      </w:r>
      <w:r>
        <w:rPr>
          <w:rStyle w:val="AERbody"/>
        </w:rPr>
        <w:t xml:space="preserve"> </w:t>
      </w:r>
      <w:r w:rsidRPr="002D3111">
        <w:t xml:space="preserve">Our equity beta point estimate </w:t>
      </w:r>
      <w:r>
        <w:t xml:space="preserve">also </w:t>
      </w:r>
      <w:r w:rsidRPr="002D3111">
        <w:t>provides a balanced outcome given the submissions by stakeholders and services providers</w:t>
      </w:r>
      <w:r>
        <w:t xml:space="preserve">, as shown in </w:t>
      </w:r>
      <w:r>
        <w:fldChar w:fldCharType="begin"/>
      </w:r>
      <w:r>
        <w:instrText xml:space="preserve"> REF  _Ref401235334 \* Lower \h </w:instrText>
      </w:r>
      <w:r>
        <w:fldChar w:fldCharType="separate"/>
      </w:r>
      <w:r w:rsidR="001A023B">
        <w:t xml:space="preserve">figure </w:t>
      </w:r>
      <w:r w:rsidR="001A023B">
        <w:rPr>
          <w:noProof/>
        </w:rPr>
        <w:t>3</w:t>
      </w:r>
      <w:r w:rsidR="001A023B">
        <w:noBreakHyphen/>
      </w:r>
      <w:r w:rsidR="001A023B">
        <w:rPr>
          <w:noProof/>
        </w:rPr>
        <w:t>4</w:t>
      </w:r>
      <w:r>
        <w:fldChar w:fldCharType="end"/>
      </w:r>
      <w:r>
        <w:t xml:space="preserve">. </w:t>
      </w:r>
    </w:p>
    <w:p w:rsidR="006A1FD6" w:rsidRDefault="006A1FD6" w:rsidP="001A023B">
      <w:pPr>
        <w:pStyle w:val="Caption"/>
      </w:pPr>
      <w:bookmarkStart w:id="68" w:name="_Ref401235334"/>
      <w:r>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4</w:t>
      </w:r>
      <w:r w:rsidR="00120312">
        <w:rPr>
          <w:noProof/>
        </w:rPr>
        <w:fldChar w:fldCharType="end"/>
      </w:r>
      <w:bookmarkEnd w:id="68"/>
      <w:r>
        <w:tab/>
        <w:t xml:space="preserve">Submissions on the value of the equity beta </w:t>
      </w:r>
    </w:p>
    <w:p w:rsidR="006A1FD6" w:rsidRPr="00812033" w:rsidRDefault="006A1FD6" w:rsidP="00BB7AE6">
      <w:pPr>
        <w:keepNext/>
        <w:numPr>
          <w:ilvl w:val="0"/>
          <w:numId w:val="24"/>
        </w:numPr>
        <w:rPr>
          <w:rStyle w:val="AERbody"/>
          <w:b/>
          <w:bCs/>
          <w:szCs w:val="18"/>
        </w:rPr>
      </w:pPr>
      <w:r w:rsidRPr="00176D8B">
        <w:rPr>
          <w:noProof/>
          <w:lang w:eastAsia="en-AU"/>
        </w:rPr>
        <w:drawing>
          <wp:inline distT="0" distB="0" distL="0" distR="0" wp14:anchorId="4D94B829" wp14:editId="5D69D383">
            <wp:extent cx="5382895" cy="322293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3222934"/>
                    </a:xfrm>
                    <a:prstGeom prst="rect">
                      <a:avLst/>
                    </a:prstGeom>
                    <a:noFill/>
                    <a:ln>
                      <a:noFill/>
                    </a:ln>
                  </pic:spPr>
                </pic:pic>
              </a:graphicData>
            </a:graphic>
          </wp:inline>
        </w:drawing>
      </w:r>
    </w:p>
    <w:p w:rsidR="006A1FD6" w:rsidRPr="00F474B9" w:rsidRDefault="006A1FD6" w:rsidP="00BB7AE6">
      <w:pPr>
        <w:pStyle w:val="AERtablesource"/>
        <w:keepNext/>
      </w:pPr>
      <w:r>
        <w:t>Source:</w:t>
      </w:r>
      <w:r>
        <w:tab/>
      </w:r>
      <w:r w:rsidRPr="00F474B9">
        <w:t>AER analysis</w:t>
      </w:r>
      <w:r w:rsidRPr="00F474B9">
        <w:rPr>
          <w:rStyle w:val="FootnoteReference"/>
        </w:rPr>
        <w:footnoteReference w:id="246"/>
      </w:r>
    </w:p>
    <w:p w:rsidR="006A1FD6" w:rsidRDefault="006A1FD6" w:rsidP="00BB7AE6">
      <w:pPr>
        <w:pStyle w:val="AERtablesource"/>
        <w:keepNext/>
      </w:pPr>
      <w:r w:rsidRPr="00F474B9">
        <w:t>Note:</w:t>
      </w:r>
      <w:r w:rsidRPr="00F474B9">
        <w:tab/>
        <w:t>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the CCP's submission and the upper bound is based on Origin's submission. The SFG 2015 and 2016 range lower bound is based on SFG/Frontier's regression analysis of Australian and US firms (submitted under a multiple model approach for the return on equity) and the upper bound is based on SFG/Frontier's multiple model based equity beta estimates (under its alternative ‘foundation model' approaches for the return on equity)</w:t>
      </w:r>
      <w:r w:rsidRPr="00817DDD">
        <w:t>.</w:t>
      </w:r>
      <w:r w:rsidRPr="00A71CB9">
        <w:t xml:space="preserve"> </w:t>
      </w:r>
    </w:p>
    <w:p w:rsidR="006A1FD6" w:rsidRDefault="006A1FD6" w:rsidP="006A1FD6">
      <w:pPr>
        <w:numPr>
          <w:ilvl w:val="0"/>
          <w:numId w:val="24"/>
        </w:numPr>
      </w:pPr>
      <w:r>
        <w:t xml:space="preserve">We note </w:t>
      </w:r>
      <w:r w:rsidRPr="00010BCE">
        <w:t>th</w:t>
      </w:r>
      <w:r>
        <w:t>at</w:t>
      </w:r>
      <w:r w:rsidRPr="00010BCE">
        <w:t xml:space="preserve"> </w:t>
      </w:r>
      <w:r>
        <w:t>some stakeholders</w:t>
      </w:r>
      <w:r w:rsidRPr="00010BCE">
        <w:t xml:space="preserve">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or that we made inappropriate methodological choices in our empirical analysis</w:t>
      </w:r>
      <w:r w:rsidRPr="00010BCE">
        <w:t xml:space="preserve">. </w:t>
      </w:r>
      <w:r>
        <w:fldChar w:fldCharType="begin"/>
      </w:r>
      <w:r>
        <w:instrText xml:space="preserve"> REF _Ref446189883 \h </w:instrText>
      </w:r>
      <w:r>
        <w:fldChar w:fldCharType="separate"/>
      </w:r>
      <w:r w:rsidR="001A023B">
        <w:t xml:space="preserve">Table </w:t>
      </w:r>
      <w:r w:rsidR="001A023B">
        <w:rPr>
          <w:noProof/>
        </w:rPr>
        <w:t>3</w:t>
      </w:r>
      <w:r w:rsidR="001A023B">
        <w:noBreakHyphen/>
      </w:r>
      <w:r w:rsidR="001A023B">
        <w:rPr>
          <w:noProof/>
        </w:rPr>
        <w:t>6</w:t>
      </w:r>
      <w:r>
        <w:fldChar w:fldCharType="end"/>
      </w:r>
      <w:r>
        <w:t xml:space="preserve"> sets out stakeholder views on our use of relevant material. We also note that</w:t>
      </w:r>
      <w:r w:rsidRPr="00F95DFD">
        <w:t xml:space="preserve"> </w:t>
      </w:r>
      <w:r>
        <w:t>Partington and Satchell, having reviewed the relevant submissions, continue to support our foundation model approach.</w:t>
      </w:r>
      <w:r>
        <w:rPr>
          <w:rStyle w:val="FootnoteReference"/>
        </w:rPr>
        <w:footnoteReference w:id="247"/>
      </w:r>
      <w:r>
        <w:t xml:space="preserve"> </w:t>
      </w:r>
    </w:p>
    <w:p w:rsidR="006A1FD6" w:rsidRDefault="006A1FD6" w:rsidP="006A1FD6">
      <w:pPr>
        <w:numPr>
          <w:ilvl w:val="0"/>
          <w:numId w:val="24"/>
        </w:numPr>
      </w:pPr>
      <w:r w:rsidRPr="00B005DF">
        <w:t xml:space="preserve">Having considered the overall information and </w:t>
      </w:r>
      <w:r>
        <w:t xml:space="preserve">all </w:t>
      </w:r>
      <w:r w:rsidRPr="00B005DF">
        <w:t xml:space="preserve">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rsidR="00270CE2">
        <w:t>ARORO</w:t>
      </w:r>
      <w:r w:rsidRPr="00B005DF">
        <w:t xml:space="preserve">. </w:t>
      </w:r>
      <w:r>
        <w:t xml:space="preserve"> We are satisfied that an equity beta of 0.7 will contribute to the achievement of the </w:t>
      </w:r>
      <w:r w:rsidR="00270CE2">
        <w:t xml:space="preserve">ARORO </w:t>
      </w:r>
      <w:r>
        <w:t>and the NGO.</w:t>
      </w:r>
      <w:r>
        <w:rPr>
          <w:rStyle w:val="FootnoteReference"/>
        </w:rPr>
        <w:footnoteReference w:id="248"/>
      </w:r>
    </w:p>
    <w:p w:rsidR="006A1FD6" w:rsidRDefault="006A1FD6" w:rsidP="006A1FD6">
      <w:pPr>
        <w:pStyle w:val="Caption"/>
      </w:pPr>
      <w:bookmarkStart w:id="69" w:name="_Ref446189883"/>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6</w:t>
      </w:r>
      <w:r w:rsidR="00120312">
        <w:rPr>
          <w:noProof/>
        </w:rPr>
        <w:fldChar w:fldCharType="end"/>
      </w:r>
      <w:bookmarkEnd w:id="69"/>
      <w:r>
        <w:tab/>
        <w:t>I</w:t>
      </w:r>
      <w:r w:rsidRPr="00C73E51">
        <w:t xml:space="preserve">ssues </w:t>
      </w:r>
      <w:r>
        <w:t>raised on</w:t>
      </w:r>
      <w:r w:rsidRPr="00C73E51">
        <w:t xml:space="preserve"> </w:t>
      </w:r>
      <w:r>
        <w:t>the estimation of</w:t>
      </w:r>
      <w:r w:rsidRPr="00C73E51">
        <w:t xml:space="preserve"> </w:t>
      </w:r>
      <w:r>
        <w:t>equity beta</w:t>
      </w:r>
    </w:p>
    <w:tbl>
      <w:tblPr>
        <w:tblStyle w:val="AERtable-text0"/>
        <w:tblW w:w="0" w:type="auto"/>
        <w:tblLook w:val="04A0" w:firstRow="1" w:lastRow="0" w:firstColumn="1" w:lastColumn="0" w:noHBand="0" w:noVBand="1"/>
      </w:tblPr>
      <w:tblGrid>
        <w:gridCol w:w="3510"/>
        <w:gridCol w:w="5183"/>
      </w:tblGrid>
      <w:tr w:rsidR="006A1FD6" w:rsidTr="00BB7AE6">
        <w:trPr>
          <w:cnfStyle w:val="100000000000" w:firstRow="1" w:lastRow="0" w:firstColumn="0" w:lastColumn="0" w:oddVBand="0" w:evenVBand="0" w:oddHBand="0" w:evenHBand="0" w:firstRowFirstColumn="0" w:firstRowLastColumn="0" w:lastRowFirstColumn="0" w:lastRowLastColumn="0"/>
          <w:tblHeader/>
        </w:trPr>
        <w:tc>
          <w:tcPr>
            <w:tcW w:w="3510" w:type="dxa"/>
          </w:tcPr>
          <w:p w:rsidR="006A1FD6" w:rsidRPr="006A1FD6" w:rsidRDefault="006A1FD6" w:rsidP="006A1FD6">
            <w:r>
              <w:t>Issue</w:t>
            </w:r>
          </w:p>
        </w:tc>
        <w:tc>
          <w:tcPr>
            <w:tcW w:w="5183" w:type="dxa"/>
          </w:tcPr>
          <w:p w:rsidR="006A1FD6" w:rsidRPr="006A1FD6" w:rsidRDefault="006A1FD6" w:rsidP="006A1FD6">
            <w:r>
              <w:t>Our response</w:t>
            </w:r>
          </w:p>
        </w:tc>
      </w:tr>
      <w:tr w:rsidR="006A1FD6" w:rsidTr="004C5238">
        <w:tc>
          <w:tcPr>
            <w:tcW w:w="8693" w:type="dxa"/>
            <w:gridSpan w:val="2"/>
          </w:tcPr>
          <w:p w:rsidR="006A1FD6" w:rsidRPr="006A1FD6" w:rsidRDefault="006A1FD6" w:rsidP="006A1FD6">
            <w:pPr>
              <w:rPr>
                <w:rStyle w:val="AERtextsize8"/>
              </w:rPr>
            </w:pPr>
            <w:r>
              <w:rPr>
                <w:rStyle w:val="Strong"/>
              </w:rPr>
              <w:t>E</w:t>
            </w:r>
            <w:r w:rsidRPr="006A1FD6">
              <w:rPr>
                <w:rStyle w:val="Strong"/>
              </w:rPr>
              <w:t>mpirical analysis</w:t>
            </w: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3510" w:type="dxa"/>
          </w:tcPr>
          <w:p w:rsidR="006A1FD6" w:rsidRPr="006A1FD6" w:rsidRDefault="006A1FD6" w:rsidP="006A1FD6">
            <w:pPr>
              <w:rPr>
                <w:rStyle w:val="AERtextsize8"/>
              </w:rPr>
            </w:pPr>
            <w:r>
              <w:rPr>
                <w:rStyle w:val="AERtextsize8"/>
              </w:rPr>
              <w:t>Our comparator set of Australian energy network firms is too small and results in unreliable equity beta estimates</w:t>
            </w:r>
            <w:r w:rsidRPr="006A1FD6">
              <w:rPr>
                <w:rStyle w:val="FootnoteReference"/>
              </w:rPr>
              <w:footnoteReference w:id="249"/>
            </w:r>
          </w:p>
        </w:tc>
        <w:tc>
          <w:tcPr>
            <w:tcW w:w="5183" w:type="dxa"/>
          </w:tcPr>
          <w:p w:rsidR="006A1FD6" w:rsidRDefault="006A1FD6" w:rsidP="006A1FD6">
            <w:pPr>
              <w:numPr>
                <w:ilvl w:val="0"/>
                <w:numId w:val="24"/>
              </w:numPr>
              <w:rPr>
                <w:rStyle w:val="AERtextsize8"/>
              </w:rPr>
            </w:pPr>
            <w:r w:rsidRPr="00092D62">
              <w:rPr>
                <w:rStyle w:val="AERtextsize8"/>
              </w:rPr>
              <w:t>We do not consider our Australian empirical equity beta estimates are unreliable. SFG appears to have taken a narrow definition of what is reliable in this context.</w:t>
            </w:r>
            <w:r>
              <w:t xml:space="preserve"> </w:t>
            </w:r>
            <w:r w:rsidRPr="00092D62">
              <w:rPr>
                <w:rStyle w:val="AERtextsize8"/>
              </w:rPr>
              <w:t>Decreasing the dispersion of estimates by increasing the size of the comparator set may not be helpful if that comparator set is less representative of what we are trying to estimate.</w:t>
            </w:r>
          </w:p>
          <w:p w:rsidR="006A1FD6" w:rsidRDefault="006A1FD6" w:rsidP="006A1FD6">
            <w:pPr>
              <w:numPr>
                <w:ilvl w:val="0"/>
                <w:numId w:val="24"/>
              </w:numPr>
              <w:rPr>
                <w:rStyle w:val="AERtextsize8"/>
              </w:rPr>
            </w:pPr>
            <w:r w:rsidRPr="00DF4B12">
              <w:rPr>
                <w:rStyle w:val="AERtextsize8"/>
              </w:rPr>
              <w:t>We consider the data</w:t>
            </w:r>
            <w:r>
              <w:rPr>
                <w:rStyle w:val="AERtextsize8"/>
              </w:rPr>
              <w:t xml:space="preserve"> from our comparator set of Australian energy network firms</w:t>
            </w:r>
            <w:r w:rsidRPr="00DF4B12">
              <w:rPr>
                <w:rStyle w:val="AERtextsize8"/>
              </w:rPr>
              <w:t xml:space="preserve"> is sufficient for us to form an equity beta estimate that will contribute to the achievement of the </w:t>
            </w:r>
            <w:r w:rsidR="00270CE2">
              <w:t>ARORO</w:t>
            </w:r>
            <w:r w:rsidRPr="00DF4B12">
              <w:rPr>
                <w:rStyle w:val="AERtextsize8"/>
              </w:rPr>
              <w:t>.</w:t>
            </w:r>
            <w:r>
              <w:t xml:space="preserve"> The comparator set contains firms with a similar degree of risk as that which applies to ActewAGL's provision of regulated services. </w:t>
            </w:r>
            <w:r>
              <w:rPr>
                <w:rStyle w:val="AERtextsize8"/>
              </w:rPr>
              <w:t>This comparator set</w:t>
            </w:r>
            <w:r w:rsidRPr="00DF4B12">
              <w:rPr>
                <w:rStyle w:val="AERtextsize8"/>
              </w:rPr>
              <w:t xml:space="preserve"> generates a consistent pattern of empirical equity beta estimates that is robust a</w:t>
            </w:r>
            <w:r>
              <w:rPr>
                <w:rStyle w:val="AERtextsize8"/>
              </w:rPr>
              <w:t>cross econometric techniques,</w:t>
            </w:r>
            <w:r w:rsidRPr="00DF4B12">
              <w:rPr>
                <w:rStyle w:val="AERtextsize8"/>
              </w:rPr>
              <w:t xml:space="preserve"> time periods</w:t>
            </w:r>
            <w:r>
              <w:rPr>
                <w:rStyle w:val="AERtextsize8"/>
              </w:rPr>
              <w:t xml:space="preserve"> and different combinations of comparator firms</w:t>
            </w:r>
            <w:r w:rsidRPr="00DF4B12">
              <w:rPr>
                <w:rStyle w:val="AERtextsize8"/>
              </w:rPr>
              <w:t>.</w:t>
            </w:r>
          </w:p>
          <w:p w:rsidR="006A1FD6" w:rsidRPr="007C153E" w:rsidRDefault="006A1FD6" w:rsidP="006A1FD6">
            <w:pPr>
              <w:numPr>
                <w:ilvl w:val="0"/>
                <w:numId w:val="24"/>
              </w:numPr>
              <w:rPr>
                <w:rStyle w:val="AERtextsize8"/>
              </w:rPr>
            </w:pPr>
            <w:r>
              <w:rPr>
                <w:rStyle w:val="AERtextsize8"/>
              </w:rPr>
              <w:t xml:space="preserve">We consider this issue in more detail in section </w:t>
            </w:r>
            <w:r>
              <w:rPr>
                <w:rStyle w:val="AERtextsize8"/>
              </w:rPr>
              <w:fldChar w:fldCharType="begin"/>
            </w:r>
            <w:r>
              <w:rPr>
                <w:rStyle w:val="AERtextsize8"/>
              </w:rPr>
              <w:instrText xml:space="preserve"> REF _Ref446254453 \r \h </w:instrText>
            </w:r>
            <w:r>
              <w:rPr>
                <w:rStyle w:val="AERtextsize8"/>
              </w:rPr>
            </w:r>
            <w:r>
              <w:rPr>
                <w:rStyle w:val="AERtextsize8"/>
              </w:rPr>
              <w:fldChar w:fldCharType="separate"/>
            </w:r>
            <w:r w:rsidR="001A023B">
              <w:rPr>
                <w:rStyle w:val="AERtextsize8"/>
              </w:rPr>
              <w:t>G.4.2</w:t>
            </w:r>
            <w:r>
              <w:rPr>
                <w:rStyle w:val="AERtextsize8"/>
              </w:rPr>
              <w:fldChar w:fldCharType="end"/>
            </w:r>
            <w:r>
              <w:rPr>
                <w:rStyle w:val="AERtextsize8"/>
              </w:rPr>
              <w:t xml:space="preserve"> of this attachment. We also considered this issue in detail in sections D.2.1, D.2.3, and D.5.1 of Attachment 3 to ActewAGL's draft decision and that reasoning remains relevant.</w:t>
            </w:r>
          </w:p>
        </w:tc>
      </w:tr>
      <w:tr w:rsidR="006A1FD6" w:rsidTr="004C5238">
        <w:tc>
          <w:tcPr>
            <w:tcW w:w="3510" w:type="dxa"/>
          </w:tcPr>
          <w:p w:rsidR="006A1FD6" w:rsidRPr="006A1FD6" w:rsidRDefault="006A1FD6" w:rsidP="006A1FD6">
            <w:pPr>
              <w:rPr>
                <w:rStyle w:val="AERtextsize8"/>
              </w:rPr>
            </w:pPr>
            <w:r>
              <w:rPr>
                <w:rStyle w:val="AERtextsize8"/>
              </w:rPr>
              <w:t>Our comparator set should include international energy firms</w:t>
            </w:r>
            <w:r w:rsidRPr="006A1FD6">
              <w:rPr>
                <w:rStyle w:val="AERtextsize8"/>
              </w:rPr>
              <w:t xml:space="preserve"> (specifically, 56 US firms) and Australian non-energy infrastructure firms</w:t>
            </w:r>
            <w:r w:rsidRPr="006A1FD6">
              <w:rPr>
                <w:rStyle w:val="FootnoteReference"/>
              </w:rPr>
              <w:footnoteReference w:id="250"/>
            </w:r>
          </w:p>
        </w:tc>
        <w:tc>
          <w:tcPr>
            <w:tcW w:w="5183" w:type="dxa"/>
          </w:tcPr>
          <w:p w:rsidR="006A1FD6" w:rsidRPr="006A1FD6" w:rsidRDefault="006A1FD6" w:rsidP="006A1FD6">
            <w:pPr>
              <w:rPr>
                <w:rStyle w:val="AERtextsize8"/>
              </w:rPr>
            </w:pPr>
            <w:r w:rsidRPr="00DF4B12">
              <w:rPr>
                <w:rStyle w:val="AERtextsize8"/>
              </w:rPr>
              <w:t xml:space="preserve">We consider international energy firms are </w:t>
            </w:r>
            <w:r w:rsidRPr="006A1FD6">
              <w:rPr>
                <w:rStyle w:val="AERtextsize8"/>
              </w:rPr>
              <w:t xml:space="preserve">unlikely to have a similar degree of risk as </w:t>
            </w:r>
            <w:r>
              <w:rPr>
                <w:rStyle w:val="AERtextsize8"/>
              </w:rPr>
              <w:t>ActewAGL</w:t>
            </w:r>
            <w:r w:rsidRPr="006A1FD6">
              <w:rPr>
                <w:rStyle w:val="AERtextsize8"/>
              </w:rPr>
              <w:t xml:space="preserve"> (in the provision of regulated services), for several reasons set out in section </w:t>
            </w:r>
            <w:r w:rsidRPr="006A1FD6">
              <w:rPr>
                <w:rStyle w:val="AERtextsize8"/>
              </w:rPr>
              <w:fldChar w:fldCharType="begin"/>
            </w:r>
            <w:r w:rsidRPr="006A1FD6">
              <w:rPr>
                <w:rStyle w:val="AERtextsize8"/>
              </w:rPr>
              <w:instrText xml:space="preserve"> REF _Ref446254445 \r \h </w:instrText>
            </w:r>
            <w:r w:rsidRPr="006A1FD6">
              <w:rPr>
                <w:rStyle w:val="AERtextsize8"/>
              </w:rPr>
            </w:r>
            <w:r w:rsidRPr="006A1FD6">
              <w:rPr>
                <w:rStyle w:val="AERtextsize8"/>
              </w:rPr>
              <w:fldChar w:fldCharType="separate"/>
            </w:r>
            <w:r w:rsidR="001A023B">
              <w:rPr>
                <w:rStyle w:val="AERtextsize8"/>
              </w:rPr>
              <w:t>G.4.3</w:t>
            </w:r>
            <w:r w:rsidRPr="006A1FD6">
              <w:rPr>
                <w:rStyle w:val="AERtextsize8"/>
              </w:rPr>
              <w:fldChar w:fldCharType="end"/>
            </w:r>
            <w:r w:rsidRPr="006A1FD6">
              <w:rPr>
                <w:rStyle w:val="AERtextsize8"/>
              </w:rPr>
              <w:t xml:space="preserve"> of this attachment. We also considered this issue in detail in section D.2.1 of Attachment 3 to </w:t>
            </w:r>
            <w:r>
              <w:rPr>
                <w:rStyle w:val="AERtextsize8"/>
              </w:rPr>
              <w:t>ActewAGL's</w:t>
            </w:r>
            <w:r w:rsidRPr="006A1FD6">
              <w:rPr>
                <w:rStyle w:val="AERtextsize8"/>
              </w:rPr>
              <w:t xml:space="preserve"> draft decision.</w:t>
            </w:r>
            <w:r w:rsidRPr="006A1FD6">
              <w:rPr>
                <w:rStyle w:val="CommentReference"/>
              </w:rPr>
              <w:t xml:space="preserve"> </w:t>
            </w:r>
          </w:p>
          <w:p w:rsidR="006A1FD6" w:rsidRPr="006A1FD6" w:rsidRDefault="006A1FD6" w:rsidP="006A1FD6">
            <w:pPr>
              <w:rPr>
                <w:rStyle w:val="AERtextsize8"/>
              </w:rPr>
            </w:pPr>
            <w:r>
              <w:rPr>
                <w:rStyle w:val="AERtextsize8"/>
              </w:rPr>
              <w:t>W</w:t>
            </w:r>
            <w:r w:rsidRPr="006A1FD6">
              <w:rPr>
                <w:rStyle w:val="AERtextsize8"/>
              </w:rPr>
              <w:t xml:space="preserve">e also consider other (Australian) infrastructure firms are not suitable comparators to the benchmark efficient entity in this case, for several reasons set out in section </w:t>
            </w:r>
            <w:r w:rsidRPr="006A1FD6">
              <w:rPr>
                <w:rStyle w:val="AERtextsize8"/>
              </w:rPr>
              <w:fldChar w:fldCharType="begin"/>
            </w:r>
            <w:r w:rsidRPr="006A1FD6">
              <w:rPr>
                <w:rStyle w:val="AERtextsize8"/>
              </w:rPr>
              <w:instrText xml:space="preserve"> REF _Ref446254437 \r \h </w:instrText>
            </w:r>
            <w:r w:rsidRPr="006A1FD6">
              <w:rPr>
                <w:rStyle w:val="AERtextsize8"/>
              </w:rPr>
            </w:r>
            <w:r w:rsidRPr="006A1FD6">
              <w:rPr>
                <w:rStyle w:val="AERtextsize8"/>
              </w:rPr>
              <w:fldChar w:fldCharType="separate"/>
            </w:r>
            <w:r w:rsidR="001A023B">
              <w:rPr>
                <w:rStyle w:val="AERtextsize8"/>
              </w:rPr>
              <w:t>G.4.4</w:t>
            </w:r>
            <w:r w:rsidRPr="006A1FD6">
              <w:rPr>
                <w:rStyle w:val="AERtextsize8"/>
              </w:rPr>
              <w:fldChar w:fldCharType="end"/>
            </w:r>
            <w:r w:rsidRPr="006A1FD6">
              <w:rPr>
                <w:rStyle w:val="AERtextsize8"/>
              </w:rPr>
              <w:t xml:space="preserve"> of this attachment. </w:t>
            </w: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3510" w:type="dxa"/>
          </w:tcPr>
          <w:p w:rsidR="006A1FD6" w:rsidRPr="006A1FD6" w:rsidRDefault="006A1FD6" w:rsidP="006A1FD6">
            <w:pPr>
              <w:rPr>
                <w:rStyle w:val="AERtextsize8"/>
              </w:rPr>
            </w:pPr>
            <w:r>
              <w:rPr>
                <w:rStyle w:val="AERtextsize8"/>
              </w:rPr>
              <w:t xml:space="preserve">Our comparator set should not be restricted to regulated entities as the benchmark efficient entity should </w:t>
            </w:r>
            <w:r w:rsidRPr="006A1FD6">
              <w:rPr>
                <w:rStyle w:val="AERtextsize8"/>
              </w:rPr>
              <w:t>be defined as an unregulated entity operating in a workably competitive market</w:t>
            </w:r>
            <w:r w:rsidRPr="006A1FD6">
              <w:rPr>
                <w:rStyle w:val="FootnoteReference"/>
              </w:rPr>
              <w:footnoteReference w:id="251"/>
            </w:r>
            <w:r w:rsidRPr="006A1FD6">
              <w:rPr>
                <w:rStyle w:val="AERtextsize8"/>
              </w:rPr>
              <w:t xml:space="preserve"> </w:t>
            </w:r>
          </w:p>
        </w:tc>
        <w:tc>
          <w:tcPr>
            <w:tcW w:w="5183" w:type="dxa"/>
          </w:tcPr>
          <w:p w:rsidR="006A1FD6" w:rsidRPr="006A1FD6" w:rsidRDefault="006A1FD6" w:rsidP="003220BF">
            <w:pPr>
              <w:rPr>
                <w:rStyle w:val="AERtextsize8"/>
              </w:rPr>
            </w:pPr>
            <w:r w:rsidRPr="00FB32AD">
              <w:rPr>
                <w:rStyle w:val="AERtextsize8"/>
              </w:rPr>
              <w:t>We do not agree</w:t>
            </w:r>
            <w:r w:rsidRPr="006A1FD6">
              <w:rPr>
                <w:rStyle w:val="AERtextsize8"/>
              </w:rPr>
              <w:t xml:space="preserve">. </w:t>
            </w:r>
            <w:r w:rsidRPr="006A1FD6">
              <w:t>We consider the regulatory framework for the provision of reference services mitigates the risk exposure that service providers face in significant respects and therefore must be properly accounted for in equity beta estimates. Incentive regulation typically allows businesses to earn more stable cash flows with periodic resetting of revenues to better reflect actual expenditure. Most unregulated businesses do not have these same protections or restrictions, and so are likely to have a very different risk profile. We carefully considered these factors when developing the Guideline. Overall, we consider that a substantial proportion of the regulatory framework has the effect of mitigating various systematic and non-systematic risks.</w:t>
            </w:r>
          </w:p>
        </w:tc>
      </w:tr>
      <w:tr w:rsidR="006A1FD6" w:rsidTr="004C5238">
        <w:tc>
          <w:tcPr>
            <w:tcW w:w="3510" w:type="dxa"/>
          </w:tcPr>
          <w:p w:rsidR="006A1FD6" w:rsidRPr="006A1FD6" w:rsidRDefault="006A1FD6" w:rsidP="006A1FD6">
            <w:pPr>
              <w:rPr>
                <w:rStyle w:val="AERtextsize8"/>
              </w:rPr>
            </w:pPr>
            <w:r>
              <w:rPr>
                <w:rStyle w:val="AERtextsize8"/>
              </w:rPr>
              <w:t xml:space="preserve">Our comparator set should exclude firms that are less comparable to the benchmark efficient </w:t>
            </w:r>
            <w:r w:rsidRPr="006A1FD6">
              <w:rPr>
                <w:rStyle w:val="AERtextsize8"/>
              </w:rPr>
              <w:t>entity (e.g. have a low proportion of regulated assets)</w:t>
            </w:r>
            <w:r w:rsidRPr="006A1FD6">
              <w:rPr>
                <w:rStyle w:val="FootnoteReference"/>
              </w:rPr>
              <w:footnoteReference w:id="252"/>
            </w:r>
          </w:p>
        </w:tc>
        <w:tc>
          <w:tcPr>
            <w:tcW w:w="5183" w:type="dxa"/>
          </w:tcPr>
          <w:p w:rsidR="006A1FD6" w:rsidRPr="006A1FD6" w:rsidRDefault="006A1FD6" w:rsidP="006A1FD6">
            <w:pPr>
              <w:rPr>
                <w:rStyle w:val="AERtextsize8"/>
              </w:rPr>
            </w:pPr>
            <w:r w:rsidRPr="00FB32AD">
              <w:rPr>
                <w:rStyle w:val="AERtextsize8"/>
              </w:rPr>
              <w:t xml:space="preserve">We are satisfied, at this time, that our comparator set is sufficiently reflective of the benchmark efficient entity, given </w:t>
            </w:r>
            <w:r w:rsidRPr="006A1FD6">
              <w:rPr>
                <w:rStyle w:val="AERtextsize8"/>
              </w:rPr>
              <w:t xml:space="preserve">the trade-off between increased statistical precision from a larger comparator set and comparability of the firms to the benchmark efficient entity. For more detail, see section D.2.1 of Attachment 3 to </w:t>
            </w:r>
            <w:r>
              <w:rPr>
                <w:rStyle w:val="AERtextsize8"/>
              </w:rPr>
              <w:t>ActewAGL's</w:t>
            </w:r>
            <w:r w:rsidRPr="006A1FD6">
              <w:rPr>
                <w:rStyle w:val="AERtextsize8"/>
              </w:rPr>
              <w:t xml:space="preserve"> draft decision.</w:t>
            </w: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3510" w:type="dxa"/>
          </w:tcPr>
          <w:p w:rsidR="006A1FD6" w:rsidRPr="006A1FD6" w:rsidRDefault="006A1FD6" w:rsidP="006A1FD6">
            <w:pPr>
              <w:rPr>
                <w:rStyle w:val="AERtextsize8"/>
              </w:rPr>
            </w:pPr>
            <w:r>
              <w:rPr>
                <w:rStyle w:val="AERtextsize8"/>
              </w:rPr>
              <w:t xml:space="preserve">Our comparator set should exclude delisted </w:t>
            </w:r>
            <w:r w:rsidRPr="006A1FD6">
              <w:rPr>
                <w:rStyle w:val="AERtextsize8"/>
              </w:rPr>
              <w:t>firms whose data are outdated</w:t>
            </w:r>
            <w:r w:rsidRPr="006A1FD6">
              <w:rPr>
                <w:rStyle w:val="FootnoteReference"/>
              </w:rPr>
              <w:footnoteReference w:id="253"/>
            </w:r>
          </w:p>
        </w:tc>
        <w:tc>
          <w:tcPr>
            <w:tcW w:w="5183" w:type="dxa"/>
          </w:tcPr>
          <w:p w:rsidR="006A1FD6" w:rsidRPr="006A1FD6" w:rsidRDefault="006A1FD6" w:rsidP="006A1FD6">
            <w:pPr>
              <w:rPr>
                <w:rStyle w:val="AERtextsize8"/>
              </w:rPr>
            </w:pPr>
            <w:r>
              <w:t>In relation to the exclusion of delisted firms, we acknowledge that some of our comparator firms have been delisted for some time. However, we consider three estimation periods in our empirical analysis, one of which is the last five years. This captures the more recent data and excludes Alinta, AGL Energy Limite</w:t>
            </w:r>
            <w:r w:rsidRPr="006A1FD6">
              <w:t xml:space="preserve">d and GasNet (who only have relevant data to 2006 or 2007). The average estimate from this estimation period is not substantially different from the longer estimation periods (in fact, it is slightly lower, see </w:t>
            </w:r>
            <w:r w:rsidRPr="006A1FD6">
              <w:fldChar w:fldCharType="begin"/>
            </w:r>
            <w:r w:rsidRPr="006A1FD6">
              <w:instrText xml:space="preserve"> REF _Ref446197185 \h </w:instrText>
            </w:r>
            <w:r w:rsidRPr="006A1FD6">
              <w:fldChar w:fldCharType="separate"/>
            </w:r>
            <w:r w:rsidR="001A023B">
              <w:t xml:space="preserve">Table </w:t>
            </w:r>
            <w:r w:rsidR="001A023B">
              <w:rPr>
                <w:noProof/>
              </w:rPr>
              <w:t>3</w:t>
            </w:r>
            <w:r w:rsidR="001A023B">
              <w:noBreakHyphen/>
            </w:r>
            <w:r w:rsidR="001A023B">
              <w:rPr>
                <w:noProof/>
              </w:rPr>
              <w:t>35</w:t>
            </w:r>
            <w:r w:rsidRPr="006A1FD6">
              <w:fldChar w:fldCharType="end"/>
            </w:r>
            <w:r w:rsidRPr="006A1FD6">
              <w:t xml:space="preserve">). The two most recent portfolios we consider (P4 and P5) also provide estimates that are, overall, not substantially different from the portfolios that include older data (see </w:t>
            </w:r>
            <w:r w:rsidRPr="006A1FD6">
              <w:fldChar w:fldCharType="begin"/>
            </w:r>
            <w:r w:rsidRPr="006A1FD6">
              <w:instrText xml:space="preserve"> REF _Ref446197176 \h </w:instrText>
            </w:r>
            <w:r w:rsidRPr="006A1FD6">
              <w:fldChar w:fldCharType="separate"/>
            </w:r>
            <w:r w:rsidR="001A023B">
              <w:t xml:space="preserve">Table </w:t>
            </w:r>
            <w:r w:rsidR="001A023B">
              <w:rPr>
                <w:noProof/>
              </w:rPr>
              <w:t>3</w:t>
            </w:r>
            <w:r w:rsidR="001A023B">
              <w:noBreakHyphen/>
            </w:r>
            <w:r w:rsidR="001A023B">
              <w:rPr>
                <w:noProof/>
              </w:rPr>
              <w:t>36</w:t>
            </w:r>
            <w:r w:rsidRPr="006A1FD6">
              <w:fldChar w:fldCharType="end"/>
            </w:r>
            <w:r w:rsidRPr="006A1FD6">
              <w:t>). We consider these results suggest that including older data in our empirical analysis (which increases the size of our dataset) does not bias the results.</w:t>
            </w:r>
          </w:p>
        </w:tc>
      </w:tr>
      <w:tr w:rsidR="006A1FD6" w:rsidTr="004C5238">
        <w:tc>
          <w:tcPr>
            <w:tcW w:w="3510" w:type="dxa"/>
          </w:tcPr>
          <w:p w:rsidR="006A1FD6" w:rsidRPr="006A1FD6" w:rsidRDefault="006A1FD6" w:rsidP="006A1FD6">
            <w:pPr>
              <w:rPr>
                <w:rStyle w:val="AERtextsize8"/>
              </w:rPr>
            </w:pPr>
            <w:r>
              <w:rPr>
                <w:rStyle w:val="AERtextsize8"/>
              </w:rPr>
              <w:t xml:space="preserve">The </w:t>
            </w:r>
            <w:r w:rsidRPr="006A1FD6">
              <w:rPr>
                <w:rStyle w:val="AERtextsize8"/>
              </w:rPr>
              <w:t>Least Absolute Deviations (LAD) estimation method produces systematically downward biased equity beta estimates and should not be used</w:t>
            </w:r>
            <w:r w:rsidRPr="006A1FD6">
              <w:rPr>
                <w:rStyle w:val="FootnoteReference"/>
              </w:rPr>
              <w:footnoteReference w:id="254"/>
            </w:r>
          </w:p>
        </w:tc>
        <w:tc>
          <w:tcPr>
            <w:tcW w:w="5183" w:type="dxa"/>
          </w:tcPr>
          <w:p w:rsidR="006A1FD6" w:rsidRPr="006A1FD6" w:rsidRDefault="006A1FD6" w:rsidP="006A1FD6">
            <w:pPr>
              <w:rPr>
                <w:rStyle w:val="AERtextsize8"/>
              </w:rPr>
            </w:pPr>
            <w:r>
              <w:t>We are not satisfied that SFG has produced compelling evidence to infer the LAD estimator produces systematically downward biased estimates of equity beta.</w:t>
            </w:r>
            <w:r w:rsidRPr="006A1FD6">
              <w:t xml:space="preserve"> For example, we consider that discovering LAD estimates are lower than Ordinary Least Squares (OLS) estimates ex post, on a particular subset of the market, does not necessarily indicate systematic bias. In any case, we rely more on OLS estimates and consider that removing LAD estimates from our empirical analysis would not substantially change our empirical results. </w:t>
            </w:r>
            <w:r w:rsidRPr="006A1FD6">
              <w:rPr>
                <w:rStyle w:val="AERtextsize8"/>
              </w:rPr>
              <w:t xml:space="preserve">We considered this issue in section D.2.2 of Attachment 3 to </w:t>
            </w:r>
            <w:r>
              <w:rPr>
                <w:rStyle w:val="AERtextsize8"/>
              </w:rPr>
              <w:t>ActewAGL's</w:t>
            </w:r>
            <w:r w:rsidRPr="006A1FD6">
              <w:rPr>
                <w:rStyle w:val="AERtextsize8"/>
              </w:rPr>
              <w:t xml:space="preserve"> draft decision and that reasoning remains relevant.</w:t>
            </w: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3510" w:type="dxa"/>
          </w:tcPr>
          <w:p w:rsidR="006A1FD6" w:rsidRPr="006A1FD6" w:rsidRDefault="006A1FD6" w:rsidP="006A1FD6">
            <w:pPr>
              <w:rPr>
                <w:rStyle w:val="AERtextsize8"/>
              </w:rPr>
            </w:pPr>
            <w:r>
              <w:rPr>
                <w:rStyle w:val="AERtextsize8"/>
              </w:rPr>
              <w:t>The mining boom should be excluded from the estimation periods</w:t>
            </w:r>
            <w:r w:rsidRPr="006A1FD6">
              <w:rPr>
                <w:rStyle w:val="FootnoteReference"/>
              </w:rPr>
              <w:footnoteReference w:id="255"/>
            </w:r>
          </w:p>
        </w:tc>
        <w:tc>
          <w:tcPr>
            <w:tcW w:w="5183" w:type="dxa"/>
          </w:tcPr>
          <w:p w:rsidR="006A1FD6" w:rsidRPr="006A1FD6" w:rsidRDefault="006A1FD6" w:rsidP="006A1FD6">
            <w:pPr>
              <w:rPr>
                <w:rStyle w:val="AERtextsize8"/>
              </w:rPr>
            </w:pPr>
            <w:r>
              <w:rPr>
                <w:rStyle w:val="AERtextsize8"/>
              </w:rPr>
              <w:t>W</w:t>
            </w:r>
            <w:r w:rsidRPr="006A1FD6">
              <w:rPr>
                <w:rStyle w:val="AERtextsize8"/>
              </w:rPr>
              <w:t xml:space="preserve">e consider that, at any given time, there are sectors of the economy that are experiencing relative booms and busts. As such, we do not consider the mining boom period represents an exceptional circumstance that should be removed from the estimation periods we use to estimate the equity beta. For more detail see section D.2.2 of Attachment 3 to </w:t>
            </w:r>
            <w:r>
              <w:rPr>
                <w:rStyle w:val="AERtextsize8"/>
              </w:rPr>
              <w:t>ActewAGL's</w:t>
            </w:r>
            <w:r w:rsidRPr="006A1FD6">
              <w:rPr>
                <w:rStyle w:val="AERtextsize8"/>
              </w:rPr>
              <w:t xml:space="preserve"> draft decision.</w:t>
            </w:r>
          </w:p>
        </w:tc>
      </w:tr>
      <w:tr w:rsidR="006A1FD6" w:rsidTr="004C5238">
        <w:tc>
          <w:tcPr>
            <w:tcW w:w="3510" w:type="dxa"/>
          </w:tcPr>
          <w:p w:rsidR="006A1FD6" w:rsidRPr="006A1FD6" w:rsidRDefault="006A1FD6" w:rsidP="006A1FD6">
            <w:pPr>
              <w:rPr>
                <w:rStyle w:val="AERtextsize8"/>
              </w:rPr>
            </w:pPr>
            <w:r>
              <w:rPr>
                <w:rStyle w:val="AERtextsize8"/>
              </w:rPr>
              <w:t xml:space="preserve">We do not </w:t>
            </w:r>
            <w:r w:rsidRPr="006A1FD6">
              <w:rPr>
                <w:rStyle w:val="AERtextsize8"/>
              </w:rPr>
              <w:t>account for variation in equity beta estimates based on how the return interval is defined (in particular, what reference day is chosen to calculate weekly or monthly returns)</w:t>
            </w:r>
            <w:r w:rsidRPr="006A1FD6">
              <w:rPr>
                <w:rStyle w:val="FootnoteReference"/>
              </w:rPr>
              <w:footnoteReference w:id="256"/>
            </w:r>
          </w:p>
        </w:tc>
        <w:tc>
          <w:tcPr>
            <w:tcW w:w="5183" w:type="dxa"/>
          </w:tcPr>
          <w:p w:rsidR="006A1FD6" w:rsidRPr="006A1FD6" w:rsidRDefault="006A1FD6" w:rsidP="006A1FD6">
            <w:pPr>
              <w:rPr>
                <w:rStyle w:val="AERtextsize8"/>
              </w:rPr>
            </w:pPr>
            <w:r w:rsidRPr="00F62774">
              <w:rPr>
                <w:rStyle w:val="AERtextsize8"/>
              </w:rPr>
              <w:t xml:space="preserve">We do not consider that SFG has provided any basis to expect that returns based </w:t>
            </w:r>
            <w:r w:rsidRPr="006A1FD6">
              <w:rPr>
                <w:rStyle w:val="AERtextsize8"/>
              </w:rPr>
              <w:t xml:space="preserve">on a particular day of the week will underestimate or overestimate equity beta for the benchmark efficient entity. For more detail see section D.2.2 of Attachment 3 to </w:t>
            </w:r>
            <w:r>
              <w:rPr>
                <w:rStyle w:val="AERtextsize8"/>
              </w:rPr>
              <w:t>ActewAGL's</w:t>
            </w:r>
            <w:r w:rsidRPr="006A1FD6">
              <w:rPr>
                <w:rStyle w:val="AERtextsize8"/>
              </w:rPr>
              <w:t xml:space="preserve"> draft decision.</w:t>
            </w: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3510" w:type="dxa"/>
          </w:tcPr>
          <w:p w:rsidR="006A1FD6" w:rsidRPr="006A1FD6" w:rsidRDefault="006A1FD6" w:rsidP="006A1FD6">
            <w:pPr>
              <w:rPr>
                <w:rStyle w:val="AERtextsize8"/>
              </w:rPr>
            </w:pPr>
            <w:r>
              <w:rPr>
                <w:rStyle w:val="AERtextsize8"/>
              </w:rPr>
              <w:t>Only re-levered equity beta estimates should be relied on</w:t>
            </w:r>
            <w:r w:rsidRPr="006A1FD6">
              <w:rPr>
                <w:rStyle w:val="FootnoteReference"/>
              </w:rPr>
              <w:footnoteReference w:id="257"/>
            </w:r>
          </w:p>
        </w:tc>
        <w:tc>
          <w:tcPr>
            <w:tcW w:w="5183" w:type="dxa"/>
          </w:tcPr>
          <w:p w:rsidR="006A1FD6" w:rsidRPr="006A1FD6" w:rsidRDefault="006A1FD6" w:rsidP="006A1FD6">
            <w:pPr>
              <w:rPr>
                <w:rStyle w:val="AERtextsize8"/>
              </w:rPr>
            </w:pPr>
            <w:r>
              <w:rPr>
                <w:rStyle w:val="AERtextsize8"/>
              </w:rPr>
              <w:t xml:space="preserve">We consider </w:t>
            </w:r>
            <w:r w:rsidRPr="006A1FD6">
              <w:rPr>
                <w:rStyle w:val="AERtextsize8"/>
              </w:rPr>
              <w:t xml:space="preserve">it is useful to consider both raw and re-levered equity beta estimates where possible. On one hand, the resulting estimates will be more aligned with our benchmark. On the other hand, the relationship between equity beta, financial leverage and financial risk is complex and uncertain. Making a specific adjustment for leverage imposes a certain assumed relationship that may not necessarily be correct in all circumstances. For more detail see sections D.2.2 and D.3 of Attachment 3 to </w:t>
            </w:r>
            <w:r>
              <w:rPr>
                <w:rStyle w:val="AERtextsize8"/>
              </w:rPr>
              <w:t>ActewAGL's</w:t>
            </w:r>
            <w:r w:rsidRPr="006A1FD6">
              <w:rPr>
                <w:rStyle w:val="AERtextsize8"/>
              </w:rPr>
              <w:t xml:space="preserve"> draft decision. In their most recent report, Partington and Satchell reiterate their view that re-levering equity betas is problematic.</w:t>
            </w:r>
            <w:r w:rsidRPr="006A1FD6">
              <w:rPr>
                <w:rStyle w:val="FootnoteReference"/>
              </w:rPr>
              <w:footnoteReference w:id="258"/>
            </w:r>
          </w:p>
        </w:tc>
      </w:tr>
      <w:tr w:rsidR="006A1FD6" w:rsidTr="004C5238">
        <w:tc>
          <w:tcPr>
            <w:tcW w:w="3510" w:type="dxa"/>
          </w:tcPr>
          <w:p w:rsidR="006A1FD6" w:rsidRPr="006A1FD6" w:rsidRDefault="006A1FD6" w:rsidP="006A1FD6">
            <w:pPr>
              <w:rPr>
                <w:rStyle w:val="AERtextsize8"/>
              </w:rPr>
            </w:pPr>
            <w:r>
              <w:rPr>
                <w:rStyle w:val="AERtextsize8"/>
              </w:rPr>
              <w:t>Averages of individual firm estimates are largely meaningless</w:t>
            </w:r>
            <w:r w:rsidRPr="006A1FD6">
              <w:rPr>
                <w:rStyle w:val="FootnoteReference"/>
              </w:rPr>
              <w:footnoteReference w:id="259"/>
            </w:r>
            <w:r w:rsidRPr="006A1FD6">
              <w:rPr>
                <w:rStyle w:val="AERtextsize8"/>
              </w:rPr>
              <w:t xml:space="preserve"> </w:t>
            </w:r>
          </w:p>
        </w:tc>
        <w:tc>
          <w:tcPr>
            <w:tcW w:w="5183" w:type="dxa"/>
          </w:tcPr>
          <w:p w:rsidR="006A1FD6" w:rsidRPr="006A1FD6" w:rsidRDefault="006A1FD6" w:rsidP="006A1FD6">
            <w:pPr>
              <w:rPr>
                <w:rStyle w:val="AERtextsize8"/>
              </w:rPr>
            </w:pPr>
            <w:r w:rsidRPr="00B14F38">
              <w:rPr>
                <w:rStyle w:val="AERtextsize8"/>
              </w:rPr>
              <w:t xml:space="preserve">Because no one comparator firm is perfectly reflective of </w:t>
            </w:r>
            <w:r w:rsidRPr="006A1FD6">
              <w:rPr>
                <w:rStyle w:val="AERtextsize8"/>
              </w:rPr>
              <w:t xml:space="preserve">a benchmark efficient entity with a similar degree of risk as that which applies to </w:t>
            </w:r>
            <w:r>
              <w:rPr>
                <w:rStyle w:val="AERtextsize8"/>
              </w:rPr>
              <w:t>ActewAGL</w:t>
            </w:r>
            <w:r w:rsidRPr="006A1FD6">
              <w:rPr>
                <w:rStyle w:val="AERtextsize8"/>
              </w:rPr>
              <w:t xml:space="preserve"> in providing regulated services, we rely on averages of individual firm estimates to determine an equity beta range. SFG, Frontier Economics, CEG and NERA, in their reports for several service providers, also rely on averages of individual firm estimates.</w:t>
            </w:r>
            <w:r w:rsidRPr="006A1FD6">
              <w:rPr>
                <w:rStyle w:val="FootnoteReference"/>
              </w:rPr>
              <w:footnoteReference w:id="260"/>
            </w:r>
            <w:r w:rsidRPr="006A1FD6">
              <w:rPr>
                <w:rStyle w:val="AERtextsize8"/>
              </w:rPr>
              <w:t xml:space="preserve"> For more detail see section D.2.2 of Attachment 3 to </w:t>
            </w:r>
            <w:r>
              <w:rPr>
                <w:rStyle w:val="AERtextsize8"/>
              </w:rPr>
              <w:t>ActewAGL's</w:t>
            </w:r>
            <w:r w:rsidRPr="006A1FD6">
              <w:rPr>
                <w:rStyle w:val="AERtextsize8"/>
              </w:rPr>
              <w:t xml:space="preserve"> draft decision.</w:t>
            </w: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3510" w:type="dxa"/>
          </w:tcPr>
          <w:p w:rsidR="006A1FD6" w:rsidRPr="006A1FD6" w:rsidRDefault="006A1FD6" w:rsidP="006A1FD6">
            <w:pPr>
              <w:rPr>
                <w:rStyle w:val="AERtextsize8"/>
              </w:rPr>
            </w:pPr>
            <w:r>
              <w:rPr>
                <w:rStyle w:val="AERtextsize8"/>
              </w:rPr>
              <w:t>The basis of the portfolio formations in Henry's 2014 report is unclear</w:t>
            </w:r>
            <w:r w:rsidRPr="006A1FD6">
              <w:rPr>
                <w:rStyle w:val="FootnoteReference"/>
              </w:rPr>
              <w:footnoteReference w:id="261"/>
            </w:r>
          </w:p>
        </w:tc>
        <w:tc>
          <w:tcPr>
            <w:tcW w:w="5183" w:type="dxa"/>
          </w:tcPr>
          <w:p w:rsidR="006A1FD6" w:rsidRPr="006A1FD6" w:rsidRDefault="006A1FD6" w:rsidP="006A1FD6">
            <w:pPr>
              <w:rPr>
                <w:rStyle w:val="AERtextsize8"/>
              </w:rPr>
            </w:pPr>
            <w:r w:rsidRPr="00B428B6">
              <w:rPr>
                <w:rStyle w:val="AERtextsize8"/>
              </w:rPr>
              <w:t xml:space="preserve">Each firm </w:t>
            </w:r>
            <w:r w:rsidRPr="006A1FD6">
              <w:rPr>
                <w:rStyle w:val="AERtextsize8"/>
              </w:rPr>
              <w:t>in a particular portfolio must have returns data over the same period. For example, we cannot include a firm with data from 2000 to 2007 in a portfolio with another firm with data from 2005 to 2013. A portfolio can only be formed in this scenario if common data from 2005 to 2007 is used.</w:t>
            </w:r>
          </w:p>
          <w:p w:rsidR="006A1FD6" w:rsidRPr="006A1FD6" w:rsidRDefault="006A1FD6" w:rsidP="006A1FD6">
            <w:pPr>
              <w:rPr>
                <w:rStyle w:val="AERtextsize8"/>
              </w:rPr>
            </w:pPr>
            <w:r>
              <w:rPr>
                <w:rStyle w:val="AERtextsize8"/>
              </w:rPr>
              <w:t>T</w:t>
            </w:r>
            <w:r w:rsidRPr="006A1FD6">
              <w:rPr>
                <w:rStyle w:val="AERtextsize8"/>
              </w:rPr>
              <w:t>he firms in our comparator set trade over different time periods (that is, they have returns data over different periods). Therefore, in forming our portfolios, we balanced the desirability of having a long time period that includes recent data with the desirability of having more firms in the portfolio. We also sought to capture each firm in our comparator set in at least one portfolio.</w:t>
            </w:r>
            <w:r w:rsidRPr="006A1FD6">
              <w:rPr>
                <w:rStyle w:val="FootnoteReference"/>
              </w:rPr>
              <w:footnoteReference w:id="262"/>
            </w:r>
          </w:p>
        </w:tc>
      </w:tr>
      <w:tr w:rsidR="006A1FD6" w:rsidTr="004C5238">
        <w:tc>
          <w:tcPr>
            <w:tcW w:w="3510" w:type="dxa"/>
          </w:tcPr>
          <w:p w:rsidR="006A1FD6" w:rsidRPr="006A1FD6" w:rsidRDefault="006A1FD6" w:rsidP="006A1FD6">
            <w:pPr>
              <w:rPr>
                <w:rStyle w:val="AERtextsize8"/>
              </w:rPr>
            </w:pPr>
            <w:r>
              <w:rPr>
                <w:rStyle w:val="AERtextsize8"/>
              </w:rPr>
              <w:t>The Vasicek adjustment mitigates systematic estimation error</w:t>
            </w:r>
            <w:r w:rsidRPr="006A1FD6">
              <w:rPr>
                <w:rStyle w:val="FootnoteReference"/>
              </w:rPr>
              <w:footnoteReference w:id="263"/>
            </w:r>
          </w:p>
        </w:tc>
        <w:tc>
          <w:tcPr>
            <w:tcW w:w="5183" w:type="dxa"/>
          </w:tcPr>
          <w:p w:rsidR="006A1FD6" w:rsidRPr="006A1FD6" w:rsidRDefault="006A1FD6" w:rsidP="006A1FD6">
            <w:pPr>
              <w:rPr>
                <w:rStyle w:val="AERtextsize8"/>
              </w:rPr>
            </w:pPr>
            <w:r w:rsidRPr="00A357BE">
              <w:rPr>
                <w:rStyle w:val="AERtextsize8"/>
              </w:rPr>
              <w:t xml:space="preserve">We do not apply </w:t>
            </w:r>
            <w:r w:rsidRPr="006A1FD6">
              <w:rPr>
                <w:rStyle w:val="AERtextsize8"/>
              </w:rPr>
              <w:t xml:space="preserve">a Vasicek adjustment. We note that SFG's application of the Vasicek adjustment assumes a prior distribution of the market as a whole, not the firms that represent the benchmark efficient entity. We also note that applying the Vasicek adjustment in the manner recommended by SFG made little to no difference to the empirical equity beta estimates. For more detail see section D.2.2 of Attachment 3 to </w:t>
            </w:r>
            <w:r>
              <w:rPr>
                <w:rStyle w:val="AERtextsize8"/>
              </w:rPr>
              <w:t>ActewAGL's</w:t>
            </w:r>
            <w:r w:rsidRPr="006A1FD6">
              <w:rPr>
                <w:rStyle w:val="AERtextsize8"/>
              </w:rPr>
              <w:t xml:space="preserve"> draft decision.</w:t>
            </w: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3510" w:type="dxa"/>
          </w:tcPr>
          <w:p w:rsidR="006A1FD6" w:rsidRPr="006A1FD6" w:rsidRDefault="006A1FD6" w:rsidP="006A1FD6">
            <w:pPr>
              <w:rPr>
                <w:rStyle w:val="Strong"/>
              </w:rPr>
            </w:pPr>
            <w:r w:rsidRPr="007353C8">
              <w:rPr>
                <w:rStyle w:val="Strong"/>
              </w:rPr>
              <w:t>Australian empirical estimates</w:t>
            </w:r>
          </w:p>
        </w:tc>
        <w:tc>
          <w:tcPr>
            <w:tcW w:w="5183" w:type="dxa"/>
          </w:tcPr>
          <w:p w:rsidR="006A1FD6" w:rsidRDefault="006A1FD6" w:rsidP="006A1FD6">
            <w:pPr>
              <w:rPr>
                <w:rStyle w:val="AERtextsize8"/>
              </w:rPr>
            </w:pPr>
          </w:p>
        </w:tc>
      </w:tr>
      <w:tr w:rsidR="006A1FD6" w:rsidTr="004C5238">
        <w:tc>
          <w:tcPr>
            <w:tcW w:w="3510" w:type="dxa"/>
          </w:tcPr>
          <w:p w:rsidR="006A1FD6" w:rsidRPr="006A1FD6" w:rsidRDefault="006A1FD6" w:rsidP="006A1FD6">
            <w:pPr>
              <w:rPr>
                <w:rStyle w:val="AERtextsize8"/>
              </w:rPr>
            </w:pPr>
            <w:r>
              <w:rPr>
                <w:rStyle w:val="AERtextsize8"/>
              </w:rPr>
              <w:t>Our range derived from Australian empirical estimates (0.4 to 0.7) is incorrect and inconsistent with Henry's 2014 report</w:t>
            </w:r>
            <w:r w:rsidRPr="006A1FD6">
              <w:rPr>
                <w:rStyle w:val="FootnoteReference"/>
              </w:rPr>
              <w:footnoteReference w:id="264"/>
            </w:r>
          </w:p>
        </w:tc>
        <w:tc>
          <w:tcPr>
            <w:tcW w:w="5183" w:type="dxa"/>
          </w:tcPr>
          <w:p w:rsidR="006A1FD6" w:rsidRPr="006A1FD6" w:rsidRDefault="006A1FD6" w:rsidP="006A1FD6">
            <w:pPr>
              <w:rPr>
                <w:rStyle w:val="AERtextsize8"/>
              </w:rPr>
            </w:pPr>
            <w:r>
              <w:rPr>
                <w:rStyle w:val="AERtextsize8"/>
              </w:rPr>
              <w:t xml:space="preserve">We recognise </w:t>
            </w:r>
            <w:r w:rsidRPr="006A1FD6">
              <w:rPr>
                <w:rStyle w:val="AERtextsize8"/>
              </w:rPr>
              <w:t xml:space="preserve">Henry reported a range of 0.3 to 0.8. However, while Henry appears to base his range on all his estimates (including individual firm estimates), we consider the most useful empirical estimates in our regulatory context are averages of individual firm estimates and fixed weight portfolio estimates. We note, in any case, that a point estimate of 0.7 is consistent with, and at the higher level of, the range identified by Henry. For more detail see section D.5.1 of Attachment 3 to </w:t>
            </w:r>
            <w:r>
              <w:rPr>
                <w:rStyle w:val="AERtextsize8"/>
              </w:rPr>
              <w:t>ActewAGL's</w:t>
            </w:r>
            <w:r w:rsidRPr="006A1FD6">
              <w:rPr>
                <w:rStyle w:val="AERtextsize8"/>
              </w:rPr>
              <w:t xml:space="preserve"> draft decision.</w:t>
            </w: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3510" w:type="dxa"/>
          </w:tcPr>
          <w:p w:rsidR="006A1FD6" w:rsidRPr="006A1FD6" w:rsidRDefault="006A1FD6" w:rsidP="006A1FD6">
            <w:pPr>
              <w:rPr>
                <w:rStyle w:val="AERtextsize8"/>
              </w:rPr>
            </w:pPr>
            <w:r w:rsidRPr="00AD5FDC">
              <w:rPr>
                <w:rStyle w:val="AERtextsize8"/>
              </w:rPr>
              <w:t>Serv</w:t>
            </w:r>
            <w:r w:rsidRPr="006A1FD6">
              <w:rPr>
                <w:rStyle w:val="AERtextsize8"/>
              </w:rPr>
              <w:t>ice providers submit that the equity beta estimates in Henry's 2014 report are highly variable and imprecise</w:t>
            </w:r>
            <w:r w:rsidRPr="006A1FD6">
              <w:rPr>
                <w:rStyle w:val="FootnoteReference"/>
              </w:rPr>
              <w:footnoteReference w:id="265"/>
            </w:r>
          </w:p>
          <w:p w:rsidR="006A1FD6" w:rsidRPr="006A1FD6" w:rsidRDefault="006A1FD6" w:rsidP="006A1FD6">
            <w:pPr>
              <w:rPr>
                <w:rStyle w:val="AERtextsize8"/>
              </w:rPr>
            </w:pPr>
            <w:r>
              <w:rPr>
                <w:rStyle w:val="AERtextsize8"/>
              </w:rPr>
              <w:t>Other stakeholders submit that t</w:t>
            </w:r>
            <w:r w:rsidRPr="006A1FD6">
              <w:rPr>
                <w:rStyle w:val="AERtextsize8"/>
              </w:rPr>
              <w:t>he equity beta estimates in Henry's 2014 report are clustered around a range of 0.3 to 0.5</w:t>
            </w:r>
            <w:r w:rsidRPr="006A1FD6">
              <w:rPr>
                <w:rStyle w:val="FootnoteReference"/>
              </w:rPr>
              <w:footnoteReference w:id="266"/>
            </w:r>
          </w:p>
        </w:tc>
        <w:tc>
          <w:tcPr>
            <w:tcW w:w="5183" w:type="dxa"/>
          </w:tcPr>
          <w:p w:rsidR="006A1FD6" w:rsidRPr="006A1FD6" w:rsidRDefault="006A1FD6" w:rsidP="006A1FD6">
            <w:pPr>
              <w:rPr>
                <w:rStyle w:val="AERtextsize8"/>
              </w:rPr>
            </w:pPr>
            <w:r>
              <w:rPr>
                <w:rStyle w:val="AERtextsize8"/>
              </w:rPr>
              <w:t>Both</w:t>
            </w:r>
            <w:r w:rsidRPr="006A1FD6">
              <w:rPr>
                <w:rStyle w:val="AERtextsize8"/>
              </w:rPr>
              <w:t xml:space="preserve"> viewpoints are based on individual firm estimates. We consider the most useful empirical estimates are averages of individual firm estimates and fixed weight portfolio estimates, and these estimates range from 0.4 to 0.7 under almost every regression permutation considered in Henry's 2014 report. For more detail, see section D.2.3 of Attachment 3 to </w:t>
            </w:r>
            <w:r>
              <w:rPr>
                <w:rStyle w:val="AERtextsize8"/>
              </w:rPr>
              <w:t>ActewAGL's</w:t>
            </w:r>
            <w:r w:rsidRPr="006A1FD6">
              <w:rPr>
                <w:rStyle w:val="AERtextsize8"/>
              </w:rPr>
              <w:t xml:space="preserve"> draft decision.</w:t>
            </w:r>
          </w:p>
        </w:tc>
      </w:tr>
      <w:tr w:rsidR="006A1FD6" w:rsidTr="004C5238">
        <w:tc>
          <w:tcPr>
            <w:tcW w:w="3510" w:type="dxa"/>
          </w:tcPr>
          <w:p w:rsidR="006A1FD6" w:rsidRPr="006A1FD6" w:rsidRDefault="006A1FD6" w:rsidP="006A1FD6">
            <w:pPr>
              <w:rPr>
                <w:rStyle w:val="AERtextsize8"/>
              </w:rPr>
            </w:pPr>
            <w:r>
              <w:rPr>
                <w:rStyle w:val="AERtextsize8"/>
              </w:rPr>
              <w:t xml:space="preserve">Australian empirical estimates support an equity beta </w:t>
            </w:r>
            <w:r w:rsidRPr="006A1FD6">
              <w:rPr>
                <w:rStyle w:val="AERtextsize8"/>
              </w:rPr>
              <w:t>within the range of 0.5 to 0.6</w:t>
            </w:r>
            <w:r w:rsidRPr="006A1FD6">
              <w:rPr>
                <w:rStyle w:val="FootnoteReference"/>
              </w:rPr>
              <w:footnoteReference w:id="267"/>
            </w:r>
          </w:p>
        </w:tc>
        <w:tc>
          <w:tcPr>
            <w:tcW w:w="5183" w:type="dxa"/>
          </w:tcPr>
          <w:p w:rsidR="006A1FD6" w:rsidRPr="006A1FD6" w:rsidRDefault="006A1FD6" w:rsidP="006A1FD6">
            <w:pPr>
              <w:rPr>
                <w:rStyle w:val="AERtextsize8"/>
              </w:rPr>
            </w:pPr>
            <w:r>
              <w:rPr>
                <w:rStyle w:val="AERtextsize8"/>
              </w:rPr>
              <w:t>We are satisfied the Australian empirical estimates we consider support an equity beta range of 0.4 to 0.7. Our range is based on averages of individual firm estimates and fixed weight portfolio estimates from Henry's 2014 report. We also consider equity beta estimates from a number of other Australia empirical studies.</w:t>
            </w:r>
            <w:r w:rsidRPr="006A1FD6">
              <w:rPr>
                <w:rStyle w:val="AERtextsize8"/>
              </w:rPr>
              <w:t xml:space="preserve"> This includes the ERA's 2013 study, which appears to contain the same estimates as the Vo, Mero and Gellard study discussed in the Consumer Challenge Panel's report.</w:t>
            </w:r>
            <w:r w:rsidRPr="006A1FD6">
              <w:rPr>
                <w:rStyle w:val="FootnoteReference"/>
              </w:rPr>
              <w:footnoteReference w:id="268"/>
            </w:r>
            <w:r w:rsidRPr="006A1FD6">
              <w:rPr>
                <w:rStyle w:val="AERtextsize8"/>
              </w:rPr>
              <w:t xml:space="preserve"> See sections </w:t>
            </w:r>
            <w:r w:rsidRPr="006A1FD6">
              <w:rPr>
                <w:rStyle w:val="AERtextsize8"/>
              </w:rPr>
              <w:fldChar w:fldCharType="begin"/>
            </w:r>
            <w:r w:rsidRPr="006A1FD6">
              <w:rPr>
                <w:rStyle w:val="AERtextsize8"/>
              </w:rPr>
              <w:instrText xml:space="preserve"> REF _Ref446255169 \r \h </w:instrText>
            </w:r>
            <w:r w:rsidRPr="006A1FD6">
              <w:rPr>
                <w:rStyle w:val="AERtextsize8"/>
              </w:rPr>
            </w:r>
            <w:r w:rsidRPr="006A1FD6">
              <w:rPr>
                <w:rStyle w:val="AERtextsize8"/>
              </w:rPr>
              <w:fldChar w:fldCharType="separate"/>
            </w:r>
            <w:r w:rsidR="001A023B">
              <w:rPr>
                <w:rStyle w:val="AERtextsize8"/>
              </w:rPr>
              <w:t>G.1</w:t>
            </w:r>
            <w:r w:rsidRPr="006A1FD6">
              <w:rPr>
                <w:rStyle w:val="AERtextsize8"/>
              </w:rPr>
              <w:fldChar w:fldCharType="end"/>
            </w:r>
            <w:r w:rsidRPr="006A1FD6">
              <w:rPr>
                <w:rStyle w:val="AERtextsize8"/>
              </w:rPr>
              <w:t xml:space="preserve"> and </w:t>
            </w:r>
            <w:r w:rsidRPr="006A1FD6">
              <w:rPr>
                <w:rStyle w:val="AERtextsize8"/>
              </w:rPr>
              <w:fldChar w:fldCharType="begin"/>
            </w:r>
            <w:r w:rsidRPr="006A1FD6">
              <w:rPr>
                <w:rStyle w:val="AERtextsize8"/>
              </w:rPr>
              <w:instrText xml:space="preserve"> REF _Ref446255164 \r \h </w:instrText>
            </w:r>
            <w:r w:rsidRPr="006A1FD6">
              <w:rPr>
                <w:rStyle w:val="AERtextsize8"/>
              </w:rPr>
            </w:r>
            <w:r w:rsidRPr="006A1FD6">
              <w:rPr>
                <w:rStyle w:val="AERtextsize8"/>
              </w:rPr>
              <w:fldChar w:fldCharType="separate"/>
            </w:r>
            <w:r w:rsidR="001A023B">
              <w:rPr>
                <w:rStyle w:val="AERtextsize8"/>
              </w:rPr>
              <w:t>G.2</w:t>
            </w:r>
            <w:r w:rsidRPr="006A1FD6">
              <w:rPr>
                <w:rStyle w:val="AERtextsize8"/>
              </w:rPr>
              <w:fldChar w:fldCharType="end"/>
            </w:r>
            <w:r w:rsidRPr="006A1FD6">
              <w:rPr>
                <w:rStyle w:val="AERtextsize8"/>
              </w:rPr>
              <w:t>.</w:t>
            </w:r>
          </w:p>
          <w:p w:rsidR="006A1FD6" w:rsidRPr="006A1FD6" w:rsidRDefault="006A1FD6" w:rsidP="006A1FD6">
            <w:pPr>
              <w:rPr>
                <w:rStyle w:val="AERtextsize8"/>
              </w:rPr>
            </w:pPr>
            <w:r>
              <w:rPr>
                <w:rStyle w:val="AERtextsize8"/>
              </w:rPr>
              <w:t xml:space="preserve">We have regard to other information when selecting our equity beta point estimate from within this range. </w:t>
            </w:r>
            <w:r w:rsidRPr="006A1FD6">
              <w:rPr>
                <w:rStyle w:val="AERtextsize8"/>
              </w:rPr>
              <w:t xml:space="preserve">This includes international empirical estimates and the theoretical principles underpinning the Black CAPM. See section D.5 of Attachment 3 to </w:t>
            </w:r>
            <w:r>
              <w:rPr>
                <w:rStyle w:val="AERtextsize8"/>
              </w:rPr>
              <w:t>ActewAGL's</w:t>
            </w:r>
            <w:r w:rsidRPr="006A1FD6">
              <w:rPr>
                <w:rStyle w:val="AERtextsize8"/>
              </w:rPr>
              <w:t xml:space="preserve"> draft decision.</w:t>
            </w: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3510" w:type="dxa"/>
          </w:tcPr>
          <w:p w:rsidR="006A1FD6" w:rsidRPr="006A1FD6" w:rsidRDefault="006A1FD6" w:rsidP="006A1FD6">
            <w:pPr>
              <w:rPr>
                <w:rStyle w:val="AERtextsize8"/>
              </w:rPr>
            </w:pPr>
            <w:r w:rsidRPr="00AD5FDC">
              <w:rPr>
                <w:rStyle w:val="AERtextsize8"/>
              </w:rPr>
              <w:t xml:space="preserve">We have incorrectly analysed the </w:t>
            </w:r>
            <w:r w:rsidRPr="006A1FD6">
              <w:rPr>
                <w:rStyle w:val="AERtextsize8"/>
              </w:rPr>
              <w:t>equity beta estimates in Grant Samuel's 2014 independent expert report</w:t>
            </w:r>
            <w:r w:rsidRPr="006A1FD6">
              <w:rPr>
                <w:rStyle w:val="FootnoteReference"/>
              </w:rPr>
              <w:footnoteReference w:id="269"/>
            </w:r>
          </w:p>
        </w:tc>
        <w:tc>
          <w:tcPr>
            <w:tcW w:w="5183" w:type="dxa"/>
          </w:tcPr>
          <w:p w:rsidR="006A1FD6" w:rsidRPr="006A1FD6" w:rsidRDefault="006A1FD6" w:rsidP="006A1FD6">
            <w:pPr>
              <w:rPr>
                <w:rStyle w:val="AERtextsize8"/>
              </w:rPr>
            </w:pPr>
            <w:r w:rsidRPr="00AF6BA0">
              <w:rPr>
                <w:rStyle w:val="AERtextsize8"/>
              </w:rPr>
              <w:t>We do not average across the different sources for each energy network firm in Grant Samuel's peer group. We average over the four Australian energy network firms in the peer group for each source</w:t>
            </w:r>
            <w:r w:rsidRPr="006A1FD6">
              <w:rPr>
                <w:rStyle w:val="AERtextsize8"/>
              </w:rPr>
              <w:t xml:space="preserve">. For more detail see section D.2.4 of Attachment 3 to </w:t>
            </w:r>
            <w:r>
              <w:rPr>
                <w:rStyle w:val="AERtextsize8"/>
              </w:rPr>
              <w:t>ActewAGL's</w:t>
            </w:r>
            <w:r w:rsidRPr="006A1FD6">
              <w:rPr>
                <w:rStyle w:val="AERtextsize8"/>
              </w:rPr>
              <w:t xml:space="preserve"> draft decision.</w:t>
            </w:r>
          </w:p>
        </w:tc>
      </w:tr>
      <w:tr w:rsidR="006A1FD6" w:rsidTr="004C5238">
        <w:tc>
          <w:tcPr>
            <w:tcW w:w="3510" w:type="dxa"/>
          </w:tcPr>
          <w:p w:rsidR="006A1FD6" w:rsidRPr="006A1FD6" w:rsidRDefault="006A1FD6" w:rsidP="006A1FD6">
            <w:pPr>
              <w:rPr>
                <w:rStyle w:val="Strong"/>
              </w:rPr>
            </w:pPr>
            <w:r w:rsidRPr="007353C8">
              <w:rPr>
                <w:rStyle w:val="Strong"/>
              </w:rPr>
              <w:t>International empirical estimates</w:t>
            </w:r>
          </w:p>
        </w:tc>
        <w:tc>
          <w:tcPr>
            <w:tcW w:w="5183" w:type="dxa"/>
          </w:tcPr>
          <w:p w:rsidR="006A1FD6" w:rsidRPr="0084394E" w:rsidRDefault="006A1FD6" w:rsidP="006A1FD6">
            <w:pPr>
              <w:rPr>
                <w:rStyle w:val="AERtextsize8"/>
              </w:rPr>
            </w:pP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3510" w:type="dxa"/>
          </w:tcPr>
          <w:p w:rsidR="006A1FD6" w:rsidRPr="006A1FD6" w:rsidRDefault="006A1FD6" w:rsidP="006A1FD6">
            <w:pPr>
              <w:rPr>
                <w:rStyle w:val="AERtextsize8"/>
              </w:rPr>
            </w:pPr>
            <w:r>
              <w:rPr>
                <w:rStyle w:val="AERtextsize8"/>
              </w:rPr>
              <w:t>Our analysis of international empirical estimates is incorrect</w:t>
            </w:r>
            <w:r w:rsidRPr="006A1FD6">
              <w:rPr>
                <w:rStyle w:val="AERtextsize8"/>
              </w:rPr>
              <w:t xml:space="preserve"> because we do not consider the relative reliability of different studies</w:t>
            </w:r>
            <w:r w:rsidRPr="006A1FD6">
              <w:rPr>
                <w:rStyle w:val="FootnoteReference"/>
              </w:rPr>
              <w:footnoteReference w:id="270"/>
            </w:r>
          </w:p>
        </w:tc>
        <w:tc>
          <w:tcPr>
            <w:tcW w:w="5183" w:type="dxa"/>
          </w:tcPr>
          <w:p w:rsidR="006A1FD6" w:rsidRPr="006A1FD6" w:rsidRDefault="006A1FD6" w:rsidP="006A1FD6">
            <w:pPr>
              <w:rPr>
                <w:rStyle w:val="AERtextsize8"/>
              </w:rPr>
            </w:pPr>
            <w:r w:rsidRPr="0084394E">
              <w:rPr>
                <w:rStyle w:val="AERtextsize8"/>
              </w:rPr>
              <w:t>The reports we review above are from reputable sources.</w:t>
            </w:r>
            <w:r w:rsidRPr="006A1FD6">
              <w:rPr>
                <w:rStyle w:val="AERtextsize8"/>
              </w:rPr>
              <w:t xml:space="preserve"> Different reports use different estimation techniques because experts have different views on how best to estimate equity beta. It would be difficult to find reports that are fully consistent with our preferred estimation approach. For more detail see section D.3 of Attachment 3 to </w:t>
            </w:r>
            <w:r>
              <w:rPr>
                <w:rStyle w:val="AERtextsize8"/>
              </w:rPr>
              <w:t>ActewAGL's</w:t>
            </w:r>
            <w:r w:rsidRPr="006A1FD6">
              <w:rPr>
                <w:rStyle w:val="AERtextsize8"/>
              </w:rPr>
              <w:t xml:space="preserve"> draft decision.</w:t>
            </w:r>
          </w:p>
        </w:tc>
      </w:tr>
      <w:tr w:rsidR="006A1FD6" w:rsidTr="004C5238">
        <w:tc>
          <w:tcPr>
            <w:tcW w:w="3510" w:type="dxa"/>
          </w:tcPr>
          <w:p w:rsidR="006A1FD6" w:rsidRPr="006A1FD6" w:rsidRDefault="006A1FD6" w:rsidP="006A1FD6">
            <w:pPr>
              <w:rPr>
                <w:rStyle w:val="AERtextsize8"/>
              </w:rPr>
            </w:pPr>
            <w:r>
              <w:rPr>
                <w:rStyle w:val="AERtextsize8"/>
              </w:rPr>
              <w:t xml:space="preserve">The international empirical estimates we </w:t>
            </w:r>
            <w:r w:rsidRPr="006A1FD6">
              <w:rPr>
                <w:rStyle w:val="AERtextsize8"/>
              </w:rPr>
              <w:t>consider (correctly analysed) are consistent with an equity beta estimate materially above 0.7</w:t>
            </w:r>
            <w:r w:rsidRPr="006A1FD6">
              <w:rPr>
                <w:rStyle w:val="FootnoteReference"/>
              </w:rPr>
              <w:footnoteReference w:id="271"/>
            </w:r>
          </w:p>
        </w:tc>
        <w:tc>
          <w:tcPr>
            <w:tcW w:w="5183" w:type="dxa"/>
          </w:tcPr>
          <w:p w:rsidR="006A1FD6" w:rsidRPr="006A1FD6" w:rsidRDefault="006A1FD6" w:rsidP="006A1FD6">
            <w:pPr>
              <w:rPr>
                <w:rStyle w:val="AERtextsize8"/>
              </w:rPr>
            </w:pPr>
            <w:r w:rsidRPr="006A40BF">
              <w:rPr>
                <w:rStyle w:val="AERtextsize8"/>
              </w:rPr>
              <w:t xml:space="preserve">We do not agree with SFG's interpretation of the international evidence we </w:t>
            </w:r>
            <w:r w:rsidRPr="006A1FD6">
              <w:rPr>
                <w:rStyle w:val="AERtextsize8"/>
              </w:rPr>
              <w:t xml:space="preserve">consider. We do not consider this evidence implies an equity beta estimate materially above 0.7 for the benchmark efficient entity. For more detail see section D.3 of Attachment 3 to </w:t>
            </w:r>
            <w:r>
              <w:rPr>
                <w:rStyle w:val="AERtextsize8"/>
              </w:rPr>
              <w:t>ActewAGL's</w:t>
            </w:r>
            <w:r w:rsidRPr="006A1FD6">
              <w:rPr>
                <w:rStyle w:val="AERtextsize8"/>
              </w:rPr>
              <w:t xml:space="preserve"> draft decision.</w:t>
            </w: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6A1FD6" w:rsidRPr="006A1FD6" w:rsidRDefault="006A1FD6" w:rsidP="006A1FD6">
            <w:pPr>
              <w:rPr>
                <w:rStyle w:val="Strong"/>
              </w:rPr>
            </w:pPr>
            <w:r w:rsidRPr="00835F59">
              <w:rPr>
                <w:rStyle w:val="Strong"/>
              </w:rPr>
              <w:t>Theoretical principles underpinning the Black CAPM</w:t>
            </w:r>
          </w:p>
        </w:tc>
      </w:tr>
      <w:tr w:rsidR="006A1FD6" w:rsidTr="004C5238">
        <w:tc>
          <w:tcPr>
            <w:tcW w:w="3510" w:type="dxa"/>
          </w:tcPr>
          <w:p w:rsidR="006A1FD6" w:rsidRPr="006A1FD6" w:rsidRDefault="006A1FD6" w:rsidP="006A1FD6">
            <w:pPr>
              <w:rPr>
                <w:rStyle w:val="AERtextsize8"/>
              </w:rPr>
            </w:pPr>
            <w:r>
              <w:rPr>
                <w:rStyle w:val="AERtextsize8"/>
              </w:rPr>
              <w:t>W</w:t>
            </w:r>
            <w:r w:rsidRPr="006A1FD6">
              <w:rPr>
                <w:rStyle w:val="AERtextsize8"/>
              </w:rPr>
              <w:t>e use the theory of the Black CAPM to apply a specific uplift to equity beta to correct for 'low beta bias'—however, the adjustment is insufficient to correct for this bias in the Sharpe-Lintner CAPM</w:t>
            </w:r>
            <w:r w:rsidRPr="006A1FD6">
              <w:rPr>
                <w:rStyle w:val="FootnoteReference"/>
              </w:rPr>
              <w:footnoteReference w:id="272"/>
            </w:r>
          </w:p>
        </w:tc>
        <w:tc>
          <w:tcPr>
            <w:tcW w:w="5183" w:type="dxa"/>
          </w:tcPr>
          <w:p w:rsidR="006A1FD6" w:rsidRPr="006A1FD6" w:rsidRDefault="006A1FD6" w:rsidP="006A1FD6">
            <w:pPr>
              <w:rPr>
                <w:rStyle w:val="AERtextsize8"/>
              </w:rPr>
            </w:pPr>
            <w:r w:rsidRPr="006A40BF">
              <w:rPr>
                <w:rStyle w:val="AERtextsize8"/>
              </w:rPr>
              <w:t xml:space="preserve">We do not use the theory underlying the Black CAPM to apply a specific </w:t>
            </w:r>
            <w:r w:rsidRPr="006A1FD6">
              <w:rPr>
                <w:rStyle w:val="AERtextsize8"/>
              </w:rPr>
              <w:t xml:space="preserve">uplift to the equity beta (and we did not do so in the Guideline). We do not consider that the theory of the Black CAPM can reliably support a specific uplift or that it implies that the Sharpe-Lintner CAPM produces biased return on equity estimates. For more detail see sections D.4, D.5.3, and A.2 of Attachment 3 to </w:t>
            </w:r>
            <w:r>
              <w:rPr>
                <w:rStyle w:val="AERtextsize8"/>
              </w:rPr>
              <w:t>ActewAGL's</w:t>
            </w:r>
            <w:r w:rsidRPr="006A1FD6">
              <w:rPr>
                <w:rStyle w:val="AERtextsize8"/>
              </w:rPr>
              <w:t xml:space="preserve"> draft decision.</w:t>
            </w: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3510" w:type="dxa"/>
          </w:tcPr>
          <w:p w:rsidR="006A1FD6" w:rsidRPr="006A1FD6" w:rsidRDefault="006A1FD6" w:rsidP="006A1FD6">
            <w:pPr>
              <w:rPr>
                <w:rStyle w:val="AERtextsize8"/>
              </w:rPr>
            </w:pPr>
            <w:r>
              <w:rPr>
                <w:rStyle w:val="AERtextsize8"/>
              </w:rPr>
              <w:t>Our use of the theory of the Black CAPM to inform the equity beta point estimate is arbitrary</w:t>
            </w:r>
            <w:r w:rsidRPr="006A1FD6">
              <w:rPr>
                <w:rStyle w:val="AERtextsize8"/>
              </w:rPr>
              <w:t xml:space="preserve"> and/or convoluted.</w:t>
            </w:r>
            <w:r w:rsidRPr="006A1FD6">
              <w:rPr>
                <w:rStyle w:val="FootnoteReference"/>
              </w:rPr>
              <w:footnoteReference w:id="273"/>
            </w:r>
            <w:r w:rsidRPr="006A1FD6">
              <w:rPr>
                <w:rStyle w:val="AERtextsize8"/>
              </w:rPr>
              <w:t xml:space="preserve"> The correct use of the Black CAPM (under our foundation model approach) is to use it empirically—this results in an equity beta estimate materially higher than 0.7</w:t>
            </w:r>
            <w:r w:rsidRPr="006A1FD6">
              <w:rPr>
                <w:rStyle w:val="FootnoteReference"/>
              </w:rPr>
              <w:footnoteReference w:id="274"/>
            </w:r>
          </w:p>
        </w:tc>
        <w:tc>
          <w:tcPr>
            <w:tcW w:w="5183" w:type="dxa"/>
          </w:tcPr>
          <w:p w:rsidR="006A1FD6" w:rsidRPr="006A1FD6" w:rsidRDefault="006A1FD6" w:rsidP="006A1FD6">
            <w:pPr>
              <w:rPr>
                <w:rStyle w:val="AERtextsize8"/>
              </w:rPr>
            </w:pPr>
            <w:r>
              <w:rPr>
                <w:rStyle w:val="AERtextsize8"/>
              </w:rPr>
              <w:t>We consider</w:t>
            </w:r>
            <w:r w:rsidRPr="006A1FD6">
              <w:rPr>
                <w:rStyle w:val="AERtextsize8"/>
              </w:rPr>
              <w:t xml:space="preserve"> it is open to us to consider the theory underlying the Black CAPM in informing our equity beta estimate. However, we consider the practical application of the Black CAPM produces unreliable empirical estimates. We set our reasons for not relying on empirical estimates of the Black CAPM, and for giving the theory of the Black CAPM an informative role in estimating equity beta, in section 3.4.1 (steps one and two) of </w:t>
            </w:r>
            <w:r>
              <w:rPr>
                <w:rStyle w:val="AERtextsize8"/>
              </w:rPr>
              <w:t>ActewAGL's</w:t>
            </w:r>
            <w:r w:rsidRPr="006A1FD6">
              <w:rPr>
                <w:rStyle w:val="AERtextsize8"/>
              </w:rPr>
              <w:t xml:space="preserve"> draft decision.</w:t>
            </w:r>
          </w:p>
        </w:tc>
      </w:tr>
      <w:tr w:rsidR="006A1FD6" w:rsidTr="004C5238">
        <w:tc>
          <w:tcPr>
            <w:tcW w:w="3510" w:type="dxa"/>
          </w:tcPr>
          <w:p w:rsidR="006A1FD6" w:rsidRPr="006A1FD6" w:rsidRDefault="006A1FD6" w:rsidP="006A1FD6">
            <w:pPr>
              <w:rPr>
                <w:rStyle w:val="AERtextsize8"/>
              </w:rPr>
            </w:pPr>
            <w:r>
              <w:rPr>
                <w:rStyle w:val="AERtextsize8"/>
              </w:rPr>
              <w:t>Neither the</w:t>
            </w:r>
            <w:r w:rsidRPr="006A1FD6">
              <w:rPr>
                <w:rStyle w:val="AERtextsize8"/>
              </w:rPr>
              <w:t xml:space="preserve"> theory nor empirical evidence from the Black CAPM should be used to inform the equity beta point estimate</w:t>
            </w:r>
            <w:r w:rsidRPr="006A1FD6">
              <w:rPr>
                <w:rStyle w:val="FootnoteReference"/>
              </w:rPr>
              <w:footnoteReference w:id="275"/>
            </w:r>
          </w:p>
        </w:tc>
        <w:tc>
          <w:tcPr>
            <w:tcW w:w="5183" w:type="dxa"/>
          </w:tcPr>
          <w:p w:rsidR="006A1FD6" w:rsidRPr="006A1FD6" w:rsidRDefault="006A1FD6" w:rsidP="006A1FD6">
            <w:pPr>
              <w:rPr>
                <w:rStyle w:val="AERtextsize8"/>
              </w:rPr>
            </w:pPr>
            <w:r w:rsidRPr="00AC0ACE">
              <w:rPr>
                <w:rStyle w:val="AERtextsize8"/>
              </w:rPr>
              <w:t>We consider there are merits to the theoretical principles underpinning the Black CAPM</w:t>
            </w:r>
            <w:r w:rsidRPr="006A1FD6">
              <w:rPr>
                <w:rStyle w:val="AERtextsize8"/>
              </w:rPr>
              <w:t xml:space="preserve"> (for example, it relaxes an assumption underlying the Sharpe-Lintner CAPM),</w:t>
            </w:r>
            <w:r w:rsidRPr="006A1FD6">
              <w:rPr>
                <w:rStyle w:val="FootnoteReference"/>
              </w:rPr>
              <w:footnoteReference w:id="276"/>
            </w:r>
            <w:r w:rsidRPr="006A1FD6">
              <w:rPr>
                <w:rStyle w:val="AERtextsize8"/>
              </w:rPr>
              <w:t xml:space="preserve"> and we have assessed this information against the criteria set out in the Guideline. We consider this theory can be useful in informing our equity beta point estimate. For more detail see section D.4 of Attachment 3 to </w:t>
            </w:r>
            <w:r>
              <w:rPr>
                <w:rStyle w:val="AERtextsize8"/>
              </w:rPr>
              <w:t>ActewAGL's</w:t>
            </w:r>
            <w:r w:rsidRPr="006A1FD6">
              <w:rPr>
                <w:rStyle w:val="AERtextsize8"/>
              </w:rPr>
              <w:t xml:space="preserve"> draft decision and section </w:t>
            </w:r>
            <w:r w:rsidR="00F81198">
              <w:rPr>
                <w:rStyle w:val="AERtextsize8"/>
              </w:rPr>
              <w:fldChar w:fldCharType="begin"/>
            </w:r>
            <w:r w:rsidR="00F81198">
              <w:rPr>
                <w:rStyle w:val="AERtextsize8"/>
              </w:rPr>
              <w:instrText xml:space="preserve"> REF _Ref448924785 \r \h </w:instrText>
            </w:r>
            <w:r w:rsidR="00F81198">
              <w:rPr>
                <w:rStyle w:val="AERtextsize8"/>
              </w:rPr>
            </w:r>
            <w:r w:rsidR="00F81198">
              <w:rPr>
                <w:rStyle w:val="AERtextsize8"/>
              </w:rPr>
              <w:fldChar w:fldCharType="separate"/>
            </w:r>
            <w:r w:rsidR="001A023B">
              <w:rPr>
                <w:rStyle w:val="AERtextsize8"/>
              </w:rPr>
              <w:t>B.2.3</w:t>
            </w:r>
            <w:r w:rsidR="00F81198">
              <w:rPr>
                <w:rStyle w:val="AERtextsize8"/>
              </w:rPr>
              <w:fldChar w:fldCharType="end"/>
            </w:r>
            <w:r w:rsidR="00F81198">
              <w:rPr>
                <w:rStyle w:val="AERtextsize8"/>
              </w:rPr>
              <w:t xml:space="preserve"> </w:t>
            </w:r>
            <w:r w:rsidRPr="006A1FD6">
              <w:rPr>
                <w:rStyle w:val="AERtextsize8"/>
              </w:rPr>
              <w:t xml:space="preserve">of this decision. </w:t>
            </w:r>
          </w:p>
          <w:p w:rsidR="006A1FD6" w:rsidRPr="006A1FD6" w:rsidRDefault="006A1FD6" w:rsidP="006A1FD6">
            <w:pPr>
              <w:rPr>
                <w:rStyle w:val="AERtextsize8"/>
              </w:rPr>
            </w:pPr>
            <w:r>
              <w:rPr>
                <w:rStyle w:val="AERtextsize8"/>
              </w:rPr>
              <w:t xml:space="preserve">We </w:t>
            </w:r>
            <w:r w:rsidRPr="006A1FD6">
              <w:rPr>
                <w:rStyle w:val="AERtextsize8"/>
              </w:rPr>
              <w:t>also do not consider our consultants disagree with our use of this information. In fact, Partington and Handley have both provided support for our foundation model approach.</w:t>
            </w:r>
            <w:r w:rsidRPr="006A1FD6">
              <w:rPr>
                <w:rStyle w:val="FootnoteReference"/>
              </w:rPr>
              <w:footnoteReference w:id="277"/>
            </w:r>
            <w:r w:rsidRPr="006A1FD6">
              <w:rPr>
                <w:rStyle w:val="AERtextsize8"/>
              </w:rPr>
              <w:t xml:space="preserve"> Our foundation model approach includes our use of the theory of the Black CAPM to inform the equity beta point estimate</w:t>
            </w: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6A1FD6" w:rsidRPr="006A1FD6" w:rsidRDefault="006A1FD6" w:rsidP="006A1FD6">
            <w:pPr>
              <w:rPr>
                <w:rStyle w:val="AERtextsize8"/>
              </w:rPr>
            </w:pPr>
            <w:r w:rsidRPr="00835F59">
              <w:rPr>
                <w:rStyle w:val="Strong"/>
              </w:rPr>
              <w:t>Conceptual analysis</w:t>
            </w:r>
          </w:p>
        </w:tc>
      </w:tr>
      <w:tr w:rsidR="006A1FD6" w:rsidTr="004C5238">
        <w:tc>
          <w:tcPr>
            <w:tcW w:w="3510" w:type="dxa"/>
          </w:tcPr>
          <w:p w:rsidR="006A1FD6" w:rsidRPr="006A1FD6" w:rsidRDefault="006A1FD6" w:rsidP="006A1FD6">
            <w:pPr>
              <w:rPr>
                <w:rStyle w:val="AERtextsize8"/>
              </w:rPr>
            </w:pPr>
            <w:r>
              <w:rPr>
                <w:rStyle w:val="AERtextsize8"/>
              </w:rPr>
              <w:t>T</w:t>
            </w:r>
            <w:r w:rsidRPr="006A1FD6">
              <w:rPr>
                <w:rStyle w:val="AERtextsize8"/>
              </w:rPr>
              <w:t>he reduction in systematic risk (specifically, demand risk) from a recent transition to a revenue cap from a price cap should be reflected in the equity beta</w:t>
            </w:r>
            <w:r w:rsidRPr="006A1FD6">
              <w:rPr>
                <w:rStyle w:val="FootnoteReference"/>
              </w:rPr>
              <w:footnoteReference w:id="278"/>
            </w:r>
            <w:r w:rsidRPr="006A1FD6">
              <w:rPr>
                <w:rStyle w:val="AERtextsize8"/>
              </w:rPr>
              <w:t xml:space="preserve"> </w:t>
            </w:r>
          </w:p>
        </w:tc>
        <w:tc>
          <w:tcPr>
            <w:tcW w:w="5183" w:type="dxa"/>
          </w:tcPr>
          <w:p w:rsidR="006A1FD6" w:rsidRPr="006A1FD6" w:rsidRDefault="006A1FD6" w:rsidP="006A1FD6">
            <w:pPr>
              <w:rPr>
                <w:rStyle w:val="AERtextsize8"/>
              </w:rPr>
            </w:pPr>
            <w:r>
              <w:rPr>
                <w:rStyle w:val="AERtextsize8"/>
              </w:rPr>
              <w:t>W</w:t>
            </w:r>
            <w:r w:rsidRPr="006A1FD6">
              <w:rPr>
                <w:rStyle w:val="AERtextsize8"/>
              </w:rPr>
              <w:t>e consider differences in demand risk can be mitigated through either form of control. Under a revenue cap, where forecast quantity demanded differs from actual quantity demanded, price adjustments are made in subsequent years to enable the approved revenue to be recovered by the service provider. Under a price cap, service providers may mitigate the risk of forecast error by restructuring tariffs, such that higher fixed charges are set to offset demand volatility. This is one of the reasons why, in the Guideline, we considered the systematic risks between gas, electricity, transmission and distribution networks are sufficiently similar as to justify one benchmark.</w:t>
            </w:r>
            <w:r w:rsidRPr="006A1FD6">
              <w:rPr>
                <w:rStyle w:val="FootnoteReference"/>
              </w:rPr>
              <w:footnoteReference w:id="279"/>
            </w:r>
            <w:r w:rsidRPr="006A1FD6">
              <w:t xml:space="preserve"> </w:t>
            </w:r>
            <w:r w:rsidRPr="006A1FD6">
              <w:rPr>
                <w:rStyle w:val="AERtextsize8"/>
              </w:rPr>
              <w:t>Even if moving to a revenue cap from a price cap did reduce the systematic risk of a service provider, we consider this would be reflected in lower business risk. This is only one aspect of our overall systematic risk assessment, which includes consideration of financial risk.</w:t>
            </w: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3510" w:type="dxa"/>
          </w:tcPr>
          <w:p w:rsidR="006A1FD6" w:rsidRPr="006A1FD6" w:rsidRDefault="006A1FD6" w:rsidP="006A1FD6">
            <w:pPr>
              <w:rPr>
                <w:rStyle w:val="AERtextsize8"/>
              </w:rPr>
            </w:pPr>
            <w:r>
              <w:rPr>
                <w:rStyle w:val="AERtextsize8"/>
              </w:rPr>
              <w:t xml:space="preserve">Our </w:t>
            </w:r>
            <w:r w:rsidRPr="006A1FD6">
              <w:rPr>
                <w:rStyle w:val="AERtextsize8"/>
              </w:rPr>
              <w:t>assessment of financial risk and its impact on overall systematic risk is incorrect</w:t>
            </w:r>
            <w:r w:rsidRPr="006A1FD6">
              <w:rPr>
                <w:rStyle w:val="FootnoteReference"/>
              </w:rPr>
              <w:footnoteReference w:id="280"/>
            </w:r>
          </w:p>
        </w:tc>
        <w:tc>
          <w:tcPr>
            <w:tcW w:w="5183" w:type="dxa"/>
          </w:tcPr>
          <w:p w:rsidR="006A1FD6" w:rsidRPr="006A1FD6" w:rsidRDefault="006A1FD6" w:rsidP="006A1FD6">
            <w:pPr>
              <w:rPr>
                <w:rStyle w:val="AERtextsize8"/>
              </w:rPr>
            </w:pPr>
            <w:r>
              <w:rPr>
                <w:rStyle w:val="AERtextsize8"/>
              </w:rPr>
              <w:t>We disagree. We</w:t>
            </w:r>
            <w:r w:rsidRPr="006A1FD6">
              <w:t xml:space="preserve"> consider </w:t>
            </w:r>
            <w:r w:rsidRPr="006A1FD6">
              <w:rPr>
                <w:rStyle w:val="AERtextsize8"/>
              </w:rPr>
              <w:t>financial risk relates to the additional systematic risk exposure that arises from the debt holdings of a firm and recognise the benchmark efficient entity is likely to have higher financial risk than the market average firm because it has relatively high financial leverage.</w:t>
            </w:r>
            <w:r w:rsidRPr="006A1FD6">
              <w:t xml:space="preserve"> However, </w:t>
            </w:r>
            <w:r w:rsidRPr="006A1FD6">
              <w:rPr>
                <w:rStyle w:val="AERtextsize8"/>
              </w:rPr>
              <w:t>the exact relationship between financial risk and financial leverage is not straightforward.</w:t>
            </w:r>
          </w:p>
          <w:p w:rsidR="006A1FD6" w:rsidRPr="006A1FD6" w:rsidRDefault="006A1FD6" w:rsidP="006A1FD6">
            <w:pPr>
              <w:rPr>
                <w:rStyle w:val="AERtextsize8"/>
              </w:rPr>
            </w:pPr>
            <w:r>
              <w:rPr>
                <w:rStyle w:val="AERtextsize8"/>
              </w:rPr>
              <w:t xml:space="preserve">We consider our conceptual analysis </w:t>
            </w:r>
            <w:r w:rsidRPr="006A1FD6">
              <w:rPr>
                <w:rStyle w:val="AERtextsize8"/>
              </w:rPr>
              <w:t xml:space="preserve">suggests the intrinsic business risk of a firm is the main driver of its systematic risk. We expect a business with a similar degree of risk as </w:t>
            </w:r>
            <w:r>
              <w:rPr>
                <w:rStyle w:val="AERtextsize8"/>
              </w:rPr>
              <w:t>ActewAGL</w:t>
            </w:r>
            <w:r w:rsidRPr="006A1FD6">
              <w:rPr>
                <w:rStyle w:val="AERtextsize8"/>
              </w:rPr>
              <w:t xml:space="preserve"> in providing regulated services to have low intrinsic risk exposure (relative to the market average). We also consider the high financial leverage of a benchmark efficient entity (relative to the market average) does not necessarily correspond to an equivalently high exposure to financial risk. Therefore, we consider there are reasonable conceptual grounds to expect the overall systematic risk for a business with a similar degree of risk as </w:t>
            </w:r>
            <w:r>
              <w:rPr>
                <w:rStyle w:val="AERtextsize8"/>
              </w:rPr>
              <w:t>ActewAGL</w:t>
            </w:r>
            <w:r w:rsidRPr="006A1FD6">
              <w:rPr>
                <w:rStyle w:val="AERtextsize8"/>
              </w:rPr>
              <w:t xml:space="preserve"> to be below that of the market average firm. Our views are supported by</w:t>
            </w:r>
            <w:r w:rsidRPr="006A1FD6">
              <w:t xml:space="preserve"> </w:t>
            </w:r>
            <w:r w:rsidRPr="006A1FD6">
              <w:rPr>
                <w:rStyle w:val="AERtextsize8"/>
              </w:rPr>
              <w:t xml:space="preserve">McKenzie and Partington. For more detail see section D.1 of Attachment 3 to </w:t>
            </w:r>
            <w:r>
              <w:rPr>
                <w:rStyle w:val="AERtextsize8"/>
              </w:rPr>
              <w:t>ActewAGL's</w:t>
            </w:r>
            <w:r w:rsidRPr="006A1FD6">
              <w:rPr>
                <w:rStyle w:val="AERtextsize8"/>
              </w:rPr>
              <w:t xml:space="preserve"> draft decision.</w:t>
            </w:r>
          </w:p>
        </w:tc>
      </w:tr>
      <w:tr w:rsidR="006A1FD6" w:rsidTr="004C5238">
        <w:tc>
          <w:tcPr>
            <w:tcW w:w="3510" w:type="dxa"/>
          </w:tcPr>
          <w:p w:rsidR="006A1FD6" w:rsidRPr="006A1FD6" w:rsidRDefault="006A1FD6" w:rsidP="006A1FD6">
            <w:pPr>
              <w:rPr>
                <w:rStyle w:val="AERtextsize8"/>
              </w:rPr>
            </w:pPr>
            <w:r>
              <w:rPr>
                <w:rStyle w:val="AERtextsize8"/>
              </w:rPr>
              <w:t>W</w:t>
            </w:r>
            <w:r w:rsidRPr="006A1FD6">
              <w:rPr>
                <w:rStyle w:val="AERtextsize8"/>
              </w:rPr>
              <w:t>e have misinterpreted the empirical evidence and expert reports we rely on (including Frontier Economic</w:t>
            </w:r>
            <w:r w:rsidR="001924DF">
              <w:rPr>
                <w:rStyle w:val="AERtextsize8"/>
              </w:rPr>
              <w:t>s</w:t>
            </w:r>
            <w:r w:rsidRPr="006A1FD6">
              <w:rPr>
                <w:rStyle w:val="AERtextsize8"/>
              </w:rPr>
              <w:t>' 2013 report to the AER)</w:t>
            </w:r>
            <w:r w:rsidRPr="006A1FD6">
              <w:rPr>
                <w:rStyle w:val="FootnoteReference"/>
              </w:rPr>
              <w:footnoteReference w:id="281"/>
            </w:r>
          </w:p>
        </w:tc>
        <w:tc>
          <w:tcPr>
            <w:tcW w:w="5183" w:type="dxa"/>
          </w:tcPr>
          <w:p w:rsidR="006A1FD6" w:rsidRPr="006A1FD6" w:rsidRDefault="006A1FD6" w:rsidP="006A1FD6">
            <w:pPr>
              <w:rPr>
                <w:rStyle w:val="AERtextsize8"/>
              </w:rPr>
            </w:pPr>
            <w:r>
              <w:rPr>
                <w:rStyle w:val="AERtextsize8"/>
              </w:rPr>
              <w:t>W</w:t>
            </w:r>
            <w:r w:rsidRPr="006A1FD6">
              <w:rPr>
                <w:rStyle w:val="AERtextsize8"/>
              </w:rPr>
              <w:t xml:space="preserve">e do not consider the empirical evidence referred to by McKenzie and Partington in their 2012 report has been misinterpreted. We also consider Frontier Economics have misunderstood our use of the information provided in its 2013 report. Regardless, Frontier's views (in its 2015 report) do not change our key conclusion on financial risk. For more detail see sections D.1.2 and D.1.3 of Attachment 3 to </w:t>
            </w:r>
            <w:r>
              <w:rPr>
                <w:rStyle w:val="AERtextsize8"/>
              </w:rPr>
              <w:t>ActewAGL's</w:t>
            </w:r>
            <w:r w:rsidRPr="006A1FD6">
              <w:rPr>
                <w:rStyle w:val="AERtextsize8"/>
              </w:rPr>
              <w:t xml:space="preserve"> draft decision.</w:t>
            </w: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3510" w:type="dxa"/>
          </w:tcPr>
          <w:p w:rsidR="006A1FD6" w:rsidRPr="006A1FD6" w:rsidRDefault="006A1FD6" w:rsidP="006A1FD6">
            <w:pPr>
              <w:rPr>
                <w:rStyle w:val="AERtextsize8"/>
              </w:rPr>
            </w:pPr>
            <w:r>
              <w:rPr>
                <w:rStyle w:val="AERtextsize8"/>
              </w:rPr>
              <w:t>Our conceptual analys</w:t>
            </w:r>
            <w:r w:rsidRPr="006A1FD6">
              <w:rPr>
                <w:rStyle w:val="AERtextsize8"/>
              </w:rPr>
              <w:t>is is unclear and likely to be counterproductive to good regulatory decisions</w:t>
            </w:r>
            <w:r w:rsidRPr="006A1FD6">
              <w:rPr>
                <w:rStyle w:val="FootnoteReference"/>
              </w:rPr>
              <w:footnoteReference w:id="282"/>
            </w:r>
          </w:p>
        </w:tc>
        <w:tc>
          <w:tcPr>
            <w:tcW w:w="5183" w:type="dxa"/>
          </w:tcPr>
          <w:p w:rsidR="006A1FD6" w:rsidRPr="006A1FD6" w:rsidRDefault="006A1FD6" w:rsidP="006A1FD6">
            <w:pPr>
              <w:rPr>
                <w:rStyle w:val="AERtextsize8"/>
              </w:rPr>
            </w:pPr>
            <w:r w:rsidRPr="00635805">
              <w:rPr>
                <w:rStyle w:val="AERtextsize8"/>
              </w:rPr>
              <w:t>We disagree with this view. Frontier's analysis appears to be based on a misunderstanding of the role of our conceptual analysis</w:t>
            </w:r>
            <w:r w:rsidRPr="006A1FD6">
              <w:rPr>
                <w:rStyle w:val="AERtextsize8"/>
              </w:rPr>
              <w:t xml:space="preserve">. For more detail see section D.1.3 of Attachment 3 to </w:t>
            </w:r>
            <w:r>
              <w:rPr>
                <w:rStyle w:val="AERtextsize8"/>
              </w:rPr>
              <w:t>ActewAGL's</w:t>
            </w:r>
            <w:r w:rsidRPr="006A1FD6">
              <w:rPr>
                <w:rStyle w:val="AERtextsize8"/>
              </w:rPr>
              <w:t xml:space="preserve"> draft decision.</w:t>
            </w:r>
          </w:p>
        </w:tc>
      </w:tr>
      <w:tr w:rsidR="006A1FD6" w:rsidTr="004C5238">
        <w:tc>
          <w:tcPr>
            <w:tcW w:w="3510" w:type="dxa"/>
          </w:tcPr>
          <w:p w:rsidR="006A1FD6" w:rsidRPr="006A1FD6" w:rsidRDefault="006A1FD6" w:rsidP="006A1FD6">
            <w:pPr>
              <w:rPr>
                <w:rStyle w:val="AERtextsize8"/>
              </w:rPr>
            </w:pPr>
            <w:r>
              <w:rPr>
                <w:rStyle w:val="AERtextsize8"/>
              </w:rPr>
              <w:t>We have not adequately accounted for the recent risks arising from disruptive technologies</w:t>
            </w:r>
            <w:r w:rsidRPr="006A1FD6">
              <w:rPr>
                <w:rStyle w:val="FootnoteReference"/>
              </w:rPr>
              <w:footnoteReference w:id="283"/>
            </w:r>
          </w:p>
        </w:tc>
        <w:tc>
          <w:tcPr>
            <w:tcW w:w="5183" w:type="dxa"/>
          </w:tcPr>
          <w:p w:rsidR="006A1FD6" w:rsidRPr="006A1FD6" w:rsidRDefault="006A1FD6" w:rsidP="006A1FD6">
            <w:pPr>
              <w:rPr>
                <w:rStyle w:val="AERtextsize8"/>
              </w:rPr>
            </w:pPr>
            <w:r w:rsidRPr="00CB54D7">
              <w:rPr>
                <w:rStyle w:val="AERtextsize8"/>
              </w:rPr>
              <w:t>We do not consider the risk arising from disruptive technologies can be reasonably classified as systematic risk</w:t>
            </w:r>
            <w:r w:rsidRPr="006A1FD6">
              <w:rPr>
                <w:rStyle w:val="AERtextsize8"/>
              </w:rPr>
              <w:t xml:space="preserve">, and so should not be compensated for in the return on equity. For more detail see section D.1.4 of Attachment 3 to </w:t>
            </w:r>
            <w:r>
              <w:rPr>
                <w:rStyle w:val="AERtextsize8"/>
              </w:rPr>
              <w:t>ActewAGL's</w:t>
            </w:r>
            <w:r w:rsidRPr="006A1FD6">
              <w:rPr>
                <w:rStyle w:val="AERtextsize8"/>
              </w:rPr>
              <w:t xml:space="preserve"> draft decision.</w:t>
            </w: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6A1FD6" w:rsidRPr="006A1FD6" w:rsidRDefault="006A1FD6" w:rsidP="006A1FD6">
            <w:pPr>
              <w:rPr>
                <w:rStyle w:val="AERtextsize8"/>
              </w:rPr>
            </w:pPr>
            <w:r w:rsidRPr="00835F59">
              <w:rPr>
                <w:rStyle w:val="Strong"/>
              </w:rPr>
              <w:t>Other</w:t>
            </w:r>
          </w:p>
        </w:tc>
      </w:tr>
      <w:tr w:rsidR="006A1FD6" w:rsidTr="004C5238">
        <w:tc>
          <w:tcPr>
            <w:tcW w:w="3510" w:type="dxa"/>
          </w:tcPr>
          <w:p w:rsidR="006A1FD6" w:rsidRPr="006A1FD6" w:rsidRDefault="006A1FD6" w:rsidP="006A1FD6">
            <w:pPr>
              <w:rPr>
                <w:rStyle w:val="AERtextsize8"/>
              </w:rPr>
            </w:pPr>
            <w:r>
              <w:rPr>
                <w:rStyle w:val="AERtextsize8"/>
              </w:rPr>
              <w:t>O</w:t>
            </w:r>
            <w:r w:rsidRPr="006A1FD6">
              <w:rPr>
                <w:rStyle w:val="AERtextsize8"/>
              </w:rPr>
              <w:t>ur approach is inconsistent with the approach we used to estimate equity beta in the 2009 WACC review because we have selected a different point estimate from the same range</w:t>
            </w:r>
            <w:r w:rsidRPr="006A1FD6">
              <w:rPr>
                <w:rStyle w:val="FootnoteReference"/>
              </w:rPr>
              <w:footnoteReference w:id="284"/>
            </w:r>
          </w:p>
        </w:tc>
        <w:tc>
          <w:tcPr>
            <w:tcW w:w="5183" w:type="dxa"/>
          </w:tcPr>
          <w:p w:rsidR="006A1FD6" w:rsidRPr="006A1FD6" w:rsidRDefault="006A1FD6" w:rsidP="006A1FD6">
            <w:pPr>
              <w:rPr>
                <w:rStyle w:val="AERtextsize8"/>
              </w:rPr>
            </w:pPr>
            <w:r>
              <w:rPr>
                <w:rStyle w:val="AERtextsize8"/>
              </w:rPr>
              <w:t xml:space="preserve">We disagree. </w:t>
            </w:r>
            <w:r w:rsidRPr="006A1FD6">
              <w:rPr>
                <w:rStyle w:val="AERtextsize8"/>
              </w:rPr>
              <w:t>During the Guideline process we stated, 'During both the 2009 WACC review and now we considered the empirical estimates support a range of 0.4 to 0.7. In the 2009 WACC review, we adopted a point estimate of 0.8 (slightly above the range of empirical estimates). In this issues paper, we propose to lower our point estimate from 0.8 to 0.7 because we now have greater confidence in the reliability of the empirical estimates—In 2009, there were fewer empirical estimates available. The data spanned a shorter time period and we were facing uncertainty due to the global financial crisis. Four years on, we now have more studies, spanning a longer time period and a diversity of market conditions. The results from these studies demonstrate a consistent pattern over time.'</w:t>
            </w:r>
            <w:r w:rsidRPr="006A1FD6">
              <w:rPr>
                <w:rStyle w:val="FootnoteReference"/>
              </w:rPr>
              <w:footnoteReference w:id="285"/>
            </w:r>
            <w:r w:rsidRPr="006A1FD6">
              <w:rPr>
                <w:rStyle w:val="AERtextsize8"/>
              </w:rPr>
              <w:t xml:space="preserve"> For more detail see section D.5.2 of Attachment 3 to </w:t>
            </w:r>
            <w:r>
              <w:rPr>
                <w:rStyle w:val="AERtextsize8"/>
              </w:rPr>
              <w:t>ActewAGL's</w:t>
            </w:r>
            <w:r w:rsidRPr="006A1FD6">
              <w:rPr>
                <w:rStyle w:val="AERtextsize8"/>
              </w:rPr>
              <w:t xml:space="preserve"> draft decision.</w:t>
            </w: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3510" w:type="dxa"/>
          </w:tcPr>
          <w:p w:rsidR="006A1FD6" w:rsidRPr="006A1FD6" w:rsidRDefault="006A1FD6" w:rsidP="006A1FD6">
            <w:pPr>
              <w:rPr>
                <w:rStyle w:val="AERtextsize8"/>
              </w:rPr>
            </w:pPr>
            <w:r>
              <w:rPr>
                <w:rStyle w:val="AERtextsize8"/>
              </w:rPr>
              <w:t>Our multi-stage approach to estimating the equity beta</w:t>
            </w:r>
            <w:r w:rsidRPr="006A1FD6">
              <w:t xml:space="preserve"> </w:t>
            </w:r>
            <w:r w:rsidRPr="006A1FD6">
              <w:rPr>
                <w:rStyle w:val="AERtextsize8"/>
              </w:rPr>
              <w:t>pre-emptively dilutes or eliminates the impact of other relevant evidence</w:t>
            </w:r>
            <w:r w:rsidRPr="006A1FD6">
              <w:rPr>
                <w:rStyle w:val="FootnoteReference"/>
              </w:rPr>
              <w:footnoteReference w:id="286"/>
            </w:r>
          </w:p>
        </w:tc>
        <w:tc>
          <w:tcPr>
            <w:tcW w:w="5183" w:type="dxa"/>
          </w:tcPr>
          <w:p w:rsidR="006A1FD6" w:rsidRPr="006A1FD6" w:rsidRDefault="006A1FD6" w:rsidP="006A1FD6">
            <w:pPr>
              <w:rPr>
                <w:rStyle w:val="AERtextsize8"/>
              </w:rPr>
            </w:pPr>
            <w:r>
              <w:rPr>
                <w:rStyle w:val="AERtextsize8"/>
              </w:rPr>
              <w:t>O</w:t>
            </w:r>
            <w:r w:rsidRPr="006A1FD6">
              <w:rPr>
                <w:rStyle w:val="AERtextsize8"/>
              </w:rPr>
              <w:t xml:space="preserve">ur use of relevant material is based on their relative merits (see section D.5.3 of Attachment 3 to </w:t>
            </w:r>
            <w:r>
              <w:rPr>
                <w:rStyle w:val="AERtextsize8"/>
              </w:rPr>
              <w:t>ActewAGL's</w:t>
            </w:r>
            <w:r w:rsidRPr="006A1FD6">
              <w:rPr>
                <w:rStyle w:val="AERtextsize8"/>
              </w:rPr>
              <w:t xml:space="preserve"> draft decision</w:t>
            </w:r>
            <w:r w:rsidRPr="006A1FD6">
              <w:t>)</w:t>
            </w:r>
            <w:r w:rsidRPr="006A1FD6">
              <w:rPr>
                <w:rStyle w:val="AERtextsize8"/>
              </w:rPr>
              <w:t>.</w:t>
            </w:r>
          </w:p>
        </w:tc>
      </w:tr>
      <w:tr w:rsidR="006A1FD6" w:rsidTr="004C5238">
        <w:tc>
          <w:tcPr>
            <w:tcW w:w="3510" w:type="dxa"/>
          </w:tcPr>
          <w:p w:rsidR="006A1FD6" w:rsidRPr="006A1FD6" w:rsidRDefault="006A1FD6" w:rsidP="006A1FD6">
            <w:pPr>
              <w:rPr>
                <w:rStyle w:val="AERtextsize8"/>
              </w:rPr>
            </w:pPr>
            <w:r>
              <w:rPr>
                <w:rStyle w:val="AERtextsize8"/>
              </w:rPr>
              <w:t>O</w:t>
            </w:r>
            <w:r w:rsidRPr="006A1FD6">
              <w:rPr>
                <w:rStyle w:val="AERtextsize8"/>
              </w:rPr>
              <w:t>ur estimate of equity beta does not sufficiently account for possible biases in the Sharpe-Lintner CAPM—our equity beta estimate should be specifically adjusted for 'low beta bias' and/or 'book-to-market bias' using empirical evidence from the Black CAPM and Fama French model</w:t>
            </w:r>
            <w:r w:rsidRPr="006A1FD6">
              <w:rPr>
                <w:rStyle w:val="FootnoteReference"/>
              </w:rPr>
              <w:footnoteReference w:id="287"/>
            </w:r>
          </w:p>
        </w:tc>
        <w:tc>
          <w:tcPr>
            <w:tcW w:w="5183" w:type="dxa"/>
          </w:tcPr>
          <w:p w:rsidR="006A1FD6" w:rsidRPr="006A1FD6" w:rsidRDefault="006A1FD6" w:rsidP="00F81198">
            <w:pPr>
              <w:rPr>
                <w:rStyle w:val="AERtextsize8"/>
              </w:rPr>
            </w:pPr>
            <w:r w:rsidRPr="00245C96">
              <w:rPr>
                <w:rStyle w:val="AERtextsize8"/>
              </w:rPr>
              <w:t>We do not consider our use of the S</w:t>
            </w:r>
            <w:r w:rsidRPr="006A1FD6">
              <w:rPr>
                <w:rStyle w:val="AERtextsize8"/>
              </w:rPr>
              <w:t>harpe-Lintner CAPM in our foundation model approach will result in a downward biased estimate of the return on equity.</w:t>
            </w:r>
            <w:r w:rsidRPr="006A1FD6">
              <w:t xml:space="preserve"> </w:t>
            </w:r>
            <w:r w:rsidRPr="006A1FD6">
              <w:rPr>
                <w:rStyle w:val="AERtextsize8"/>
              </w:rPr>
              <w:t xml:space="preserve">We provide extensive reasoning for these views in the 'service providers' proposed multi-model approach' subsection in section </w:t>
            </w:r>
            <w:r w:rsidR="00410080">
              <w:rPr>
                <w:rStyle w:val="AERtextsize8"/>
              </w:rPr>
              <w:fldChar w:fldCharType="begin"/>
            </w:r>
            <w:r w:rsidR="00410080">
              <w:rPr>
                <w:rStyle w:val="AERtextsize8"/>
              </w:rPr>
              <w:instrText xml:space="preserve"> REF _Ref451691090 \r \h </w:instrText>
            </w:r>
            <w:r w:rsidR="00410080">
              <w:rPr>
                <w:rStyle w:val="AERtextsize8"/>
              </w:rPr>
            </w:r>
            <w:r w:rsidR="00410080">
              <w:rPr>
                <w:rStyle w:val="AERtextsize8"/>
              </w:rPr>
              <w:fldChar w:fldCharType="separate"/>
            </w:r>
            <w:r w:rsidR="001A023B">
              <w:rPr>
                <w:rStyle w:val="AERtextsize8"/>
              </w:rPr>
              <w:t>3.4.1</w:t>
            </w:r>
            <w:r w:rsidR="00410080">
              <w:rPr>
                <w:rStyle w:val="AERtextsize8"/>
              </w:rPr>
              <w:fldChar w:fldCharType="end"/>
            </w:r>
            <w:r w:rsidR="00F81198">
              <w:rPr>
                <w:rStyle w:val="AERtextsize8"/>
              </w:rPr>
              <w:t xml:space="preserve"> </w:t>
            </w:r>
            <w:r w:rsidRPr="006A1FD6">
              <w:rPr>
                <w:rStyle w:val="AERtextsize8"/>
              </w:rPr>
              <w:t xml:space="preserve">of this attachment. Also see sections </w:t>
            </w:r>
            <w:r w:rsidRPr="006A1FD6">
              <w:t xml:space="preserve">D.5.3, A.2, A.3 of Attachment 3 to </w:t>
            </w:r>
            <w:r>
              <w:t>ActewAGL's</w:t>
            </w:r>
            <w:r w:rsidRPr="006A1FD6">
              <w:t xml:space="preserve"> draft decision.</w:t>
            </w:r>
          </w:p>
        </w:tc>
      </w:tr>
      <w:tr w:rsidR="006A1FD6" w:rsidTr="004C5238">
        <w:trPr>
          <w:cnfStyle w:val="000000010000" w:firstRow="0" w:lastRow="0" w:firstColumn="0" w:lastColumn="0" w:oddVBand="0" w:evenVBand="0" w:oddHBand="0" w:evenHBand="1" w:firstRowFirstColumn="0" w:firstRowLastColumn="0" w:lastRowFirstColumn="0" w:lastRowLastColumn="0"/>
        </w:trPr>
        <w:tc>
          <w:tcPr>
            <w:tcW w:w="3510" w:type="dxa"/>
          </w:tcPr>
          <w:p w:rsidR="006A1FD6" w:rsidRPr="006A1FD6" w:rsidRDefault="006A1FD6" w:rsidP="006A1FD6">
            <w:pPr>
              <w:rPr>
                <w:rStyle w:val="AERtextsize8"/>
              </w:rPr>
            </w:pPr>
            <w:r>
              <w:rPr>
                <w:rStyle w:val="AERtextsize8"/>
              </w:rPr>
              <w:t xml:space="preserve">An equity beta estimate </w:t>
            </w:r>
            <w:r w:rsidRPr="006A1FD6">
              <w:rPr>
                <w:rStyle w:val="AERtextsize8"/>
              </w:rPr>
              <w:t>implied from SFG's construction of the dividend growth model should be used as a cross check on our foundation model equity beta estimate</w:t>
            </w:r>
            <w:r w:rsidRPr="006A1FD6">
              <w:rPr>
                <w:rStyle w:val="FootnoteReference"/>
              </w:rPr>
              <w:footnoteReference w:id="288"/>
            </w:r>
          </w:p>
        </w:tc>
        <w:tc>
          <w:tcPr>
            <w:tcW w:w="5183" w:type="dxa"/>
          </w:tcPr>
          <w:p w:rsidR="006A1FD6" w:rsidRPr="006A1FD6" w:rsidRDefault="006A1FD6" w:rsidP="006A1FD6">
            <w:pPr>
              <w:rPr>
                <w:rStyle w:val="AERtextsize8"/>
              </w:rPr>
            </w:pPr>
            <w:r w:rsidRPr="00716187">
              <w:rPr>
                <w:rStyle w:val="AERtextsize8"/>
              </w:rPr>
              <w:t xml:space="preserve">SFG's </w:t>
            </w:r>
            <w:r w:rsidRPr="006A1FD6">
              <w:rPr>
                <w:rStyle w:val="AERtextsize8"/>
              </w:rPr>
              <w:t>dividend growth model-based estimates of equity beta are derived by estimating the relative risk ratio of Australian energy network firms to the market, which it uses as an implied beta estimate. We consider there are several technical issues with SFG's approach. These include: the method used to derive its implied beta estimate is not aligned with the definition of equity beta; its implied beta estimate is based on a relatively small dataset; and it used inappropriate</w:t>
            </w:r>
            <w:r w:rsidRPr="006A1FD6">
              <w:t xml:space="preserve"> </w:t>
            </w:r>
            <w:r w:rsidRPr="006A1FD6">
              <w:rPr>
                <w:rStyle w:val="AERtextsize8"/>
              </w:rPr>
              <w:t xml:space="preserve">weightings in the estimation process. For more detail see sections B.3 and D.5.3 of Attachment 3 to </w:t>
            </w:r>
            <w:r>
              <w:rPr>
                <w:rStyle w:val="AERtextsize8"/>
              </w:rPr>
              <w:t>ActewAGL's</w:t>
            </w:r>
            <w:r w:rsidRPr="006A1FD6">
              <w:rPr>
                <w:rStyle w:val="AERtextsize8"/>
              </w:rPr>
              <w:t xml:space="preserve"> draft decision.</w:t>
            </w:r>
          </w:p>
        </w:tc>
      </w:tr>
      <w:tr w:rsidR="006A1FD6" w:rsidRPr="00245C96" w:rsidTr="004C5238">
        <w:tc>
          <w:tcPr>
            <w:tcW w:w="3510" w:type="dxa"/>
          </w:tcPr>
          <w:p w:rsidR="006A1FD6" w:rsidRPr="006A1FD6" w:rsidRDefault="006A1FD6" w:rsidP="006A1FD6">
            <w:pPr>
              <w:rPr>
                <w:rStyle w:val="AERtextsize8"/>
              </w:rPr>
            </w:pPr>
            <w:r>
              <w:rPr>
                <w:rStyle w:val="AERtextsize8"/>
              </w:rPr>
              <w:t>The equity beta should be 0.8 because a change from our previous estimate is not warranted</w:t>
            </w:r>
            <w:r w:rsidRPr="006A1FD6">
              <w:rPr>
                <w:rStyle w:val="FootnoteReference"/>
              </w:rPr>
              <w:footnoteReference w:id="289"/>
            </w:r>
          </w:p>
        </w:tc>
        <w:tc>
          <w:tcPr>
            <w:tcW w:w="5183" w:type="dxa"/>
          </w:tcPr>
          <w:p w:rsidR="006A1FD6" w:rsidRPr="006A1FD6" w:rsidRDefault="006A1FD6" w:rsidP="006A1FD6">
            <w:pPr>
              <w:rPr>
                <w:rStyle w:val="AERtextsize8"/>
              </w:rPr>
            </w:pPr>
            <w:r>
              <w:rPr>
                <w:rStyle w:val="AERtextsize8"/>
              </w:rPr>
              <w:t xml:space="preserve">We do have regard to our previous beta estimates </w:t>
            </w:r>
            <w:r w:rsidRPr="006A1FD6">
              <w:rPr>
                <w:rStyle w:val="AERtextsize8"/>
              </w:rPr>
              <w:t>in the context of the stated preferences of investors and stakeholders for transparency and predictability. However, we also consider evidence from updated empirical estimates, conceptual analysis, and the theory of the Black CAPM and find that, on balance, the evidence supports an equity beta of 0.7.</w:t>
            </w:r>
            <w:r w:rsidRPr="006A1FD6">
              <w:t xml:space="preserve"> </w:t>
            </w:r>
          </w:p>
        </w:tc>
      </w:tr>
    </w:tbl>
    <w:p w:rsidR="006A1FD6" w:rsidRDefault="006A1FD6" w:rsidP="006A1FD6">
      <w:pPr>
        <w:pStyle w:val="AERtablesource"/>
      </w:pPr>
      <w:r>
        <w:t>Source:</w:t>
      </w:r>
      <w:r>
        <w:tab/>
        <w:t>AER analysis; numerous stakeholder submissions.</w:t>
      </w:r>
    </w:p>
    <w:p w:rsidR="00033144" w:rsidRPr="00033144" w:rsidRDefault="00033144" w:rsidP="00033144">
      <w:pPr>
        <w:pStyle w:val="HeadingBoldBlue"/>
        <w:numPr>
          <w:ilvl w:val="0"/>
          <w:numId w:val="24"/>
        </w:numPr>
        <w:rPr>
          <w:rStyle w:val="AERtextorange"/>
        </w:rPr>
      </w:pPr>
      <w:bookmarkStart w:id="70" w:name="_Ref446347167"/>
      <w:r w:rsidRPr="00033144">
        <w:rPr>
          <w:rStyle w:val="AERtextorange"/>
        </w:rPr>
        <w:t>The overall return on equity</w:t>
      </w:r>
      <w:bookmarkEnd w:id="70"/>
    </w:p>
    <w:p w:rsidR="00033144" w:rsidRPr="00033144" w:rsidRDefault="00033144" w:rsidP="00033144">
      <w:r w:rsidRPr="00033144">
        <w:t>To inform the reasonableness of the foundation model return on equity estimate, we estimate and evaluate values from other relevant sources of information (steps four and five of the foundation model approach).</w:t>
      </w:r>
      <w:r w:rsidRPr="00033144">
        <w:rPr>
          <w:rStyle w:val="FootnoteReference"/>
        </w:rPr>
        <w:footnoteReference w:id="290"/>
      </w:r>
      <w:r w:rsidRPr="00033144">
        <w:t xml:space="preserve"> In having regard to prevailing market conditions we have also examined recent movements in the relevant material. </w:t>
      </w:r>
    </w:p>
    <w:p w:rsidR="00033144" w:rsidRPr="00033144" w:rsidRDefault="00033144" w:rsidP="00033144">
      <w:r w:rsidRPr="00033144">
        <w:t xml:space="preserve">Our task is to set the allowed rate of return to be commensurate with a similar degree of risk as that which applies to </w:t>
      </w:r>
      <w:r w:rsidR="00F8641A" w:rsidRPr="00BE7FAA">
        <w:rPr>
          <w:rStyle w:val="AERbody"/>
        </w:rPr>
        <w:t>ActewAGL</w:t>
      </w:r>
      <w:r w:rsidRPr="00033144">
        <w:t xml:space="preserve"> with respect to the provision of </w:t>
      </w:r>
      <w:r w:rsidR="00F8641A">
        <w:t>reference</w:t>
      </w:r>
      <w:r w:rsidRPr="00033144">
        <w:t xml:space="preserve"> services.</w:t>
      </w:r>
      <w:r w:rsidRPr="00033144">
        <w:rPr>
          <w:rStyle w:val="FootnoteReference"/>
        </w:rPr>
        <w:footnoteReference w:id="291"/>
      </w:r>
      <w:r w:rsidRPr="00033144">
        <w:t xml:space="preserve"> This requires us to consider the additional riskiness of </w:t>
      </w:r>
      <w:r w:rsidR="00F8641A" w:rsidRPr="00F8641A">
        <w:rPr>
          <w:rStyle w:val="AERbody"/>
        </w:rPr>
        <w:t>ActewAGL</w:t>
      </w:r>
      <w:r w:rsidRPr="00033144">
        <w:rPr>
          <w:rStyle w:val="FootnoteReference"/>
        </w:rPr>
        <w:footnoteReference w:id="292"/>
      </w:r>
      <w:r w:rsidRPr="00033144">
        <w:t xml:space="preserve"> relative to the risk free asset, and the commensurate return that equity investors require to take on this additional risk. Hence, the critical allowance is the allowed equity risk premium over and above the estimated risk free rate at a given time. </w:t>
      </w:r>
      <w:r w:rsidRPr="00033144">
        <w:fldChar w:fldCharType="begin"/>
      </w:r>
      <w:r w:rsidRPr="00033144">
        <w:instrText xml:space="preserve"> REF _Ref445923478 \h </w:instrText>
      </w:r>
      <w:r w:rsidRPr="00033144">
        <w:fldChar w:fldCharType="separate"/>
      </w:r>
      <w:r w:rsidR="001A023B" w:rsidRPr="00033144">
        <w:t xml:space="preserve">Figure </w:t>
      </w:r>
      <w:r w:rsidR="001A023B">
        <w:rPr>
          <w:noProof/>
        </w:rPr>
        <w:t>3</w:t>
      </w:r>
      <w:r w:rsidR="001A023B">
        <w:noBreakHyphen/>
      </w:r>
      <w:r w:rsidR="001A023B">
        <w:rPr>
          <w:noProof/>
        </w:rPr>
        <w:t>5</w:t>
      </w:r>
      <w:r w:rsidRPr="00033144">
        <w:fldChar w:fldCharType="end"/>
      </w:r>
      <w:r w:rsidRPr="00033144">
        <w:t xml:space="preserve"> compares our foundation model equity risk premium to other relevant material</w:t>
      </w:r>
      <w:r w:rsidRPr="00033144">
        <w:rPr>
          <w:rStyle w:val="FootnoteReference"/>
        </w:rPr>
        <w:footnoteReference w:id="293"/>
      </w:r>
      <w:r w:rsidRPr="00033144">
        <w:t xml:space="preserve"> that can inform our estimate of return on equity and equity risk premium. </w:t>
      </w:r>
    </w:p>
    <w:p w:rsidR="00033144" w:rsidRPr="00033144" w:rsidRDefault="00033144" w:rsidP="00033144">
      <w:r w:rsidRPr="00033144">
        <w:t>We consider that, on the whole, the other material</w:t>
      </w:r>
      <w:r w:rsidRPr="00033144">
        <w:rPr>
          <w:rStyle w:val="FootnoteReference"/>
        </w:rPr>
        <w:footnoteReference w:id="294"/>
      </w:r>
      <w:r w:rsidRPr="00033144">
        <w:t xml:space="preserve"> broadly supports our foundation model estimate of the return on equity. Overall, we find that this information does not indicate a material, sustained change in market conditions since our </w:t>
      </w:r>
      <w:r w:rsidR="00F8641A">
        <w:t xml:space="preserve">draft </w:t>
      </w:r>
      <w:r w:rsidRPr="00033144">
        <w:t xml:space="preserve">decision sufficient to cause us to move away from our foundation model estimate.  </w:t>
      </w:r>
    </w:p>
    <w:p w:rsidR="00033144" w:rsidRDefault="00033144" w:rsidP="00033144">
      <w:pPr>
        <w:pStyle w:val="Caption"/>
      </w:pPr>
      <w:bookmarkStart w:id="71" w:name="_Ref445923478"/>
      <w:r w:rsidRPr="00033144">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5</w:t>
      </w:r>
      <w:r w:rsidR="00120312">
        <w:rPr>
          <w:noProof/>
        </w:rPr>
        <w:fldChar w:fldCharType="end"/>
      </w:r>
      <w:bookmarkEnd w:id="71"/>
      <w:r w:rsidRPr="00033144">
        <w:tab/>
        <w:t>Comparison of our foundation model equity risk premium</w:t>
      </w:r>
    </w:p>
    <w:p w:rsidR="00033144" w:rsidRPr="00033144" w:rsidRDefault="00DB39DB" w:rsidP="00033144">
      <w:r w:rsidRPr="00DB39DB">
        <w:rPr>
          <w:noProof/>
          <w:lang w:eastAsia="en-AU"/>
        </w:rPr>
        <w:drawing>
          <wp:inline distT="0" distB="0" distL="0" distR="0" wp14:anchorId="3FE42188" wp14:editId="2DE72930">
            <wp:extent cx="5382895" cy="5733129"/>
            <wp:effectExtent l="0" t="0" r="825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2895" cy="5733129"/>
                    </a:xfrm>
                    <a:prstGeom prst="rect">
                      <a:avLst/>
                    </a:prstGeom>
                    <a:noFill/>
                    <a:ln>
                      <a:noFill/>
                    </a:ln>
                  </pic:spPr>
                </pic:pic>
              </a:graphicData>
            </a:graphic>
          </wp:inline>
        </w:drawing>
      </w:r>
    </w:p>
    <w:p w:rsidR="00033144" w:rsidRPr="00033144" w:rsidRDefault="00033144" w:rsidP="00033144">
      <w:pPr>
        <w:pStyle w:val="AERtablesource"/>
      </w:pPr>
      <w:r w:rsidRPr="00033144">
        <w:t>Source:</w:t>
      </w:r>
      <w:r w:rsidRPr="00033144">
        <w:tab/>
        <w:t>AER analysis and various submissions and reports.</w:t>
      </w:r>
    </w:p>
    <w:p w:rsidR="00033144" w:rsidRPr="00033144" w:rsidRDefault="00033144" w:rsidP="00033144">
      <w:pPr>
        <w:pStyle w:val="AERtablesource"/>
      </w:pPr>
      <w:r w:rsidRPr="00033144">
        <w:t xml:space="preserve">Notes: </w:t>
      </w:r>
      <w:r w:rsidRPr="00033144">
        <w:tab/>
        <w:t xml:space="preserve">The AER foundation model equity risk premium (ERP) range uses the range and point estimate for market risk premium and equity beta. The calculation of the Wright approach is set out in section </w:t>
      </w:r>
      <w:r w:rsidRPr="00033144">
        <w:fldChar w:fldCharType="begin"/>
      </w:r>
      <w:r w:rsidRPr="00033144">
        <w:instrText xml:space="preserve"> REF _Ref449053064 \r \h </w:instrText>
      </w:r>
      <w:r w:rsidRPr="00033144">
        <w:fldChar w:fldCharType="separate"/>
      </w:r>
      <w:r w:rsidR="001A023B">
        <w:t>C.2</w:t>
      </w:r>
      <w:r w:rsidRPr="00033144">
        <w:fldChar w:fldCharType="end"/>
      </w:r>
      <w:r w:rsidRPr="00033144">
        <w:t>.  The calculation of brokers and other regulators ranges is outlined in Appendix F. The calculation of debt risk premium is in Appendix E.3.</w:t>
      </w:r>
    </w:p>
    <w:p w:rsidR="00033144" w:rsidRPr="00033144" w:rsidRDefault="00033144" w:rsidP="00033144">
      <w:pPr>
        <w:pStyle w:val="AERtablesource"/>
      </w:pPr>
      <w:r w:rsidRPr="00033144">
        <w:tab/>
        <w:t>Grant Samuel's final WACC range included an uplift above an initial SLCAPM range. Grant Samuel made no explicit allowance for the impact of Australia's dividend imputation system. The upper bound of the range shown above includes the uplift and an adjustment for dividend imputation, while the lower bound does not. The upper shaded portion of the range includes the entirety of the uplift on return on equity and a full dividend imputation adjustment.</w:t>
      </w:r>
      <w:r w:rsidRPr="00033144">
        <w:rPr>
          <w:rStyle w:val="FootnoteReference"/>
        </w:rPr>
        <w:footnoteReference w:id="295"/>
      </w:r>
      <w:r w:rsidRPr="00033144">
        <w:t xml:space="preserve"> </w:t>
      </w:r>
    </w:p>
    <w:p w:rsidR="00033144" w:rsidRPr="00033144" w:rsidRDefault="00033144" w:rsidP="00033144">
      <w:pPr>
        <w:pStyle w:val="AERtablesource"/>
      </w:pPr>
      <w:r w:rsidRPr="00033144">
        <w:tab/>
        <w:t>The shaded portion of the other regulators range represents the impact of rail, transport and retail gas decisions on the range. We consider these industries are unlikely to be comparable to the benchmark efficient entity.</w:t>
      </w:r>
    </w:p>
    <w:p w:rsidR="00033144" w:rsidRPr="00033144" w:rsidRDefault="00033144" w:rsidP="00033144">
      <w:pPr>
        <w:pStyle w:val="AERtablesource"/>
      </w:pPr>
      <w:r w:rsidRPr="00033144">
        <w:tab/>
        <w:t>The service provider proposals range is based on the proposals from businesses for which we are making decisions in May 2016.</w:t>
      </w:r>
      <w:r w:rsidRPr="00033144">
        <w:rPr>
          <w:rStyle w:val="FootnoteReference"/>
        </w:rPr>
        <w:footnoteReference w:id="296"/>
      </w:r>
      <w:r w:rsidRPr="00033144">
        <w:t xml:space="preserve"> The lower bound of the CCP/stakeholder range is based on the VECUA submission, </w:t>
      </w:r>
      <w:r w:rsidRPr="00033144">
        <w:rPr>
          <w:rStyle w:val="FootnoteReference"/>
        </w:rPr>
        <w:footnoteReference w:id="297"/>
      </w:r>
      <w:r w:rsidRPr="00033144">
        <w:t xml:space="preserve"> the upper bound is based on Origin Energy’s submission.</w:t>
      </w:r>
      <w:r w:rsidRPr="00033144">
        <w:rPr>
          <w:rStyle w:val="FootnoteReference"/>
        </w:rPr>
        <w:footnoteReference w:id="298"/>
      </w:r>
    </w:p>
    <w:p w:rsidR="00033144" w:rsidRPr="00033144" w:rsidRDefault="00033144" w:rsidP="00033144">
      <w:r w:rsidRPr="00033144">
        <w:t>Our implementation of the foundation model approach results in a return on equity of 7.</w:t>
      </w:r>
      <w:r w:rsidR="00BE7FAA">
        <w:t>1</w:t>
      </w:r>
      <w:r w:rsidRPr="00033144">
        <w:t xml:space="preserve"> per cent and an equity risk premium of 4.55 per cent. This is consistent with equity risk premium ranges from broker reports, valuation reports, other regulators' decisions, and the Wright approach as shown in </w:t>
      </w:r>
      <w:r w:rsidRPr="00033144">
        <w:fldChar w:fldCharType="begin"/>
      </w:r>
      <w:r w:rsidRPr="00033144">
        <w:instrText xml:space="preserve"> REF _Ref445923478 \h </w:instrText>
      </w:r>
      <w:r w:rsidRPr="00033144">
        <w:fldChar w:fldCharType="separate"/>
      </w:r>
      <w:r w:rsidR="001A023B" w:rsidRPr="00033144">
        <w:t xml:space="preserve">Figure </w:t>
      </w:r>
      <w:r w:rsidR="001A023B">
        <w:rPr>
          <w:noProof/>
        </w:rPr>
        <w:t>3</w:t>
      </w:r>
      <w:r w:rsidR="001A023B">
        <w:noBreakHyphen/>
      </w:r>
      <w:r w:rsidR="001A023B">
        <w:rPr>
          <w:noProof/>
        </w:rPr>
        <w:t>5</w:t>
      </w:r>
      <w:r w:rsidRPr="00033144">
        <w:fldChar w:fldCharType="end"/>
      </w:r>
      <w:r w:rsidRPr="00033144">
        <w:t>.</w:t>
      </w:r>
      <w:r w:rsidRPr="00033144">
        <w:rPr>
          <w:rStyle w:val="FootnoteReference"/>
        </w:rPr>
        <w:footnoteReference w:id="299"/>
      </w:r>
      <w:r w:rsidRPr="00033144">
        <w:t xml:space="preserve">  The range of equity risk premium estimates from valuation reports and other regulators' decisions have not materially changed since our </w:t>
      </w:r>
      <w:r w:rsidR="00F8641A" w:rsidRPr="00F8641A">
        <w:t>draft</w:t>
      </w:r>
      <w:r w:rsidRPr="00033144">
        <w:t xml:space="preserve"> decision. The estimated equity risk premium range from the Wright approach has increased since our </w:t>
      </w:r>
      <w:r w:rsidR="00F8641A" w:rsidRPr="00F8641A">
        <w:t>draft</w:t>
      </w:r>
      <w:r w:rsidRPr="00033144">
        <w:t xml:space="preserve"> decision as the risk free rate has fallen. As set out in section </w:t>
      </w:r>
      <w:r w:rsidRPr="00033144">
        <w:fldChar w:fldCharType="begin"/>
      </w:r>
      <w:r w:rsidRPr="00033144">
        <w:instrText xml:space="preserve"> REF _Ref449018117 \r \h </w:instrText>
      </w:r>
      <w:r w:rsidRPr="00033144">
        <w:fldChar w:fldCharType="separate"/>
      </w:r>
      <w:r w:rsidR="001A023B">
        <w:t>B.5</w:t>
      </w:r>
      <w:r w:rsidRPr="00033144">
        <w:fldChar w:fldCharType="end"/>
      </w:r>
      <w:r w:rsidRPr="00033144">
        <w:t>, we do not agree with the underlying premise of the Wright CAPM that there is a clear inverse relationship between movements in the risk free rate and market risk premium. Consequently we place limited reliance on the Wright approach.</w:t>
      </w:r>
    </w:p>
    <w:p w:rsidR="00033144" w:rsidRPr="00033144" w:rsidRDefault="00033144" w:rsidP="00033144">
      <w:r w:rsidRPr="00033144">
        <w:t xml:space="preserve">The return on debt material shown in </w:t>
      </w:r>
      <w:r w:rsidRPr="00033144">
        <w:fldChar w:fldCharType="begin"/>
      </w:r>
      <w:r w:rsidRPr="00033144">
        <w:instrText xml:space="preserve"> REF _Ref445923478 \h </w:instrText>
      </w:r>
      <w:r w:rsidRPr="00033144">
        <w:fldChar w:fldCharType="separate"/>
      </w:r>
      <w:r w:rsidR="001A023B" w:rsidRPr="00033144">
        <w:t xml:space="preserve">Figure </w:t>
      </w:r>
      <w:r w:rsidR="001A023B">
        <w:rPr>
          <w:noProof/>
        </w:rPr>
        <w:t>3</w:t>
      </w:r>
      <w:r w:rsidR="001A023B">
        <w:noBreakHyphen/>
      </w:r>
      <w:r w:rsidR="001A023B">
        <w:rPr>
          <w:noProof/>
        </w:rPr>
        <w:t>5</w:t>
      </w:r>
      <w:r w:rsidRPr="00033144">
        <w:fldChar w:fldCharType="end"/>
      </w:r>
      <w:r w:rsidRPr="00033144">
        <w:t xml:space="preserve"> does not support any change to our foundation model return on equity estimate. Our foundation model return on equity estimate is about </w:t>
      </w:r>
      <w:r w:rsidR="00C207FD">
        <w:t>163</w:t>
      </w:r>
      <w:r w:rsidR="00BE7FAA">
        <w:t xml:space="preserve"> </w:t>
      </w:r>
      <w:r w:rsidRPr="00033144">
        <w:t>basis points</w:t>
      </w:r>
      <w:r w:rsidRPr="00033144">
        <w:rPr>
          <w:rStyle w:val="FootnoteReference"/>
        </w:rPr>
        <w:footnoteReference w:id="300"/>
      </w:r>
      <w:r w:rsidRPr="00033144">
        <w:t xml:space="preserve"> above the prevailing return on debt. The return on debt is a relative indicator and we expect that, most of the time,</w:t>
      </w:r>
      <w:r w:rsidRPr="00033144">
        <w:rPr>
          <w:rStyle w:val="FootnoteReference"/>
        </w:rPr>
        <w:footnoteReference w:id="301"/>
      </w:r>
      <w:r w:rsidRPr="00033144">
        <w:t xml:space="preserve"> investors' expected return on equity will exceed the expected return on debt. For our benchmark efficient entity with a similar degree of risk as </w:t>
      </w:r>
      <w:r w:rsidR="00F8641A" w:rsidRPr="00F8641A">
        <w:rPr>
          <w:rStyle w:val="AERbody"/>
        </w:rPr>
        <w:t>ActewAGL</w:t>
      </w:r>
      <w:r w:rsidRPr="00033144">
        <w:t>, we would not expect the return on equity to be a large margin above the prevailing return on debt.</w:t>
      </w:r>
      <w:r w:rsidRPr="00033144">
        <w:rPr>
          <w:rStyle w:val="FootnoteReference"/>
        </w:rPr>
        <w:footnoteReference w:id="302"/>
      </w:r>
      <w:r w:rsidRPr="00033144">
        <w:t xml:space="preserve"> </w:t>
      </w:r>
    </w:p>
    <w:p w:rsidR="00033144" w:rsidRPr="00033144" w:rsidRDefault="00033144" w:rsidP="00033144">
      <w:r w:rsidRPr="00033144">
        <w:t xml:space="preserve">While the spread between equity and debt premiums has narrowed since the October and November 2015 decisions, it remains above the estimate at the publication of the Guideline in December 2013 (see </w:t>
      </w:r>
      <w:r w:rsidRPr="00033144">
        <w:fldChar w:fldCharType="begin"/>
      </w:r>
      <w:r w:rsidRPr="00033144">
        <w:instrText xml:space="preserve"> REF _Ref417589908 \h </w:instrText>
      </w:r>
      <w:r w:rsidRPr="00033144">
        <w:fldChar w:fldCharType="separate"/>
      </w:r>
      <w:r w:rsidR="001A023B" w:rsidRPr="00033144">
        <w:t xml:space="preserve">Figure </w:t>
      </w:r>
      <w:r w:rsidR="001A023B">
        <w:rPr>
          <w:noProof/>
        </w:rPr>
        <w:t>3</w:t>
      </w:r>
      <w:r w:rsidR="001A023B">
        <w:noBreakHyphen/>
      </w:r>
      <w:r w:rsidR="001A023B">
        <w:rPr>
          <w:noProof/>
        </w:rPr>
        <w:t>11</w:t>
      </w:r>
      <w:r w:rsidRPr="00033144">
        <w:fldChar w:fldCharType="end"/>
      </w:r>
      <w:r w:rsidRPr="00033144">
        <w:t xml:space="preserve"> in section </w:t>
      </w:r>
      <w:r w:rsidRPr="00033144">
        <w:fldChar w:fldCharType="begin"/>
      </w:r>
      <w:r w:rsidRPr="00033144">
        <w:instrText xml:space="preserve"> REF _Ref449052987 \r \h </w:instrText>
      </w:r>
      <w:r w:rsidRPr="00033144">
        <w:fldChar w:fldCharType="separate"/>
      </w:r>
      <w:r w:rsidR="001A023B">
        <w:t>E.3</w:t>
      </w:r>
      <w:r w:rsidRPr="00033144">
        <w:fldChar w:fldCharType="end"/>
      </w:r>
      <w:r w:rsidRPr="00033144">
        <w:t xml:space="preserve">). It is not clear the extent to which the narrowing spread relates to </w:t>
      </w:r>
      <w:r w:rsidR="004C7209" w:rsidRPr="004C7209">
        <w:rPr>
          <w:rStyle w:val="AERbody"/>
        </w:rPr>
        <w:t>ActewAGL</w:t>
      </w:r>
      <w:r w:rsidRPr="00033144">
        <w:t xml:space="preserve"> — it may be driven by expectations of weaker corporate performance, particularly stemming from the resource and commodity sector (for example, resource firms are facing weaker conditions in commodities markets and credit rating downgrades).</w:t>
      </w:r>
      <w:r w:rsidRPr="00033144">
        <w:rPr>
          <w:rStyle w:val="FootnoteReference"/>
        </w:rPr>
        <w:footnoteReference w:id="303"/>
      </w:r>
    </w:p>
    <w:p w:rsidR="00033144" w:rsidRPr="00033144" w:rsidRDefault="00033144" w:rsidP="00033144">
      <w:r w:rsidRPr="00033144">
        <w:t xml:space="preserve">Contrary to the service providers' assertions, we consider the current difference is not too low, given the low risk profile of a benchmark efficient entity with a similar degree of risk as </w:t>
      </w:r>
      <w:r w:rsidR="004C7209" w:rsidRPr="004C7209">
        <w:rPr>
          <w:rStyle w:val="AERbody"/>
        </w:rPr>
        <w:t>ActewAGL</w:t>
      </w:r>
      <w:r w:rsidRPr="00033144">
        <w:t xml:space="preserve"> in providing regulated services.</w:t>
      </w:r>
      <w:r w:rsidRPr="00033144">
        <w:rPr>
          <w:rStyle w:val="FootnoteReference"/>
        </w:rPr>
        <w:footnoteReference w:id="304"/>
      </w:r>
      <w:r w:rsidRPr="00033144">
        <w:t xml:space="preserve"> Further, measured debt yields likely understate the expected yield spread due to default risk.</w:t>
      </w:r>
      <w:r w:rsidRPr="00033144">
        <w:rPr>
          <w:rStyle w:val="FootnoteReference"/>
        </w:rPr>
        <w:footnoteReference w:id="305"/>
      </w:r>
      <w:r w:rsidRPr="00033144">
        <w:rPr>
          <w:rStyle w:val="CommentReference"/>
        </w:rPr>
        <w:t xml:space="preserve"> </w:t>
      </w:r>
    </w:p>
    <w:p w:rsidR="00033144" w:rsidRPr="00033144" w:rsidRDefault="00033144" w:rsidP="00033144">
      <w:r w:rsidRPr="00033144">
        <w:t>The regulatory regime to date has been utilising the Sharpe-Lintner CAPM to set the return on equity and has been supportive of investment. There is no evidence to suggest that the service providers we regulate have not been able to raise capital on reasonable terms to undertake extensive investment programs.</w:t>
      </w:r>
      <w:r w:rsidRPr="00033144">
        <w:rPr>
          <w:rStyle w:val="FootnoteReference"/>
        </w:rPr>
        <w:footnoteReference w:id="306"/>
      </w:r>
      <w:r w:rsidRPr="00033144">
        <w:t xml:space="preserve"> This suggests the allowances set in the past using the Sharpe-Lintner CAPM were at least adequate to recover efficient costs.</w:t>
      </w:r>
      <w:r w:rsidRPr="00033144">
        <w:rPr>
          <w:rStyle w:val="FootnoteReference"/>
        </w:rPr>
        <w:footnoteReference w:id="307"/>
      </w:r>
      <w:r w:rsidRPr="00033144">
        <w:t xml:space="preserve"> We also note that broker reports suggest that our recent determinations have not removed the ability for listed networks to maintain payment of dividends.</w:t>
      </w:r>
      <w:r w:rsidRPr="00033144">
        <w:rPr>
          <w:rStyle w:val="FootnoteReference"/>
        </w:rPr>
        <w:footnoteReference w:id="308"/>
      </w:r>
      <w:r w:rsidRPr="00033144">
        <w:t xml:space="preserve"> This provides confidence that our estimate for this decision, while taking account of the downward trends of equity beta and risk free rate, is likely to provide </w:t>
      </w:r>
      <w:r w:rsidR="004C7209" w:rsidRPr="004C7209">
        <w:rPr>
          <w:rStyle w:val="AERbody"/>
        </w:rPr>
        <w:t>ActewAGL</w:t>
      </w:r>
      <w:r w:rsidRPr="00033144">
        <w:t xml:space="preserve"> a reasonable opportunity to recover at least the efficient costs of providing regulated services.</w:t>
      </w:r>
    </w:p>
    <w:p w:rsidR="00033144" w:rsidRPr="00033144" w:rsidRDefault="00033144" w:rsidP="00033144">
      <w:r w:rsidRPr="00033144">
        <w:t xml:space="preserve">In addition to the equity risk premium ranges shown in </w:t>
      </w:r>
      <w:r w:rsidRPr="00033144">
        <w:fldChar w:fldCharType="begin"/>
      </w:r>
      <w:r w:rsidRPr="00033144">
        <w:instrText xml:space="preserve"> REF _Ref445923478 \h </w:instrText>
      </w:r>
      <w:r w:rsidRPr="00033144">
        <w:fldChar w:fldCharType="separate"/>
      </w:r>
      <w:r w:rsidR="001A023B" w:rsidRPr="00033144">
        <w:t xml:space="preserve">Figure </w:t>
      </w:r>
      <w:r w:rsidR="001A023B">
        <w:rPr>
          <w:noProof/>
        </w:rPr>
        <w:t>3</w:t>
      </w:r>
      <w:r w:rsidR="001A023B">
        <w:noBreakHyphen/>
      </w:r>
      <w:r w:rsidR="001A023B">
        <w:rPr>
          <w:noProof/>
        </w:rPr>
        <w:t>5</w:t>
      </w:r>
      <w:r w:rsidRPr="00033144">
        <w:fldChar w:fldCharType="end"/>
      </w:r>
      <w:r w:rsidRPr="00033144">
        <w:t>, we have analysed movements in various conditioning variables (yield spreads, dividend yields, and the volatility index for the ASX200).</w:t>
      </w:r>
      <w:r w:rsidRPr="00033144">
        <w:rPr>
          <w:rStyle w:val="FootnoteReference"/>
        </w:rPr>
        <w:footnoteReference w:id="309"/>
      </w:r>
      <w:r w:rsidRPr="00033144">
        <w:t xml:space="preserve"> These conditioning variables can provide information about prevailing market conditions and whether or not the market is in a period of heightened risk aversion. Overall, the conditioning variables appear fairly stable and close to their long term averages. </w:t>
      </w:r>
    </w:p>
    <w:p w:rsidR="00033144" w:rsidRPr="00033144" w:rsidRDefault="00033144" w:rsidP="00033144">
      <w:r w:rsidRPr="00033144">
        <w:t>There was broad agreement from consumer groups on the application of our foundation model approach as set out in our Guideline.</w:t>
      </w:r>
      <w:r w:rsidRPr="00033144">
        <w:rPr>
          <w:rStyle w:val="FootnoteReference"/>
        </w:rPr>
        <w:footnoteReference w:id="310"/>
      </w:r>
      <w:r w:rsidRPr="00033144">
        <w:t xml:space="preserve"> We consider that this means applying the Guideline in its entirety including the overall approach, parameter estimation and use of other information</w:t>
      </w:r>
      <w:r w:rsidRPr="00033144">
        <w:rPr>
          <w:rStyle w:val="FootnoteReference"/>
        </w:rPr>
        <w:footnoteReference w:id="311"/>
      </w:r>
      <w:r w:rsidRPr="00033144">
        <w:t xml:space="preserve"> as relevant cross-checks.  </w:t>
      </w:r>
    </w:p>
    <w:p w:rsidR="00033144" w:rsidRPr="00033144" w:rsidRDefault="00033144" w:rsidP="00033144">
      <w:r w:rsidRPr="00033144">
        <w:t>In total, eight consumer groups</w:t>
      </w:r>
      <w:r w:rsidRPr="00033144">
        <w:rPr>
          <w:rStyle w:val="FootnoteReference"/>
        </w:rPr>
        <w:footnoteReference w:id="312"/>
      </w:r>
      <w:r w:rsidRPr="00033144">
        <w:t xml:space="preserve"> supported our approach and some groups noted that they valued the predictability and transparency resulting from the application of our Guideline and foundation model approach.</w:t>
      </w:r>
      <w:r w:rsidRPr="00033144">
        <w:rPr>
          <w:rStyle w:val="FootnoteReference"/>
        </w:rPr>
        <w:footnoteReference w:id="313"/>
      </w:r>
      <w:r w:rsidRPr="00033144">
        <w:t xml:space="preserve"> We note that applying the foundation model approach, as in the Guideline, results in an equity risk premium of 4.55 per cent. </w:t>
      </w:r>
    </w:p>
    <w:p w:rsidR="00033144" w:rsidRPr="00033144" w:rsidRDefault="00033144" w:rsidP="00033144">
      <w:r w:rsidRPr="00033144">
        <w:t>While supporting our Guideline, some consumer groups have submitted that it reflects conservative choices</w:t>
      </w:r>
      <w:r w:rsidRPr="00033144">
        <w:rPr>
          <w:rStyle w:val="FootnoteReference"/>
        </w:rPr>
        <w:footnoteReference w:id="314"/>
      </w:r>
      <w:r w:rsidRPr="00033144">
        <w:t xml:space="preserve"> that may result in over-estimating the return on equity and that parameter estimates (and rate of return) can be lowered further.</w:t>
      </w:r>
      <w:r w:rsidRPr="00033144">
        <w:rPr>
          <w:rStyle w:val="FootnoteReference"/>
        </w:rPr>
        <w:footnoteReference w:id="315"/>
      </w:r>
      <w:r w:rsidRPr="00033144">
        <w:t xml:space="preserve"> Submissions also noted that we need to give more weight to market data and realised returns such as financial performance and asset sales when considering the overall return on equity.</w:t>
      </w:r>
      <w:r w:rsidRPr="00033144">
        <w:rPr>
          <w:rStyle w:val="FootnoteReference"/>
        </w:rPr>
        <w:footnoteReference w:id="316"/>
      </w:r>
      <w:r w:rsidRPr="00033144">
        <w:rPr>
          <w:rStyle w:val="CommentReference"/>
        </w:rPr>
        <w:t xml:space="preserve"> </w:t>
      </w:r>
    </w:p>
    <w:p w:rsidR="001A023B" w:rsidRDefault="00033144" w:rsidP="00033144">
      <w:r w:rsidRPr="00033144">
        <w:t xml:space="preserve">We note the service providers submitted that we did not have appropriate regard to information from other relevant sources. Some stakeholders submitted that we should also have regard to realised returns when considering our overall return on equity estimate. A summary of these submissions and our responses are provided in </w:t>
      </w:r>
      <w:r w:rsidRPr="00033144">
        <w:fldChar w:fldCharType="begin"/>
      </w:r>
      <w:r w:rsidRPr="00033144">
        <w:instrText xml:space="preserve"> REF _Ref445927856 \h </w:instrText>
      </w:r>
      <w:r w:rsidRPr="00033144">
        <w:fldChar w:fldCharType="separate"/>
      </w:r>
      <w:r w:rsidR="001A023B" w:rsidRPr="00033144">
        <w:t xml:space="preserve">Table </w:t>
      </w:r>
      <w:r w:rsidR="001A023B">
        <w:rPr>
          <w:noProof/>
        </w:rPr>
        <w:t>3</w:t>
      </w:r>
      <w:r w:rsidR="001A023B" w:rsidRPr="00033144">
        <w:noBreakHyphen/>
      </w:r>
      <w:r w:rsidR="001A023B">
        <w:rPr>
          <w:noProof/>
        </w:rPr>
        <w:t>7</w:t>
      </w:r>
      <w:r w:rsidRPr="00033144">
        <w:fldChar w:fldCharType="end"/>
      </w:r>
      <w:r w:rsidRPr="00033144">
        <w:t xml:space="preserve"> below. Having considered the overall information and all material before us, at this time we are not satisfied that this information indicates a departure from the Guideline would contribute to the achievement of the </w:t>
      </w:r>
      <w:r w:rsidR="00270CE2">
        <w:t>ARORO</w:t>
      </w:r>
      <w:r w:rsidRPr="00033144">
        <w:t xml:space="preserve">. </w:t>
      </w:r>
    </w:p>
    <w:p w:rsidR="001A023B" w:rsidRDefault="001A023B">
      <w:pPr>
        <w:spacing w:line="240" w:lineRule="auto"/>
      </w:pPr>
      <w:r>
        <w:br w:type="page"/>
      </w:r>
    </w:p>
    <w:p w:rsidR="00033144" w:rsidRPr="00033144" w:rsidRDefault="00033144" w:rsidP="00033144">
      <w:pPr>
        <w:pStyle w:val="Caption"/>
        <w:numPr>
          <w:ilvl w:val="0"/>
          <w:numId w:val="24"/>
        </w:numPr>
      </w:pPr>
      <w:bookmarkStart w:id="72" w:name="_Ref445927856"/>
      <w:r w:rsidRPr="00033144">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Pr="00033144">
        <w:noBreakHyphen/>
      </w:r>
      <w:r w:rsidR="00120312">
        <w:fldChar w:fldCharType="begin"/>
      </w:r>
      <w:r w:rsidR="00120312">
        <w:instrText xml:space="preserve"> SEQ Table \* ARABIC \s 1 </w:instrText>
      </w:r>
      <w:r w:rsidR="00120312">
        <w:fldChar w:fldCharType="separate"/>
      </w:r>
      <w:r w:rsidR="001A023B">
        <w:rPr>
          <w:noProof/>
        </w:rPr>
        <w:t>7</w:t>
      </w:r>
      <w:r w:rsidR="00120312">
        <w:rPr>
          <w:noProof/>
        </w:rPr>
        <w:fldChar w:fldCharType="end"/>
      </w:r>
      <w:bookmarkEnd w:id="72"/>
      <w:r w:rsidRPr="00033144">
        <w:tab/>
        <w:t>Issues about overall return on equity cross-checks</w:t>
      </w:r>
    </w:p>
    <w:tbl>
      <w:tblPr>
        <w:tblStyle w:val="AERtable-text0"/>
        <w:tblW w:w="0" w:type="auto"/>
        <w:tblLook w:val="04A0" w:firstRow="1" w:lastRow="0" w:firstColumn="1" w:lastColumn="0" w:noHBand="0" w:noVBand="1"/>
      </w:tblPr>
      <w:tblGrid>
        <w:gridCol w:w="2235"/>
        <w:gridCol w:w="6458"/>
      </w:tblGrid>
      <w:tr w:rsidR="00033144" w:rsidTr="00BB7AE6">
        <w:trPr>
          <w:cnfStyle w:val="100000000000" w:firstRow="1" w:lastRow="0" w:firstColumn="0" w:lastColumn="0" w:oddVBand="0" w:evenVBand="0" w:oddHBand="0" w:evenHBand="0" w:firstRowFirstColumn="0" w:firstRowLastColumn="0" w:lastRowFirstColumn="0" w:lastRowLastColumn="0"/>
          <w:tblHeader/>
        </w:trPr>
        <w:tc>
          <w:tcPr>
            <w:tcW w:w="2235" w:type="dxa"/>
          </w:tcPr>
          <w:p w:rsidR="00033144" w:rsidRPr="00033144" w:rsidRDefault="00033144" w:rsidP="00033144">
            <w:r w:rsidRPr="00033144">
              <w:t>Issue</w:t>
            </w:r>
          </w:p>
        </w:tc>
        <w:tc>
          <w:tcPr>
            <w:tcW w:w="6458" w:type="dxa"/>
          </w:tcPr>
          <w:p w:rsidR="00033144" w:rsidRPr="00033144" w:rsidRDefault="00033144" w:rsidP="00033144">
            <w:r w:rsidRPr="00033144">
              <w:t>Our response</w:t>
            </w:r>
          </w:p>
        </w:tc>
      </w:tr>
      <w:tr w:rsidR="00033144" w:rsidTr="00033144">
        <w:trPr>
          <w:trHeight w:val="1132"/>
        </w:trPr>
        <w:tc>
          <w:tcPr>
            <w:tcW w:w="2235" w:type="dxa"/>
          </w:tcPr>
          <w:p w:rsidR="00033144" w:rsidRPr="00033144" w:rsidRDefault="00033144" w:rsidP="00033144">
            <w:r w:rsidRPr="00033144">
              <w:t>No reliable inferences can be drawn from the comparison of equity and debt risk premia.</w:t>
            </w:r>
            <w:r w:rsidRPr="00033144">
              <w:rPr>
                <w:rStyle w:val="FootnoteReference"/>
              </w:rPr>
              <w:footnoteReference w:id="317"/>
            </w:r>
          </w:p>
          <w:p w:rsidR="00033144" w:rsidRPr="00033144" w:rsidRDefault="00033144" w:rsidP="00033144"/>
        </w:tc>
        <w:tc>
          <w:tcPr>
            <w:tcW w:w="6458" w:type="dxa"/>
          </w:tcPr>
          <w:p w:rsidR="00033144" w:rsidRPr="00033144" w:rsidRDefault="00033144" w:rsidP="00033144">
            <w:r w:rsidRPr="00033144">
              <w:t>We note that it is difficult to derive definitive conclusions about the level of equity premiums from information on debt premiums as there is inconclusive evidence on the size and strength of any relationship between the two premia.</w:t>
            </w:r>
            <w:r w:rsidRPr="00033144">
              <w:rPr>
                <w:rStyle w:val="FootnoteReference"/>
              </w:rPr>
              <w:footnoteReference w:id="318"/>
            </w:r>
            <w:r w:rsidRPr="00033144">
              <w:t xml:space="preserve"> This is why we give this material a directional role.</w:t>
            </w:r>
            <w:r w:rsidRPr="00033144">
              <w:rPr>
                <w:rStyle w:val="FootnoteReference"/>
              </w:rPr>
              <w:footnoteReference w:id="319"/>
            </w:r>
          </w:p>
          <w:p w:rsidR="00033144" w:rsidRPr="00033144" w:rsidRDefault="00033144" w:rsidP="004C7209">
            <w:r w:rsidRPr="00033144">
              <w:t>A comparison of the risk premia can indicate if the estimated return on equity is too low (high) relative to the (prevailing) return on debt. Equity investors are residual claimants on a firm’s assets in the event of default. It is typically expected, therefore, that equity investments are riskier than debt investments, and that the return on equity should exceed the return on debt.</w:t>
            </w:r>
            <w:r w:rsidRPr="00033144">
              <w:rPr>
                <w:rStyle w:val="FootnoteReference"/>
              </w:rPr>
              <w:footnoteReference w:id="320"/>
            </w:r>
            <w:r w:rsidRPr="00033144">
              <w:t xml:space="preserve"> However, we do not expect the equity risk premium for </w:t>
            </w:r>
            <w:r w:rsidRPr="00033144">
              <w:rPr>
                <w:rStyle w:val="AERtextsize8"/>
              </w:rPr>
              <w:t xml:space="preserve">a benchmark efficient entity with a similar degree of risk as </w:t>
            </w:r>
            <w:r w:rsidR="004C7209" w:rsidRPr="004C7209">
              <w:rPr>
                <w:rStyle w:val="AERtextsize8"/>
              </w:rPr>
              <w:t>ActewAGL</w:t>
            </w:r>
            <w:r w:rsidRPr="00033144">
              <w:rPr>
                <w:rStyle w:val="AERtextsize8"/>
              </w:rPr>
              <w:t xml:space="preserve"> in providing regulated services</w:t>
            </w:r>
            <w:r w:rsidRPr="00033144">
              <w:t xml:space="preserve"> to be significantly higher than the debt risk premium. This is because we consider that there is limited systematic risk associated with </w:t>
            </w:r>
            <w:r w:rsidR="004C7209" w:rsidRPr="004C7209">
              <w:rPr>
                <w:rStyle w:val="AERtextsize8"/>
              </w:rPr>
              <w:t>ActewAGL</w:t>
            </w:r>
            <w:r w:rsidRPr="00033144">
              <w:t xml:space="preserve">'s </w:t>
            </w:r>
            <w:r w:rsidR="004C7209">
              <w:t xml:space="preserve">reference </w:t>
            </w:r>
            <w:r w:rsidRPr="00033144">
              <w:t>services.</w:t>
            </w:r>
            <w:r w:rsidRPr="00033144">
              <w:rPr>
                <w:rStyle w:val="FootnoteReference"/>
              </w:rPr>
              <w:footnoteReference w:id="321"/>
            </w:r>
            <w:r w:rsidRPr="00033144">
              <w:t xml:space="preserve"> </w:t>
            </w:r>
          </w:p>
        </w:tc>
      </w:tr>
      <w:tr w:rsidR="00033144" w:rsidTr="00033144">
        <w:trPr>
          <w:cnfStyle w:val="000000010000" w:firstRow="0" w:lastRow="0" w:firstColumn="0" w:lastColumn="0" w:oddVBand="0" w:evenVBand="0" w:oddHBand="0" w:evenHBand="1" w:firstRowFirstColumn="0" w:firstRowLastColumn="0" w:lastRowFirstColumn="0" w:lastRowLastColumn="0"/>
        </w:trPr>
        <w:tc>
          <w:tcPr>
            <w:tcW w:w="2235" w:type="dxa"/>
          </w:tcPr>
          <w:p w:rsidR="00033144" w:rsidRPr="00033144" w:rsidRDefault="00033144" w:rsidP="00033144">
            <w:r w:rsidRPr="00033144">
              <w:t>Frontier noted that the comparison between the equity and debt risk premia indicates that they both move inversely to the risk free rate.</w:t>
            </w:r>
            <w:r w:rsidRPr="00033144">
              <w:rPr>
                <w:rStyle w:val="FootnoteReference"/>
              </w:rPr>
              <w:footnoteReference w:id="322"/>
            </w:r>
          </w:p>
        </w:tc>
        <w:tc>
          <w:tcPr>
            <w:tcW w:w="6458" w:type="dxa"/>
          </w:tcPr>
          <w:p w:rsidR="00033144" w:rsidRPr="00033144" w:rsidRDefault="00033144" w:rsidP="00033144">
            <w:r w:rsidRPr="00033144">
              <w:t>We do not consider that the current available evidence supports the view that there is any clear relationship between the risk free rate and risk premia. Frontier submitted evidence of movements in the risk free rate and debt risk premia from only two points in time: November 2014 and October 2015. We do not consider a sample of two data points is sufficiently reliable evidence to alter the results of the comprehensive review of the available evidence by McKenzie &amp; Partington.</w:t>
            </w:r>
            <w:r w:rsidRPr="00033144">
              <w:rPr>
                <w:rStyle w:val="FootnoteReference"/>
              </w:rPr>
              <w:footnoteReference w:id="323"/>
            </w:r>
          </w:p>
        </w:tc>
      </w:tr>
      <w:tr w:rsidR="00033144" w:rsidTr="00033144">
        <w:tc>
          <w:tcPr>
            <w:tcW w:w="2235" w:type="dxa"/>
          </w:tcPr>
          <w:p w:rsidR="00033144" w:rsidRPr="00033144" w:rsidRDefault="00033144" w:rsidP="00033144">
            <w:r w:rsidRPr="00033144">
              <w:t>Our use of a range of beta estimates from 0.4 to 0.7, instead of our point estimate of 0.7, in the Wright CAPM prevents any real regard being had to the Wright CAPM.</w:t>
            </w:r>
            <w:r w:rsidRPr="00033144">
              <w:rPr>
                <w:rStyle w:val="FootnoteReference"/>
              </w:rPr>
              <w:footnoteReference w:id="324"/>
            </w:r>
          </w:p>
        </w:tc>
        <w:tc>
          <w:tcPr>
            <w:tcW w:w="6458" w:type="dxa"/>
          </w:tcPr>
          <w:p w:rsidR="00033144" w:rsidRPr="00033144" w:rsidRDefault="00033144" w:rsidP="00033144">
            <w:r w:rsidRPr="00033144">
              <w:t>We selected a point estimate of 0.7 from the range of 0.4 to 0.7 partly on considerations of the theoretical underpinnings of the Black CAPM, which is unrelated to the estimation of the Wright specification of the CAPM. To consider evidence from the Wright CAPM independently from our foundation model, we consider it is important to use the equity beta range of 0.4 to 0.7. To do otherwise would reduce the efficacy of using the Wright approach as a check against the foundation model.</w:t>
            </w:r>
          </w:p>
        </w:tc>
      </w:tr>
      <w:tr w:rsidR="00033144" w:rsidTr="00033144">
        <w:trPr>
          <w:cnfStyle w:val="000000010000" w:firstRow="0" w:lastRow="0" w:firstColumn="0" w:lastColumn="0" w:oddVBand="0" w:evenVBand="0" w:oddHBand="0" w:evenHBand="1" w:firstRowFirstColumn="0" w:firstRowLastColumn="0" w:lastRowFirstColumn="0" w:lastRowLastColumn="0"/>
        </w:trPr>
        <w:tc>
          <w:tcPr>
            <w:tcW w:w="2235" w:type="dxa"/>
          </w:tcPr>
          <w:p w:rsidR="00033144" w:rsidRPr="00033144" w:rsidRDefault="00033144" w:rsidP="00033144">
            <w:r w:rsidRPr="00033144">
              <w:t>We use a range under the Wright approach, whereas Frontier Economics estimates the return on the market under the Wright approach as a point estimate using the longest time period available.</w:t>
            </w:r>
            <w:r w:rsidRPr="00033144">
              <w:rPr>
                <w:rStyle w:val="FootnoteReference"/>
              </w:rPr>
              <w:footnoteReference w:id="325"/>
            </w:r>
          </w:p>
        </w:tc>
        <w:tc>
          <w:tcPr>
            <w:tcW w:w="6458" w:type="dxa"/>
          </w:tcPr>
          <w:p w:rsidR="00033144" w:rsidRPr="00033144" w:rsidRDefault="00033144" w:rsidP="00033144">
            <w:r w:rsidRPr="00033144">
              <w:t xml:space="preserve">When estimating the Wright approach we estimate a range based on the different averaging periods in </w:t>
            </w:r>
            <w:r w:rsidRPr="00033144">
              <w:fldChar w:fldCharType="begin"/>
            </w:r>
            <w:r w:rsidRPr="00033144">
              <w:instrText xml:space="preserve"> REF _Ref417570520 \h </w:instrText>
            </w:r>
            <w:r w:rsidRPr="00033144">
              <w:fldChar w:fldCharType="separate"/>
            </w:r>
            <w:r w:rsidR="001A023B">
              <w:t xml:space="preserve">Table </w:t>
            </w:r>
            <w:r w:rsidR="001A023B">
              <w:rPr>
                <w:noProof/>
              </w:rPr>
              <w:t>3</w:t>
            </w:r>
            <w:r w:rsidR="001A023B">
              <w:noBreakHyphen/>
            </w:r>
            <w:r w:rsidR="001A023B">
              <w:rPr>
                <w:noProof/>
              </w:rPr>
              <w:t>28</w:t>
            </w:r>
            <w:r w:rsidRPr="00033144">
              <w:fldChar w:fldCharType="end"/>
            </w:r>
            <w:r w:rsidRPr="00033144">
              <w:t>. This recognises</w:t>
            </w:r>
            <w:r w:rsidRPr="00033144">
              <w:rPr>
                <w:rStyle w:val="AERbody"/>
              </w:rPr>
              <w:t xml:space="preserve"> </w:t>
            </w:r>
            <w:r w:rsidRPr="00033144">
              <w:t>the estimated return on the market will vary depending on the time period used.</w:t>
            </w:r>
            <w:r w:rsidRPr="00033144">
              <w:rPr>
                <w:rStyle w:val="FootnoteReference"/>
              </w:rPr>
              <w:footnoteReference w:id="326"/>
            </w:r>
            <w:r w:rsidRPr="00033144">
              <w:t xml:space="preserve"> This also recognises that each of these periods has merits and limitations (see section C.1.2 in Attachment 3 to our </w:t>
            </w:r>
            <w:r w:rsidR="004C7209" w:rsidRPr="004C7209">
              <w:rPr>
                <w:rStyle w:val="AERtextsize8"/>
              </w:rPr>
              <w:t>draft</w:t>
            </w:r>
            <w:r w:rsidRPr="00033144">
              <w:t xml:space="preserve"> decision for </w:t>
            </w:r>
            <w:r w:rsidR="004C7209" w:rsidRPr="004C7209">
              <w:rPr>
                <w:rStyle w:val="AERtextsize8"/>
              </w:rPr>
              <w:t>ActewAGL</w:t>
            </w:r>
            <w:r w:rsidRPr="00033144">
              <w:t>). This is consistent with the Guideline.</w:t>
            </w:r>
            <w:r w:rsidRPr="00033144">
              <w:rPr>
                <w:rStyle w:val="FootnoteReference"/>
              </w:rPr>
              <w:footnoteReference w:id="327"/>
            </w:r>
            <w:r w:rsidRPr="00033144">
              <w:t xml:space="preserve"> We do not consider that </w:t>
            </w:r>
            <w:r w:rsidR="004C7209" w:rsidRPr="004C7209">
              <w:rPr>
                <w:rStyle w:val="AERtextsize8"/>
              </w:rPr>
              <w:t>ActewAGL</w:t>
            </w:r>
            <w:r w:rsidRPr="00033144">
              <w:t xml:space="preserve"> has explained why it departed from the Guideline by adopting a point estimate.</w:t>
            </w:r>
          </w:p>
        </w:tc>
      </w:tr>
      <w:tr w:rsidR="00033144" w:rsidTr="00033144">
        <w:tc>
          <w:tcPr>
            <w:tcW w:w="2235" w:type="dxa"/>
          </w:tcPr>
          <w:p w:rsidR="00033144" w:rsidRPr="00033144" w:rsidRDefault="00033144" w:rsidP="00033144">
            <w:r w:rsidRPr="00033144">
              <w:t>Uplifts to market risk premium and risk free rate estimates from broker and valuation reports should be taken into account.</w:t>
            </w:r>
            <w:r w:rsidRPr="00033144">
              <w:rPr>
                <w:rStyle w:val="FootnoteReference"/>
              </w:rPr>
              <w:t xml:space="preserve"> </w:t>
            </w:r>
            <w:r w:rsidRPr="00033144">
              <w:rPr>
                <w:rStyle w:val="FootnoteReference"/>
              </w:rPr>
              <w:footnoteReference w:id="328"/>
            </w:r>
          </w:p>
        </w:tc>
        <w:tc>
          <w:tcPr>
            <w:tcW w:w="6458" w:type="dxa"/>
          </w:tcPr>
          <w:p w:rsidR="00033144" w:rsidRPr="00033144" w:rsidRDefault="00033144" w:rsidP="00033144">
            <w:r w:rsidRPr="00033144">
              <w:t xml:space="preserve">Uplifts applied by brokers and valuers to initial estimates may be inconsistent with </w:t>
            </w:r>
            <w:r w:rsidR="00270CE2">
              <w:t>the A</w:t>
            </w:r>
            <w:r w:rsidR="00270CE2" w:rsidRPr="00270CE2">
              <w:t>RORO</w:t>
            </w:r>
            <w:r w:rsidRPr="00033144">
              <w:t xml:space="preserve">. They may reflect non-systematic risks, or be designed to account for risks not addressed in cash flow forecasts, or (to the extent there is any) the expectation of outperformance of regulatory allowances. They may also reflect the term structure of the proxies used to estimate the risk free rate and/or market risk premium, the relevant investment period exceeding the term of the proxies, and the one-off nature of transactions on which they are advising (which differs from our regulatory task where the rate of return is re-assessed for each </w:t>
            </w:r>
            <w:r w:rsidR="004C7209">
              <w:t>access arrangement</w:t>
            </w:r>
            <w:r w:rsidR="004C7209" w:rsidRPr="00033144">
              <w:t xml:space="preserve"> </w:t>
            </w:r>
            <w:r w:rsidRPr="00033144">
              <w:t>period).</w:t>
            </w:r>
          </w:p>
          <w:p w:rsidR="00033144" w:rsidRPr="00033144" w:rsidRDefault="00033144" w:rsidP="00033144">
            <w:r w:rsidRPr="00033144">
              <w:t xml:space="preserve">As a result, we prefer to have greater regard to estimates exclusive of these uplifts. For more detail, see sections E.3, E.4 and E.6 in Attachment 3 to our </w:t>
            </w:r>
            <w:r w:rsidR="004C7209" w:rsidRPr="004C7209">
              <w:rPr>
                <w:rStyle w:val="AERtextsize8"/>
              </w:rPr>
              <w:t>draft</w:t>
            </w:r>
            <w:r w:rsidRPr="00033144">
              <w:t xml:space="preserve"> decision for </w:t>
            </w:r>
            <w:r w:rsidR="004C7209" w:rsidRPr="004C7209">
              <w:rPr>
                <w:rStyle w:val="AERtextsize8"/>
              </w:rPr>
              <w:t>ActewAGL</w:t>
            </w:r>
            <w:r w:rsidRPr="00033144">
              <w:t>.</w:t>
            </w:r>
          </w:p>
        </w:tc>
      </w:tr>
      <w:tr w:rsidR="00033144" w:rsidTr="00033144">
        <w:trPr>
          <w:cnfStyle w:val="000000010000" w:firstRow="0" w:lastRow="0" w:firstColumn="0" w:lastColumn="0" w:oddVBand="0" w:evenVBand="0" w:oddHBand="0" w:evenHBand="1" w:firstRowFirstColumn="0" w:firstRowLastColumn="0" w:lastRowFirstColumn="0" w:lastRowLastColumn="0"/>
        </w:trPr>
        <w:tc>
          <w:tcPr>
            <w:tcW w:w="2235" w:type="dxa"/>
          </w:tcPr>
          <w:p w:rsidR="00033144" w:rsidRPr="00033144" w:rsidRDefault="00033144" w:rsidP="00033144">
            <w:r w:rsidRPr="00033144">
              <w:t>Houston Kemp submitted that our concern about uplifts in valuation reports reflecting term structure adjustments is not supported by the evidence.</w:t>
            </w:r>
            <w:r w:rsidRPr="00033144">
              <w:rPr>
                <w:rStyle w:val="FootnoteReference"/>
              </w:rPr>
              <w:footnoteReference w:id="329"/>
            </w:r>
          </w:p>
        </w:tc>
        <w:tc>
          <w:tcPr>
            <w:tcW w:w="6458" w:type="dxa"/>
          </w:tcPr>
          <w:p w:rsidR="00033144" w:rsidRPr="00033144" w:rsidRDefault="00033144" w:rsidP="00033144">
            <w:r w:rsidRPr="00033144">
              <w:t>HoustonKemp has not provided compelling evidence that valuers do not adjust risk free rate estimates to account for term structure. HoustonKemp lists 25 valuation reports that contain a risk free rate estimate that differs from the yield on Australian government securities by at least 100 basis points. HoustonKemp submits that these reports provide no evidence that valuers are considering the term structure of the risk free rate. However, these reports do not provide evidence that valuers are not considering the term structure. Most reports provide little justification for the risk free rate estimate. This is one reason why we have limited reliance on evidence from valuation reports.</w:t>
            </w:r>
            <w:r w:rsidRPr="00033144">
              <w:rPr>
                <w:rStyle w:val="FootnoteReference"/>
              </w:rPr>
              <w:footnoteReference w:id="330"/>
            </w:r>
          </w:p>
          <w:p w:rsidR="00033144" w:rsidRPr="00033144" w:rsidDel="00507F98" w:rsidRDefault="00033144" w:rsidP="00033144">
            <w:r w:rsidRPr="00033144">
              <w:t>HoustonKemp refers to a report by KPMG for Prima Biomed. HoustonKemp submits that current yields on Australian government securities do not indicate a step function for forward rates as assumed by KPMG and that KPMG's estimate of 5.5 per cent is above the forward rate. We do not consider this to be a concern. We examine estimates from valuation reports in order to survey the views of other market practitioners. To limit our consideration of only estimates that align with market data would be to make such a survey exercise redundant. HoustonKemp also notes that KPMG estimates cash flows from Prima Biomed to cease before KPMG's estimated step increase in the risk free rate. We acknowledge that more reliance might be placed on KPMG's long-term risk free rate estimate if it had a more material impact, but we do not consider that there is no value in considering KPMG's estimate.</w:t>
            </w:r>
          </w:p>
        </w:tc>
      </w:tr>
      <w:tr w:rsidR="00033144" w:rsidTr="00033144">
        <w:tc>
          <w:tcPr>
            <w:tcW w:w="2235" w:type="dxa"/>
          </w:tcPr>
          <w:p w:rsidR="00033144" w:rsidRPr="00033144" w:rsidRDefault="0085531A" w:rsidP="004C7209">
            <w:r>
              <w:t>Service providers</w:t>
            </w:r>
            <w:r w:rsidR="00033144" w:rsidRPr="00033144">
              <w:t xml:space="preserve"> submitted that the relevant estimates from broker and valuation reports are the imputation-adjusted estimates.</w:t>
            </w:r>
            <w:r w:rsidR="00033144" w:rsidRPr="00033144">
              <w:rPr>
                <w:rStyle w:val="FootnoteReference"/>
              </w:rPr>
              <w:t xml:space="preserve"> </w:t>
            </w:r>
            <w:r w:rsidR="00033144" w:rsidRPr="00033144">
              <w:rPr>
                <w:rStyle w:val="FootnoteReference"/>
              </w:rPr>
              <w:footnoteReference w:id="331"/>
            </w:r>
          </w:p>
        </w:tc>
        <w:tc>
          <w:tcPr>
            <w:tcW w:w="6458" w:type="dxa"/>
          </w:tcPr>
          <w:p w:rsidR="00033144" w:rsidRPr="00033144" w:rsidRDefault="00033144" w:rsidP="00033144">
            <w:r w:rsidRPr="00033144">
              <w:t xml:space="preserve">It is not clear that it is necessary to adjust broker and valuer estimates for imputation as it is unclear the extent to which these estimates may be based on third party estimates that already account for the value of imputation credits. There is insufficient information to support any precise adjustment for dividend imputation. The risk premium appropriately reflecting dividend imputation is likely somewhere between the adjusted and unadjusted premiums and we take into account both values. For more detail, see sections E.3, E.4 and E.6 in Attachment 3 to our </w:t>
            </w:r>
            <w:r w:rsidR="004C7209" w:rsidRPr="004C7209">
              <w:rPr>
                <w:rStyle w:val="AERtextsize8"/>
              </w:rPr>
              <w:t>draft</w:t>
            </w:r>
            <w:r w:rsidRPr="00033144">
              <w:t xml:space="preserve"> decision for </w:t>
            </w:r>
            <w:r w:rsidR="004C7209" w:rsidRPr="004C7209">
              <w:rPr>
                <w:rStyle w:val="AERtextsize8"/>
              </w:rPr>
              <w:t>ActewAGL</w:t>
            </w:r>
            <w:r w:rsidRPr="00033144">
              <w:t>.</w:t>
            </w:r>
          </w:p>
        </w:tc>
      </w:tr>
      <w:tr w:rsidR="00033144" w:rsidTr="00033144">
        <w:trPr>
          <w:cnfStyle w:val="000000010000" w:firstRow="0" w:lastRow="0" w:firstColumn="0" w:lastColumn="0" w:oddVBand="0" w:evenVBand="0" w:oddHBand="0" w:evenHBand="1" w:firstRowFirstColumn="0" w:firstRowLastColumn="0" w:lastRowFirstColumn="0" w:lastRowLastColumn="0"/>
        </w:trPr>
        <w:tc>
          <w:tcPr>
            <w:tcW w:w="2235" w:type="dxa"/>
          </w:tcPr>
          <w:p w:rsidR="00033144" w:rsidRPr="00033144" w:rsidRDefault="0085531A" w:rsidP="004C7209">
            <w:r>
              <w:t>Service providers</w:t>
            </w:r>
            <w:r w:rsidR="00033144" w:rsidRPr="00033144">
              <w:t xml:space="preserve"> submitted that it is not appropriate to focus just on the equity risk premium from broker reports.</w:t>
            </w:r>
            <w:r w:rsidR="00033144" w:rsidRPr="00033144">
              <w:rPr>
                <w:rStyle w:val="FootnoteReference"/>
              </w:rPr>
              <w:t xml:space="preserve"> </w:t>
            </w:r>
            <w:r w:rsidR="00033144" w:rsidRPr="00033144">
              <w:rPr>
                <w:rStyle w:val="FootnoteReference"/>
              </w:rPr>
              <w:footnoteReference w:id="332"/>
            </w:r>
          </w:p>
        </w:tc>
        <w:tc>
          <w:tcPr>
            <w:tcW w:w="6458" w:type="dxa"/>
          </w:tcPr>
          <w:p w:rsidR="00033144" w:rsidRPr="00033144" w:rsidRDefault="00033144" w:rsidP="00033144">
            <w:r w:rsidRPr="00033144">
              <w:t xml:space="preserve">This submission indicates a misunderstanding of our approach. We clearly have regard to both equity risk premium and overall return on equity estimates from broker reports. For more details see section </w:t>
            </w:r>
            <w:r w:rsidRPr="00033144">
              <w:fldChar w:fldCharType="begin"/>
            </w:r>
            <w:r w:rsidRPr="00033144">
              <w:instrText xml:space="preserve"> REF _Ref445898024 \r \h </w:instrText>
            </w:r>
            <w:r w:rsidRPr="00033144">
              <w:fldChar w:fldCharType="separate"/>
            </w:r>
            <w:r w:rsidR="001A023B">
              <w:t>F.2</w:t>
            </w:r>
            <w:r w:rsidRPr="00033144">
              <w:fldChar w:fldCharType="end"/>
            </w:r>
            <w:r w:rsidRPr="00033144">
              <w:t xml:space="preserve"> of this attachment.</w:t>
            </w:r>
          </w:p>
        </w:tc>
      </w:tr>
      <w:tr w:rsidR="00033144" w:rsidTr="00033144">
        <w:tc>
          <w:tcPr>
            <w:tcW w:w="2235" w:type="dxa"/>
          </w:tcPr>
          <w:p w:rsidR="00033144" w:rsidRPr="00033144" w:rsidRDefault="00033144" w:rsidP="00033144">
            <w:r w:rsidRPr="00033144">
              <w:t xml:space="preserve">Frontier Economics submitted that we erred in our representation of valuers' estimated market return shown in Figure 3-33 in our </w:t>
            </w:r>
            <w:r w:rsidR="004C7209" w:rsidRPr="004C7209">
              <w:rPr>
                <w:rStyle w:val="AERtextsize8"/>
              </w:rPr>
              <w:t>draft</w:t>
            </w:r>
            <w:r w:rsidRPr="00033144">
              <w:t xml:space="preserve"> decision.</w:t>
            </w:r>
            <w:r w:rsidRPr="00033144">
              <w:rPr>
                <w:rStyle w:val="FootnoteReference"/>
              </w:rPr>
              <w:footnoteReference w:id="333"/>
            </w:r>
          </w:p>
        </w:tc>
        <w:tc>
          <w:tcPr>
            <w:tcW w:w="6458" w:type="dxa"/>
          </w:tcPr>
          <w:p w:rsidR="00033144" w:rsidRPr="00033144" w:rsidRDefault="00033144" w:rsidP="00033144">
            <w:r w:rsidRPr="00033144">
              <w:t xml:space="preserve">This submission indicates a misunderstanding of our approach. Valuers' estimates of the market return shown in Figure 3-33 in Attachment 3 to our </w:t>
            </w:r>
            <w:r w:rsidR="004C7209" w:rsidRPr="004C7209">
              <w:rPr>
                <w:rStyle w:val="AERtextsize8"/>
              </w:rPr>
              <w:t>draft</w:t>
            </w:r>
            <w:r w:rsidRPr="00033144">
              <w:t xml:space="preserve"> decision are calculated as the sum of the valuers' estimated risk free rate and market risk premium.</w:t>
            </w:r>
          </w:p>
        </w:tc>
      </w:tr>
      <w:tr w:rsidR="00033144" w:rsidTr="00033144">
        <w:trPr>
          <w:cnfStyle w:val="000000010000" w:firstRow="0" w:lastRow="0" w:firstColumn="0" w:lastColumn="0" w:oddVBand="0" w:evenVBand="0" w:oddHBand="0" w:evenHBand="1" w:firstRowFirstColumn="0" w:firstRowLastColumn="0" w:lastRowFirstColumn="0" w:lastRowLastColumn="0"/>
        </w:trPr>
        <w:tc>
          <w:tcPr>
            <w:tcW w:w="2235" w:type="dxa"/>
          </w:tcPr>
          <w:p w:rsidR="00033144" w:rsidRPr="00033144" w:rsidRDefault="00033144" w:rsidP="00033144">
            <w:r w:rsidRPr="00033144">
              <w:t>The EUCV, VECUA and CCP (panel 3) submitted that we should have regard to realised returns estimated from financial statements and asset sales.</w:t>
            </w:r>
            <w:r w:rsidRPr="00033144">
              <w:rPr>
                <w:rStyle w:val="FootnoteReference"/>
              </w:rPr>
              <w:footnoteReference w:id="334"/>
            </w:r>
          </w:p>
        </w:tc>
        <w:tc>
          <w:tcPr>
            <w:tcW w:w="6458" w:type="dxa"/>
          </w:tcPr>
          <w:p w:rsidR="00033144" w:rsidRPr="00033144" w:rsidRDefault="00033144" w:rsidP="00033144">
            <w:r w:rsidRPr="00033144">
              <w:t>Caution must be exercised before drawing inferences about the regulatory rate of return from realised returns. Realised returns may differ from the allowed rate of return due to outperformance of other regulatory allowances, income from unregulated activities, expectations for real growth in the regulatory asset base, or expectations of changes to the regulatory regime or revaluation of the regulatory asset base. Due to these factors, it is unclear what type of relationship may exist between realised returns and the allowed return on equity. That is, it is not clear what alterations to an allowed return on equity would result in an equivalence of regulatory asset values and market values (even if the factors outlined above could be adequately addressed).</w:t>
            </w:r>
          </w:p>
          <w:p w:rsidR="00033144" w:rsidRPr="00033144" w:rsidRDefault="00033144" w:rsidP="004C7209">
            <w:r w:rsidRPr="00033144">
              <w:t>For this reason, we do not use information from realised returns to estimate the return on equity. For more detail, see pages 10</w:t>
            </w:r>
            <w:r w:rsidR="004C7209">
              <w:t>5</w:t>
            </w:r>
            <w:r w:rsidRPr="00033144">
              <w:t xml:space="preserve"> to 10</w:t>
            </w:r>
            <w:r w:rsidR="004C7209">
              <w:t>8</w:t>
            </w:r>
            <w:r w:rsidRPr="00033144">
              <w:t xml:space="preserve"> of Attachment 3 to our </w:t>
            </w:r>
            <w:r w:rsidR="004C7209" w:rsidRPr="004C7209">
              <w:rPr>
                <w:rStyle w:val="AERtextsize8"/>
              </w:rPr>
              <w:t>draft</w:t>
            </w:r>
            <w:r w:rsidR="004C7209" w:rsidRPr="004C7209" w:rsidDel="004C7209">
              <w:t xml:space="preserve"> </w:t>
            </w:r>
            <w:r w:rsidRPr="00033144">
              <w:t xml:space="preserve"> decision for </w:t>
            </w:r>
            <w:r w:rsidR="004C7209" w:rsidRPr="004C7209">
              <w:rPr>
                <w:rStyle w:val="AERtextsize8"/>
              </w:rPr>
              <w:t>ActewAGL</w:t>
            </w:r>
            <w:r w:rsidRPr="00033144">
              <w:t>.</w:t>
            </w:r>
          </w:p>
        </w:tc>
      </w:tr>
    </w:tbl>
    <w:p w:rsidR="00033144" w:rsidRPr="00033144" w:rsidRDefault="00033144" w:rsidP="00033144">
      <w:pPr>
        <w:pStyle w:val="HeadingBoldBlue"/>
        <w:numPr>
          <w:ilvl w:val="0"/>
          <w:numId w:val="24"/>
        </w:numPr>
        <w:rPr>
          <w:rStyle w:val="AERtextorange"/>
        </w:rPr>
      </w:pPr>
      <w:bookmarkStart w:id="73" w:name="_Toc443923182"/>
      <w:r w:rsidRPr="00033144">
        <w:rPr>
          <w:rStyle w:val="AERtextorange"/>
        </w:rPr>
        <w:t>Movements in the risk free rate and the return on equity</w:t>
      </w:r>
      <w:bookmarkEnd w:id="73"/>
    </w:p>
    <w:p w:rsidR="00033144" w:rsidRPr="00033144" w:rsidRDefault="00033144" w:rsidP="00033144">
      <w:pPr>
        <w:numPr>
          <w:ilvl w:val="0"/>
          <w:numId w:val="24"/>
        </w:numPr>
      </w:pPr>
      <w:r w:rsidRPr="00033144">
        <w:t>Applying our foundation model approach, we estimate a return on equity of 7.</w:t>
      </w:r>
      <w:r w:rsidR="0085531A">
        <w:t>1</w:t>
      </w:r>
      <w:r w:rsidRPr="00033144">
        <w:t xml:space="preserve"> per cent. </w:t>
      </w:r>
    </w:p>
    <w:p w:rsidR="00033144" w:rsidRPr="00033144" w:rsidRDefault="00033144" w:rsidP="00033144">
      <w:pPr>
        <w:rPr>
          <w:rStyle w:val="AERbody"/>
        </w:rPr>
      </w:pPr>
      <w:r w:rsidRPr="00033144">
        <w:rPr>
          <w:rStyle w:val="AERbody"/>
        </w:rPr>
        <w:t xml:space="preserve">We consider capital—equity and debt—should provide for a risk premium over a base (risk free) rate. In estimating the allowed rate of return for </w:t>
      </w:r>
      <w:r w:rsidR="004C7209" w:rsidRPr="004C7209">
        <w:rPr>
          <w:rStyle w:val="AERbody"/>
        </w:rPr>
        <w:t>ActewAGL</w:t>
      </w:r>
      <w:r w:rsidRPr="00033144">
        <w:rPr>
          <w:rStyle w:val="AERbody"/>
        </w:rPr>
        <w:t xml:space="preserve">, we consider the additional riskiness of </w:t>
      </w:r>
      <w:r w:rsidR="004C7209" w:rsidRPr="004C7209">
        <w:rPr>
          <w:rStyle w:val="AERbody"/>
        </w:rPr>
        <w:t>ActewAGL</w:t>
      </w:r>
      <w:r w:rsidRPr="00033144">
        <w:rPr>
          <w:rStyle w:val="FootnoteReference"/>
        </w:rPr>
        <w:footnoteReference w:id="335"/>
      </w:r>
      <w:r w:rsidRPr="00033144">
        <w:rPr>
          <w:rStyle w:val="AERbody"/>
        </w:rPr>
        <w:t xml:space="preserve"> relative to the risk free asset, and the commensurate risk premium that investors require to take on this additional risk.</w:t>
      </w:r>
      <w:r w:rsidRPr="00033144">
        <w:rPr>
          <w:rStyle w:val="FootnoteReference"/>
        </w:rPr>
        <w:footnoteReference w:id="336"/>
      </w:r>
      <w:r w:rsidRPr="00033144">
        <w:rPr>
          <w:rStyle w:val="AERbody"/>
        </w:rPr>
        <w:t xml:space="preserve"> </w:t>
      </w:r>
    </w:p>
    <w:p w:rsidR="00033144" w:rsidRPr="00033144" w:rsidRDefault="00033144" w:rsidP="00033144">
      <w:pPr>
        <w:rPr>
          <w:rStyle w:val="AERbody"/>
        </w:rPr>
      </w:pPr>
      <w:r w:rsidRPr="00033144">
        <w:rPr>
          <w:rStyle w:val="AERbody"/>
        </w:rPr>
        <w:t xml:space="preserve">The service providers argue that there is an inverse relationship between the risk free rate and market risk premium. It is unclear why this risk premium would increase or decrease to entirely offset changes in the base risk free rate. We have not been provided with compelling evidence that the riskiness of </w:t>
      </w:r>
      <w:r w:rsidR="004C7209" w:rsidRPr="004C7209">
        <w:rPr>
          <w:rStyle w:val="AERbody"/>
        </w:rPr>
        <w:t>ActewAGL</w:t>
      </w:r>
      <w:r w:rsidRPr="00033144">
        <w:rPr>
          <w:rStyle w:val="AERbody"/>
        </w:rPr>
        <w:t xml:space="preserve"> relative to the risk free asset has increased as the risk free rate has decreased. Service providers have not sufficiently explained why, in the absence of an increase in the relative riskiness of </w:t>
      </w:r>
      <w:r w:rsidR="00490496">
        <w:rPr>
          <w:rStyle w:val="AERbody"/>
        </w:rPr>
        <w:t>ActewAGL</w:t>
      </w:r>
      <w:r w:rsidRPr="00033144">
        <w:rPr>
          <w:rStyle w:val="AERbody"/>
        </w:rPr>
        <w:t>, general risk aversion in equity investors would have risen as the risk free rate fell from November 2013, while over the same period it appeared to fall for debt investors. While required returns on equity are not directly observable, we have not been provided with compelling evidence for a clear inverse relationship between the long term forward looking risk free rate and the long term forward looking market risk premium.</w:t>
      </w:r>
      <w:r w:rsidRPr="00033144">
        <w:rPr>
          <w:rStyle w:val="FootnoteReference"/>
        </w:rPr>
        <w:footnoteReference w:id="337"/>
      </w:r>
    </w:p>
    <w:p w:rsidR="00033144" w:rsidRPr="00033144" w:rsidRDefault="00033144" w:rsidP="00033144">
      <w:pPr>
        <w:numPr>
          <w:ilvl w:val="0"/>
          <w:numId w:val="24"/>
        </w:numPr>
      </w:pPr>
      <w:r w:rsidRPr="00033144">
        <w:t>We consider that this is consistent with the required return on equity for prevailing market conditions for equity funds for the following reasons:</w:t>
      </w:r>
    </w:p>
    <w:p w:rsidR="00033144" w:rsidRPr="00033144" w:rsidRDefault="00033144" w:rsidP="00033144">
      <w:pPr>
        <w:pStyle w:val="AERbulletlistfirststyle"/>
      </w:pPr>
      <w:r w:rsidRPr="00033144">
        <w:t xml:space="preserve">We apply the foundation model approach and estimate a return on equity having regard to a range of relevant materials and their relative merits. </w:t>
      </w:r>
    </w:p>
    <w:p w:rsidR="00033144" w:rsidRPr="00033144" w:rsidRDefault="00033144" w:rsidP="00033144">
      <w:pPr>
        <w:pStyle w:val="AERbulletlistfirststyle"/>
      </w:pPr>
      <w:r w:rsidRPr="00033144">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estimates from relevant market participants broadly supports our foundation model estimate of the return on equity.</w:t>
      </w:r>
    </w:p>
    <w:p w:rsidR="00033144" w:rsidRPr="00033144" w:rsidRDefault="00033144" w:rsidP="00033144">
      <w:pPr>
        <w:pStyle w:val="AERbulletlistfirststyle"/>
      </w:pPr>
      <w:r w:rsidRPr="00033144">
        <w:t xml:space="preserve">Our </w:t>
      </w:r>
      <w:r w:rsidRPr="00033144">
        <w:rPr>
          <w:rStyle w:val="AERbody"/>
        </w:rPr>
        <w:t xml:space="preserve">comparison between the return on equity and return on debt supports the view that </w:t>
      </w:r>
      <w:r w:rsidRPr="00033144">
        <w:t>our estimated return on equity is not below efficient financing costs</w:t>
      </w:r>
      <w:r w:rsidRPr="00033144">
        <w:rPr>
          <w:rStyle w:val="FootnoteReference"/>
        </w:rPr>
        <w:footnoteReference w:id="338"/>
      </w:r>
      <w:r w:rsidRPr="00033144">
        <w:t xml:space="preserve"> under </w:t>
      </w:r>
      <w:r w:rsidRPr="00033144">
        <w:rPr>
          <w:rStyle w:val="AERbody"/>
        </w:rPr>
        <w:t xml:space="preserve">prevailing debt market conditions. </w:t>
      </w:r>
      <w:r w:rsidRPr="00033144">
        <w:t xml:space="preserve">We do not consider that the current </w:t>
      </w:r>
      <w:r w:rsidR="00C207FD">
        <w:t>163</w:t>
      </w:r>
      <w:r w:rsidR="0085531A">
        <w:t xml:space="preserve"> </w:t>
      </w:r>
      <w:r w:rsidRPr="00033144">
        <w:t>basis points difference between the equity risk premium allowed in this decision and debt risk premiums</w:t>
      </w:r>
      <w:r w:rsidRPr="00033144">
        <w:rPr>
          <w:rStyle w:val="FootnoteReference"/>
        </w:rPr>
        <w:footnoteReference w:id="339"/>
      </w:r>
      <w:r w:rsidRPr="00033144">
        <w:t xml:space="preserve"> to be too low. (see Appendix E.3 for more discussions)</w:t>
      </w:r>
    </w:p>
    <w:p w:rsidR="00033144" w:rsidRPr="00033144" w:rsidRDefault="00033144" w:rsidP="00033144">
      <w:pPr>
        <w:pStyle w:val="AERbulletlistfirststyle"/>
      </w:pPr>
      <w:r w:rsidRPr="00033144">
        <w:t>We do not find conclusive evidence of a relationship between the market risk premium and risk free rate in any direction or size. This is supported by our consideration in the Guideline, previous regulatory decisions and advice from Partington.</w:t>
      </w:r>
      <w:r w:rsidRPr="00033144">
        <w:rPr>
          <w:rStyle w:val="FootnoteReference"/>
        </w:rPr>
        <w:footnoteReference w:id="340"/>
      </w:r>
    </w:p>
    <w:p w:rsidR="00033144" w:rsidRPr="00033144" w:rsidRDefault="00033144" w:rsidP="00033144">
      <w:pPr>
        <w:pStyle w:val="AERbulletlistfirststyle"/>
      </w:pPr>
      <w:r w:rsidRPr="00033144">
        <w:t>We are not satisfied that there is evidence of a widespread 'flight to quality'</w:t>
      </w:r>
      <w:r w:rsidRPr="00033144">
        <w:rPr>
          <w:rStyle w:val="FootnoteReference"/>
        </w:rPr>
        <w:footnoteReference w:id="341"/>
      </w:r>
      <w:r w:rsidRPr="00033144">
        <w:t xml:space="preserve"> among investors in current market conditions that would impact the market risk premium. This can be seen in our consideration of conditioning variables and survey evidence. Further, Partington and the RBA has noted that investors can engage in a 'search for yield' during periods of low interest rate, which can lead to a decrease in the market risk premium expected by investors.</w:t>
      </w:r>
      <w:r w:rsidRPr="00033144">
        <w:rPr>
          <w:rStyle w:val="FootnoteReference"/>
        </w:rPr>
        <w:footnoteReference w:id="342"/>
      </w:r>
      <w:r w:rsidRPr="00033144">
        <w:t xml:space="preserve"> </w:t>
      </w:r>
    </w:p>
    <w:p w:rsidR="00033144" w:rsidRPr="00033144" w:rsidRDefault="00033144" w:rsidP="00033144">
      <w:r w:rsidRPr="00033144">
        <w:t>Partington has advised, '[t]he low bond rates tell us that the required return for low risk assets is low'.</w:t>
      </w:r>
      <w:r w:rsidRPr="00033144">
        <w:rPr>
          <w:rStyle w:val="FootnoteReference"/>
        </w:rPr>
        <w:footnoteReference w:id="343"/>
      </w:r>
      <w:r w:rsidRPr="00033144">
        <w:t xml:space="preserve"> Partington observed the market rose following the RBA cut to the cash rate on 3 February 2015. While he noted we should be cautious about making inferences based on singular instances, he observed this appeared in line with a fall in required returns. Specifically, he considered:</w:t>
      </w:r>
      <w:r w:rsidRPr="00033144">
        <w:rPr>
          <w:rStyle w:val="FootnoteReference"/>
        </w:rPr>
        <w:footnoteReference w:id="344"/>
      </w:r>
      <w:r w:rsidRPr="00033144">
        <w:t xml:space="preserve"> </w:t>
      </w:r>
    </w:p>
    <w:p w:rsidR="00033144" w:rsidRPr="00033144" w:rsidRDefault="00033144" w:rsidP="00033144">
      <w:pPr>
        <w:pStyle w:val="AERquote"/>
      </w:pPr>
      <w:r w:rsidRPr="00033144">
        <w:t>Rationally the market went up either because investors expected significant growth in company cash flows, or because their required return went down as a consequence of a lower interest rate. Given that the discussion at the time was about a slowing economy and reduced growth, a fall in required returns seems the more plausible explanation.</w:t>
      </w:r>
    </w:p>
    <w:p w:rsidR="00033144" w:rsidRPr="00033144" w:rsidRDefault="00033144" w:rsidP="00033144">
      <w:r w:rsidRPr="00033144">
        <w:t>More recently, Partington and Satchell considered the submissions put forward by service providers and stated:</w:t>
      </w:r>
      <w:r w:rsidRPr="00033144">
        <w:rPr>
          <w:rStyle w:val="FootnoteReference"/>
        </w:rPr>
        <w:footnoteReference w:id="345"/>
      </w:r>
    </w:p>
    <w:p w:rsidR="00033144" w:rsidRPr="00033144" w:rsidRDefault="00033144" w:rsidP="00033144">
      <w:pPr>
        <w:pStyle w:val="AERquote"/>
      </w:pPr>
      <w:r w:rsidRPr="00033144">
        <w:t>There is a possibility that current low interest rates could result in higher equity risk premiums, but we do not think this is likely and more importantly we have seen no convincing evidence that this is the case.</w:t>
      </w:r>
    </w:p>
    <w:p w:rsidR="00033144" w:rsidRPr="00033144" w:rsidRDefault="00033144" w:rsidP="00033144">
      <w:r w:rsidRPr="00033144">
        <w:t xml:space="preserve">Service providers continue to submit  that our estimate of the return on equity is too low as a result of our application of the Sharpe-Lintner CAPM moving in 'lock step' with the risk free rate, based on the following material: </w:t>
      </w:r>
    </w:p>
    <w:p w:rsidR="00033144" w:rsidRPr="00033144" w:rsidRDefault="00033144" w:rsidP="00033144">
      <w:pPr>
        <w:pStyle w:val="AERbulletlistfirststyle"/>
      </w:pPr>
      <w:r w:rsidRPr="00033144">
        <w:t>Dividend growth model estimates</w:t>
      </w:r>
    </w:p>
    <w:p w:rsidR="00033144" w:rsidRPr="00033144" w:rsidRDefault="00033144" w:rsidP="00033144">
      <w:pPr>
        <w:pStyle w:val="AERbulletlistfirststyle"/>
      </w:pPr>
      <w:r w:rsidRPr="00033144">
        <w:t>Wright approach</w:t>
      </w:r>
    </w:p>
    <w:p w:rsidR="00033144" w:rsidRPr="00033144" w:rsidRDefault="00033144" w:rsidP="00033144">
      <w:pPr>
        <w:pStyle w:val="AERbulletlistfirststyle"/>
      </w:pPr>
      <w:r w:rsidRPr="00033144">
        <w:t>Hurdle rates</w:t>
      </w:r>
    </w:p>
    <w:p w:rsidR="00033144" w:rsidRPr="00033144" w:rsidRDefault="00033144" w:rsidP="00033144">
      <w:pPr>
        <w:pStyle w:val="AERbulletlistfirststyle"/>
      </w:pPr>
      <w:r w:rsidRPr="00033144">
        <w:t>Price-to-earnings ratios (PE ratios)</w:t>
      </w:r>
    </w:p>
    <w:p w:rsidR="00033144" w:rsidRPr="00033144" w:rsidRDefault="00033144" w:rsidP="00033144">
      <w:pPr>
        <w:pStyle w:val="AERbulletlistfirststyle"/>
      </w:pPr>
      <w:r w:rsidRPr="00033144">
        <w:t>Independent valuation report</w:t>
      </w:r>
    </w:p>
    <w:p w:rsidR="00033144" w:rsidRPr="00033144" w:rsidRDefault="00033144" w:rsidP="00033144">
      <w:r w:rsidRPr="00033144">
        <w:t xml:space="preserve">We respond to these materials in the sections below. We note that we have considered much of this material in the </w:t>
      </w:r>
      <w:r w:rsidR="004C7209" w:rsidRPr="004C7209">
        <w:t>draft</w:t>
      </w:r>
      <w:r w:rsidRPr="00033144">
        <w:t xml:space="preserve"> decision</w:t>
      </w:r>
      <w:r w:rsidRPr="00033144">
        <w:rPr>
          <w:rStyle w:val="FootnoteReference"/>
        </w:rPr>
        <w:footnoteReference w:id="346"/>
      </w:r>
      <w:r w:rsidRPr="00033144">
        <w:t xml:space="preserve"> and, after reviewing the new materials, our previous considerations remain valid for this decision. </w:t>
      </w:r>
    </w:p>
    <w:p w:rsidR="00033144" w:rsidRPr="00033144" w:rsidRDefault="00033144" w:rsidP="00033144">
      <w:r w:rsidRPr="00033144">
        <w:t xml:space="preserve">For the reasons outlined, we consider that the foundation model estimate of the return on equity is consistent with the prevailing market conditions in the market for equity funds and the required return on equity for a firm facing similar risks as </w:t>
      </w:r>
      <w:r w:rsidR="004C7209" w:rsidRPr="004C7209">
        <w:rPr>
          <w:rStyle w:val="AERbody"/>
        </w:rPr>
        <w:t>ActewAGL</w:t>
      </w:r>
      <w:r w:rsidRPr="00033144">
        <w:t xml:space="preserve">. </w:t>
      </w:r>
    </w:p>
    <w:p w:rsidR="00033144" w:rsidRPr="00033144" w:rsidRDefault="00033144" w:rsidP="00033144">
      <w:r w:rsidRPr="00033144">
        <w:t xml:space="preserve">Further, our foundation model approach provides a flexible framework for estimating the required return on equity. It allows the identification of relevant materials and consideration of the roles each piece of material should play for estimating the return on equity. For example, our approach identified the relevant financial models (Sharpe-Lintner CAPM, Black CAPM, dividend growth model and Fama-French model) and, after assessing their merits, uses the theory of the Black CAPM for setting the equity beta estimate and outputs of the dividend growth model for setting the market risk premium estimate. We also consider our foundation model return on equity estimate against a range of other material independent to the foundation model (such as broker and valuation reports). We consider that the service providers have not had appropriate regard to all available evidence, nor a complete consideration of the relative merits of each piece of evidence.  </w:t>
      </w:r>
    </w:p>
    <w:p w:rsidR="00033144" w:rsidRPr="00033144" w:rsidRDefault="00033144" w:rsidP="00033144">
      <w:pPr>
        <w:pStyle w:val="HeadingOrange"/>
      </w:pPr>
      <w:r w:rsidRPr="00033144">
        <w:t>Dividend growth model estimates</w:t>
      </w:r>
    </w:p>
    <w:p w:rsidR="00033144" w:rsidRPr="00033144" w:rsidRDefault="00033144" w:rsidP="00033144">
      <w:r w:rsidRPr="00033144">
        <w:t>Service providers submitted that our estimate of the return on equity is below dividend growth model-based estimates.</w:t>
      </w:r>
      <w:r w:rsidRPr="00033144">
        <w:rPr>
          <w:rStyle w:val="FootnoteReference"/>
        </w:rPr>
        <w:footnoteReference w:id="347"/>
      </w:r>
      <w:r w:rsidRPr="00033144">
        <w:t xml:space="preserve"> Frontier submitted that a range of dividend growth model-based estimates of market risk premium and overall return on equity from market practitioners</w:t>
      </w:r>
      <w:r w:rsidRPr="00033144">
        <w:rPr>
          <w:rStyle w:val="FootnoteReference"/>
        </w:rPr>
        <w:footnoteReference w:id="348"/>
      </w:r>
      <w:r w:rsidRPr="00033144">
        <w:t xml:space="preserve"> and other regulators</w:t>
      </w:r>
      <w:r w:rsidRPr="00033144">
        <w:rPr>
          <w:rStyle w:val="FootnoteReference"/>
        </w:rPr>
        <w:footnoteReference w:id="349"/>
      </w:r>
      <w:r w:rsidRPr="00033144">
        <w:t xml:space="preserve"> supports an inverse, and offsetting, relationship between the risk free rate and the market risk premium.</w:t>
      </w:r>
      <w:r w:rsidRPr="00033144">
        <w:rPr>
          <w:rStyle w:val="FootnoteReference"/>
        </w:rPr>
        <w:footnoteReference w:id="350"/>
      </w:r>
    </w:p>
    <w:p w:rsidR="00033144" w:rsidRPr="00033144" w:rsidRDefault="00033144" w:rsidP="00033144">
      <w:r w:rsidRPr="00033144">
        <w:t xml:space="preserve">We assess the dividend growth model in detail in section </w:t>
      </w:r>
      <w:r w:rsidRPr="00033144">
        <w:fldChar w:fldCharType="begin"/>
      </w:r>
      <w:r w:rsidRPr="00033144">
        <w:instrText xml:space="preserve"> REF _Ref449007421 \r \h </w:instrText>
      </w:r>
      <w:r w:rsidRPr="00033144">
        <w:fldChar w:fldCharType="separate"/>
      </w:r>
      <w:r w:rsidR="001A023B">
        <w:t>B.4</w:t>
      </w:r>
      <w:r w:rsidRPr="00033144">
        <w:fldChar w:fldCharType="end"/>
      </w:r>
      <w:r w:rsidRPr="00033144">
        <w:t xml:space="preserve"> and consider that there are a range of limitations with the dividend growth model which makes its results unreliable and unsuitable for estimating the return on equity. We do not consider that any new material has been submitted to us that address the limitations we have identified with dividend growth models. Given these limitations, we do not consider that the dividend growth models provide compelling evidence of an inverse relationship between market risk premium and risk free rate.</w:t>
      </w:r>
    </w:p>
    <w:p w:rsidR="00033144" w:rsidRPr="00033144" w:rsidRDefault="00033144" w:rsidP="00033144">
      <w:pPr>
        <w:pStyle w:val="HeadingOrange"/>
      </w:pPr>
      <w:r w:rsidRPr="00033144">
        <w:t>Wright approach</w:t>
      </w:r>
    </w:p>
    <w:p w:rsidR="00033144" w:rsidRPr="00033144" w:rsidRDefault="00033144" w:rsidP="00033144">
      <w:r w:rsidRPr="00033144">
        <w:t>Service providers submitted that we have used the Wright approach incorrectly to inform overall return on equity instead the market risk premium.</w:t>
      </w:r>
      <w:r w:rsidRPr="00033144">
        <w:rPr>
          <w:rStyle w:val="FootnoteReference"/>
        </w:rPr>
        <w:footnoteReference w:id="351"/>
      </w:r>
      <w:r w:rsidRPr="00033144">
        <w:t xml:space="preserve"> Frontier noted that we do not give material weight to the negative relationship between the risk free rate and the market risk premium that is evidenced by the Wright approach.</w:t>
      </w:r>
      <w:r w:rsidRPr="00033144">
        <w:rPr>
          <w:rStyle w:val="FootnoteReference"/>
        </w:rPr>
        <w:footnoteReference w:id="352"/>
      </w:r>
      <w:r w:rsidRPr="00033144">
        <w:t xml:space="preserve"> Frontier also noted that reports by Wright and Smithers and the Economic Regulatory Authority of Western Australia (ERA supported the use of the Wright approach to inform market risk premium and an inverse, and offsetting, relationship between the risk free rate and the market risk premium.</w:t>
      </w:r>
      <w:r w:rsidRPr="00033144">
        <w:rPr>
          <w:rStyle w:val="FootnoteReference"/>
        </w:rPr>
        <w:footnoteReference w:id="353"/>
      </w:r>
      <w:r w:rsidRPr="00033144">
        <w:t xml:space="preserve"> </w:t>
      </w:r>
    </w:p>
    <w:p w:rsidR="00033144" w:rsidRPr="00033144" w:rsidRDefault="00033144" w:rsidP="00033144">
      <w:r w:rsidRPr="00033144">
        <w:t xml:space="preserve">After reviewing all the material submitted to us, we consider that the new materials do not address the previous (and on-going) concerns we have with the Wright approach (see section </w:t>
      </w:r>
      <w:r w:rsidRPr="00033144">
        <w:fldChar w:fldCharType="begin"/>
      </w:r>
      <w:r w:rsidRPr="00033144">
        <w:instrText xml:space="preserve"> REF _Ref451416623 \r \h </w:instrText>
      </w:r>
      <w:r w:rsidRPr="00033144">
        <w:fldChar w:fldCharType="separate"/>
      </w:r>
      <w:r w:rsidR="001A023B">
        <w:t>B</w:t>
      </w:r>
      <w:r w:rsidRPr="00033144">
        <w:fldChar w:fldCharType="end"/>
      </w:r>
      <w:r w:rsidRPr="00033144">
        <w:t>). Wright and Smithers indicates that the return on the market using U.S. data has been relatively stable over time.</w:t>
      </w:r>
      <w:r w:rsidRPr="00033144">
        <w:rPr>
          <w:rStyle w:val="FootnoteReference"/>
        </w:rPr>
        <w:footnoteReference w:id="354"/>
      </w:r>
      <w:r w:rsidRPr="00033144">
        <w:t xml:space="preserve"> However, applying Wright’s approach to Australian data, Lally found the estimated market risk premium series is more stable than the average real market return series.</w:t>
      </w:r>
      <w:r w:rsidRPr="00033144">
        <w:rPr>
          <w:rStyle w:val="FootnoteReference"/>
        </w:rPr>
        <w:footnoteReference w:id="355"/>
      </w:r>
      <w:r w:rsidRPr="00033144">
        <w:t xml:space="preserve"> </w:t>
      </w:r>
    </w:p>
    <w:p w:rsidR="00033144" w:rsidRPr="00033144" w:rsidRDefault="00033144" w:rsidP="00033144">
      <w:pPr>
        <w:pStyle w:val="HeadingOrange"/>
      </w:pPr>
      <w:r w:rsidRPr="00033144">
        <w:t>Hurdle rates</w:t>
      </w:r>
    </w:p>
    <w:p w:rsidR="00033144" w:rsidRPr="00033144" w:rsidRDefault="00033144" w:rsidP="00033144">
      <w:r w:rsidRPr="00033144">
        <w:t>McKinsey Inc considered that the required return on equity appeared to be quite stable as government bond yields declined, based on observations of hurdle rates.</w:t>
      </w:r>
      <w:r w:rsidRPr="00033144">
        <w:rPr>
          <w:rStyle w:val="FootnoteReference"/>
        </w:rPr>
        <w:footnoteReference w:id="356"/>
      </w:r>
      <w:r w:rsidRPr="00033144">
        <w:t xml:space="preserve"> A hurdle rate is a rate of return that firms and managers use when deciding whether or not to invest in capital projects.</w:t>
      </w:r>
    </w:p>
    <w:p w:rsidR="00033144" w:rsidRPr="00033144" w:rsidRDefault="00033144" w:rsidP="00033144">
      <w:r w:rsidRPr="00033144">
        <w:t xml:space="preserve">We are not persuaded that hurdle rates provide reliable evidence of the cost of equity for reasons stated in the </w:t>
      </w:r>
      <w:r w:rsidR="004C7209" w:rsidRPr="004C7209">
        <w:t>draft</w:t>
      </w:r>
      <w:r w:rsidRPr="00033144">
        <w:t xml:space="preserve"> decision.</w:t>
      </w:r>
      <w:r w:rsidRPr="00033144">
        <w:rPr>
          <w:rStyle w:val="FootnoteReference"/>
        </w:rPr>
        <w:footnoteReference w:id="357"/>
      </w:r>
      <w:r w:rsidRPr="00033144">
        <w:t xml:space="preserve"> The RBA and Deloitte have noted that Australian firms tend to have high 'hurdle rates' of return that are often well above the cost of capital and do not change very often.</w:t>
      </w:r>
      <w:r w:rsidRPr="00033144">
        <w:rPr>
          <w:rStyle w:val="FootnoteReference"/>
        </w:rPr>
        <w:footnoteReference w:id="358"/>
      </w:r>
      <w:r w:rsidRPr="00033144">
        <w:t xml:space="preserve"> Further, JP Morgan appears to indicate that hurdle rates may not be responsive to changes in market conditions. This could be because firms use hurdle rates as a capital rationing device,</w:t>
      </w:r>
      <w:r w:rsidRPr="00033144">
        <w:rPr>
          <w:rStyle w:val="FootnoteReference"/>
        </w:rPr>
        <w:footnoteReference w:id="359"/>
      </w:r>
      <w:r w:rsidRPr="00033144">
        <w:t xml:space="preserve"> to reflect uncertainty in cash flow forecasts,</w:t>
      </w:r>
      <w:r w:rsidRPr="00033144">
        <w:rPr>
          <w:rStyle w:val="FootnoteReference"/>
        </w:rPr>
        <w:footnoteReference w:id="360"/>
      </w:r>
      <w:r w:rsidRPr="00033144">
        <w:t xml:space="preserve"> to reflect strategic incentives,</w:t>
      </w:r>
      <w:r w:rsidRPr="00033144">
        <w:rPr>
          <w:rStyle w:val="FootnoteReference"/>
        </w:rPr>
        <w:footnoteReference w:id="361"/>
      </w:r>
      <w:r w:rsidRPr="00033144">
        <w:t xml:space="preserve"> because of an absence of competitive market pressures,</w:t>
      </w:r>
      <w:r w:rsidRPr="00033144">
        <w:rPr>
          <w:rStyle w:val="FootnoteReference"/>
        </w:rPr>
        <w:footnoteReference w:id="362"/>
      </w:r>
      <w:r w:rsidRPr="00033144">
        <w:t xml:space="preserve"> or due to immateriality of incremental changes if the firm has a high cost of capital.</w:t>
      </w:r>
      <w:r w:rsidRPr="00033144">
        <w:rPr>
          <w:rStyle w:val="FootnoteReference"/>
        </w:rPr>
        <w:footnoteReference w:id="363"/>
      </w:r>
    </w:p>
    <w:p w:rsidR="00033144" w:rsidRPr="00033144" w:rsidRDefault="00033144" w:rsidP="00033144">
      <w:pPr>
        <w:pStyle w:val="HeadingOrange"/>
      </w:pPr>
      <w:r w:rsidRPr="00033144">
        <w:t>Price-to-earnings ratios</w:t>
      </w:r>
    </w:p>
    <w:p w:rsidR="00033144" w:rsidRPr="00033144" w:rsidRDefault="00033144" w:rsidP="00033144">
      <w:r w:rsidRPr="00033144">
        <w:t xml:space="preserve">We are not satisfied that price-to-earnings ratios provide evidence of an inverse relationship between the risk free rate and the market risk premium in the current market. </w:t>
      </w:r>
    </w:p>
    <w:p w:rsidR="00033144" w:rsidRPr="00033144" w:rsidRDefault="00033144" w:rsidP="00033144">
      <w:r w:rsidRPr="00033144">
        <w:t>If investors reduce their required rate of return, and earnings expectations are unchanged, then market prices and the price-to-earnings ratio should increase.</w:t>
      </w:r>
      <w:r w:rsidRPr="00033144">
        <w:rPr>
          <w:rStyle w:val="FootnoteReference"/>
        </w:rPr>
        <w:footnoteReference w:id="364"/>
      </w:r>
      <w:r w:rsidRPr="00033144">
        <w:t xml:space="preserve"> Frontier refers to evidence in McKinsey and JP Morgan reports</w:t>
      </w:r>
      <w:r w:rsidRPr="00033144">
        <w:rPr>
          <w:rStyle w:val="FootnoteReference"/>
        </w:rPr>
        <w:footnoteReference w:id="365"/>
      </w:r>
      <w:r w:rsidRPr="00033144">
        <w:t xml:space="preserve"> that price-to-earnings ratios have remained 'within their long-term averages' as risk free rates have recently fallen, and that this suggests investors have not decreased their required rates of return despite a decline in the risk free rate.</w:t>
      </w:r>
    </w:p>
    <w:p w:rsidR="00033144" w:rsidRPr="00033144" w:rsidRDefault="00033144" w:rsidP="00033144">
      <w:r w:rsidRPr="00033144">
        <w:t>However, the McKinsey and JP Morgan reports analysed the US and UK markets, and it is not clear that the Australian market would follow a similar experience. In any case, it is not clear that earnings expectations have remained unchanged as the risk free rate has declined. McKinsey used a one-year-forward price-to-earnings ratio, but market prices likely reflect longer-term expectations, which may differ markedly from one-year forward expectations. JP Morgan acknowledged that the price-to-earnings ratio can also reflect growth expectations.</w:t>
      </w:r>
      <w:r w:rsidRPr="00033144">
        <w:rPr>
          <w:rStyle w:val="FootnoteReference"/>
        </w:rPr>
        <w:footnoteReference w:id="366"/>
      </w:r>
      <w:r w:rsidRPr="00033144">
        <w:t xml:space="preserve">  We also note that JP Morgan and McKinsey Inc drew different conclusions on the cost of equity due to using different data periods. </w:t>
      </w:r>
    </w:p>
    <w:p w:rsidR="00033144" w:rsidRPr="00033144" w:rsidRDefault="00033144" w:rsidP="00033144">
      <w:pPr>
        <w:pStyle w:val="HeadingOrange"/>
      </w:pPr>
      <w:r w:rsidRPr="00033144">
        <w:t>Independent valuation report</w:t>
      </w:r>
    </w:p>
    <w:p w:rsidR="00033144" w:rsidRPr="00033144" w:rsidRDefault="00033144" w:rsidP="00033144">
      <w:r w:rsidRPr="00033144">
        <w:rPr>
          <w:rStyle w:val="AERbody"/>
        </w:rPr>
        <w:t>Service providers</w:t>
      </w:r>
      <w:r w:rsidRPr="00033144">
        <w:t xml:space="preserve"> submitted that independent valuation reports provide evidence of an inverse relationship between the risk free rate and the market risk premium.</w:t>
      </w:r>
      <w:r w:rsidRPr="00033144">
        <w:rPr>
          <w:rStyle w:val="FootnoteReference"/>
        </w:rPr>
        <w:footnoteReference w:id="367"/>
      </w:r>
      <w:r w:rsidRPr="00033144">
        <w:t xml:space="preserve"> In addition to reports by Incenta and NERA considered in our </w:t>
      </w:r>
      <w:r w:rsidR="00BF089E">
        <w:t>draft</w:t>
      </w:r>
      <w:r w:rsidRPr="00033144">
        <w:t xml:space="preserve"> decision, a new HoustonKemp report submits that there is a statistically significant inverse relationship between the government bond yield and the market risk premium that is applied by independent expert valuation professionals.</w:t>
      </w:r>
      <w:r w:rsidRPr="00033144">
        <w:rPr>
          <w:rStyle w:val="FootnoteReference"/>
        </w:rPr>
        <w:footnoteReference w:id="368"/>
      </w:r>
    </w:p>
    <w:p w:rsidR="00033144" w:rsidRPr="00033144" w:rsidRDefault="00033144" w:rsidP="00033144">
      <w:pPr>
        <w:numPr>
          <w:ilvl w:val="0"/>
          <w:numId w:val="24"/>
        </w:numPr>
      </w:pPr>
      <w:r w:rsidRPr="00033144">
        <w:t>We consider that there is not sufficient evidence to establish the existence of such a relationship in valuers' estimates, because:</w:t>
      </w:r>
    </w:p>
    <w:p w:rsidR="00033144" w:rsidRPr="00033144" w:rsidRDefault="00033144" w:rsidP="00033144">
      <w:pPr>
        <w:pStyle w:val="AERbulletlistfirststyle"/>
      </w:pPr>
      <w:r w:rsidRPr="00033144">
        <w:t>Incenta's sample is too small to support a reliable inference.</w:t>
      </w:r>
    </w:p>
    <w:p w:rsidR="00033144" w:rsidRPr="00033144" w:rsidRDefault="00033144" w:rsidP="00033144">
      <w:pPr>
        <w:pStyle w:val="AERbulletlistfirststyle"/>
      </w:pPr>
      <w:r w:rsidRPr="00033144">
        <w:t>NERA's regression results are driven by its unsupported assumption that any difference between a valuer's stated risk free rate and the prevailing yield on Commonwealth government securities is to be taken as part of their adopted market risk premium.</w:t>
      </w:r>
    </w:p>
    <w:p w:rsidR="00033144" w:rsidRPr="00033144" w:rsidRDefault="00033144" w:rsidP="00033144">
      <w:r w:rsidRPr="00033144">
        <w:t xml:space="preserve">As HoustonKemp's analysis uses the same methods to that of NERA, our assessment of NERA's analysis in our </w:t>
      </w:r>
      <w:r w:rsidR="004C7209" w:rsidRPr="004C7209">
        <w:t>draft</w:t>
      </w:r>
      <w:r w:rsidRPr="00033144">
        <w:t xml:space="preserve"> decision are equally applicable to it. </w:t>
      </w:r>
      <w:r w:rsidRPr="00033144">
        <w:rPr>
          <w:rStyle w:val="AERbody"/>
        </w:rPr>
        <w:t>These reasons were supported by Partington and Satchell.</w:t>
      </w:r>
      <w:r w:rsidRPr="00033144">
        <w:rPr>
          <w:rStyle w:val="FootnoteReference"/>
        </w:rPr>
        <w:footnoteReference w:id="369"/>
      </w:r>
      <w:r w:rsidRPr="00033144">
        <w:rPr>
          <w:rStyle w:val="AERbody"/>
        </w:rPr>
        <w:t xml:space="preserve"> We do not consider that there is sufficient evidence before us to depart from our original assessment. </w:t>
      </w:r>
      <w:r w:rsidRPr="00033144">
        <w:t xml:space="preserve">We respond to this material in more detail in section </w:t>
      </w:r>
      <w:r w:rsidRPr="00033144">
        <w:fldChar w:fldCharType="begin"/>
      </w:r>
      <w:r w:rsidRPr="00033144">
        <w:instrText xml:space="preserve"> REF _Ref449020986 \r \h </w:instrText>
      </w:r>
      <w:r w:rsidRPr="00033144">
        <w:fldChar w:fldCharType="separate"/>
      </w:r>
      <w:r w:rsidR="001A023B">
        <w:t>F.5</w:t>
      </w:r>
      <w:r w:rsidRPr="00033144">
        <w:fldChar w:fldCharType="end"/>
      </w:r>
      <w:r w:rsidRPr="00033144">
        <w:t>.</w:t>
      </w:r>
    </w:p>
    <w:p w:rsidR="00737E50" w:rsidRDefault="00737E50" w:rsidP="00737E50">
      <w:pPr>
        <w:pStyle w:val="Heading3"/>
      </w:pPr>
      <w:bookmarkStart w:id="74" w:name="_Ref451326913"/>
      <w:bookmarkStart w:id="75" w:name="_Toc451945477"/>
      <w:r>
        <w:t>Return on debt</w:t>
      </w:r>
      <w:bookmarkEnd w:id="61"/>
      <w:bookmarkEnd w:id="62"/>
      <w:bookmarkEnd w:id="74"/>
      <w:bookmarkEnd w:id="75"/>
      <w:r>
        <w:t xml:space="preserve"> </w:t>
      </w:r>
    </w:p>
    <w:p w:rsidR="008168FA" w:rsidRPr="0039163B" w:rsidRDefault="00104749" w:rsidP="00104749">
      <w:r>
        <w:t>The</w:t>
      </w:r>
      <w:r w:rsidRPr="0039163B">
        <w:t xml:space="preserve"> </w:t>
      </w:r>
      <w:r>
        <w:t xml:space="preserve">allowed return on debt provides a </w:t>
      </w:r>
      <w:r w:rsidRPr="0039163B">
        <w:t>service provider</w:t>
      </w:r>
      <w:r>
        <w:t xml:space="preserve"> with an allowance to cover efficient </w:t>
      </w:r>
      <w:r w:rsidRPr="0039163B">
        <w:t xml:space="preserve">borrowing costs associated with funding investments in </w:t>
      </w:r>
      <w:r>
        <w:t xml:space="preserve">its </w:t>
      </w:r>
      <w:r w:rsidRPr="0039163B">
        <w:t xml:space="preserve">network. Consistent with other components of the rate of return, we determine the </w:t>
      </w:r>
      <w:r>
        <w:t xml:space="preserve">allowed </w:t>
      </w:r>
      <w:r w:rsidRPr="0039163B">
        <w:t>return by reference to a 'benchmark efficient entity' rather than the actual service provider.</w:t>
      </w:r>
    </w:p>
    <w:p w:rsidR="008168FA" w:rsidRDefault="00104749" w:rsidP="00104749">
      <w:r w:rsidRPr="0039163B">
        <w:t>Our decision is to adopt a return on debt of 5.</w:t>
      </w:r>
      <w:r>
        <w:t xml:space="preserve">31 </w:t>
      </w:r>
      <w:r w:rsidRPr="0039163B">
        <w:t xml:space="preserve">per cent, rather than the </w:t>
      </w:r>
      <w:r>
        <w:t>7.70</w:t>
      </w:r>
      <w:r w:rsidRPr="0039163B">
        <w:t xml:space="preserve"> per cent proposed by</w:t>
      </w:r>
      <w:r>
        <w:t xml:space="preserve"> ActewAGL</w:t>
      </w:r>
      <w:r w:rsidR="008168FA" w:rsidRPr="008168FA">
        <w:t xml:space="preserve"> </w:t>
      </w:r>
      <w:r w:rsidR="008168FA">
        <w:t>for 2016</w:t>
      </w:r>
      <w:r w:rsidR="008168FA" w:rsidRPr="009F3831">
        <w:t>–</w:t>
      </w:r>
      <w:r w:rsidR="008168FA">
        <w:t>17</w:t>
      </w:r>
      <w:r>
        <w:t>.</w:t>
      </w:r>
      <w:r>
        <w:rPr>
          <w:rStyle w:val="FootnoteReference"/>
        </w:rPr>
        <w:footnoteReference w:id="370"/>
      </w:r>
      <w:r w:rsidRPr="0039163B">
        <w:t xml:space="preserve"> </w:t>
      </w:r>
      <w:r w:rsidR="008168FA">
        <w:t xml:space="preserve">Similarly, we </w:t>
      </w:r>
      <w:r w:rsidR="008168FA" w:rsidRPr="0039163B">
        <w:t>adopt a return on debt of 5.</w:t>
      </w:r>
      <w:r w:rsidR="008168FA">
        <w:t xml:space="preserve">29 </w:t>
      </w:r>
      <w:r w:rsidR="008168FA" w:rsidRPr="0039163B">
        <w:t xml:space="preserve">per cent, rather than the </w:t>
      </w:r>
      <w:r w:rsidR="00B752BA">
        <w:t>7.81</w:t>
      </w:r>
      <w:r w:rsidR="008168FA" w:rsidRPr="0039163B">
        <w:t xml:space="preserve"> per cent proposed by</w:t>
      </w:r>
      <w:r w:rsidR="008168FA">
        <w:t xml:space="preserve"> ActewAGL</w:t>
      </w:r>
      <w:r w:rsidR="008168FA" w:rsidRPr="008168FA">
        <w:t xml:space="preserve"> </w:t>
      </w:r>
      <w:r w:rsidR="00B752BA">
        <w:t>for the interval-of-delay (2015</w:t>
      </w:r>
      <w:r w:rsidR="008168FA" w:rsidRPr="009F3831">
        <w:t>–</w:t>
      </w:r>
      <w:r w:rsidR="00B752BA">
        <w:t>16).</w:t>
      </w:r>
    </w:p>
    <w:p w:rsidR="00104749" w:rsidRDefault="00104749" w:rsidP="00104749">
      <w:r w:rsidRPr="0039163B">
        <w:t xml:space="preserve">This decision sets out how we arrived at the rate for </w:t>
      </w:r>
      <w:r>
        <w:t>ActewAGL</w:t>
      </w:r>
      <w:r w:rsidRPr="0039163B">
        <w:t>, and how we plan to update the return on debt in future regulatory years.</w:t>
      </w:r>
      <w:r>
        <w:t xml:space="preserve"> That is, we set out:</w:t>
      </w:r>
    </w:p>
    <w:p w:rsidR="00104749" w:rsidRPr="00104749" w:rsidRDefault="00104749" w:rsidP="00104749">
      <w:pPr>
        <w:pStyle w:val="AERbulletlistfirststyle"/>
      </w:pPr>
      <w:r>
        <w:t>The return on debt approach. This sets out why we transition the entire return on debt from an on-the-day to a trailing average approach over 10 years (a full transition).</w:t>
      </w:r>
      <w:r w:rsidRPr="00104749">
        <w:rPr>
          <w:rStyle w:val="AERbody"/>
        </w:rPr>
        <w:t xml:space="preserve"> While the revised proposals in front of us raised various considerations, most material is on the form of transition to the trailing average approach.</w:t>
      </w:r>
    </w:p>
    <w:p w:rsidR="00104749" w:rsidRPr="00104749" w:rsidRDefault="00104749" w:rsidP="00104749">
      <w:pPr>
        <w:pStyle w:val="AERbulletlistfirststyle"/>
      </w:pPr>
      <w:r>
        <w:t>Implementing the return on debt approach. This includes the benchmark term, benchmark credit rating, our choice and use of third party data series, extrapolation/interpolation issues, contingencies, averaging periods and the annual updating process.</w:t>
      </w:r>
    </w:p>
    <w:p w:rsidR="00737E50" w:rsidRDefault="00CF1782" w:rsidP="00737E50">
      <w:pPr>
        <w:pStyle w:val="HeadingBoldBlue"/>
      </w:pPr>
      <w:r>
        <w:t>R</w:t>
      </w:r>
      <w:r w:rsidR="00737E50">
        <w:t>eturn on debt</w:t>
      </w:r>
      <w:r>
        <w:t xml:space="preserve"> approach</w:t>
      </w:r>
    </w:p>
    <w:p w:rsidR="007656EA" w:rsidRDefault="007656EA" w:rsidP="007656EA">
      <w:r>
        <w:t>Our final decision is to transition the entire return on debt</w:t>
      </w:r>
      <w:r>
        <w:rPr>
          <w:rStyle w:val="FootnoteReference"/>
        </w:rPr>
        <w:footnoteReference w:id="371"/>
      </w:r>
      <w:r>
        <w:t xml:space="preserve"> from an on-the-day approach </w:t>
      </w:r>
      <w:r w:rsidRPr="00F17A9D">
        <w:t xml:space="preserve">in the </w:t>
      </w:r>
      <w:r w:rsidR="00A27A77">
        <w:t xml:space="preserve">interval-of-delay </w:t>
      </w:r>
      <w:r>
        <w:t xml:space="preserve">to a trailing average by updating 10 per cent of the debt portfolio </w:t>
      </w:r>
      <w:r w:rsidRPr="00454ED0">
        <w:t>over 10 years</w:t>
      </w:r>
      <w:r>
        <w:t xml:space="preserve"> (a full transition). This is consistent with </w:t>
      </w:r>
      <w:r w:rsidRPr="0039163B">
        <w:t xml:space="preserve">the </w:t>
      </w:r>
      <w:r>
        <w:t>Guideline</w:t>
      </w:r>
      <w:r w:rsidRPr="0039163B">
        <w:t xml:space="preserve"> and </w:t>
      </w:r>
      <w:r>
        <w:t>our</w:t>
      </w:r>
      <w:r w:rsidRPr="0039163B">
        <w:t xml:space="preserve"> </w:t>
      </w:r>
      <w:r>
        <w:t>draft</w:t>
      </w:r>
      <w:r w:rsidRPr="0039163B">
        <w:t xml:space="preserve"> decision</w:t>
      </w:r>
      <w:r>
        <w:t>.</w:t>
      </w:r>
      <w:r>
        <w:rPr>
          <w:rStyle w:val="FootnoteReference"/>
        </w:rPr>
        <w:footnoteReference w:id="372"/>
      </w:r>
    </w:p>
    <w:p w:rsidR="007656EA" w:rsidRDefault="007656EA" w:rsidP="007656EA">
      <w:pPr>
        <w:rPr>
          <w:rStyle w:val="AERbody"/>
        </w:rPr>
      </w:pPr>
      <w:r>
        <w:rPr>
          <w:rStyle w:val="AERbody"/>
        </w:rPr>
        <w:t>In the absence of a transition that substantially eliminates any change in the present value of a benchmark efficient entity as a result of the change in methodology,</w:t>
      </w:r>
      <w:r>
        <w:rPr>
          <w:rStyle w:val="FootnoteReference"/>
        </w:rPr>
        <w:footnoteReference w:id="373"/>
      </w:r>
      <w:r>
        <w:rPr>
          <w:rStyle w:val="AERbody"/>
        </w:rPr>
        <w:t xml:space="preserve"> the only other approach we consider will satisfy the ARORO is the continuation of the on-the-day methodology. The continuation of the on-the-day methodology sets an allowed return commensurate with efficient financing costs at the start of the access arrangement period because it resets the allowed return to the current efficient market rates.</w:t>
      </w:r>
    </w:p>
    <w:p w:rsidR="007656EA" w:rsidRDefault="007656EA" w:rsidP="007656EA">
      <w:r>
        <w:rPr>
          <w:rStyle w:val="AERbody"/>
        </w:rPr>
        <w:t xml:space="preserve">In its revised access arrangement proposal, </w:t>
      </w:r>
      <w:r>
        <w:t xml:space="preserve">ActewAGL proposed an immediate move to a trailing average approach for calculating the allowed return on debt (that is, no transition). As such, it changed its </w:t>
      </w:r>
      <w:r w:rsidRPr="002F17AD">
        <w:t xml:space="preserve">position between </w:t>
      </w:r>
      <w:r>
        <w:t>its</w:t>
      </w:r>
      <w:r w:rsidRPr="002F17AD">
        <w:t xml:space="preserve"> initial a</w:t>
      </w:r>
      <w:r>
        <w:t>nd revised proposal,</w:t>
      </w:r>
      <w:r w:rsidRPr="002F17AD">
        <w:t xml:space="preserve"> from proposing a hybrid transition to an immediate</w:t>
      </w:r>
      <w:r>
        <w:t xml:space="preserve"> transition</w:t>
      </w:r>
      <w:r w:rsidRPr="002F17AD">
        <w:t xml:space="preserve">. To support </w:t>
      </w:r>
      <w:r>
        <w:t>its</w:t>
      </w:r>
      <w:r w:rsidRPr="002F17AD">
        <w:t xml:space="preserve"> new position, </w:t>
      </w:r>
      <w:r>
        <w:t>ActewAGL has provided new material addressing the</w:t>
      </w:r>
      <w:r w:rsidRPr="002F17AD">
        <w:t xml:space="preserve"> ARORO and what it requires of </w:t>
      </w:r>
      <w:r>
        <w:t>us</w:t>
      </w:r>
      <w:r w:rsidRPr="002F17AD">
        <w:t>.</w:t>
      </w:r>
      <w:r>
        <w:t xml:space="preserve"> It only provided this material in its revised proposal. </w:t>
      </w:r>
      <w:r>
        <w:fldChar w:fldCharType="begin"/>
      </w:r>
      <w:r>
        <w:instrText xml:space="preserve"> REF _Ref451173726 \h </w:instrText>
      </w:r>
      <w:r>
        <w:fldChar w:fldCharType="separate"/>
      </w:r>
      <w:r w:rsidR="001A023B">
        <w:t xml:space="preserve">Table </w:t>
      </w:r>
      <w:r w:rsidR="001A023B">
        <w:rPr>
          <w:noProof/>
        </w:rPr>
        <w:t>3</w:t>
      </w:r>
      <w:r w:rsidR="001A023B">
        <w:noBreakHyphen/>
      </w:r>
      <w:r w:rsidR="001A023B">
        <w:rPr>
          <w:noProof/>
        </w:rPr>
        <w:t>8</w:t>
      </w:r>
      <w:r>
        <w:fldChar w:fldCharType="end"/>
      </w:r>
      <w:r>
        <w:t xml:space="preserve"> highlights the difference between the allowed return on debt that service providers proposed in their initial proposals and revised proposals. To see how cash flows differ between our revenue-neutral approach and the service pro</w:t>
      </w:r>
      <w:r w:rsidR="00391CC7">
        <w:t xml:space="preserve">viders' revised proposals, see section </w:t>
      </w:r>
      <w:r w:rsidR="00BB7CBA">
        <w:fldChar w:fldCharType="begin"/>
      </w:r>
      <w:r w:rsidR="00BB7CBA">
        <w:instrText xml:space="preserve"> REF _Ref451538254 \r \h </w:instrText>
      </w:r>
      <w:r w:rsidR="00BB7CBA">
        <w:fldChar w:fldCharType="separate"/>
      </w:r>
      <w:r w:rsidR="001A023B">
        <w:t>H.5.1</w:t>
      </w:r>
      <w:r w:rsidR="00BB7CBA">
        <w:fldChar w:fldCharType="end"/>
      </w:r>
      <w:r w:rsidR="00391CC7">
        <w:t xml:space="preserve"> of</w:t>
      </w:r>
      <w:r w:rsidR="00391CC7" w:rsidRPr="00391CC7">
        <w:t xml:space="preserve"> Appendix </w:t>
      </w:r>
      <w:r w:rsidR="00391CC7" w:rsidRPr="00391CC7">
        <w:fldChar w:fldCharType="begin"/>
      </w:r>
      <w:r w:rsidR="00391CC7" w:rsidRPr="00391CC7">
        <w:instrText xml:space="preserve"> REF _Ref451326987 \r \h </w:instrText>
      </w:r>
      <w:r w:rsidR="00391CC7" w:rsidRPr="00391CC7">
        <w:fldChar w:fldCharType="separate"/>
      </w:r>
      <w:r w:rsidR="001A023B">
        <w:t>H</w:t>
      </w:r>
      <w:r w:rsidR="00391CC7" w:rsidRPr="00391CC7">
        <w:fldChar w:fldCharType="end"/>
      </w:r>
      <w:r>
        <w:t>.</w:t>
      </w:r>
    </w:p>
    <w:p w:rsidR="007656EA" w:rsidRDefault="007656EA" w:rsidP="007656EA">
      <w:r>
        <w:fldChar w:fldCharType="begin"/>
      </w:r>
      <w:r>
        <w:instrText xml:space="preserve"> REF _Ref451173726 \h </w:instrText>
      </w:r>
      <w:r>
        <w:fldChar w:fldCharType="separate"/>
      </w:r>
      <w:r w:rsidR="001A023B">
        <w:t xml:space="preserve">Table </w:t>
      </w:r>
      <w:r w:rsidR="001A023B">
        <w:rPr>
          <w:noProof/>
        </w:rPr>
        <w:t>3</w:t>
      </w:r>
      <w:r w:rsidR="001A023B">
        <w:noBreakHyphen/>
      </w:r>
      <w:r w:rsidR="001A023B">
        <w:rPr>
          <w:noProof/>
        </w:rPr>
        <w:t>8</w:t>
      </w:r>
      <w:r>
        <w:fldChar w:fldCharType="end"/>
      </w:r>
      <w:r>
        <w:t xml:space="preserve"> shows our final decision </w:t>
      </w:r>
      <w:r w:rsidRPr="00AE0473">
        <w:t>return on debt</w:t>
      </w:r>
      <w:r>
        <w:t xml:space="preserve"> estimates</w:t>
      </w:r>
      <w:r w:rsidRPr="00AE0473">
        <w:t xml:space="preserve"> for </w:t>
      </w:r>
      <w:r>
        <w:t xml:space="preserve">the </w:t>
      </w:r>
      <w:r w:rsidRPr="00AE0473">
        <w:t>first regulatory year</w:t>
      </w:r>
      <w:r>
        <w:t xml:space="preserve"> (which we consider satisfies the ARORO) are similar to, or higher than, the service providers' initial proposals. As such, the difference between our final decisions and the service providers' revised proposals is almost entirely a result of their change in position between initial and revised proposal.</w:t>
      </w:r>
    </w:p>
    <w:p w:rsidR="00B07A7A" w:rsidRDefault="007656EA" w:rsidP="00B07A7A">
      <w:pPr>
        <w:pStyle w:val="Caption"/>
      </w:pPr>
      <w:bookmarkStart w:id="76" w:name="_Ref451173726"/>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8</w:t>
      </w:r>
      <w:r w:rsidR="00120312">
        <w:rPr>
          <w:noProof/>
        </w:rPr>
        <w:fldChar w:fldCharType="end"/>
      </w:r>
      <w:bookmarkEnd w:id="76"/>
      <w:r>
        <w:tab/>
        <w:t xml:space="preserve">Proposed return on debt </w:t>
      </w:r>
      <w:r w:rsidR="00B07A7A" w:rsidRPr="00B07A7A">
        <w:t>–</w:t>
      </w:r>
      <w:r w:rsidR="00B07A7A">
        <w:t xml:space="preserve"> first regulatory year</w:t>
      </w:r>
      <w:r w:rsidR="00B07A7A" w:rsidRPr="00ED04D5">
        <w:rPr>
          <w:rStyle w:val="AERsuperscript"/>
        </w:rPr>
        <w:footnoteReference w:id="374"/>
      </w:r>
      <w:r w:rsidR="00B07A7A">
        <w:t xml:space="preserve"> (% nominal)*</w:t>
      </w:r>
    </w:p>
    <w:tbl>
      <w:tblPr>
        <w:tblStyle w:val="AERtable-text0"/>
        <w:tblW w:w="0" w:type="auto"/>
        <w:tblLook w:val="04A0" w:firstRow="1" w:lastRow="0" w:firstColumn="1" w:lastColumn="0" w:noHBand="0" w:noVBand="1"/>
      </w:tblPr>
      <w:tblGrid>
        <w:gridCol w:w="1951"/>
        <w:gridCol w:w="1573"/>
        <w:gridCol w:w="1687"/>
        <w:gridCol w:w="2127"/>
        <w:gridCol w:w="1355"/>
      </w:tblGrid>
      <w:tr w:rsidR="00B07A7A" w:rsidTr="003C3515">
        <w:trPr>
          <w:cnfStyle w:val="100000000000" w:firstRow="1" w:lastRow="0" w:firstColumn="0" w:lastColumn="0" w:oddVBand="0" w:evenVBand="0" w:oddHBand="0" w:evenHBand="0" w:firstRowFirstColumn="0" w:firstRowLastColumn="0" w:lastRowFirstColumn="0" w:lastRowLastColumn="0"/>
        </w:trPr>
        <w:tc>
          <w:tcPr>
            <w:tcW w:w="1951" w:type="dxa"/>
          </w:tcPr>
          <w:p w:rsidR="00B07A7A" w:rsidRPr="00B07A7A" w:rsidRDefault="00B07A7A" w:rsidP="00B07A7A">
            <w:r>
              <w:t>Service provider</w:t>
            </w:r>
          </w:p>
        </w:tc>
        <w:tc>
          <w:tcPr>
            <w:tcW w:w="1573" w:type="dxa"/>
          </w:tcPr>
          <w:p w:rsidR="00B07A7A" w:rsidRPr="00B07A7A" w:rsidRDefault="00B07A7A" w:rsidP="00B07A7A">
            <w:r>
              <w:t>Hybrid</w:t>
            </w:r>
            <w:r w:rsidRPr="00B07A7A">
              <w:t xml:space="preserve"> transition (most initial proposals)</w:t>
            </w:r>
            <w:r w:rsidRPr="00B07A7A">
              <w:rPr>
                <w:rStyle w:val="FootnoteReference"/>
              </w:rPr>
              <w:t xml:space="preserve"> </w:t>
            </w:r>
          </w:p>
        </w:tc>
        <w:tc>
          <w:tcPr>
            <w:tcW w:w="1687" w:type="dxa"/>
          </w:tcPr>
          <w:p w:rsidR="00B07A7A" w:rsidRPr="00B07A7A" w:rsidRDefault="00B07A7A" w:rsidP="00B07A7A">
            <w:r>
              <w:t>N</w:t>
            </w:r>
            <w:r w:rsidRPr="00B07A7A">
              <w:t xml:space="preserve">o transition (revised proposals, preference 1) </w:t>
            </w:r>
          </w:p>
        </w:tc>
        <w:tc>
          <w:tcPr>
            <w:tcW w:w="2127" w:type="dxa"/>
          </w:tcPr>
          <w:p w:rsidR="00B07A7A" w:rsidRPr="00B07A7A" w:rsidRDefault="00B07A7A" w:rsidP="00B07A7A">
            <w:r>
              <w:t>H</w:t>
            </w:r>
            <w:r w:rsidRPr="00B07A7A">
              <w:t xml:space="preserve">ybrid with 1/3 hedging (most revised proposals, preference 2) </w:t>
            </w:r>
          </w:p>
        </w:tc>
        <w:tc>
          <w:tcPr>
            <w:tcW w:w="1355" w:type="dxa"/>
          </w:tcPr>
          <w:p w:rsidR="00B07A7A" w:rsidRPr="00B07A7A" w:rsidRDefault="00B07A7A" w:rsidP="00B07A7A">
            <w:r>
              <w:t>F</w:t>
            </w:r>
            <w:r w:rsidRPr="00B07A7A">
              <w:t>ull transition (AER final decision)</w:t>
            </w:r>
          </w:p>
        </w:tc>
      </w:tr>
      <w:tr w:rsidR="00B07A7A" w:rsidTr="003C3515">
        <w:tc>
          <w:tcPr>
            <w:tcW w:w="1951" w:type="dxa"/>
          </w:tcPr>
          <w:p w:rsidR="00B07A7A" w:rsidRPr="00B07A7A" w:rsidRDefault="00B07A7A" w:rsidP="00B07A7A">
            <w:r>
              <w:t>ActewAGL</w:t>
            </w:r>
          </w:p>
        </w:tc>
        <w:tc>
          <w:tcPr>
            <w:tcW w:w="1573" w:type="dxa"/>
          </w:tcPr>
          <w:p w:rsidR="00B07A7A" w:rsidRPr="00B07A7A" w:rsidRDefault="00B07A7A" w:rsidP="00B07A7A">
            <w:r>
              <w:t>5.</w:t>
            </w:r>
            <w:r w:rsidRPr="00B07A7A">
              <w:t>22</w:t>
            </w:r>
          </w:p>
        </w:tc>
        <w:tc>
          <w:tcPr>
            <w:tcW w:w="1687" w:type="dxa"/>
          </w:tcPr>
          <w:p w:rsidR="00B07A7A" w:rsidRPr="00B07A7A" w:rsidRDefault="00B07A7A" w:rsidP="00B07A7A">
            <w:r>
              <w:t>7.</w:t>
            </w:r>
            <w:r w:rsidRPr="00B07A7A">
              <w:t>71</w:t>
            </w:r>
          </w:p>
        </w:tc>
        <w:tc>
          <w:tcPr>
            <w:tcW w:w="2127" w:type="dxa"/>
          </w:tcPr>
          <w:p w:rsidR="00B07A7A" w:rsidRPr="00B07A7A" w:rsidRDefault="00B07A7A" w:rsidP="00B07A7A">
            <w:r>
              <w:t>6.</w:t>
            </w:r>
            <w:r w:rsidRPr="00B07A7A">
              <w:t>88</w:t>
            </w:r>
          </w:p>
        </w:tc>
        <w:tc>
          <w:tcPr>
            <w:tcW w:w="1355" w:type="dxa"/>
          </w:tcPr>
          <w:p w:rsidR="00B07A7A" w:rsidRPr="00B07A7A" w:rsidRDefault="00B07A7A" w:rsidP="00B07A7A">
            <w:r>
              <w:t>5.31</w:t>
            </w:r>
          </w:p>
        </w:tc>
      </w:tr>
      <w:tr w:rsidR="00B07A7A" w:rsidTr="003C3515">
        <w:trPr>
          <w:cnfStyle w:val="000000010000" w:firstRow="0" w:lastRow="0" w:firstColumn="0" w:lastColumn="0" w:oddVBand="0" w:evenVBand="0" w:oddHBand="0" w:evenHBand="1" w:firstRowFirstColumn="0" w:firstRowLastColumn="0" w:lastRowFirstColumn="0" w:lastRowLastColumn="0"/>
        </w:trPr>
        <w:tc>
          <w:tcPr>
            <w:tcW w:w="1951" w:type="dxa"/>
          </w:tcPr>
          <w:p w:rsidR="00B07A7A" w:rsidRPr="00B07A7A" w:rsidRDefault="00B07A7A" w:rsidP="00B07A7A">
            <w:r>
              <w:t>AGN</w:t>
            </w:r>
          </w:p>
        </w:tc>
        <w:tc>
          <w:tcPr>
            <w:tcW w:w="1573" w:type="dxa"/>
          </w:tcPr>
          <w:p w:rsidR="00B07A7A" w:rsidRPr="00B07A7A" w:rsidRDefault="00B07A7A" w:rsidP="00B07A7A">
            <w:r>
              <w:t>5.4</w:t>
            </w:r>
            <w:r w:rsidRPr="00B07A7A">
              <w:t>0</w:t>
            </w:r>
          </w:p>
        </w:tc>
        <w:tc>
          <w:tcPr>
            <w:tcW w:w="1687" w:type="dxa"/>
          </w:tcPr>
          <w:p w:rsidR="00B07A7A" w:rsidRPr="00B07A7A" w:rsidRDefault="00B07A7A" w:rsidP="00B07A7A">
            <w:r>
              <w:t>7.</w:t>
            </w:r>
            <w:r w:rsidRPr="00B07A7A">
              <w:t>99</w:t>
            </w:r>
          </w:p>
        </w:tc>
        <w:tc>
          <w:tcPr>
            <w:tcW w:w="2127" w:type="dxa"/>
          </w:tcPr>
          <w:p w:rsidR="00B07A7A" w:rsidRPr="00B07A7A" w:rsidRDefault="00B07A7A" w:rsidP="00B07A7A">
            <w:r>
              <w:t>7.</w:t>
            </w:r>
            <w:r w:rsidRPr="00B07A7A">
              <w:t>12</w:t>
            </w:r>
          </w:p>
        </w:tc>
        <w:tc>
          <w:tcPr>
            <w:tcW w:w="1355" w:type="dxa"/>
          </w:tcPr>
          <w:p w:rsidR="00B07A7A" w:rsidRPr="00B07A7A" w:rsidRDefault="00B07A7A" w:rsidP="00B07A7A">
            <w:r>
              <w:t>5.51</w:t>
            </w:r>
          </w:p>
        </w:tc>
      </w:tr>
      <w:tr w:rsidR="00B07A7A" w:rsidTr="003C3515">
        <w:tc>
          <w:tcPr>
            <w:tcW w:w="1951" w:type="dxa"/>
          </w:tcPr>
          <w:p w:rsidR="00B07A7A" w:rsidRPr="00B07A7A" w:rsidRDefault="00B07A7A" w:rsidP="00B07A7A">
            <w:r>
              <w:t>Amadeus</w:t>
            </w:r>
            <w:r w:rsidRPr="00B07A7A">
              <w:rPr>
                <w:rStyle w:val="FootnoteReference"/>
              </w:rPr>
              <w:footnoteReference w:id="375"/>
            </w:r>
          </w:p>
        </w:tc>
        <w:tc>
          <w:tcPr>
            <w:tcW w:w="1573" w:type="dxa"/>
          </w:tcPr>
          <w:p w:rsidR="00B07A7A" w:rsidRPr="00B07A7A" w:rsidRDefault="00B07A7A" w:rsidP="00B07A7A">
            <w:r>
              <w:t>-</w:t>
            </w:r>
          </w:p>
        </w:tc>
        <w:tc>
          <w:tcPr>
            <w:tcW w:w="1687" w:type="dxa"/>
          </w:tcPr>
          <w:p w:rsidR="00B07A7A" w:rsidRPr="00B07A7A" w:rsidRDefault="00B07A7A" w:rsidP="00B07A7A">
            <w:r>
              <w:t>7.</w:t>
            </w:r>
            <w:r w:rsidRPr="00B07A7A">
              <w:t>69</w:t>
            </w:r>
          </w:p>
        </w:tc>
        <w:tc>
          <w:tcPr>
            <w:tcW w:w="2127" w:type="dxa"/>
          </w:tcPr>
          <w:p w:rsidR="00B07A7A" w:rsidRPr="00B07A7A" w:rsidRDefault="00B07A7A" w:rsidP="00B07A7A">
            <w:r>
              <w:t>6.83</w:t>
            </w:r>
          </w:p>
        </w:tc>
        <w:tc>
          <w:tcPr>
            <w:tcW w:w="1355" w:type="dxa"/>
          </w:tcPr>
          <w:p w:rsidR="00B07A7A" w:rsidRPr="00B07A7A" w:rsidRDefault="00B07A7A" w:rsidP="00B07A7A">
            <w:r>
              <w:t>5.56</w:t>
            </w:r>
          </w:p>
        </w:tc>
      </w:tr>
      <w:tr w:rsidR="00B07A7A" w:rsidTr="003C3515">
        <w:trPr>
          <w:cnfStyle w:val="000000010000" w:firstRow="0" w:lastRow="0" w:firstColumn="0" w:lastColumn="0" w:oddVBand="0" w:evenVBand="0" w:oddHBand="0" w:evenHBand="1" w:firstRowFirstColumn="0" w:firstRowLastColumn="0" w:lastRowFirstColumn="0" w:lastRowLastColumn="0"/>
        </w:trPr>
        <w:tc>
          <w:tcPr>
            <w:tcW w:w="1951" w:type="dxa"/>
          </w:tcPr>
          <w:p w:rsidR="00B07A7A" w:rsidRPr="00B07A7A" w:rsidRDefault="00B07A7A" w:rsidP="00B07A7A">
            <w:r>
              <w:t>AusNet Services</w:t>
            </w:r>
          </w:p>
        </w:tc>
        <w:tc>
          <w:tcPr>
            <w:tcW w:w="1573" w:type="dxa"/>
          </w:tcPr>
          <w:p w:rsidR="00B07A7A" w:rsidRPr="00B07A7A" w:rsidRDefault="00B07A7A" w:rsidP="00B07A7A">
            <w:r>
              <w:t>5.</w:t>
            </w:r>
            <w:r w:rsidRPr="00B07A7A">
              <w:t>26</w:t>
            </w:r>
          </w:p>
        </w:tc>
        <w:tc>
          <w:tcPr>
            <w:tcW w:w="1687" w:type="dxa"/>
          </w:tcPr>
          <w:p w:rsidR="00B07A7A" w:rsidRPr="00B07A7A" w:rsidRDefault="00B07A7A" w:rsidP="00B07A7A">
            <w:r>
              <w:t>7.8</w:t>
            </w:r>
            <w:r w:rsidRPr="00B07A7A">
              <w:t>6</w:t>
            </w:r>
          </w:p>
        </w:tc>
        <w:tc>
          <w:tcPr>
            <w:tcW w:w="2127" w:type="dxa"/>
          </w:tcPr>
          <w:p w:rsidR="00B07A7A" w:rsidRPr="00B07A7A" w:rsidRDefault="00B07A7A" w:rsidP="00B07A7A">
            <w:r>
              <w:t>6.9</w:t>
            </w:r>
            <w:r w:rsidRPr="00B07A7A">
              <w:t>9</w:t>
            </w:r>
          </w:p>
        </w:tc>
        <w:tc>
          <w:tcPr>
            <w:tcW w:w="1355" w:type="dxa"/>
          </w:tcPr>
          <w:p w:rsidR="00B07A7A" w:rsidRPr="00B07A7A" w:rsidRDefault="00B07A7A" w:rsidP="00B07A7A">
            <w:r>
              <w:t>5.52</w:t>
            </w:r>
          </w:p>
        </w:tc>
      </w:tr>
      <w:tr w:rsidR="00B07A7A" w:rsidTr="003C3515">
        <w:tc>
          <w:tcPr>
            <w:tcW w:w="1951" w:type="dxa"/>
          </w:tcPr>
          <w:p w:rsidR="00B07A7A" w:rsidRPr="00B07A7A" w:rsidRDefault="00B07A7A" w:rsidP="00B07A7A">
            <w:r>
              <w:t>C</w:t>
            </w:r>
            <w:r w:rsidRPr="00B07A7A">
              <w:t>itiPower / Powercor</w:t>
            </w:r>
          </w:p>
        </w:tc>
        <w:tc>
          <w:tcPr>
            <w:tcW w:w="1573" w:type="dxa"/>
          </w:tcPr>
          <w:p w:rsidR="00B07A7A" w:rsidRPr="00B07A7A" w:rsidRDefault="00B07A7A" w:rsidP="00B07A7A">
            <w:r>
              <w:t>5.</w:t>
            </w:r>
            <w:r w:rsidRPr="00B07A7A">
              <w:t>19</w:t>
            </w:r>
          </w:p>
        </w:tc>
        <w:tc>
          <w:tcPr>
            <w:tcW w:w="1687" w:type="dxa"/>
          </w:tcPr>
          <w:p w:rsidR="00B07A7A" w:rsidRPr="00B07A7A" w:rsidRDefault="00B07A7A" w:rsidP="00B07A7A">
            <w:r>
              <w:t>7.</w:t>
            </w:r>
            <w:r w:rsidRPr="00B07A7A">
              <w:t xml:space="preserve">78 </w:t>
            </w:r>
          </w:p>
        </w:tc>
        <w:tc>
          <w:tcPr>
            <w:tcW w:w="2127" w:type="dxa"/>
          </w:tcPr>
          <w:p w:rsidR="00B07A7A" w:rsidRPr="00B07A7A" w:rsidRDefault="00B07A7A" w:rsidP="00B07A7A">
            <w:r>
              <w:t>6.</w:t>
            </w:r>
            <w:r w:rsidRPr="00B07A7A">
              <w:t>92</w:t>
            </w:r>
          </w:p>
        </w:tc>
        <w:tc>
          <w:tcPr>
            <w:tcW w:w="1355" w:type="dxa"/>
          </w:tcPr>
          <w:p w:rsidR="00B07A7A" w:rsidRPr="00B07A7A" w:rsidRDefault="00B07A7A" w:rsidP="00B07A7A">
            <w:r>
              <w:t>5.51</w:t>
            </w:r>
          </w:p>
        </w:tc>
      </w:tr>
      <w:tr w:rsidR="00B07A7A" w:rsidTr="003C3515">
        <w:trPr>
          <w:cnfStyle w:val="000000010000" w:firstRow="0" w:lastRow="0" w:firstColumn="0" w:lastColumn="0" w:oddVBand="0" w:evenVBand="0" w:oddHBand="0" w:evenHBand="1" w:firstRowFirstColumn="0" w:firstRowLastColumn="0" w:lastRowFirstColumn="0" w:lastRowLastColumn="0"/>
        </w:trPr>
        <w:tc>
          <w:tcPr>
            <w:tcW w:w="1951" w:type="dxa"/>
          </w:tcPr>
          <w:p w:rsidR="00B07A7A" w:rsidRPr="00B07A7A" w:rsidRDefault="00B07A7A" w:rsidP="00B07A7A">
            <w:r>
              <w:t>J</w:t>
            </w:r>
            <w:r w:rsidRPr="00B07A7A">
              <w:t>EN</w:t>
            </w:r>
          </w:p>
        </w:tc>
        <w:tc>
          <w:tcPr>
            <w:tcW w:w="1573" w:type="dxa"/>
          </w:tcPr>
          <w:p w:rsidR="00B07A7A" w:rsidRPr="00B07A7A" w:rsidRDefault="00B07A7A" w:rsidP="00B07A7A">
            <w:r>
              <w:t>5.</w:t>
            </w:r>
            <w:r w:rsidRPr="00B07A7A">
              <w:t>28</w:t>
            </w:r>
          </w:p>
        </w:tc>
        <w:tc>
          <w:tcPr>
            <w:tcW w:w="1687" w:type="dxa"/>
          </w:tcPr>
          <w:p w:rsidR="00B07A7A" w:rsidRPr="00B07A7A" w:rsidRDefault="00B07A7A" w:rsidP="00B07A7A">
            <w:r>
              <w:t>7.</w:t>
            </w:r>
            <w:r w:rsidRPr="00B07A7A">
              <w:t>80</w:t>
            </w:r>
          </w:p>
        </w:tc>
        <w:tc>
          <w:tcPr>
            <w:tcW w:w="2127" w:type="dxa"/>
          </w:tcPr>
          <w:p w:rsidR="00B07A7A" w:rsidRPr="00B07A7A" w:rsidRDefault="00B07A7A" w:rsidP="00B07A7A">
            <w:r>
              <w:t>6.9</w:t>
            </w:r>
            <w:r w:rsidRPr="00B07A7A">
              <w:t>6</w:t>
            </w:r>
          </w:p>
        </w:tc>
        <w:tc>
          <w:tcPr>
            <w:tcW w:w="1355" w:type="dxa"/>
          </w:tcPr>
          <w:p w:rsidR="00B07A7A" w:rsidRPr="00B07A7A" w:rsidRDefault="00B07A7A" w:rsidP="00B07A7A">
            <w:r>
              <w:t>5.62</w:t>
            </w:r>
          </w:p>
        </w:tc>
      </w:tr>
      <w:tr w:rsidR="00B07A7A" w:rsidTr="003C3515">
        <w:tc>
          <w:tcPr>
            <w:tcW w:w="1951" w:type="dxa"/>
          </w:tcPr>
          <w:p w:rsidR="00B07A7A" w:rsidRPr="00B07A7A" w:rsidRDefault="00B07A7A" w:rsidP="00B07A7A">
            <w:r>
              <w:t>United Energy</w:t>
            </w:r>
          </w:p>
        </w:tc>
        <w:tc>
          <w:tcPr>
            <w:tcW w:w="1573" w:type="dxa"/>
          </w:tcPr>
          <w:p w:rsidR="00B07A7A" w:rsidRPr="00B07A7A" w:rsidRDefault="00B07A7A" w:rsidP="00B07A7A">
            <w:r>
              <w:t>5.</w:t>
            </w:r>
            <w:r w:rsidRPr="00B07A7A">
              <w:t>57</w:t>
            </w:r>
          </w:p>
        </w:tc>
        <w:tc>
          <w:tcPr>
            <w:tcW w:w="1687" w:type="dxa"/>
          </w:tcPr>
          <w:p w:rsidR="00B07A7A" w:rsidRPr="00B07A7A" w:rsidRDefault="00B07A7A" w:rsidP="00B07A7A">
            <w:r>
              <w:t>7.80</w:t>
            </w:r>
          </w:p>
        </w:tc>
        <w:tc>
          <w:tcPr>
            <w:tcW w:w="2127" w:type="dxa"/>
          </w:tcPr>
          <w:p w:rsidR="00B07A7A" w:rsidRPr="00B07A7A" w:rsidRDefault="00B07A7A" w:rsidP="00B07A7A">
            <w:r>
              <w:t>7.0</w:t>
            </w:r>
            <w:r w:rsidRPr="00B07A7A">
              <w:t>5</w:t>
            </w:r>
          </w:p>
        </w:tc>
        <w:tc>
          <w:tcPr>
            <w:tcW w:w="1355" w:type="dxa"/>
          </w:tcPr>
          <w:p w:rsidR="00B07A7A" w:rsidRPr="00B07A7A" w:rsidRDefault="00B07A7A" w:rsidP="00B07A7A">
            <w:r>
              <w:t>5.62</w:t>
            </w:r>
          </w:p>
        </w:tc>
      </w:tr>
    </w:tbl>
    <w:p w:rsidR="00B07A7A" w:rsidRDefault="00B07A7A" w:rsidP="00B07A7A">
      <w:pPr>
        <w:pStyle w:val="AERtablesource"/>
      </w:pPr>
      <w:r>
        <w:t xml:space="preserve">Source: </w:t>
      </w:r>
      <w:r>
        <w:tab/>
        <w:t>AER analysis; initial and revised proposals for ActewAGL, AGN, APT Pipelines (Amadeus), AusNet Services, CitiPower, JEN, Powercor and United Energy.</w:t>
      </w:r>
    </w:p>
    <w:p w:rsidR="00B07A7A" w:rsidRDefault="00B07A7A" w:rsidP="00B07A7A">
      <w:pPr>
        <w:pStyle w:val="AERtablesource"/>
      </w:pPr>
      <w:r>
        <w:t>*</w:t>
      </w:r>
      <w:r>
        <w:tab/>
        <w:t>Most service providers used placeholder averaging periods in their proposals. For comparability with our final decision, we have attempted to</w:t>
      </w:r>
      <w:r w:rsidRPr="00ED04D5">
        <w:t xml:space="preserve"> </w:t>
      </w:r>
      <w:r>
        <w:t>update</w:t>
      </w:r>
      <w:r w:rsidRPr="00ED04D5">
        <w:t xml:space="preserve"> </w:t>
      </w:r>
      <w:r>
        <w:t>each service provider's proposed approach</w:t>
      </w:r>
      <w:r w:rsidRPr="00ED04D5">
        <w:t xml:space="preserve"> </w:t>
      </w:r>
      <w:r>
        <w:t>for its final averaging period</w:t>
      </w:r>
      <w:r w:rsidRPr="00ED04D5">
        <w:t xml:space="preserve">. </w:t>
      </w:r>
      <w:r>
        <w:t>D</w:t>
      </w:r>
      <w:r w:rsidRPr="005F6236">
        <w:t xml:space="preserve">ifferences between </w:t>
      </w:r>
      <w:r>
        <w:t>the service providers'</w:t>
      </w:r>
      <w:r w:rsidRPr="005F6236">
        <w:t xml:space="preserve"> proposals and </w:t>
      </w:r>
      <w:r>
        <w:t>our</w:t>
      </w:r>
      <w:r w:rsidRPr="005F6236">
        <w:t xml:space="preserve"> final decision</w:t>
      </w:r>
      <w:r>
        <w:t>s</w:t>
      </w:r>
      <w:r w:rsidRPr="005F6236">
        <w:t xml:space="preserve"> </w:t>
      </w:r>
      <w:r>
        <w:t xml:space="preserve">may </w:t>
      </w:r>
      <w:r w:rsidRPr="005F6236">
        <w:t xml:space="preserve">reflect more than the form of transition </w:t>
      </w:r>
      <w:r>
        <w:t xml:space="preserve">(for example, service providers used different extrapolation methods, data series and uplifts). </w:t>
      </w:r>
      <w:r w:rsidRPr="00ED04D5">
        <w:t xml:space="preserve">Due to the complexities of different approaches, </w:t>
      </w:r>
      <w:r>
        <w:t xml:space="preserve">these updated estimates should be regarded as approximations and are used for </w:t>
      </w:r>
      <w:r w:rsidRPr="00ED04D5">
        <w:t xml:space="preserve">illustrative purposes only. </w:t>
      </w:r>
      <w:r>
        <w:t>W</w:t>
      </w:r>
      <w:r w:rsidRPr="00ED04D5">
        <w:t>e do not necessarily accept or agree with the calculati</w:t>
      </w:r>
      <w:r>
        <w:t>ons underlying these estimates.</w:t>
      </w:r>
    </w:p>
    <w:p w:rsidR="007656EA" w:rsidRPr="00BB7CBA" w:rsidRDefault="007656EA" w:rsidP="00BB7CBA">
      <w:r w:rsidRPr="00BB7CBA">
        <w:t>In this section, we:</w:t>
      </w:r>
    </w:p>
    <w:p w:rsidR="007656EA" w:rsidRDefault="007656EA" w:rsidP="007656EA">
      <w:pPr>
        <w:pStyle w:val="AERbulletlistfirststyle"/>
      </w:pPr>
      <w:r>
        <w:t>set out our overall return on debt approach (that is, the transition to a trailing average)</w:t>
      </w:r>
    </w:p>
    <w:p w:rsidR="007656EA" w:rsidRPr="007656EA" w:rsidRDefault="007656EA" w:rsidP="007656EA">
      <w:pPr>
        <w:pStyle w:val="AERbulletlistfirststyle"/>
      </w:pPr>
      <w:r>
        <w:t>set out service providers' proposals and revised proposals on the overall return on debt approach and transition</w:t>
      </w:r>
    </w:p>
    <w:p w:rsidR="007656EA" w:rsidRPr="007656EA" w:rsidRDefault="007656EA" w:rsidP="007656EA">
      <w:pPr>
        <w:pStyle w:val="AERbulletlistfirststyle"/>
      </w:pPr>
      <w:r>
        <w:t xml:space="preserve">explain what approaches </w:t>
      </w:r>
      <w:r w:rsidRPr="007656EA">
        <w:t>to estimating the return on debt can contribute to the ARORO</w:t>
      </w:r>
      <w:r w:rsidRPr="007656EA" w:rsidDel="00472C05">
        <w:t xml:space="preserve"> </w:t>
      </w:r>
      <w:r w:rsidRPr="007656EA">
        <w:t>and why (which includes our approach in this final decision)</w:t>
      </w:r>
    </w:p>
    <w:p w:rsidR="007656EA" w:rsidRPr="007656EA" w:rsidRDefault="007656EA" w:rsidP="007656EA">
      <w:pPr>
        <w:pStyle w:val="AERbulletlistfirststyle"/>
      </w:pPr>
      <w:r>
        <w:t>e</w:t>
      </w:r>
      <w:r w:rsidRPr="007656EA">
        <w:t>xplain why none of the approaches in the revised proposals would meet the requirements of the ARORO and NEO/NGO</w:t>
      </w:r>
    </w:p>
    <w:p w:rsidR="007656EA" w:rsidRDefault="007656EA" w:rsidP="007656EA">
      <w:pPr>
        <w:pStyle w:val="AERbulletlistfirststyle"/>
      </w:pPr>
      <w:r>
        <w:t>set out general problems with using historical data to estimate the allowed return on debt.</w:t>
      </w:r>
    </w:p>
    <w:p w:rsidR="007656EA" w:rsidRDefault="007656EA" w:rsidP="007656EA">
      <w:pPr>
        <w:pStyle w:val="HeadingBoldItalic"/>
      </w:pPr>
      <w:r>
        <w:t>Our a</w:t>
      </w:r>
      <w:r w:rsidRPr="00F4618D">
        <w:t>pproach to estimating the return on debt</w:t>
      </w:r>
    </w:p>
    <w:p w:rsidR="007656EA" w:rsidRPr="007D2546" w:rsidRDefault="007656EA" w:rsidP="007656EA">
      <w:r w:rsidRPr="007D2546">
        <w:t xml:space="preserve">Our </w:t>
      </w:r>
      <w:r>
        <w:t xml:space="preserve">final </w:t>
      </w:r>
      <w:r w:rsidRPr="007D2546">
        <w:t xml:space="preserve">decision is to </w:t>
      </w:r>
      <w:r>
        <w:t>s</w:t>
      </w:r>
      <w:r w:rsidRPr="004B3BBA">
        <w:t>tart with an on-the-day</w:t>
      </w:r>
      <w:r>
        <w:t xml:space="preserve"> approach</w:t>
      </w:r>
      <w:r w:rsidRPr="004B3BBA">
        <w:t xml:space="preserve"> for </w:t>
      </w:r>
      <w:r w:rsidR="00A27A77">
        <w:t>ActewAGL's interval-of-delay</w:t>
      </w:r>
      <w:r w:rsidRPr="004B3BBA">
        <w:t xml:space="preserve"> and gradually transition into a trailing average approach over 10 years</w:t>
      </w:r>
      <w:r>
        <w:t xml:space="preserve"> (a full transition)</w:t>
      </w:r>
      <w:r w:rsidRPr="007D2546">
        <w:t>.</w:t>
      </w:r>
      <w:r>
        <w:rPr>
          <w:rStyle w:val="FootnoteReference"/>
        </w:rPr>
        <w:footnoteReference w:id="376"/>
      </w:r>
      <w:r w:rsidRPr="007D2546">
        <w:t xml:space="preserve"> Applied to </w:t>
      </w:r>
      <w:r>
        <w:t>ActewAGL</w:t>
      </w:r>
      <w:r w:rsidRPr="007D2546">
        <w:t>, this means our return on debt approach is to:</w:t>
      </w:r>
    </w:p>
    <w:p w:rsidR="007656EA" w:rsidRPr="007656EA" w:rsidRDefault="007656EA" w:rsidP="007656EA">
      <w:pPr>
        <w:pStyle w:val="AERbulletlistfirststyle"/>
      </w:pPr>
      <w:r w:rsidRPr="007D2546">
        <w:t xml:space="preserve">estimate the return on debt using an on-the-day </w:t>
      </w:r>
      <w:r w:rsidRPr="007656EA">
        <w:t>approach. In the case of ActewAGL, this is based on prevailing interest rates near the commencement of the interval-of-delay (2015–16), and</w:t>
      </w:r>
    </w:p>
    <w:p w:rsidR="007656EA" w:rsidRPr="007656EA" w:rsidRDefault="007656EA" w:rsidP="007656EA">
      <w:pPr>
        <w:pStyle w:val="AERbulletlistfirststyle"/>
      </w:pPr>
      <w:r w:rsidRPr="007D2546">
        <w:t xml:space="preserve">gradually transition this approach into a trailing average (that is, a moving historical average) over 10 years </w:t>
      </w:r>
      <w:r w:rsidRPr="007656EA">
        <w:t>by annually updating 10 per cent of the return on debt to reflect prevailing market conditions in that year.</w:t>
      </w:r>
      <w:r w:rsidRPr="007656EA">
        <w:rPr>
          <w:rStyle w:val="AERsuperscript"/>
        </w:rPr>
        <w:footnoteReference w:id="377"/>
      </w:r>
    </w:p>
    <w:p w:rsidR="007656EA" w:rsidRPr="007D2546" w:rsidRDefault="007656EA" w:rsidP="007656EA">
      <w:r w:rsidRPr="007D2546">
        <w:t xml:space="preserve">In practical terms, our return on debt approach means that an on-the-day </w:t>
      </w:r>
      <w:r>
        <w:t>approach</w:t>
      </w:r>
      <w:r w:rsidRPr="007D2546">
        <w:t xml:space="preserve"> </w:t>
      </w:r>
      <w:r>
        <w:t>around</w:t>
      </w:r>
      <w:r w:rsidRPr="007D2546">
        <w:t xml:space="preserve"> the start of 201</w:t>
      </w:r>
      <w:r>
        <w:t>5</w:t>
      </w:r>
      <w:r w:rsidRPr="002445A0">
        <w:t>–</w:t>
      </w:r>
      <w:r>
        <w:t xml:space="preserve">16 </w:t>
      </w:r>
      <w:r w:rsidRPr="007D2546">
        <w:t>is applied to:</w:t>
      </w:r>
    </w:p>
    <w:p w:rsidR="007656EA" w:rsidRPr="007656EA" w:rsidRDefault="007656EA" w:rsidP="007656EA">
      <w:pPr>
        <w:pStyle w:val="AERbulletlistfirststyle"/>
      </w:pPr>
      <w:r w:rsidRPr="007D2546">
        <w:t xml:space="preserve">100 per cent of the debt portfolio in the calculation of the allowed return on debt for </w:t>
      </w:r>
      <w:r w:rsidRPr="007656EA">
        <w:t>the interval-of-delay (2015–16)</w:t>
      </w:r>
    </w:p>
    <w:p w:rsidR="007656EA" w:rsidRPr="007656EA" w:rsidRDefault="007656EA" w:rsidP="007656EA">
      <w:pPr>
        <w:pStyle w:val="AERbulletlistfirststyle"/>
      </w:pPr>
      <w:r w:rsidRPr="007D2546">
        <w:t xml:space="preserve">90 per cent of the debt portfolio in the calculation of the allowed return on debt for the </w:t>
      </w:r>
      <w:r w:rsidRPr="007656EA">
        <w:t>2016–17 regulatory year, with the remaining 10 per cent updated to reflect prevailing interest rates during ActewAGL's averaging period for 2016–17.  Consistent with the rule requirements, this annual update (and all future annual updates) will be effected through the automatic application of the return on debt methodology we set out in this decision.</w:t>
      </w:r>
      <w:r w:rsidRPr="007656EA">
        <w:rPr>
          <w:rStyle w:val="AERsuperscript"/>
        </w:rPr>
        <w:footnoteReference w:id="378"/>
      </w:r>
    </w:p>
    <w:p w:rsidR="007656EA" w:rsidRPr="007656EA" w:rsidRDefault="007656EA" w:rsidP="007656EA">
      <w:pPr>
        <w:pStyle w:val="AERbulletlistfirststyle"/>
      </w:pPr>
      <w:r w:rsidRPr="007D2546">
        <w:t>80 per cent of the debt portfolio in the calculation of the allowed return on debt for the 2</w:t>
      </w:r>
      <w:r w:rsidRPr="007656EA">
        <w:t>017–18 regulatory year, with 10 per cent based on prevailing interest rates during ActewAGL's averaging period for 2016–17, and 10 per cent updated to reflect prevailing interest rates during ActewAGL's averaging period for 2017–18, and</w:t>
      </w:r>
    </w:p>
    <w:p w:rsidR="007656EA" w:rsidRPr="007D2546" w:rsidRDefault="007656EA" w:rsidP="007656EA">
      <w:pPr>
        <w:pStyle w:val="AERbulletlistfirststyle"/>
      </w:pPr>
      <w:r w:rsidRPr="007D2546">
        <w:t>so on for the subsequent regulatory years.</w:t>
      </w:r>
    </w:p>
    <w:p w:rsidR="007656EA" w:rsidRDefault="007656EA" w:rsidP="007656EA">
      <w:r w:rsidRPr="007D2546">
        <w:t xml:space="preserve">After the 10 year transition period is complete, the return on debt is a simple average of prevailing interest rates during </w:t>
      </w:r>
      <w:r>
        <w:t>ActewAGL's</w:t>
      </w:r>
      <w:r w:rsidRPr="007D2546">
        <w:t xml:space="preserve"> averaging periods over the previous 10 years</w:t>
      </w:r>
      <w:r>
        <w:t xml:space="preserve"> (a trailing average). </w:t>
      </w:r>
    </w:p>
    <w:p w:rsidR="007656EA" w:rsidRDefault="007656EA" w:rsidP="007656EA">
      <w:pPr>
        <w:pStyle w:val="HeadingBoldItalic"/>
      </w:pPr>
      <w:r>
        <w:t>Initial and revised regulatory proposals</w:t>
      </w:r>
    </w:p>
    <w:p w:rsidR="007656EA" w:rsidRPr="008D3A72" w:rsidRDefault="007656EA" w:rsidP="007656EA">
      <w:r>
        <w:t>Along with this final decision for ActewAGL, we are making seven constituent final decisions for a range of other service providers.</w:t>
      </w:r>
      <w:r>
        <w:rPr>
          <w:rStyle w:val="FootnoteReference"/>
        </w:rPr>
        <w:footnoteReference w:id="379"/>
      </w:r>
      <w:r>
        <w:t xml:space="preserve"> We have considered these proposals together where they put substantially the same views and reasoning forward.</w:t>
      </w:r>
      <w:r w:rsidRPr="00203689">
        <w:t xml:space="preserve"> </w:t>
      </w:r>
      <w:r>
        <w:t xml:space="preserve"> It is worth clarifying that, </w:t>
      </w:r>
      <w:r w:rsidRPr="008D3A72">
        <w:t xml:space="preserve">in effect, these service providers are proposing two separate things: </w:t>
      </w:r>
    </w:p>
    <w:p w:rsidR="007656EA" w:rsidRDefault="007656EA" w:rsidP="007656EA">
      <w:pPr>
        <w:pStyle w:val="AERbulletlistsecondstyle"/>
      </w:pPr>
      <w:r>
        <w:t xml:space="preserve">to move to a trailing average methodology; and </w:t>
      </w:r>
    </w:p>
    <w:p w:rsidR="007656EA" w:rsidRDefault="007656EA" w:rsidP="007656EA">
      <w:pPr>
        <w:pStyle w:val="AERbulletlistsecondstyle"/>
      </w:pPr>
      <w:r>
        <w:t>to increase the</w:t>
      </w:r>
      <w:r w:rsidRPr="00BC2869">
        <w:t xml:space="preserve"> net present value </w:t>
      </w:r>
      <w:r>
        <w:t>of their</w:t>
      </w:r>
      <w:r w:rsidRPr="00BC2869">
        <w:t xml:space="preserve"> assets (and associated revenues) </w:t>
      </w:r>
      <w:r>
        <w:t xml:space="preserve">by proposing to move a trailing average methodology in a manner that is not revenue neutral. </w:t>
      </w:r>
    </w:p>
    <w:p w:rsidR="007656EA" w:rsidRDefault="007656EA" w:rsidP="007656EA">
      <w:r>
        <w:t>These</w:t>
      </w:r>
      <w:r w:rsidRPr="00E9566E">
        <w:t xml:space="preserve"> are separate issues</w:t>
      </w:r>
      <w:r>
        <w:t>. As long as a revenue-neutral transition is applied, the first issue is not in contention. As such, we predominately respond to the second issue</w:t>
      </w:r>
      <w:r w:rsidRPr="00785554">
        <w:t>―</w:t>
      </w:r>
      <w:r>
        <w:t>the form of transition.</w:t>
      </w:r>
    </w:p>
    <w:p w:rsidR="007656EA" w:rsidRDefault="007656EA" w:rsidP="007656EA">
      <w:r>
        <w:t xml:space="preserve">It is worth noting that these services providers substantially changed their preferences regarding the form of transition between their initial and revised proposals. </w:t>
      </w:r>
      <w:r w:rsidRPr="002F17AD">
        <w:t xml:space="preserve">To support </w:t>
      </w:r>
      <w:r>
        <w:t>their</w:t>
      </w:r>
      <w:r w:rsidRPr="002F17AD">
        <w:t xml:space="preserve"> </w:t>
      </w:r>
      <w:r>
        <w:t xml:space="preserve">change in </w:t>
      </w:r>
      <w:r w:rsidRPr="002F17AD">
        <w:t xml:space="preserve">position, </w:t>
      </w:r>
      <w:r>
        <w:t>these service providers submitted new material addressing the</w:t>
      </w:r>
      <w:r w:rsidRPr="002F17AD">
        <w:t xml:space="preserve"> ARORO and what it requires of </w:t>
      </w:r>
      <w:r>
        <w:t>us</w:t>
      </w:r>
      <w:r w:rsidRPr="002F17AD">
        <w:t>.</w:t>
      </w:r>
      <w:r>
        <w:t xml:space="preserve"> Further, as part of their revised proposals, the majority of these service providers also proposed a second preference that is also different to their initial proposals.</w:t>
      </w:r>
      <w:r w:rsidRPr="00032CB4">
        <w:rPr>
          <w:rStyle w:val="FootnoteReference"/>
        </w:rPr>
        <w:footnoteReference w:id="380"/>
      </w:r>
      <w:r>
        <w:t xml:space="preserve"> </w:t>
      </w:r>
      <w:r>
        <w:fldChar w:fldCharType="begin"/>
      </w:r>
      <w:r>
        <w:instrText xml:space="preserve"> REF _Ref451173763 \h </w:instrText>
      </w:r>
      <w:r>
        <w:fldChar w:fldCharType="separate"/>
      </w:r>
      <w:r w:rsidR="001A023B">
        <w:t xml:space="preserve">Table </w:t>
      </w:r>
      <w:r w:rsidR="001A023B">
        <w:rPr>
          <w:noProof/>
        </w:rPr>
        <w:t>3</w:t>
      </w:r>
      <w:r w:rsidR="001A023B">
        <w:noBreakHyphen/>
      </w:r>
      <w:r w:rsidR="001A023B">
        <w:rPr>
          <w:noProof/>
        </w:rPr>
        <w:t>9</w:t>
      </w:r>
      <w:r>
        <w:fldChar w:fldCharType="end"/>
      </w:r>
      <w:r>
        <w:t xml:space="preserve"> summarises these proposals.</w:t>
      </w:r>
    </w:p>
    <w:p w:rsidR="007656EA" w:rsidRDefault="007656EA" w:rsidP="007656EA">
      <w:pPr>
        <w:pStyle w:val="Caption"/>
      </w:pPr>
      <w:bookmarkStart w:id="77" w:name="_Ref451173763"/>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9</w:t>
      </w:r>
      <w:r w:rsidR="00120312">
        <w:rPr>
          <w:noProof/>
        </w:rPr>
        <w:fldChar w:fldCharType="end"/>
      </w:r>
      <w:bookmarkEnd w:id="77"/>
      <w:r>
        <w:tab/>
        <w:t>Form of transition in initial versus revised proposals</w:t>
      </w:r>
    </w:p>
    <w:tbl>
      <w:tblPr>
        <w:tblStyle w:val="AERtable-text0"/>
        <w:tblW w:w="0" w:type="auto"/>
        <w:tblLook w:val="04A0" w:firstRow="1" w:lastRow="0" w:firstColumn="1" w:lastColumn="0" w:noHBand="0" w:noVBand="1"/>
      </w:tblPr>
      <w:tblGrid>
        <w:gridCol w:w="2660"/>
        <w:gridCol w:w="3260"/>
        <w:gridCol w:w="2773"/>
      </w:tblGrid>
      <w:tr w:rsidR="007656EA" w:rsidTr="00BB7AE6">
        <w:trPr>
          <w:cnfStyle w:val="100000000000" w:firstRow="1" w:lastRow="0" w:firstColumn="0" w:lastColumn="0" w:oddVBand="0" w:evenVBand="0" w:oddHBand="0" w:evenHBand="0" w:firstRowFirstColumn="0" w:firstRowLastColumn="0" w:lastRowFirstColumn="0" w:lastRowLastColumn="0"/>
          <w:tblHeader/>
        </w:trPr>
        <w:tc>
          <w:tcPr>
            <w:tcW w:w="2660" w:type="dxa"/>
          </w:tcPr>
          <w:p w:rsidR="007656EA" w:rsidRPr="007656EA" w:rsidRDefault="007656EA" w:rsidP="007656EA">
            <w:r>
              <w:t>Initial proposals</w:t>
            </w:r>
          </w:p>
        </w:tc>
        <w:tc>
          <w:tcPr>
            <w:tcW w:w="3260" w:type="dxa"/>
          </w:tcPr>
          <w:p w:rsidR="007656EA" w:rsidRPr="007656EA" w:rsidRDefault="007656EA" w:rsidP="007656EA">
            <w:r>
              <w:t>Revised proposals</w:t>
            </w:r>
            <w:r w:rsidRPr="007656EA">
              <w:t>, first preference</w:t>
            </w:r>
          </w:p>
        </w:tc>
        <w:tc>
          <w:tcPr>
            <w:tcW w:w="2773" w:type="dxa"/>
          </w:tcPr>
          <w:p w:rsidR="007656EA" w:rsidRDefault="007656EA" w:rsidP="007656EA">
            <w:r>
              <w:t>Revised proposals, second preference</w:t>
            </w:r>
          </w:p>
        </w:tc>
      </w:tr>
      <w:tr w:rsidR="007656EA" w:rsidTr="0031325C">
        <w:tc>
          <w:tcPr>
            <w:tcW w:w="2660" w:type="dxa"/>
          </w:tcPr>
          <w:p w:rsidR="007656EA" w:rsidRPr="007656EA" w:rsidRDefault="007656EA" w:rsidP="007656EA">
            <w:r>
              <w:t>S</w:t>
            </w:r>
            <w:r w:rsidRPr="007656EA">
              <w:t>ervice providers proposed a 'hybrid transition'.</w:t>
            </w:r>
            <w:r w:rsidRPr="007656EA">
              <w:rPr>
                <w:rStyle w:val="FootnoteReference"/>
              </w:rPr>
              <w:footnoteReference w:id="381"/>
            </w:r>
            <w:r w:rsidRPr="007656EA">
              <w:t xml:space="preserve"> This combined a 10 year transition of the base rate into a trailing average approach with a backwards looking trailing average DRP. </w:t>
            </w:r>
          </w:p>
          <w:p w:rsidR="007656EA" w:rsidRPr="007656EA" w:rsidRDefault="007656EA" w:rsidP="007656EA">
            <w:r w:rsidRPr="00203689">
              <w:t>Their main reason for proposing a hybrid approach was that it would produce an allowed return on debt consistent with these service providers' historically incurred financing costs, which they submitted were efficient. This is because these service providers had been raising debt on a staggered basis, had hedged the base rate to align with the debt allowance, but could not hedge the DRP.</w:t>
            </w:r>
            <w:r w:rsidRPr="007656EA">
              <w:rPr>
                <w:rStyle w:val="FootnoteReference"/>
              </w:rPr>
              <w:footnoteReference w:id="382"/>
            </w:r>
            <w:r w:rsidRPr="007656EA">
              <w:t xml:space="preserve"> Given this, some service providers submitted that compared to a full transition, a hybrid approach would reduce the mismatch between the expected DRP component of the return on debt and the regulatory allowance.</w:t>
            </w:r>
            <w:r w:rsidRPr="007656EA">
              <w:rPr>
                <w:rStyle w:val="FootnoteReference"/>
              </w:rPr>
              <w:footnoteReference w:id="383"/>
            </w:r>
            <w:r w:rsidRPr="007656EA">
              <w:t xml:space="preserve"> We assessed these initial proposals in some detail in the relevant preliminary and draft decisions.</w:t>
            </w:r>
            <w:r w:rsidRPr="007656EA">
              <w:rPr>
                <w:rStyle w:val="FootnoteReference"/>
              </w:rPr>
              <w:footnoteReference w:id="384"/>
            </w:r>
          </w:p>
        </w:tc>
        <w:tc>
          <w:tcPr>
            <w:tcW w:w="3260" w:type="dxa"/>
          </w:tcPr>
          <w:p w:rsidR="007656EA" w:rsidRPr="007656EA" w:rsidRDefault="007656EA" w:rsidP="007656EA">
            <w:r>
              <w:t>Service providers propose</w:t>
            </w:r>
            <w:r w:rsidRPr="007656EA">
              <w:t xml:space="preserve">d to immediately adopt a backwards looking trailing average approach. </w:t>
            </w:r>
          </w:p>
          <w:p w:rsidR="007656EA" w:rsidRPr="007656EA" w:rsidRDefault="007656EA" w:rsidP="007656EA">
            <w:r>
              <w:t>Their</w:t>
            </w:r>
            <w:r w:rsidRPr="007656EA">
              <w:t xml:space="preserve"> reasons for adopting this position include:</w:t>
            </w:r>
          </w:p>
          <w:p w:rsidR="007656EA" w:rsidRPr="007656EA" w:rsidRDefault="007656EA" w:rsidP="007656EA">
            <w:pPr>
              <w:pStyle w:val="AERbulletlistfirststyle"/>
            </w:pPr>
            <w:r w:rsidRPr="009151D2">
              <w:t>An immediate transition is consistent with a historically-based definition of efficient financing costs</w:t>
            </w:r>
            <w:r w:rsidRPr="007656EA">
              <w:t xml:space="preserve"> if immediately implementing a trailing average reduces the ex-post 'mismatch' between the allowed return on debt cash flows and a benchmark efficient entity's actual (historical) debt costs (or cash outflows).</w:t>
            </w:r>
            <w:r w:rsidRPr="007656EA">
              <w:rPr>
                <w:rStyle w:val="FootnoteReference"/>
              </w:rPr>
              <w:footnoteReference w:id="385"/>
            </w:r>
          </w:p>
          <w:p w:rsidR="007656EA" w:rsidRPr="007656EA" w:rsidRDefault="007656EA" w:rsidP="007656EA">
            <w:pPr>
              <w:pStyle w:val="AERbulletlistfirststyle"/>
            </w:pPr>
            <w:r w:rsidRPr="009151D2">
              <w:t>An immediate transition to a trailing average is consistent with outcomes in a workably competitive market because unregulated infrastructure businesses tend to hold staggered debt portfolios. That is, because the intent of legislation is to replicate a workably competitive market, an immediate transition is necessary to replicate the (ex-post) cost outcomes that one would expect absent regulation.</w:t>
            </w:r>
            <w:r w:rsidRPr="007656EA">
              <w:rPr>
                <w:rStyle w:val="FootnoteReference"/>
              </w:rPr>
              <w:t xml:space="preserve"> </w:t>
            </w:r>
            <w:r w:rsidRPr="007656EA">
              <w:rPr>
                <w:rStyle w:val="FootnoteReference"/>
              </w:rPr>
              <w:footnoteReference w:id="386"/>
            </w:r>
            <w:r w:rsidRPr="007656EA">
              <w:t xml:space="preserve"> This is particularly because incentives created under the on-the-day approach (required under the previously regulatory regime) may not have resulted in efficient financing practices.</w:t>
            </w:r>
            <w:r w:rsidRPr="007656EA">
              <w:rPr>
                <w:rStyle w:val="FootnoteReference"/>
              </w:rPr>
              <w:footnoteReference w:id="387"/>
            </w:r>
          </w:p>
          <w:p w:rsidR="007656EA" w:rsidRPr="007656EA" w:rsidRDefault="007656EA" w:rsidP="007656EA">
            <w:pPr>
              <w:pStyle w:val="AERbulletlistfirststyle"/>
            </w:pPr>
            <w:r>
              <w:t>A</w:t>
            </w:r>
            <w:r w:rsidRPr="007656EA">
              <w:t xml:space="preserve"> benchmark efficient entity is unregulated because an unregulated benchmark efficient entity is consistent with replicating workably competitive market outcomes.</w:t>
            </w:r>
          </w:p>
        </w:tc>
        <w:tc>
          <w:tcPr>
            <w:tcW w:w="2773" w:type="dxa"/>
          </w:tcPr>
          <w:p w:rsidR="007656EA" w:rsidRPr="007656EA" w:rsidRDefault="007656EA" w:rsidP="007656EA">
            <w:r>
              <w:t>T</w:t>
            </w:r>
            <w:r w:rsidRPr="007656EA">
              <w:t>he majority of service providers proposed a second preference for a hybrid transition under partial hedging.</w:t>
            </w:r>
            <w:r w:rsidRPr="007656EA">
              <w:rPr>
                <w:rStyle w:val="FootnoteReference"/>
              </w:rPr>
              <w:footnoteReference w:id="388"/>
            </w:r>
            <w:r w:rsidRPr="007656EA">
              <w:t xml:space="preserve"> This entails only applying a transition to a trailing average to one third of the base rate.</w:t>
            </w:r>
            <w:r w:rsidRPr="007656EA">
              <w:rPr>
                <w:rStyle w:val="FootnoteReference"/>
              </w:rPr>
              <w:footnoteReference w:id="389"/>
            </w:r>
            <w:r w:rsidRPr="007656EA">
              <w:t xml:space="preserve"> </w:t>
            </w:r>
          </w:p>
          <w:p w:rsidR="007656EA" w:rsidRPr="007656EA" w:rsidRDefault="007656EA" w:rsidP="007656EA">
            <w:r>
              <w:t>Their reasons for</w:t>
            </w:r>
            <w:r w:rsidRPr="007656EA">
              <w:t xml:space="preserve"> this second preference include:</w:t>
            </w:r>
          </w:p>
          <w:p w:rsidR="007656EA" w:rsidRPr="007656EA" w:rsidRDefault="007656EA" w:rsidP="007656EA">
            <w:pPr>
              <w:pStyle w:val="AERbulletlistfirststyle"/>
            </w:pPr>
            <w:r>
              <w:t>A hybrid</w:t>
            </w:r>
            <w:r w:rsidRPr="007656EA">
              <w:t xml:space="preserve"> transition is consistent with a historically-based definition of efficient financing costs if it reduces the ex-post 'mismatch' between the allowed return on debt cash flows and a benchmark efficient entity's actual (historical) debt costs (or cash outflows).</w:t>
            </w:r>
            <w:r w:rsidRPr="007656EA">
              <w:rPr>
                <w:rStyle w:val="FootnoteReference"/>
              </w:rPr>
              <w:footnoteReference w:id="390"/>
            </w:r>
          </w:p>
          <w:p w:rsidR="007656EA" w:rsidRPr="007656EA" w:rsidRDefault="007656EA" w:rsidP="007656EA">
            <w:pPr>
              <w:pStyle w:val="AERbulletlistfirststyle"/>
            </w:pPr>
            <w:r>
              <w:t xml:space="preserve">A </w:t>
            </w:r>
            <w:r w:rsidRPr="007656EA">
              <w:t>benchmark efficient entity would have only hedged one third of the base rate under the on-the-day regime. This is based on CEG's interpretation of the correlation between the base rate and DRP over about 20 years of data.</w:t>
            </w:r>
            <w:r w:rsidRPr="007656EA">
              <w:rPr>
                <w:rStyle w:val="FootnoteReference"/>
              </w:rPr>
              <w:footnoteReference w:id="391"/>
            </w:r>
          </w:p>
          <w:p w:rsidR="007656EA" w:rsidDel="00203689" w:rsidRDefault="007656EA" w:rsidP="007656EA"/>
        </w:tc>
      </w:tr>
    </w:tbl>
    <w:p w:rsidR="007656EA" w:rsidRPr="00BB7CBA" w:rsidRDefault="007656EA" w:rsidP="00BB7CBA">
      <w:pPr>
        <w:pStyle w:val="AERtablesource"/>
      </w:pPr>
      <w:r w:rsidRPr="00BB7CBA">
        <w:t xml:space="preserve">Source: </w:t>
      </w:r>
      <w:r w:rsidR="00BB7CBA">
        <w:tab/>
      </w:r>
      <w:r w:rsidRPr="00BB7CBA">
        <w:t>Initial proposals from ActewAGL (June 2015), AGN (July 2015), APT Pipelines (June 2015), AusNet Services (April 2015), CitiPower (April 2015), JEN (April 2015), Powercor (April 2015), United Energy (April 2015). Revised proposals in January 2016 from ActewAGL, AGN, APT Pipelines, AusNet Services, CitiPower, JEN, Powercor, United Energy. AER analysis.</w:t>
      </w:r>
    </w:p>
    <w:p w:rsidR="007656EA" w:rsidRDefault="007656EA" w:rsidP="007656EA">
      <w:r w:rsidRPr="003739A5">
        <w:t xml:space="preserve">In response to the new </w:t>
      </w:r>
      <w:r>
        <w:t>positions provided in the revised proposals</w:t>
      </w:r>
      <w:r w:rsidRPr="003739A5">
        <w:t>, we have re</w:t>
      </w:r>
      <w:r>
        <w:t xml:space="preserve">considered whether our approach to estimating the allowed return on debt would contribute to achieving </w:t>
      </w:r>
      <w:r w:rsidRPr="003739A5">
        <w:t>the ARORO. We maintain our view from the preliminary and draft decisions that a full transition is required to achieve the ARORO. We also consider the ARORO requires we set an ex-ante rate of return that is commensurate with the</w:t>
      </w:r>
      <w:r>
        <w:t xml:space="preserve"> efficient financing cost </w:t>
      </w:r>
      <w:r w:rsidRPr="003739A5">
        <w:t>of a benchmark efficient entity with a similar degree of risk as the service provider supplying regulated services. We discuss these views and their relation to the return on debt approach in the sections below.</w:t>
      </w:r>
    </w:p>
    <w:p w:rsidR="007656EA" w:rsidRPr="00785554" w:rsidRDefault="007656EA" w:rsidP="007656EA">
      <w:r>
        <w:t xml:space="preserve">It is also worth noting that this change in service providers' positions results in a notable increase in the allowed return on debt. </w:t>
      </w:r>
      <w:r w:rsidRPr="00785554">
        <w:t>By proposing to immediately move to a trailing average, service providers have proposed debt allowances varying from 7.7 to 7.92 per cent.</w:t>
      </w:r>
      <w:r w:rsidRPr="00785554">
        <w:rPr>
          <w:rStyle w:val="FootnoteReference"/>
        </w:rPr>
        <w:footnoteReference w:id="392"/>
      </w:r>
      <w:r w:rsidRPr="00785554">
        <w:t xml:space="preserve"> We consider this would not only exceed the ex-ante efficient financing costs of a benchmark efficient entity, but would also exceed the historical costs of these individual service providers and be inconsistent with the ARORO. The difference in the allowed cash flows between or full transition and no transition is shown algebraically in </w:t>
      </w:r>
      <w:r w:rsidR="00BB7CBA">
        <w:t xml:space="preserve">section </w:t>
      </w:r>
      <w:r w:rsidR="00BB7CBA">
        <w:fldChar w:fldCharType="begin"/>
      </w:r>
      <w:r w:rsidR="00BB7CBA">
        <w:instrText xml:space="preserve"> REF _Ref451538254 \r \h </w:instrText>
      </w:r>
      <w:r w:rsidR="00BB7CBA">
        <w:fldChar w:fldCharType="separate"/>
      </w:r>
      <w:r w:rsidR="001A023B">
        <w:t>H.5.1</w:t>
      </w:r>
      <w:r w:rsidR="00BB7CBA">
        <w:fldChar w:fldCharType="end"/>
      </w:r>
      <w:r w:rsidR="00BB7CBA">
        <w:t xml:space="preserve"> of</w:t>
      </w:r>
      <w:r w:rsidR="00BB7CBA" w:rsidRPr="00391CC7">
        <w:t xml:space="preserve"> Appendix </w:t>
      </w:r>
      <w:r w:rsidR="00BB7CBA" w:rsidRPr="00391CC7">
        <w:fldChar w:fldCharType="begin"/>
      </w:r>
      <w:r w:rsidR="00BB7CBA" w:rsidRPr="00391CC7">
        <w:instrText xml:space="preserve"> REF _Ref451326987 \r \h </w:instrText>
      </w:r>
      <w:r w:rsidR="00BB7CBA" w:rsidRPr="00391CC7">
        <w:fldChar w:fldCharType="separate"/>
      </w:r>
      <w:r w:rsidR="001A023B">
        <w:t>H</w:t>
      </w:r>
      <w:r w:rsidR="00BB7CBA" w:rsidRPr="00391CC7">
        <w:fldChar w:fldCharType="end"/>
      </w:r>
      <w:r w:rsidRPr="00785554">
        <w:t>.</w:t>
      </w:r>
    </w:p>
    <w:p w:rsidR="007656EA" w:rsidRPr="00785554" w:rsidRDefault="007656EA" w:rsidP="007656EA">
      <w:r>
        <w:t>The CCP3 submits that following this new position</w:t>
      </w:r>
      <w:r w:rsidRPr="00785554">
        <w:t xml:space="preserve"> to immediately move to a trailing average, service providers are now proposing a higher effective DRP than they would have incurred during the Global Financial Crisis.</w:t>
      </w:r>
      <w:r w:rsidRPr="00785554">
        <w:rPr>
          <w:rStyle w:val="FootnoteReference"/>
        </w:rPr>
        <w:footnoteReference w:id="393"/>
      </w:r>
      <w:r w:rsidRPr="00785554">
        <w:t xml:space="preserve"> Following this, we received a number of submissions from stakeholders raising concerns with how the service providers' changed their preferred approach from a hybrid transition to no transition between their initial and revised proposals.</w:t>
      </w:r>
      <w:r w:rsidRPr="00785554">
        <w:rPr>
          <w:rStyle w:val="FootnoteReference"/>
        </w:rPr>
        <w:footnoteReference w:id="394"/>
      </w:r>
      <w:r w:rsidRPr="00785554">
        <w:t xml:space="preserve"> Several stakeholders observed that this change notably increases the proposed return on debt even though changes in market conditions do not support this increase.</w:t>
      </w:r>
      <w:r w:rsidRPr="00785554">
        <w:rPr>
          <w:rStyle w:val="FootnoteReference"/>
        </w:rPr>
        <w:footnoteReference w:id="395"/>
      </w:r>
      <w:r w:rsidRPr="00785554">
        <w:t xml:space="preserve"> As such, stakeholders found that the service providers' revised proposals requested excessively high allowed returns on debt.</w:t>
      </w:r>
      <w:r w:rsidRPr="00785554">
        <w:rPr>
          <w:rStyle w:val="FootnoteReference"/>
        </w:rPr>
        <w:footnoteReference w:id="396"/>
      </w:r>
    </w:p>
    <w:p w:rsidR="007656EA" w:rsidRDefault="007656EA" w:rsidP="007656EA">
      <w:pPr>
        <w:pStyle w:val="HeadingBoldItalic"/>
      </w:pPr>
      <w:r>
        <w:t>Approaches that contribute to the achievement of the ARORO</w:t>
      </w:r>
    </w:p>
    <w:p w:rsidR="007656EA" w:rsidRDefault="007656EA" w:rsidP="007656EA">
      <w:r>
        <w:t xml:space="preserve">We consider the ARORO </w:t>
      </w:r>
      <w:r w:rsidRPr="00F21B32">
        <w:t>require</w:t>
      </w:r>
      <w:r>
        <w:t>s</w:t>
      </w:r>
      <w:r w:rsidRPr="00F21B32">
        <w:t xml:space="preserve"> </w:t>
      </w:r>
      <w:r>
        <w:t>that the</w:t>
      </w:r>
      <w:r w:rsidRPr="00F21B32">
        <w:t xml:space="preserve"> allowed rate of return </w:t>
      </w:r>
      <w:r>
        <w:t>appropriately</w:t>
      </w:r>
      <w:r w:rsidRPr="00F21B32">
        <w:t xml:space="preserve"> compensates</w:t>
      </w:r>
      <w:r>
        <w:t xml:space="preserve"> </w:t>
      </w:r>
      <w:r w:rsidRPr="00F21B32">
        <w:t xml:space="preserve">investors </w:t>
      </w:r>
      <w:r>
        <w:t>for</w:t>
      </w:r>
      <w:r w:rsidRPr="00F21B32">
        <w:t xml:space="preserve"> capital investments (in an ex-ante sense) and aims to minimise the long run cost of capital (all else</w:t>
      </w:r>
      <w:r>
        <w:t xml:space="preserve"> being</w:t>
      </w:r>
      <w:r w:rsidRPr="00F21B32">
        <w:t xml:space="preserve"> equal).</w:t>
      </w:r>
      <w:r>
        <w:rPr>
          <w:rStyle w:val="FootnoteReference"/>
        </w:rPr>
        <w:footnoteReference w:id="397"/>
      </w:r>
      <w:r w:rsidRPr="00F21B32">
        <w:t xml:space="preserve"> </w:t>
      </w:r>
      <w:r>
        <w:t>We consider ex-ante efficient compensation should result in the ex-ante allowed return on capital cash flows having a present value equal to the present value of the ex-ante efficient cost of capital cash flows required to finance the RAB. This means the allowed return on and of capital cash flows should have a present value equal to the statutory value of the RAB. This is a zero NPV investment condition, as discussed in section</w:t>
      </w:r>
      <w:r w:rsidR="00A27A77">
        <w:t xml:space="preserve"> </w:t>
      </w:r>
      <w:r w:rsidR="00A27A77">
        <w:fldChar w:fldCharType="begin"/>
      </w:r>
      <w:r w:rsidR="00A27A77">
        <w:instrText xml:space="preserve"> REF _Ref451342623 \r \h </w:instrText>
      </w:r>
      <w:r w:rsidR="00A27A77">
        <w:fldChar w:fldCharType="separate"/>
      </w:r>
      <w:r w:rsidR="001A023B">
        <w:t>3.3.3</w:t>
      </w:r>
      <w:r w:rsidR="00A27A77">
        <w:fldChar w:fldCharType="end"/>
      </w:r>
      <w:r>
        <w:t>.</w:t>
      </w:r>
      <w:r>
        <w:rPr>
          <w:rStyle w:val="FootnoteReference"/>
        </w:rPr>
        <w:footnoteReference w:id="398"/>
      </w:r>
    </w:p>
    <w:p w:rsidR="007656EA" w:rsidRDefault="007656EA" w:rsidP="007656EA">
      <w:r>
        <w:t xml:space="preserve">A rate of return that achieves the ARORO should also be consistent with the RPPs in the NEL/NGL, which indicate a </w:t>
      </w:r>
      <w:r w:rsidRPr="00BE243F">
        <w:t>service provider</w:t>
      </w:r>
      <w:r>
        <w:t xml:space="preserve"> should be provided with </w:t>
      </w:r>
      <w:r w:rsidRPr="00BE243F">
        <w:t>a reasonable opportunity to r</w:t>
      </w:r>
      <w:r>
        <w:t>ecover at least efficient costs. These also require that we should provide</w:t>
      </w:r>
      <w:r w:rsidRPr="00BE243F">
        <w:t xml:space="preserve"> </w:t>
      </w:r>
      <w:r>
        <w:t xml:space="preserve">regulated firms with </w:t>
      </w:r>
      <w:r w:rsidRPr="00BE243F">
        <w:t>effective incentives to promote economic efficiency and have regard to the economic costs and risk of the potential for service provider</w:t>
      </w:r>
      <w:r>
        <w:t>s</w:t>
      </w:r>
      <w:r w:rsidRPr="00BE243F">
        <w:t xml:space="preserve"> </w:t>
      </w:r>
      <w:r>
        <w:t>to under- or over-invest.</w:t>
      </w:r>
      <w:r>
        <w:rPr>
          <w:rStyle w:val="FootnoteReference"/>
        </w:rPr>
        <w:footnoteReference w:id="399"/>
      </w:r>
    </w:p>
    <w:p w:rsidR="007656EA" w:rsidRPr="009F3831" w:rsidRDefault="007656EA" w:rsidP="007656EA">
      <w:r>
        <w:t>We have formed our view that</w:t>
      </w:r>
      <w:r w:rsidRPr="000F6A5E">
        <w:t xml:space="preserve"> </w:t>
      </w:r>
      <w:r>
        <w:t>our decision to estimate the allowed return on debt by s</w:t>
      </w:r>
      <w:r w:rsidRPr="007D2546">
        <w:t>tart</w:t>
      </w:r>
      <w:r>
        <w:t>ing</w:t>
      </w:r>
      <w:r w:rsidRPr="007D2546">
        <w:t xml:space="preserve"> with an on-the-day </w:t>
      </w:r>
      <w:r>
        <w:t>approach</w:t>
      </w:r>
      <w:r w:rsidRPr="007D2546">
        <w:t xml:space="preserve"> for the first regulatory year and gradually transition</w:t>
      </w:r>
      <w:r>
        <w:t>ing</w:t>
      </w:r>
      <w:r w:rsidRPr="007D2546">
        <w:t xml:space="preserve"> into a trailing average approach over 10 years</w:t>
      </w:r>
      <w:r>
        <w:t xml:space="preserve"> will result in an allowed return on debt that contributes to the achievement of the ARORO. The other option that we consider would achieve the ARORO is maintaining the on-the-day approach. Related to this, a</w:t>
      </w:r>
      <w:r w:rsidRPr="009F3831">
        <w:t xml:space="preserve">ll else </w:t>
      </w:r>
      <w:r>
        <w:t>being</w:t>
      </w:r>
      <w:r w:rsidRPr="009F3831">
        <w:t xml:space="preserve"> equal,</w:t>
      </w:r>
      <w:r>
        <w:t xml:space="preserve"> a trailing average (with transition) and on-the-day approach </w:t>
      </w:r>
      <w:r w:rsidRPr="009F3831">
        <w:t xml:space="preserve">provide equivalent ex-ante compensation over the </w:t>
      </w:r>
      <w:r>
        <w:t xml:space="preserve">term of the RAB (see </w:t>
      </w:r>
      <w:r w:rsidR="00391CC7" w:rsidRPr="00391CC7">
        <w:t xml:space="preserve">Appendix </w:t>
      </w:r>
      <w:r w:rsidR="00391CC7" w:rsidRPr="00391CC7">
        <w:fldChar w:fldCharType="begin"/>
      </w:r>
      <w:r w:rsidR="00391CC7" w:rsidRPr="00391CC7">
        <w:instrText xml:space="preserve"> REF _Ref451326987 \r \h </w:instrText>
      </w:r>
      <w:r w:rsidR="00391CC7" w:rsidRPr="00391CC7">
        <w:fldChar w:fldCharType="separate"/>
      </w:r>
      <w:r w:rsidR="001A023B">
        <w:t>H</w:t>
      </w:r>
      <w:r w:rsidR="00391CC7" w:rsidRPr="00391CC7">
        <w:fldChar w:fldCharType="end"/>
      </w:r>
      <w:r w:rsidR="00391CC7">
        <w:t xml:space="preserve"> </w:t>
      </w:r>
      <w:r>
        <w:t>for a detailed discussion)</w:t>
      </w:r>
      <w:r w:rsidRPr="009F3831">
        <w:t>. We consider this position is consistent with the AEMC</w:t>
      </w:r>
      <w:r>
        <w:t>'s observations</w:t>
      </w:r>
      <w:r w:rsidRPr="009F3831">
        <w:t xml:space="preserve"> about SFG's view:</w:t>
      </w:r>
      <w:r w:rsidRPr="009F3831">
        <w:rPr>
          <w:rStyle w:val="FootnoteReference"/>
        </w:rPr>
        <w:footnoteReference w:id="400"/>
      </w:r>
    </w:p>
    <w:p w:rsidR="007656EA" w:rsidRDefault="007656EA" w:rsidP="007656EA">
      <w:pPr>
        <w:pStyle w:val="AERquote"/>
      </w:pPr>
      <w:r w:rsidRPr="00F21B32">
        <w:t>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w:t>
      </w:r>
    </w:p>
    <w:p w:rsidR="007656EA" w:rsidRDefault="007656EA" w:rsidP="007656EA">
      <w:pPr>
        <w:pStyle w:val="HeadingItalic"/>
      </w:pPr>
      <w:r>
        <w:t>Trailing average (with full transition) meets the ARORO</w:t>
      </w:r>
    </w:p>
    <w:p w:rsidR="007656EA" w:rsidRDefault="007656EA" w:rsidP="007656EA">
      <w:r>
        <w:t xml:space="preserve">With a full transition, a trailing average approach would provide a benchmark efficient entity with a reasonable opportunity to recover at least efficient costs over the term of the RAB. It could therefore </w:t>
      </w:r>
      <w:r w:rsidRPr="00E9566E">
        <w:t xml:space="preserve">result in an allowed return on debt (and overall rate of return) that can be consistent with the rules and NEL/NGL. </w:t>
      </w:r>
      <w:r w:rsidR="00391CC7" w:rsidRPr="00391CC7">
        <w:t xml:space="preserve">Appendix </w:t>
      </w:r>
      <w:r w:rsidR="00391CC7" w:rsidRPr="00391CC7">
        <w:fldChar w:fldCharType="begin"/>
      </w:r>
      <w:r w:rsidR="00391CC7" w:rsidRPr="00391CC7">
        <w:instrText xml:space="preserve"> REF _Ref451326987 \r \h </w:instrText>
      </w:r>
      <w:r w:rsidR="00391CC7" w:rsidRPr="00391CC7">
        <w:fldChar w:fldCharType="separate"/>
      </w:r>
      <w:r w:rsidR="001A023B">
        <w:t>H</w:t>
      </w:r>
      <w:r w:rsidR="00391CC7" w:rsidRPr="00391CC7">
        <w:fldChar w:fldCharType="end"/>
      </w:r>
      <w:r w:rsidR="00391CC7">
        <w:t xml:space="preserve"> </w:t>
      </w:r>
      <w:r>
        <w:t xml:space="preserve">provides </w:t>
      </w:r>
      <w:r w:rsidRPr="00B17075">
        <w:t>detailed reasons, including a mathematic description, for why this holds.</w:t>
      </w:r>
      <w:r w:rsidRPr="00E14029">
        <w:t xml:space="preserve"> </w:t>
      </w:r>
      <w:r>
        <w:t>Further, regarding adopting a trailing average approach more broadly:</w:t>
      </w:r>
    </w:p>
    <w:p w:rsidR="007656EA" w:rsidRPr="007656EA" w:rsidRDefault="007656EA" w:rsidP="007656EA">
      <w:pPr>
        <w:pStyle w:val="AERbulletlistfirststyle"/>
      </w:pPr>
      <w:r>
        <w:t xml:space="preserve">Compared to an on-the-day approach, a </w:t>
      </w:r>
      <w:r w:rsidRPr="007656EA">
        <w:t>trailing average approach will lead to less volatile cash flows.</w:t>
      </w:r>
      <w:r w:rsidRPr="007656EA">
        <w:rPr>
          <w:rStyle w:val="FootnoteReference"/>
        </w:rPr>
        <w:footnoteReference w:id="401"/>
      </w:r>
    </w:p>
    <w:p w:rsidR="007656EA" w:rsidRPr="007656EA" w:rsidRDefault="007656EA" w:rsidP="007656EA">
      <w:pPr>
        <w:pStyle w:val="AERbulletlistfirststyle"/>
      </w:pPr>
      <w:r>
        <w:t>Some stakeholders submitted that a trailing average would reduce some of the risks faced by service providers, which would eventually flow to lower betas than what we have historically seen.</w:t>
      </w:r>
      <w:r w:rsidRPr="007656EA">
        <w:rPr>
          <w:rStyle w:val="FootnoteReference"/>
        </w:rPr>
        <w:footnoteReference w:id="402"/>
      </w:r>
      <w:r w:rsidRPr="007656EA">
        <w:t xml:space="preserve"> Frontier also advised that a trailing average approach would result in a smooth profile for the allowed return on debt.</w:t>
      </w:r>
      <w:r w:rsidRPr="007656EA">
        <w:rPr>
          <w:rStyle w:val="FootnoteReference"/>
        </w:rPr>
        <w:footnoteReference w:id="403"/>
      </w:r>
    </w:p>
    <w:p w:rsidR="007656EA" w:rsidRPr="007656EA" w:rsidRDefault="007656EA" w:rsidP="007656EA">
      <w:pPr>
        <w:pStyle w:val="AERbulletlistfirststyle"/>
      </w:pPr>
      <w:r>
        <w:t>A trailing average approach received broad stakeholder support.</w:t>
      </w:r>
      <w:r w:rsidRPr="007656EA">
        <w:rPr>
          <w:rStyle w:val="FootnoteReference"/>
        </w:rPr>
        <w:footnoteReference w:id="404"/>
      </w:r>
      <w:r w:rsidRPr="007656EA">
        <w:t xml:space="preserve"> </w:t>
      </w:r>
    </w:p>
    <w:p w:rsidR="007656EA" w:rsidRDefault="007656EA" w:rsidP="007656EA">
      <w:r>
        <w:t>W</w:t>
      </w:r>
      <w:r w:rsidRPr="008A776F">
        <w:t xml:space="preserve">e consider the on-the-day approach could contribute to the achievement of the ARORO and </w:t>
      </w:r>
      <w:r>
        <w:t>is therefore</w:t>
      </w:r>
      <w:r w:rsidRPr="008A776F">
        <w:t xml:space="preserve"> open to us</w:t>
      </w:r>
      <w:r>
        <w:t xml:space="preserve"> (see the following section)</w:t>
      </w:r>
      <w:r w:rsidRPr="008A776F">
        <w:t xml:space="preserve">. </w:t>
      </w:r>
      <w:r>
        <w:t xml:space="preserve">On this basis, the </w:t>
      </w:r>
      <w:r w:rsidRPr="00872988">
        <w:t xml:space="preserve">present value of a benchmark efficient entity's </w:t>
      </w:r>
      <w:r>
        <w:t xml:space="preserve">allowed </w:t>
      </w:r>
      <w:r w:rsidRPr="00872988">
        <w:t>revenues</w:t>
      </w:r>
      <w:r>
        <w:t xml:space="preserve"> under the on-the-day approach would have been sufficient to compensate it for its efficient financing costs. That is, a benchmark efficient entity would not have been under- or over-valued when we calculated its debt allowance under the on-the-day approach, and continuing this approach will continue to provide correct compensation commensurate with efficient financing costs.</w:t>
      </w:r>
    </w:p>
    <w:p w:rsidR="007656EA" w:rsidRDefault="007656EA" w:rsidP="007656EA">
      <w:r>
        <w:t>If this holds, then changing</w:t>
      </w:r>
      <w:r w:rsidRPr="006102E7">
        <w:t xml:space="preserve"> the present value </w:t>
      </w:r>
      <w:r>
        <w:t>of a benchmark efficient entity would result in overcompensation (if we increase its value) or undercompensation (if we decrease its value). This would not meet the ARORO or be consistent with achieving the NEO/NGO. As such, changing debt estimation methodologies must be revenue-neutral (in a present value sense) to avoid incorrectly compensating a benchmark efficient entity relative to its efficient financing costs.</w:t>
      </w:r>
    </w:p>
    <w:p w:rsidR="007656EA" w:rsidRDefault="007656EA" w:rsidP="007656EA">
      <w:r>
        <w:t>Switching immediately from an on-the-day approach to a trailing average approach could only be revenue-neutral by chance. Specifically, this could occur if the average cost of debt over the last nine years equalled the current cost of debt in the market. However, if the nine year average was higher (lower) than the current cost of debt, then changing approaches would increase (decrease) the present value of the benchmark efficient entity. This arises because the allowed return on debt is estimated using prevailing market data under the on-the-day approach and historical market data under the trailing average approach. As such, by construction, these two</w:t>
      </w:r>
      <w:r w:rsidRPr="00AF4E25">
        <w:t xml:space="preserve"> approach</w:t>
      </w:r>
      <w:r>
        <w:t xml:space="preserve">es will typically </w:t>
      </w:r>
      <w:r w:rsidRPr="00AF4E25">
        <w:t>produce different estimates at given points in time.</w:t>
      </w:r>
    </w:p>
    <w:p w:rsidR="007656EA" w:rsidRPr="00785554" w:rsidRDefault="007656EA" w:rsidP="007656EA">
      <w:r>
        <w:t xml:space="preserve">For this reason, we </w:t>
      </w:r>
      <w:r w:rsidRPr="00785554">
        <w:t>have used our transition approach because it is approximately revenue neutral (in a present value sense).</w:t>
      </w:r>
      <w:r w:rsidRPr="00785554">
        <w:rPr>
          <w:rStyle w:val="FootnoteReference"/>
        </w:rPr>
        <w:footnoteReference w:id="405"/>
      </w:r>
      <w:r w:rsidRPr="00785554">
        <w:t xml:space="preserve"> That is, it aims to assist us in switching between methodologies to estimating the return on debt without changing the present value of a benchmark efficient entity's allowed revenues purely due to this switch. HoustonKemp provided support for a transition to avoid such changes to the present value of a benchmark efficient entity's allowed revenues and to limit 'regulatory risk' in its advice to ESCOSA.</w:t>
      </w:r>
      <w:r w:rsidRPr="00785554">
        <w:rPr>
          <w:rStyle w:val="FootnoteReference"/>
        </w:rPr>
        <w:footnoteReference w:id="406"/>
      </w:r>
      <w:r w:rsidRPr="00785554">
        <w:t xml:space="preserve"> We also note that SFG advised the AEMC that the type of transition mechanism we apply in this final decision would be effective:</w:t>
      </w:r>
      <w:r w:rsidRPr="00785554">
        <w:rPr>
          <w:rStyle w:val="FootnoteReference"/>
        </w:rPr>
        <w:footnoteReference w:id="407"/>
      </w:r>
    </w:p>
    <w:p w:rsidR="007656EA" w:rsidRPr="002F34FF" w:rsidRDefault="007656EA" w:rsidP="007656EA">
      <w:pPr>
        <w:pStyle w:val="AERquote"/>
      </w:pPr>
      <w:r w:rsidRPr="002F34FF">
        <w:t xml:space="preserve">The type of “rolling in” arrangement </w:t>
      </w:r>
      <w:r>
        <w:t xml:space="preserve">[transition] </w:t>
      </w:r>
      <w:r w:rsidRPr="002F34FF">
        <w:t>that has been proposed by QTC</w:t>
      </w:r>
      <w:r>
        <w:t xml:space="preserve"> [the full transition we adopted]</w:t>
      </w:r>
      <w:r w:rsidRPr="002F34FF">
        <w:t xml:space="preserve"> would be an effective means of transitioning from the current Rules to the use of an historical average cost of debt approach </w:t>
      </w:r>
    </w:p>
    <w:p w:rsidR="007656EA" w:rsidRPr="00F21B32" w:rsidRDefault="007656EA" w:rsidP="007656EA">
      <w:r>
        <w:t>For completeness, changing approaches once from an on-the-day to a trailing average approach will only require one revenue neutral transition. If there was good reason to later readopt an on-the-day approach (or adopt an alternative approach that could also contribute to meeting the ARORO), this would require another once-off revenue-neutral transition. We consider this is consistent with the rules requirement to have regard to</w:t>
      </w:r>
      <w:r w:rsidRPr="008E338C">
        <w:t xml:space="preserve"> any impacts</w:t>
      </w:r>
      <w:r>
        <w:t xml:space="preserve"> on a benchmark efficient entity referred to in the ARORO</w:t>
      </w:r>
      <w:r w:rsidRPr="008E338C">
        <w:t xml:space="preserve"> that could arise </w:t>
      </w:r>
      <w:r>
        <w:t xml:space="preserve">from </w:t>
      </w:r>
      <w:r w:rsidRPr="008E338C">
        <w:t>a change of methodology.</w:t>
      </w:r>
      <w:r>
        <w:rPr>
          <w:rStyle w:val="FootnoteReference"/>
        </w:rPr>
        <w:footnoteReference w:id="408"/>
      </w:r>
      <w:r>
        <w:t xml:space="preserve"> The AEMC explained that the purpose of this aspect of the rules was:</w:t>
      </w:r>
      <w:r w:rsidRPr="00F21B32">
        <w:rPr>
          <w:rStyle w:val="FootnoteReference"/>
        </w:rPr>
        <w:footnoteReference w:id="409"/>
      </w:r>
    </w:p>
    <w:p w:rsidR="007656EA" w:rsidRDefault="007656EA" w:rsidP="007656EA">
      <w:pPr>
        <w:pStyle w:val="AERquote"/>
      </w:pPr>
      <w:r w:rsidRPr="00F21B32">
        <w:t>for the regulator to have regard to impacts of changes in the methodology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7656EA" w:rsidRDefault="007656EA" w:rsidP="007656EA">
      <w:pPr>
        <w:pStyle w:val="HeadingItalic"/>
      </w:pPr>
      <w:r>
        <w:t>Continuing the on-the-day approach meets the ARORO</w:t>
      </w:r>
    </w:p>
    <w:p w:rsidR="007656EA" w:rsidRDefault="007656EA" w:rsidP="007656EA">
      <w:r>
        <w:t xml:space="preserve">An </w:t>
      </w:r>
      <w:r w:rsidRPr="00AF4E25">
        <w:t xml:space="preserve">on-the-day approach provides service providers with </w:t>
      </w:r>
      <w:r>
        <w:t>a</w:t>
      </w:r>
      <w:r w:rsidRPr="00AF4E25">
        <w:t xml:space="preserve"> reasonable opportunity to recover at least efficient costs over </w:t>
      </w:r>
      <w:r>
        <w:t>the term of the RAB</w:t>
      </w:r>
      <w:r w:rsidRPr="00AF4E25">
        <w:t xml:space="preserve"> </w:t>
      </w:r>
      <w:r w:rsidRPr="00AF4E25">
        <w:rPr>
          <w:rStyle w:val="AERtextunderline"/>
        </w:rPr>
        <w:t>and</w:t>
      </w:r>
      <w:r w:rsidRPr="00AF4E25">
        <w:t xml:space="preserve"> over each </w:t>
      </w:r>
      <w:r>
        <w:t>access arrangement period</w:t>
      </w:r>
      <w:r w:rsidRPr="00AF4E25">
        <w:t xml:space="preserve">. </w:t>
      </w:r>
      <w:r w:rsidR="00391CC7" w:rsidRPr="00391CC7">
        <w:t xml:space="preserve">Appendix </w:t>
      </w:r>
      <w:r w:rsidR="00391CC7" w:rsidRPr="00391CC7">
        <w:fldChar w:fldCharType="begin"/>
      </w:r>
      <w:r w:rsidR="00391CC7" w:rsidRPr="00391CC7">
        <w:instrText xml:space="preserve"> REF _Ref451326987 \r \h </w:instrText>
      </w:r>
      <w:r w:rsidR="00391CC7" w:rsidRPr="00391CC7">
        <w:fldChar w:fldCharType="separate"/>
      </w:r>
      <w:r w:rsidR="001A023B">
        <w:t>H</w:t>
      </w:r>
      <w:r w:rsidR="00391CC7" w:rsidRPr="00391CC7">
        <w:fldChar w:fldCharType="end"/>
      </w:r>
      <w:r w:rsidR="00391CC7">
        <w:t xml:space="preserve"> </w:t>
      </w:r>
      <w:r>
        <w:t>provides detailed reasons, including a mathematic description, for why this holds. On this basis, we consider continuing the on-the-day approach for estimating the allowed return on debt will achieve the ARORO and the NEO.</w:t>
      </w:r>
      <w:r>
        <w:rPr>
          <w:rStyle w:val="FootnoteReference"/>
        </w:rPr>
        <w:footnoteReference w:id="410"/>
      </w:r>
      <w:r>
        <w:t xml:space="preserve"> Further, as </w:t>
      </w:r>
      <w:r>
        <w:fldChar w:fldCharType="begin"/>
      </w:r>
      <w:r>
        <w:instrText xml:space="preserve"> REF  _Ref451173814 \* Lower \h </w:instrText>
      </w:r>
      <w:r>
        <w:fldChar w:fldCharType="separate"/>
      </w:r>
      <w:r w:rsidR="001A023B">
        <w:t xml:space="preserve">table </w:t>
      </w:r>
      <w:r w:rsidR="001A023B">
        <w:rPr>
          <w:noProof/>
        </w:rPr>
        <w:t>3</w:t>
      </w:r>
      <w:r w:rsidR="001A023B">
        <w:noBreakHyphen/>
      </w:r>
      <w:r w:rsidR="001A023B">
        <w:rPr>
          <w:noProof/>
        </w:rPr>
        <w:t>10</w:t>
      </w:r>
      <w:r>
        <w:fldChar w:fldCharType="end"/>
      </w:r>
      <w:r>
        <w:t xml:space="preserve"> shows, we consider that neither an on-the-day nor trailing average approach would be clearly superior to the other. Rather, each of these approaches has its own benefits and limitations</w:t>
      </w:r>
    </w:p>
    <w:p w:rsidR="007656EA" w:rsidRDefault="007656EA" w:rsidP="007656EA">
      <w:r>
        <w:t>Given this, while we adopt a trailing average</w:t>
      </w:r>
      <w:r w:rsidRPr="004B76DC">
        <w:t xml:space="preserve"> for this determination</w:t>
      </w:r>
      <w:r>
        <w:t xml:space="preserve">, we do not consider this change in methodology would be justified in the absence of a transition. Without a transition, the change to the trailing average would not be revenue neutral, but would rather increase the </w:t>
      </w:r>
      <w:r w:rsidRPr="00E817C9">
        <w:t xml:space="preserve">present value of a benchmark efficient entity's </w:t>
      </w:r>
      <w:r>
        <w:t>allowed</w:t>
      </w:r>
      <w:r w:rsidRPr="00E817C9">
        <w:t xml:space="preserve"> revenues purely due to changing the debt estimation methodology</w:t>
      </w:r>
      <w:r>
        <w:t xml:space="preserve"> (see the subsequent section). Consequently, in the absence of a transition</w:t>
      </w:r>
      <w:r w:rsidRPr="004B76DC">
        <w:t xml:space="preserve">, we would not consider a trailing approach will </w:t>
      </w:r>
      <w:r>
        <w:t>achieve</w:t>
      </w:r>
      <w:r w:rsidRPr="004B76DC">
        <w:t xml:space="preserve"> the </w:t>
      </w:r>
      <w:r>
        <w:t>ARORO</w:t>
      </w:r>
      <w:r w:rsidRPr="004B76DC">
        <w:t xml:space="preserve"> and we would instead maintain the on-the-day approach to </w:t>
      </w:r>
      <w:r>
        <w:t>estimating</w:t>
      </w:r>
      <w:r w:rsidRPr="004B76DC">
        <w:t xml:space="preserve"> the return on debt.</w:t>
      </w:r>
    </w:p>
    <w:p w:rsidR="007656EA" w:rsidRDefault="007656EA" w:rsidP="007656EA">
      <w:pPr>
        <w:pStyle w:val="Caption"/>
      </w:pPr>
      <w:bookmarkStart w:id="78" w:name="_Ref451173814"/>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10</w:t>
      </w:r>
      <w:r w:rsidR="00120312">
        <w:rPr>
          <w:noProof/>
        </w:rPr>
        <w:fldChar w:fldCharType="end"/>
      </w:r>
      <w:bookmarkEnd w:id="78"/>
      <w:r>
        <w:t>: Benefits of different debt approaches</w:t>
      </w:r>
    </w:p>
    <w:tbl>
      <w:tblPr>
        <w:tblStyle w:val="AERtable-text0"/>
        <w:tblW w:w="0" w:type="auto"/>
        <w:tblLook w:val="04A0" w:firstRow="1" w:lastRow="0" w:firstColumn="1" w:lastColumn="0" w:noHBand="0" w:noVBand="1"/>
      </w:tblPr>
      <w:tblGrid>
        <w:gridCol w:w="4346"/>
        <w:gridCol w:w="4347"/>
      </w:tblGrid>
      <w:tr w:rsidR="007656EA" w:rsidTr="00BB7AE6">
        <w:trPr>
          <w:cnfStyle w:val="100000000000" w:firstRow="1" w:lastRow="0" w:firstColumn="0" w:lastColumn="0" w:oddVBand="0" w:evenVBand="0" w:oddHBand="0" w:evenHBand="0" w:firstRowFirstColumn="0" w:firstRowLastColumn="0" w:lastRowFirstColumn="0" w:lastRowLastColumn="0"/>
          <w:tblHeader/>
        </w:trPr>
        <w:tc>
          <w:tcPr>
            <w:tcW w:w="4346" w:type="dxa"/>
          </w:tcPr>
          <w:p w:rsidR="007656EA" w:rsidRPr="007656EA" w:rsidRDefault="007656EA" w:rsidP="007656EA">
            <w:r>
              <w:t>Benefits of a trailing average approach</w:t>
            </w:r>
          </w:p>
        </w:tc>
        <w:tc>
          <w:tcPr>
            <w:tcW w:w="4347" w:type="dxa"/>
          </w:tcPr>
          <w:p w:rsidR="007656EA" w:rsidRPr="007656EA" w:rsidRDefault="007656EA" w:rsidP="007656EA">
            <w:r>
              <w:t>Benefits of an on-the-day approach</w:t>
            </w:r>
          </w:p>
        </w:tc>
      </w:tr>
      <w:tr w:rsidR="007656EA" w:rsidTr="0031325C">
        <w:tc>
          <w:tcPr>
            <w:tcW w:w="4346" w:type="dxa"/>
          </w:tcPr>
          <w:p w:rsidR="007656EA" w:rsidRPr="009F3831" w:rsidRDefault="007656EA" w:rsidP="007656EA">
            <w:r w:rsidRPr="009F3831">
              <w:t xml:space="preserve"> </w:t>
            </w:r>
          </w:p>
          <w:p w:rsidR="007656EA" w:rsidRPr="007656EA" w:rsidRDefault="007656EA" w:rsidP="007656EA">
            <w:r>
              <w:t xml:space="preserve">A trailing average approach provides </w:t>
            </w:r>
            <w:r w:rsidRPr="007656EA">
              <w:t>service providers with a regulatory benchmark that they can more readily match each access arrangement period.</w:t>
            </w:r>
            <w:r w:rsidRPr="007656EA">
              <w:rPr>
                <w:rStyle w:val="FootnoteReference"/>
              </w:rPr>
              <w:footnoteReference w:id="411"/>
            </w:r>
            <w:r w:rsidRPr="007656EA">
              <w:t xml:space="preserve"> As such, this provides a benchmark efficient entity with an enhanced opportunity to minimise any mismatch between actual costs and regulated revenues.</w:t>
            </w:r>
            <w:r w:rsidRPr="007656EA">
              <w:rPr>
                <w:rStyle w:val="FootnoteReference"/>
              </w:rPr>
              <w:footnoteReference w:id="412"/>
            </w:r>
            <w:r w:rsidRPr="007656EA">
              <w:t xml:space="preserve"> Nevertheless, it is important to note that this mismatch risk would not result in a benchmark efficient entity being ex-ante over- or under-compensated for its efficient debt financing costs for a access arrangement period or over the life of its assets.</w:t>
            </w:r>
          </w:p>
          <w:p w:rsidR="007656EA" w:rsidRPr="007656EA" w:rsidRDefault="007656EA" w:rsidP="007656EA">
            <w:r>
              <w:t xml:space="preserve">All else </w:t>
            </w:r>
            <w:r w:rsidRPr="007656EA">
              <w:t xml:space="preserve">being equal, this reduced risk and the reduced need to enter hedging arrangements might lower the efficient cost of financing for a benchmark efficient entity and increase productive efficiency. </w:t>
            </w:r>
          </w:p>
          <w:p w:rsidR="007656EA" w:rsidRPr="007656EA" w:rsidRDefault="007656EA" w:rsidP="007656EA">
            <w:r>
              <w:t>A trailing average is likely to provide for a smoother price path than the on-the-day approach. Regulatory revenues adjust gradually to movements in interest rates. By contrast, the on-the-day approach can lead to large shifts in revenue at each reset if underlying interest rates have</w:t>
            </w:r>
            <w:r w:rsidRPr="007656EA">
              <w:t xml:space="preserve"> moved since the last reset.</w:t>
            </w:r>
          </w:p>
        </w:tc>
        <w:tc>
          <w:tcPr>
            <w:tcW w:w="4347" w:type="dxa"/>
          </w:tcPr>
          <w:p w:rsidR="007656EA" w:rsidRPr="007656EA" w:rsidRDefault="007656EA" w:rsidP="007656EA">
            <w:r>
              <w:t xml:space="preserve">An </w:t>
            </w:r>
            <w:r w:rsidRPr="007656EA">
              <w:t>on-the-day approach better reflects the prevailing cost of debt in the capital market near the commencement of the access arrangement period. Due to this, it:</w:t>
            </w:r>
          </w:p>
          <w:p w:rsidR="007656EA" w:rsidRPr="007656EA" w:rsidRDefault="007656EA" w:rsidP="007656EA">
            <w:pPr>
              <w:pStyle w:val="AERbulletlistfirststyle"/>
            </w:pPr>
            <w:r>
              <w:t xml:space="preserve">Better reflects </w:t>
            </w:r>
            <w:r w:rsidRPr="007656EA">
              <w:t>investors' opportunity cost of debt and expectations of future returns near the commencement of the access arrangement period.</w:t>
            </w:r>
            <w:r w:rsidRPr="007656EA">
              <w:rPr>
                <w:rStyle w:val="FootnoteReference"/>
              </w:rPr>
              <w:footnoteReference w:id="413"/>
            </w:r>
            <w:r w:rsidRPr="007656EA">
              <w:t xml:space="preserve"> It therefore provides a better signal for efficient investment decisions that increase dynamic efficiency. This is consistent with  the AEMC's view that the return on debt framework should minimise the risk of creating distortions in service providers' investment decisions:</w:t>
            </w:r>
            <w:r w:rsidRPr="007656EA">
              <w:rPr>
                <w:rStyle w:val="FootnoteReference"/>
              </w:rPr>
              <w:footnoteReference w:id="414"/>
            </w:r>
          </w:p>
          <w:p w:rsidR="007656EA" w:rsidRPr="007656EA" w:rsidRDefault="007656EA" w:rsidP="007656EA">
            <w:pPr>
              <w:pStyle w:val="AERbulletlistfirststyle"/>
            </w:pPr>
            <w:r>
              <w:t xml:space="preserve">Is more internally consistent with how we estimate other components of the allowed rate of return and the building block model more generally. </w:t>
            </w:r>
          </w:p>
          <w:p w:rsidR="007656EA" w:rsidRPr="007656EA" w:rsidRDefault="007656EA" w:rsidP="007656EA">
            <w:pPr>
              <w:pStyle w:val="AERbulletlistfirststyle"/>
            </w:pPr>
            <w:r>
              <w:t>Leads to an estimate that is commensurate with efficient financing costs and competitive market outcomes</w:t>
            </w:r>
            <w:r w:rsidRPr="007656EA">
              <w:t xml:space="preserve"> near the commencement of the access arrangement period. We expect prevailing market rates for capital finance to be competitive.</w:t>
            </w:r>
            <w:r w:rsidRPr="007656EA">
              <w:rPr>
                <w:rStyle w:val="FootnoteReference"/>
              </w:rPr>
              <w:footnoteReference w:id="415"/>
            </w:r>
            <w:r w:rsidRPr="007656EA">
              <w:t xml:space="preserve"> Moreover, a return on debt that reflects the current market rate more closely imitates the outcomes of a competitive market by representing the costs that other service providers will face to enter the market.</w:t>
            </w:r>
            <w:r w:rsidRPr="007656EA">
              <w:rPr>
                <w:rStyle w:val="FootnoteReference"/>
              </w:rPr>
              <w:footnoteReference w:id="416"/>
            </w:r>
          </w:p>
        </w:tc>
      </w:tr>
    </w:tbl>
    <w:p w:rsidR="007656EA" w:rsidRDefault="007656EA" w:rsidP="007656EA">
      <w:pPr>
        <w:pStyle w:val="AERtablesource"/>
      </w:pPr>
      <w:r>
        <w:t>Source: AER analysis.</w:t>
      </w:r>
    </w:p>
    <w:p w:rsidR="007656EA" w:rsidRDefault="007656EA" w:rsidP="007656EA">
      <w:pPr>
        <w:pStyle w:val="HeadingBoldItalic"/>
      </w:pPr>
      <w:r>
        <w:t xml:space="preserve">Revised proposals will not </w:t>
      </w:r>
      <w:r w:rsidRPr="000F6A5E">
        <w:t>contribute to the achievement of the ARORO</w:t>
      </w:r>
    </w:p>
    <w:p w:rsidR="007656EA" w:rsidRPr="00785554" w:rsidRDefault="007656EA" w:rsidP="007656EA">
      <w:r>
        <w:t>We have carefully consider</w:t>
      </w:r>
      <w:r w:rsidRPr="00785554">
        <w:t>ed the transition paths to the trailing average put forward in the revised proposals. These paths include:</w:t>
      </w:r>
    </w:p>
    <w:p w:rsidR="007656EA" w:rsidRPr="007656EA" w:rsidRDefault="007656EA" w:rsidP="007656EA">
      <w:pPr>
        <w:pStyle w:val="AERbulletlistfirststyle"/>
      </w:pPr>
      <w:r>
        <w:t>No transition (or an immediate move) to a trailing average</w:t>
      </w:r>
      <w:r w:rsidRPr="007656EA">
        <w:t>—Adopt a backwards looking trailing average approach (no transition on either the base rate or DRP components of the return on debt).</w:t>
      </w:r>
    </w:p>
    <w:p w:rsidR="007656EA" w:rsidRPr="007656EA" w:rsidRDefault="007656EA" w:rsidP="007656EA">
      <w:pPr>
        <w:pStyle w:val="AERbulletlistfirststyle"/>
      </w:pPr>
      <w:r w:rsidRPr="007D2546">
        <w:t>Hybrid transition—Start with an on-the-day</w:t>
      </w:r>
      <w:r w:rsidRPr="007656EA">
        <w:t xml:space="preserve"> approach for the base rate component and gradually transition into a trailing average approach over 10 years. This would be combined with a backwards looking trailing average DRP (that is, a base rate transition only).</w:t>
      </w:r>
    </w:p>
    <w:p w:rsidR="007656EA" w:rsidRPr="007656EA" w:rsidRDefault="007656EA" w:rsidP="007656EA">
      <w:pPr>
        <w:pStyle w:val="AERbulletlistfirststyle"/>
      </w:pPr>
      <w:r>
        <w:t>Hybrid transition under partial hedging</w:t>
      </w:r>
      <w:r w:rsidRPr="007656EA">
        <w:t>—Assume a benchmark efficient entity hedged only one third of the base rate under the on-the-day regime on the basis that this would have been ex-post optimal.</w:t>
      </w:r>
      <w:r w:rsidRPr="007656EA">
        <w:rPr>
          <w:rStyle w:val="FootnoteReference"/>
        </w:rPr>
        <w:footnoteReference w:id="417"/>
      </w:r>
      <w:r w:rsidRPr="007656EA">
        <w:t xml:space="preserve"> Gradually transition this portion of the base rate and apply an immediate trailing average to the other two thirds of the base rate and the entire DRP component.</w:t>
      </w:r>
      <w:r w:rsidRPr="007656EA">
        <w:rPr>
          <w:rStyle w:val="FootnoteReference"/>
        </w:rPr>
        <w:footnoteReference w:id="418"/>
      </w:r>
      <w:r w:rsidRPr="007656EA">
        <w:t xml:space="preserve"> </w:t>
      </w:r>
    </w:p>
    <w:p w:rsidR="007656EA" w:rsidRDefault="007656EA" w:rsidP="007656EA">
      <w:r>
        <w:t xml:space="preserve">The following sections set out why neither of these transition paths would contribute to the achievement of the ARORO. </w:t>
      </w:r>
    </w:p>
    <w:p w:rsidR="007656EA" w:rsidRDefault="007656EA" w:rsidP="007656EA">
      <w:pPr>
        <w:pStyle w:val="HeadingItalic"/>
      </w:pPr>
      <w:r>
        <w:t xml:space="preserve">Immediate transition will </w:t>
      </w:r>
      <w:r w:rsidRPr="00F72EF1">
        <w:t xml:space="preserve">not contribute to the achievement </w:t>
      </w:r>
      <w:r>
        <w:t>of the ARORO</w:t>
      </w:r>
    </w:p>
    <w:p w:rsidR="007656EA" w:rsidRDefault="007656EA" w:rsidP="007656EA">
      <w:r w:rsidRPr="00D001FE">
        <w:rPr>
          <w:rStyle w:val="AERbody"/>
        </w:rPr>
        <w:t xml:space="preserve">For the reasons discussed </w:t>
      </w:r>
      <w:r>
        <w:rPr>
          <w:rStyle w:val="AERbody"/>
        </w:rPr>
        <w:t>above under, 't</w:t>
      </w:r>
      <w:r w:rsidRPr="00D001FE">
        <w:rPr>
          <w:rStyle w:val="AERbody"/>
        </w:rPr>
        <w:t>railing average (with full transition) meets the ARORO</w:t>
      </w:r>
      <w:r>
        <w:rPr>
          <w:rStyle w:val="AERbody"/>
        </w:rPr>
        <w:t>', i</w:t>
      </w:r>
      <w:r>
        <w:t>mmediately</w:t>
      </w:r>
      <w:r w:rsidRPr="00F72EF1">
        <w:t xml:space="preserve"> moving to a trailing average by immediately adopting a historical cost of debt is likely to change the present value of a benchmark efficie</w:t>
      </w:r>
      <w:r>
        <w:t xml:space="preserve">nt entity's allowed revenues </w:t>
      </w:r>
      <w:r w:rsidRPr="00F72EF1">
        <w:t xml:space="preserve">relative to </w:t>
      </w:r>
      <w:r>
        <w:t>a continuation of</w:t>
      </w:r>
      <w:r w:rsidRPr="00F72EF1">
        <w:t xml:space="preserve"> </w:t>
      </w:r>
      <w:r>
        <w:t>the on-the-day approach.</w:t>
      </w:r>
    </w:p>
    <w:p w:rsidR="007656EA" w:rsidRDefault="007656EA" w:rsidP="007656EA">
      <w:r>
        <w:t>T</w:t>
      </w:r>
      <w:r w:rsidRPr="00F72EF1">
        <w:t>he current market cost of debt is considerably below the average market cost of debt over the past nine years</w:t>
      </w:r>
      <w:r>
        <w:t>. As such, in current circumstances</w:t>
      </w:r>
      <w:r w:rsidRPr="00F72EF1">
        <w:t xml:space="preserve">, an immediate transition would lead to an excess positive return relative to the efficient return in the market. All else being equal, this will result in a material increase in the present value of a benchmark efficient entity's </w:t>
      </w:r>
      <w:r>
        <w:t>allowed</w:t>
      </w:r>
      <w:r w:rsidRPr="00F72EF1">
        <w:t xml:space="preserve"> revenues </w:t>
      </w:r>
      <w:r>
        <w:t>relative to its expected efficient costs</w:t>
      </w:r>
      <w:r w:rsidRPr="00F72EF1">
        <w:t xml:space="preserve"> to a value well above its RAB, thereby overcompensating it. Service providers </w:t>
      </w:r>
      <w:r>
        <w:t>have not submitted material that</w:t>
      </w:r>
      <w:r w:rsidRPr="00D152FC">
        <w:t xml:space="preserve"> </w:t>
      </w:r>
      <w:r>
        <w:t>satisfies</w:t>
      </w:r>
      <w:r w:rsidRPr="00D152FC">
        <w:t xml:space="preserve"> us that materially increasing the present value of their </w:t>
      </w:r>
      <w:r>
        <w:t xml:space="preserve">allowed </w:t>
      </w:r>
      <w:r w:rsidRPr="00D152FC">
        <w:t>revenues from the change in methodology would contribute to the achievement of the ARORO or be consistent with the NEL/NGL.</w:t>
      </w:r>
    </w:p>
    <w:p w:rsidR="007656EA" w:rsidRPr="00F72EF1" w:rsidRDefault="007656EA" w:rsidP="007656EA">
      <w:r>
        <w:t>It is worth noting that e</w:t>
      </w:r>
      <w:r w:rsidRPr="00F72EF1">
        <w:t>qually, the trend in interest rates</w:t>
      </w:r>
      <w:r>
        <w:t xml:space="preserve"> could have</w:t>
      </w:r>
      <w:r w:rsidRPr="00F72EF1">
        <w:t xml:space="preserve"> been reversed</w:t>
      </w:r>
      <w:r w:rsidRPr="00F72EF1">
        <w:rPr>
          <w:rStyle w:val="AERbody"/>
        </w:rPr>
        <w:t xml:space="preserve"> (that is, if we had moved from a low to high interest rate environment)</w:t>
      </w:r>
      <w:r>
        <w:t>. If this occurred,</w:t>
      </w:r>
      <w:r w:rsidRPr="00F72EF1">
        <w:t xml:space="preserve"> an immediate transition would have led to a material decrease in the present value of a benchmark efficient entity's </w:t>
      </w:r>
      <w:r>
        <w:t>allowed</w:t>
      </w:r>
      <w:r w:rsidRPr="00F72EF1">
        <w:t xml:space="preserve"> revenues relative to its </w:t>
      </w:r>
      <w:r>
        <w:t>expected efficient</w:t>
      </w:r>
      <w:r w:rsidRPr="00F72EF1">
        <w:t xml:space="preserve"> costs, thereby undercompensating it. That is, </w:t>
      </w:r>
      <w:r w:rsidRPr="00F72EF1">
        <w:rPr>
          <w:rStyle w:val="AERbody"/>
        </w:rPr>
        <w:t>the allowed return would have been below the efficient financing costs of a benchmark efficient entity.</w:t>
      </w:r>
      <w:r w:rsidRPr="00F72EF1">
        <w:t xml:space="preserve"> Neither outcome would achieve the ARORO and would not lead to efficient investment and use of infrastructure</w:t>
      </w:r>
      <w:r>
        <w:t>,</w:t>
      </w:r>
      <w:r w:rsidRPr="00F72EF1">
        <w:t xml:space="preserve"> </w:t>
      </w:r>
      <w:r w:rsidRPr="00F72EF1">
        <w:rPr>
          <w:rStyle w:val="AERbody"/>
        </w:rPr>
        <w:t>in the long term interest of consumers</w:t>
      </w:r>
      <w:r w:rsidRPr="00F72EF1">
        <w:t>.</w:t>
      </w:r>
      <w:r w:rsidRPr="00F72EF1">
        <w:rPr>
          <w:rStyle w:val="AERbody"/>
        </w:rPr>
        <w:t xml:space="preserve"> We explain this and show this mathematically in detail in </w:t>
      </w:r>
      <w:r w:rsidR="00391CC7" w:rsidRPr="00391CC7">
        <w:t xml:space="preserve">Appendix </w:t>
      </w:r>
      <w:r w:rsidR="00391CC7" w:rsidRPr="00391CC7">
        <w:fldChar w:fldCharType="begin"/>
      </w:r>
      <w:r w:rsidR="00391CC7" w:rsidRPr="00391CC7">
        <w:instrText xml:space="preserve"> REF _Ref451326987 \r \h </w:instrText>
      </w:r>
      <w:r w:rsidR="00391CC7" w:rsidRPr="00391CC7">
        <w:fldChar w:fldCharType="separate"/>
      </w:r>
      <w:r w:rsidR="001A023B">
        <w:t>H</w:t>
      </w:r>
      <w:r w:rsidR="00391CC7" w:rsidRPr="00391CC7">
        <w:fldChar w:fldCharType="end"/>
      </w:r>
      <w:r w:rsidRPr="00610804">
        <w:rPr>
          <w:rStyle w:val="AERbody"/>
        </w:rPr>
        <w:t>.</w:t>
      </w:r>
    </w:p>
    <w:p w:rsidR="007656EA" w:rsidRPr="009F3831" w:rsidRDefault="007656EA" w:rsidP="007656EA">
      <w:r>
        <w:t>Further, we consider that</w:t>
      </w:r>
      <w:r w:rsidRPr="009F3831">
        <w:t xml:space="preserve"> failing to implement a revenue neutral transition would undermine the ARORO and the NEL/NGL for the following reasons:</w:t>
      </w:r>
    </w:p>
    <w:p w:rsidR="007656EA" w:rsidRPr="007656EA" w:rsidRDefault="007656EA" w:rsidP="007656EA">
      <w:pPr>
        <w:pStyle w:val="AERbulletlistfirststyle"/>
      </w:pPr>
      <w:r>
        <w:t xml:space="preserve">The future return on debt allowance would have </w:t>
      </w:r>
      <w:r w:rsidRPr="007656EA">
        <w:t xml:space="preserve">a different present value if we switched methodologies to estimating the allowed return on debt without a transition. In </w:t>
      </w:r>
      <w:r w:rsidR="00391CC7" w:rsidRPr="00391CC7">
        <w:t xml:space="preserve">Appendix </w:t>
      </w:r>
      <w:r w:rsidR="00391CC7" w:rsidRPr="00391CC7">
        <w:fldChar w:fldCharType="begin"/>
      </w:r>
      <w:r w:rsidR="00391CC7" w:rsidRPr="00391CC7">
        <w:instrText xml:space="preserve"> REF _Ref451326987 \r \h </w:instrText>
      </w:r>
      <w:r w:rsidR="00391CC7" w:rsidRPr="00391CC7">
        <w:fldChar w:fldCharType="separate"/>
      </w:r>
      <w:r w:rsidR="001A023B">
        <w:t>H</w:t>
      </w:r>
      <w:r w:rsidR="00391CC7" w:rsidRPr="00391CC7">
        <w:fldChar w:fldCharType="end"/>
      </w:r>
      <w:r w:rsidRPr="007656EA">
        <w:t xml:space="preserve">, we establish that continuing the on-the-day approach would satisfy the ARORO. Given this, changing approaches must be revenue neutral or it would either over- or under-compensate a benchmark efficient entity for its efficient debt financing costs. We do not consider this outcome contributes to the achievement of the ARORO, NEO/NGO or RPPs. </w:t>
      </w:r>
    </w:p>
    <w:p w:rsidR="007656EA" w:rsidRPr="007656EA" w:rsidRDefault="007656EA" w:rsidP="007656EA">
      <w:pPr>
        <w:pStyle w:val="AERbulletlistfirststyle"/>
      </w:pPr>
      <w:r>
        <w:t>If switching to a trailing average approach is not revenue neutral, this would change the present value of a benchmark efficient entity's expected regulated cash flows compared to the value of the expected cash flows that would be consistent with the investor expectations when they invested (under the on-the-day approach). This may increase expected regulatory uncertainty. T</w:t>
      </w:r>
      <w:r w:rsidRPr="007656EA">
        <w:t>his may undermine confidence in the predictability of the regulatory arrangements and lead to an inefficient increase in financing costs (all else being equal).</w:t>
      </w:r>
      <w:r w:rsidRPr="007656EA">
        <w:rPr>
          <w:rStyle w:val="FootnoteReference"/>
        </w:rPr>
        <w:footnoteReference w:id="419"/>
      </w:r>
      <w:r w:rsidRPr="007656EA">
        <w:t xml:space="preserve"> This is consistent with SFG's advice to the AEMC that:</w:t>
      </w:r>
      <w:r w:rsidRPr="007656EA">
        <w:rPr>
          <w:rStyle w:val="FootnoteReference"/>
        </w:rPr>
        <w:footnoteReference w:id="420"/>
      </w:r>
    </w:p>
    <w:p w:rsidR="007656EA" w:rsidRPr="008D3474" w:rsidRDefault="007656EA" w:rsidP="007656EA">
      <w:pPr>
        <w:pStyle w:val="AERquote"/>
      </w:pPr>
      <w:r w:rsidRPr="00993131">
        <w:t>The lack of any transition arrangements in a setting whether the rule change exposes regulated businesses to risks that they did not previously face is likely to be viewed by the market for funds as a signal that a higher degree of regulatory risk should be p</w:t>
      </w:r>
      <w:r w:rsidRPr="008D3474">
        <w:t>riced into their provision of funds. Such an outcome is unlikely to be consistent with the NEO and RPP.</w:t>
      </w:r>
    </w:p>
    <w:p w:rsidR="007656EA" w:rsidRPr="007656EA" w:rsidRDefault="007656EA" w:rsidP="007656EA">
      <w:pPr>
        <w:pStyle w:val="AERbulletlistfirststyle"/>
      </w:pPr>
      <w:r>
        <w:t>I</w:t>
      </w:r>
      <w:r w:rsidRPr="007656EA">
        <w:t>ncentives on service providers to adopt efficient financing practices (and thereby minimise their long run cost of capital all else being equal) under the regulatory regime may be undermined.</w:t>
      </w:r>
      <w:r w:rsidRPr="007656EA">
        <w:rPr>
          <w:rStyle w:val="FootnoteReference"/>
        </w:rPr>
        <w:footnoteReference w:id="421"/>
      </w:r>
      <w:r w:rsidRPr="007656EA">
        <w:t xml:space="preserve"> For instance, by allowing service providers to bear the consequences (or reap the benefits) of their actions from prior access arrangement periods, this incentivises them to efficiently manage financial risk.</w:t>
      </w:r>
    </w:p>
    <w:p w:rsidR="007656EA" w:rsidRDefault="007656EA" w:rsidP="007656EA">
      <w:pPr>
        <w:pStyle w:val="HeadingItalic"/>
      </w:pPr>
      <w:r>
        <w:t>Hybrid transitions will not contribute to the achievement of the ARORO</w:t>
      </w:r>
    </w:p>
    <w:p w:rsidR="007656EA" w:rsidRDefault="007656EA" w:rsidP="007656EA">
      <w:pPr>
        <w:rPr>
          <w:rStyle w:val="AERbody"/>
        </w:rPr>
      </w:pPr>
      <w:r>
        <w:rPr>
          <w:rStyle w:val="AERbody"/>
        </w:rPr>
        <w:t xml:space="preserve">As </w:t>
      </w:r>
      <w:r>
        <w:rPr>
          <w:rStyle w:val="AERbody"/>
        </w:rPr>
        <w:fldChar w:fldCharType="begin"/>
      </w:r>
      <w:r>
        <w:rPr>
          <w:rStyle w:val="AERbody"/>
        </w:rPr>
        <w:instrText xml:space="preserve"> REF  _Ref451173841 \* Lower \h </w:instrText>
      </w:r>
      <w:r>
        <w:rPr>
          <w:rStyle w:val="AERbody"/>
        </w:rPr>
      </w:r>
      <w:r>
        <w:rPr>
          <w:rStyle w:val="AERbody"/>
        </w:rPr>
        <w:fldChar w:fldCharType="separate"/>
      </w:r>
      <w:r w:rsidR="001A023B">
        <w:t xml:space="preserve">table </w:t>
      </w:r>
      <w:r w:rsidR="001A023B">
        <w:rPr>
          <w:noProof/>
        </w:rPr>
        <w:t>3</w:t>
      </w:r>
      <w:r w:rsidR="001A023B">
        <w:noBreakHyphen/>
      </w:r>
      <w:r w:rsidR="001A023B">
        <w:rPr>
          <w:noProof/>
        </w:rPr>
        <w:t>11</w:t>
      </w:r>
      <w:r>
        <w:rPr>
          <w:rStyle w:val="AERbody"/>
        </w:rPr>
        <w:fldChar w:fldCharType="end"/>
      </w:r>
      <w:r>
        <w:rPr>
          <w:rStyle w:val="AERbody"/>
        </w:rPr>
        <w:t xml:space="preserve"> highlights, both hybrid transitions are effectively different combinations of a 'full transition' and 'no transition'. On the basis that a full transition contributes to the achievement of the ARORO and no transition fails to achieve this, then both hybrid transitions would fail to </w:t>
      </w:r>
      <w:r w:rsidRPr="0042237F">
        <w:rPr>
          <w:rStyle w:val="AERbody"/>
        </w:rPr>
        <w:t xml:space="preserve">achieve </w:t>
      </w:r>
      <w:r>
        <w:rPr>
          <w:rStyle w:val="AERbody"/>
        </w:rPr>
        <w:t xml:space="preserve">the ARORO. For this reason, our analysis above on why immediately moving to a trailing average approach will not contribute to the achievement of the ARORO also applies to the hybrid transitions that service providers have proposed. </w:t>
      </w:r>
    </w:p>
    <w:p w:rsidR="007656EA" w:rsidRDefault="007656EA" w:rsidP="00945AD4">
      <w:pPr>
        <w:pStyle w:val="Caption"/>
        <w:rPr>
          <w:rStyle w:val="AERbody"/>
        </w:rPr>
      </w:pPr>
      <w:bookmarkStart w:id="79" w:name="_Ref451173841"/>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11</w:t>
      </w:r>
      <w:r w:rsidR="00120312">
        <w:rPr>
          <w:noProof/>
        </w:rPr>
        <w:fldChar w:fldCharType="end"/>
      </w:r>
      <w:bookmarkEnd w:id="79"/>
      <w:r>
        <w:tab/>
        <w:t>Different transitions to a trailing average</w:t>
      </w:r>
    </w:p>
    <w:tbl>
      <w:tblPr>
        <w:tblStyle w:val="AERtable-text0"/>
        <w:tblW w:w="0" w:type="auto"/>
        <w:tblLook w:val="04A0" w:firstRow="1" w:lastRow="0" w:firstColumn="1" w:lastColumn="0" w:noHBand="0" w:noVBand="1"/>
      </w:tblPr>
      <w:tblGrid>
        <w:gridCol w:w="2556"/>
        <w:gridCol w:w="3089"/>
        <w:gridCol w:w="3048"/>
      </w:tblGrid>
      <w:tr w:rsidR="007656EA" w:rsidTr="0031325C">
        <w:trPr>
          <w:cnfStyle w:val="100000000000" w:firstRow="1" w:lastRow="0" w:firstColumn="0" w:lastColumn="0" w:oddVBand="0" w:evenVBand="0" w:oddHBand="0" w:evenHBand="0" w:firstRowFirstColumn="0" w:firstRowLastColumn="0" w:lastRowFirstColumn="0" w:lastRowLastColumn="0"/>
        </w:trPr>
        <w:tc>
          <w:tcPr>
            <w:tcW w:w="2556" w:type="dxa"/>
          </w:tcPr>
          <w:p w:rsidR="007656EA" w:rsidRDefault="007656EA" w:rsidP="00BB7AE6">
            <w:pPr>
              <w:keepNext/>
            </w:pPr>
            <w:r>
              <w:t>Form of transition</w:t>
            </w:r>
          </w:p>
        </w:tc>
        <w:tc>
          <w:tcPr>
            <w:tcW w:w="3089" w:type="dxa"/>
          </w:tcPr>
          <w:p w:rsidR="007656EA" w:rsidRPr="007656EA" w:rsidRDefault="007656EA" w:rsidP="00BB7AE6">
            <w:pPr>
              <w:keepNext/>
            </w:pPr>
            <w:r>
              <w:t>Revenue-neutral t</w:t>
            </w:r>
            <w:r w:rsidRPr="007656EA">
              <w:t>ransition by updating 10% per year over 10 years</w:t>
            </w:r>
          </w:p>
        </w:tc>
        <w:tc>
          <w:tcPr>
            <w:tcW w:w="3048" w:type="dxa"/>
          </w:tcPr>
          <w:p w:rsidR="007656EA" w:rsidRPr="007656EA" w:rsidRDefault="007656EA" w:rsidP="00BB7AE6">
            <w:pPr>
              <w:keepNext/>
            </w:pPr>
            <w:r>
              <w:t>Immediately move to a trailing average approach</w:t>
            </w:r>
          </w:p>
        </w:tc>
      </w:tr>
      <w:tr w:rsidR="007656EA" w:rsidTr="0031325C">
        <w:tc>
          <w:tcPr>
            <w:tcW w:w="2556" w:type="dxa"/>
          </w:tcPr>
          <w:p w:rsidR="007656EA" w:rsidRPr="007656EA" w:rsidRDefault="007656EA" w:rsidP="00BB7AE6">
            <w:pPr>
              <w:keepNext/>
            </w:pPr>
            <w:r>
              <w:t>Full transition</w:t>
            </w:r>
          </w:p>
        </w:tc>
        <w:tc>
          <w:tcPr>
            <w:tcW w:w="3089" w:type="dxa"/>
          </w:tcPr>
          <w:p w:rsidR="007656EA" w:rsidRPr="007656EA" w:rsidRDefault="007656EA" w:rsidP="00BB7AE6">
            <w:pPr>
              <w:keepNext/>
            </w:pPr>
            <w:r>
              <w:t>100% of base rate + DRP</w:t>
            </w:r>
          </w:p>
        </w:tc>
        <w:tc>
          <w:tcPr>
            <w:tcW w:w="3048" w:type="dxa"/>
          </w:tcPr>
          <w:p w:rsidR="007656EA" w:rsidRPr="007656EA" w:rsidRDefault="007656EA" w:rsidP="00BB7AE6">
            <w:pPr>
              <w:keepNext/>
            </w:pPr>
            <w:r>
              <w:t>-</w:t>
            </w:r>
          </w:p>
        </w:tc>
      </w:tr>
      <w:tr w:rsidR="007656EA" w:rsidTr="0031325C">
        <w:trPr>
          <w:cnfStyle w:val="000000010000" w:firstRow="0" w:lastRow="0" w:firstColumn="0" w:lastColumn="0" w:oddVBand="0" w:evenVBand="0" w:oddHBand="0" w:evenHBand="1" w:firstRowFirstColumn="0" w:firstRowLastColumn="0" w:lastRowFirstColumn="0" w:lastRowLastColumn="0"/>
        </w:trPr>
        <w:tc>
          <w:tcPr>
            <w:tcW w:w="2556" w:type="dxa"/>
          </w:tcPr>
          <w:p w:rsidR="007656EA" w:rsidRDefault="007656EA" w:rsidP="00BB7AE6">
            <w:pPr>
              <w:keepNext/>
            </w:pPr>
            <w:r>
              <w:t>Hybrid transition</w:t>
            </w:r>
          </w:p>
        </w:tc>
        <w:tc>
          <w:tcPr>
            <w:tcW w:w="3089" w:type="dxa"/>
          </w:tcPr>
          <w:p w:rsidR="007656EA" w:rsidRPr="007656EA" w:rsidRDefault="007656EA" w:rsidP="00BB7AE6">
            <w:pPr>
              <w:keepNext/>
            </w:pPr>
            <w:r>
              <w:t>100% of b</w:t>
            </w:r>
            <w:r w:rsidRPr="007656EA">
              <w:t xml:space="preserve">ase rate </w:t>
            </w:r>
          </w:p>
        </w:tc>
        <w:tc>
          <w:tcPr>
            <w:tcW w:w="3048" w:type="dxa"/>
          </w:tcPr>
          <w:p w:rsidR="007656EA" w:rsidRPr="00843751" w:rsidRDefault="007656EA" w:rsidP="00BB7AE6">
            <w:pPr>
              <w:keepNext/>
            </w:pPr>
            <w:r w:rsidRPr="00843751">
              <w:t>DRP</w:t>
            </w:r>
          </w:p>
        </w:tc>
      </w:tr>
      <w:tr w:rsidR="007656EA" w:rsidTr="0031325C">
        <w:tc>
          <w:tcPr>
            <w:tcW w:w="2556" w:type="dxa"/>
          </w:tcPr>
          <w:p w:rsidR="007656EA" w:rsidRDefault="007656EA" w:rsidP="00BB7AE6">
            <w:pPr>
              <w:keepNext/>
            </w:pPr>
            <w:r>
              <w:t>Hybrid transition under partial hedging</w:t>
            </w:r>
          </w:p>
        </w:tc>
        <w:tc>
          <w:tcPr>
            <w:tcW w:w="3089" w:type="dxa"/>
          </w:tcPr>
          <w:p w:rsidR="007656EA" w:rsidRPr="007656EA" w:rsidRDefault="007656EA" w:rsidP="00BB7AE6">
            <w:pPr>
              <w:keepNext/>
            </w:pPr>
            <w:r>
              <w:t>1/3 of b</w:t>
            </w:r>
            <w:r w:rsidRPr="007656EA">
              <w:t xml:space="preserve">ase rate </w:t>
            </w:r>
          </w:p>
        </w:tc>
        <w:tc>
          <w:tcPr>
            <w:tcW w:w="3048" w:type="dxa"/>
          </w:tcPr>
          <w:p w:rsidR="007656EA" w:rsidRPr="007656EA" w:rsidRDefault="007656EA" w:rsidP="00BB7AE6">
            <w:pPr>
              <w:keepNext/>
            </w:pPr>
            <w:r>
              <w:t>2/3 of b</w:t>
            </w:r>
            <w:r w:rsidRPr="007656EA">
              <w:t>ase rate + DRP</w:t>
            </w:r>
          </w:p>
        </w:tc>
      </w:tr>
      <w:tr w:rsidR="007656EA" w:rsidTr="0031325C">
        <w:trPr>
          <w:cnfStyle w:val="000000010000" w:firstRow="0" w:lastRow="0" w:firstColumn="0" w:lastColumn="0" w:oddVBand="0" w:evenVBand="0" w:oddHBand="0" w:evenHBand="1" w:firstRowFirstColumn="0" w:firstRowLastColumn="0" w:lastRowFirstColumn="0" w:lastRowLastColumn="0"/>
        </w:trPr>
        <w:tc>
          <w:tcPr>
            <w:tcW w:w="2556" w:type="dxa"/>
          </w:tcPr>
          <w:p w:rsidR="007656EA" w:rsidRDefault="007656EA" w:rsidP="00BB7AE6">
            <w:pPr>
              <w:keepNext/>
            </w:pPr>
            <w:r>
              <w:t>No transition</w:t>
            </w:r>
          </w:p>
        </w:tc>
        <w:tc>
          <w:tcPr>
            <w:tcW w:w="3089" w:type="dxa"/>
          </w:tcPr>
          <w:p w:rsidR="007656EA" w:rsidRPr="007656EA" w:rsidRDefault="007656EA" w:rsidP="00BB7AE6">
            <w:pPr>
              <w:keepNext/>
            </w:pPr>
            <w:r>
              <w:t>-</w:t>
            </w:r>
          </w:p>
        </w:tc>
        <w:tc>
          <w:tcPr>
            <w:tcW w:w="3048" w:type="dxa"/>
          </w:tcPr>
          <w:p w:rsidR="007656EA" w:rsidRPr="007656EA" w:rsidRDefault="007656EA" w:rsidP="00BB7AE6">
            <w:pPr>
              <w:keepNext/>
            </w:pPr>
            <w:r>
              <w:t>100% of b</w:t>
            </w:r>
            <w:r w:rsidRPr="007656EA">
              <w:t>ase rate + DRP</w:t>
            </w:r>
          </w:p>
        </w:tc>
      </w:tr>
    </w:tbl>
    <w:p w:rsidR="007656EA" w:rsidRDefault="007656EA" w:rsidP="00BB7AE6">
      <w:pPr>
        <w:pStyle w:val="AERtablesource"/>
        <w:keepNext/>
      </w:pPr>
      <w:r>
        <w:t>Source: AER analysis.</w:t>
      </w:r>
    </w:p>
    <w:p w:rsidR="007656EA" w:rsidRPr="00785554" w:rsidRDefault="007656EA" w:rsidP="007656EA">
      <w:r>
        <w:t xml:space="preserve">For clarity, we also emphasise why the logic underpinning the use of </w:t>
      </w:r>
      <w:r w:rsidRPr="00785554">
        <w:t>a hybrid transition is problematic. By basing service providers' debt allowance on a 10 year historical DRP, a hybrid transition effectively removes realised losses or gains from interest rate risk that they had previously borne. This reasoning also applies to an immediate transition.</w:t>
      </w:r>
    </w:p>
    <w:p w:rsidR="007656EA" w:rsidRPr="00785554" w:rsidRDefault="007656EA" w:rsidP="007656EA">
      <w:r>
        <w:t>As the services providers operate under an ex-ante regulatory regime, we consider the ARORO requires us to provide ex-ante efficient compensation. This does not entail compensating</w:t>
      </w:r>
      <w:r w:rsidRPr="00785554">
        <w:t xml:space="preserve"> for historically incurred costs. That would be cost of service regulation, not incentive regulation. Investors have invested accepting the interest rate risk from the on-the-day approach, and we have already appropriately compensated service providers for bearing this risk. For both reasons, removing the outcomes of this risk ex-post would not contribute to the achievement of the ARORO.</w:t>
      </w:r>
      <w:r w:rsidRPr="00785554">
        <w:rPr>
          <w:rStyle w:val="FootnoteReference"/>
        </w:rPr>
        <w:footnoteReference w:id="422"/>
      </w:r>
      <w:r w:rsidRPr="00785554">
        <w:t xml:space="preserve">  </w:t>
      </w:r>
    </w:p>
    <w:p w:rsidR="007656EA" w:rsidRPr="00785554" w:rsidRDefault="007656EA" w:rsidP="007656EA">
      <w:r>
        <w:t xml:space="preserve">Further, we </w:t>
      </w:r>
      <w:r w:rsidRPr="00785554">
        <w:t>consider that we have appropriately compensated investors for the risks they faced when we set the allowed return on debt using the on-the-day approach. This is because:</w:t>
      </w:r>
    </w:p>
    <w:p w:rsidR="007656EA" w:rsidRPr="007656EA" w:rsidRDefault="007656EA" w:rsidP="007656EA">
      <w:pPr>
        <w:pStyle w:val="AERbulletlistfirststyle"/>
      </w:pPr>
      <w:r>
        <w:t xml:space="preserve">We have set the allowed return on debt using the on-the-day approach </w:t>
      </w:r>
      <w:r w:rsidRPr="007656EA">
        <w:t>for many years.</w:t>
      </w:r>
      <w:r w:rsidRPr="007656EA">
        <w:rPr>
          <w:rStyle w:val="FootnoteReference"/>
        </w:rPr>
        <w:footnoteReference w:id="423"/>
      </w:r>
      <w:r w:rsidRPr="007656EA">
        <w:t xml:space="preserve"> As such, when we applied the on-the-day approach, investors in a benchmark efficient entity would have expected us to reset the return on debt at the start of each access arrangement period and accepted any risks associated with this approach. When we proposed moving to a trailing average in the Guideline, this proposal was contingent on applying a transition so that the value of the firm aligned with previous investor expectations under the on-the-day regime.</w:t>
      </w:r>
    </w:p>
    <w:p w:rsidR="007656EA" w:rsidRPr="007656EA" w:rsidRDefault="007656EA" w:rsidP="007656EA">
      <w:pPr>
        <w:pStyle w:val="AERbulletlistfirststyle"/>
      </w:pPr>
      <w:r>
        <w:t>We benchmark the allowed rate of return (which requires consistently benchmarking the return on debt, return on equity and gearing) on observed data from service providers comparable to a benchmark efficient entity operating under an on-the-day approach. Therefore, the allowed rate of return should be commensurate with the efficient financing costs of a benchmark efficient entity with a similar degree of risk as a regulated service provider operating under this approach.</w:t>
      </w:r>
      <w:r w:rsidRPr="007656EA">
        <w:rPr>
          <w:rStyle w:val="FootnoteReference"/>
        </w:rPr>
        <w:footnoteReference w:id="424"/>
      </w:r>
    </w:p>
    <w:p w:rsidR="007656EA" w:rsidRDefault="007656EA" w:rsidP="007656EA">
      <w:r>
        <w:rPr>
          <w:rStyle w:val="AERbody"/>
        </w:rPr>
        <w:t>Further, regarding the reasoning put forward for a hybrid transition under</w:t>
      </w:r>
      <w:r>
        <w:t xml:space="preserve"> partial hedging, w</w:t>
      </w:r>
      <w:r w:rsidRPr="009F377E">
        <w:t>e consider a full transition necessary to satisfy the ARORO and NEO/NGO even if firms partially hedged</w:t>
      </w:r>
      <w:r>
        <w:t xml:space="preserve">. </w:t>
      </w:r>
      <w:r w:rsidRPr="009F377E">
        <w:t xml:space="preserve">It is also worth noting that service providers did not appear to hold the view </w:t>
      </w:r>
      <w:r>
        <w:t xml:space="preserve">that hedging one third of the base rate was optimal </w:t>
      </w:r>
      <w:r w:rsidRPr="009F377E">
        <w:t>ex-ante because they appeared to have hedged nearly their entire base rate in practice.</w:t>
      </w:r>
      <w:r w:rsidRPr="009F377E">
        <w:rPr>
          <w:rStyle w:val="FootnoteReference"/>
        </w:rPr>
        <w:footnoteReference w:id="425"/>
      </w:r>
    </w:p>
    <w:p w:rsidR="007656EA" w:rsidRDefault="007656EA" w:rsidP="007656EA">
      <w:pPr>
        <w:pStyle w:val="HeadingBoldItalic"/>
      </w:pPr>
      <w:r>
        <w:t>General problems with using approaches based on historical data</w:t>
      </w:r>
    </w:p>
    <w:p w:rsidR="007656EA" w:rsidRPr="009F3831" w:rsidRDefault="007656EA" w:rsidP="007656EA">
      <w:r>
        <w:t>Both the immediate and hybrid forms of transition to the trailing average rely on using historical data</w:t>
      </w:r>
      <w:r w:rsidRPr="009F3831">
        <w:t xml:space="preserve"> to estimate the allowed return on debt. We consider this has the following problems:</w:t>
      </w:r>
    </w:p>
    <w:p w:rsidR="007656EA" w:rsidRPr="007656EA" w:rsidRDefault="007656EA" w:rsidP="007656EA">
      <w:pPr>
        <w:pStyle w:val="AERbulletlistfirststyle"/>
      </w:pPr>
      <w:r>
        <w:t xml:space="preserve">All of these transition paths would produce a return on debt allowance that effectively removes </w:t>
      </w:r>
      <w:r w:rsidRPr="007656EA">
        <w:t xml:space="preserve">interest rate risk (to at least some extent) incurred in prior access arrangement periods. A benchmark efficient entity was required to bear and manage this risk under the on-the-day approach. As such, these transition paths alter the service providers' historic risk profiles </w:t>
      </w:r>
      <w:r w:rsidRPr="007656EA">
        <w:rPr>
          <w:rStyle w:val="AERtextunderline"/>
        </w:rPr>
        <w:t>after</w:t>
      </w:r>
      <w:r w:rsidRPr="007656EA">
        <w:t xml:space="preserve"> they have made decisions on how to manage their financial risk.</w:t>
      </w:r>
    </w:p>
    <w:p w:rsidR="007656EA" w:rsidRPr="007656EA" w:rsidRDefault="007656EA" w:rsidP="007656EA">
      <w:pPr>
        <w:pStyle w:val="AERbulletlistfirststyle"/>
      </w:pPr>
      <w:r>
        <w:t>C</w:t>
      </w:r>
      <w:r w:rsidRPr="007656EA">
        <w:t>hoosing an approach that uses historical data after parties already know the results of that historical data has the potential to bias regulatory decisions. In our recent draft decisions, we explained that when parties (whether they be service providers, the Tribunal, or ourselves) choose historical averaging periods, the knowledge of the return on debt at any past point may influence the choice.</w:t>
      </w:r>
      <w:r w:rsidRPr="007656EA">
        <w:rPr>
          <w:rStyle w:val="FootnoteReference"/>
        </w:rPr>
        <w:footnoteReference w:id="426"/>
      </w:r>
      <w:r w:rsidRPr="007656EA">
        <w:t xml:space="preserve"> For example, if a service provider could select an averaging period by looking at historical yields, it could introduce an upward bias.</w:t>
      </w:r>
      <w:r w:rsidRPr="007656EA">
        <w:rPr>
          <w:rStyle w:val="AERsuperscript"/>
        </w:rPr>
        <w:footnoteReference w:id="427"/>
      </w:r>
      <w:r w:rsidRPr="007656EA">
        <w:t xml:space="preserve"> This is one of  the reasons why, when recommending a gradual transition into the trailing average approach, QTC stated:</w:t>
      </w:r>
      <w:r w:rsidR="002E06FB" w:rsidRPr="0027558F">
        <w:rPr>
          <w:rStyle w:val="AERsuperscript"/>
        </w:rPr>
        <w:footnoteReference w:id="428"/>
      </w:r>
    </w:p>
    <w:p w:rsidR="007656EA" w:rsidRPr="0027558F" w:rsidRDefault="007656EA" w:rsidP="007656EA">
      <w:pPr>
        <w:pStyle w:val="AERquote"/>
        <w:rPr>
          <w:rStyle w:val="AERsuperscript"/>
        </w:rPr>
      </w:pPr>
      <w:r w:rsidRPr="006451AF">
        <w:t>The transitional rule ensures that the NSP is not able to receive a higher initial rate simply by electing to use the moving average approach. It also avoids the need to reach agreement on the return on debt calculation for each of the preceding nine years</w:t>
      </w:r>
      <w:r w:rsidRPr="0027558F">
        <w:rPr>
          <w:rStyle w:val="AERsuperscript"/>
        </w:rPr>
        <w:t>.</w:t>
      </w:r>
    </w:p>
    <w:p w:rsidR="007656EA" w:rsidRDefault="007656EA" w:rsidP="007656EA">
      <w:r>
        <w:t>In our draft decision, we observed there are practical problems with using historical data dating back nine years.</w:t>
      </w:r>
      <w:r>
        <w:rPr>
          <w:rStyle w:val="FootnoteReference"/>
        </w:rPr>
        <w:footnoteReference w:id="429"/>
      </w:r>
      <w:r>
        <w:t xml:space="preserve"> In particular,</w:t>
      </w:r>
      <w:r w:rsidRPr="00756A0D">
        <w:t xml:space="preserve"> </w:t>
      </w:r>
      <w:r>
        <w:t>high quality and readily available historical data is unavailable for the DRP component of the return on debt.</w:t>
      </w:r>
      <w:r>
        <w:rPr>
          <w:rStyle w:val="FootnoteReference"/>
        </w:rPr>
        <w:footnoteReference w:id="430"/>
      </w:r>
      <w:r w:rsidRPr="00756A0D">
        <w:t xml:space="preserve"> </w:t>
      </w:r>
      <w:r>
        <w:t>There</w:t>
      </w:r>
      <w:r w:rsidRPr="00756A0D">
        <w:t xml:space="preserve"> is </w:t>
      </w:r>
      <w:r>
        <w:t xml:space="preserve">also </w:t>
      </w:r>
      <w:r w:rsidRPr="00756A0D">
        <w:t xml:space="preserve">no consensus among service providers on how to estimate the historical </w:t>
      </w:r>
      <w:r w:rsidR="00A27A77">
        <w:t>DRP</w:t>
      </w:r>
      <w:r w:rsidRPr="00756A0D">
        <w:t>.</w:t>
      </w:r>
      <w:r>
        <w:t xml:space="preserve"> Moreover, the </w:t>
      </w:r>
      <w:r w:rsidRPr="00756A0D">
        <w:t>results of the different data series vary considerably</w:t>
      </w:r>
      <w:r>
        <w:t xml:space="preserve"> with Lally observing:</w:t>
      </w:r>
      <w:r>
        <w:rPr>
          <w:rStyle w:val="FootnoteReference"/>
        </w:rPr>
        <w:footnoteReference w:id="431"/>
      </w:r>
    </w:p>
    <w:p w:rsidR="007656EA" w:rsidRDefault="007656EA" w:rsidP="007656EA">
      <w:pPr>
        <w:pStyle w:val="AERquote"/>
      </w:pPr>
      <w:r w:rsidRPr="00756A0D">
        <w:t>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737E50" w:rsidRDefault="00737E50" w:rsidP="00737E50">
      <w:pPr>
        <w:pStyle w:val="HeadingBoldBlue"/>
      </w:pPr>
      <w:r>
        <w:t>Implementing the return on debt approach</w:t>
      </w:r>
    </w:p>
    <w:p w:rsidR="008B6DB4" w:rsidRDefault="008B6DB4" w:rsidP="008B6DB4">
      <w:r>
        <w:t>In the previous section, we set out our approach to estimating the allowed return on debt. This approach involves estimating an on-the-day rate (</w:t>
      </w:r>
      <w:r w:rsidR="008E2F52">
        <w:t>that is,</w:t>
      </w:r>
      <w:r>
        <w:t xml:space="preserve"> based on prevailing market conditions) in the first regulatory year of the new period. It also involves gradually transitioning this rate into a trailing average approach (</w:t>
      </w:r>
      <w:r w:rsidR="008E2F52">
        <w:t>that is,</w:t>
      </w:r>
      <w:r>
        <w:t xml:space="preserve"> a moving historical average) over 10 years. This gradual transition will occur through updating 10 per cent of the allowed return on debt each year to reflect prevailing market conditions during the particular service provider's averaging period for that year.</w:t>
      </w:r>
    </w:p>
    <w:p w:rsidR="008B6DB4" w:rsidRDefault="008B6DB4" w:rsidP="008B6DB4">
      <w:r>
        <w:t>In this section, we set out our considerations on the implementation issues associated with estimating the allowed return on debt approach. These issues are:</w:t>
      </w:r>
    </w:p>
    <w:p w:rsidR="008B6DB4" w:rsidRPr="008B6DB4" w:rsidRDefault="008B6DB4" w:rsidP="008B6DB4">
      <w:pPr>
        <w:pStyle w:val="AERbulletlistfirststyle"/>
      </w:pPr>
      <w:r>
        <w:t>the term of debt issued by a benchmark efficient entity</w:t>
      </w:r>
    </w:p>
    <w:p w:rsidR="008B6DB4" w:rsidRPr="008B6DB4" w:rsidRDefault="008B6DB4" w:rsidP="008B6DB4">
      <w:pPr>
        <w:pStyle w:val="AERbulletlistfirststyle"/>
      </w:pPr>
      <w:r>
        <w:t>the credit rating of a benchmark efficient entity</w:t>
      </w:r>
    </w:p>
    <w:p w:rsidR="008B6DB4" w:rsidRPr="008B6DB4" w:rsidRDefault="008B6DB4" w:rsidP="008B6DB4">
      <w:pPr>
        <w:pStyle w:val="AERbulletlistfirststyle"/>
      </w:pPr>
      <w:r>
        <w:t>whether to use an independent third party data series or to construct our own data series (for example, based on an index of actual industry borrowing costs)</w:t>
      </w:r>
    </w:p>
    <w:p w:rsidR="008B6DB4" w:rsidRPr="008B6DB4" w:rsidRDefault="008B6DB4" w:rsidP="008B6DB4">
      <w:pPr>
        <w:pStyle w:val="AERbulletlistfirststyle"/>
      </w:pPr>
      <w:r>
        <w:t>the choice of third party data series (or combination of data series) to estimate the efficient debt financing costs of a benchmark efficient entity, based on the benchmark debt term and benchmark credit rating</w:t>
      </w:r>
    </w:p>
    <w:p w:rsidR="008B6DB4" w:rsidRPr="008B6DB4" w:rsidRDefault="008B6DB4" w:rsidP="008B6DB4">
      <w:pPr>
        <w:pStyle w:val="AERbulletlistfirststyle"/>
      </w:pPr>
      <w:r>
        <w:t>extrapolation and interpolation issues with adjusting our choice of data series</w:t>
      </w:r>
    </w:p>
    <w:p w:rsidR="008B6DB4" w:rsidRDefault="008B6DB4" w:rsidP="008B6DB4">
      <w:pPr>
        <w:pStyle w:val="AERbulletlistfirststyle"/>
      </w:pPr>
      <w:r>
        <w:t xml:space="preserve">contingencies associated with implementing our choice of data series, if the data series we have chosen to estimate the return on debt are unavailable or change in future regulatory years during the </w:t>
      </w:r>
      <w:r w:rsidR="00FD4991">
        <w:t>access arrangement</w:t>
      </w:r>
      <w:r>
        <w:t xml:space="preserve"> period</w:t>
      </w:r>
    </w:p>
    <w:p w:rsidR="00391CC7" w:rsidRPr="008B6DB4" w:rsidRDefault="00391CC7" w:rsidP="008B6DB4">
      <w:pPr>
        <w:pStyle w:val="AERbulletlistfirststyle"/>
      </w:pPr>
      <w:r>
        <w:t>the new issue premium</w:t>
      </w:r>
    </w:p>
    <w:p w:rsidR="008B6DB4" w:rsidRPr="008B6DB4" w:rsidRDefault="008B6DB4" w:rsidP="008B6DB4">
      <w:pPr>
        <w:pStyle w:val="AERbulletlistfirststyle"/>
      </w:pPr>
      <w:r>
        <w:t>the averaging period used to estimate the return on debt for each regulatory year</w:t>
      </w:r>
    </w:p>
    <w:p w:rsidR="008B6DB4" w:rsidRPr="008B6DB4" w:rsidRDefault="008B6DB4" w:rsidP="008B6DB4">
      <w:pPr>
        <w:pStyle w:val="AERbulletlistfirststyle"/>
      </w:pPr>
      <w:r>
        <w:t>the annual process to update the return on debt</w:t>
      </w:r>
      <w:r w:rsidR="00391CC7">
        <w:t>.</w:t>
      </w:r>
    </w:p>
    <w:p w:rsidR="008B6DB4" w:rsidRDefault="008B6DB4" w:rsidP="008B6DB4">
      <w:r>
        <w:t>Consistent with the Guideline, we are satisfied that a return on debt estimated based on a 10 year benchmark debt term, BBB+ benchmark credit rating, and using an independent third party data series is commensurate with the efficient financing costs of a benchmark efficient entity.</w:t>
      </w:r>
    </w:p>
    <w:p w:rsidR="008B6DB4" w:rsidRDefault="008B6DB4" w:rsidP="008B6DB4">
      <w:r>
        <w:t xml:space="preserve">In choosing that third party series (or combination of series), we are satisfied that adopting a simple average of the broad BBB rated </w:t>
      </w:r>
      <w:r w:rsidR="00536B64">
        <w:t>RBA</w:t>
      </w:r>
      <w:r>
        <w:t xml:space="preserve"> and Bloomberg Valuation Service (BVAL) curves, with the RBA data series extrapolated to a 10 year term, is commensurate with the efficient financing costs of a benchmark efficient entity.</w:t>
      </w:r>
    </w:p>
    <w:p w:rsidR="008B6DB4" w:rsidRDefault="008B6DB4" w:rsidP="008B6DB4">
      <w:pPr>
        <w:pStyle w:val="HeadingBoldItalic"/>
      </w:pPr>
      <w:r>
        <w:t>Term</w:t>
      </w:r>
    </w:p>
    <w:p w:rsidR="00E64331" w:rsidRPr="001B05B2" w:rsidRDefault="00E64331" w:rsidP="00E64331">
      <w:r w:rsidRPr="001B05B2">
        <w:t xml:space="preserve">Our decision is to adopt a ten year term for the return on debt. This is </w:t>
      </w:r>
      <w:r>
        <w:t xml:space="preserve">consistent with </w:t>
      </w:r>
      <w:r w:rsidRPr="001B05B2">
        <w:t xml:space="preserve">the </w:t>
      </w:r>
      <w:r>
        <w:t>G</w:t>
      </w:r>
      <w:r w:rsidRPr="001B05B2">
        <w:t>uideline.</w:t>
      </w:r>
      <w:r>
        <w:rPr>
          <w:rStyle w:val="FootnoteReference"/>
        </w:rPr>
        <w:footnoteReference w:id="432"/>
      </w:r>
      <w:r>
        <w:t xml:space="preserve"> This is also the position we adopted in our draft decision for ActewAGL.</w:t>
      </w:r>
      <w:r>
        <w:rPr>
          <w:rStyle w:val="FootnoteReference"/>
        </w:rPr>
        <w:footnoteReference w:id="433"/>
      </w:r>
    </w:p>
    <w:p w:rsidR="00E64331" w:rsidRDefault="00E64331" w:rsidP="00E64331">
      <w:r w:rsidRPr="001B05B2">
        <w:t xml:space="preserve">All service providers </w:t>
      </w:r>
      <w:r>
        <w:t>with revised proposals currently before us</w:t>
      </w:r>
      <w:r w:rsidRPr="001B05B2">
        <w:t xml:space="preserve"> propose</w:t>
      </w:r>
      <w:r>
        <w:t>d</w:t>
      </w:r>
      <w:r w:rsidRPr="001B05B2">
        <w:t xml:space="preserve"> a ten y</w:t>
      </w:r>
      <w:r>
        <w:t>ear term for the return on debt.</w:t>
      </w:r>
      <w:r>
        <w:rPr>
          <w:rStyle w:val="FootnoteReference"/>
        </w:rPr>
        <w:footnoteReference w:id="434"/>
      </w:r>
      <w:r>
        <w:t xml:space="preserve"> This is consistent with their initial regulatory proposals</w:t>
      </w:r>
      <w:r w:rsidRPr="001B05B2">
        <w:t>.</w:t>
      </w:r>
      <w:r>
        <w:rPr>
          <w:rStyle w:val="FootnoteReference"/>
        </w:rPr>
        <w:footnoteReference w:id="435"/>
      </w:r>
      <w:r w:rsidRPr="001B05B2">
        <w:t xml:space="preserve"> This position is also consisten</w:t>
      </w:r>
      <w:r>
        <w:t>t with advice from NERA and CEG (commissioned by service providers in recent regulatory processes)</w:t>
      </w:r>
      <w:r w:rsidRPr="001B05B2">
        <w:t>.</w:t>
      </w:r>
      <w:r>
        <w:rPr>
          <w:rStyle w:val="FootnoteReference"/>
        </w:rPr>
        <w:footnoteReference w:id="436"/>
      </w:r>
    </w:p>
    <w:p w:rsidR="00E64331" w:rsidRDefault="00E64331" w:rsidP="00E64331">
      <w:r>
        <w:t>However, the Consumer Challenge Panel (CCP) has submitted that a seven year term is more suitable given our evidence on the weighted average bond tenor of service providers.</w:t>
      </w:r>
      <w:r>
        <w:rPr>
          <w:rStyle w:val="FootnoteReference"/>
        </w:rPr>
        <w:footnoteReference w:id="437"/>
      </w:r>
      <w:r>
        <w:t xml:space="preserve"> Recently, CCP subpanel three (CCP3) characterised this as one 'conservative decision' in a </w:t>
      </w:r>
      <w:r w:rsidRPr="00717FF1">
        <w:t>s</w:t>
      </w:r>
      <w:r>
        <w:t>eries of conservative decisions that would have the cumulative effect of a consistently overestimating the allowed rate of return.</w:t>
      </w:r>
      <w:r>
        <w:rPr>
          <w:rStyle w:val="FootnoteReference"/>
        </w:rPr>
        <w:footnoteReference w:id="438"/>
      </w:r>
      <w:r>
        <w:t xml:space="preserve"> Our view on this submission is:</w:t>
      </w:r>
    </w:p>
    <w:p w:rsidR="00E64331" w:rsidRDefault="00E64331" w:rsidP="00E64331">
      <w:pPr>
        <w:pStyle w:val="AERbulletlistfirststyle"/>
      </w:pPr>
      <w:r>
        <w:t>We agree that our decision to adopt a 10 year term for the return on debt could be characterised as 'conservative' given this</w:t>
      </w:r>
      <w:r w:rsidRPr="001B05B2">
        <w:t xml:space="preserve"> </w:t>
      </w:r>
      <w:r>
        <w:t>i</w:t>
      </w:r>
      <w:r w:rsidRPr="001B05B2">
        <w:t>s more likely to overstate</w:t>
      </w:r>
      <w:r>
        <w:t xml:space="preserve"> rather</w:t>
      </w:r>
      <w:r w:rsidRPr="001B05B2">
        <w:t xml:space="preserve"> than understate the debt term o</w:t>
      </w:r>
      <w:r>
        <w:t>f a benchmark efficient entity.</w:t>
      </w:r>
      <w:r>
        <w:rPr>
          <w:rStyle w:val="FootnoteReference"/>
        </w:rPr>
        <w:footnoteReference w:id="439"/>
      </w:r>
      <w:r w:rsidRPr="00717FF1">
        <w:t xml:space="preserve"> </w:t>
      </w:r>
      <w:r>
        <w:t>It is worth noting that</w:t>
      </w:r>
      <w:r w:rsidRPr="000239AB">
        <w:t xml:space="preserve"> some service providers have previously submitted that they did not agree this assessment.</w:t>
      </w:r>
      <w:r w:rsidRPr="000239AB">
        <w:rPr>
          <w:rStyle w:val="FootnoteReference"/>
        </w:rPr>
        <w:footnoteReference w:id="440"/>
      </w:r>
      <w:r w:rsidRPr="000239AB">
        <w:t xml:space="preserve"> We responded to these submissions in our most recent </w:t>
      </w:r>
      <w:r>
        <w:t>draft</w:t>
      </w:r>
      <w:r w:rsidRPr="000239AB">
        <w:t xml:space="preserve"> decisions</w:t>
      </w:r>
      <w:r w:rsidRPr="00F035A0">
        <w:t xml:space="preserve"> </w:t>
      </w:r>
      <w:r>
        <w:t>and reinforced our finding that the</w:t>
      </w:r>
      <w:r w:rsidRPr="000239AB">
        <w:t xml:space="preserve"> industry average term</w:t>
      </w:r>
      <w:r>
        <w:t xml:space="preserve"> for the return on debt is 8.7 years</w:t>
      </w:r>
      <w:r w:rsidRPr="000239AB">
        <w:t>.</w:t>
      </w:r>
      <w:r w:rsidRPr="000239AB">
        <w:rPr>
          <w:rStyle w:val="FootnoteReference"/>
        </w:rPr>
        <w:footnoteReference w:id="441"/>
      </w:r>
      <w:r>
        <w:t xml:space="preserve"> While several of the revised proposals </w:t>
      </w:r>
      <w:r w:rsidRPr="000239AB">
        <w:t>current</w:t>
      </w:r>
      <w:r>
        <w:t>ly</w:t>
      </w:r>
      <w:r w:rsidRPr="000239AB">
        <w:t xml:space="preserve"> before us</w:t>
      </w:r>
      <w:r>
        <w:t xml:space="preserve"> reiterated this disagreement, these did not provide new</w:t>
      </w:r>
      <w:r w:rsidRPr="000239AB">
        <w:t xml:space="preserve"> </w:t>
      </w:r>
      <w:r>
        <w:t xml:space="preserve">supporting </w:t>
      </w:r>
      <w:r w:rsidRPr="000239AB">
        <w:t>information</w:t>
      </w:r>
      <w:r>
        <w:t>.</w:t>
      </w:r>
      <w:r w:rsidRPr="000239AB">
        <w:rPr>
          <w:rStyle w:val="FootnoteReference"/>
        </w:rPr>
        <w:footnoteReference w:id="442"/>
      </w:r>
      <w:r w:rsidRPr="000239AB">
        <w:t xml:space="preserve"> As such, we have no re</w:t>
      </w:r>
      <w:r>
        <w:t xml:space="preserve">ason to depart from our positon or reasons in </w:t>
      </w:r>
      <w:r w:rsidRPr="000239AB">
        <w:t xml:space="preserve">our most recent </w:t>
      </w:r>
      <w:r>
        <w:t>draft</w:t>
      </w:r>
      <w:r w:rsidRPr="000239AB">
        <w:t xml:space="preserve"> decisions.</w:t>
      </w:r>
    </w:p>
    <w:p w:rsidR="00E64331" w:rsidRDefault="00E64331" w:rsidP="00E64331">
      <w:pPr>
        <w:pStyle w:val="AERbulletlistfirststyle"/>
      </w:pPr>
      <w:r>
        <w:t>We do not agree that our decision has the cumulative effect of a consistently overestimating the allowed rate of return. We are cognisant that the overall rate of return must be determined such that it achieves the ARORO.</w:t>
      </w:r>
      <w:r>
        <w:rPr>
          <w:rStyle w:val="FootnoteReference"/>
        </w:rPr>
        <w:footnoteReference w:id="443"/>
      </w:r>
      <w:r>
        <w:t xml:space="preserve"> As such, in forming this decision, we have considered the allowed rate of return holistically and have taken into account interrelationships between parameters (see section 3.6.3). Having done this, we are satisfied that our allowed rate of return achieves the ARORO.</w:t>
      </w:r>
    </w:p>
    <w:p w:rsidR="00E64331" w:rsidRPr="001B05B2" w:rsidRDefault="00E64331" w:rsidP="00E64331">
      <w:r>
        <w:t>We</w:t>
      </w:r>
      <w:r w:rsidRPr="001B05B2">
        <w:t xml:space="preserve"> are satisfied that </w:t>
      </w:r>
      <w:r>
        <w:t>measuring the allowed return on debt by reference to a 10</w:t>
      </w:r>
      <w:r w:rsidRPr="001B05B2">
        <w:t xml:space="preserve"> year </w:t>
      </w:r>
      <w:r>
        <w:t xml:space="preserve">benchmark term is commensurate with </w:t>
      </w:r>
      <w:r w:rsidRPr="001B05B2">
        <w:t xml:space="preserve">the efficient </w:t>
      </w:r>
      <w:r>
        <w:t xml:space="preserve">financing </w:t>
      </w:r>
      <w:r w:rsidRPr="001B05B2">
        <w:t>costs o</w:t>
      </w:r>
      <w:r>
        <w:t>f a benchmark efficient entity. Our</w:t>
      </w:r>
      <w:r w:rsidRPr="001B05B2">
        <w:t xml:space="preserve"> reasons for </w:t>
      </w:r>
      <w:r>
        <w:t>adopting a 10 year benchmark debt term are</w:t>
      </w:r>
      <w:r w:rsidRPr="001B05B2">
        <w:t>:</w:t>
      </w:r>
    </w:p>
    <w:p w:rsidR="00E64331" w:rsidRPr="00830DB6" w:rsidRDefault="00E64331" w:rsidP="00E64331">
      <w:pPr>
        <w:pStyle w:val="AERbulletlistfirststyle"/>
      </w:pPr>
      <w:r w:rsidRPr="001B05B2">
        <w:t xml:space="preserve">A long debt tenor is consistent with the long lived assets of </w:t>
      </w:r>
      <w:r w:rsidRPr="00830DB6">
        <w:t>a benchmark efficient entity and reduces refinancing risk.</w:t>
      </w:r>
    </w:p>
    <w:p w:rsidR="00E64331" w:rsidRPr="00830DB6" w:rsidRDefault="00E64331" w:rsidP="00E64331">
      <w:pPr>
        <w:pStyle w:val="AERbulletlistfirststyle"/>
      </w:pPr>
      <w:r w:rsidRPr="001B05B2">
        <w:t>A 10 year term is similar to (though somewhat longer than) the industry average term at issuance of a sample of firms that are comparable to the benchmark efficient entity.</w:t>
      </w:r>
    </w:p>
    <w:p w:rsidR="00E64331" w:rsidRPr="001B05B2" w:rsidRDefault="00E64331" w:rsidP="00E64331">
      <w:r w:rsidRPr="001B05B2">
        <w:t xml:space="preserve">Regulated network assets are long lived, and have asset lives that are longer than the terms commonly available for debt. Refinancing risk is the risk that a firm would not be able to </w:t>
      </w:r>
      <w:r>
        <w:t>re</w:t>
      </w:r>
      <w:r w:rsidRPr="001B05B2">
        <w:t xml:space="preserve">finance its debt at a given point in time due to this mismatch in terms. While conceptually we agree that businesses will seek to issue longer term debt to lower their refinancing risk, generally the cost of long term debt is higher than shorter term debt. This is because debt holders require compensation for the risks associated with holding debt over a longer time period. We consider a benchmark efficient entity would have regard to the trade-off between the higher cost of long term debt and the risk associated with refinancing and structure their debt holdings accordingly. Overall, these considerations suggest the average debt term of </w:t>
      </w:r>
      <w:r>
        <w:t>a</w:t>
      </w:r>
      <w:r w:rsidRPr="001B05B2">
        <w:t xml:space="preserve"> benchmark efficient entity </w:t>
      </w:r>
      <w:r>
        <w:t>would</w:t>
      </w:r>
      <w:r w:rsidRPr="001B05B2">
        <w:t xml:space="preserve"> be long term, but they do not provide clear guidance on wh</w:t>
      </w:r>
      <w:r>
        <w:t>at exactly that term should be.</w:t>
      </w:r>
    </w:p>
    <w:p w:rsidR="00E64331" w:rsidRPr="00E761F9" w:rsidRDefault="00E64331" w:rsidP="00E64331">
      <w:r w:rsidRPr="001B05B2">
        <w:t>For that reason, in our Guideline, we requested information from a range of privately owned service providers on the amount, type, term and credit rating of their debt issuances.</w:t>
      </w:r>
      <w:r>
        <w:rPr>
          <w:rStyle w:val="FootnoteReference"/>
        </w:rPr>
        <w:footnoteReference w:id="444"/>
      </w:r>
      <w:r w:rsidRPr="001B05B2">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was 8.7 years at the time of the Guideline. We observed that service providers are securing bank debt with an average term at issuance of 4.3 years, issuing Australian bonds with an average term at issuance of 9.6 years, and issuing offshore bonds with an average term of 9.7 years.</w:t>
      </w:r>
      <w:r>
        <w:rPr>
          <w:rStyle w:val="FootnoteReference"/>
        </w:rPr>
        <w:footnoteReference w:id="445"/>
      </w:r>
    </w:p>
    <w:p w:rsidR="008B6DB4" w:rsidRDefault="008B6DB4" w:rsidP="008B6DB4">
      <w:pPr>
        <w:pStyle w:val="HeadingBoldItalic"/>
      </w:pPr>
      <w:r>
        <w:t>Credit rating</w:t>
      </w:r>
    </w:p>
    <w:p w:rsidR="00E64331" w:rsidRDefault="00E64331" w:rsidP="00E64331">
      <w:r w:rsidRPr="00235F75">
        <w:t xml:space="preserve">Our </w:t>
      </w:r>
      <w:r>
        <w:t>final</w:t>
      </w:r>
      <w:r w:rsidRPr="00235F75">
        <w:t xml:space="preserve"> decision is to adopt a BBB+ credit rating to estimate the return on debt. </w:t>
      </w:r>
      <w:r>
        <w:t xml:space="preserve">This credit </w:t>
      </w:r>
      <w:r w:rsidRPr="00235F75">
        <w:t>rating is the same rating we proposed in the Guideline</w:t>
      </w:r>
      <w:r>
        <w:t xml:space="preserve"> and applied in our draft decision.</w:t>
      </w:r>
      <w:r>
        <w:rPr>
          <w:rStyle w:val="FootnoteReference"/>
        </w:rPr>
        <w:footnoteReference w:id="446"/>
      </w:r>
      <w:r>
        <w:t xml:space="preserve"> We also applied this credit rating to recent decisions that were upheld before the Tribunal.</w:t>
      </w:r>
      <w:r>
        <w:rPr>
          <w:rStyle w:val="FootnoteReference"/>
        </w:rPr>
        <w:footnoteReference w:id="447"/>
      </w:r>
    </w:p>
    <w:p w:rsidR="00E64331" w:rsidRDefault="00E64331" w:rsidP="00E64331">
      <w:r>
        <w:t>In current regulatory processes, different service providers, consultants and other stakeholders have proposed different credit ratings for the benchmark efficient entity. In particular:</w:t>
      </w:r>
    </w:p>
    <w:p w:rsidR="00E64331" w:rsidRPr="00D92C61" w:rsidRDefault="00E64331" w:rsidP="00E64331">
      <w:pPr>
        <w:pStyle w:val="AERbulletlistfirststyle"/>
      </w:pPr>
      <w:r>
        <w:t>CitiPower</w:t>
      </w:r>
      <w:r w:rsidRPr="00D92C61">
        <w:t>, Powercor, AusNet Services</w:t>
      </w:r>
      <w:r>
        <w:t xml:space="preserve"> distribution</w:t>
      </w:r>
      <w:r w:rsidRPr="00D92C61">
        <w:t xml:space="preserve"> and ActewAGL proposed a credit rating of BBB to BBB+.</w:t>
      </w:r>
      <w:r w:rsidRPr="00D92C61">
        <w:rPr>
          <w:rStyle w:val="FootnoteReference"/>
        </w:rPr>
        <w:footnoteReference w:id="448"/>
      </w:r>
    </w:p>
    <w:p w:rsidR="00E64331" w:rsidRPr="00D92C61" w:rsidRDefault="00E64331" w:rsidP="00E64331">
      <w:pPr>
        <w:pStyle w:val="AERbulletlistfirststyle"/>
      </w:pPr>
      <w:r>
        <w:t xml:space="preserve">Jemena </w:t>
      </w:r>
      <w:r w:rsidRPr="00D92C61">
        <w:t>and AGN accepted our benchmark credit rating of BBB+, but submitted that the evidence supported a BBB to BBB+ credit rating.</w:t>
      </w:r>
      <w:r w:rsidRPr="00D92C61">
        <w:rPr>
          <w:rStyle w:val="FootnoteReference"/>
        </w:rPr>
        <w:footnoteReference w:id="449"/>
      </w:r>
    </w:p>
    <w:p w:rsidR="00E64331" w:rsidRDefault="00E64331" w:rsidP="00E64331">
      <w:pPr>
        <w:pStyle w:val="AERbulletlistfirststyle"/>
      </w:pPr>
      <w:r>
        <w:t>United Energy and AusNet Services transmission submitted a BBB rating.</w:t>
      </w:r>
      <w:r w:rsidRPr="00D92C61">
        <w:rPr>
          <w:rStyle w:val="FootnoteReference"/>
        </w:rPr>
        <w:footnoteReference w:id="450"/>
      </w:r>
      <w:r w:rsidRPr="00D92C61">
        <w:t xml:space="preserve"> </w:t>
      </w:r>
      <w:r w:rsidRPr="00655628">
        <w:t>APT Pipelines (NT) Pty Ltd</w:t>
      </w:r>
      <w:r>
        <w:t xml:space="preserve"> </w:t>
      </w:r>
      <w:r w:rsidRPr="00D92C61">
        <w:t>initially submitted a BBB rating, but did not address benchmark credit rating in its revised proposal.</w:t>
      </w:r>
      <w:r w:rsidRPr="00D92C61">
        <w:rPr>
          <w:rStyle w:val="FootnoteReference"/>
        </w:rPr>
        <w:footnoteReference w:id="451"/>
      </w:r>
      <w:r w:rsidRPr="00D92C61">
        <w:t xml:space="preserve"> </w:t>
      </w:r>
    </w:p>
    <w:p w:rsidR="00E64331" w:rsidRPr="00D92C61" w:rsidRDefault="00E64331" w:rsidP="00E64331">
      <w:pPr>
        <w:pStyle w:val="AERbulletlistfirststyle"/>
      </w:pPr>
      <w:r>
        <w:t>Powerlink transmission and TasNetworks distribution applied the BBB+ credit rating in the Guideline.</w:t>
      </w:r>
      <w:r>
        <w:rPr>
          <w:rStyle w:val="FootnoteReference"/>
        </w:rPr>
        <w:footnoteReference w:id="452"/>
      </w:r>
    </w:p>
    <w:p w:rsidR="00E64331" w:rsidRDefault="00E64331" w:rsidP="00E64331">
      <w:r>
        <w:t xml:space="preserve">Service providers with revised proposals currently before us did not submit any new consultant reports on the benchmark credit rating. However, the consultant reports we received previously were mixed. For instance: </w:t>
      </w:r>
    </w:p>
    <w:p w:rsidR="00E64331" w:rsidRPr="00D92C61" w:rsidRDefault="00E64331" w:rsidP="00E64331">
      <w:pPr>
        <w:pStyle w:val="AERbulletlistfirststyle"/>
      </w:pPr>
      <w:r>
        <w:t>NERA and Houston Kemp (commissioned by TransGrid in a recent regulatory process) recommended a BBB+ credit rating</w:t>
      </w:r>
      <w:r w:rsidRPr="00D92C61">
        <w:t>.</w:t>
      </w:r>
      <w:r w:rsidRPr="00D92C61">
        <w:rPr>
          <w:rStyle w:val="FootnoteReference"/>
        </w:rPr>
        <w:footnoteReference w:id="453"/>
      </w:r>
    </w:p>
    <w:p w:rsidR="00E64331" w:rsidRPr="00D92C61" w:rsidRDefault="00E64331" w:rsidP="00E64331">
      <w:pPr>
        <w:pStyle w:val="AERbulletlistfirststyle"/>
      </w:pPr>
      <w:r>
        <w:t xml:space="preserve">Several service providers and </w:t>
      </w:r>
      <w:r w:rsidRPr="00D92C61">
        <w:t>CEG (commissioned by several service providers) recommended a BBB credit rating.</w:t>
      </w:r>
      <w:r w:rsidRPr="00D92C61">
        <w:rPr>
          <w:rStyle w:val="FootnoteReference"/>
        </w:rPr>
        <w:footnoteReference w:id="454"/>
      </w:r>
    </w:p>
    <w:p w:rsidR="00E64331" w:rsidRPr="00D92C61" w:rsidRDefault="00E64331" w:rsidP="00E64331">
      <w:pPr>
        <w:pStyle w:val="AERbulletlistfirststyle"/>
      </w:pPr>
      <w:r>
        <w:t>Lally (commissioned by us) and the South Australian Centre for Economic Studies (SACES) recommended a credit rating for energy networks of BBB to BBB+</w:t>
      </w:r>
      <w:r w:rsidRPr="00D92C61">
        <w:t>.</w:t>
      </w:r>
      <w:r w:rsidRPr="00D92C61">
        <w:rPr>
          <w:rStyle w:val="FootnoteReference"/>
        </w:rPr>
        <w:footnoteReference w:id="455"/>
      </w:r>
    </w:p>
    <w:p w:rsidR="00E64331" w:rsidRDefault="00E64331" w:rsidP="00E64331">
      <w:r>
        <w:t>In contrast, consumer groups generally submitted the benchmark credit rating of BBB+ was too low. For instance:</w:t>
      </w:r>
    </w:p>
    <w:p w:rsidR="00E64331" w:rsidRPr="00D92C61" w:rsidRDefault="00E64331" w:rsidP="00E64331">
      <w:pPr>
        <w:pStyle w:val="AERbulletlistfirststyle"/>
      </w:pPr>
      <w:r>
        <w:t xml:space="preserve">The Chamber of Commerce and Industry Queensland (CCIQ) </w:t>
      </w:r>
      <w:r w:rsidRPr="00D92C61">
        <w:t>and Energy Consumers Coalition of South Australia (ECCSA) submitted that credit ratings of BBB and BBB+ are too low.</w:t>
      </w:r>
      <w:r w:rsidRPr="00D92C61">
        <w:rPr>
          <w:rStyle w:val="FootnoteReference"/>
        </w:rPr>
        <w:footnoteReference w:id="456"/>
      </w:r>
      <w:r>
        <w:t xml:space="preserve"> ECCSA specifically noted this was the case given benchmark firms' gearing levels.</w:t>
      </w:r>
      <w:r>
        <w:rPr>
          <w:rStyle w:val="FootnoteReference"/>
        </w:rPr>
        <w:footnoteReference w:id="457"/>
      </w:r>
    </w:p>
    <w:p w:rsidR="00E64331" w:rsidRPr="00D92C61" w:rsidRDefault="00E64331" w:rsidP="00E64331">
      <w:pPr>
        <w:pStyle w:val="AERbulletlistfirststyle"/>
      </w:pPr>
      <w:r>
        <w:t xml:space="preserve">The Victorian Energy Consumer and User Alliance (VECUA) referred to an analysis by the Energy Users Rule Change Committee (EURCC) in 2011 to support their view </w:t>
      </w:r>
      <w:r w:rsidRPr="00D92C61">
        <w:t>that we should recognise or have regard to service providers' actual credit ratings.</w:t>
      </w:r>
      <w:r w:rsidRPr="00D92C61">
        <w:rPr>
          <w:rStyle w:val="FootnoteReference"/>
        </w:rPr>
        <w:footnoteReference w:id="458"/>
      </w:r>
      <w:r w:rsidRPr="00D92C61">
        <w:t xml:space="preserve"> </w:t>
      </w:r>
      <w:r>
        <w:t>VECUA submitted that</w:t>
      </w:r>
      <w:r w:rsidRPr="001314DA">
        <w:t xml:space="preserve"> </w:t>
      </w:r>
      <w:r>
        <w:t>we provide higher debt allowances than appropriate by basing these</w:t>
      </w:r>
      <w:r w:rsidRPr="001314DA">
        <w:t xml:space="preserve"> </w:t>
      </w:r>
      <w:r>
        <w:t xml:space="preserve">on </w:t>
      </w:r>
      <w:r w:rsidRPr="00D92C61">
        <w:t>credit ratings</w:t>
      </w:r>
      <w:r>
        <w:t xml:space="preserve"> that are </w:t>
      </w:r>
      <w:r w:rsidRPr="00D92C61">
        <w:t>lower than service providers' actual credit ratings.</w:t>
      </w:r>
      <w:r w:rsidRPr="00D92C61">
        <w:rPr>
          <w:rStyle w:val="FootnoteReference"/>
        </w:rPr>
        <w:footnoteReference w:id="459"/>
      </w:r>
      <w:r w:rsidRPr="00D92C61">
        <w:t xml:space="preserve"> </w:t>
      </w:r>
      <w:r>
        <w:t xml:space="preserve"> Further, VECUA also submitted that by using debt in a broad BBB band to estimate the allowed return on debt, the debt allowance we provide is </w:t>
      </w:r>
      <w:r w:rsidRPr="00D92C61">
        <w:t>predominantly based on more expensive debt ratings.</w:t>
      </w:r>
      <w:r w:rsidRPr="00D92C61">
        <w:rPr>
          <w:rStyle w:val="FootnoteReference"/>
        </w:rPr>
        <w:footnoteReference w:id="460"/>
      </w:r>
      <w:r w:rsidRPr="00D92C61">
        <w:t xml:space="preserve"> </w:t>
      </w:r>
      <w:r>
        <w:t>We note that several service providers disagreed with this submission.</w:t>
      </w:r>
      <w:r>
        <w:rPr>
          <w:rStyle w:val="FootnoteReference"/>
        </w:rPr>
        <w:footnoteReference w:id="461"/>
      </w:r>
    </w:p>
    <w:p w:rsidR="00E64331" w:rsidRPr="00D92C61" w:rsidRDefault="00E64331" w:rsidP="00E64331">
      <w:pPr>
        <w:pStyle w:val="AERbulletlistfirststyle"/>
      </w:pPr>
      <w:r>
        <w:t>The CCP submitted that we should account for the difference between service providers actual cost of debt and the BBB benchmark so the allowance better reflects service providers' actual debt costs.</w:t>
      </w:r>
      <w:r w:rsidRPr="00D92C61">
        <w:rPr>
          <w:rStyle w:val="FootnoteReference"/>
        </w:rPr>
        <w:footnoteReference w:id="462"/>
      </w:r>
      <w:r w:rsidRPr="00D92C61">
        <w:t xml:space="preserve"> </w:t>
      </w:r>
    </w:p>
    <w:p w:rsidR="00E64331" w:rsidRDefault="00E64331" w:rsidP="00E64331">
      <w:r>
        <w:t>We are satisfied that a benchmark efficient entity would have a BBB+ credit rating. We formed this view, as well as our view on the benchmark term of issuance, from considering a set of firms that we consider com parable to a benchmark efficient entity.</w:t>
      </w:r>
      <w:r>
        <w:rPr>
          <w:rStyle w:val="FootnoteReference"/>
        </w:rPr>
        <w:footnoteReference w:id="463"/>
      </w:r>
      <w:r>
        <w:t xml:space="preserve"> We consider this is more consistent with incentive regulation than basing our allowance for individual service providers on their actual credit ratings or actual historical costs of debt.</w:t>
      </w:r>
    </w:p>
    <w:p w:rsidR="00E64331" w:rsidRPr="007B3953" w:rsidRDefault="00E64331" w:rsidP="00E64331">
      <w:r w:rsidRPr="007B3953">
        <w:t xml:space="preserve">In our </w:t>
      </w:r>
      <w:r>
        <w:t>draft</w:t>
      </w:r>
      <w:r w:rsidRPr="007B3953">
        <w:t xml:space="preserve"> decision, we </w:t>
      </w:r>
      <w:r>
        <w:t>had regard to the evidence and differing opinions put before us by different services providers, consultants and consumer groups. This included responding</w:t>
      </w:r>
      <w:r w:rsidRPr="007B3953">
        <w:t xml:space="preserve"> to the following issues raised by stakeholders:</w:t>
      </w:r>
    </w:p>
    <w:p w:rsidR="00E64331" w:rsidRPr="00D92C61" w:rsidRDefault="00E64331" w:rsidP="00E64331">
      <w:pPr>
        <w:pStyle w:val="AERbulletlistfirststyle"/>
      </w:pPr>
      <w:r w:rsidRPr="007B3953">
        <w:t>Whether the current industry median is BBB+ or BBB (raised by service providers).</w:t>
      </w:r>
      <w:r w:rsidRPr="00D92C61">
        <w:rPr>
          <w:rStyle w:val="FootnoteReference"/>
        </w:rPr>
        <w:footnoteReference w:id="464"/>
      </w:r>
    </w:p>
    <w:p w:rsidR="00E64331" w:rsidRPr="00D92C61" w:rsidRDefault="00E64331" w:rsidP="00E64331">
      <w:pPr>
        <w:pStyle w:val="AERbulletlistfirststyle"/>
      </w:pPr>
      <w:r w:rsidRPr="007B3953">
        <w:t>The length of the period used to estimate the industry median (raised by service providers).</w:t>
      </w:r>
      <w:r w:rsidRPr="00D92C61">
        <w:rPr>
          <w:rStyle w:val="FootnoteReference"/>
        </w:rPr>
        <w:footnoteReference w:id="465"/>
      </w:r>
    </w:p>
    <w:p w:rsidR="00E64331" w:rsidRPr="00D92C61" w:rsidRDefault="00E64331" w:rsidP="00E64331">
      <w:pPr>
        <w:pStyle w:val="AERbulletlistfirststyle"/>
      </w:pPr>
      <w:r w:rsidRPr="007B3953">
        <w:t>Whether we should exclude certain businesses from the comparator set used to estimate the industry median.</w:t>
      </w:r>
      <w:r w:rsidRPr="00D92C61">
        <w:rPr>
          <w:rStyle w:val="FootnoteReference"/>
        </w:rPr>
        <w:footnoteReference w:id="466"/>
      </w:r>
    </w:p>
    <w:p w:rsidR="00E64331" w:rsidRDefault="00E64331" w:rsidP="00E64331">
      <w:r w:rsidRPr="007B3953">
        <w:t>Since we have not received further supporting information in the revised proposals</w:t>
      </w:r>
      <w:r>
        <w:t xml:space="preserve"> or submissions</w:t>
      </w:r>
      <w:r w:rsidRPr="007B3953">
        <w:t xml:space="preserve">, </w:t>
      </w:r>
      <w:r>
        <w:t xml:space="preserve">our view has not changed. </w:t>
      </w:r>
      <w:r w:rsidRPr="00BF669E">
        <w:t>We note in the revised proposals the businesses put forward the same substantive arguments for a lower credit rating as they submitted in their original proposals.</w:t>
      </w:r>
      <w:r w:rsidRPr="00BF669E">
        <w:rPr>
          <w:rStyle w:val="FootnoteReference"/>
        </w:rPr>
        <w:footnoteReference w:id="467"/>
      </w:r>
      <w:r>
        <w:t xml:space="preserve"> Our decision is to maintain a BBB+ benchmark credit rating. We have had regard to data over the short, medium and longer term with the majority of evidence supporting a benchmark credit rating of BBB+. We draw our comparator set for estimating the benchmark credit rating from Standard and Poor's industry report cards, with the exclusion of one business which is owned by an Australian state government.</w:t>
      </w:r>
      <w:r>
        <w:rPr>
          <w:rStyle w:val="FootnoteReference"/>
        </w:rPr>
        <w:footnoteReference w:id="468"/>
      </w:r>
      <w:r>
        <w:t xml:space="preserve"> We do not agree with the reasons put forward for excluding firms from the comparator set. Nevertheless, even if we applied all of the potential exclusion criteria, this would not support departing from a BBB+ benchmark credit rating.</w:t>
      </w:r>
      <w:r>
        <w:rPr>
          <w:rStyle w:val="FootnoteReference"/>
        </w:rPr>
        <w:footnoteReference w:id="469"/>
      </w:r>
      <w:r>
        <w:t xml:space="preserve"> </w:t>
      </w:r>
      <w:r w:rsidRPr="007B3953">
        <w:t>For our supporting analysis</w:t>
      </w:r>
      <w:r>
        <w:t xml:space="preserve">, </w:t>
      </w:r>
      <w:r w:rsidRPr="007B3953">
        <w:t xml:space="preserve">see our </w:t>
      </w:r>
      <w:r>
        <w:t>draft</w:t>
      </w:r>
      <w:r w:rsidRPr="007B3953">
        <w:t xml:space="preserve"> decision.</w:t>
      </w:r>
      <w:r w:rsidRPr="007B3953">
        <w:rPr>
          <w:rStyle w:val="FootnoteReference"/>
        </w:rPr>
        <w:footnoteReference w:id="470"/>
      </w:r>
    </w:p>
    <w:p w:rsidR="00E64331" w:rsidRPr="007B3953" w:rsidRDefault="00E64331" w:rsidP="00BB7AE6">
      <w:pPr>
        <w:pStyle w:val="HeadingItalic"/>
        <w:keepNext/>
      </w:pPr>
      <w:r>
        <w:t>Update of empirical evidence</w:t>
      </w:r>
    </w:p>
    <w:p w:rsidR="00E64331" w:rsidRPr="008E3CDC" w:rsidRDefault="00E64331" w:rsidP="00BB7AE6">
      <w:pPr>
        <w:keepNext/>
      </w:pPr>
      <w:r>
        <w:t>Consistent with our estimate in</w:t>
      </w:r>
      <w:r w:rsidRPr="008E3CDC">
        <w:t xml:space="preserve"> </w:t>
      </w:r>
      <w:r>
        <w:t xml:space="preserve">the </w:t>
      </w:r>
      <w:r w:rsidRPr="008E3CDC">
        <w:t xml:space="preserve">Guideline and </w:t>
      </w:r>
      <w:r>
        <w:t>draft</w:t>
      </w:r>
      <w:r w:rsidRPr="008E3CDC">
        <w:t xml:space="preserve"> decision</w:t>
      </w:r>
      <w:r>
        <w:t>, we have had regard to empirical evidence in applying a benchmark credit rating of BBB+</w:t>
      </w:r>
      <w:r w:rsidRPr="008E3CDC">
        <w:t>.</w:t>
      </w:r>
      <w:r w:rsidRPr="008E3CDC">
        <w:rPr>
          <w:rStyle w:val="FootnoteReference"/>
        </w:rPr>
        <w:footnoteReference w:id="471"/>
      </w:r>
      <w:r w:rsidRPr="008E3CDC">
        <w:t xml:space="preserve"> </w:t>
      </w:r>
    </w:p>
    <w:p w:rsidR="00E64331" w:rsidRDefault="00E64331" w:rsidP="00E64331">
      <w:r>
        <w:fldChar w:fldCharType="begin"/>
      </w:r>
      <w:r>
        <w:instrText xml:space="preserve"> REF _Ref442088082 \h </w:instrText>
      </w:r>
      <w:r>
        <w:fldChar w:fldCharType="separate"/>
      </w:r>
      <w:r w:rsidR="001A023B">
        <w:t xml:space="preserve">Table </w:t>
      </w:r>
      <w:r w:rsidR="001A023B">
        <w:rPr>
          <w:noProof/>
        </w:rPr>
        <w:t>3</w:t>
      </w:r>
      <w:r w:rsidR="001A023B">
        <w:noBreakHyphen/>
      </w:r>
      <w:r w:rsidR="001A023B">
        <w:rPr>
          <w:noProof/>
        </w:rPr>
        <w:t>12</w:t>
      </w:r>
      <w:r>
        <w:fldChar w:fldCharType="end"/>
      </w:r>
      <w:r>
        <w:t xml:space="preserve"> sets out the median credit rating over historical periods of progressively longer length. While </w:t>
      </w:r>
      <w:r>
        <w:fldChar w:fldCharType="begin"/>
      </w:r>
      <w:r>
        <w:instrText xml:space="preserve"> REF  _Ref442088082 \* Lower \h </w:instrText>
      </w:r>
      <w:r>
        <w:fldChar w:fldCharType="separate"/>
      </w:r>
      <w:r w:rsidR="001A023B">
        <w:t xml:space="preserve">table </w:t>
      </w:r>
      <w:r w:rsidR="001A023B">
        <w:rPr>
          <w:noProof/>
        </w:rPr>
        <w:t>3</w:t>
      </w:r>
      <w:r w:rsidR="001A023B">
        <w:noBreakHyphen/>
      </w:r>
      <w:r w:rsidR="001A023B">
        <w:rPr>
          <w:noProof/>
        </w:rPr>
        <w:t>12</w:t>
      </w:r>
      <w:r>
        <w:fldChar w:fldCharType="end"/>
      </w:r>
      <w:r>
        <w:t xml:space="preserve"> shows some support for a credit rating of BBB, we consider it shows stronger support for a credit rating of BBB+. </w:t>
      </w:r>
    </w:p>
    <w:p w:rsidR="00E64331" w:rsidRDefault="00E64331" w:rsidP="00E64331">
      <w:r>
        <w:t>We also note that this estimate entails taking the median from the yearly medians. We could also take the median of all credit rating observations over these time periods. This gives</w:t>
      </w:r>
      <w:r w:rsidRPr="00057769">
        <w:t xml:space="preserve"> BBB+ for the five most recent periods, BBB/BBB+ for the period 2010–2015 and BBB for the longer averaging periods (2006–2015 to 2009–15)</w:t>
      </w:r>
      <w:r>
        <w:t>. Both median of yearly medians and median of all observations show stronger support for a BBB+ benchmark credit rating. Similarly, having considered our presentation of this data in recent determinations, the Tribunal observed that the more recent years firmly point towards a BBB+ credit rating for the benchmark efficient entity.</w:t>
      </w:r>
      <w:r>
        <w:rPr>
          <w:rStyle w:val="FootnoteReference"/>
        </w:rPr>
        <w:footnoteReference w:id="472"/>
      </w:r>
    </w:p>
    <w:p w:rsidR="00E64331" w:rsidRDefault="00E64331" w:rsidP="00E64331">
      <w:r>
        <w:t>For further analysis regarding median credit ratings over historical periods, refer to our past decisions.</w:t>
      </w:r>
      <w:r>
        <w:rPr>
          <w:rStyle w:val="FootnoteReference"/>
        </w:rPr>
        <w:footnoteReference w:id="473"/>
      </w:r>
    </w:p>
    <w:p w:rsidR="00E64331" w:rsidRPr="00E41C8B" w:rsidRDefault="007D2D50" w:rsidP="007D2D50">
      <w:pPr>
        <w:pStyle w:val="Caption"/>
      </w:pPr>
      <w:bookmarkStart w:id="80" w:name="_Ref442088082"/>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noBreakHyphen/>
      </w:r>
      <w:r w:rsidR="00120312">
        <w:fldChar w:fldCharType="begin"/>
      </w:r>
      <w:r w:rsidR="00120312">
        <w:instrText xml:space="preserve"> SEQ Table \* ARABIC \s 1 </w:instrText>
      </w:r>
      <w:r w:rsidR="00120312">
        <w:fldChar w:fldCharType="separate"/>
      </w:r>
      <w:r w:rsidR="001A023B">
        <w:rPr>
          <w:noProof/>
        </w:rPr>
        <w:t>12</w:t>
      </w:r>
      <w:r w:rsidR="00120312">
        <w:rPr>
          <w:noProof/>
        </w:rPr>
        <w:fldChar w:fldCharType="end"/>
      </w:r>
      <w:bookmarkEnd w:id="80"/>
      <w:r w:rsidR="00E64331">
        <w:t xml:space="preserve"> </w:t>
      </w:r>
      <w:r w:rsidR="00E64331" w:rsidRPr="00E41C8B">
        <w:t>Median credit rating</w:t>
      </w:r>
      <w:r w:rsidR="00E64331" w:rsidRPr="00627B3D">
        <w:t>—</w:t>
      </w:r>
      <w:r w:rsidR="00E64331" w:rsidRPr="00E41C8B">
        <w:t>Comparator set of firms</w:t>
      </w:r>
    </w:p>
    <w:tbl>
      <w:tblPr>
        <w:tblStyle w:val="AERtable-text0"/>
        <w:tblW w:w="0" w:type="auto"/>
        <w:tblLook w:val="04A0" w:firstRow="1" w:lastRow="0" w:firstColumn="1" w:lastColumn="0" w:noHBand="0" w:noVBand="1"/>
      </w:tblPr>
      <w:tblGrid>
        <w:gridCol w:w="2153"/>
        <w:gridCol w:w="2192"/>
        <w:gridCol w:w="2155"/>
        <w:gridCol w:w="2193"/>
      </w:tblGrid>
      <w:tr w:rsidR="00E64331" w:rsidRPr="00073F41" w:rsidTr="007505A3">
        <w:trPr>
          <w:cnfStyle w:val="100000000000" w:firstRow="1" w:lastRow="0" w:firstColumn="0" w:lastColumn="0" w:oddVBand="0" w:evenVBand="0" w:oddHBand="0" w:evenHBand="0" w:firstRowFirstColumn="0" w:firstRowLastColumn="0" w:lastRowFirstColumn="0" w:lastRowLastColumn="0"/>
        </w:trPr>
        <w:tc>
          <w:tcPr>
            <w:tcW w:w="2153" w:type="dxa"/>
          </w:tcPr>
          <w:p w:rsidR="00E64331" w:rsidRPr="00E64331" w:rsidRDefault="00E64331" w:rsidP="007D2D50">
            <w:r w:rsidRPr="00073F41">
              <w:t xml:space="preserve">Time </w:t>
            </w:r>
            <w:r w:rsidRPr="00E64331">
              <w:t xml:space="preserve">period </w:t>
            </w:r>
          </w:p>
        </w:tc>
        <w:tc>
          <w:tcPr>
            <w:tcW w:w="2192" w:type="dxa"/>
          </w:tcPr>
          <w:p w:rsidR="00E64331" w:rsidRPr="00E64331" w:rsidRDefault="00E64331" w:rsidP="007D2D50">
            <w:r w:rsidRPr="00073F41">
              <w:t xml:space="preserve">Median credit </w:t>
            </w:r>
            <w:r w:rsidRPr="00E64331">
              <w:t>rating</w:t>
            </w:r>
          </w:p>
        </w:tc>
        <w:tc>
          <w:tcPr>
            <w:tcW w:w="2155" w:type="dxa"/>
          </w:tcPr>
          <w:p w:rsidR="00E64331" w:rsidRPr="00E64331" w:rsidRDefault="00E64331" w:rsidP="007D2D50">
            <w:r w:rsidRPr="00073F41">
              <w:t>Time period</w:t>
            </w:r>
          </w:p>
        </w:tc>
        <w:tc>
          <w:tcPr>
            <w:tcW w:w="2193" w:type="dxa"/>
          </w:tcPr>
          <w:p w:rsidR="00E64331" w:rsidRPr="00E64331" w:rsidRDefault="00E64331" w:rsidP="007D2D50">
            <w:r w:rsidRPr="00073F41">
              <w:t>Median credit rating</w:t>
            </w:r>
          </w:p>
        </w:tc>
      </w:tr>
      <w:tr w:rsidR="00E64331" w:rsidRPr="00073F41" w:rsidTr="007505A3">
        <w:trPr>
          <w:trHeight w:val="622"/>
        </w:trPr>
        <w:tc>
          <w:tcPr>
            <w:tcW w:w="2153" w:type="dxa"/>
          </w:tcPr>
          <w:p w:rsidR="00E64331" w:rsidRPr="00E64331" w:rsidRDefault="00E64331" w:rsidP="007D2D50">
            <w:r>
              <w:t xml:space="preserve">2015 </w:t>
            </w:r>
          </w:p>
        </w:tc>
        <w:tc>
          <w:tcPr>
            <w:tcW w:w="2192" w:type="dxa"/>
          </w:tcPr>
          <w:p w:rsidR="00E64331" w:rsidRPr="00E64331" w:rsidRDefault="00E64331" w:rsidP="007D2D50">
            <w:r w:rsidRPr="00073F41">
              <w:t>BBB+</w:t>
            </w:r>
          </w:p>
        </w:tc>
        <w:tc>
          <w:tcPr>
            <w:tcW w:w="2155" w:type="dxa"/>
          </w:tcPr>
          <w:p w:rsidR="00E64331" w:rsidRPr="00E64331" w:rsidRDefault="00E64331" w:rsidP="007D2D50">
            <w:r>
              <w:t>2010</w:t>
            </w:r>
            <w:r w:rsidRPr="00E64331">
              <w:t>–2015</w:t>
            </w:r>
          </w:p>
        </w:tc>
        <w:tc>
          <w:tcPr>
            <w:tcW w:w="2193" w:type="dxa"/>
          </w:tcPr>
          <w:p w:rsidR="00E64331" w:rsidRPr="00E64331" w:rsidRDefault="00E64331" w:rsidP="007D2D50">
            <w:r w:rsidRPr="00073F41">
              <w:t>BBB</w:t>
            </w:r>
            <w:r w:rsidRPr="00E64331">
              <w:t>/BBB+</w:t>
            </w:r>
          </w:p>
        </w:tc>
      </w:tr>
      <w:tr w:rsidR="00E64331" w:rsidRPr="00073F41" w:rsidTr="007505A3">
        <w:trPr>
          <w:cnfStyle w:val="000000010000" w:firstRow="0" w:lastRow="0" w:firstColumn="0" w:lastColumn="0" w:oddVBand="0" w:evenVBand="0" w:oddHBand="0" w:evenHBand="1" w:firstRowFirstColumn="0" w:firstRowLastColumn="0" w:lastRowFirstColumn="0" w:lastRowLastColumn="0"/>
        </w:trPr>
        <w:tc>
          <w:tcPr>
            <w:tcW w:w="2153" w:type="dxa"/>
          </w:tcPr>
          <w:p w:rsidR="00E64331" w:rsidRPr="00E64331" w:rsidRDefault="00E64331" w:rsidP="007D2D50">
            <w:r>
              <w:t>2014–2015</w:t>
            </w:r>
          </w:p>
        </w:tc>
        <w:tc>
          <w:tcPr>
            <w:tcW w:w="2192" w:type="dxa"/>
          </w:tcPr>
          <w:p w:rsidR="00E64331" w:rsidRPr="00E64331" w:rsidRDefault="00E64331" w:rsidP="007D2D50">
            <w:r w:rsidRPr="00073F41">
              <w:t>BBB+</w:t>
            </w:r>
          </w:p>
        </w:tc>
        <w:tc>
          <w:tcPr>
            <w:tcW w:w="2155" w:type="dxa"/>
          </w:tcPr>
          <w:p w:rsidR="00E64331" w:rsidRPr="00E64331" w:rsidRDefault="00E64331" w:rsidP="007D2D50">
            <w:r>
              <w:t>2009–2015</w:t>
            </w:r>
          </w:p>
        </w:tc>
        <w:tc>
          <w:tcPr>
            <w:tcW w:w="2193" w:type="dxa"/>
          </w:tcPr>
          <w:p w:rsidR="00E64331" w:rsidRPr="00E64331" w:rsidRDefault="00E64331" w:rsidP="007D2D50">
            <w:r>
              <w:t>BBB</w:t>
            </w:r>
          </w:p>
        </w:tc>
      </w:tr>
      <w:tr w:rsidR="00E64331" w:rsidRPr="00073F41" w:rsidTr="007505A3">
        <w:tc>
          <w:tcPr>
            <w:tcW w:w="2153" w:type="dxa"/>
          </w:tcPr>
          <w:p w:rsidR="00E64331" w:rsidRPr="00E64331" w:rsidRDefault="00E64331" w:rsidP="007D2D50">
            <w:r>
              <w:t>2013–2015</w:t>
            </w:r>
          </w:p>
        </w:tc>
        <w:tc>
          <w:tcPr>
            <w:tcW w:w="2192" w:type="dxa"/>
          </w:tcPr>
          <w:p w:rsidR="00E64331" w:rsidRPr="00E64331" w:rsidRDefault="00E64331" w:rsidP="007D2D50">
            <w:r w:rsidRPr="00073F41">
              <w:t>BBB+</w:t>
            </w:r>
          </w:p>
        </w:tc>
        <w:tc>
          <w:tcPr>
            <w:tcW w:w="2155" w:type="dxa"/>
          </w:tcPr>
          <w:p w:rsidR="00E64331" w:rsidRPr="00E64331" w:rsidRDefault="00E64331" w:rsidP="007D2D50">
            <w:r>
              <w:t>2008–2015</w:t>
            </w:r>
          </w:p>
        </w:tc>
        <w:tc>
          <w:tcPr>
            <w:tcW w:w="2193" w:type="dxa"/>
          </w:tcPr>
          <w:p w:rsidR="00E64331" w:rsidRPr="00E64331" w:rsidRDefault="00E64331" w:rsidP="007D2D50">
            <w:r>
              <w:t>BBB</w:t>
            </w:r>
            <w:r w:rsidRPr="00E64331">
              <w:t>/BBB+</w:t>
            </w:r>
          </w:p>
        </w:tc>
      </w:tr>
      <w:tr w:rsidR="00E64331" w:rsidRPr="00073F41" w:rsidTr="007505A3">
        <w:trPr>
          <w:cnfStyle w:val="000000010000" w:firstRow="0" w:lastRow="0" w:firstColumn="0" w:lastColumn="0" w:oddVBand="0" w:evenVBand="0" w:oddHBand="0" w:evenHBand="1" w:firstRowFirstColumn="0" w:firstRowLastColumn="0" w:lastRowFirstColumn="0" w:lastRowLastColumn="0"/>
        </w:trPr>
        <w:tc>
          <w:tcPr>
            <w:tcW w:w="2153" w:type="dxa"/>
          </w:tcPr>
          <w:p w:rsidR="00E64331" w:rsidRPr="00E64331" w:rsidRDefault="00E64331" w:rsidP="007D2D50">
            <w:r>
              <w:t>2012–2015</w:t>
            </w:r>
          </w:p>
        </w:tc>
        <w:tc>
          <w:tcPr>
            <w:tcW w:w="2192" w:type="dxa"/>
          </w:tcPr>
          <w:p w:rsidR="00E64331" w:rsidRPr="00E64331" w:rsidRDefault="00E64331" w:rsidP="007D2D50">
            <w:r w:rsidRPr="00073F41">
              <w:t>BBB</w:t>
            </w:r>
            <w:r w:rsidRPr="00E64331">
              <w:t>/BBB+</w:t>
            </w:r>
          </w:p>
        </w:tc>
        <w:tc>
          <w:tcPr>
            <w:tcW w:w="2155" w:type="dxa"/>
          </w:tcPr>
          <w:p w:rsidR="00E64331" w:rsidRPr="00E64331" w:rsidRDefault="00E64331" w:rsidP="007D2D50">
            <w:r>
              <w:t>2007–2015</w:t>
            </w:r>
          </w:p>
        </w:tc>
        <w:tc>
          <w:tcPr>
            <w:tcW w:w="2193" w:type="dxa"/>
          </w:tcPr>
          <w:p w:rsidR="00E64331" w:rsidRPr="00E64331" w:rsidRDefault="00E64331" w:rsidP="007D2D50">
            <w:r>
              <w:t>BBB/</w:t>
            </w:r>
            <w:r w:rsidRPr="00E64331">
              <w:t>BBB+</w:t>
            </w:r>
          </w:p>
        </w:tc>
      </w:tr>
      <w:tr w:rsidR="00E64331" w:rsidRPr="00073F41" w:rsidTr="007505A3">
        <w:tc>
          <w:tcPr>
            <w:tcW w:w="2153" w:type="dxa"/>
          </w:tcPr>
          <w:p w:rsidR="00E64331" w:rsidRPr="00E64331" w:rsidRDefault="00E64331" w:rsidP="007D2D50">
            <w:r>
              <w:t>2011–2015</w:t>
            </w:r>
          </w:p>
        </w:tc>
        <w:tc>
          <w:tcPr>
            <w:tcW w:w="2192" w:type="dxa"/>
          </w:tcPr>
          <w:p w:rsidR="00E64331" w:rsidRPr="00E64331" w:rsidRDefault="00E64331" w:rsidP="007D2D50">
            <w:r>
              <w:t>BBB</w:t>
            </w:r>
            <w:r w:rsidRPr="00E64331">
              <w:t>/BBB+</w:t>
            </w:r>
          </w:p>
        </w:tc>
        <w:tc>
          <w:tcPr>
            <w:tcW w:w="2155" w:type="dxa"/>
          </w:tcPr>
          <w:p w:rsidR="00E64331" w:rsidRPr="00E64331" w:rsidRDefault="00E64331" w:rsidP="007D2D50">
            <w:r>
              <w:t>2006–2015</w:t>
            </w:r>
          </w:p>
        </w:tc>
        <w:tc>
          <w:tcPr>
            <w:tcW w:w="2193" w:type="dxa"/>
          </w:tcPr>
          <w:p w:rsidR="00E64331" w:rsidRPr="00E64331" w:rsidRDefault="00E64331" w:rsidP="007D2D50">
            <w:r>
              <w:t>BBB/</w:t>
            </w:r>
            <w:r w:rsidRPr="00E64331">
              <w:t>BBB+</w:t>
            </w:r>
          </w:p>
        </w:tc>
      </w:tr>
    </w:tbl>
    <w:p w:rsidR="00E64331" w:rsidRDefault="00E64331" w:rsidP="00E64331">
      <w:pPr>
        <w:pStyle w:val="AERtablesource"/>
      </w:pPr>
      <w:r w:rsidRPr="00E41C8B">
        <w:t xml:space="preserve">Source: </w:t>
      </w:r>
      <w:r w:rsidRPr="00E41C8B">
        <w:tab/>
        <w:t>Bloomberg (S&amp;P), AER analysis.</w:t>
      </w:r>
      <w:r>
        <w:t xml:space="preserve"> </w:t>
      </w:r>
    </w:p>
    <w:p w:rsidR="00E64331" w:rsidRDefault="00E64331" w:rsidP="00E64331">
      <w:r>
        <w:t>In our draft decision, we also set out the comparator set we use to estimate the industry median.</w:t>
      </w:r>
      <w:r>
        <w:rPr>
          <w:rStyle w:val="FootnoteReference"/>
        </w:rPr>
        <w:footnoteReference w:id="474"/>
      </w:r>
      <w:r>
        <w:t xml:space="preserve"> Since that time, Powercor Australia LLC and the CitiPower Trust now raise debt under a common funding vehicle, Victoria Power Networks (Finance) Pty Ltd.</w:t>
      </w:r>
      <w:r>
        <w:rPr>
          <w:rStyle w:val="FootnoteReference"/>
        </w:rPr>
        <w:footnoteReference w:id="475"/>
      </w:r>
      <w:r>
        <w:t xml:space="preserve"> We have added this common funding vehicle to our comparator set. </w:t>
      </w:r>
    </w:p>
    <w:p w:rsidR="00E64331" w:rsidRDefault="00E64331" w:rsidP="00E64331">
      <w:r>
        <w:t xml:space="preserve">The yearly median credit ratings across our updated comparator set since the 2006 calendar year end are shown in </w:t>
      </w:r>
      <w:r>
        <w:fldChar w:fldCharType="begin"/>
      </w:r>
      <w:r>
        <w:instrText xml:space="preserve"> REF  _Ref442192827 \* Lower \h </w:instrText>
      </w:r>
      <w:r>
        <w:fldChar w:fldCharType="separate"/>
      </w:r>
      <w:r w:rsidR="001A023B">
        <w:t xml:space="preserve">table </w:t>
      </w:r>
      <w:r w:rsidR="001A023B">
        <w:rPr>
          <w:noProof/>
        </w:rPr>
        <w:t>3</w:t>
      </w:r>
      <w:r w:rsidR="001A023B">
        <w:noBreakHyphen/>
      </w:r>
      <w:r w:rsidR="001A023B">
        <w:rPr>
          <w:noProof/>
        </w:rPr>
        <w:t>13</w:t>
      </w:r>
      <w:r>
        <w:fldChar w:fldCharType="end"/>
      </w:r>
      <w:r>
        <w:t>.</w:t>
      </w:r>
    </w:p>
    <w:p w:rsidR="00E64331" w:rsidRPr="00411A04" w:rsidRDefault="007D2D50" w:rsidP="007D2D50">
      <w:pPr>
        <w:pStyle w:val="Caption"/>
      </w:pPr>
      <w:bookmarkStart w:id="81" w:name="_Ref442192827"/>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noBreakHyphen/>
      </w:r>
      <w:r w:rsidR="00120312">
        <w:fldChar w:fldCharType="begin"/>
      </w:r>
      <w:r w:rsidR="00120312">
        <w:instrText xml:space="preserve"> SEQ Table \* ARABIC \s 1 </w:instrText>
      </w:r>
      <w:r w:rsidR="00120312">
        <w:fldChar w:fldCharType="separate"/>
      </w:r>
      <w:r w:rsidR="001A023B">
        <w:rPr>
          <w:noProof/>
        </w:rPr>
        <w:t>13</w:t>
      </w:r>
      <w:r w:rsidR="00120312">
        <w:rPr>
          <w:noProof/>
        </w:rPr>
        <w:fldChar w:fldCharType="end"/>
      </w:r>
      <w:bookmarkEnd w:id="81"/>
      <w:r w:rsidR="00E64331">
        <w:t xml:space="preserve"> Credit ratings of network service providers over time</w:t>
      </w:r>
    </w:p>
    <w:tbl>
      <w:tblPr>
        <w:tblStyle w:val="AERtable-text0"/>
        <w:tblW w:w="5000" w:type="pct"/>
        <w:tblLook w:val="04A0" w:firstRow="1" w:lastRow="0" w:firstColumn="1" w:lastColumn="0" w:noHBand="0" w:noVBand="1"/>
      </w:tblPr>
      <w:tblGrid>
        <w:gridCol w:w="1512"/>
        <w:gridCol w:w="734"/>
        <w:gridCol w:w="734"/>
        <w:gridCol w:w="734"/>
        <w:gridCol w:w="734"/>
        <w:gridCol w:w="683"/>
        <w:gridCol w:w="683"/>
        <w:gridCol w:w="683"/>
        <w:gridCol w:w="734"/>
        <w:gridCol w:w="734"/>
        <w:gridCol w:w="728"/>
      </w:tblGrid>
      <w:tr w:rsidR="00E64331" w:rsidRPr="007D3E67" w:rsidTr="007505A3">
        <w:trPr>
          <w:cnfStyle w:val="100000000000" w:firstRow="1" w:lastRow="0" w:firstColumn="0" w:lastColumn="0" w:oddVBand="0" w:evenVBand="0" w:oddHBand="0" w:evenHBand="0" w:firstRowFirstColumn="0" w:firstRowLastColumn="0" w:lastRowFirstColumn="0" w:lastRowLastColumn="0"/>
        </w:trPr>
        <w:tc>
          <w:tcPr>
            <w:tcW w:w="870" w:type="pct"/>
          </w:tcPr>
          <w:p w:rsidR="00E64331" w:rsidRPr="00E64331" w:rsidRDefault="00E64331" w:rsidP="007D2D50">
            <w:r w:rsidRPr="007D3E67">
              <w:t>Issuer</w:t>
            </w:r>
          </w:p>
        </w:tc>
        <w:tc>
          <w:tcPr>
            <w:tcW w:w="422" w:type="pct"/>
          </w:tcPr>
          <w:p w:rsidR="00E64331" w:rsidRPr="00E64331" w:rsidRDefault="00E64331" w:rsidP="007D2D50">
            <w:r w:rsidRPr="007D3E67">
              <w:t>2006</w:t>
            </w:r>
          </w:p>
        </w:tc>
        <w:tc>
          <w:tcPr>
            <w:tcW w:w="422" w:type="pct"/>
          </w:tcPr>
          <w:p w:rsidR="00E64331" w:rsidRPr="00E64331" w:rsidRDefault="00E64331" w:rsidP="007D2D50">
            <w:r w:rsidRPr="007D3E67">
              <w:t>2007</w:t>
            </w:r>
          </w:p>
        </w:tc>
        <w:tc>
          <w:tcPr>
            <w:tcW w:w="422" w:type="pct"/>
          </w:tcPr>
          <w:p w:rsidR="00E64331" w:rsidRPr="00E64331" w:rsidRDefault="00E64331" w:rsidP="007D2D50">
            <w:r w:rsidRPr="007D3E67">
              <w:t>2008</w:t>
            </w:r>
          </w:p>
        </w:tc>
        <w:tc>
          <w:tcPr>
            <w:tcW w:w="422" w:type="pct"/>
          </w:tcPr>
          <w:p w:rsidR="00E64331" w:rsidRPr="00E64331" w:rsidRDefault="00E64331" w:rsidP="007D2D50">
            <w:r w:rsidRPr="007D3E67">
              <w:t>2009</w:t>
            </w:r>
          </w:p>
        </w:tc>
        <w:tc>
          <w:tcPr>
            <w:tcW w:w="393" w:type="pct"/>
          </w:tcPr>
          <w:p w:rsidR="00E64331" w:rsidRPr="00E64331" w:rsidRDefault="00E64331" w:rsidP="007D2D50">
            <w:r w:rsidRPr="007D3E67">
              <w:t>2010</w:t>
            </w:r>
          </w:p>
        </w:tc>
        <w:tc>
          <w:tcPr>
            <w:tcW w:w="393" w:type="pct"/>
          </w:tcPr>
          <w:p w:rsidR="00E64331" w:rsidRPr="00E64331" w:rsidRDefault="00E64331" w:rsidP="007D2D50">
            <w:r w:rsidRPr="007D3E67">
              <w:t>2011</w:t>
            </w:r>
          </w:p>
        </w:tc>
        <w:tc>
          <w:tcPr>
            <w:tcW w:w="393" w:type="pct"/>
          </w:tcPr>
          <w:p w:rsidR="00E64331" w:rsidRPr="00E64331" w:rsidRDefault="00E64331" w:rsidP="007D2D50">
            <w:r w:rsidRPr="007D3E67">
              <w:t>2012</w:t>
            </w:r>
          </w:p>
        </w:tc>
        <w:tc>
          <w:tcPr>
            <w:tcW w:w="422" w:type="pct"/>
          </w:tcPr>
          <w:p w:rsidR="00E64331" w:rsidRPr="00E64331" w:rsidRDefault="00E64331" w:rsidP="007D2D50">
            <w:r w:rsidRPr="007D3E67">
              <w:t>2013</w:t>
            </w:r>
          </w:p>
        </w:tc>
        <w:tc>
          <w:tcPr>
            <w:tcW w:w="422" w:type="pct"/>
          </w:tcPr>
          <w:p w:rsidR="00E64331" w:rsidRPr="00E64331" w:rsidRDefault="00E64331" w:rsidP="007D2D50">
            <w:r w:rsidRPr="007D3E67">
              <w:t xml:space="preserve">2014 </w:t>
            </w:r>
          </w:p>
        </w:tc>
        <w:tc>
          <w:tcPr>
            <w:tcW w:w="422" w:type="pct"/>
          </w:tcPr>
          <w:p w:rsidR="00E64331" w:rsidRPr="00E64331" w:rsidRDefault="00E64331" w:rsidP="007D2D50">
            <w:r>
              <w:t>2015</w:t>
            </w:r>
          </w:p>
        </w:tc>
      </w:tr>
      <w:tr w:rsidR="00E64331" w:rsidRPr="007D3E67" w:rsidTr="007505A3">
        <w:tc>
          <w:tcPr>
            <w:tcW w:w="870" w:type="pct"/>
          </w:tcPr>
          <w:p w:rsidR="00E64331" w:rsidRPr="00E64331" w:rsidRDefault="00E64331" w:rsidP="007D2D50">
            <w:r w:rsidRPr="007D3E67">
              <w:t xml:space="preserve">APT Pipelines Ltd </w:t>
            </w:r>
          </w:p>
        </w:tc>
        <w:tc>
          <w:tcPr>
            <w:tcW w:w="422" w:type="pct"/>
          </w:tcPr>
          <w:p w:rsidR="00E64331" w:rsidRPr="00E64331" w:rsidRDefault="00E64331" w:rsidP="007D2D50">
            <w:r w:rsidRPr="007D3E67">
              <w:t>NR</w:t>
            </w:r>
          </w:p>
        </w:tc>
        <w:tc>
          <w:tcPr>
            <w:tcW w:w="422" w:type="pct"/>
          </w:tcPr>
          <w:p w:rsidR="00E64331" w:rsidRPr="00E64331" w:rsidRDefault="00E64331" w:rsidP="007D2D50">
            <w:r w:rsidRPr="007D3E67">
              <w:t>NR</w:t>
            </w:r>
          </w:p>
        </w:tc>
        <w:tc>
          <w:tcPr>
            <w:tcW w:w="422" w:type="pct"/>
          </w:tcPr>
          <w:p w:rsidR="00E64331" w:rsidRPr="00E64331" w:rsidRDefault="00E64331" w:rsidP="007D2D50">
            <w:r w:rsidRPr="007D3E67">
              <w:t>NR</w:t>
            </w:r>
          </w:p>
        </w:tc>
        <w:tc>
          <w:tcPr>
            <w:tcW w:w="422"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t>BBB</w:t>
            </w:r>
          </w:p>
        </w:tc>
      </w:tr>
      <w:tr w:rsidR="00E64331" w:rsidRPr="007D3E67" w:rsidTr="007505A3">
        <w:trPr>
          <w:cnfStyle w:val="000000010000" w:firstRow="0" w:lastRow="0" w:firstColumn="0" w:lastColumn="0" w:oddVBand="0" w:evenVBand="0" w:oddHBand="0" w:evenHBand="1" w:firstRowFirstColumn="0" w:firstRowLastColumn="0" w:lastRowFirstColumn="0" w:lastRowLastColumn="0"/>
        </w:trPr>
        <w:tc>
          <w:tcPr>
            <w:tcW w:w="870" w:type="pct"/>
          </w:tcPr>
          <w:p w:rsidR="00E64331" w:rsidRPr="00E64331" w:rsidRDefault="00E64331" w:rsidP="007D2D50">
            <w:r w:rsidRPr="007D3E67">
              <w:t xml:space="preserve">ATCO Gas Australian LP </w:t>
            </w:r>
          </w:p>
        </w:tc>
        <w:tc>
          <w:tcPr>
            <w:tcW w:w="422" w:type="pct"/>
          </w:tcPr>
          <w:p w:rsidR="00E64331" w:rsidRPr="00E64331" w:rsidRDefault="00E64331" w:rsidP="007D2D50">
            <w:r w:rsidRPr="007D3E67">
              <w:t>NR</w:t>
            </w:r>
          </w:p>
        </w:tc>
        <w:tc>
          <w:tcPr>
            <w:tcW w:w="422" w:type="pct"/>
          </w:tcPr>
          <w:p w:rsidR="00E64331" w:rsidRPr="00E64331" w:rsidRDefault="00E64331" w:rsidP="007D2D50">
            <w:r w:rsidRPr="007D3E67">
              <w:t>NR</w:t>
            </w:r>
          </w:p>
        </w:tc>
        <w:tc>
          <w:tcPr>
            <w:tcW w:w="422" w:type="pct"/>
          </w:tcPr>
          <w:p w:rsidR="00E64331" w:rsidRPr="00E64331" w:rsidRDefault="00E64331" w:rsidP="007D2D50">
            <w:r w:rsidRPr="007D3E67">
              <w:t>NR</w:t>
            </w:r>
          </w:p>
        </w:tc>
        <w:tc>
          <w:tcPr>
            <w:tcW w:w="422" w:type="pct"/>
          </w:tcPr>
          <w:p w:rsidR="00E64331" w:rsidRPr="00E64331" w:rsidRDefault="00E64331" w:rsidP="007D2D50">
            <w:r w:rsidRPr="007D3E67">
              <w:t>NR</w:t>
            </w:r>
          </w:p>
        </w:tc>
        <w:tc>
          <w:tcPr>
            <w:tcW w:w="393" w:type="pct"/>
          </w:tcPr>
          <w:p w:rsidR="00E64331" w:rsidRPr="00E64331" w:rsidRDefault="00E64331" w:rsidP="007D2D50">
            <w:r w:rsidRPr="007D3E67">
              <w:t>NR</w:t>
            </w:r>
          </w:p>
        </w:tc>
        <w:tc>
          <w:tcPr>
            <w:tcW w:w="393"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422"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422" w:type="pct"/>
          </w:tcPr>
          <w:p w:rsidR="00E64331" w:rsidRPr="00E64331" w:rsidRDefault="00E64331" w:rsidP="007D2D50">
            <w:r>
              <w:t>A-</w:t>
            </w:r>
          </w:p>
        </w:tc>
      </w:tr>
      <w:tr w:rsidR="00E64331" w:rsidRPr="007D3E67" w:rsidTr="007505A3">
        <w:tc>
          <w:tcPr>
            <w:tcW w:w="870" w:type="pct"/>
          </w:tcPr>
          <w:p w:rsidR="00E64331" w:rsidRPr="00E64331" w:rsidRDefault="00E64331" w:rsidP="007D2D50">
            <w:r w:rsidRPr="007D3E67">
              <w:t>DBNGP Trust</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t>BBB-</w:t>
            </w:r>
          </w:p>
        </w:tc>
      </w:tr>
      <w:tr w:rsidR="00E64331" w:rsidRPr="007D3E67" w:rsidTr="007505A3">
        <w:trPr>
          <w:cnfStyle w:val="000000010000" w:firstRow="0" w:lastRow="0" w:firstColumn="0" w:lastColumn="0" w:oddVBand="0" w:evenVBand="0" w:oddHBand="0" w:evenHBand="1" w:firstRowFirstColumn="0" w:firstRowLastColumn="0" w:lastRowFirstColumn="0" w:lastRowLastColumn="0"/>
        </w:trPr>
        <w:tc>
          <w:tcPr>
            <w:tcW w:w="870" w:type="pct"/>
          </w:tcPr>
          <w:p w:rsidR="00E64331" w:rsidRPr="00E64331" w:rsidRDefault="00E64331" w:rsidP="007D2D50">
            <w:r w:rsidRPr="007D3E67">
              <w:t xml:space="preserve">DUET Group </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422" w:type="pct"/>
          </w:tcPr>
          <w:p w:rsidR="00E64331" w:rsidRPr="00E64331" w:rsidRDefault="00E64331" w:rsidP="007D2D50">
            <w:r w:rsidRPr="007D3E67">
              <w:t>NR</w:t>
            </w:r>
          </w:p>
        </w:tc>
        <w:tc>
          <w:tcPr>
            <w:tcW w:w="422" w:type="pct"/>
          </w:tcPr>
          <w:p w:rsidR="00E64331" w:rsidRPr="00E64331" w:rsidRDefault="00E64331" w:rsidP="007D2D50">
            <w:r w:rsidRPr="007D3E67">
              <w:t>NR</w:t>
            </w:r>
          </w:p>
        </w:tc>
        <w:tc>
          <w:tcPr>
            <w:tcW w:w="422" w:type="pct"/>
          </w:tcPr>
          <w:p w:rsidR="00E64331" w:rsidRPr="00E64331" w:rsidRDefault="00E64331" w:rsidP="007D2D50">
            <w:r>
              <w:t>NR</w:t>
            </w:r>
          </w:p>
        </w:tc>
      </w:tr>
      <w:tr w:rsidR="00E64331" w:rsidRPr="007D3E67" w:rsidTr="007505A3">
        <w:tc>
          <w:tcPr>
            <w:tcW w:w="870" w:type="pct"/>
          </w:tcPr>
          <w:p w:rsidR="00E64331" w:rsidRPr="00E64331" w:rsidRDefault="00E64331" w:rsidP="007D2D50">
            <w:r w:rsidRPr="007D3E67">
              <w:t>ElectraNet</w:t>
            </w:r>
            <w:r w:rsidRPr="00E64331">
              <w:t xml:space="preserve"> Pty Ltd </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r w:rsidRPr="00E64331">
              <w:t>+</w:t>
            </w:r>
          </w:p>
        </w:tc>
        <w:tc>
          <w:tcPr>
            <w:tcW w:w="422" w:type="pct"/>
          </w:tcPr>
          <w:p w:rsidR="00E64331" w:rsidRPr="00E64331" w:rsidRDefault="00E64331" w:rsidP="007D2D50">
            <w:r>
              <w:t>BBB+</w:t>
            </w:r>
          </w:p>
        </w:tc>
      </w:tr>
      <w:tr w:rsidR="00E64331" w:rsidRPr="007D3E67" w:rsidTr="007505A3">
        <w:trPr>
          <w:cnfStyle w:val="000000010000" w:firstRow="0" w:lastRow="0" w:firstColumn="0" w:lastColumn="0" w:oddVBand="0" w:evenVBand="0" w:oddHBand="0" w:evenHBand="1" w:firstRowFirstColumn="0" w:firstRowLastColumn="0" w:lastRowFirstColumn="0" w:lastRowLastColumn="0"/>
        </w:trPr>
        <w:tc>
          <w:tcPr>
            <w:tcW w:w="870" w:type="pct"/>
          </w:tcPr>
          <w:p w:rsidR="00E64331" w:rsidRPr="00E64331" w:rsidRDefault="00E64331" w:rsidP="007D2D50">
            <w:r w:rsidRPr="007D3E67">
              <w:t xml:space="preserve">Energy </w:t>
            </w:r>
            <w:r w:rsidRPr="00E64331">
              <w:t>Partnership (Gas) Pty Ltd</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t>BBB-</w:t>
            </w:r>
          </w:p>
        </w:tc>
      </w:tr>
      <w:tr w:rsidR="00E64331" w:rsidRPr="007D3E67" w:rsidTr="007505A3">
        <w:tc>
          <w:tcPr>
            <w:tcW w:w="870" w:type="pct"/>
          </w:tcPr>
          <w:p w:rsidR="00E64331" w:rsidRPr="00E64331" w:rsidRDefault="00E64331" w:rsidP="007D2D50">
            <w:r>
              <w:t>Australian Gas Networks</w:t>
            </w:r>
            <w:r w:rsidRPr="00E64331">
              <w:t xml:space="preserve"> Ltd </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t>BBB+</w:t>
            </w:r>
          </w:p>
        </w:tc>
      </w:tr>
      <w:tr w:rsidR="00E64331" w:rsidRPr="007D3E67" w:rsidTr="007505A3">
        <w:trPr>
          <w:cnfStyle w:val="000000010000" w:firstRow="0" w:lastRow="0" w:firstColumn="0" w:lastColumn="0" w:oddVBand="0" w:evenVBand="0" w:oddHBand="0" w:evenHBand="1" w:firstRowFirstColumn="0" w:firstRowLastColumn="0" w:lastRowFirstColumn="0" w:lastRowLastColumn="0"/>
        </w:trPr>
        <w:tc>
          <w:tcPr>
            <w:tcW w:w="870" w:type="pct"/>
          </w:tcPr>
          <w:p w:rsidR="00E64331" w:rsidRPr="00E64331" w:rsidRDefault="00E64331" w:rsidP="007D2D50">
            <w:r w:rsidRPr="007D3E67">
              <w:t>ETSA Utilities</w:t>
            </w:r>
          </w:p>
        </w:tc>
        <w:tc>
          <w:tcPr>
            <w:tcW w:w="422"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393" w:type="pct"/>
          </w:tcPr>
          <w:p w:rsidR="00E64331" w:rsidRPr="00E64331" w:rsidRDefault="00E64331" w:rsidP="007D2D50">
            <w:r w:rsidRPr="007D3E67">
              <w:t>A-</w:t>
            </w:r>
          </w:p>
        </w:tc>
        <w:tc>
          <w:tcPr>
            <w:tcW w:w="393" w:type="pct"/>
          </w:tcPr>
          <w:p w:rsidR="00E64331" w:rsidRPr="00E64331" w:rsidRDefault="00E64331" w:rsidP="007D2D50">
            <w:r w:rsidRPr="007D3E67">
              <w:t>A-</w:t>
            </w:r>
          </w:p>
        </w:tc>
        <w:tc>
          <w:tcPr>
            <w:tcW w:w="393"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422" w:type="pct"/>
          </w:tcPr>
          <w:p w:rsidR="00E64331" w:rsidRPr="00E64331" w:rsidRDefault="00E64331" w:rsidP="007D2D50">
            <w:r>
              <w:t>A-</w:t>
            </w:r>
          </w:p>
        </w:tc>
      </w:tr>
      <w:tr w:rsidR="00E64331" w:rsidRPr="007D3E67" w:rsidTr="007505A3">
        <w:tc>
          <w:tcPr>
            <w:tcW w:w="870" w:type="pct"/>
          </w:tcPr>
          <w:p w:rsidR="00E64331" w:rsidRPr="00E64331" w:rsidRDefault="00E64331" w:rsidP="007D2D50">
            <w:r w:rsidRPr="007D3E67">
              <w:t>Powercor</w:t>
            </w:r>
            <w:r w:rsidRPr="00E64331">
              <w:t xml:space="preserve"> Australia LLC</w:t>
            </w:r>
          </w:p>
        </w:tc>
        <w:tc>
          <w:tcPr>
            <w:tcW w:w="422"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393" w:type="pct"/>
          </w:tcPr>
          <w:p w:rsidR="00E64331" w:rsidRPr="00E64331" w:rsidRDefault="00E64331" w:rsidP="007D2D50">
            <w:r w:rsidRPr="007D3E67">
              <w:t>A-</w:t>
            </w:r>
          </w:p>
        </w:tc>
        <w:tc>
          <w:tcPr>
            <w:tcW w:w="393" w:type="pct"/>
          </w:tcPr>
          <w:p w:rsidR="00E64331" w:rsidRPr="00E64331" w:rsidRDefault="00E64331" w:rsidP="007D2D50">
            <w:r w:rsidRPr="007D3E67">
              <w:t>A-</w:t>
            </w:r>
          </w:p>
        </w:tc>
        <w:tc>
          <w:tcPr>
            <w:tcW w:w="393" w:type="pct"/>
          </w:tcPr>
          <w:p w:rsidR="00E64331" w:rsidRPr="00E64331" w:rsidRDefault="00E64331" w:rsidP="007D2D50">
            <w:r w:rsidRPr="007D3E67">
              <w:t>A-</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200BFA">
              <w:t>N</w:t>
            </w:r>
            <w:r w:rsidRPr="00E64331">
              <w:t>R</w:t>
            </w:r>
          </w:p>
        </w:tc>
      </w:tr>
      <w:tr w:rsidR="00E64331" w:rsidRPr="007D3E67" w:rsidTr="007505A3">
        <w:trPr>
          <w:cnfStyle w:val="000000010000" w:firstRow="0" w:lastRow="0" w:firstColumn="0" w:lastColumn="0" w:oddVBand="0" w:evenVBand="0" w:oddHBand="0" w:evenHBand="1" w:firstRowFirstColumn="0" w:firstRowLastColumn="0" w:lastRowFirstColumn="0" w:lastRowLastColumn="0"/>
        </w:trPr>
        <w:tc>
          <w:tcPr>
            <w:tcW w:w="870" w:type="pct"/>
          </w:tcPr>
          <w:p w:rsidR="00E64331" w:rsidRPr="00E64331" w:rsidRDefault="00E64331" w:rsidP="007D2D50">
            <w:r>
              <w:t>AusNet Services</w:t>
            </w:r>
          </w:p>
        </w:tc>
        <w:tc>
          <w:tcPr>
            <w:tcW w:w="422"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393" w:type="pct"/>
          </w:tcPr>
          <w:p w:rsidR="00E64331" w:rsidRPr="00E64331" w:rsidRDefault="00E64331" w:rsidP="007D2D50">
            <w:r w:rsidRPr="007D3E67">
              <w:t>A-</w:t>
            </w:r>
          </w:p>
        </w:tc>
        <w:tc>
          <w:tcPr>
            <w:tcW w:w="393" w:type="pct"/>
          </w:tcPr>
          <w:p w:rsidR="00E64331" w:rsidRPr="00E64331" w:rsidRDefault="00E64331" w:rsidP="007D2D50">
            <w:r w:rsidRPr="007D3E67">
              <w:t>A-</w:t>
            </w:r>
          </w:p>
        </w:tc>
        <w:tc>
          <w:tcPr>
            <w:tcW w:w="393"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422" w:type="pct"/>
          </w:tcPr>
          <w:p w:rsidR="00E64331" w:rsidRPr="00E64331" w:rsidRDefault="00E64331" w:rsidP="007D2D50">
            <w:r>
              <w:t>A-</w:t>
            </w:r>
          </w:p>
        </w:tc>
      </w:tr>
      <w:tr w:rsidR="00E64331" w:rsidRPr="007D3E67" w:rsidTr="007505A3">
        <w:tc>
          <w:tcPr>
            <w:tcW w:w="870" w:type="pct"/>
          </w:tcPr>
          <w:p w:rsidR="00E64331" w:rsidRPr="00E64331" w:rsidRDefault="00E64331" w:rsidP="007D2D50">
            <w:r>
              <w:t xml:space="preserve">SGSP </w:t>
            </w:r>
            <w:r w:rsidRPr="00E64331">
              <w:t>Australia Assets Pty Ltd</w:t>
            </w:r>
          </w:p>
        </w:tc>
        <w:tc>
          <w:tcPr>
            <w:tcW w:w="422" w:type="pct"/>
          </w:tcPr>
          <w:p w:rsidR="00E64331" w:rsidRPr="00E64331" w:rsidRDefault="00E64331" w:rsidP="007D2D50">
            <w:r w:rsidRPr="007D3E67">
              <w:t>NR</w:t>
            </w:r>
          </w:p>
        </w:tc>
        <w:tc>
          <w:tcPr>
            <w:tcW w:w="422" w:type="pct"/>
          </w:tcPr>
          <w:p w:rsidR="00E64331" w:rsidRPr="00E64331" w:rsidRDefault="00E64331" w:rsidP="007D2D50">
            <w:r w:rsidRPr="007D3E67">
              <w:t>NR</w:t>
            </w:r>
          </w:p>
        </w:tc>
        <w:tc>
          <w:tcPr>
            <w:tcW w:w="422"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393" w:type="pct"/>
          </w:tcPr>
          <w:p w:rsidR="00E64331" w:rsidRPr="00E64331" w:rsidRDefault="00E64331" w:rsidP="007D2D50">
            <w:r w:rsidRPr="007D3E67">
              <w:t>A-</w:t>
            </w:r>
          </w:p>
        </w:tc>
        <w:tc>
          <w:tcPr>
            <w:tcW w:w="393" w:type="pct"/>
          </w:tcPr>
          <w:p w:rsidR="00E64331" w:rsidRPr="00E64331" w:rsidRDefault="00E64331" w:rsidP="007D2D50">
            <w:r w:rsidRPr="007D3E67">
              <w:t>A-</w:t>
            </w:r>
          </w:p>
        </w:tc>
        <w:tc>
          <w:tcPr>
            <w:tcW w:w="393" w:type="pct"/>
          </w:tcPr>
          <w:p w:rsidR="00E64331" w:rsidRPr="00E64331" w:rsidRDefault="00E64331" w:rsidP="007D2D50">
            <w:r w:rsidRPr="007D3E67">
              <w:t>A-</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t>BBB+</w:t>
            </w:r>
          </w:p>
        </w:tc>
      </w:tr>
      <w:tr w:rsidR="00E64331" w:rsidRPr="007D3E67" w:rsidTr="007505A3">
        <w:trPr>
          <w:cnfStyle w:val="000000010000" w:firstRow="0" w:lastRow="0" w:firstColumn="0" w:lastColumn="0" w:oddVBand="0" w:evenVBand="0" w:oddHBand="0" w:evenHBand="1" w:firstRowFirstColumn="0" w:firstRowLastColumn="0" w:lastRowFirstColumn="0" w:lastRowLastColumn="0"/>
        </w:trPr>
        <w:tc>
          <w:tcPr>
            <w:tcW w:w="870" w:type="pct"/>
          </w:tcPr>
          <w:p w:rsidR="00E64331" w:rsidRPr="00E64331" w:rsidRDefault="00E64331" w:rsidP="007D2D50">
            <w:r w:rsidRPr="007D3E67">
              <w:t xml:space="preserve">The CitiPower Trust </w:t>
            </w:r>
          </w:p>
        </w:tc>
        <w:tc>
          <w:tcPr>
            <w:tcW w:w="422"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422" w:type="pct"/>
          </w:tcPr>
          <w:p w:rsidR="00E64331" w:rsidRPr="00E64331" w:rsidRDefault="00E64331" w:rsidP="007D2D50">
            <w:r w:rsidRPr="007D3E67">
              <w:t>A-</w:t>
            </w:r>
          </w:p>
        </w:tc>
        <w:tc>
          <w:tcPr>
            <w:tcW w:w="393" w:type="pct"/>
          </w:tcPr>
          <w:p w:rsidR="00E64331" w:rsidRPr="00E64331" w:rsidRDefault="00E64331" w:rsidP="007D2D50">
            <w:r w:rsidRPr="007D3E67">
              <w:t>A-</w:t>
            </w:r>
          </w:p>
        </w:tc>
        <w:tc>
          <w:tcPr>
            <w:tcW w:w="393" w:type="pct"/>
          </w:tcPr>
          <w:p w:rsidR="00E64331" w:rsidRPr="00E64331" w:rsidRDefault="00E64331" w:rsidP="007D2D50">
            <w:r w:rsidRPr="007D3E67">
              <w:t>A-</w:t>
            </w:r>
          </w:p>
        </w:tc>
        <w:tc>
          <w:tcPr>
            <w:tcW w:w="393" w:type="pct"/>
          </w:tcPr>
          <w:p w:rsidR="00E64331" w:rsidRPr="00E64331" w:rsidRDefault="00E64331" w:rsidP="007D2D50">
            <w:r w:rsidRPr="007D3E67">
              <w:t>A-</w:t>
            </w:r>
          </w:p>
        </w:tc>
        <w:tc>
          <w:tcPr>
            <w:tcW w:w="422" w:type="pct"/>
          </w:tcPr>
          <w:p w:rsidR="00E64331" w:rsidRPr="00E64331" w:rsidRDefault="00E64331" w:rsidP="007D2D50">
            <w:r>
              <w:t>BBB+</w:t>
            </w:r>
          </w:p>
        </w:tc>
        <w:tc>
          <w:tcPr>
            <w:tcW w:w="422" w:type="pct"/>
          </w:tcPr>
          <w:p w:rsidR="00E64331" w:rsidRPr="00E64331" w:rsidRDefault="00E64331" w:rsidP="007D2D50">
            <w:r>
              <w:t>BBB+</w:t>
            </w:r>
          </w:p>
        </w:tc>
        <w:tc>
          <w:tcPr>
            <w:tcW w:w="422" w:type="pct"/>
          </w:tcPr>
          <w:p w:rsidR="00E64331" w:rsidRPr="00E64331" w:rsidRDefault="00E64331" w:rsidP="007D2D50">
            <w:r>
              <w:t>NR</w:t>
            </w:r>
          </w:p>
        </w:tc>
      </w:tr>
      <w:tr w:rsidR="00E64331" w:rsidRPr="007D3E67" w:rsidTr="007505A3">
        <w:tc>
          <w:tcPr>
            <w:tcW w:w="870" w:type="pct"/>
          </w:tcPr>
          <w:p w:rsidR="00E64331" w:rsidRPr="00E64331" w:rsidRDefault="00E64331" w:rsidP="007D2D50">
            <w:r w:rsidRPr="007D3E67">
              <w:t xml:space="preserve">United Energy Distribution </w:t>
            </w:r>
            <w:r w:rsidRPr="00E64331">
              <w:t>Pty Ltd</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422" w:type="pct"/>
          </w:tcPr>
          <w:p w:rsidR="00E64331" w:rsidRPr="00E64331" w:rsidRDefault="00E64331" w:rsidP="007D2D50">
            <w:r>
              <w:t>BBB</w:t>
            </w:r>
          </w:p>
        </w:tc>
      </w:tr>
      <w:tr w:rsidR="00E64331" w:rsidRPr="007D3E67" w:rsidTr="007505A3">
        <w:trPr>
          <w:cnfStyle w:val="000000010000" w:firstRow="0" w:lastRow="0" w:firstColumn="0" w:lastColumn="0" w:oddVBand="0" w:evenVBand="0" w:oddHBand="0" w:evenHBand="1" w:firstRowFirstColumn="0" w:firstRowLastColumn="0" w:lastRowFirstColumn="0" w:lastRowLastColumn="0"/>
        </w:trPr>
        <w:tc>
          <w:tcPr>
            <w:tcW w:w="870" w:type="pct"/>
          </w:tcPr>
          <w:p w:rsidR="00E64331" w:rsidRPr="00E64331" w:rsidRDefault="00E64331" w:rsidP="007D2D50">
            <w:r>
              <w:t xml:space="preserve">Victoria </w:t>
            </w:r>
            <w:r w:rsidRPr="00E64331">
              <w:t>Power Networks Pty Ltd</w:t>
            </w:r>
          </w:p>
        </w:tc>
        <w:tc>
          <w:tcPr>
            <w:tcW w:w="422" w:type="pct"/>
          </w:tcPr>
          <w:p w:rsidR="00E64331" w:rsidRPr="00E64331" w:rsidRDefault="00E64331" w:rsidP="007D2D50">
            <w:r>
              <w:t>NR</w:t>
            </w:r>
          </w:p>
        </w:tc>
        <w:tc>
          <w:tcPr>
            <w:tcW w:w="422" w:type="pct"/>
          </w:tcPr>
          <w:p w:rsidR="00E64331" w:rsidRPr="00E64331" w:rsidRDefault="00E64331" w:rsidP="007D2D50">
            <w:r>
              <w:t>NR</w:t>
            </w:r>
          </w:p>
        </w:tc>
        <w:tc>
          <w:tcPr>
            <w:tcW w:w="422" w:type="pct"/>
          </w:tcPr>
          <w:p w:rsidR="00E64331" w:rsidRPr="00E64331" w:rsidRDefault="00E64331" w:rsidP="007D2D50">
            <w:r>
              <w:t>NR</w:t>
            </w:r>
          </w:p>
        </w:tc>
        <w:tc>
          <w:tcPr>
            <w:tcW w:w="422" w:type="pct"/>
          </w:tcPr>
          <w:p w:rsidR="00E64331" w:rsidRPr="00E64331" w:rsidRDefault="00E64331" w:rsidP="007D2D50">
            <w:r>
              <w:t>NR</w:t>
            </w:r>
          </w:p>
        </w:tc>
        <w:tc>
          <w:tcPr>
            <w:tcW w:w="393" w:type="pct"/>
          </w:tcPr>
          <w:p w:rsidR="00E64331" w:rsidRPr="00E64331" w:rsidRDefault="00E64331" w:rsidP="007D2D50">
            <w:r>
              <w:t>NR</w:t>
            </w:r>
          </w:p>
        </w:tc>
        <w:tc>
          <w:tcPr>
            <w:tcW w:w="393" w:type="pct"/>
          </w:tcPr>
          <w:p w:rsidR="00E64331" w:rsidRPr="00E64331" w:rsidRDefault="00E64331" w:rsidP="007D2D50">
            <w:r>
              <w:t>NR</w:t>
            </w:r>
          </w:p>
        </w:tc>
        <w:tc>
          <w:tcPr>
            <w:tcW w:w="393" w:type="pct"/>
          </w:tcPr>
          <w:p w:rsidR="00E64331" w:rsidRPr="00E64331" w:rsidRDefault="00E64331" w:rsidP="007D2D50">
            <w:r>
              <w:t>NR</w:t>
            </w:r>
          </w:p>
        </w:tc>
        <w:tc>
          <w:tcPr>
            <w:tcW w:w="422" w:type="pct"/>
          </w:tcPr>
          <w:p w:rsidR="00E64331" w:rsidRPr="00E64331" w:rsidRDefault="00E64331" w:rsidP="007D2D50">
            <w:r>
              <w:t>NR</w:t>
            </w:r>
          </w:p>
        </w:tc>
        <w:tc>
          <w:tcPr>
            <w:tcW w:w="422" w:type="pct"/>
          </w:tcPr>
          <w:p w:rsidR="00E64331" w:rsidRPr="00E64331" w:rsidRDefault="00E64331" w:rsidP="007D2D50">
            <w:r>
              <w:t>NR</w:t>
            </w:r>
          </w:p>
        </w:tc>
        <w:tc>
          <w:tcPr>
            <w:tcW w:w="422" w:type="pct"/>
          </w:tcPr>
          <w:p w:rsidR="00E64331" w:rsidRPr="00E64331" w:rsidRDefault="00E64331" w:rsidP="007D2D50">
            <w:r>
              <w:t>BBB+</w:t>
            </w:r>
          </w:p>
        </w:tc>
      </w:tr>
      <w:tr w:rsidR="00E64331" w:rsidRPr="007D3E67" w:rsidTr="007505A3">
        <w:tc>
          <w:tcPr>
            <w:tcW w:w="870" w:type="pct"/>
          </w:tcPr>
          <w:p w:rsidR="00E64331" w:rsidRPr="00E64331" w:rsidRDefault="00E64331" w:rsidP="007D2D50">
            <w:r w:rsidRPr="007D3E67">
              <w:t>Median (year)</w:t>
            </w:r>
          </w:p>
        </w:tc>
        <w:tc>
          <w:tcPr>
            <w:tcW w:w="422" w:type="pct"/>
          </w:tcPr>
          <w:p w:rsidR="00E64331" w:rsidRPr="00E64331" w:rsidRDefault="00E64331" w:rsidP="007D2D50">
            <w:r>
              <w:t xml:space="preserve">BBB/ </w:t>
            </w:r>
            <w:r w:rsidRPr="00E64331">
              <w:t>BBB+</w:t>
            </w:r>
          </w:p>
        </w:tc>
        <w:tc>
          <w:tcPr>
            <w:tcW w:w="422" w:type="pct"/>
          </w:tcPr>
          <w:p w:rsidR="00E64331" w:rsidRPr="00E64331" w:rsidRDefault="00E64331" w:rsidP="007D2D50">
            <w:r>
              <w:t xml:space="preserve">BBB/ </w:t>
            </w:r>
            <w:r w:rsidRPr="00E64331">
              <w:t>BBB+</w:t>
            </w:r>
          </w:p>
        </w:tc>
        <w:tc>
          <w:tcPr>
            <w:tcW w:w="422" w:type="pct"/>
          </w:tcPr>
          <w:p w:rsidR="00E64331" w:rsidRPr="00E64331" w:rsidRDefault="00E64331" w:rsidP="007D2D50">
            <w:r w:rsidRPr="007D3E67">
              <w:t>BBB+</w:t>
            </w:r>
          </w:p>
        </w:tc>
        <w:tc>
          <w:tcPr>
            <w:tcW w:w="422"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393" w:type="pct"/>
          </w:tcPr>
          <w:p w:rsidR="00E64331" w:rsidRPr="00E64331" w:rsidRDefault="00E64331" w:rsidP="007D2D50">
            <w:r w:rsidRPr="007D3E67">
              <w:t>BBB</w:t>
            </w:r>
          </w:p>
        </w:tc>
        <w:tc>
          <w:tcPr>
            <w:tcW w:w="422" w:type="pct"/>
          </w:tcPr>
          <w:p w:rsidR="00E64331" w:rsidRPr="00E64331" w:rsidRDefault="00E64331" w:rsidP="007D2D50">
            <w:r>
              <w:t>BBB/ BBB+</w:t>
            </w:r>
          </w:p>
        </w:tc>
        <w:tc>
          <w:tcPr>
            <w:tcW w:w="422" w:type="pct"/>
          </w:tcPr>
          <w:p w:rsidR="00E64331" w:rsidRPr="00E64331" w:rsidRDefault="00E64331" w:rsidP="007D2D50">
            <w:r w:rsidRPr="007D3E67">
              <w:t>BBB+</w:t>
            </w:r>
          </w:p>
        </w:tc>
        <w:tc>
          <w:tcPr>
            <w:tcW w:w="422" w:type="pct"/>
          </w:tcPr>
          <w:p w:rsidR="00E64331" w:rsidRPr="00E64331" w:rsidRDefault="00E64331" w:rsidP="007D2D50">
            <w:r>
              <w:t>BBB+</w:t>
            </w:r>
          </w:p>
        </w:tc>
      </w:tr>
    </w:tbl>
    <w:p w:rsidR="00E64331" w:rsidRDefault="00E64331" w:rsidP="00E64331">
      <w:pPr>
        <w:pStyle w:val="AERtablesource"/>
      </w:pPr>
      <w:r w:rsidRPr="00411A04">
        <w:t>Source:</w:t>
      </w:r>
      <w:r w:rsidRPr="00411A04">
        <w:tab/>
        <w:t>Bloomberg</w:t>
      </w:r>
      <w:r>
        <w:t xml:space="preserve">, </w:t>
      </w:r>
      <w:r w:rsidRPr="00411A04">
        <w:t xml:space="preserve">Standard and Poor's, AER analysis. </w:t>
      </w:r>
    </w:p>
    <w:p w:rsidR="008B6DB4" w:rsidRDefault="008B6DB4" w:rsidP="00BB7AE6">
      <w:pPr>
        <w:pStyle w:val="HeadingBoldItalic"/>
        <w:keepNext/>
      </w:pPr>
      <w:r>
        <w:t>Use of independent third party data series</w:t>
      </w:r>
    </w:p>
    <w:p w:rsidR="008B6DB4" w:rsidRPr="0031633C" w:rsidRDefault="008B6DB4" w:rsidP="00BB7AE6">
      <w:pPr>
        <w:keepNext/>
        <w:numPr>
          <w:ilvl w:val="0"/>
          <w:numId w:val="24"/>
        </w:numPr>
      </w:pPr>
      <w:r w:rsidRPr="0031633C">
        <w:t>Our decision is to estimate the return on debt by reference to an independent third party data series. Using third party data series is the same approach we proposed in the Guideline.</w:t>
      </w:r>
      <w:r w:rsidRPr="0031633C">
        <w:rPr>
          <w:rStyle w:val="AERsuperscript"/>
        </w:rPr>
        <w:footnoteReference w:id="476"/>
      </w:r>
    </w:p>
    <w:p w:rsidR="008B6DB4" w:rsidRDefault="008B6DB4" w:rsidP="008B6DB4">
      <w:pPr>
        <w:numPr>
          <w:ilvl w:val="0"/>
          <w:numId w:val="24"/>
        </w:numPr>
      </w:pPr>
      <w:r>
        <w:t>S</w:t>
      </w:r>
      <w:r w:rsidRPr="0031633C">
        <w:t>ervice provider</w:t>
      </w:r>
      <w:r>
        <w:t>s</w:t>
      </w:r>
      <w:r w:rsidRPr="0031633C">
        <w:t xml:space="preserve"> </w:t>
      </w:r>
      <w:r>
        <w:t xml:space="preserve">with </w:t>
      </w:r>
      <w:r w:rsidRPr="0031633C">
        <w:t>proposals currently before us all propose</w:t>
      </w:r>
      <w:r>
        <w:t>d</w:t>
      </w:r>
      <w:r w:rsidRPr="0031633C">
        <w:t xml:space="preserve"> using </w:t>
      </w:r>
      <w:r>
        <w:t xml:space="preserve">independent </w:t>
      </w:r>
      <w:r w:rsidRPr="0031633C">
        <w:t>third party data series</w:t>
      </w:r>
      <w:r w:rsidRPr="0031633C" w:rsidDel="0079452F">
        <w:t xml:space="preserve"> </w:t>
      </w:r>
      <w:r w:rsidRPr="0031633C">
        <w:t>to estimate the return on debt</w:t>
      </w:r>
      <w:r>
        <w:t>, with the exception of United Energy</w:t>
      </w:r>
      <w:r w:rsidRPr="0031633C">
        <w:t xml:space="preserve">. </w:t>
      </w:r>
      <w:r>
        <w:t>While United Energy stated its proposal is based only on independent third party data series, an examination of United Energy's proposed method reveals that this is not the case.</w:t>
      </w:r>
      <w:r>
        <w:rPr>
          <w:rStyle w:val="FootnoteReference"/>
        </w:rPr>
        <w:footnoteReference w:id="477"/>
      </w:r>
    </w:p>
    <w:p w:rsidR="008B6DB4" w:rsidRPr="0031633C" w:rsidRDefault="008B6DB4" w:rsidP="008B6DB4">
      <w:pPr>
        <w:numPr>
          <w:ilvl w:val="0"/>
          <w:numId w:val="24"/>
        </w:numPr>
      </w:pPr>
      <w:r w:rsidRPr="0031633C">
        <w:t xml:space="preserve">We agree with </w:t>
      </w:r>
      <w:r>
        <w:t xml:space="preserve">the service providers that proposed to use independent </w:t>
      </w:r>
      <w:r w:rsidRPr="0031633C">
        <w:t xml:space="preserve">third party data series to estimate the return on debt. </w:t>
      </w:r>
      <w:r>
        <w:t xml:space="preserve">We do not agree with United Energy's proposal which would require the AER to empirically derive its own yield curves, based on United Energy's proposed method of estimation, rather than using only yield curves sourced from independent third party providers. </w:t>
      </w:r>
    </w:p>
    <w:p w:rsidR="008B6DB4" w:rsidRDefault="008B6DB4" w:rsidP="008B6DB4">
      <w:pPr>
        <w:numPr>
          <w:ilvl w:val="0"/>
          <w:numId w:val="24"/>
        </w:numPr>
      </w:pPr>
      <w:r w:rsidRPr="0031633C">
        <w:t xml:space="preserve">The CCP and several other consumer groups raised our use of third party data service providers as an issue in several of the current </w:t>
      </w:r>
      <w:r>
        <w:t>or recent regulatory processes</w:t>
      </w:r>
      <w:r w:rsidRPr="0031633C">
        <w:t>. For instance, the CCP recommended using service providers' actual borrowing costs as a reasonableness check and/or using an industry index based on actual borrowing costs.</w:t>
      </w:r>
      <w:r w:rsidRPr="0031633C">
        <w:rPr>
          <w:rStyle w:val="AERsuperscript"/>
        </w:rPr>
        <w:footnoteReference w:id="478"/>
      </w:r>
      <w:r w:rsidRPr="0031633C">
        <w:t xml:space="preserve"> </w:t>
      </w:r>
    </w:p>
    <w:p w:rsidR="008B6DB4" w:rsidRPr="0031633C" w:rsidRDefault="008B6DB4" w:rsidP="008B6DB4">
      <w:pPr>
        <w:numPr>
          <w:ilvl w:val="0"/>
          <w:numId w:val="24"/>
        </w:numPr>
      </w:pPr>
      <w:r w:rsidRPr="0031633C">
        <w:t xml:space="preserve">We are satisfied that using a third party data series (or multiple series), appropriately chosen, is commensurate with the efficient debt financing costs of </w:t>
      </w:r>
      <w:r>
        <w:t>a</w:t>
      </w:r>
      <w:r w:rsidRPr="0031633C">
        <w:t xml:space="preserve"> benchmark efficient entity. It is also consistent with the rule requirement that the change in revenue (resulting from the annual debt update) is effected through the automatic application of a formula that is specified in the determination. This is because:</w:t>
      </w:r>
    </w:p>
    <w:p w:rsidR="008B6DB4" w:rsidRPr="008B6DB4" w:rsidRDefault="008B6DB4" w:rsidP="008B6DB4">
      <w:pPr>
        <w:pStyle w:val="AERbulletlistfirststyle"/>
      </w:pPr>
      <w:r w:rsidRPr="0031633C">
        <w:t xml:space="preserve">A third party data series can be </w:t>
      </w:r>
      <w:r w:rsidRPr="008B6DB4">
        <w:t>practically applied in the annual debt update process—We discuss this point further below.</w:t>
      </w:r>
    </w:p>
    <w:p w:rsidR="008B6DB4" w:rsidRPr="008B6DB4" w:rsidRDefault="008B6DB4" w:rsidP="008B6DB4">
      <w:pPr>
        <w:pStyle w:val="AERbulletlistfirststyle"/>
      </w:pPr>
      <w:r w:rsidRPr="0031633C">
        <w:t>A third party data series is independent information developed by finance experts with access to financial datasets—These experts develop this independently from the regulatory process and for the use of market practitioners.</w:t>
      </w:r>
    </w:p>
    <w:p w:rsidR="008B6DB4" w:rsidRPr="008B6DB4" w:rsidRDefault="008B6DB4" w:rsidP="008B6DB4">
      <w:pPr>
        <w:pStyle w:val="AERbulletlistfirststyle"/>
      </w:pPr>
      <w:r w:rsidRPr="0031633C">
        <w:t xml:space="preserve">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w:t>
      </w:r>
      <w:r w:rsidR="00270CE2">
        <w:t>ARORO</w:t>
      </w:r>
      <w:r w:rsidRPr="0031633C">
        <w:t>.</w:t>
      </w:r>
    </w:p>
    <w:p w:rsidR="008B6DB4" w:rsidRPr="008B6DB4" w:rsidRDefault="008B6DB4" w:rsidP="008B6DB4">
      <w:pPr>
        <w:pStyle w:val="AERbulletlistfirststyle"/>
      </w:pPr>
      <w:r w:rsidRPr="00293457">
        <w:t>There is no consensus among Australian regulators on the best method to estimate the return on debt—Some regulators use independent third party data series while others use their own data series (with or without it being cross checked against a third party data series).</w:t>
      </w:r>
      <w:r w:rsidRPr="008B6DB4">
        <w:rPr>
          <w:rStyle w:val="FootnoteReference"/>
        </w:rPr>
        <w:footnoteReference w:id="479"/>
      </w:r>
      <w:r w:rsidRPr="008B6DB4">
        <w:t xml:space="preserve"> The Tribunal has found both approaches reasonable.</w:t>
      </w:r>
      <w:r w:rsidRPr="008B6DB4">
        <w:rPr>
          <w:rStyle w:val="FootnoteReference"/>
        </w:rPr>
        <w:footnoteReference w:id="480"/>
      </w:r>
    </w:p>
    <w:p w:rsidR="008B6DB4" w:rsidRPr="0031633C" w:rsidRDefault="008B6DB4" w:rsidP="008B6DB4">
      <w:r w:rsidRPr="0031633C">
        <w:t xml:space="preserve">We explain our first reason listed above in more detail here. The </w:t>
      </w:r>
      <w:r>
        <w:t>rules</w:t>
      </w:r>
      <w:r w:rsidRPr="0031633C">
        <w:t xml:space="preserve"> require that if we apply annual updating (or any other approach that could result in a different return on debt each year), then the change in revenue must be effected through the automatic application of a formula that is specified in the determination. Even if this were not a rule requirement, </w:t>
      </w:r>
      <w:r>
        <w:t xml:space="preserve">we consider </w:t>
      </w:r>
      <w:r w:rsidRPr="0031633C">
        <w:t xml:space="preserve">using a third party data series </w:t>
      </w:r>
      <w:r>
        <w:t>is likely to b</w:t>
      </w:r>
      <w:r w:rsidRPr="0031633C">
        <w:t>e the only practical option to update the return on debt annually. This position is supported by NERA</w:t>
      </w:r>
      <w:r>
        <w:t xml:space="preserve"> (commissioned by TransGrid in a recent decision process)</w:t>
      </w:r>
      <w:r w:rsidRPr="0031633C">
        <w:t>, who advised that:</w:t>
      </w:r>
    </w:p>
    <w:p w:rsidR="008B6DB4" w:rsidRPr="0031633C" w:rsidRDefault="008B6DB4" w:rsidP="008B6DB4">
      <w:pPr>
        <w:pStyle w:val="AERquote"/>
      </w:pPr>
      <w:r w:rsidRPr="0031633C">
        <w:t>…a third party data service provider is essential to allow the return on debt to be updated automatically'.</w:t>
      </w:r>
      <w:r w:rsidRPr="0031633C">
        <w:rPr>
          <w:rStyle w:val="AERsuperscript"/>
        </w:rPr>
        <w:footnoteReference w:id="481"/>
      </w:r>
    </w:p>
    <w:p w:rsidR="008B6DB4" w:rsidRDefault="008B6DB4" w:rsidP="008B6DB4">
      <w:r w:rsidRPr="0031633C">
        <w:t xml:space="preserve">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w:t>
      </w:r>
      <w:r>
        <w:t>after</w:t>
      </w:r>
      <w:r w:rsidRPr="0031633C">
        <w:t xml:space="preserve"> the section on the averaging period. This process needs to occur relatively quickly and without consultation. Using a third party data series enables this. This is because we can consult on the choice of the data series and any implementation issues (for example, weighting of data series, extrapolation, or interpolation issues) when making the determination. We can then add a formula to the determination and apply it mechanistically during the annual debt update process.</w:t>
      </w:r>
    </w:p>
    <w:p w:rsidR="008B6DB4" w:rsidRDefault="008B6DB4" w:rsidP="008B6DB4">
      <w:pPr>
        <w:pStyle w:val="HeadingItalic"/>
        <w:numPr>
          <w:ilvl w:val="0"/>
          <w:numId w:val="24"/>
        </w:numPr>
      </w:pPr>
      <w:r>
        <w:t>Response to key issues raised by stakeholders</w:t>
      </w:r>
    </w:p>
    <w:p w:rsidR="008B6DB4" w:rsidRPr="0031633C" w:rsidRDefault="008B6DB4" w:rsidP="008B6DB4">
      <w:pPr>
        <w:numPr>
          <w:ilvl w:val="0"/>
          <w:numId w:val="24"/>
        </w:numPr>
      </w:pPr>
      <w:r w:rsidRPr="0031633C">
        <w:t>During the Guideline development process, we considered the use of a third party data series, in consultation with stakeholders.</w:t>
      </w:r>
      <w:r w:rsidRPr="0031633C">
        <w:rPr>
          <w:rStyle w:val="AERsuperscript"/>
        </w:rPr>
        <w:footnoteReference w:id="482"/>
      </w:r>
      <w:r w:rsidRPr="0031633C">
        <w:rPr>
          <w:rStyle w:val="AERsuperscript"/>
        </w:rPr>
        <w:t xml:space="preserve"> </w:t>
      </w:r>
      <w:r w:rsidRPr="0031633C">
        <w:t>Service providers tended to support using a third party data series.</w:t>
      </w:r>
      <w:r w:rsidRPr="0031633C">
        <w:rPr>
          <w:rStyle w:val="AERsuperscript"/>
        </w:rPr>
        <w:footnoteReference w:id="483"/>
      </w:r>
      <w:r w:rsidRPr="0031633C">
        <w:t xml:space="preserve"> While consumer representatives tended to consider we should develop our own data series.</w:t>
      </w:r>
      <w:r w:rsidRPr="0031633C">
        <w:rPr>
          <w:rStyle w:val="AERsuperscript"/>
        </w:rPr>
        <w:footnoteReference w:id="484"/>
      </w:r>
      <w:r w:rsidRPr="0031633C">
        <w:t xml:space="preserve"> We acknowledge these views. However, our decision is to use a third party data series, in the context of annual updating. This is for the reasons set out above.</w:t>
      </w:r>
    </w:p>
    <w:p w:rsidR="008B6DB4" w:rsidRDefault="008B6DB4" w:rsidP="008B6DB4">
      <w:r>
        <w:t>As noted above, United Energy's proposed method does not use only third party data series. United Energy's proposal is for the AER to compare a range of data series each year against observed bond yields based on United Energy's particular method for choosing those bond yields. The data series that United Energy proposed be compared includes third party data series, but also includes two yield curves that the AER would be required to estimate itself each year. United Energy's proposed method for the AER to follow in this estimation involves bond selection criteria and the Nelson-Siegel curve fitting methodology for one curve, and a par yield curve fitting methodology for the second curve. These options were recommended by Esquant, who is a consultant commissioned by United Energy.</w:t>
      </w:r>
      <w:r>
        <w:rPr>
          <w:rStyle w:val="FootnoteReference"/>
        </w:rPr>
        <w:footnoteReference w:id="485"/>
      </w:r>
    </w:p>
    <w:p w:rsidR="008B6DB4" w:rsidRDefault="008B6DB4" w:rsidP="008B6DB4">
      <w:r>
        <w:t>United Energy's proposed method is contrary to several of the benefits of adopting an independent third party data series. The benefits are:</w:t>
      </w:r>
    </w:p>
    <w:p w:rsidR="008B6DB4" w:rsidRPr="008B6DB4" w:rsidRDefault="008B6DB4" w:rsidP="008B6DB4">
      <w:pPr>
        <w:pStyle w:val="AERbulletlistfirststyle"/>
      </w:pPr>
      <w:r>
        <w:t>An independent third party data series is already calculated by another party, and can be used directly by the AER (with the exception of adjustments concerning extrapolation, interpolation and/or annualisation). The use of third party data series is therefore a practical choice that facilitates the annual debt update process. In contrast, United Energy's proposed method involves complex empirical estimation processes that would need to be performed every year, for every service provider (if applied more broadly), and in very short timeframes. It is therefore not a practical choice where the return on debt is being updated each year.</w:t>
      </w:r>
    </w:p>
    <w:p w:rsidR="008B6DB4" w:rsidRPr="008B6DB4" w:rsidRDefault="008B6DB4" w:rsidP="008B6DB4">
      <w:pPr>
        <w:pStyle w:val="AERbulletlistfirststyle"/>
      </w:pPr>
      <w:r>
        <w:t>An independent third party data series is developed by experts who are independent of the regulatory process. In contrast, United Energy's proposed data series is not independent of the regulatory process. This position is supported by Lally, who stated:</w:t>
      </w:r>
    </w:p>
    <w:p w:rsidR="008B6DB4" w:rsidRDefault="008B6DB4" w:rsidP="008B6DB4">
      <w:pPr>
        <w:pStyle w:val="AERquoteindent1"/>
      </w:pPr>
      <w:r>
        <w:t>UED is clearly alive to the possibility that Esquant's work might not be viewed as that of an independent provider and states that this work "…should be regarded as an independent and credible data source..". However, in my view, an entity hired by a regulated business is not an independent provider and UED cannot turn black into white merely by saying that it should be regarded as white. Thus, Esquant's work is not that of an independent provider, and therefore fails a test that is imposed by UED.</w:t>
      </w:r>
      <w:r>
        <w:rPr>
          <w:rStyle w:val="FootnoteReference"/>
        </w:rPr>
        <w:footnoteReference w:id="486"/>
      </w:r>
    </w:p>
    <w:p w:rsidR="008B6DB4" w:rsidRDefault="008B6DB4" w:rsidP="008B6DB4">
      <w:r>
        <w:t xml:space="preserve">For these reasons, and the reasons set out in the next section, we therefore do not agree with United Energy's proposal which includes the use of non-third party independent data series. Importantly, we remain satisfied that our decision approach, relying on third party data series, will contribute to achievement of the </w:t>
      </w:r>
      <w:r w:rsidR="00270CE2">
        <w:t>ARORO</w:t>
      </w:r>
      <w:r>
        <w:t>.</w:t>
      </w:r>
    </w:p>
    <w:p w:rsidR="008B6DB4" w:rsidRDefault="008B6DB4" w:rsidP="008B6DB4">
      <w:pPr>
        <w:pStyle w:val="HeadingBoldItalic"/>
      </w:pPr>
      <w:r w:rsidRPr="00484372">
        <w:t>Choice of third party data series (including adjustments)</w:t>
      </w:r>
    </w:p>
    <w:p w:rsidR="008B6DB4" w:rsidRPr="00484372" w:rsidRDefault="008B6DB4" w:rsidP="008B6DB4">
      <w:pPr>
        <w:numPr>
          <w:ilvl w:val="0"/>
          <w:numId w:val="24"/>
        </w:numPr>
      </w:pPr>
      <w:r w:rsidRPr="00484372">
        <w:t>In the previous section, we explained our decision is to use third party published data series to estimate the allowed return on debt, rather than deriving our own data series. In this section, we explain our choice of third party data series, including adjustments we have decided to make to those data series.</w:t>
      </w:r>
    </w:p>
    <w:p w:rsidR="008B6DB4" w:rsidRPr="00484372" w:rsidRDefault="008B6DB4" w:rsidP="008B6DB4">
      <w:pPr>
        <w:numPr>
          <w:ilvl w:val="0"/>
          <w:numId w:val="24"/>
        </w:numPr>
      </w:pPr>
      <w:r w:rsidRPr="00484372">
        <w:t xml:space="preserve">Our decision is to adopt a simple average of the debt data series published by the </w:t>
      </w:r>
      <w:r w:rsidR="00536B64">
        <w:t>RBA</w:t>
      </w:r>
      <w:r w:rsidRPr="00484372">
        <w:t xml:space="preserve"> and Bloomberg that match, as close as available, our benchmarks of a BBB+ credit rating and a 10 year debt term. Specifically, our decision is to adopt a simple average of:</w:t>
      </w:r>
    </w:p>
    <w:p w:rsidR="008B6DB4" w:rsidRPr="008B6DB4" w:rsidRDefault="008B6DB4" w:rsidP="008B6DB4">
      <w:pPr>
        <w:pStyle w:val="AERbulletlistfirststyle"/>
      </w:pPr>
      <w:r>
        <w:t>t</w:t>
      </w:r>
      <w:r w:rsidRPr="008B6DB4">
        <w:t>he 10 year estimate from the non-financial corporate BBB rated data series published by the RBA (the RBA curve),</w:t>
      </w:r>
      <w:r w:rsidRPr="0024342F">
        <w:rPr>
          <w:rStyle w:val="AERsuperscript"/>
        </w:rPr>
        <w:footnoteReference w:id="487"/>
      </w:r>
      <w:r w:rsidRPr="008B6DB4">
        <w:t xml:space="preserve"> and</w:t>
      </w:r>
    </w:p>
    <w:p w:rsidR="008B6DB4" w:rsidRPr="008B6DB4" w:rsidRDefault="008B6DB4" w:rsidP="008B6DB4">
      <w:pPr>
        <w:pStyle w:val="AERbulletlistfirststyle"/>
      </w:pPr>
      <w:r w:rsidRPr="00484372">
        <w:t>the 10 year yield estimate from the Australian corporate BBB rated Bloomberg Valuation Service (BVAL) data series published by Bloomberg (the BVAL curve).</w:t>
      </w:r>
      <w:r w:rsidRPr="0024342F">
        <w:rPr>
          <w:rStyle w:val="AERsuperscript"/>
        </w:rPr>
        <w:footnoteReference w:id="488"/>
      </w:r>
    </w:p>
    <w:p w:rsidR="008B6DB4" w:rsidRPr="00484372" w:rsidRDefault="008B6DB4" w:rsidP="008B6DB4">
      <w:pPr>
        <w:numPr>
          <w:ilvl w:val="0"/>
          <w:numId w:val="24"/>
        </w:numPr>
      </w:pPr>
      <w:r w:rsidRPr="00484372">
        <w:t>The RBA and BVAL curves are both 'broad BBB' rated data series in that they reflect bond pricing generally across the BBB+, BBB and BBB- rated spectrum of bonds.</w:t>
      </w:r>
    </w:p>
    <w:p w:rsidR="008B6DB4" w:rsidRPr="00484372" w:rsidRDefault="008B6DB4" w:rsidP="008B6DB4">
      <w:pPr>
        <w:numPr>
          <w:ilvl w:val="0"/>
          <w:numId w:val="24"/>
        </w:numPr>
      </w:pPr>
      <w:r w:rsidRPr="00484372">
        <w:t>Our decision is also to make certain adjustments to the RBA and BVAL curves so these rates are consistent with our 10 year benchmark debt term and also so they can be applied across the dates of a service provider's averaging periods. Those adjustments are:</w:t>
      </w:r>
    </w:p>
    <w:p w:rsidR="008B6DB4" w:rsidRPr="00484372" w:rsidRDefault="008B6DB4" w:rsidP="008B6DB4">
      <w:r w:rsidRPr="00484372">
        <w:t>For the RBA curve, to extrapolate the data series from a 'target' 10 year term to an 'effective' 10 year term using the method recommended by Dr Lally (the Lally method),</w:t>
      </w:r>
      <w:r w:rsidRPr="00940FFA">
        <w:rPr>
          <w:rStyle w:val="AERsuperscript"/>
        </w:rPr>
        <w:footnoteReference w:id="489"/>
      </w:r>
      <w:r w:rsidRPr="00484372">
        <w:t xml:space="preserve"> to interpolate the monthly data points to produce daily estimates, and to convert the estimates from a semi-annual to an effective annual rate.</w:t>
      </w:r>
    </w:p>
    <w:p w:rsidR="008B6DB4" w:rsidRPr="008B6DB4" w:rsidRDefault="008B6DB4" w:rsidP="008B6DB4">
      <w:pPr>
        <w:pStyle w:val="AERbulletlistfirststyle"/>
      </w:pPr>
      <w:r w:rsidRPr="00484372">
        <w:t>For the BVAL curve, to convert the estimates from a semi-annual to an effective annual rate.</w:t>
      </w:r>
      <w:r w:rsidRPr="008B6DB4">
        <w:rPr>
          <w:rStyle w:val="AERsuperscript"/>
        </w:rPr>
        <w:footnoteReference w:id="490"/>
      </w:r>
    </w:p>
    <w:p w:rsidR="008B6DB4" w:rsidRPr="008B6DB4" w:rsidRDefault="008B6DB4" w:rsidP="008B6DB4">
      <w:pPr>
        <w:pStyle w:val="AERbulletlistfirststyle"/>
      </w:pPr>
      <w:r w:rsidRPr="00484372">
        <w:t xml:space="preserve">The above positions are consistent with the approach we adopted in the first round of decisions since the publication of the Guideline, the most recent being our </w:t>
      </w:r>
      <w:r w:rsidRPr="008B6DB4">
        <w:t>decisions released in November 2015.</w:t>
      </w:r>
      <w:r w:rsidRPr="008B6DB4">
        <w:rPr>
          <w:rStyle w:val="AERsuperscript"/>
        </w:rPr>
        <w:footnoteReference w:id="491"/>
      </w:r>
    </w:p>
    <w:p w:rsidR="008B6DB4" w:rsidRPr="0044315E" w:rsidRDefault="008B6DB4" w:rsidP="008B6DB4">
      <w:r w:rsidRPr="0044315E">
        <w:t xml:space="preserve">We are satisfied that a simple average of the two </w:t>
      </w:r>
      <w:r>
        <w:t>curves</w:t>
      </w:r>
      <w:r w:rsidRPr="0044315E">
        <w:t xml:space="preserve"> will result in a return on debt that contributes to the achievement of the </w:t>
      </w:r>
      <w:r w:rsidR="00270CE2">
        <w:t>ARORO</w:t>
      </w:r>
      <w:r w:rsidRPr="0044315E">
        <w:t>. This is because:</w:t>
      </w:r>
    </w:p>
    <w:p w:rsidR="008B6DB4" w:rsidRPr="008B6DB4" w:rsidRDefault="008B6DB4" w:rsidP="008B6DB4">
      <w:pPr>
        <w:pStyle w:val="AERbulletlistfirststyle"/>
      </w:pPr>
      <w:r w:rsidRPr="0044315E">
        <w:t>Based on analysis of the bond selection criteria</w:t>
      </w:r>
      <w:r w:rsidRPr="008B6DB4">
        <w:t xml:space="preserve"> (including approach for identifying outliers), we consider that both approaches employed by the RBA and Bloomberg have their unique strengths and weaknesses, but we are not satisfied that either is clearly superior.</w:t>
      </w:r>
    </w:p>
    <w:p w:rsidR="008B6DB4" w:rsidRPr="008B6DB4" w:rsidRDefault="008B6DB4" w:rsidP="008B6DB4">
      <w:pPr>
        <w:pStyle w:val="AERbulletlistfirststyle"/>
      </w:pPr>
      <w:r w:rsidRPr="0044315E">
        <w:t xml:space="preserve">Based on analysis of the curve fitting (or averaging) methodologies, we consider that both approaches have </w:t>
      </w:r>
      <w:r w:rsidRPr="008B6DB4">
        <w:t>their unique strengths and weaknesses, but we are not satisfied that either is clearly superior.</w:t>
      </w:r>
    </w:p>
    <w:p w:rsidR="008B6DB4" w:rsidRPr="008B6DB4" w:rsidRDefault="008B6DB4" w:rsidP="008B6DB4">
      <w:pPr>
        <w:pStyle w:val="AERbulletlistfirststyle"/>
      </w:pPr>
      <w:r w:rsidRPr="0044315E">
        <w:t xml:space="preserve">Both curves require adjustments from their published form to make them </w:t>
      </w:r>
      <w:r w:rsidRPr="008B6DB4">
        <w:t>fit-for-purpose, and we are not satisfied that either can be more simply or reliably adjusted to estimate the annual return on debt.</w:t>
      </w:r>
      <w:r w:rsidRPr="008B6DB4">
        <w:rPr>
          <w:rStyle w:val="FootnoteReference"/>
        </w:rPr>
        <w:footnoteReference w:id="492"/>
      </w:r>
    </w:p>
    <w:p w:rsidR="008B6DB4" w:rsidRPr="008B6DB4" w:rsidRDefault="008B6DB4" w:rsidP="008B6DB4">
      <w:pPr>
        <w:pStyle w:val="AERbulletlistfirststyle"/>
      </w:pPr>
      <w:r w:rsidRPr="0044315E">
        <w:t xml:space="preserve">A simple average is consistent with expert advice from Dr Lally that we adopt a simple average of the BVAL curve and the RBA curve, subject to the necessary adjustments to each curve. </w:t>
      </w:r>
      <w:r w:rsidRPr="008B6DB4">
        <w:rPr>
          <w:rStyle w:val="AERsuperscript"/>
        </w:rPr>
        <w:footnoteReference w:id="493"/>
      </w:r>
      <w:r w:rsidRPr="008B6DB4">
        <w:t xml:space="preserve"> In particular, Lally concluded that based on analysis of the curves, it was reasonably likely that a simple average of the two curves would produce an estimator with a lower mean squared error (MSE) than using either curve in isolation. Lally also advised:</w:t>
      </w:r>
    </w:p>
    <w:p w:rsidR="008B6DB4" w:rsidRPr="0044315E" w:rsidRDefault="008B6DB4" w:rsidP="008B6DB4">
      <w:pPr>
        <w:pStyle w:val="AERquoteindent1"/>
      </w:pPr>
      <w:r>
        <w:t>…</w:t>
      </w:r>
      <w:r w:rsidRPr="0044315E">
        <w:t>on the question of which index better reflects the cost of debt for the efficient benchmark e</w:t>
      </w:r>
      <w:r>
        <w:t>ntity, there is no clear winner</w:t>
      </w:r>
      <w:r w:rsidRPr="0044315E">
        <w:t>.</w:t>
      </w:r>
      <w:r w:rsidRPr="0044315E">
        <w:rPr>
          <w:rStyle w:val="AERsuperscript"/>
        </w:rPr>
        <w:footnoteReference w:id="494"/>
      </w:r>
    </w:p>
    <w:p w:rsidR="008B6DB4" w:rsidRPr="008B6DB4" w:rsidRDefault="008B6DB4" w:rsidP="008B6DB4">
      <w:pPr>
        <w:pStyle w:val="AERbulletlistfirststyle"/>
      </w:pPr>
      <w:r w:rsidRPr="0044315E">
        <w:t>The two curves have regularly produced materially different results at particular points in time. Both curves have their strengths</w:t>
      </w:r>
      <w:r w:rsidRPr="008B6DB4">
        <w:t xml:space="preserve"> and shortcomings, but it is not clear to us that one approach is clearly superior. Consequently, when the curves depart, we consider it is not easily discernible which curve produces estimates that better reflect the efficient financing costs of a benchmark efficient entity. We also note that the BVAL curve has produced estimates both higher than, lower than, and similar to, the RBA curve, depending on the particular point in time. So there is no clear indication that one curve produces systematically higher or lower estimates than the other.</w:t>
      </w:r>
    </w:p>
    <w:p w:rsidR="008B6DB4" w:rsidRPr="008B6DB4" w:rsidRDefault="008B6DB4" w:rsidP="008B6DB4">
      <w:pPr>
        <w:pStyle w:val="AERbulletlistfirststyle"/>
      </w:pPr>
      <w:r w:rsidRPr="0044315E">
        <w:t>A simple average of two curves, in these circumstances, is consistent with the Tribunal's decision in the ActewAGL matter where the Tribunal concluded that:</w:t>
      </w:r>
    </w:p>
    <w:p w:rsidR="008B6DB4" w:rsidRPr="0044315E" w:rsidRDefault="008B6DB4" w:rsidP="008B6DB4">
      <w:pPr>
        <w:pStyle w:val="AERquote"/>
      </w:pPr>
      <w:r w:rsidRPr="0044315E">
        <w:t>…if the AER cannot find a basis upon which to distinguish between the published curves, it is appropriate to average the yields provided by each curve, so long as the published curves are widely used and market respected.</w:t>
      </w:r>
      <w:r w:rsidRPr="0044315E">
        <w:rPr>
          <w:rStyle w:val="AERsuperscript"/>
        </w:rPr>
        <w:footnoteReference w:id="495"/>
      </w:r>
    </w:p>
    <w:p w:rsidR="008B6DB4" w:rsidRPr="008B6DB4" w:rsidRDefault="008B6DB4" w:rsidP="008B6DB4">
      <w:pPr>
        <w:pStyle w:val="AERbulletlistfirststyle"/>
      </w:pPr>
      <w:r w:rsidRPr="0044315E">
        <w:t>A simple average of the two curves will reduce the likely price shock if either curve becomes unavailable or produces erroneous estimates during the period.</w:t>
      </w:r>
    </w:p>
    <w:p w:rsidR="008B6DB4" w:rsidRDefault="008B6DB4" w:rsidP="008B6DB4">
      <w:r>
        <w:t>In our previous decisions, we have explained each of these reasons in more detail.</w:t>
      </w:r>
      <w:r>
        <w:rPr>
          <w:rStyle w:val="FootnoteReference"/>
        </w:rPr>
        <w:footnoteReference w:id="496"/>
      </w:r>
      <w:r>
        <w:t xml:space="preserve"> This analysis included the following evidence.</w:t>
      </w:r>
    </w:p>
    <w:p w:rsidR="008B6DB4" w:rsidRDefault="008B6DB4" w:rsidP="008B6DB4">
      <w:pPr>
        <w:numPr>
          <w:ilvl w:val="0"/>
          <w:numId w:val="24"/>
        </w:numPr>
      </w:pPr>
      <w:r>
        <w:t>Dr Lally used the report of the Regulatory Economic Unit to identify 11 points of distinction between the RBA and BVAL curves. Lally analysed each of those differences and concluded:</w:t>
      </w:r>
    </w:p>
    <w:p w:rsidR="008B6DB4" w:rsidRDefault="008B6DB4" w:rsidP="008B6DB4">
      <w:pPr>
        <w:pStyle w:val="AERquote"/>
      </w:pPr>
      <w:r w:rsidRPr="00305172">
        <w:t>In summary, eleven points of distinction have been identified between the BVAL and RBA indexes. Point (11) is irrelevant in view of the AER not requiring historical data. In respect of points (3), (4), (6), (7) and (8), it is not possible to express a preference for one of the two indexes. The BVAL is favoured in respect of points (1) and (9), but the advantage in respect of point (9) is small. The RBA is favoured in respect of points (2), (5) and (10), but the advantage in respect of point (5) is small. The most that can be said here is that neither index is clearly superior to the other.</w:t>
      </w:r>
      <w:r w:rsidRPr="00305172">
        <w:rPr>
          <w:rStyle w:val="FootnoteReference"/>
        </w:rPr>
        <w:footnoteReference w:id="497"/>
      </w:r>
    </w:p>
    <w:p w:rsidR="008B6DB4" w:rsidRDefault="008B6DB4" w:rsidP="008B6DB4">
      <w:pPr>
        <w:numPr>
          <w:ilvl w:val="0"/>
          <w:numId w:val="24"/>
        </w:numPr>
      </w:pPr>
      <w:r>
        <w:t>Based on this analysis, Lally recommended using a simple average of the two curves. Lally advised:</w:t>
      </w:r>
    </w:p>
    <w:p w:rsidR="008B6DB4" w:rsidRPr="00305172" w:rsidRDefault="008B6DB4" w:rsidP="008B6DB4">
      <w:pPr>
        <w:pStyle w:val="AERquote"/>
      </w:pPr>
      <w:r w:rsidRPr="00305172">
        <w:t>Firstly, on the question of which independent third-party data service provider should be used to estimate the cost of debt … I … recommend that a combined estimator be used. Since the standard deviations of these estimators are similar and it is not possible to quantify any biases in these two indexes, I recommend that the two indexes be equally weighted. This will lower the Mean Squared Error (MSE) of the estimator relative to using only one of the indexes, and significantly so if the correlation between the indexes is low.</w:t>
      </w:r>
      <w:r w:rsidRPr="00305172">
        <w:rPr>
          <w:rStyle w:val="FootnoteReference"/>
        </w:rPr>
        <w:footnoteReference w:id="498"/>
      </w:r>
    </w:p>
    <w:p w:rsidR="008B6DB4" w:rsidRDefault="008B6DB4" w:rsidP="008B6DB4">
      <w:r>
        <w:t>Those 11 points of distinction, and Lally's assessment of those differences between the RBA and BVAL curves, are summarised in the following table.</w:t>
      </w:r>
    </w:p>
    <w:p w:rsidR="008B6DB4" w:rsidRPr="00420956" w:rsidRDefault="008B6DB4" w:rsidP="008B6DB4">
      <w:pPr>
        <w:pStyle w:val="Caption"/>
      </w:pPr>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14</w:t>
      </w:r>
      <w:r w:rsidR="00120312">
        <w:rPr>
          <w:noProof/>
        </w:rPr>
        <w:fldChar w:fldCharType="end"/>
      </w:r>
      <w:r>
        <w:tab/>
      </w:r>
      <w:r w:rsidRPr="008523DD">
        <w:t>Dr Lally's advice of the differences between the RBA and BVAL curves</w:t>
      </w:r>
      <w:r>
        <w:tab/>
      </w:r>
    </w:p>
    <w:tbl>
      <w:tblPr>
        <w:tblStyle w:val="AERtable-text0"/>
        <w:tblW w:w="0" w:type="auto"/>
        <w:tblLook w:val="04A0" w:firstRow="1" w:lastRow="0" w:firstColumn="1" w:lastColumn="0" w:noHBand="0" w:noVBand="1"/>
      </w:tblPr>
      <w:tblGrid>
        <w:gridCol w:w="959"/>
        <w:gridCol w:w="4394"/>
        <w:gridCol w:w="3340"/>
      </w:tblGrid>
      <w:tr w:rsidR="008B6DB4" w:rsidTr="007505A3">
        <w:trPr>
          <w:cnfStyle w:val="100000000000" w:firstRow="1" w:lastRow="0" w:firstColumn="0" w:lastColumn="0" w:oddVBand="0" w:evenVBand="0" w:oddHBand="0" w:evenHBand="0" w:firstRowFirstColumn="0" w:firstRowLastColumn="0" w:lastRowFirstColumn="0" w:lastRowLastColumn="0"/>
          <w:tblHeader/>
        </w:trPr>
        <w:tc>
          <w:tcPr>
            <w:tcW w:w="959" w:type="dxa"/>
          </w:tcPr>
          <w:p w:rsidR="008B6DB4" w:rsidRDefault="008B6DB4" w:rsidP="008B6DB4">
            <w:pPr>
              <w:numPr>
                <w:ilvl w:val="0"/>
                <w:numId w:val="24"/>
              </w:numPr>
            </w:pPr>
            <w:r>
              <w:t>No.</w:t>
            </w:r>
          </w:p>
        </w:tc>
        <w:tc>
          <w:tcPr>
            <w:tcW w:w="4394" w:type="dxa"/>
          </w:tcPr>
          <w:p w:rsidR="008B6DB4" w:rsidRDefault="008B6DB4" w:rsidP="008B6DB4">
            <w:pPr>
              <w:numPr>
                <w:ilvl w:val="0"/>
                <w:numId w:val="24"/>
              </w:numPr>
            </w:pPr>
            <w:r>
              <w:t>Points of distinction identified by REU</w:t>
            </w:r>
            <w:r>
              <w:rPr>
                <w:rStyle w:val="FootnoteReference"/>
              </w:rPr>
              <w:footnoteReference w:id="499"/>
            </w:r>
          </w:p>
        </w:tc>
        <w:tc>
          <w:tcPr>
            <w:tcW w:w="3340" w:type="dxa"/>
          </w:tcPr>
          <w:p w:rsidR="008B6DB4" w:rsidRDefault="008B6DB4" w:rsidP="008B6DB4">
            <w:pPr>
              <w:numPr>
                <w:ilvl w:val="0"/>
                <w:numId w:val="24"/>
              </w:numPr>
            </w:pPr>
            <w:r>
              <w:t>Advice from Dr Lally</w:t>
            </w:r>
            <w:r>
              <w:rPr>
                <w:rStyle w:val="FootnoteReference"/>
              </w:rPr>
              <w:footnoteReference w:id="500"/>
            </w:r>
          </w:p>
        </w:tc>
      </w:tr>
      <w:tr w:rsidR="008B6DB4" w:rsidTr="007505A3">
        <w:tc>
          <w:tcPr>
            <w:tcW w:w="959" w:type="dxa"/>
          </w:tcPr>
          <w:p w:rsidR="008B6DB4" w:rsidRDefault="008B6DB4" w:rsidP="008B6DB4">
            <w:pPr>
              <w:numPr>
                <w:ilvl w:val="0"/>
                <w:numId w:val="24"/>
              </w:numPr>
            </w:pPr>
            <w:r>
              <w:t>1</w:t>
            </w:r>
          </w:p>
        </w:tc>
        <w:tc>
          <w:tcPr>
            <w:tcW w:w="4394" w:type="dxa"/>
          </w:tcPr>
          <w:p w:rsidR="008B6DB4" w:rsidRDefault="008B6DB4" w:rsidP="008B6DB4">
            <w:pPr>
              <w:numPr>
                <w:ilvl w:val="0"/>
                <w:numId w:val="24"/>
              </w:numPr>
            </w:pPr>
            <w:r w:rsidRPr="009F0E67">
              <w:t>The BVAL is available daily whilst the RBA is only available monthly.</w:t>
            </w:r>
          </w:p>
        </w:tc>
        <w:tc>
          <w:tcPr>
            <w:tcW w:w="3340" w:type="dxa"/>
          </w:tcPr>
          <w:p w:rsidR="008B6DB4" w:rsidRDefault="008B6DB4" w:rsidP="008B6DB4">
            <w:pPr>
              <w:numPr>
                <w:ilvl w:val="0"/>
                <w:numId w:val="24"/>
              </w:numPr>
            </w:pPr>
            <w:r w:rsidRPr="009F0E67">
              <w:t>BVAL favoured.</w:t>
            </w:r>
          </w:p>
        </w:tc>
      </w:tr>
      <w:tr w:rsidR="008B6DB4" w:rsidTr="007505A3">
        <w:trPr>
          <w:cnfStyle w:val="000000010000" w:firstRow="0" w:lastRow="0" w:firstColumn="0" w:lastColumn="0" w:oddVBand="0" w:evenVBand="0" w:oddHBand="0" w:evenHBand="1" w:firstRowFirstColumn="0" w:firstRowLastColumn="0" w:lastRowFirstColumn="0" w:lastRowLastColumn="0"/>
        </w:trPr>
        <w:tc>
          <w:tcPr>
            <w:tcW w:w="959" w:type="dxa"/>
          </w:tcPr>
          <w:p w:rsidR="008B6DB4" w:rsidRDefault="008B6DB4" w:rsidP="008B6DB4">
            <w:pPr>
              <w:numPr>
                <w:ilvl w:val="0"/>
                <w:numId w:val="24"/>
              </w:numPr>
            </w:pPr>
            <w:r>
              <w:t>2</w:t>
            </w:r>
          </w:p>
        </w:tc>
        <w:tc>
          <w:tcPr>
            <w:tcW w:w="4394" w:type="dxa"/>
          </w:tcPr>
          <w:p w:rsidR="008B6DB4" w:rsidRDefault="008B6DB4" w:rsidP="008B6DB4">
            <w:pPr>
              <w:numPr>
                <w:ilvl w:val="0"/>
                <w:numId w:val="24"/>
              </w:numPr>
            </w:pPr>
            <w:r w:rsidRPr="009F0E67">
              <w:t>The BVAL is only available for terms up to seven years, and therefore would have to be extrapolated out to the desired ten years, whilst the RBA is at least notionally available for the desired ten year term.</w:t>
            </w:r>
          </w:p>
        </w:tc>
        <w:tc>
          <w:tcPr>
            <w:tcW w:w="3340" w:type="dxa"/>
          </w:tcPr>
          <w:p w:rsidR="008B6DB4" w:rsidRPr="009F0E67" w:rsidRDefault="008B6DB4" w:rsidP="008B6DB4">
            <w:pPr>
              <w:numPr>
                <w:ilvl w:val="0"/>
                <w:numId w:val="24"/>
              </w:numPr>
            </w:pPr>
            <w:r w:rsidRPr="009F0E67">
              <w:t>RBA favoured.</w:t>
            </w:r>
          </w:p>
          <w:p w:rsidR="008B6DB4" w:rsidRPr="005C054F" w:rsidRDefault="008B6DB4" w:rsidP="008B6DB4">
            <w:pPr>
              <w:numPr>
                <w:ilvl w:val="0"/>
                <w:numId w:val="24"/>
              </w:numPr>
              <w:rPr>
                <w:rStyle w:val="AERtextitalic"/>
              </w:rPr>
            </w:pPr>
            <w:r w:rsidRPr="005C054F">
              <w:rPr>
                <w:rStyle w:val="AERtextitalic"/>
              </w:rPr>
              <w:t>Note: From April 2015, this point would have changed to “BVAL favoured” as Bloomberg commenced publication of a 10 year BVAL curve, which no longer requires any extrapolation adjustment.</w:t>
            </w:r>
          </w:p>
        </w:tc>
      </w:tr>
      <w:tr w:rsidR="008B6DB4" w:rsidTr="007505A3">
        <w:tc>
          <w:tcPr>
            <w:tcW w:w="959" w:type="dxa"/>
          </w:tcPr>
          <w:p w:rsidR="008B6DB4" w:rsidRDefault="008B6DB4" w:rsidP="008B6DB4">
            <w:pPr>
              <w:numPr>
                <w:ilvl w:val="0"/>
                <w:numId w:val="24"/>
              </w:numPr>
            </w:pPr>
            <w:r>
              <w:t>3</w:t>
            </w:r>
          </w:p>
        </w:tc>
        <w:tc>
          <w:tcPr>
            <w:tcW w:w="4394" w:type="dxa"/>
          </w:tcPr>
          <w:p w:rsidR="008B6DB4" w:rsidRDefault="008B6DB4" w:rsidP="008B6DB4">
            <w:pPr>
              <w:numPr>
                <w:ilvl w:val="0"/>
                <w:numId w:val="24"/>
              </w:numPr>
            </w:pPr>
            <w:r w:rsidRPr="009F0E67">
              <w:t>The BVAL sample of bonds is limited to those with a minimum pricing quality (liquidity measure), at least two months to maturity, and above retail size ($10m: see REU, 2014, page 20), whilst the RBA sample is limited to bond issues of at least $100mAUD and at least one year to maturity.</w:t>
            </w:r>
          </w:p>
        </w:tc>
        <w:tc>
          <w:tcPr>
            <w:tcW w:w="3340" w:type="dxa"/>
          </w:tcPr>
          <w:p w:rsidR="008B6DB4" w:rsidRDefault="008B6DB4" w:rsidP="008B6DB4">
            <w:pPr>
              <w:numPr>
                <w:ilvl w:val="0"/>
                <w:numId w:val="24"/>
              </w:numPr>
            </w:pPr>
            <w:r w:rsidRPr="009F0E67">
              <w:t>Not possible to express preference for one over the other.</w:t>
            </w:r>
          </w:p>
        </w:tc>
      </w:tr>
      <w:tr w:rsidR="008B6DB4" w:rsidTr="007505A3">
        <w:trPr>
          <w:cnfStyle w:val="000000010000" w:firstRow="0" w:lastRow="0" w:firstColumn="0" w:lastColumn="0" w:oddVBand="0" w:evenVBand="0" w:oddHBand="0" w:evenHBand="1" w:firstRowFirstColumn="0" w:firstRowLastColumn="0" w:lastRowFirstColumn="0" w:lastRowLastColumn="0"/>
        </w:trPr>
        <w:tc>
          <w:tcPr>
            <w:tcW w:w="959" w:type="dxa"/>
          </w:tcPr>
          <w:p w:rsidR="008B6DB4" w:rsidRDefault="008B6DB4" w:rsidP="008B6DB4">
            <w:pPr>
              <w:numPr>
                <w:ilvl w:val="0"/>
                <w:numId w:val="24"/>
              </w:numPr>
            </w:pPr>
            <w:r>
              <w:t>4</w:t>
            </w:r>
          </w:p>
        </w:tc>
        <w:tc>
          <w:tcPr>
            <w:tcW w:w="4394" w:type="dxa"/>
          </w:tcPr>
          <w:p w:rsidR="008B6DB4" w:rsidRDefault="008B6DB4" w:rsidP="008B6DB4">
            <w:pPr>
              <w:numPr>
                <w:ilvl w:val="0"/>
                <w:numId w:val="24"/>
              </w:numPr>
            </w:pPr>
            <w:r w:rsidRPr="009F0E67">
              <w:t>The BVAL sample does not exclude financial corporations whilst the RBA’s does.</w:t>
            </w:r>
          </w:p>
        </w:tc>
        <w:tc>
          <w:tcPr>
            <w:tcW w:w="3340" w:type="dxa"/>
          </w:tcPr>
          <w:p w:rsidR="008B6DB4" w:rsidRDefault="008B6DB4" w:rsidP="008B6DB4">
            <w:pPr>
              <w:numPr>
                <w:ilvl w:val="0"/>
                <w:numId w:val="24"/>
              </w:numPr>
            </w:pPr>
            <w:r w:rsidRPr="009F0E67">
              <w:t>Not possible to express preference for one over the other.</w:t>
            </w:r>
          </w:p>
        </w:tc>
      </w:tr>
      <w:tr w:rsidR="008B6DB4" w:rsidTr="007505A3">
        <w:tc>
          <w:tcPr>
            <w:tcW w:w="959" w:type="dxa"/>
          </w:tcPr>
          <w:p w:rsidR="008B6DB4" w:rsidRDefault="008B6DB4" w:rsidP="008B6DB4">
            <w:pPr>
              <w:numPr>
                <w:ilvl w:val="0"/>
                <w:numId w:val="24"/>
              </w:numPr>
            </w:pPr>
            <w:r>
              <w:t>5</w:t>
            </w:r>
          </w:p>
        </w:tc>
        <w:tc>
          <w:tcPr>
            <w:tcW w:w="4394" w:type="dxa"/>
          </w:tcPr>
          <w:p w:rsidR="008B6DB4" w:rsidRDefault="008B6DB4" w:rsidP="008B6DB4">
            <w:pPr>
              <w:numPr>
                <w:ilvl w:val="0"/>
                <w:numId w:val="24"/>
              </w:numPr>
            </w:pPr>
            <w:r w:rsidRPr="009F0E67">
              <w:t>The BVAL sample is limited to unsecured bonds whilst the RBA’s sample includes both secured and unsecured bonds.</w:t>
            </w:r>
          </w:p>
        </w:tc>
        <w:tc>
          <w:tcPr>
            <w:tcW w:w="3340" w:type="dxa"/>
          </w:tcPr>
          <w:p w:rsidR="008B6DB4" w:rsidRDefault="008B6DB4" w:rsidP="008B6DB4">
            <w:pPr>
              <w:numPr>
                <w:ilvl w:val="0"/>
                <w:numId w:val="24"/>
              </w:numPr>
            </w:pPr>
            <w:r w:rsidRPr="009F0E67">
              <w:t>RBA favoured, but advantage is small.</w:t>
            </w:r>
          </w:p>
        </w:tc>
      </w:tr>
      <w:tr w:rsidR="008B6DB4" w:rsidTr="007505A3">
        <w:trPr>
          <w:cnfStyle w:val="000000010000" w:firstRow="0" w:lastRow="0" w:firstColumn="0" w:lastColumn="0" w:oddVBand="0" w:evenVBand="0" w:oddHBand="0" w:evenHBand="1" w:firstRowFirstColumn="0" w:firstRowLastColumn="0" w:lastRowFirstColumn="0" w:lastRowLastColumn="0"/>
        </w:trPr>
        <w:tc>
          <w:tcPr>
            <w:tcW w:w="959" w:type="dxa"/>
          </w:tcPr>
          <w:p w:rsidR="008B6DB4" w:rsidRDefault="008B6DB4" w:rsidP="008B6DB4">
            <w:pPr>
              <w:numPr>
                <w:ilvl w:val="0"/>
                <w:numId w:val="24"/>
              </w:numPr>
            </w:pPr>
            <w:r>
              <w:t>6</w:t>
            </w:r>
          </w:p>
        </w:tc>
        <w:tc>
          <w:tcPr>
            <w:tcW w:w="4394" w:type="dxa"/>
          </w:tcPr>
          <w:p w:rsidR="008B6DB4" w:rsidRDefault="008B6DB4" w:rsidP="008B6DB4">
            <w:pPr>
              <w:numPr>
                <w:ilvl w:val="0"/>
                <w:numId w:val="24"/>
              </w:numPr>
            </w:pPr>
            <w:r w:rsidRPr="009F0E67">
              <w:t>The BVAL sample is limited to bonds rated by either S&amp;P or Moody’s, whilst the RBA sample is limited to bonds rated by S&amp;P or issued by a firm with an S&amp;P rating.</w:t>
            </w:r>
          </w:p>
        </w:tc>
        <w:tc>
          <w:tcPr>
            <w:tcW w:w="3340" w:type="dxa"/>
          </w:tcPr>
          <w:p w:rsidR="008B6DB4" w:rsidRDefault="008B6DB4" w:rsidP="008B6DB4">
            <w:pPr>
              <w:numPr>
                <w:ilvl w:val="0"/>
                <w:numId w:val="24"/>
              </w:numPr>
            </w:pPr>
            <w:r w:rsidRPr="009F0E67">
              <w:t>Not possible to express preference for one over the other.</w:t>
            </w:r>
          </w:p>
        </w:tc>
      </w:tr>
      <w:tr w:rsidR="008B6DB4" w:rsidTr="007505A3">
        <w:tc>
          <w:tcPr>
            <w:tcW w:w="959" w:type="dxa"/>
          </w:tcPr>
          <w:p w:rsidR="008B6DB4" w:rsidRDefault="008B6DB4" w:rsidP="008B6DB4">
            <w:pPr>
              <w:numPr>
                <w:ilvl w:val="0"/>
                <w:numId w:val="24"/>
              </w:numPr>
            </w:pPr>
            <w:r>
              <w:t>7</w:t>
            </w:r>
          </w:p>
        </w:tc>
        <w:tc>
          <w:tcPr>
            <w:tcW w:w="4394" w:type="dxa"/>
          </w:tcPr>
          <w:p w:rsidR="008B6DB4" w:rsidRDefault="008B6DB4" w:rsidP="008B6DB4">
            <w:pPr>
              <w:numPr>
                <w:ilvl w:val="0"/>
                <w:numId w:val="24"/>
              </w:numPr>
            </w:pPr>
            <w:r w:rsidRPr="009F0E67">
              <w:t>The BVAL sample is limited to AUD denominated bonds whilst the RBA sample also includes USD and Euro denominated bonds.</w:t>
            </w:r>
          </w:p>
        </w:tc>
        <w:tc>
          <w:tcPr>
            <w:tcW w:w="3340" w:type="dxa"/>
          </w:tcPr>
          <w:p w:rsidR="008B6DB4" w:rsidRDefault="008B6DB4" w:rsidP="008B6DB4">
            <w:pPr>
              <w:numPr>
                <w:ilvl w:val="0"/>
                <w:numId w:val="24"/>
              </w:numPr>
            </w:pPr>
            <w:r w:rsidRPr="009F0E67">
              <w:t>Not possible to express preference for one over the other.</w:t>
            </w:r>
          </w:p>
        </w:tc>
      </w:tr>
      <w:tr w:rsidR="008B6DB4" w:rsidTr="007505A3">
        <w:trPr>
          <w:cnfStyle w:val="000000010000" w:firstRow="0" w:lastRow="0" w:firstColumn="0" w:lastColumn="0" w:oddVBand="0" w:evenVBand="0" w:oddHBand="0" w:evenHBand="1" w:firstRowFirstColumn="0" w:firstRowLastColumn="0" w:lastRowFirstColumn="0" w:lastRowLastColumn="0"/>
        </w:trPr>
        <w:tc>
          <w:tcPr>
            <w:tcW w:w="959" w:type="dxa"/>
          </w:tcPr>
          <w:p w:rsidR="008B6DB4" w:rsidRDefault="008B6DB4" w:rsidP="008B6DB4">
            <w:pPr>
              <w:numPr>
                <w:ilvl w:val="0"/>
                <w:numId w:val="24"/>
              </w:numPr>
            </w:pPr>
            <w:r>
              <w:t>8</w:t>
            </w:r>
          </w:p>
        </w:tc>
        <w:tc>
          <w:tcPr>
            <w:tcW w:w="4394" w:type="dxa"/>
          </w:tcPr>
          <w:p w:rsidR="008B6DB4" w:rsidRDefault="008B6DB4" w:rsidP="008B6DB4">
            <w:pPr>
              <w:numPr>
                <w:ilvl w:val="0"/>
                <w:numId w:val="24"/>
              </w:numPr>
            </w:pPr>
            <w:r w:rsidRPr="009F0E67">
              <w:t>The BVAL sample excludes bonds with call, put and conversion options, whilst the RBA sample does not exclude them.</w:t>
            </w:r>
          </w:p>
        </w:tc>
        <w:tc>
          <w:tcPr>
            <w:tcW w:w="3340" w:type="dxa"/>
          </w:tcPr>
          <w:p w:rsidR="008B6DB4" w:rsidRDefault="008B6DB4" w:rsidP="008B6DB4">
            <w:pPr>
              <w:numPr>
                <w:ilvl w:val="0"/>
                <w:numId w:val="24"/>
              </w:numPr>
            </w:pPr>
            <w:r w:rsidRPr="009F0E67">
              <w:t>Not possible to express preference for one over the other.</w:t>
            </w:r>
          </w:p>
        </w:tc>
      </w:tr>
      <w:tr w:rsidR="008B6DB4" w:rsidTr="007505A3">
        <w:tc>
          <w:tcPr>
            <w:tcW w:w="959" w:type="dxa"/>
          </w:tcPr>
          <w:p w:rsidR="008B6DB4" w:rsidRDefault="008B6DB4" w:rsidP="008B6DB4">
            <w:pPr>
              <w:numPr>
                <w:ilvl w:val="0"/>
                <w:numId w:val="24"/>
              </w:numPr>
            </w:pPr>
            <w:r>
              <w:t>9</w:t>
            </w:r>
          </w:p>
        </w:tc>
        <w:tc>
          <w:tcPr>
            <w:tcW w:w="4394" w:type="dxa"/>
          </w:tcPr>
          <w:p w:rsidR="008B6DB4" w:rsidRDefault="008B6DB4" w:rsidP="008B6DB4">
            <w:pPr>
              <w:numPr>
                <w:ilvl w:val="0"/>
                <w:numId w:val="24"/>
              </w:numPr>
            </w:pPr>
            <w:r w:rsidRPr="009F0E67">
              <w:t>The BVAL methodology involves a par yield curve whilst the RBA’s does not.</w:t>
            </w:r>
          </w:p>
        </w:tc>
        <w:tc>
          <w:tcPr>
            <w:tcW w:w="3340" w:type="dxa"/>
          </w:tcPr>
          <w:p w:rsidR="008B6DB4" w:rsidRDefault="008B6DB4" w:rsidP="008B6DB4">
            <w:pPr>
              <w:numPr>
                <w:ilvl w:val="0"/>
                <w:numId w:val="24"/>
              </w:numPr>
            </w:pPr>
            <w:r w:rsidRPr="009F0E67">
              <w:t>BVAL favoured, but advantage is small.</w:t>
            </w:r>
          </w:p>
        </w:tc>
      </w:tr>
      <w:tr w:rsidR="008B6DB4" w:rsidTr="007505A3">
        <w:trPr>
          <w:cnfStyle w:val="000000010000" w:firstRow="0" w:lastRow="0" w:firstColumn="0" w:lastColumn="0" w:oddVBand="0" w:evenVBand="0" w:oddHBand="0" w:evenHBand="1" w:firstRowFirstColumn="0" w:firstRowLastColumn="0" w:lastRowFirstColumn="0" w:lastRowLastColumn="0"/>
        </w:trPr>
        <w:tc>
          <w:tcPr>
            <w:tcW w:w="959" w:type="dxa"/>
          </w:tcPr>
          <w:p w:rsidR="008B6DB4" w:rsidRDefault="008B6DB4" w:rsidP="008B6DB4">
            <w:pPr>
              <w:numPr>
                <w:ilvl w:val="0"/>
                <w:numId w:val="24"/>
              </w:numPr>
            </w:pPr>
            <w:r>
              <w:t>10</w:t>
            </w:r>
          </w:p>
        </w:tc>
        <w:tc>
          <w:tcPr>
            <w:tcW w:w="4394" w:type="dxa"/>
          </w:tcPr>
          <w:p w:rsidR="008B6DB4" w:rsidRDefault="008B6DB4" w:rsidP="008B6DB4">
            <w:pPr>
              <w:numPr>
                <w:ilvl w:val="0"/>
                <w:numId w:val="24"/>
              </w:numPr>
            </w:pPr>
            <w:r w:rsidRPr="009F0E67">
              <w:t>The BVAL methodology for curve fitting is (in large part) not disclosed whilst the RBA’s methodology is disclosed.</w:t>
            </w:r>
          </w:p>
        </w:tc>
        <w:tc>
          <w:tcPr>
            <w:tcW w:w="3340" w:type="dxa"/>
          </w:tcPr>
          <w:p w:rsidR="008B6DB4" w:rsidRDefault="008B6DB4" w:rsidP="008B6DB4">
            <w:pPr>
              <w:numPr>
                <w:ilvl w:val="0"/>
                <w:numId w:val="24"/>
              </w:numPr>
            </w:pPr>
            <w:r w:rsidRPr="009F0E67">
              <w:t>RBA favoured.</w:t>
            </w:r>
          </w:p>
        </w:tc>
      </w:tr>
      <w:tr w:rsidR="008B6DB4" w:rsidTr="007505A3">
        <w:tc>
          <w:tcPr>
            <w:tcW w:w="959" w:type="dxa"/>
          </w:tcPr>
          <w:p w:rsidR="008B6DB4" w:rsidRDefault="008B6DB4" w:rsidP="008B6DB4">
            <w:pPr>
              <w:numPr>
                <w:ilvl w:val="0"/>
                <w:numId w:val="24"/>
              </w:numPr>
            </w:pPr>
            <w:r>
              <w:t>11</w:t>
            </w:r>
          </w:p>
        </w:tc>
        <w:tc>
          <w:tcPr>
            <w:tcW w:w="4394" w:type="dxa"/>
          </w:tcPr>
          <w:p w:rsidR="008B6DB4" w:rsidRDefault="008B6DB4" w:rsidP="008B6DB4">
            <w:pPr>
              <w:numPr>
                <w:ilvl w:val="0"/>
                <w:numId w:val="24"/>
              </w:numPr>
            </w:pPr>
            <w:r w:rsidRPr="009F0E67">
              <w:t>The BVAL is only available back to February 2011 (continuously) whilst the RBA is available back to January 2005, and therefore there will be more problems obtaining a ten-year trailing average when using the BVAL.</w:t>
            </w:r>
          </w:p>
        </w:tc>
        <w:tc>
          <w:tcPr>
            <w:tcW w:w="3340" w:type="dxa"/>
          </w:tcPr>
          <w:p w:rsidR="008B6DB4" w:rsidRDefault="008B6DB4" w:rsidP="008B6DB4">
            <w:pPr>
              <w:numPr>
                <w:ilvl w:val="0"/>
                <w:numId w:val="24"/>
              </w:numPr>
            </w:pPr>
            <w:r w:rsidRPr="009F0E67">
              <w:t>Not relevant, as AER does not require historical data.</w:t>
            </w:r>
          </w:p>
        </w:tc>
      </w:tr>
    </w:tbl>
    <w:p w:rsidR="008B6DB4" w:rsidRDefault="008B6DB4" w:rsidP="008B6DB4">
      <w:pPr>
        <w:pStyle w:val="AERtablesource"/>
      </w:pPr>
      <w:r>
        <w:t xml:space="preserve">Source: </w:t>
      </w:r>
      <w:r>
        <w:tab/>
        <w:t>Advice from Dr Lally.</w:t>
      </w:r>
      <w:r>
        <w:rPr>
          <w:rStyle w:val="FootnoteReference"/>
        </w:rPr>
        <w:footnoteReference w:id="501"/>
      </w:r>
    </w:p>
    <w:p w:rsidR="008B6DB4" w:rsidRDefault="008B6DB4" w:rsidP="008B6DB4">
      <w:r>
        <w:t>In our previous decisions, we explained each of these reasons in more detail.</w:t>
      </w:r>
      <w:r>
        <w:rPr>
          <w:rStyle w:val="FootnoteReference"/>
        </w:rPr>
        <w:footnoteReference w:id="502"/>
      </w:r>
      <w:r>
        <w:t xml:space="preserve"> </w:t>
      </w:r>
    </w:p>
    <w:p w:rsidR="008B6DB4" w:rsidRDefault="008B6DB4" w:rsidP="008B6DB4">
      <w:r>
        <w:t xml:space="preserve">Recently, the Tribunal also upheld this approach, in relation to the NSW/ACT electricity distribution determinations and JGN gas access arrangement. </w:t>
      </w:r>
    </w:p>
    <w:p w:rsidR="008B6DB4" w:rsidRDefault="008B6DB4" w:rsidP="008B6DB4">
      <w:r>
        <w:t>The Tribunal was satisfied that our approach of adopting a simple average of the information from both the RBA and Bloomberg data services in those reviews was legally open and appropriate, stating:</w:t>
      </w:r>
      <w:r>
        <w:rPr>
          <w:rStyle w:val="FootnoteReference"/>
        </w:rPr>
        <w:footnoteReference w:id="503"/>
      </w:r>
    </w:p>
    <w:p w:rsidR="008B6DB4" w:rsidRDefault="008B6DB4" w:rsidP="008B6DB4">
      <w:pPr>
        <w:pStyle w:val="AERquote"/>
      </w:pPr>
      <w:r w:rsidRPr="008B6856">
        <w:t xml:space="preserve">983 </w:t>
      </w:r>
      <w:r>
        <w:t>…</w:t>
      </w:r>
      <w:r w:rsidRPr="008B6856">
        <w:t xml:space="preserve"> 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w:t>
      </w:r>
    </w:p>
    <w:p w:rsidR="008B6DB4" w:rsidRDefault="008B6DB4" w:rsidP="008B6DB4">
      <w:r>
        <w:t>Similarly, in relation to the choice of a BBB+ credit rating, the Tribunal noted:</w:t>
      </w:r>
      <w:r>
        <w:rPr>
          <w:rStyle w:val="FootnoteReference"/>
        </w:rPr>
        <w:footnoteReference w:id="504"/>
      </w:r>
    </w:p>
    <w:p w:rsidR="008B6DB4" w:rsidRDefault="008B6DB4" w:rsidP="008B6DB4">
      <w:pPr>
        <w:pStyle w:val="AERquote"/>
      </w:pPr>
      <w:r w:rsidRPr="00C32DF3">
        <w:t xml:space="preserve">993 </w:t>
      </w:r>
      <w:r>
        <w:t xml:space="preserve"> </w:t>
      </w:r>
      <w:r w:rsidRPr="00C32DF3">
        <w:t xml:space="preserve">The Tribunal is not satisfied that the AER’s relevant Final Decisions on this topic disclose a ground of review. In the Final Decisions </w:t>
      </w:r>
      <w:r>
        <w:t>…</w:t>
      </w:r>
      <w:r w:rsidRPr="00C32DF3">
        <w:t xml:space="preserve"> is a table analysing the median credit ratings over time. The table itself is not apparently inaccurate. The more recent years point firmly towards a BBB+ credit rating for the BEE. The Tribunal does not consider that it was either factually wrong, or a wrong exercise of the discretion, to have regard to that material for the purpose of identifying the characteristics of the BEE.</w:t>
      </w:r>
    </w:p>
    <w:p w:rsidR="008B6DB4" w:rsidRDefault="008B6DB4" w:rsidP="008B6DB4">
      <w:r>
        <w:t>Indeed, the Tribunal went further, noting that even if it was wrong in these findings, it would not be persuaded that it was materially preferable and in the long term interests of consumers to adopt a different approach to that adopted by the AER, noting:</w:t>
      </w:r>
      <w:r>
        <w:rPr>
          <w:rStyle w:val="FootnoteReference"/>
        </w:rPr>
        <w:footnoteReference w:id="505"/>
      </w:r>
    </w:p>
    <w:p w:rsidR="008B6DB4" w:rsidRDefault="008B6DB4" w:rsidP="0024342F">
      <w:pPr>
        <w:pStyle w:val="AERquote"/>
      </w:pPr>
      <w:r w:rsidRPr="00C32DF3">
        <w:t>995</w:t>
      </w:r>
      <w:r>
        <w:t xml:space="preserve"> </w:t>
      </w:r>
      <w:r w:rsidRPr="00C32DF3">
        <w:t xml:space="preserve"> In any event, the Tribunal would not take the step of being satisfied, in either respect, that to vary or set aside the relevant Final Decision would, or would be likely to, result in a materially preferable NEO decision under s 71P(2a)(c)</w:t>
      </w:r>
      <w:r>
        <w:t>.While some aspects of the Tribunal's decision have been challenged in the Full Federal Court, this aspect of the Tribunal's decision has not been challenged by any party.</w:t>
      </w:r>
    </w:p>
    <w:p w:rsidR="008B6DB4" w:rsidRDefault="008B6DB4" w:rsidP="008B6DB4">
      <w:r>
        <w:t>We have assessed the new information received in current proposals from service providers who recommend that we depart from our previous position of adopting a simple average of the RBA and BVAL curves. That new information does not persuade us to depart from our position or reasons from recent decisions. We explain our reasons for this decision in the re</w:t>
      </w:r>
      <w:r w:rsidR="00391CC7">
        <w:t xml:space="preserve">mainder of this section and in Appendix </w:t>
      </w:r>
      <w:r w:rsidR="00391CC7">
        <w:fldChar w:fldCharType="begin"/>
      </w:r>
      <w:r w:rsidR="00391CC7">
        <w:instrText xml:space="preserve"> REF _Ref451328082 \r \h </w:instrText>
      </w:r>
      <w:r w:rsidR="00391CC7">
        <w:fldChar w:fldCharType="separate"/>
      </w:r>
      <w:r w:rsidR="001A023B">
        <w:t>I</w:t>
      </w:r>
      <w:r w:rsidR="00391CC7">
        <w:fldChar w:fldCharType="end"/>
      </w:r>
      <w:r>
        <w:t>.</w:t>
      </w:r>
    </w:p>
    <w:p w:rsidR="008B6DB4" w:rsidRDefault="008B6DB4" w:rsidP="008B6DB4">
      <w:r>
        <w:t xml:space="preserve">We also requested Dr Lally review the recommendations from his previous report in light of the material submitted by service providers with current proposals. As part of that analysis, we requested Dr Lally review both the AER's approach and the various approaches proposed by service providers with current proposals against a set of criteria drawn from the requirements of the law and the rules, including the </w:t>
      </w:r>
      <w:r w:rsidR="00270CE2">
        <w:t>ARORO</w:t>
      </w:r>
      <w:r>
        <w:t>. After reviewing that material, Dr Lally concluded:</w:t>
      </w:r>
    </w:p>
    <w:p w:rsidR="008B6DB4" w:rsidRPr="002C49C4" w:rsidRDefault="008B6DB4" w:rsidP="008B6DB4">
      <w:pPr>
        <w:pStyle w:val="AERquote"/>
      </w:pPr>
      <w:r>
        <w:t>…</w:t>
      </w:r>
      <w:r w:rsidRPr="002C49C4">
        <w:t>the AER’s proposed approach satisfies the criteria and these criteria are not satisfied by any other proposed approach.</w:t>
      </w:r>
    </w:p>
    <w:p w:rsidR="008B6DB4" w:rsidRDefault="008B6DB4" w:rsidP="008B6DB4">
      <w:pPr>
        <w:pStyle w:val="AERquote"/>
      </w:pPr>
      <w:r w:rsidRPr="002C49C4">
        <w:t>Finally, I have previously provided advice on these implementation issues to the AER and nothing in these submissions warrants any change in that advice.</w:t>
      </w:r>
      <w:r>
        <w:rPr>
          <w:rStyle w:val="FootnoteReference"/>
        </w:rPr>
        <w:footnoteReference w:id="506"/>
      </w:r>
    </w:p>
    <w:p w:rsidR="008B6DB4" w:rsidRDefault="008B6DB4" w:rsidP="008B6DB4">
      <w:pPr>
        <w:pStyle w:val="HeadingItalic"/>
      </w:pPr>
      <w:r>
        <w:t>Response to key issues raised by stakeholders</w:t>
      </w:r>
    </w:p>
    <w:p w:rsidR="008B6DB4" w:rsidRDefault="008B6DB4" w:rsidP="008B6DB4">
      <w:r>
        <w:fldChar w:fldCharType="begin"/>
      </w:r>
      <w:r>
        <w:instrText xml:space="preserve"> REF _Ref431241994 \h </w:instrText>
      </w:r>
      <w:r>
        <w:fldChar w:fldCharType="separate"/>
      </w:r>
      <w:r w:rsidR="001A023B" w:rsidRPr="00986ABB">
        <w:t xml:space="preserve">Table </w:t>
      </w:r>
      <w:r w:rsidR="001A023B">
        <w:rPr>
          <w:noProof/>
        </w:rPr>
        <w:t>3</w:t>
      </w:r>
      <w:r w:rsidR="001A023B">
        <w:noBreakHyphen/>
      </w:r>
      <w:r w:rsidR="001A023B">
        <w:rPr>
          <w:noProof/>
        </w:rPr>
        <w:t>15</w:t>
      </w:r>
      <w:r>
        <w:fldChar w:fldCharType="end"/>
      </w:r>
      <w:r>
        <w:t xml:space="preserve"> sets out the service providers' proposals.</w:t>
      </w:r>
    </w:p>
    <w:p w:rsidR="008B6DB4" w:rsidRPr="00986ABB" w:rsidRDefault="008B6DB4" w:rsidP="008B6DB4">
      <w:pPr>
        <w:pStyle w:val="Caption"/>
      </w:pPr>
      <w:bookmarkStart w:id="82" w:name="_Ref431241994"/>
      <w:r w:rsidRPr="00986ABB">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15</w:t>
      </w:r>
      <w:r w:rsidR="00120312">
        <w:rPr>
          <w:noProof/>
        </w:rPr>
        <w:fldChar w:fldCharType="end"/>
      </w:r>
      <w:bookmarkEnd w:id="82"/>
      <w:r w:rsidRPr="00986ABB">
        <w:t xml:space="preserve">   Choice of data series and adjustments: Summary of current service provider proposals</w:t>
      </w:r>
    </w:p>
    <w:tbl>
      <w:tblPr>
        <w:tblStyle w:val="AERtable-text0"/>
        <w:tblW w:w="0" w:type="auto"/>
        <w:tblLook w:val="04A0" w:firstRow="1" w:lastRow="0" w:firstColumn="1" w:lastColumn="0" w:noHBand="0" w:noVBand="1"/>
      </w:tblPr>
      <w:tblGrid>
        <w:gridCol w:w="3070"/>
        <w:gridCol w:w="3025"/>
        <w:gridCol w:w="2598"/>
      </w:tblGrid>
      <w:tr w:rsidR="008B6DB4" w:rsidRPr="00986ABB" w:rsidTr="00BB7AE6">
        <w:trPr>
          <w:cnfStyle w:val="100000000000" w:firstRow="1" w:lastRow="0" w:firstColumn="0" w:lastColumn="0" w:oddVBand="0" w:evenVBand="0" w:oddHBand="0" w:evenHBand="0" w:firstRowFirstColumn="0" w:firstRowLastColumn="0" w:lastRowFirstColumn="0" w:lastRowLastColumn="0"/>
          <w:tblHeader/>
        </w:trPr>
        <w:tc>
          <w:tcPr>
            <w:tcW w:w="3070" w:type="dxa"/>
          </w:tcPr>
          <w:p w:rsidR="008B6DB4" w:rsidRPr="00986ABB" w:rsidRDefault="008B6DB4" w:rsidP="008B6DB4">
            <w:pPr>
              <w:numPr>
                <w:ilvl w:val="0"/>
                <w:numId w:val="24"/>
              </w:numPr>
            </w:pPr>
            <w:r w:rsidRPr="00986ABB">
              <w:t>Service provider</w:t>
            </w:r>
          </w:p>
        </w:tc>
        <w:tc>
          <w:tcPr>
            <w:tcW w:w="3025" w:type="dxa"/>
          </w:tcPr>
          <w:p w:rsidR="008B6DB4" w:rsidRPr="00986ABB" w:rsidRDefault="008B6DB4" w:rsidP="008B6DB4">
            <w:pPr>
              <w:numPr>
                <w:ilvl w:val="0"/>
                <w:numId w:val="24"/>
              </w:numPr>
            </w:pPr>
            <w:r w:rsidRPr="00986ABB">
              <w:t>Choice of data series</w:t>
            </w:r>
          </w:p>
        </w:tc>
        <w:tc>
          <w:tcPr>
            <w:tcW w:w="2598" w:type="dxa"/>
          </w:tcPr>
          <w:p w:rsidR="008B6DB4" w:rsidRPr="00986ABB" w:rsidRDefault="008B6DB4" w:rsidP="008B6DB4">
            <w:pPr>
              <w:numPr>
                <w:ilvl w:val="0"/>
                <w:numId w:val="24"/>
              </w:numPr>
            </w:pPr>
            <w:r w:rsidRPr="00986ABB">
              <w:t>Extrapolation/interpolation adjustments</w:t>
            </w:r>
          </w:p>
        </w:tc>
      </w:tr>
      <w:tr w:rsidR="008B6DB4" w:rsidRPr="00986ABB" w:rsidTr="007505A3">
        <w:tc>
          <w:tcPr>
            <w:tcW w:w="3070" w:type="dxa"/>
          </w:tcPr>
          <w:p w:rsidR="008B6DB4" w:rsidRPr="00986ABB" w:rsidRDefault="008B6DB4" w:rsidP="008B6DB4">
            <w:pPr>
              <w:numPr>
                <w:ilvl w:val="0"/>
                <w:numId w:val="24"/>
              </w:numPr>
            </w:pPr>
            <w:r w:rsidRPr="00986ABB">
              <w:t>VIC electricity distribution revised proposals</w:t>
            </w:r>
          </w:p>
        </w:tc>
        <w:tc>
          <w:tcPr>
            <w:tcW w:w="3025" w:type="dxa"/>
          </w:tcPr>
          <w:p w:rsidR="008B6DB4" w:rsidRPr="00986ABB" w:rsidRDefault="008B6DB4" w:rsidP="008B6DB4">
            <w:pPr>
              <w:numPr>
                <w:ilvl w:val="0"/>
                <w:numId w:val="24"/>
              </w:numPr>
            </w:pPr>
          </w:p>
        </w:tc>
        <w:tc>
          <w:tcPr>
            <w:tcW w:w="2598" w:type="dxa"/>
          </w:tcPr>
          <w:p w:rsidR="008B6DB4" w:rsidRPr="00986ABB" w:rsidRDefault="008B6DB4" w:rsidP="008B6DB4">
            <w:pPr>
              <w:numPr>
                <w:ilvl w:val="0"/>
                <w:numId w:val="24"/>
              </w:numPr>
            </w:pPr>
          </w:p>
        </w:tc>
      </w:tr>
      <w:tr w:rsidR="008B6DB4" w:rsidRPr="00986ABB" w:rsidTr="007505A3">
        <w:trPr>
          <w:cnfStyle w:val="000000010000" w:firstRow="0" w:lastRow="0" w:firstColumn="0" w:lastColumn="0" w:oddVBand="0" w:evenVBand="0" w:oddHBand="0" w:evenHBand="1" w:firstRowFirstColumn="0" w:firstRowLastColumn="0" w:lastRowFirstColumn="0" w:lastRowLastColumn="0"/>
        </w:trPr>
        <w:tc>
          <w:tcPr>
            <w:tcW w:w="3070" w:type="dxa"/>
          </w:tcPr>
          <w:p w:rsidR="008B6DB4" w:rsidRPr="00986ABB" w:rsidRDefault="008B6DB4" w:rsidP="008B6DB4">
            <w:pPr>
              <w:numPr>
                <w:ilvl w:val="0"/>
                <w:numId w:val="24"/>
              </w:numPr>
            </w:pPr>
            <w:r w:rsidRPr="00986ABB">
              <w:t>AusNet Services</w:t>
            </w:r>
          </w:p>
        </w:tc>
        <w:tc>
          <w:tcPr>
            <w:tcW w:w="3025" w:type="dxa"/>
          </w:tcPr>
          <w:p w:rsidR="008B6DB4" w:rsidRPr="00986ABB" w:rsidRDefault="008B6DB4" w:rsidP="008B6DB4">
            <w:pPr>
              <w:numPr>
                <w:ilvl w:val="0"/>
                <w:numId w:val="24"/>
              </w:numPr>
            </w:pPr>
            <w:r w:rsidRPr="00986ABB">
              <w:t>Proposed simple average of RBA and Reuters curves.</w:t>
            </w:r>
            <w:r>
              <w:t xml:space="preserve"> AusNet Services made two submissions after the window for submissions in which AusNet Services submitted the BVAL curve would not contribute to an estimate that achieved the ARORO.</w:t>
            </w:r>
          </w:p>
        </w:tc>
        <w:tc>
          <w:tcPr>
            <w:tcW w:w="2598" w:type="dxa"/>
          </w:tcPr>
          <w:p w:rsidR="008B6DB4" w:rsidRPr="00986ABB" w:rsidRDefault="008B6DB4" w:rsidP="008B6DB4">
            <w:pPr>
              <w:numPr>
                <w:ilvl w:val="0"/>
                <w:numId w:val="24"/>
              </w:numPr>
            </w:pPr>
            <w:r w:rsidRPr="00986ABB">
              <w:t>Proposed the Lally extrapolation method(s), consistent with our recent decisions.</w:t>
            </w:r>
          </w:p>
        </w:tc>
      </w:tr>
      <w:tr w:rsidR="008B6DB4" w:rsidRPr="00986ABB" w:rsidTr="007505A3">
        <w:tc>
          <w:tcPr>
            <w:tcW w:w="3070" w:type="dxa"/>
          </w:tcPr>
          <w:p w:rsidR="008B6DB4" w:rsidRPr="00986ABB" w:rsidRDefault="008B6DB4" w:rsidP="008B6DB4">
            <w:pPr>
              <w:numPr>
                <w:ilvl w:val="0"/>
                <w:numId w:val="24"/>
              </w:numPr>
            </w:pPr>
            <w:r w:rsidRPr="00986ABB">
              <w:t>CitiPower and Powercor</w:t>
            </w:r>
          </w:p>
        </w:tc>
        <w:tc>
          <w:tcPr>
            <w:tcW w:w="3025" w:type="dxa"/>
          </w:tcPr>
          <w:p w:rsidR="008B6DB4" w:rsidRPr="00986ABB" w:rsidRDefault="008B6DB4" w:rsidP="008B6DB4">
            <w:pPr>
              <w:numPr>
                <w:ilvl w:val="0"/>
                <w:numId w:val="24"/>
              </w:numPr>
            </w:pPr>
            <w:r w:rsidRPr="00986ABB">
              <w:t>Proposed weighted average of the RBA, BVAL and Reuters curves; with 50 per cent weight allocated to the RBA curve and 25 per cent allocated to each of the BVAL and Reuters curves.</w:t>
            </w:r>
          </w:p>
        </w:tc>
        <w:tc>
          <w:tcPr>
            <w:tcW w:w="2598" w:type="dxa"/>
          </w:tcPr>
          <w:p w:rsidR="008B6DB4" w:rsidRPr="00986ABB" w:rsidRDefault="008B6DB4" w:rsidP="008B6DB4">
            <w:pPr>
              <w:numPr>
                <w:ilvl w:val="0"/>
                <w:numId w:val="24"/>
              </w:numPr>
            </w:pPr>
            <w:r w:rsidRPr="00986ABB">
              <w:t>Proposed adjustments to the RBA and BVAL curves consistent with our recent decisions.</w:t>
            </w:r>
            <w:r w:rsidRPr="00986ABB" w:rsidDel="009D1D24">
              <w:t xml:space="preserve"> </w:t>
            </w:r>
          </w:p>
        </w:tc>
      </w:tr>
      <w:tr w:rsidR="008B6DB4" w:rsidRPr="00986ABB" w:rsidTr="007505A3">
        <w:trPr>
          <w:cnfStyle w:val="000000010000" w:firstRow="0" w:lastRow="0" w:firstColumn="0" w:lastColumn="0" w:oddVBand="0" w:evenVBand="0" w:oddHBand="0" w:evenHBand="1" w:firstRowFirstColumn="0" w:firstRowLastColumn="0" w:lastRowFirstColumn="0" w:lastRowLastColumn="0"/>
        </w:trPr>
        <w:tc>
          <w:tcPr>
            <w:tcW w:w="3070" w:type="dxa"/>
          </w:tcPr>
          <w:p w:rsidR="008B6DB4" w:rsidRPr="00986ABB" w:rsidRDefault="008B6DB4" w:rsidP="008B6DB4">
            <w:pPr>
              <w:numPr>
                <w:ilvl w:val="0"/>
                <w:numId w:val="24"/>
              </w:numPr>
            </w:pPr>
            <w:r w:rsidRPr="00986ABB">
              <w:t>Jemena Electricity Networks (JEN)</w:t>
            </w:r>
          </w:p>
        </w:tc>
        <w:tc>
          <w:tcPr>
            <w:tcW w:w="3025" w:type="dxa"/>
          </w:tcPr>
          <w:p w:rsidR="008B6DB4" w:rsidRPr="00986ABB" w:rsidRDefault="008B6DB4" w:rsidP="008B6DB4">
            <w:pPr>
              <w:numPr>
                <w:ilvl w:val="0"/>
                <w:numId w:val="24"/>
              </w:numPr>
            </w:pPr>
            <w:r w:rsidRPr="00986ABB">
              <w:t>For the first averaging period, the data source or combination of data sources that best fits a representative sample of bond yields is used.</w:t>
            </w:r>
          </w:p>
          <w:p w:rsidR="008B6DB4" w:rsidRPr="00986ABB" w:rsidRDefault="008B6DB4" w:rsidP="008B6DB4">
            <w:pPr>
              <w:numPr>
                <w:ilvl w:val="0"/>
                <w:numId w:val="24"/>
              </w:numPr>
            </w:pPr>
            <w:r w:rsidRPr="00986ABB">
              <w:t>For subsequent averaging periods, proposed a simple average of data points from all available third party data series using both Lally and SAPN extrapolation, unless there is a material (60 basis point) difference  between the highest and lowest of the estimates.</w:t>
            </w:r>
          </w:p>
          <w:p w:rsidR="008B6DB4" w:rsidRPr="00986ABB" w:rsidRDefault="008B6DB4" w:rsidP="008B6DB4">
            <w:pPr>
              <w:numPr>
                <w:ilvl w:val="0"/>
                <w:numId w:val="24"/>
              </w:numPr>
            </w:pPr>
            <w:r w:rsidRPr="00986ABB">
              <w:t>In which case a 'best fit' process is used to select between all available third party data series and extrapolation methods, or an average of all available third party data series and extrapolation methods. JEN proposed that all BBB rated third party data series with published yields of seven years or greater, and a simple average of all such data series, be tested.</w:t>
            </w:r>
          </w:p>
        </w:tc>
        <w:tc>
          <w:tcPr>
            <w:tcW w:w="2598" w:type="dxa"/>
          </w:tcPr>
          <w:p w:rsidR="008B6DB4" w:rsidRPr="00986ABB" w:rsidRDefault="008B6DB4" w:rsidP="008B6DB4">
            <w:pPr>
              <w:numPr>
                <w:ilvl w:val="0"/>
                <w:numId w:val="24"/>
              </w:numPr>
            </w:pPr>
            <w:r w:rsidRPr="00986ABB">
              <w:t>See description in 'choice of data series' column.</w:t>
            </w:r>
          </w:p>
          <w:p w:rsidR="008B6DB4" w:rsidRPr="00986ABB" w:rsidRDefault="008B6DB4" w:rsidP="008B6DB4">
            <w:pPr>
              <w:numPr>
                <w:ilvl w:val="0"/>
                <w:numId w:val="24"/>
              </w:numPr>
            </w:pPr>
            <w:r w:rsidRPr="00986ABB">
              <w:t>Selection is between the Lally and SAPN extrapolation methods.</w:t>
            </w:r>
            <w:r>
              <w:t xml:space="preserve"> The SAPN extrapolation method extends the 7 year yield estimate using the slope of spreads to swap from all published term points (1,3,5 and 7 years) and the difference between the 10 and 7 year base rates.</w:t>
            </w:r>
          </w:p>
        </w:tc>
      </w:tr>
      <w:tr w:rsidR="008B6DB4" w:rsidRPr="00986ABB" w:rsidTr="007505A3">
        <w:tc>
          <w:tcPr>
            <w:tcW w:w="3070" w:type="dxa"/>
          </w:tcPr>
          <w:p w:rsidR="008B6DB4" w:rsidRPr="00986ABB" w:rsidRDefault="008B6DB4" w:rsidP="008B6DB4">
            <w:pPr>
              <w:numPr>
                <w:ilvl w:val="0"/>
                <w:numId w:val="24"/>
              </w:numPr>
            </w:pPr>
            <w:r w:rsidRPr="00986ABB">
              <w:t>United Energy</w:t>
            </w:r>
          </w:p>
        </w:tc>
        <w:tc>
          <w:tcPr>
            <w:tcW w:w="3025" w:type="dxa"/>
          </w:tcPr>
          <w:p w:rsidR="008B6DB4" w:rsidRPr="00986ABB" w:rsidRDefault="008B6DB4" w:rsidP="008B6DB4">
            <w:pPr>
              <w:numPr>
                <w:ilvl w:val="0"/>
                <w:numId w:val="24"/>
              </w:numPr>
            </w:pPr>
            <w:r w:rsidRPr="00986ABB">
              <w:t xml:space="preserve">Proposed that a range of third party data series (with different extrapolation methods) and other information be tested each year against observed bond yields using United Energy's proposed 'best fit' approach.  </w:t>
            </w:r>
          </w:p>
          <w:p w:rsidR="008B6DB4" w:rsidRPr="00986ABB" w:rsidRDefault="008B6DB4" w:rsidP="008B6DB4">
            <w:pPr>
              <w:numPr>
                <w:ilvl w:val="0"/>
                <w:numId w:val="24"/>
              </w:numPr>
            </w:pPr>
            <w:r w:rsidRPr="00986ABB">
              <w:t>The data series that United Energy proposed be tested each year are the RBA data series, the Bloomberg BVAL or FVC data series, an empirically derived Nelson-Siegel yield curve estimated following United Energy's proposed method, an empirically derived par yield curve estimated following United Energy's proposed method, and any other sources of published yield information on A and BBB rated corporate bonds with yields of seven years and greater.</w:t>
            </w:r>
          </w:p>
        </w:tc>
        <w:tc>
          <w:tcPr>
            <w:tcW w:w="2598" w:type="dxa"/>
          </w:tcPr>
          <w:p w:rsidR="008B6DB4" w:rsidRPr="00986ABB" w:rsidRDefault="008B6DB4" w:rsidP="008B6DB4">
            <w:pPr>
              <w:numPr>
                <w:ilvl w:val="0"/>
                <w:numId w:val="24"/>
              </w:numPr>
            </w:pPr>
            <w:r w:rsidRPr="00986ABB">
              <w:t>Proposed an annual 'best fit' test process to select between the Lally and SAPN methods.</w:t>
            </w:r>
          </w:p>
        </w:tc>
      </w:tr>
      <w:tr w:rsidR="008B6DB4" w:rsidRPr="00986ABB" w:rsidTr="007505A3">
        <w:trPr>
          <w:cnfStyle w:val="000000010000" w:firstRow="0" w:lastRow="0" w:firstColumn="0" w:lastColumn="0" w:oddVBand="0" w:evenVBand="0" w:oddHBand="0" w:evenHBand="1" w:firstRowFirstColumn="0" w:firstRowLastColumn="0" w:lastRowFirstColumn="0" w:lastRowLastColumn="0"/>
        </w:trPr>
        <w:tc>
          <w:tcPr>
            <w:tcW w:w="3070" w:type="dxa"/>
          </w:tcPr>
          <w:p w:rsidR="008B6DB4" w:rsidRPr="00986ABB" w:rsidRDefault="008B6DB4" w:rsidP="008B6DB4">
            <w:pPr>
              <w:numPr>
                <w:ilvl w:val="0"/>
                <w:numId w:val="24"/>
              </w:numPr>
            </w:pPr>
            <w:r w:rsidRPr="00986ABB">
              <w:t>Gas revised proposals</w:t>
            </w:r>
          </w:p>
        </w:tc>
        <w:tc>
          <w:tcPr>
            <w:tcW w:w="3025" w:type="dxa"/>
          </w:tcPr>
          <w:p w:rsidR="008B6DB4" w:rsidRPr="00986ABB" w:rsidRDefault="008B6DB4" w:rsidP="008B6DB4">
            <w:pPr>
              <w:numPr>
                <w:ilvl w:val="0"/>
                <w:numId w:val="24"/>
              </w:numPr>
            </w:pPr>
          </w:p>
        </w:tc>
        <w:tc>
          <w:tcPr>
            <w:tcW w:w="2598" w:type="dxa"/>
          </w:tcPr>
          <w:p w:rsidR="008B6DB4" w:rsidRPr="00986ABB" w:rsidRDefault="008B6DB4" w:rsidP="008B6DB4">
            <w:pPr>
              <w:numPr>
                <w:ilvl w:val="0"/>
                <w:numId w:val="24"/>
              </w:numPr>
            </w:pPr>
          </w:p>
        </w:tc>
      </w:tr>
      <w:tr w:rsidR="008B6DB4" w:rsidRPr="00986ABB" w:rsidTr="007505A3">
        <w:tc>
          <w:tcPr>
            <w:tcW w:w="3070" w:type="dxa"/>
          </w:tcPr>
          <w:p w:rsidR="008B6DB4" w:rsidRPr="00986ABB" w:rsidRDefault="008B6DB4" w:rsidP="008B6DB4">
            <w:pPr>
              <w:numPr>
                <w:ilvl w:val="0"/>
                <w:numId w:val="24"/>
              </w:numPr>
            </w:pPr>
            <w:r w:rsidRPr="00986ABB">
              <w:t>ActewAGL</w:t>
            </w:r>
          </w:p>
        </w:tc>
        <w:tc>
          <w:tcPr>
            <w:tcW w:w="3025" w:type="dxa"/>
          </w:tcPr>
          <w:p w:rsidR="008B6DB4" w:rsidRPr="00986ABB" w:rsidRDefault="008B6DB4" w:rsidP="008B6DB4">
            <w:pPr>
              <w:numPr>
                <w:ilvl w:val="0"/>
                <w:numId w:val="24"/>
              </w:numPr>
            </w:pPr>
            <w:r w:rsidRPr="00986ABB">
              <w:t>Proposed a 'best fit' process is used to select between all available third party data series and extrapolation methods, or an average of all available third party data series and extrapolation methods. ActewAGL proposed that all BBB rated third party data series with published yields of seven years or greater, and a simple average of all such data series, be tested.</w:t>
            </w:r>
          </w:p>
          <w:p w:rsidR="008B6DB4" w:rsidRPr="00986ABB" w:rsidRDefault="008B6DB4" w:rsidP="008B6DB4">
            <w:pPr>
              <w:numPr>
                <w:ilvl w:val="0"/>
                <w:numId w:val="24"/>
              </w:numPr>
            </w:pPr>
            <w:r w:rsidRPr="00986ABB">
              <w:t xml:space="preserve">Note: In ActewAGL's initial proposal, it proposed that a 'best fit' process be used only when the highest and lowest of four data points (RBA curve with Lally extrapolation, RBA curve with SAPN extrapolation, BVAL curve with Lally extrapolation, and BVAL curve with SAPN extrapolation) is greater than 20 basis points. </w:t>
            </w:r>
          </w:p>
          <w:p w:rsidR="008B6DB4" w:rsidRPr="00986ABB" w:rsidRDefault="008B6DB4" w:rsidP="008B6DB4">
            <w:pPr>
              <w:numPr>
                <w:ilvl w:val="0"/>
                <w:numId w:val="24"/>
              </w:numPr>
            </w:pPr>
            <w:r w:rsidRPr="00986ABB">
              <w:t xml:space="preserve">In its revised proposal, ActewAGL submitted that is maintains its initial proposal, but does not </w:t>
            </w:r>
            <w:r>
              <w:t>appear to refer to</w:t>
            </w:r>
            <w:r w:rsidRPr="00986ABB">
              <w:t xml:space="preserve"> the 20 basis point threshold.</w:t>
            </w:r>
            <w:r>
              <w:rPr>
                <w:rStyle w:val="FootnoteReference"/>
              </w:rPr>
              <w:footnoteReference w:id="507"/>
            </w:r>
          </w:p>
        </w:tc>
        <w:tc>
          <w:tcPr>
            <w:tcW w:w="2598" w:type="dxa"/>
          </w:tcPr>
          <w:p w:rsidR="008B6DB4" w:rsidRPr="00986ABB" w:rsidRDefault="008B6DB4" w:rsidP="008B6DB4">
            <w:pPr>
              <w:numPr>
                <w:ilvl w:val="0"/>
                <w:numId w:val="24"/>
              </w:numPr>
            </w:pPr>
            <w:r w:rsidRPr="00986ABB">
              <w:t>See description in 'choice of data series' column.</w:t>
            </w:r>
          </w:p>
          <w:p w:rsidR="008B6DB4" w:rsidRPr="00986ABB" w:rsidRDefault="008B6DB4" w:rsidP="008B6DB4">
            <w:pPr>
              <w:numPr>
                <w:ilvl w:val="0"/>
                <w:numId w:val="24"/>
              </w:numPr>
            </w:pPr>
            <w:r w:rsidRPr="00986ABB">
              <w:t>Selection is between the Lally and SAPN extrapolation methods.</w:t>
            </w:r>
          </w:p>
        </w:tc>
      </w:tr>
      <w:tr w:rsidR="008B6DB4" w:rsidRPr="00986ABB" w:rsidTr="007505A3">
        <w:trPr>
          <w:cnfStyle w:val="000000010000" w:firstRow="0" w:lastRow="0" w:firstColumn="0" w:lastColumn="0" w:oddVBand="0" w:evenVBand="0" w:oddHBand="0" w:evenHBand="1" w:firstRowFirstColumn="0" w:firstRowLastColumn="0" w:lastRowFirstColumn="0" w:lastRowLastColumn="0"/>
        </w:trPr>
        <w:tc>
          <w:tcPr>
            <w:tcW w:w="3070" w:type="dxa"/>
          </w:tcPr>
          <w:p w:rsidR="008B6DB4" w:rsidRPr="00986ABB" w:rsidRDefault="008B6DB4" w:rsidP="008B6DB4">
            <w:pPr>
              <w:numPr>
                <w:ilvl w:val="0"/>
                <w:numId w:val="24"/>
              </w:numPr>
            </w:pPr>
            <w:r w:rsidRPr="00986ABB">
              <w:t>Australian Gas Networks (AGN)</w:t>
            </w:r>
          </w:p>
        </w:tc>
        <w:tc>
          <w:tcPr>
            <w:tcW w:w="3025" w:type="dxa"/>
          </w:tcPr>
          <w:p w:rsidR="008B6DB4" w:rsidRPr="00986ABB" w:rsidRDefault="008B6DB4" w:rsidP="008B6DB4">
            <w:pPr>
              <w:numPr>
                <w:ilvl w:val="0"/>
                <w:numId w:val="24"/>
              </w:numPr>
            </w:pPr>
            <w:r w:rsidRPr="00986ABB">
              <w:t>Proposed an annual 'best fit' test process to choose between available third party data series and extrapolation methods.</w:t>
            </w:r>
          </w:p>
        </w:tc>
        <w:tc>
          <w:tcPr>
            <w:tcW w:w="2598" w:type="dxa"/>
          </w:tcPr>
          <w:p w:rsidR="008B6DB4" w:rsidRPr="00986ABB" w:rsidRDefault="008B6DB4" w:rsidP="008B6DB4">
            <w:pPr>
              <w:numPr>
                <w:ilvl w:val="0"/>
                <w:numId w:val="24"/>
              </w:numPr>
            </w:pPr>
            <w:r w:rsidRPr="00986ABB">
              <w:t>Proposed an annual 'best fit' test to choose between the Lally and SAPN methods.</w:t>
            </w:r>
          </w:p>
        </w:tc>
      </w:tr>
      <w:tr w:rsidR="008B6DB4" w:rsidRPr="00986ABB" w:rsidTr="007505A3">
        <w:tc>
          <w:tcPr>
            <w:tcW w:w="3070" w:type="dxa"/>
          </w:tcPr>
          <w:p w:rsidR="008B6DB4" w:rsidRPr="00986ABB" w:rsidRDefault="008B6DB4" w:rsidP="008B6DB4">
            <w:pPr>
              <w:numPr>
                <w:ilvl w:val="0"/>
                <w:numId w:val="24"/>
              </w:numPr>
            </w:pPr>
            <w:r w:rsidRPr="00986ABB">
              <w:t>APTNT</w:t>
            </w:r>
          </w:p>
        </w:tc>
        <w:tc>
          <w:tcPr>
            <w:tcW w:w="3025" w:type="dxa"/>
          </w:tcPr>
          <w:p w:rsidR="008B6DB4" w:rsidRPr="00986ABB" w:rsidRDefault="008B6DB4" w:rsidP="008B6DB4">
            <w:pPr>
              <w:numPr>
                <w:ilvl w:val="0"/>
                <w:numId w:val="24"/>
              </w:numPr>
            </w:pPr>
            <w:r w:rsidRPr="00986ABB">
              <w:t>Proposed sole reliance on RBA curve.</w:t>
            </w:r>
          </w:p>
        </w:tc>
        <w:tc>
          <w:tcPr>
            <w:tcW w:w="2598" w:type="dxa"/>
          </w:tcPr>
          <w:p w:rsidR="008B6DB4" w:rsidRPr="00986ABB" w:rsidRDefault="008B6DB4" w:rsidP="008B6DB4">
            <w:pPr>
              <w:numPr>
                <w:ilvl w:val="0"/>
                <w:numId w:val="24"/>
              </w:numPr>
            </w:pPr>
            <w:r w:rsidRPr="00986ABB">
              <w:t>Proposed extrapolation (the Lally method)</w:t>
            </w:r>
            <w:r>
              <w:t xml:space="preserve"> </w:t>
            </w:r>
            <w:r w:rsidRPr="00986ABB">
              <w:t xml:space="preserve"> and interpolation methods for the RBA curve consistent with our recent decisions.</w:t>
            </w:r>
          </w:p>
        </w:tc>
      </w:tr>
    </w:tbl>
    <w:p w:rsidR="008B6DB4" w:rsidRDefault="008B6DB4" w:rsidP="008B6DB4">
      <w:pPr>
        <w:pStyle w:val="AERtablesource"/>
      </w:pPr>
      <w:r w:rsidRPr="00986ABB">
        <w:t xml:space="preserve">Source: </w:t>
      </w:r>
      <w:r>
        <w:tab/>
      </w:r>
      <w:r w:rsidRPr="00986ABB">
        <w:t>Regulatory proposals.</w:t>
      </w:r>
      <w:r w:rsidRPr="00FF6215">
        <w:rPr>
          <w:rStyle w:val="AERsuperscript"/>
        </w:rPr>
        <w:footnoteReference w:id="508"/>
      </w:r>
    </w:p>
    <w:p w:rsidR="008B6DB4" w:rsidRPr="008B6DB4" w:rsidRDefault="008B6DB4" w:rsidP="0024342F">
      <w:r>
        <w:t>Having considered these proposals, our final decision is to maintain our approach as adopted in previous decisions and upheld by the Tribunal.</w:t>
      </w:r>
      <w:r>
        <w:rPr>
          <w:rStyle w:val="FootnoteReference"/>
        </w:rPr>
        <w:footnoteReference w:id="509"/>
      </w:r>
      <w:r w:rsidR="0024342F">
        <w:t xml:space="preserve"> In summary, we consider </w:t>
      </w:r>
      <w:r>
        <w:t xml:space="preserve">we have </w:t>
      </w:r>
      <w:r w:rsidRPr="008B6DB4">
        <w:t xml:space="preserve">had limited opportunity to undertake analysis of and consultation on the Reuters 10 year yield estimate due to it being raised late in the process (in the revised proposal) despite being available since May 2015. Further, we consider that adopting  a changed proposal from service providers after, during or close to its averaging period would introduce upward bias into the regulatory decision making process. </w:t>
      </w:r>
    </w:p>
    <w:p w:rsidR="008B6DB4" w:rsidRDefault="008B6DB4" w:rsidP="008B6DB4">
      <w:r>
        <w:t xml:space="preserve">Nonetheless, we have sought to evaluate all three curves to the fullest extent possible. For the reasons in this section and in </w:t>
      </w:r>
      <w:r w:rsidR="00391CC7" w:rsidRPr="00391CC7">
        <w:t xml:space="preserve">Appendix </w:t>
      </w:r>
      <w:r w:rsidR="00391CC7" w:rsidRPr="00391CC7">
        <w:fldChar w:fldCharType="begin"/>
      </w:r>
      <w:r w:rsidR="00391CC7" w:rsidRPr="00391CC7">
        <w:instrText xml:space="preserve"> REF _Ref451328082 \r \h </w:instrText>
      </w:r>
      <w:r w:rsidR="00391CC7" w:rsidRPr="00391CC7">
        <w:fldChar w:fldCharType="separate"/>
      </w:r>
      <w:r w:rsidR="001A023B">
        <w:t>I</w:t>
      </w:r>
      <w:r w:rsidR="00391CC7" w:rsidRPr="00391CC7">
        <w:fldChar w:fldCharType="end"/>
      </w:r>
      <w:r w:rsidR="00391CC7">
        <w:t xml:space="preserve"> </w:t>
      </w:r>
      <w:r>
        <w:t xml:space="preserve">we remain satisfied that a simple average of the BVAL and RBA curves will contribute to an estimate that will achieve the </w:t>
      </w:r>
      <w:r w:rsidR="00270CE2">
        <w:t>ARORO</w:t>
      </w:r>
      <w:r>
        <w:t>. We have not yet formed a definitive view on the suitability of the Reuters curve, and are open to further consideration of this curve in the future.</w:t>
      </w:r>
    </w:p>
    <w:p w:rsidR="008B6DB4" w:rsidRPr="008B6DB4" w:rsidRDefault="008B6DB4" w:rsidP="008B6DB4">
      <w:pPr>
        <w:pStyle w:val="AERbulletlistfirststyle"/>
      </w:pPr>
      <w:r>
        <w:t xml:space="preserve">more specifically, </w:t>
      </w:r>
      <w:r w:rsidRPr="008B6DB4">
        <w:t xml:space="preserve">we remain satisfied that the BVAL curve is fit-for-purpose, and combined with the RBA curve , are satisfied that it will contribute to an estimate which achieves the </w:t>
      </w:r>
      <w:r w:rsidR="00270CE2">
        <w:t>ARORO.</w:t>
      </w:r>
    </w:p>
    <w:p w:rsidR="008B6DB4" w:rsidRPr="008B6DB4" w:rsidRDefault="008B6DB4" w:rsidP="008B6DB4">
      <w:pPr>
        <w:pStyle w:val="AERbulletlistfirststyle"/>
      </w:pPr>
      <w:r>
        <w:t>in proposing their recommendations, neither the service providers nor CEG have addressed the impact of our conservative benchmark a</w:t>
      </w:r>
      <w:r w:rsidRPr="008B6DB4">
        <w:t>ssumptions. Specifically:</w:t>
      </w:r>
    </w:p>
    <w:p w:rsidR="008B6DB4" w:rsidRDefault="008B6DB4" w:rsidP="008B6DB4">
      <w:pPr>
        <w:pStyle w:val="AERbulletlistsecondstyle"/>
      </w:pPr>
      <w:r>
        <w:t xml:space="preserve"> in the </w:t>
      </w:r>
      <w:r w:rsidR="00883C42">
        <w:t>G</w:t>
      </w:r>
      <w:r>
        <w:t>uideline, we adopted a 10 year benchmark term based on a weighted average term at issuance of 8.7 years observed amongst service providers.</w:t>
      </w:r>
      <w:r>
        <w:rPr>
          <w:rStyle w:val="FootnoteReference"/>
        </w:rPr>
        <w:footnoteReference w:id="510"/>
      </w:r>
      <w:r>
        <w:t xml:space="preserve"> Ordinarily, this will lead to an upward bias in our benchmark compared to the sector's costs of debt. Using the RBA curve since 2005, this difference leads to an average upward bias of approximately 14 basis points.</w:t>
      </w:r>
      <w:r>
        <w:rPr>
          <w:rStyle w:val="FootnoteReference"/>
        </w:rPr>
        <w:footnoteReference w:id="511"/>
      </w:r>
      <w:r>
        <w:t xml:space="preserve"> </w:t>
      </w:r>
    </w:p>
    <w:p w:rsidR="008B6DB4" w:rsidRDefault="008B6DB4" w:rsidP="008B6DB4">
      <w:pPr>
        <w:pStyle w:val="AERbulletlistsecondstyle"/>
      </w:pPr>
      <w:r>
        <w:t>we adopt a benchmark credit rating of BBB+ but estimate the return on debt using the 'broad-BBB' rated curves published by the RBA and Bloomberg. This means that these curves are estimated based on a bond sample that includes lower rated BBB and BBB</w:t>
      </w:r>
      <w:r>
        <w:softHyphen/>
        <w:t>– rated bonds. To the extent that the estimates produced by these curves reflect those lower rated bonds, this would similarly introduce an upward bias.</w:t>
      </w:r>
    </w:p>
    <w:p w:rsidR="008B6DB4" w:rsidRDefault="008B6DB4" w:rsidP="008B6DB4">
      <w:r>
        <w:t xml:space="preserve">In </w:t>
      </w:r>
      <w:r w:rsidR="00391CC7" w:rsidRPr="00391CC7">
        <w:t xml:space="preserve">Appendix </w:t>
      </w:r>
      <w:r w:rsidR="00391CC7" w:rsidRPr="00391CC7">
        <w:fldChar w:fldCharType="begin"/>
      </w:r>
      <w:r w:rsidR="00391CC7" w:rsidRPr="00391CC7">
        <w:instrText xml:space="preserve"> REF _Ref451328082 \r \h </w:instrText>
      </w:r>
      <w:r w:rsidR="00391CC7" w:rsidRPr="00391CC7">
        <w:fldChar w:fldCharType="separate"/>
      </w:r>
      <w:r w:rsidR="001A023B">
        <w:t>I</w:t>
      </w:r>
      <w:r w:rsidR="00391CC7" w:rsidRPr="00391CC7">
        <w:fldChar w:fldCharType="end"/>
      </w:r>
      <w:r>
        <w:t xml:space="preserve">, we have set out more detailed analysis on our responses to issues raised by key stakeholders, including: </w:t>
      </w:r>
    </w:p>
    <w:p w:rsidR="008B6DB4" w:rsidRPr="008B6DB4" w:rsidRDefault="008B6DB4" w:rsidP="008B6DB4">
      <w:pPr>
        <w:pStyle w:val="AERbulletlistfirststyle"/>
      </w:pPr>
      <w:r w:rsidRPr="001A36BA">
        <w:t>the Reuters curve</w:t>
      </w:r>
    </w:p>
    <w:p w:rsidR="008B6DB4" w:rsidRPr="008B6DB4" w:rsidRDefault="008B6DB4" w:rsidP="008B6DB4">
      <w:pPr>
        <w:pStyle w:val="AERbulletlistfirststyle"/>
      </w:pPr>
      <w:r>
        <w:t xml:space="preserve">new </w:t>
      </w:r>
      <w:r w:rsidRPr="008B6DB4">
        <w:t>criticisms of the BVAL curve</w:t>
      </w:r>
    </w:p>
    <w:p w:rsidR="008B6DB4" w:rsidRPr="008B6DB4" w:rsidRDefault="008B6DB4" w:rsidP="008B6DB4">
      <w:pPr>
        <w:pStyle w:val="AERbulletlistfirststyle"/>
      </w:pPr>
      <w:r>
        <w:t>other issues</w:t>
      </w:r>
      <w:r w:rsidRPr="008B6DB4">
        <w:t>.</w:t>
      </w:r>
    </w:p>
    <w:p w:rsidR="008B6DB4" w:rsidRDefault="008B6DB4" w:rsidP="008B6DB4">
      <w:pPr>
        <w:pStyle w:val="HeadingBoldItalic"/>
      </w:pPr>
      <w:r>
        <w:t>Annual testing for the choice of data series</w:t>
      </w:r>
    </w:p>
    <w:p w:rsidR="008B6DB4" w:rsidRDefault="008B6DB4" w:rsidP="008B6DB4">
      <w:r>
        <w:t xml:space="preserve">Since our decision for JGN, we have set out our reasons for not adopting the annual testing approaches proposed by some service providers and recommended by CEG.  </w:t>
      </w:r>
      <w:r w:rsidRPr="003A118B">
        <w:t xml:space="preserve">In contrast, we are satisfied that a simple average of the BVAL and RBA curves extrapolated using the AER methodology will contribute to an estimate of the return on debt which achieves the </w:t>
      </w:r>
      <w:r w:rsidR="00270CE2">
        <w:t>ARORO</w:t>
      </w:r>
      <w:r w:rsidRPr="003A118B">
        <w:t xml:space="preserve">. </w:t>
      </w:r>
      <w:r>
        <w:t>Amongst current proposals, ActewAGL,</w:t>
      </w:r>
      <w:r>
        <w:rPr>
          <w:rStyle w:val="FootnoteReference"/>
        </w:rPr>
        <w:footnoteReference w:id="512"/>
      </w:r>
      <w:r>
        <w:t xml:space="preserve"> AGN, JEN and United Energy</w:t>
      </w:r>
      <w:r w:rsidRPr="002E3BB1">
        <w:t xml:space="preserve"> </w:t>
      </w:r>
      <w:r>
        <w:t>proposed</w:t>
      </w:r>
      <w:r w:rsidRPr="002E3BB1">
        <w:t xml:space="preserve"> an annual process to test which of various curves, or averages of curves, 'best fit' a sample of bond yields during the particular service provider's averaging period in a particular year. </w:t>
      </w:r>
      <w:r>
        <w:t>These service providers propose to</w:t>
      </w:r>
      <w:r w:rsidRPr="002E3BB1">
        <w:t xml:space="preserve"> apply this annual testing methodology to select both the choice of data series and the extrapolation method.</w:t>
      </w:r>
    </w:p>
    <w:p w:rsidR="008B6DB4" w:rsidRPr="002E3BB1" w:rsidRDefault="008B6DB4" w:rsidP="008B6DB4">
      <w:pPr>
        <w:numPr>
          <w:ilvl w:val="0"/>
          <w:numId w:val="24"/>
        </w:numPr>
      </w:pPr>
      <w:r>
        <w:t>We are not persuaded that either the service providers or CEG has identified material new reasons to justify adoption of an annual testing approach. In previous decisions, we have not adopted this annual testing approach for the following reasons</w:t>
      </w:r>
      <w:r w:rsidRPr="002E3BB1">
        <w:t>:</w:t>
      </w:r>
    </w:p>
    <w:p w:rsidR="008B6DB4" w:rsidRPr="008B6DB4" w:rsidRDefault="008B6DB4" w:rsidP="008B6DB4">
      <w:pPr>
        <w:pStyle w:val="AERbulletlistfirststyle"/>
      </w:pPr>
      <w:r w:rsidRPr="002E3BB1">
        <w:t>The premise of the 'best fit' method is that it assumes, by definition, that this test better reflects efficient financing costs than either the RBA or BVAL method, and we are not persuaded this is the case.</w:t>
      </w:r>
    </w:p>
    <w:p w:rsidR="008B6DB4" w:rsidRPr="008B6DB4" w:rsidRDefault="008B6DB4" w:rsidP="008B6DB4">
      <w:pPr>
        <w:pStyle w:val="AERbulletlistfirststyle"/>
      </w:pPr>
      <w:r w:rsidRPr="002E3BB1">
        <w:t>Placing sole weight on the 'best fit' method ignores useful information that can be gathered from examining and analysing the underlying bond selection criteria and curve fitting methodologies of the RBA and BVAL methods.</w:t>
      </w:r>
    </w:p>
    <w:p w:rsidR="008B6DB4" w:rsidRPr="008B6DB4" w:rsidRDefault="008B6DB4" w:rsidP="008B6DB4">
      <w:pPr>
        <w:pStyle w:val="AERbulletlistfirststyle"/>
      </w:pPr>
      <w:r w:rsidRPr="002E3BB1">
        <w:t>The particular 'best fit' methods that have been proposed to us by service providers are inconsistent with the rules requirement for a change in revenue from the annual debt update to be from an automatic application of a formula in the decision.</w:t>
      </w:r>
      <w:r w:rsidRPr="008B6DB4">
        <w:rPr>
          <w:rStyle w:val="AERsuperscript"/>
        </w:rPr>
        <w:footnoteReference w:id="513"/>
      </w:r>
    </w:p>
    <w:p w:rsidR="008B6DB4" w:rsidRDefault="008B6DB4" w:rsidP="008B6DB4">
      <w:pPr>
        <w:numPr>
          <w:ilvl w:val="0"/>
          <w:numId w:val="24"/>
        </w:numPr>
      </w:pPr>
      <w:r>
        <w:t>We explain each of these reasons below.</w:t>
      </w:r>
    </w:p>
    <w:p w:rsidR="008B6DB4" w:rsidRDefault="008B6DB4" w:rsidP="008B6DB4">
      <w:pPr>
        <w:numPr>
          <w:ilvl w:val="0"/>
          <w:numId w:val="24"/>
        </w:numPr>
      </w:pPr>
      <w:r>
        <w:t>Firstly, the following is a simplified explanation of the range of annual testing methods proposed by various service providers, which is helpful to illustrate our objection to its core premise:</w:t>
      </w:r>
    </w:p>
    <w:p w:rsidR="008B6DB4" w:rsidRPr="008B6DB4" w:rsidRDefault="008B6DB4" w:rsidP="008B6DB4">
      <w:pPr>
        <w:pStyle w:val="AERbulletlistfirststyle"/>
      </w:pPr>
      <w:r>
        <w:t>Assume there are three sets of bonds labelled Group A, Group B and Group C. The selection criteria for each group is different, but partially overlapping, meaning there is some commonality of the bonds in each group.</w:t>
      </w:r>
    </w:p>
    <w:p w:rsidR="008B6DB4" w:rsidRPr="008B6DB4" w:rsidRDefault="008B6DB4" w:rsidP="008B6DB4">
      <w:pPr>
        <w:pStyle w:val="AERbulletlistfirststyle"/>
      </w:pPr>
      <w:r>
        <w:t>Group A bonds are used to construct Curve A, Group B bonds are used to construct Curve B, and Group C bonds are used as a ‘test group’.</w:t>
      </w:r>
    </w:p>
    <w:p w:rsidR="008B6DB4" w:rsidRPr="008B6DB4" w:rsidRDefault="008B6DB4" w:rsidP="008B6DB4">
      <w:pPr>
        <w:pStyle w:val="AERbulletlistfirststyle"/>
      </w:pPr>
      <w:r>
        <w:t>The test is applied as follows—Curve A and Curve B are tested to assess which curve better fits the bonds in Group C, the test group.</w:t>
      </w:r>
    </w:p>
    <w:p w:rsidR="008B6DB4" w:rsidRPr="008B6DB4" w:rsidRDefault="008B6DB4" w:rsidP="008B6DB4">
      <w:pPr>
        <w:pStyle w:val="AERbulletlistfirststyle"/>
      </w:pPr>
      <w:r>
        <w:t>Assume Group A bonds and Curve A represent the BVAL methodology, Group B bonds and Curve B represent the RBA methodology, and Group C bonds represent the test group of bonds proposed by service providers (based on either the CEG or Esquant methodology).</w:t>
      </w:r>
    </w:p>
    <w:p w:rsidR="008B6DB4" w:rsidRPr="008B6DB4" w:rsidRDefault="008B6DB4" w:rsidP="008B6DB4">
      <w:pPr>
        <w:pStyle w:val="AERbulletlistfirststyle"/>
      </w:pPr>
      <w:r>
        <w:t xml:space="preserve">The underlying premise of this test is that Group C bonds are a better reflection of the efficient financing costs of a benchmark efficient entity than Group A (BVAL) bonds or Group B (RBA) bonds. Unless this underlying premise is established then the fact that the Group C bonds might be a better fit to Curve A or Curve B in a particular year says nothing about which curve is a better reflection of the efficient financing costs of a benchmark efficient entity. </w:t>
      </w:r>
    </w:p>
    <w:p w:rsidR="008B6DB4" w:rsidRDefault="008B6DB4" w:rsidP="008B6DB4">
      <w:pPr>
        <w:numPr>
          <w:ilvl w:val="0"/>
          <w:numId w:val="24"/>
        </w:numPr>
      </w:pPr>
      <w:r>
        <w:t xml:space="preserve">The service providers have not established that the test group of bonds they proposed (the 'Group C bonds' in the above illustration) are a better reflection of the efficient financing costs of the benchmark efficient entity than were the Group A bonds (based on Bloomberg’s nominated selection criteria) or the Group B bonds (based on the RBA’s nominated selection criteria). Rather, the proposals generally rely on an assumption that because the test group of bonds is large, it is therefore a good test group. Further, their proposed test group of bonds—which differed between the CEG and Esquant methodology—includes bonds that both the RBA and Bloomberg have excluded without explaining why both the RBA and Bloomberg were wrong to exclude these bonds. </w:t>
      </w:r>
    </w:p>
    <w:p w:rsidR="008B6DB4" w:rsidRDefault="008B6DB4" w:rsidP="008B6DB4">
      <w:pPr>
        <w:numPr>
          <w:ilvl w:val="0"/>
          <w:numId w:val="24"/>
        </w:numPr>
      </w:pPr>
      <w:r>
        <w:t>Our adoption of a simple average of the RBA and BVAL curves was informed by the analysis from Lally, the REU and our own analysis. That analysis established that there were strengths and weaknesses with the RBA’s and BVAL’s bond selection criteria in relation to reflecting the efficient financing costs of a benchmark efficient entity, however, neither was clearly superior to the other.</w:t>
      </w:r>
    </w:p>
    <w:p w:rsidR="008B6DB4" w:rsidRDefault="008B6DB4" w:rsidP="008B6DB4">
      <w:pPr>
        <w:numPr>
          <w:ilvl w:val="0"/>
          <w:numId w:val="24"/>
        </w:numPr>
      </w:pPr>
      <w:r>
        <w:t xml:space="preserve">The above simplified explanation is similar to the testing approach proposed by ActewAGL, AGN and JEN. United Energy proposed a similar though substantially more complex version of ActewAGL's, AGN's and JEN's approach. United Energy's approach is considerably more complex because, along with testing the available third party published data series, United Energy also proposed the AER empirically derive its own data series using two separate complex methodologies and add these into the mix of curves to be tested. However, despite this additional complexity, we are not satisfied United Energy's approach adds to the accuracy of this annual testing process, because of the reasons set out in this section that apply to any such annual testing approach. </w:t>
      </w:r>
    </w:p>
    <w:p w:rsidR="008B6DB4" w:rsidRDefault="008B6DB4" w:rsidP="008B6DB4">
      <w:pPr>
        <w:numPr>
          <w:ilvl w:val="0"/>
          <w:numId w:val="24"/>
        </w:numPr>
      </w:pPr>
      <w:r w:rsidRPr="00305172">
        <w:t xml:space="preserve">Secondly, </w:t>
      </w:r>
      <w:r>
        <w:t xml:space="preserve">we consider it is appropriate to select a data series (or average of data series) 'up-front' in circumstances where there is detailed information available to us at the time of the decision about both the RBA curve and BVAL curve and that information did not disclose that one was superior to the other. </w:t>
      </w:r>
    </w:p>
    <w:p w:rsidR="008B6DB4" w:rsidRPr="00865B14" w:rsidRDefault="008B6DB4" w:rsidP="008B6DB4">
      <w:pPr>
        <w:numPr>
          <w:ilvl w:val="0"/>
          <w:numId w:val="24"/>
        </w:numPr>
      </w:pPr>
      <w:r>
        <w:t xml:space="preserve">In contrast, the annual testing approach </w:t>
      </w:r>
      <w:r w:rsidRPr="00865B14">
        <w:t xml:space="preserve">treats each curve as a 'black box', when they are not. We might adopt an approach like </w:t>
      </w:r>
      <w:r>
        <w:t>that i</w:t>
      </w:r>
      <w:r w:rsidRPr="00865B14">
        <w:t xml:space="preserve">f we were unable to analyse the underlying characteristics of the curves (that is, the bond selection criteria and curve fitting methodology). However, this is not the case. The RBA and BVAL have applied their expertise to assess debt market information. Each determined a distinct approach to synthesize the available corporate bond data into yield curves. We have a </w:t>
      </w:r>
      <w:r>
        <w:t>substantial</w:t>
      </w:r>
      <w:r w:rsidRPr="00865B14">
        <w:t xml:space="preserve"> </w:t>
      </w:r>
      <w:r>
        <w:t>amount</w:t>
      </w:r>
      <w:r w:rsidRPr="00865B14">
        <w:t xml:space="preserve"> of available information on the bond selection criteria of both curves. Further, we have a fair degree of available information on the curve fitting (or averaging) methodology used by the RBA, and some available information on Bloomberg's curve fitting methodology. We have assessed that available information. Based on our assessment of the underlying characteristics of the RBA and BVAL curves we consider both curves have strengths, but neither curve is clearly superior to the other.</w:t>
      </w:r>
    </w:p>
    <w:p w:rsidR="008B6DB4" w:rsidRDefault="008B6DB4" w:rsidP="008B6DB4">
      <w:pPr>
        <w:numPr>
          <w:ilvl w:val="0"/>
          <w:numId w:val="24"/>
        </w:numPr>
      </w:pPr>
      <w:r>
        <w:t xml:space="preserve">Some service providers have stated this reasoning is inconsistent with the principles articulated by the Tribunal in </w:t>
      </w:r>
      <w:r w:rsidRPr="00B25EF6">
        <w:rPr>
          <w:rStyle w:val="AERtextitalic"/>
        </w:rPr>
        <w:t>Application by Jemena Gas Networks (NSW) Ltd (No 5) [2011] ACompT 10</w:t>
      </w:r>
      <w:r>
        <w:t>, in which the Tribunal determined to use a particular curve over another on the basis that it provided a better fit to the available data.</w:t>
      </w:r>
      <w:r>
        <w:rPr>
          <w:rStyle w:val="FootnoteReference"/>
        </w:rPr>
        <w:footnoteReference w:id="514"/>
      </w:r>
      <w:r>
        <w:t xml:space="preserve">  We disagree.  In the JGN matter, the Tribunal said:</w:t>
      </w:r>
    </w:p>
    <w:p w:rsidR="008B6DB4" w:rsidRPr="006A2654" w:rsidRDefault="008B6DB4" w:rsidP="008B6DB4">
      <w:pPr>
        <w:pStyle w:val="AERquote"/>
      </w:pPr>
      <w:r w:rsidRPr="006A2654">
        <w:t>In </w:t>
      </w:r>
      <w:r w:rsidRPr="006C71C6">
        <w:t>ActewAGL</w:t>
      </w:r>
      <w:r w:rsidRPr="006A2654">
        <w:t> averaging of rival fair value curves was undertaken because there was no clear basis to justify a preference for one curve over the other. Here, by way of contrast, Professor Handley was somewhat equivocal in his support for the CBA</w:t>
      </w:r>
      <w:r>
        <w:t xml:space="preserve"> </w:t>
      </w:r>
      <w:r w:rsidRPr="006A2654">
        <w:t>Spectrum curve; Dr Hird meticulously evaluated different groupings of bonds and made many adjustments to allow for non-standard bond features, and his tests clearly pointed to the superiority of the Bloomberg curve over many different iterations; and the publishers of the CBASpectrum curve have stopped producing it, citing lack of relevance to the market.</w:t>
      </w:r>
      <w:r>
        <w:rPr>
          <w:rStyle w:val="FootnoteReference"/>
        </w:rPr>
        <w:footnoteReference w:id="515"/>
      </w:r>
    </w:p>
    <w:p w:rsidR="008B6DB4" w:rsidRDefault="008B6DB4" w:rsidP="008B6DB4">
      <w:pPr>
        <w:numPr>
          <w:ilvl w:val="0"/>
          <w:numId w:val="24"/>
        </w:numPr>
      </w:pPr>
      <w:r>
        <w:t xml:space="preserve">The Tribunal was thus persuaded by expert evidence favouring one curve over another; which included the fact that one of the curves in contention had ceased to be produced. In contrast, both the RBA and BVAL curves continue to be produced and there is expert support for each data source. We consider our proposed approach to averaging the BVAL and RBA curves is thus entirely consistent with the Tribunal’s decision in </w:t>
      </w:r>
      <w:r w:rsidRPr="00305172">
        <w:t xml:space="preserve">Application by Jemena Gas Networks (NSW) Ltd (No 5), </w:t>
      </w:r>
      <w:r>
        <w:t xml:space="preserve">and also with the endorsement given by the Tribunal to curve averaging in </w:t>
      </w:r>
      <w:r w:rsidRPr="00B25EF6">
        <w:rPr>
          <w:rStyle w:val="AERtextitalic"/>
        </w:rPr>
        <w:t>Application by ActewAGL Distribution [2010] ACompT 4</w:t>
      </w:r>
      <w:r>
        <w:t>.</w:t>
      </w:r>
      <w:r>
        <w:rPr>
          <w:rStyle w:val="FootnoteReference"/>
        </w:rPr>
        <w:footnoteReference w:id="516"/>
      </w:r>
    </w:p>
    <w:p w:rsidR="008B6DB4" w:rsidRDefault="008B6DB4" w:rsidP="008B6DB4">
      <w:pPr>
        <w:numPr>
          <w:ilvl w:val="0"/>
          <w:numId w:val="24"/>
        </w:numPr>
      </w:pPr>
      <w:r>
        <w:t>We further note that both the ActewAGL and JGN matters appeared before the Tribunal before the change to the rules that permits annual updating of the allowed return on debt. In the ActewAGL matter, the Tribunal cautioned against any sort of 'best fit' testing that did not use judgement and a qualitative approach to check for outliers in the sample of bonds used as the test group.</w:t>
      </w:r>
      <w:r>
        <w:rPr>
          <w:rStyle w:val="FootnoteReference"/>
        </w:rPr>
        <w:footnoteReference w:id="517"/>
      </w:r>
      <w:r>
        <w:t xml:space="preserve"> However, the new rules that permit annual updating also require for a change in revenue from the annual debt update to be from an automatic application of a formula in the decision.</w:t>
      </w:r>
      <w:r>
        <w:rPr>
          <w:rStyle w:val="FootnoteReference"/>
        </w:rPr>
        <w:footnoteReference w:id="518"/>
      </w:r>
      <w:r>
        <w:t xml:space="preserve"> Accordingly, the rules no not permit the sort of qualitative approach to checking for outliers that the Tribunal considers important if an annual testing approach was adopted. </w:t>
      </w:r>
    </w:p>
    <w:p w:rsidR="008B6DB4" w:rsidRDefault="008B6DB4" w:rsidP="008B6DB4">
      <w:r w:rsidRPr="00305172">
        <w:t xml:space="preserve">Thirdly, </w:t>
      </w:r>
      <w:r>
        <w:t>and most significantly, following on from the last point, we consider the annual 'best fit' test to curve and extrapolation method selection is inconsistent with the rules. The rules provides that if the return on debt is to be estimated using a methodology which results in (potentially) different returns for different regulatory years, then “</w:t>
      </w:r>
      <w:r w:rsidRPr="000605B5">
        <w:t>a resulting change to the service provider's total revenue must be effected through the automatic application of a formula tha</w:t>
      </w:r>
      <w:r>
        <w:t>t is specified in the determination”.</w:t>
      </w:r>
      <w:r>
        <w:rPr>
          <w:rStyle w:val="FootnoteReference"/>
        </w:rPr>
        <w:footnoteReference w:id="519"/>
      </w:r>
      <w:r>
        <w:t xml:space="preserve">  In the 2012 rule determination, the AEMC said in relation to this rule that “t</w:t>
      </w:r>
      <w:r w:rsidRPr="003C192D">
        <w:t>he formula for calculating the</w:t>
      </w:r>
      <w:r>
        <w:t xml:space="preserve"> </w:t>
      </w:r>
      <w:r w:rsidRPr="003C192D">
        <w:t>updated return on debt must be specified in the regulatory determination or access</w:t>
      </w:r>
      <w:r>
        <w:t xml:space="preserve"> </w:t>
      </w:r>
      <w:r w:rsidRPr="003C192D">
        <w:t>arrangement and must be capable of applying automatically</w:t>
      </w:r>
      <w:r>
        <w:t>”.</w:t>
      </w:r>
      <w:r>
        <w:rPr>
          <w:rStyle w:val="FootnoteReference"/>
        </w:rPr>
        <w:footnoteReference w:id="520"/>
      </w:r>
      <w:r>
        <w:t xml:space="preserve"> We are not satisfied that proposed approaches to estimating return on debt by reason to a 'best fit' data source could be formulaically applied as required by this rule.  </w:t>
      </w:r>
    </w:p>
    <w:p w:rsidR="008B6DB4" w:rsidRDefault="008B6DB4" w:rsidP="008B6DB4">
      <w:pPr>
        <w:numPr>
          <w:ilvl w:val="0"/>
          <w:numId w:val="24"/>
        </w:numPr>
      </w:pPr>
      <w:r>
        <w:t xml:space="preserve">The annual 'best fit' test that was initially proposed by JGN forms the basis for the annual 'best fit' test proposed by a number of service providers with current proposals. This process entails the use from year to year not only of the RBA curve and/or the BVAL curve, but “any other sources of published yield information for corporate bonds which are well recognised and used by market practitioners”. Further, for the purpose of ascertaining yields from the observed foreign currency bond data, this approach includes a conversion to Australian dollar equivalents by use of swaps “in a methodology that is well accepted in the finance industry”.  </w:t>
      </w:r>
    </w:p>
    <w:p w:rsidR="008B6DB4" w:rsidRPr="00305172" w:rsidRDefault="008B6DB4" w:rsidP="008B6DB4">
      <w:pPr>
        <w:numPr>
          <w:ilvl w:val="0"/>
          <w:numId w:val="24"/>
        </w:numPr>
      </w:pPr>
      <w:r>
        <w:t>However, the rules do not permit the calculation of return on debt from year to year by reference to qualitative assessments of whether a particular data source is “well-accepted”. In this regard, rule 87 of the NGR formerly provided that in determining a rate of return on capital, a “</w:t>
      </w:r>
      <w:r w:rsidRPr="00305172">
        <w:t>well accepted approach that incorporates the cost of equity and debt, such as the Weighted Average Cost of Capital</w:t>
      </w:r>
      <w:r>
        <w:t>” and a “</w:t>
      </w:r>
      <w:r w:rsidRPr="00305172">
        <w:t>well accepted financial model, such as the Capital Asset Pricing Model</w:t>
      </w:r>
      <w:r>
        <w:t>”</w:t>
      </w:r>
      <w:r w:rsidRPr="00305172">
        <w:t xml:space="preserve">, </w:t>
      </w:r>
      <w:r>
        <w:t>are</w:t>
      </w:r>
      <w:r w:rsidRPr="00305172">
        <w:t xml:space="preserve"> to be used.</w:t>
      </w:r>
      <w:r>
        <w:t xml:space="preserve">  However, this criterion was deleted following the 2012 rule change  The NER and NGR now specifically require debt allowances to be updated “through the automatic application of a formula that is specified” in the final decision, and have eliminated the difficulties involved in subjective determinations of what “well accepted” means.  </w:t>
      </w:r>
    </w:p>
    <w:p w:rsidR="008B6DB4" w:rsidRDefault="008B6DB4" w:rsidP="008B6DB4">
      <w:pPr>
        <w:numPr>
          <w:ilvl w:val="0"/>
          <w:numId w:val="24"/>
        </w:numPr>
      </w:pPr>
      <w:r>
        <w:t>We consider b</w:t>
      </w:r>
      <w:r w:rsidRPr="00305172">
        <w:t xml:space="preserve">oth of these steps </w:t>
      </w:r>
      <w:r>
        <w:t xml:space="preserve">(i.e. </w:t>
      </w:r>
      <w:r w:rsidRPr="00305172">
        <w:t>determination of a well-accepted or well-recognised methodology</w:t>
      </w:r>
      <w:r>
        <w:t xml:space="preserve">) </w:t>
      </w:r>
      <w:r w:rsidRPr="00305172">
        <w:t>require</w:t>
      </w:r>
      <w:r>
        <w:t>s</w:t>
      </w:r>
      <w:r w:rsidRPr="00305172">
        <w:t xml:space="preserve"> extensive use of judgement, as there is no objective standard for wide use, recognition or acceptance of a method within the finance industry.</w:t>
      </w:r>
      <w:r>
        <w:t xml:space="preserve"> For example, in relation to:</w:t>
      </w:r>
    </w:p>
    <w:p w:rsidR="008B6DB4" w:rsidRPr="008B6DB4" w:rsidRDefault="008B6DB4" w:rsidP="008B6DB4">
      <w:pPr>
        <w:pStyle w:val="AERbulletlistfirststyle"/>
      </w:pPr>
      <w:r w:rsidRPr="00D57027">
        <w:t xml:space="preserve">The identification of relevant yield curves—How would the AER determine if a yield curve was 'well recognised' and 'used' by market practitioners? Would the AER be required to conduct a survey of market practitioners each year to determine which yield curves were 'well recognised' and 'used' by market practitioners in that particular year? Which market practitioners would the AER need to survey to construct a representative sample? What proportion of that sample would need to use the yield curve for it to be considered 'well recognised'? And 'used' for what purpose or purposes by market practitioners? </w:t>
      </w:r>
    </w:p>
    <w:p w:rsidR="008B6DB4" w:rsidRPr="008B6DB4" w:rsidRDefault="008B6DB4" w:rsidP="008B6DB4">
      <w:pPr>
        <w:pStyle w:val="AERbulletlistfirststyle"/>
      </w:pPr>
      <w:r w:rsidRPr="00D57027">
        <w:t xml:space="preserve">The selection of the cross-currency conversion methodology—How would the AER determine if a cross currency conversion formula was 'well accepted' within the finance industry? Would the AER be required to conduct a survey of the finance industry each year to determine which conversion methodologies were 'well accepted' that year? Who in the finance industry would the AER need to approach? What proportion of that sample would need to use the cross-currency conversion methodology for it to be considered 'well accepted'? What if no particular methodology had wide acceptance? What if multiple methodologies had wide acceptance? </w:t>
      </w:r>
    </w:p>
    <w:p w:rsidR="008B6DB4" w:rsidRDefault="008B6DB4" w:rsidP="008B6DB4">
      <w:pPr>
        <w:numPr>
          <w:ilvl w:val="0"/>
          <w:numId w:val="24"/>
        </w:numPr>
      </w:pPr>
      <w:r>
        <w:t xml:space="preserve">Accordingly, the JGN method, which has been adopted by a number of service providers </w:t>
      </w:r>
      <w:r w:rsidRPr="00305172">
        <w:t xml:space="preserve">leaves many questions unanswered. Answering these questions would involve, each year, considerable amounts of analysis, judgement and possibly consultation. We are not satisfied </w:t>
      </w:r>
      <w:r>
        <w:t>this</w:t>
      </w:r>
      <w:r w:rsidRPr="00305172">
        <w:t xml:space="preserve"> proposed formula can be 'automatically applied'</w:t>
      </w:r>
      <w:r w:rsidRPr="0063215F">
        <w:t xml:space="preserve">, as required by the </w:t>
      </w:r>
      <w:r>
        <w:t>rules</w:t>
      </w:r>
      <w:r w:rsidRPr="0063215F">
        <w:t>.</w:t>
      </w:r>
    </w:p>
    <w:p w:rsidR="008B6DB4" w:rsidRDefault="008B6DB4" w:rsidP="008B6DB4">
      <w:r>
        <w:t>We are also not satisfied that United Energy's proposed method meets the rules requirement for automatic application. This is because, on the one hand, United Energy proposed an annual 'best fit' method, based on a report from Esquant. However, among the data series to be tested, United Energy proposed the AER should empirically derive its own yield curves based on the Nelson-Siegel and pay yield curve fitting methodologies. In addition to the practical difficulties involved with using non-third party data series, as explained in the previous section, there is a further problem with United Energy's approach which means it cannot be automatically applied. This further problem is explained by Lally, who stated:</w:t>
      </w:r>
    </w:p>
    <w:p w:rsidR="008B6DB4" w:rsidRPr="0070343A" w:rsidRDefault="008B6DB4" w:rsidP="008B6DB4">
      <w:pPr>
        <w:pStyle w:val="AERquote"/>
      </w:pPr>
      <w:r w:rsidRPr="0070343A">
        <w:t xml:space="preserve">UED (2015, pp. 24-30) favours a similar process to that of JEN, in choosing between independent providers of DRP curves according to their goodness-of-fit to data collected in accordance with particular criteria, but subject to dispensing with the preliminary test of materiality in differences and also augmenting the set of independent providers by the results from Nelson-Siegel and par yield curves (applied to bond yields on bonds selected in accordance with criteria determined by Esquant (2013)).  In addition, UED (2015, page 29) also states that, “notwithstanding the goodness-of-fit tests…precedence will be given to the results from the Nelson-Siegel yield curves and from par yield curves…”.  </w:t>
      </w:r>
    </w:p>
    <w:p w:rsidR="008B6DB4" w:rsidRDefault="008B6DB4" w:rsidP="008B6DB4">
      <w:pPr>
        <w:pStyle w:val="AERquote"/>
      </w:pPr>
      <w:r w:rsidRPr="0070343A">
        <w:t>This approach has the following drawbacks.  Firstly, the requirement to annually determine the set of independent data providers violates the requirement in Rule 6.5.2 (1) of the NER and Rule 87 (12) of the NGR for the annual updating of the cost of debt to be formulaic.  Secondly, the process involved in testing for goodness of fit also violates the formulaic requirement in the NER and NGR.  Thirdly, the requirement to give precedence to the results from the Nelson-Siegel yield curves and from par yield curves requires judgement over when these results would supplant all others, and therefore also violates the formulaic requirement of the NER and NGR.</w:t>
      </w:r>
      <w:r>
        <w:rPr>
          <w:rStyle w:val="FootnoteReference"/>
        </w:rPr>
        <w:footnoteReference w:id="521"/>
      </w:r>
      <w:r w:rsidRPr="0070343A">
        <w:t xml:space="preserve">  </w:t>
      </w:r>
    </w:p>
    <w:p w:rsidR="008B6DB4" w:rsidRDefault="008B6DB4" w:rsidP="008B6DB4">
      <w:r w:rsidRPr="003A118B">
        <w:t xml:space="preserve">We maintain </w:t>
      </w:r>
      <w:r>
        <w:t>these</w:t>
      </w:r>
      <w:r w:rsidRPr="003A118B">
        <w:t xml:space="preserve"> reasons as set out in previous decisions,</w:t>
      </w:r>
      <w:r>
        <w:rPr>
          <w:rStyle w:val="FootnoteReference"/>
        </w:rPr>
        <w:footnoteReference w:id="522"/>
      </w:r>
      <w:r w:rsidRPr="003A118B">
        <w:t xml:space="preserve"> and are satisfied that </w:t>
      </w:r>
      <w:r>
        <w:t xml:space="preserve">they remain relevant. </w:t>
      </w:r>
      <w:r w:rsidRPr="003A118B">
        <w:t xml:space="preserve">Our detailed explanation of these reasons is set out in previous decisions. </w:t>
      </w:r>
      <w:r>
        <w:t>In addition, we note that our decision on the JGN approach was upheld by the Tribunal.</w:t>
      </w:r>
      <w:r>
        <w:rPr>
          <w:rStyle w:val="FootnoteReference"/>
        </w:rPr>
        <w:footnoteReference w:id="523"/>
      </w:r>
    </w:p>
    <w:p w:rsidR="008B6DB4" w:rsidRDefault="008B6DB4" w:rsidP="008B6DB4">
      <w:pPr>
        <w:pStyle w:val="HeadingBoldItalic"/>
      </w:pPr>
      <w:r>
        <w:t>Extrapolation and interpolation</w:t>
      </w:r>
    </w:p>
    <w:p w:rsidR="008B6DB4" w:rsidRPr="00F427A1" w:rsidRDefault="008B6DB4" w:rsidP="008B6DB4">
      <w:r w:rsidRPr="00F427A1">
        <w:t>Our decision on extrapolation and interpolation issues is to maintain the approach set out in our recent decisions. This refers to:</w:t>
      </w:r>
    </w:p>
    <w:p w:rsidR="008B6DB4" w:rsidRPr="008B6DB4" w:rsidRDefault="008B6DB4" w:rsidP="008B6DB4">
      <w:pPr>
        <w:pStyle w:val="AERbulletlistfirststyle"/>
      </w:pPr>
      <w:r w:rsidRPr="00F427A1">
        <w:t>Extrapolation—where we need to extend a curve beyond its observed or published range. For example, before April 2015, Bloomberg publishes its BVAL curve to a maximum term of 7 years, whereas we require an estimate for a 10 year term.</w:t>
      </w:r>
    </w:p>
    <w:p w:rsidR="008B6DB4" w:rsidRPr="008B6DB4" w:rsidRDefault="008B6DB4" w:rsidP="008B6DB4">
      <w:pPr>
        <w:pStyle w:val="AERbulletlistfirststyle"/>
      </w:pPr>
      <w:r w:rsidRPr="00F427A1">
        <w:t>Interpolation—where we need a value for which there is no published estimate but it lies between two published estimates. For example, the RBA only publishes its curve estimates for one day each month, but we require estimates for each business day.</w:t>
      </w:r>
    </w:p>
    <w:p w:rsidR="008B6DB4" w:rsidRPr="00F427A1" w:rsidRDefault="008B6DB4" w:rsidP="008B6DB4">
      <w:r w:rsidRPr="00F427A1">
        <w:t xml:space="preserve">Specifically, we will make the following adjustments as set out in </w:t>
      </w:r>
      <w:r w:rsidRPr="00F427A1">
        <w:fldChar w:fldCharType="begin"/>
      </w:r>
      <w:r w:rsidRPr="00F427A1">
        <w:instrText xml:space="preserve"> REF  _Ref415565506 \* Lower \h </w:instrText>
      </w:r>
      <w:r w:rsidRPr="00F427A1">
        <w:fldChar w:fldCharType="separate"/>
      </w:r>
      <w:r w:rsidR="001A023B" w:rsidRPr="00F427A1">
        <w:t xml:space="preserve">table </w:t>
      </w:r>
      <w:r w:rsidR="001A023B">
        <w:rPr>
          <w:noProof/>
        </w:rPr>
        <w:t>3</w:t>
      </w:r>
      <w:r w:rsidR="001A023B">
        <w:noBreakHyphen/>
      </w:r>
      <w:r w:rsidR="001A023B">
        <w:rPr>
          <w:noProof/>
        </w:rPr>
        <w:t>16</w:t>
      </w:r>
      <w:r w:rsidRPr="00F427A1">
        <w:fldChar w:fldCharType="end"/>
      </w:r>
      <w:r w:rsidRPr="00F427A1">
        <w:t xml:space="preserve"> and </w:t>
      </w:r>
      <w:r w:rsidRPr="00F427A1">
        <w:fldChar w:fldCharType="begin"/>
      </w:r>
      <w:r w:rsidRPr="00F427A1">
        <w:instrText xml:space="preserve"> REF  _Ref415565534 \* Lower \h </w:instrText>
      </w:r>
      <w:r w:rsidRPr="00F427A1">
        <w:fldChar w:fldCharType="separate"/>
      </w:r>
      <w:r w:rsidR="001A023B" w:rsidRPr="00F427A1">
        <w:t xml:space="preserve">table </w:t>
      </w:r>
      <w:r w:rsidR="001A023B">
        <w:rPr>
          <w:noProof/>
        </w:rPr>
        <w:t>3</w:t>
      </w:r>
      <w:r w:rsidR="001A023B">
        <w:noBreakHyphen/>
      </w:r>
      <w:r w:rsidR="001A023B">
        <w:rPr>
          <w:noProof/>
        </w:rPr>
        <w:t>17</w:t>
      </w:r>
      <w:r w:rsidRPr="00F427A1">
        <w:fldChar w:fldCharType="end"/>
      </w:r>
      <w:r w:rsidRPr="00F427A1">
        <w:t xml:space="preserve">. </w:t>
      </w:r>
    </w:p>
    <w:p w:rsidR="008B6DB4" w:rsidRPr="00F427A1" w:rsidRDefault="008B6DB4" w:rsidP="008B6DB4">
      <w:pPr>
        <w:pStyle w:val="Caption"/>
      </w:pPr>
      <w:r w:rsidRPr="00F427A1">
        <w:t xml:space="preserve"> </w:t>
      </w:r>
      <w:bookmarkStart w:id="83" w:name="_Ref415565506"/>
      <w:bookmarkStart w:id="84" w:name="_Ref415565496"/>
      <w:r w:rsidRPr="00F427A1">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16</w:t>
      </w:r>
      <w:r w:rsidR="00120312">
        <w:rPr>
          <w:noProof/>
        </w:rPr>
        <w:fldChar w:fldCharType="end"/>
      </w:r>
      <w:bookmarkEnd w:id="83"/>
      <w:r w:rsidRPr="00F427A1">
        <w:tab/>
        <w:t>Adjustments to the RBA curve</w:t>
      </w:r>
      <w:bookmarkEnd w:id="84"/>
    </w:p>
    <w:tbl>
      <w:tblPr>
        <w:tblStyle w:val="AERtable-text0"/>
        <w:tblW w:w="0" w:type="auto"/>
        <w:tblLook w:val="04A0" w:firstRow="1" w:lastRow="0" w:firstColumn="1" w:lastColumn="0" w:noHBand="0" w:noVBand="1"/>
      </w:tblPr>
      <w:tblGrid>
        <w:gridCol w:w="1763"/>
        <w:gridCol w:w="1262"/>
        <w:gridCol w:w="5668"/>
      </w:tblGrid>
      <w:tr w:rsidR="008B6DB4" w:rsidRPr="00F427A1" w:rsidTr="007505A3">
        <w:trPr>
          <w:cnfStyle w:val="100000000000" w:firstRow="1" w:lastRow="0" w:firstColumn="0" w:lastColumn="0" w:oddVBand="0" w:evenVBand="0" w:oddHBand="0" w:evenHBand="0" w:firstRowFirstColumn="0" w:firstRowLastColumn="0" w:lastRowFirstColumn="0" w:lastRowLastColumn="0"/>
          <w:tblHeader/>
        </w:trPr>
        <w:tc>
          <w:tcPr>
            <w:tcW w:w="1763" w:type="dxa"/>
          </w:tcPr>
          <w:p w:rsidR="008B6DB4" w:rsidRPr="008B6DB4" w:rsidRDefault="008B6DB4" w:rsidP="008B6DB4">
            <w:r w:rsidRPr="00F427A1">
              <w:t>Adjustment Type</w:t>
            </w:r>
          </w:p>
        </w:tc>
        <w:tc>
          <w:tcPr>
            <w:tcW w:w="1262" w:type="dxa"/>
          </w:tcPr>
          <w:p w:rsidR="008B6DB4" w:rsidRPr="008B6DB4" w:rsidRDefault="008B6DB4" w:rsidP="008B6DB4">
            <w:r w:rsidRPr="00F427A1">
              <w:t>Amendment made?</w:t>
            </w:r>
          </w:p>
        </w:tc>
        <w:tc>
          <w:tcPr>
            <w:tcW w:w="5668" w:type="dxa"/>
          </w:tcPr>
          <w:p w:rsidR="008B6DB4" w:rsidRPr="008B6DB4" w:rsidRDefault="008B6DB4" w:rsidP="008B6DB4">
            <w:r w:rsidRPr="00F427A1">
              <w:t>Comments</w:t>
            </w:r>
          </w:p>
        </w:tc>
      </w:tr>
      <w:tr w:rsidR="008B6DB4" w:rsidRPr="00F427A1" w:rsidTr="007505A3">
        <w:tc>
          <w:tcPr>
            <w:tcW w:w="1763" w:type="dxa"/>
          </w:tcPr>
          <w:p w:rsidR="008B6DB4" w:rsidRPr="008B6DB4" w:rsidRDefault="008B6DB4" w:rsidP="008B6DB4">
            <w:r w:rsidRPr="00F427A1">
              <w:t>Interpolation to construct daily estimates.</w:t>
            </w:r>
          </w:p>
        </w:tc>
        <w:tc>
          <w:tcPr>
            <w:tcW w:w="1262" w:type="dxa"/>
          </w:tcPr>
          <w:p w:rsidR="008B6DB4" w:rsidRPr="008B6DB4" w:rsidRDefault="008B6DB4" w:rsidP="008B6DB4">
            <w:r w:rsidRPr="00F427A1">
              <w:t>Yes</w:t>
            </w:r>
          </w:p>
        </w:tc>
        <w:tc>
          <w:tcPr>
            <w:tcW w:w="5668" w:type="dxa"/>
          </w:tcPr>
          <w:p w:rsidR="008B6DB4" w:rsidRPr="008B6DB4" w:rsidRDefault="008B6DB4" w:rsidP="008B6DB4">
            <w:r w:rsidRPr="00F427A1">
              <w:t xml:space="preserve">The RBA curve only provides an estimate for one business day at the end of each month. In our experience, averaging periods commonly start and/or end on dates during the month.  </w:t>
            </w:r>
          </w:p>
          <w:p w:rsidR="008B6DB4" w:rsidRPr="008B6DB4" w:rsidRDefault="008B6DB4" w:rsidP="008B6DB4">
            <w:r w:rsidRPr="00F427A1">
              <w:t>We will address this issue by linearly interpolating between month end values where possible. While we are satisfied that interpolation over business days is also reasonable, we will interpolate over all days because:</w:t>
            </w:r>
          </w:p>
          <w:p w:rsidR="008B6DB4" w:rsidRPr="008B6DB4" w:rsidRDefault="008B6DB4" w:rsidP="008B6DB4">
            <w:pPr>
              <w:pStyle w:val="AERbulletlistfirststyle"/>
            </w:pPr>
            <w:r w:rsidRPr="00F427A1">
              <w:t>this is consistent with our widely accepted approach to interpolate estimates of the risk free rate using CGS</w:t>
            </w:r>
          </w:p>
          <w:p w:rsidR="008B6DB4" w:rsidRPr="008B6DB4" w:rsidRDefault="008B6DB4" w:rsidP="008B6DB4">
            <w:pPr>
              <w:pStyle w:val="AERbulletlistfirststyle"/>
            </w:pPr>
            <w:r w:rsidRPr="00F427A1">
              <w:t>interpolating over all days is simpler to implement</w:t>
            </w:r>
          </w:p>
          <w:p w:rsidR="008B6DB4" w:rsidRPr="008B6DB4" w:rsidRDefault="008B6DB4" w:rsidP="008B6DB4">
            <w:pPr>
              <w:pStyle w:val="AERbulletlistfirststyle"/>
            </w:pPr>
            <w:r w:rsidRPr="00F427A1">
              <w:t>it is impractical to interpolate over business days for estimating the risk free rate, as this would require calculations relative to specific trading days 10 years in advance</w:t>
            </w:r>
          </w:p>
          <w:p w:rsidR="008B6DB4" w:rsidRPr="008B6DB4" w:rsidRDefault="008B6DB4" w:rsidP="008B6DB4">
            <w:pPr>
              <w:pStyle w:val="AERbulletlistfirststyle"/>
            </w:pPr>
            <w:r w:rsidRPr="00F427A1">
              <w:t>the difference to the estimates between interpolating over business days or interpolating over all days is immaterial.</w:t>
            </w:r>
            <w:r w:rsidRPr="008B6DB4">
              <w:rPr>
                <w:rStyle w:val="AERsuperscript"/>
              </w:rPr>
              <w:footnoteReference w:id="524"/>
            </w:r>
          </w:p>
          <w:p w:rsidR="008B6DB4" w:rsidRPr="008B6DB4" w:rsidRDefault="008B6DB4" w:rsidP="008B6DB4">
            <w:r w:rsidRPr="00F427A1">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draft decision on the annual debt update process is set out in the annual debt update process later in this attachment. </w:t>
            </w:r>
          </w:p>
        </w:tc>
      </w:tr>
      <w:tr w:rsidR="008B6DB4" w:rsidRPr="00F427A1" w:rsidTr="007505A3">
        <w:trPr>
          <w:cnfStyle w:val="000000010000" w:firstRow="0" w:lastRow="0" w:firstColumn="0" w:lastColumn="0" w:oddVBand="0" w:evenVBand="0" w:oddHBand="0" w:evenHBand="1" w:firstRowFirstColumn="0" w:firstRowLastColumn="0" w:lastRowFirstColumn="0" w:lastRowLastColumn="0"/>
        </w:trPr>
        <w:tc>
          <w:tcPr>
            <w:tcW w:w="1763" w:type="dxa"/>
          </w:tcPr>
          <w:p w:rsidR="008B6DB4" w:rsidRPr="008B6DB4" w:rsidRDefault="008B6DB4" w:rsidP="008B6DB4">
            <w:r w:rsidRPr="00F427A1">
              <w:t>Extrapolation to target term.</w:t>
            </w:r>
          </w:p>
        </w:tc>
        <w:tc>
          <w:tcPr>
            <w:tcW w:w="1262" w:type="dxa"/>
          </w:tcPr>
          <w:p w:rsidR="008B6DB4" w:rsidRPr="008B6DB4" w:rsidRDefault="008B6DB4" w:rsidP="008B6DB4">
            <w:r w:rsidRPr="00F427A1">
              <w:t>Yes</w:t>
            </w:r>
          </w:p>
        </w:tc>
        <w:tc>
          <w:tcPr>
            <w:tcW w:w="5668" w:type="dxa"/>
          </w:tcPr>
          <w:p w:rsidR="008B6DB4" w:rsidRPr="008B6DB4" w:rsidRDefault="008B6DB4" w:rsidP="008B6DB4">
            <w:r w:rsidRPr="00F427A1">
              <w:t xml:space="preserve">The 'effective term' of the RBA bond sample is commonly less than 10 years. For this reason, </w:t>
            </w:r>
            <w:r w:rsidRPr="008B6DB4">
              <w:t>Lally recommended that the spread component of the yield should be extrapolated from its effective term at publication to the benchmark term (10 years).</w:t>
            </w:r>
            <w:r w:rsidRPr="008B6DB4">
              <w:rPr>
                <w:rStyle w:val="AERsuperscript"/>
              </w:rPr>
              <w:footnoteReference w:id="525"/>
            </w:r>
            <w:r w:rsidRPr="008B6DB4">
              <w:rPr>
                <w:rStyle w:val="AERsuperscript"/>
              </w:rPr>
              <w:t xml:space="preserve"> </w:t>
            </w:r>
          </w:p>
          <w:p w:rsidR="008B6DB4" w:rsidRPr="008B6DB4" w:rsidRDefault="008B6DB4" w:rsidP="008B6DB4">
            <w:r w:rsidRPr="00F427A1">
              <w:t xml:space="preserve">We agree with Lally's recommendation to extrapolate the spread component of the RBA's published yield in order to match it with the benchmark term of debt. </w:t>
            </w:r>
          </w:p>
          <w:p w:rsidR="008B6DB4" w:rsidRPr="008B6DB4" w:rsidRDefault="008B6DB4" w:rsidP="008B6DB4">
            <w:r w:rsidRPr="00F427A1">
              <w:t>Further, while the benchmark term of debt is 10 years, this benchmark was based on analysis of debt issuance that indicated a weighted average of 8.7 years amongst the benchmark sample.</w:t>
            </w:r>
            <w:r w:rsidRPr="008B6DB4">
              <w:rPr>
                <w:rStyle w:val="AERsuperscript"/>
              </w:rPr>
              <w:footnoteReference w:id="526"/>
            </w:r>
            <w:r w:rsidRPr="008B6DB4">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February 2015, the average effective term of the RBA's bond sample for its 10 year estimate is also 8.9 years.</w:t>
            </w:r>
            <w:r w:rsidRPr="008B6DB4">
              <w:rPr>
                <w:rStyle w:val="AERsuperscript"/>
              </w:rPr>
              <w:footnoteReference w:id="527"/>
            </w:r>
            <w:r w:rsidRPr="008B6DB4">
              <w:rPr>
                <w:rStyle w:val="AERsuperscript"/>
              </w:rPr>
              <w:t xml:space="preserve"> </w:t>
            </w:r>
            <w:r w:rsidRPr="008B6DB4">
              <w:t>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In this decision, we have maintained our position from recent decisions to extrapolate the RBA curve. However, we may revisit this in in future decisions or the next Guideline review.</w:t>
            </w:r>
          </w:p>
        </w:tc>
      </w:tr>
      <w:tr w:rsidR="008B6DB4" w:rsidRPr="00F427A1" w:rsidTr="007505A3">
        <w:tc>
          <w:tcPr>
            <w:tcW w:w="1763" w:type="dxa"/>
          </w:tcPr>
          <w:p w:rsidR="008B6DB4" w:rsidRPr="008B6DB4" w:rsidRDefault="008B6DB4" w:rsidP="008B6DB4">
            <w:r w:rsidRPr="00F427A1">
              <w:t>Conversion to effective annual rate</w:t>
            </w:r>
          </w:p>
        </w:tc>
        <w:tc>
          <w:tcPr>
            <w:tcW w:w="1262" w:type="dxa"/>
          </w:tcPr>
          <w:p w:rsidR="008B6DB4" w:rsidRPr="008B6DB4" w:rsidRDefault="008B6DB4" w:rsidP="008B6DB4">
            <w:r w:rsidRPr="00F427A1">
              <w:t>Yes</w:t>
            </w:r>
          </w:p>
        </w:tc>
        <w:tc>
          <w:tcPr>
            <w:tcW w:w="5668" w:type="dxa"/>
          </w:tcPr>
          <w:p w:rsidR="008B6DB4" w:rsidRPr="008B6DB4" w:rsidRDefault="008B6DB4" w:rsidP="008B6DB4">
            <w:r w:rsidRPr="00F427A1">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8B6DB4">
              <w:rPr>
                <w:rStyle w:val="AERsuperscript"/>
              </w:rPr>
              <w:footnoteReference w:id="528"/>
            </w:r>
            <w:r w:rsidRPr="008B6DB4">
              <w:rPr>
                <w:rStyle w:val="AERsuperscript"/>
              </w:rPr>
              <w:t xml:space="preserve"> </w:t>
            </w:r>
            <w:r w:rsidRPr="008B6DB4">
              <w:t xml:space="preserve">Therefore, this would require conversion into an effective annual rate, using the same approach as is applied to the BVAL yield estimate. </w:t>
            </w:r>
          </w:p>
          <w:p w:rsidR="008B6DB4" w:rsidRPr="008B6DB4" w:rsidRDefault="008B6DB4" w:rsidP="008B6DB4">
            <w:r w:rsidRPr="00F427A1">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8B6DB4" w:rsidRPr="00F427A1" w:rsidRDefault="008B6DB4" w:rsidP="008B6DB4">
      <w:pPr>
        <w:pStyle w:val="AERtablesource"/>
      </w:pPr>
      <w:bookmarkStart w:id="85" w:name="_Ref414863290"/>
      <w:r w:rsidRPr="00F427A1">
        <w:t>Source: AER analysis</w:t>
      </w:r>
    </w:p>
    <w:p w:rsidR="008B6DB4" w:rsidRPr="00F427A1" w:rsidRDefault="008B6DB4" w:rsidP="008B6DB4">
      <w:pPr>
        <w:pStyle w:val="Caption"/>
      </w:pPr>
      <w:bookmarkStart w:id="86" w:name="_Ref415565534"/>
      <w:r w:rsidRPr="00F427A1">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17</w:t>
      </w:r>
      <w:r w:rsidR="00120312">
        <w:rPr>
          <w:noProof/>
        </w:rPr>
        <w:fldChar w:fldCharType="end"/>
      </w:r>
      <w:bookmarkEnd w:id="85"/>
      <w:bookmarkEnd w:id="86"/>
      <w:r w:rsidRPr="00F427A1">
        <w:tab/>
        <w:t>Adjustments to the BVAL curve</w:t>
      </w:r>
    </w:p>
    <w:tbl>
      <w:tblPr>
        <w:tblStyle w:val="AERtable-text0"/>
        <w:tblW w:w="0" w:type="auto"/>
        <w:tblLook w:val="04A0" w:firstRow="1" w:lastRow="0" w:firstColumn="1" w:lastColumn="0" w:noHBand="0" w:noVBand="1"/>
      </w:tblPr>
      <w:tblGrid>
        <w:gridCol w:w="2891"/>
        <w:gridCol w:w="1416"/>
        <w:gridCol w:w="4386"/>
      </w:tblGrid>
      <w:tr w:rsidR="008B6DB4" w:rsidRPr="00F427A1" w:rsidTr="007505A3">
        <w:trPr>
          <w:cnfStyle w:val="100000000000" w:firstRow="1" w:lastRow="0" w:firstColumn="0" w:lastColumn="0" w:oddVBand="0" w:evenVBand="0" w:oddHBand="0" w:evenHBand="0" w:firstRowFirstColumn="0" w:firstRowLastColumn="0" w:lastRowFirstColumn="0" w:lastRowLastColumn="0"/>
          <w:tblHeader/>
        </w:trPr>
        <w:tc>
          <w:tcPr>
            <w:tcW w:w="2891" w:type="dxa"/>
          </w:tcPr>
          <w:p w:rsidR="008B6DB4" w:rsidRPr="008B6DB4" w:rsidRDefault="008B6DB4" w:rsidP="008B6DB4">
            <w:r w:rsidRPr="00F427A1">
              <w:t>Adjustment Type</w:t>
            </w:r>
          </w:p>
        </w:tc>
        <w:tc>
          <w:tcPr>
            <w:tcW w:w="1416" w:type="dxa"/>
          </w:tcPr>
          <w:p w:rsidR="008B6DB4" w:rsidRPr="008B6DB4" w:rsidRDefault="008B6DB4" w:rsidP="008B6DB4">
            <w:r w:rsidRPr="00F427A1">
              <w:t>Amendment made?</w:t>
            </w:r>
          </w:p>
        </w:tc>
        <w:tc>
          <w:tcPr>
            <w:tcW w:w="4386" w:type="dxa"/>
          </w:tcPr>
          <w:p w:rsidR="008B6DB4" w:rsidRPr="00F427A1" w:rsidRDefault="008B6DB4" w:rsidP="008B6DB4">
            <w:pPr>
              <w:numPr>
                <w:ilvl w:val="0"/>
                <w:numId w:val="24"/>
              </w:numPr>
            </w:pPr>
            <w:r w:rsidRPr="00F427A1">
              <w:t>Comments</w:t>
            </w:r>
          </w:p>
        </w:tc>
      </w:tr>
      <w:tr w:rsidR="008B6DB4" w:rsidRPr="00F427A1" w:rsidTr="007505A3">
        <w:tc>
          <w:tcPr>
            <w:tcW w:w="2891" w:type="dxa"/>
          </w:tcPr>
          <w:p w:rsidR="008B6DB4" w:rsidRPr="008B6DB4" w:rsidRDefault="008B6DB4" w:rsidP="008B6DB4">
            <w:r w:rsidRPr="00F427A1">
              <w:t>Interpolation to construct daily estimates</w:t>
            </w:r>
          </w:p>
        </w:tc>
        <w:tc>
          <w:tcPr>
            <w:tcW w:w="1416" w:type="dxa"/>
          </w:tcPr>
          <w:p w:rsidR="008B6DB4" w:rsidRPr="008B6DB4" w:rsidRDefault="008B6DB4" w:rsidP="008B6DB4">
            <w:r w:rsidRPr="00F427A1">
              <w:t>No</w:t>
            </w:r>
          </w:p>
        </w:tc>
        <w:tc>
          <w:tcPr>
            <w:tcW w:w="4386" w:type="dxa"/>
          </w:tcPr>
          <w:p w:rsidR="008B6DB4" w:rsidRPr="00F427A1" w:rsidRDefault="008B6DB4" w:rsidP="008B6DB4">
            <w:pPr>
              <w:numPr>
                <w:ilvl w:val="0"/>
                <w:numId w:val="24"/>
              </w:numPr>
            </w:pPr>
            <w:r w:rsidRPr="00F427A1">
              <w:t>Bloomberg publishes daily estimates.</w:t>
            </w:r>
          </w:p>
        </w:tc>
      </w:tr>
      <w:tr w:rsidR="008B6DB4" w:rsidRPr="00F427A1" w:rsidTr="007505A3">
        <w:trPr>
          <w:cnfStyle w:val="000000010000" w:firstRow="0" w:lastRow="0" w:firstColumn="0" w:lastColumn="0" w:oddVBand="0" w:evenVBand="0" w:oddHBand="0" w:evenHBand="1" w:firstRowFirstColumn="0" w:firstRowLastColumn="0" w:lastRowFirstColumn="0" w:lastRowLastColumn="0"/>
        </w:trPr>
        <w:tc>
          <w:tcPr>
            <w:tcW w:w="2891" w:type="dxa"/>
          </w:tcPr>
          <w:p w:rsidR="008B6DB4" w:rsidRPr="008B6DB4" w:rsidRDefault="008B6DB4" w:rsidP="008B6DB4">
            <w:r w:rsidRPr="00F427A1">
              <w:t>Extrapolation to target term</w:t>
            </w:r>
          </w:p>
        </w:tc>
        <w:tc>
          <w:tcPr>
            <w:tcW w:w="1416" w:type="dxa"/>
          </w:tcPr>
          <w:p w:rsidR="008B6DB4" w:rsidRPr="008B6DB4" w:rsidRDefault="008B6DB4" w:rsidP="008B6DB4">
            <w:r w:rsidRPr="00F427A1">
              <w:t>Depends on maximum term published by Bloomberg</w:t>
            </w:r>
          </w:p>
        </w:tc>
        <w:tc>
          <w:tcPr>
            <w:tcW w:w="4386" w:type="dxa"/>
          </w:tcPr>
          <w:p w:rsidR="008B6DB4" w:rsidRPr="00F427A1" w:rsidRDefault="008B6DB4" w:rsidP="008B6DB4">
            <w:pPr>
              <w:numPr>
                <w:ilvl w:val="0"/>
                <w:numId w:val="24"/>
              </w:numPr>
            </w:pPr>
            <w:r w:rsidRPr="00F427A1">
              <w:t>For most of the time that the BVAL curve has been published, it has had a maximum term of 7 years. However, between September 2014 and November 2014, it was published to a maximum 5 year term.</w:t>
            </w:r>
            <w:r w:rsidRPr="00F427A1">
              <w:rPr>
                <w:rStyle w:val="AERsuperscript"/>
              </w:rPr>
              <w:footnoteReference w:id="529"/>
            </w:r>
            <w:r w:rsidRPr="00F427A1">
              <w:t xml:space="preserve"> In April 2015, Bloomberg revised its methodology for the BVAL curve (BVCSAB10) and it now publishes a 10 year estimate.</w:t>
            </w:r>
            <w:r w:rsidRPr="00F427A1">
              <w:rPr>
                <w:rStyle w:val="AERsuperscript"/>
              </w:rPr>
              <w:footnoteReference w:id="530"/>
            </w:r>
            <w:r w:rsidRPr="00F427A1">
              <w:rPr>
                <w:rStyle w:val="AERsuperscript"/>
              </w:rPr>
              <w:t xml:space="preserve"> </w:t>
            </w:r>
          </w:p>
          <w:p w:rsidR="008B6DB4" w:rsidRPr="00F427A1" w:rsidRDefault="008B6DB4" w:rsidP="008B6DB4">
            <w:pPr>
              <w:numPr>
                <w:ilvl w:val="0"/>
                <w:numId w:val="24"/>
              </w:numPr>
            </w:pPr>
            <w:r w:rsidRPr="00F427A1">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8B6DB4" w:rsidRPr="00F427A1" w:rsidRDefault="008B6DB4" w:rsidP="008B6DB4">
            <w:pPr>
              <w:numPr>
                <w:ilvl w:val="0"/>
                <w:numId w:val="24"/>
              </w:numPr>
            </w:pPr>
            <w:r w:rsidRPr="00F427A1">
              <w:t>BVAL yield 10 years = BVAL yield 7 years + difference in CGS from 7 to 10 years + difference in RBA extrapolated spread to CGS from 7 to 10 years</w:t>
            </w:r>
          </w:p>
          <w:p w:rsidR="008B6DB4" w:rsidRPr="00F427A1" w:rsidRDefault="008B6DB4" w:rsidP="008B6DB4">
            <w:pPr>
              <w:numPr>
                <w:ilvl w:val="0"/>
                <w:numId w:val="24"/>
              </w:numPr>
            </w:pPr>
            <w:r w:rsidRPr="00F427A1">
              <w:t>As recommended by Lally,</w:t>
            </w:r>
            <w:r w:rsidRPr="00F427A1">
              <w:rPr>
                <w:rStyle w:val="AERsuperscript"/>
              </w:rPr>
              <w:footnoteReference w:id="531"/>
            </w:r>
            <w:r w:rsidRPr="00F427A1">
              <w:t xml:space="preserve"> we are satisfied this approach is comparably reliable to the more complex approaches submitted by other stakeholders,</w:t>
            </w:r>
            <w:r w:rsidRPr="00F427A1">
              <w:footnoteReference w:id="532"/>
            </w:r>
            <w:r w:rsidRPr="00F427A1">
              <w:t xml:space="preserve"> but is simpler to implement and based on publicly available data.</w:t>
            </w:r>
          </w:p>
          <w:p w:rsidR="008B6DB4" w:rsidRPr="00F427A1" w:rsidRDefault="008B6DB4" w:rsidP="008B6DB4">
            <w:pPr>
              <w:numPr>
                <w:ilvl w:val="0"/>
                <w:numId w:val="24"/>
              </w:numPr>
            </w:pPr>
            <w:r w:rsidRPr="00F427A1">
              <w:t>For a period of time in 2014, the maximum published BVAL term was 5 years. Accordingly, we extrapolate the spread component of the 5 year yield estimate to the 10 year target term using an analogous methodology to that used to extrapolate from 7 to 10 years.</w:t>
            </w:r>
          </w:p>
          <w:p w:rsidR="008B6DB4" w:rsidRPr="00F427A1" w:rsidRDefault="008B6DB4" w:rsidP="008B6DB4">
            <w:pPr>
              <w:numPr>
                <w:ilvl w:val="0"/>
                <w:numId w:val="24"/>
              </w:numPr>
            </w:pPr>
            <w:r w:rsidRPr="00F427A1">
              <w:t xml:space="preserve">Additionally, as of 14 April 2015, Bloomberg has revised its methodology for the BVAL curve (BVCSAB10). It has correspondingly recommenced publishing a 10 year yield estimate. Data from 14 April 2015 onwards, therefore does not require any extrapolation adjustment. </w:t>
            </w:r>
          </w:p>
        </w:tc>
      </w:tr>
      <w:tr w:rsidR="008B6DB4" w:rsidRPr="00F427A1" w:rsidTr="007505A3">
        <w:tc>
          <w:tcPr>
            <w:tcW w:w="2891" w:type="dxa"/>
          </w:tcPr>
          <w:p w:rsidR="008B6DB4" w:rsidRPr="008B6DB4" w:rsidRDefault="008B6DB4" w:rsidP="008B6DB4">
            <w:r w:rsidRPr="00F427A1">
              <w:t>Conversion to effective annual rate</w:t>
            </w:r>
          </w:p>
        </w:tc>
        <w:tc>
          <w:tcPr>
            <w:tcW w:w="1416" w:type="dxa"/>
          </w:tcPr>
          <w:p w:rsidR="008B6DB4" w:rsidRPr="008B6DB4" w:rsidRDefault="008B6DB4" w:rsidP="008B6DB4">
            <w:r w:rsidRPr="00F427A1">
              <w:t>Yes</w:t>
            </w:r>
          </w:p>
        </w:tc>
        <w:tc>
          <w:tcPr>
            <w:tcW w:w="4386" w:type="dxa"/>
          </w:tcPr>
          <w:p w:rsidR="008B6DB4" w:rsidRPr="00F427A1" w:rsidRDefault="008B6DB4" w:rsidP="008B6DB4">
            <w:pPr>
              <w:numPr>
                <w:ilvl w:val="0"/>
                <w:numId w:val="24"/>
              </w:numPr>
            </w:pPr>
            <w:r w:rsidRPr="00F427A1">
              <w:t>Bloomberg publishes its yield as annual rates with semi-annual compounding. This needs to be converted into an effective annual rate.</w:t>
            </w:r>
          </w:p>
        </w:tc>
      </w:tr>
    </w:tbl>
    <w:p w:rsidR="008B6DB4" w:rsidRDefault="008B6DB4" w:rsidP="008B6DB4">
      <w:pPr>
        <w:pStyle w:val="HeadingItalic"/>
      </w:pPr>
      <w:r>
        <w:t>Response to key issues raised by stakeholders</w:t>
      </w:r>
    </w:p>
    <w:p w:rsidR="008B6DB4" w:rsidRPr="00F427A1" w:rsidRDefault="008B6DB4" w:rsidP="008B6DB4">
      <w:r>
        <w:t>Some</w:t>
      </w:r>
      <w:r w:rsidRPr="00F427A1">
        <w:t xml:space="preserve"> service providers proposed an annual testing approach to choose between the Lally and SAPN extrapolation methods. We have not adopted an annual testing approach for the reasons set out above. CitiPower and Powercor </w:t>
      </w:r>
      <w:r w:rsidR="00536B64" w:rsidRPr="00F427A1">
        <w:t>initially</w:t>
      </w:r>
      <w:r w:rsidRPr="00F427A1">
        <w:t xml:space="preserve"> proposed an annual testing approach, but in their revised proposals adopted adjustments to the RBA and BVAL curves consistent with our recent decisions.</w:t>
      </w:r>
      <w:r w:rsidRPr="00F427A1">
        <w:rPr>
          <w:rStyle w:val="AERsuperscript"/>
        </w:rPr>
        <w:footnoteReference w:id="533"/>
      </w:r>
    </w:p>
    <w:p w:rsidR="008B6DB4" w:rsidRPr="00F427A1" w:rsidRDefault="008B6DB4" w:rsidP="008B6DB4">
      <w:r w:rsidRPr="00F427A1">
        <w:t>AusNet Services initially proposed that if one method was adopted, it should be the SAPN method.</w:t>
      </w:r>
      <w:r w:rsidRPr="00F427A1">
        <w:rPr>
          <w:rStyle w:val="AERsuperscript"/>
        </w:rPr>
        <w:footnoteReference w:id="534"/>
      </w:r>
      <w:r w:rsidRPr="00F427A1">
        <w:t xml:space="preserve"> However, in its revised proposal it adopted extrapolation method(s) consistent with our recent decisions.</w:t>
      </w:r>
      <w:r w:rsidRPr="00F427A1">
        <w:rPr>
          <w:rStyle w:val="AERsuperscript"/>
        </w:rPr>
        <w:footnoteReference w:id="535"/>
      </w:r>
      <w:r w:rsidRPr="00F427A1">
        <w:rPr>
          <w:rStyle w:val="AERsuperscript"/>
        </w:rPr>
        <w:t xml:space="preserve"> </w:t>
      </w:r>
    </w:p>
    <w:p w:rsidR="008B6DB4" w:rsidRPr="00F427A1" w:rsidRDefault="008B6DB4" w:rsidP="008B6DB4">
      <w:r w:rsidRPr="00F427A1">
        <w:t>Dr Lally examined the initial proposal from AusNet Services and advised:</w:t>
      </w:r>
    </w:p>
    <w:p w:rsidR="008B6DB4" w:rsidRPr="00F427A1" w:rsidRDefault="008B6DB4" w:rsidP="008B6DB4">
      <w:pPr>
        <w:pStyle w:val="AERquote"/>
      </w:pPr>
      <w:r w:rsidRPr="00F427A1">
        <w:t>Ausnet (2015, pp. 343-344) favours the SAPN extrapolation methodology in general on the basis of CEG’s (2015a, sections 5.2-5.4) analysis of data in January 2015.  However, as discussed in section 2.1, CEG’s analysis conflates the merits of curve fitting/extrapolation methods with the merits of competing criteria for selecting bonds, and its conclusions (even if valid for the period examined) should not be extrapolated to other periods because the period examined is too short.</w:t>
      </w:r>
      <w:r w:rsidRPr="00F427A1">
        <w:rPr>
          <w:rStyle w:val="AERsuperscript"/>
        </w:rPr>
        <w:footnoteReference w:id="536"/>
      </w:r>
    </w:p>
    <w:p w:rsidR="008B6DB4" w:rsidRDefault="008B6DB4" w:rsidP="008B6DB4">
      <w:r w:rsidRPr="00F427A1">
        <w:t>We agree with Dr Lally's assessment. In relation to the SAPN extrapolation method, we are not satisfied that there is a compelling conceptual or practical basis to assume that yield curves should conform to a straight line along their entire length.</w:t>
      </w:r>
      <w:r>
        <w:t xml:space="preserve"> While the impact of the SAPN extrapolation methodology only affects the curve from 7 to 10 years, its slope implicitly assumes a straight line path through all prior term points.</w:t>
      </w:r>
      <w:r w:rsidRPr="00F427A1">
        <w:t xml:space="preserve"> In contrast, our approach relies only on the shape of the yield curve from 7 to 10 years as published by the RBA. We are satisfied that this is likely to be informative about the appropriate shape for the yield curve from 7 to 10 years. </w:t>
      </w:r>
      <w:r>
        <w:t>Further, we note that the 7 year RBA yield exceeded the 10 year RBA yield over the past year. CEG has previously criticised the Bloomberg curve on the basis that it exhibited an inverted spread-to-swap curve and that this appears to be 'inconsistent with finance theory'.</w:t>
      </w:r>
      <w:r>
        <w:rPr>
          <w:rStyle w:val="FootnoteReference"/>
        </w:rPr>
        <w:footnoteReference w:id="537"/>
      </w:r>
      <w:r>
        <w:t xml:space="preserve"> However:</w:t>
      </w:r>
    </w:p>
    <w:p w:rsidR="008B6DB4" w:rsidRPr="008B6DB4" w:rsidRDefault="008B6DB4" w:rsidP="008B6DB4">
      <w:pPr>
        <w:pStyle w:val="AERbulletlistfirststyle"/>
      </w:pPr>
      <w:r>
        <w:t xml:space="preserve">we are not satisfied that </w:t>
      </w:r>
      <w:r w:rsidRPr="008B6DB4">
        <w:t>an inverted yield curve, or an inverted segment of a yield curve appears to be inconsistent with any of the key finance theories to describe the shape of the yield curve.</w:t>
      </w:r>
      <w:r w:rsidRPr="008B6DB4">
        <w:rPr>
          <w:rStyle w:val="FootnoteReference"/>
        </w:rPr>
        <w:footnoteReference w:id="538"/>
      </w:r>
      <w:r w:rsidRPr="008B6DB4">
        <w:t xml:space="preserve"> In contrast, these theories provide direct explanations for why an inverted yield curve might occur.</w:t>
      </w:r>
    </w:p>
    <w:p w:rsidR="008B6DB4" w:rsidRPr="008B6DB4" w:rsidRDefault="008B6DB4" w:rsidP="008B6DB4">
      <w:pPr>
        <w:pStyle w:val="AERbulletlistfirststyle"/>
      </w:pPr>
      <w:r>
        <w:t>CEG's preferred RBA curve, on which it proposes whole reliance unless we adopt annual testing, has also recently and previously exhibited a negative slope from the 7 to 10 year yield</w:t>
      </w:r>
      <w:r w:rsidRPr="008B6DB4">
        <w:t xml:space="preserve"> and spread-to-swap estimates. This can be observed in </w:t>
      </w:r>
      <w:r w:rsidRPr="008B6DB4">
        <w:fldChar w:fldCharType="begin"/>
      </w:r>
      <w:r w:rsidRPr="008B6DB4">
        <w:instrText xml:space="preserve"> REF _Ref447617152 \h </w:instrText>
      </w:r>
      <w:r w:rsidRPr="008B6DB4">
        <w:fldChar w:fldCharType="separate"/>
      </w:r>
      <w:r w:rsidR="001A023B" w:rsidRPr="00A32947">
        <w:t xml:space="preserve">Figure </w:t>
      </w:r>
      <w:r w:rsidR="001A023B">
        <w:rPr>
          <w:noProof/>
        </w:rPr>
        <w:t>3</w:t>
      </w:r>
      <w:r w:rsidR="001A023B">
        <w:noBreakHyphen/>
      </w:r>
      <w:r w:rsidR="001A023B">
        <w:rPr>
          <w:noProof/>
        </w:rPr>
        <w:t>23</w:t>
      </w:r>
      <w:r w:rsidRPr="008B6DB4">
        <w:fldChar w:fldCharType="end"/>
      </w:r>
      <w:r w:rsidRPr="008B6DB4">
        <w:t xml:space="preserve">, and in </w:t>
      </w:r>
      <w:r w:rsidR="00391CC7" w:rsidRPr="00391CC7">
        <w:t xml:space="preserve">Appendix </w:t>
      </w:r>
      <w:r w:rsidR="00391CC7" w:rsidRPr="00391CC7">
        <w:fldChar w:fldCharType="begin"/>
      </w:r>
      <w:r w:rsidR="00391CC7" w:rsidRPr="00391CC7">
        <w:instrText xml:space="preserve"> REF _Ref451328082 \r \h </w:instrText>
      </w:r>
      <w:r w:rsidR="00391CC7" w:rsidRPr="00391CC7">
        <w:fldChar w:fldCharType="separate"/>
      </w:r>
      <w:r w:rsidR="001A023B">
        <w:t>I</w:t>
      </w:r>
      <w:r w:rsidR="00391CC7" w:rsidRPr="00391CC7">
        <w:fldChar w:fldCharType="end"/>
      </w:r>
      <w:r w:rsidRPr="008B6DB4">
        <w:t xml:space="preserve">. </w:t>
      </w:r>
    </w:p>
    <w:p w:rsidR="008B6DB4" w:rsidRPr="008B6DB4" w:rsidRDefault="008B6DB4" w:rsidP="008B6DB4">
      <w:pPr>
        <w:pStyle w:val="AERbulletlistfirststyle"/>
      </w:pPr>
      <w:r>
        <w:t xml:space="preserve">Over 2016, </w:t>
      </w:r>
      <w:r w:rsidRPr="008B6DB4">
        <w:t xml:space="preserve">application of the SAPN method introduces a 'kink' into the yield curve which CEG has not justified or reconciled with finance theory. </w:t>
      </w:r>
    </w:p>
    <w:p w:rsidR="008B6DB4" w:rsidRDefault="008B6DB4" w:rsidP="008B6DB4">
      <w:r>
        <w:t>In addition, some</w:t>
      </w:r>
      <w:r w:rsidRPr="00F427A1">
        <w:t xml:space="preserve"> service provider</w:t>
      </w:r>
      <w:r>
        <w:t>s have previously</w:t>
      </w:r>
      <w:r w:rsidRPr="00F427A1">
        <w:t xml:space="preserve"> expressed a preference </w:t>
      </w:r>
      <w:r>
        <w:t>to</w:t>
      </w:r>
      <w:r w:rsidRPr="00F427A1">
        <w:t xml:space="preserve"> </w:t>
      </w:r>
      <w:r>
        <w:t>independently</w:t>
      </w:r>
      <w:r w:rsidRPr="00F427A1">
        <w:t xml:space="preserve"> </w:t>
      </w:r>
      <w:r>
        <w:t>extrapolate</w:t>
      </w:r>
      <w:r w:rsidRPr="00F427A1">
        <w:t xml:space="preserve"> the BVAL curve from 7 to 10 years, rather than adopting the published BVAL 10 year estimate.</w:t>
      </w:r>
      <w:r w:rsidRPr="00F427A1">
        <w:rPr>
          <w:rStyle w:val="AERsuperscript"/>
        </w:rPr>
        <w:footnoteReference w:id="539"/>
      </w:r>
      <w:r w:rsidRPr="00F427A1">
        <w:t xml:space="preserve"> This was based on advice from CEG. We approached Bloomberg to check CEG's understanding of the BVAL methodology. Bloomberg confirmed that CEG has not correctly understood its methodology. Dr Lally also examined CEG's report and found further errors in CEG's analysis.</w:t>
      </w:r>
      <w:r w:rsidRPr="00F427A1">
        <w:rPr>
          <w:rStyle w:val="AERsuperscript"/>
        </w:rPr>
        <w:footnoteReference w:id="540"/>
      </w:r>
      <w:r w:rsidRPr="00F427A1">
        <w:t xml:space="preserve"> Dr Lally's report also sets out Bloomberg's response to us, which we provided to Dr Lally to assist his analysis. Further, Dr Lally has examined the new 10 year estimate and concluded it is fit for the AER's purposes.</w:t>
      </w:r>
    </w:p>
    <w:p w:rsidR="008B6DB4" w:rsidRPr="00F427A1" w:rsidRDefault="008B6DB4" w:rsidP="008B6DB4">
      <w:r>
        <w:t>For these reasons</w:t>
      </w:r>
      <w:r w:rsidRPr="00F427A1">
        <w:t xml:space="preserve">, we </w:t>
      </w:r>
      <w:r>
        <w:t xml:space="preserve">remain satisfied that the method of extrapolation recommended by Dr Lally will contribute to achievement of the </w:t>
      </w:r>
      <w:r w:rsidR="00270CE2">
        <w:t>ARORO</w:t>
      </w:r>
      <w:r>
        <w:t>. Specifically, where there is a 10 year BVAL estimate we will use that estimate, but where that estimate is unavailable we will use the longest published BVAL estimate extrapolated to 10 years using the corresponding margin in the RBA estimate.</w:t>
      </w:r>
    </w:p>
    <w:p w:rsidR="008B6DB4" w:rsidRDefault="008B6DB4" w:rsidP="008B6DB4">
      <w:pPr>
        <w:pStyle w:val="HeadingBoldItalic"/>
      </w:pPr>
      <w:r>
        <w:t>Choice of data series—Contingencies</w:t>
      </w:r>
    </w:p>
    <w:p w:rsidR="008B6DB4" w:rsidRDefault="008B6DB4" w:rsidP="008B6DB4">
      <w:r>
        <w:t>Our decision is to largely maintain the set of contingencies as set out in our recent decisions. The two minor adjustments are clarifications to the contingency event labelled 'a different third party commences publication of a 10 year yield estimate'. These are:</w:t>
      </w:r>
    </w:p>
    <w:p w:rsidR="008B6DB4" w:rsidRPr="008B6DB4" w:rsidRDefault="008B6DB4" w:rsidP="008B6DB4">
      <w:pPr>
        <w:pStyle w:val="AERbulletlistfirststyle"/>
      </w:pPr>
      <w:r>
        <w:t>The change of approach previously referred to data providers not evaluated and included in our draft decision. We have updated this to reflect the final decision stage.</w:t>
      </w:r>
    </w:p>
    <w:p w:rsidR="008B6DB4" w:rsidRPr="008B6DB4" w:rsidRDefault="008B6DB4" w:rsidP="008B6DB4">
      <w:pPr>
        <w:pStyle w:val="AERbulletlistfirststyle"/>
      </w:pPr>
      <w:r>
        <w:t>We have clarified the event type to refer to circumstances where either a new third party commences publishing a 10 year curve, or occasions we are first made aware of a third party that already publishes a 10 year yield estimate. This change is only a clarification and does not change our interpretation of the event.</w:t>
      </w:r>
    </w:p>
    <w:p w:rsidR="008B6DB4" w:rsidRDefault="008B6DB4" w:rsidP="008B6DB4">
      <w:r>
        <w:t>W</w:t>
      </w:r>
      <w:r w:rsidRPr="00A86E9A">
        <w:t>e have made our decision based on the information and third party data that is currently available.</w:t>
      </w:r>
      <w:r>
        <w:rPr>
          <w:rStyle w:val="FootnoteReference"/>
        </w:rPr>
        <w:footnoteReference w:id="541"/>
      </w:r>
      <w:r w:rsidRPr="00A86E9A">
        <w:t xml:space="preserve"> Nonetheless, in our experience it is common that the availability of third party data changes. Our decision is to annually update the trailing average portfolio return on debt. Under the </w:t>
      </w:r>
      <w:r>
        <w:t>rules</w:t>
      </w:r>
      <w:r w:rsidRPr="00A86E9A">
        <w:t>, the change in revenue resulting from the annual update must occur by automatic application of a formula that is specified in the decision.</w:t>
      </w:r>
      <w:r w:rsidRPr="0067680A">
        <w:rPr>
          <w:rStyle w:val="AERsuperscript"/>
        </w:rPr>
        <w:t xml:space="preserve"> </w:t>
      </w:r>
      <w:r w:rsidRPr="00A86E9A">
        <w:rPr>
          <w:rStyle w:val="AERsuperscript"/>
        </w:rPr>
        <w:footnoteReference w:id="542"/>
      </w:r>
      <w:r w:rsidRPr="00A86E9A">
        <w:t xml:space="preserve"> This means our decision on how to apply these third party data sources must be fully specified</w:t>
      </w:r>
      <w:r>
        <w:t xml:space="preserve"> upfront in the determination or access arrangement</w:t>
      </w:r>
      <w:r w:rsidRPr="00A86E9A">
        <w:t xml:space="preserve">, and must be capable of application over the </w:t>
      </w:r>
      <w:r>
        <w:t>regulatory control or access arrangement</w:t>
      </w:r>
      <w:r w:rsidRPr="00A86E9A">
        <w:t xml:space="preserve"> period without the use of subsequent judgement or discretion. For this reason, we have set out a series of contingencies in</w:t>
      </w:r>
      <w:r>
        <w:t xml:space="preserve"> </w:t>
      </w:r>
      <w:r>
        <w:fldChar w:fldCharType="begin"/>
      </w:r>
      <w:r>
        <w:instrText xml:space="preserve"> REF  _Ref415565798 \* Lower \h </w:instrText>
      </w:r>
      <w:r>
        <w:fldChar w:fldCharType="separate"/>
      </w:r>
      <w:r w:rsidR="001A023B">
        <w:t xml:space="preserve">table </w:t>
      </w:r>
      <w:r w:rsidR="001A023B">
        <w:rPr>
          <w:noProof/>
        </w:rPr>
        <w:t>3</w:t>
      </w:r>
      <w:r w:rsidR="001A023B">
        <w:noBreakHyphen/>
      </w:r>
      <w:r w:rsidR="001A023B">
        <w:rPr>
          <w:noProof/>
        </w:rPr>
        <w:t>18</w:t>
      </w:r>
      <w:r>
        <w:fldChar w:fldCharType="end"/>
      </w:r>
      <w:r w:rsidRPr="00A86E9A">
        <w:t xml:space="preserve">, below. These describe how we propose to estimate the annual return on debt in the event of </w:t>
      </w:r>
      <w:r>
        <w:t xml:space="preserve">revisions in the RBA's or Bloomberg's methodologies or other </w:t>
      </w:r>
      <w:r w:rsidRPr="00A86E9A">
        <w:t>changes to data availability.</w:t>
      </w:r>
    </w:p>
    <w:p w:rsidR="008B6DB4" w:rsidRDefault="008B6DB4" w:rsidP="008B6DB4">
      <w:pPr>
        <w:pStyle w:val="Caption"/>
      </w:pPr>
      <w:bookmarkStart w:id="87" w:name="_Ref415565798"/>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18</w:t>
      </w:r>
      <w:r w:rsidR="00120312">
        <w:rPr>
          <w:noProof/>
        </w:rPr>
        <w:fldChar w:fldCharType="end"/>
      </w:r>
      <w:bookmarkEnd w:id="87"/>
      <w:r>
        <w:tab/>
      </w:r>
      <w:r w:rsidRPr="00457B37">
        <w:t>Contingency approaches to choice of data series</w:t>
      </w:r>
    </w:p>
    <w:tbl>
      <w:tblPr>
        <w:tblStyle w:val="AERtable-text0"/>
        <w:tblW w:w="4966" w:type="pct"/>
        <w:tblLook w:val="04A0" w:firstRow="1" w:lastRow="0" w:firstColumn="1" w:lastColumn="0" w:noHBand="0" w:noVBand="1"/>
      </w:tblPr>
      <w:tblGrid>
        <w:gridCol w:w="2523"/>
        <w:gridCol w:w="6111"/>
      </w:tblGrid>
      <w:tr w:rsidR="008B6DB4" w:rsidRPr="00BB7AB1" w:rsidTr="007505A3">
        <w:trPr>
          <w:cnfStyle w:val="100000000000" w:firstRow="1" w:lastRow="0" w:firstColumn="0" w:lastColumn="0" w:oddVBand="0" w:evenVBand="0" w:oddHBand="0" w:evenHBand="0" w:firstRowFirstColumn="0" w:firstRowLastColumn="0" w:lastRowFirstColumn="0" w:lastRowLastColumn="0"/>
          <w:tblHeader/>
        </w:trPr>
        <w:tc>
          <w:tcPr>
            <w:tcW w:w="1461" w:type="pct"/>
          </w:tcPr>
          <w:p w:rsidR="008B6DB4" w:rsidRPr="00BB7AB1" w:rsidRDefault="008B6DB4" w:rsidP="008B6DB4">
            <w:pPr>
              <w:numPr>
                <w:ilvl w:val="0"/>
                <w:numId w:val="24"/>
              </w:numPr>
            </w:pPr>
            <w:r w:rsidRPr="00BB7AB1">
              <w:t>Event</w:t>
            </w:r>
          </w:p>
        </w:tc>
        <w:tc>
          <w:tcPr>
            <w:tcW w:w="3539" w:type="pct"/>
          </w:tcPr>
          <w:p w:rsidR="008B6DB4" w:rsidRPr="00BB7AB1" w:rsidRDefault="008B6DB4" w:rsidP="008B6DB4">
            <w:pPr>
              <w:numPr>
                <w:ilvl w:val="0"/>
                <w:numId w:val="24"/>
              </w:numPr>
            </w:pPr>
            <w:r w:rsidRPr="00BB7AB1">
              <w:t>Changes to approach</w:t>
            </w:r>
          </w:p>
        </w:tc>
      </w:tr>
      <w:tr w:rsidR="008B6DB4" w:rsidRPr="00BB7AB1" w:rsidTr="007505A3">
        <w:tc>
          <w:tcPr>
            <w:tcW w:w="1461" w:type="pct"/>
          </w:tcPr>
          <w:p w:rsidR="008B6DB4" w:rsidRPr="00BB7AB1" w:rsidRDefault="008B6DB4" w:rsidP="008B6DB4">
            <w:pPr>
              <w:numPr>
                <w:ilvl w:val="0"/>
                <w:numId w:val="24"/>
              </w:numPr>
            </w:pPr>
            <w:r w:rsidRPr="00BB7AB1">
              <w:t>Either the RBA or Bloomberg ceases publication of Australian yield curves that reflect a broad BBB rating.</w:t>
            </w:r>
          </w:p>
        </w:tc>
        <w:tc>
          <w:tcPr>
            <w:tcW w:w="3539" w:type="pct"/>
          </w:tcPr>
          <w:p w:rsidR="008B6DB4" w:rsidRPr="00BB7AB1" w:rsidRDefault="008B6DB4" w:rsidP="008B6DB4">
            <w:pPr>
              <w:numPr>
                <w:ilvl w:val="0"/>
                <w:numId w:val="24"/>
              </w:numPr>
            </w:pPr>
            <w:r w:rsidRPr="00BB7AB1">
              <w:t>We will estimate the annual return on debt using the remaining curve.</w:t>
            </w:r>
          </w:p>
        </w:tc>
      </w:tr>
      <w:tr w:rsidR="008B6DB4" w:rsidRPr="00BB7AB1" w:rsidTr="007505A3">
        <w:trPr>
          <w:cnfStyle w:val="000000010000" w:firstRow="0" w:lastRow="0" w:firstColumn="0" w:lastColumn="0" w:oddVBand="0" w:evenVBand="0" w:oddHBand="0" w:evenHBand="1" w:firstRowFirstColumn="0" w:firstRowLastColumn="0" w:lastRowFirstColumn="0" w:lastRowLastColumn="0"/>
        </w:trPr>
        <w:tc>
          <w:tcPr>
            <w:tcW w:w="1461" w:type="pct"/>
          </w:tcPr>
          <w:p w:rsidR="008B6DB4" w:rsidRPr="00BB7AB1" w:rsidRDefault="008B6DB4" w:rsidP="008B6DB4">
            <w:pPr>
              <w:numPr>
                <w:ilvl w:val="0"/>
                <w:numId w:val="24"/>
              </w:numPr>
            </w:pPr>
            <w:r w:rsidRPr="00BB7AB1">
              <w:t xml:space="preserve">A different third party commences publication of a 10 year yield estimate </w:t>
            </w:r>
            <w:r w:rsidRPr="005306B1">
              <w:t>(or we are made aware of a different third party publishing a 10 year yield estimate)</w:t>
            </w:r>
            <w:r w:rsidRPr="005306B1">
              <w:rPr>
                <w:rStyle w:val="AERsuperscript"/>
              </w:rPr>
              <w:footnoteReference w:id="543"/>
            </w:r>
            <w:r w:rsidRPr="00BB7AB1">
              <w:t>.</w:t>
            </w:r>
          </w:p>
        </w:tc>
        <w:tc>
          <w:tcPr>
            <w:tcW w:w="3539" w:type="pct"/>
          </w:tcPr>
          <w:p w:rsidR="008B6DB4" w:rsidRPr="00BB7AB1" w:rsidRDefault="008B6DB4" w:rsidP="008B6DB4">
            <w:pPr>
              <w:numPr>
                <w:ilvl w:val="0"/>
                <w:numId w:val="24"/>
              </w:numPr>
            </w:pPr>
            <w:r w:rsidRPr="00BB7AB1">
              <w:t xml:space="preserve">We will not apply estimates from a third party data provider that we have not evaluated and included in our </w:t>
            </w:r>
            <w:r>
              <w:t>final</w:t>
            </w:r>
            <w:r w:rsidRPr="00BB7AB1">
              <w:t xml:space="preserve"> decision approach. We will consider any new data sources in future determinations. </w:t>
            </w:r>
          </w:p>
        </w:tc>
      </w:tr>
      <w:tr w:rsidR="008B6DB4" w:rsidRPr="00BB7AB1" w:rsidTr="007505A3">
        <w:tc>
          <w:tcPr>
            <w:tcW w:w="1461" w:type="pct"/>
          </w:tcPr>
          <w:p w:rsidR="008B6DB4" w:rsidRPr="00BB7AB1" w:rsidRDefault="008B6DB4" w:rsidP="008B6DB4">
            <w:pPr>
              <w:numPr>
                <w:ilvl w:val="0"/>
                <w:numId w:val="24"/>
              </w:numPr>
            </w:pPr>
            <w:r w:rsidRPr="00BB7AB1">
              <w:t>Either Bloomberg or RBA substitutes its current methodology for a revised or updated methodology.</w:t>
            </w:r>
          </w:p>
        </w:tc>
        <w:tc>
          <w:tcPr>
            <w:tcW w:w="3539" w:type="pct"/>
          </w:tcPr>
          <w:p w:rsidR="008B6DB4" w:rsidRDefault="008B6DB4" w:rsidP="008B6DB4">
            <w:pPr>
              <w:numPr>
                <w:ilvl w:val="0"/>
                <w:numId w:val="24"/>
              </w:numPr>
            </w:pPr>
            <w:r w:rsidRPr="00BB7AB1">
              <w:t xml:space="preserve">We will adopt the revised or updated </w:t>
            </w:r>
            <w:r>
              <w:t>methodology</w:t>
            </w:r>
            <w:r w:rsidRPr="00BB7AB1">
              <w:t>. Then, at the next regulatory determination, we will review this updated methodology. As noted above, we would also review any new data sources.</w:t>
            </w:r>
          </w:p>
          <w:p w:rsidR="008B6DB4" w:rsidRPr="00BB7AB1" w:rsidRDefault="008B6DB4" w:rsidP="008B6DB4">
            <w:pPr>
              <w:numPr>
                <w:ilvl w:val="0"/>
                <w:numId w:val="24"/>
              </w:numPr>
            </w:pPr>
            <w:r>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Pr>
                <w:rStyle w:val="FootnoteReference"/>
              </w:rPr>
              <w:footnoteReference w:id="544"/>
            </w:r>
          </w:p>
        </w:tc>
      </w:tr>
      <w:tr w:rsidR="008B6DB4" w:rsidRPr="00BB7AB1" w:rsidTr="007505A3">
        <w:trPr>
          <w:cnfStyle w:val="000000010000" w:firstRow="0" w:lastRow="0" w:firstColumn="0" w:lastColumn="0" w:oddVBand="0" w:evenVBand="0" w:oddHBand="0" w:evenHBand="1" w:firstRowFirstColumn="0" w:firstRowLastColumn="0" w:lastRowFirstColumn="0" w:lastRowLastColumn="0"/>
        </w:trPr>
        <w:tc>
          <w:tcPr>
            <w:tcW w:w="1461" w:type="pct"/>
          </w:tcPr>
          <w:p w:rsidR="008B6DB4" w:rsidRPr="00BB7AB1" w:rsidRDefault="008B6DB4" w:rsidP="008B6DB4">
            <w:pPr>
              <w:numPr>
                <w:ilvl w:val="0"/>
                <w:numId w:val="24"/>
              </w:numPr>
            </w:pPr>
            <w:r w:rsidRPr="00BB7AB1">
              <w:t xml:space="preserve">Bloomberg </w:t>
            </w:r>
            <w:r>
              <w:t>reduces the maximum published BVAL term from 10 years</w:t>
            </w:r>
          </w:p>
        </w:tc>
        <w:tc>
          <w:tcPr>
            <w:tcW w:w="3539" w:type="pct"/>
          </w:tcPr>
          <w:p w:rsidR="008B6DB4" w:rsidRDefault="008B6DB4" w:rsidP="008B6DB4">
            <w:pPr>
              <w:numPr>
                <w:ilvl w:val="0"/>
                <w:numId w:val="24"/>
              </w:numPr>
            </w:pPr>
            <w:r w:rsidRPr="00BB7AB1">
              <w:t>If Bloomberg still publishes the BVAL curve to 5</w:t>
            </w:r>
            <w:r>
              <w:t xml:space="preserve"> or more years</w:t>
            </w:r>
            <w:r w:rsidRPr="00BB7AB1">
              <w:t xml:space="preserve">, we will extrapolate the BVAL curve from </w:t>
            </w:r>
            <w:r>
              <w:t>the longest published term</w:t>
            </w:r>
            <w:r w:rsidRPr="00BB7AB1">
              <w:t xml:space="preserve"> using the 5 to 10 year yield margin from the RBA curve.</w:t>
            </w:r>
            <w:r>
              <w:t xml:space="preserve"> </w:t>
            </w:r>
          </w:p>
          <w:p w:rsidR="008B6DB4" w:rsidRPr="00BB7AB1" w:rsidRDefault="008B6DB4" w:rsidP="008B6DB4">
            <w:pPr>
              <w:numPr>
                <w:ilvl w:val="0"/>
                <w:numId w:val="24"/>
              </w:numPr>
            </w:pPr>
            <w:r w:rsidRPr="00BB7AB1">
              <w:t>If Bloomberg no longer publishes the BVAL curve to 5 years, we will rely entirely on the RBA curve.</w:t>
            </w:r>
          </w:p>
        </w:tc>
      </w:tr>
      <w:tr w:rsidR="008B6DB4" w:rsidRPr="00BB7AB1" w:rsidTr="007505A3">
        <w:tc>
          <w:tcPr>
            <w:tcW w:w="1461" w:type="pct"/>
          </w:tcPr>
          <w:p w:rsidR="008B6DB4" w:rsidRPr="00BB7AB1" w:rsidRDefault="008B6DB4" w:rsidP="008B6DB4">
            <w:pPr>
              <w:numPr>
                <w:ilvl w:val="0"/>
                <w:numId w:val="24"/>
              </w:numPr>
            </w:pPr>
            <w:r w:rsidRPr="00BB7AB1">
              <w:t>The RBA ceases publication of a 10 year yield estimate.</w:t>
            </w:r>
            <w:r w:rsidRPr="00BB7AB1">
              <w:tab/>
            </w:r>
          </w:p>
        </w:tc>
        <w:tc>
          <w:tcPr>
            <w:tcW w:w="3539" w:type="pct"/>
          </w:tcPr>
          <w:p w:rsidR="008B6DB4" w:rsidRPr="00BB7AB1" w:rsidRDefault="008B6DB4" w:rsidP="008B6DB4">
            <w:pPr>
              <w:numPr>
                <w:ilvl w:val="0"/>
                <w:numId w:val="24"/>
              </w:numPr>
            </w:pPr>
            <w:r w:rsidRPr="00BB7AB1">
              <w:t>If the RBA ceases publication of a 10 year yield estimate, we will extrapolate the RBA estimate to 10 years using:</w:t>
            </w:r>
          </w:p>
          <w:p w:rsidR="008B6DB4" w:rsidRPr="008B6DB4" w:rsidRDefault="008B6DB4" w:rsidP="008B6DB4">
            <w:pPr>
              <w:pStyle w:val="AERbulletlistfirststyle"/>
            </w:pPr>
            <w:r w:rsidRPr="00A86E9A">
              <w:t>if available, the margin between spreads in the Bloomberg curve,</w:t>
            </w:r>
            <w:r w:rsidRPr="008B6DB4">
              <w:rPr>
                <w:rStyle w:val="FootnoteReference"/>
              </w:rPr>
              <w:footnoteReference w:id="545"/>
            </w:r>
            <w:r w:rsidRPr="008B6DB4">
              <w:t xml:space="preserve"> from the RBA's longest published target term to 10 years</w:t>
            </w:r>
          </w:p>
          <w:p w:rsidR="008B6DB4" w:rsidRPr="008B6DB4" w:rsidRDefault="008B6DB4" w:rsidP="008B6DB4">
            <w:pPr>
              <w:pStyle w:val="AERbulletlistfirststyle"/>
            </w:pPr>
            <w:r w:rsidRPr="00A86E9A">
              <w:t>otherwise, the actual CGS margin from the RBA's longest published estimate to 10 years, plus the average DRP spread for the same term margin over the last month prior to the end of its publication.</w:t>
            </w:r>
          </w:p>
        </w:tc>
      </w:tr>
      <w:tr w:rsidR="008B6DB4" w:rsidRPr="00BB7AB1" w:rsidTr="007505A3">
        <w:trPr>
          <w:cnfStyle w:val="000000010000" w:firstRow="0" w:lastRow="0" w:firstColumn="0" w:lastColumn="0" w:oddVBand="0" w:evenVBand="0" w:oddHBand="0" w:evenHBand="1" w:firstRowFirstColumn="0" w:firstRowLastColumn="0" w:lastRowFirstColumn="0" w:lastRowLastColumn="0"/>
        </w:trPr>
        <w:tc>
          <w:tcPr>
            <w:tcW w:w="1461" w:type="pct"/>
          </w:tcPr>
          <w:p w:rsidR="008B6DB4" w:rsidRPr="00BB7AB1" w:rsidRDefault="008B6DB4" w:rsidP="008B6DB4">
            <w:pPr>
              <w:numPr>
                <w:ilvl w:val="0"/>
                <w:numId w:val="24"/>
              </w:numPr>
            </w:pPr>
            <w:r w:rsidRPr="00BB7AB1">
              <w:t>The RBA commences publication of daily estimates.</w:t>
            </w:r>
          </w:p>
        </w:tc>
        <w:tc>
          <w:tcPr>
            <w:tcW w:w="3539" w:type="pct"/>
          </w:tcPr>
          <w:p w:rsidR="008B6DB4" w:rsidRPr="00BB7AB1" w:rsidRDefault="008B6DB4" w:rsidP="008B6DB4">
            <w:pPr>
              <w:numPr>
                <w:ilvl w:val="0"/>
                <w:numId w:val="24"/>
              </w:numPr>
            </w:pPr>
            <w:r w:rsidRPr="00BB7AB1">
              <w:t>We will cease interpolating the RBA monthly yields. Instead, we will estimate both the RBA yield and the RBA year extrapolation margin (used with the BVAL curve) using these daily estimates.</w:t>
            </w:r>
          </w:p>
        </w:tc>
      </w:tr>
      <w:tr w:rsidR="008B6DB4" w:rsidRPr="00BB7AB1" w:rsidTr="007505A3">
        <w:tc>
          <w:tcPr>
            <w:tcW w:w="1461" w:type="pct"/>
          </w:tcPr>
          <w:p w:rsidR="008B6DB4" w:rsidRPr="00BB7AB1" w:rsidRDefault="008B6DB4" w:rsidP="008B6DB4">
            <w:pPr>
              <w:numPr>
                <w:ilvl w:val="0"/>
                <w:numId w:val="24"/>
              </w:numPr>
            </w:pPr>
            <w:r w:rsidRPr="00BB7AB1">
              <w:t>Either Bloomberg or the RBA publishes a BBB+ or utilities specific yield curve.</w:t>
            </w:r>
          </w:p>
        </w:tc>
        <w:tc>
          <w:tcPr>
            <w:tcW w:w="3539" w:type="pct"/>
          </w:tcPr>
          <w:p w:rsidR="008B6DB4" w:rsidRPr="00BB7AB1" w:rsidRDefault="008B6DB4" w:rsidP="008B6DB4">
            <w:pPr>
              <w:numPr>
                <w:ilvl w:val="0"/>
                <w:numId w:val="24"/>
              </w:numPr>
            </w:pPr>
            <w:r w:rsidRPr="00BB7AB1">
              <w:t>We will adopt the BBB+ or utilities curve in place of the provider's existing curve, on the basis that it is a closer fit to our benchmark efficient entity.</w:t>
            </w:r>
          </w:p>
        </w:tc>
      </w:tr>
    </w:tbl>
    <w:p w:rsidR="008B6DB4" w:rsidRPr="00BB7AB1" w:rsidRDefault="008B6DB4" w:rsidP="008B6DB4">
      <w:pPr>
        <w:pStyle w:val="AERtablesource"/>
      </w:pPr>
      <w:r w:rsidRPr="00BB7AB1">
        <w:t>Source:</w:t>
      </w:r>
      <w:r w:rsidRPr="00BB7AB1">
        <w:tab/>
      </w:r>
      <w:r w:rsidRPr="00BB7AB1">
        <w:tab/>
        <w:t>AER analysis</w:t>
      </w:r>
    </w:p>
    <w:p w:rsidR="008B6DB4" w:rsidRPr="00C56839" w:rsidRDefault="008B6DB4" w:rsidP="008B6DB4">
      <w:r w:rsidRPr="00C56839">
        <w:t>In general, we have decided on these contingencies based on a series of guiding principles. These are that the contingency must:</w:t>
      </w:r>
    </w:p>
    <w:p w:rsidR="008B6DB4" w:rsidRPr="008B6DB4" w:rsidRDefault="008B6DB4" w:rsidP="008B6DB4">
      <w:pPr>
        <w:pStyle w:val="AERbulletlistfirststyle"/>
      </w:pPr>
      <w:r w:rsidRPr="00C56839">
        <w:t xml:space="preserve">Be practically implementable—the rules require the automatic application of a formula to update the trailing average portfolio return on debt. As a result, we will be unable to analyse changes to the approaches or new approaches during the </w:t>
      </w:r>
      <w:r w:rsidRPr="008B6DB4">
        <w:t>regulatory control or access arrangement period. Therefore, it is important that any contingency be practical and easily implementable.</w:t>
      </w:r>
    </w:p>
    <w:p w:rsidR="008B6DB4" w:rsidRPr="008B6DB4" w:rsidRDefault="008B6DB4" w:rsidP="008B6DB4">
      <w:pPr>
        <w:pStyle w:val="AERbulletlistfirststyle"/>
      </w:pPr>
      <w:r w:rsidRPr="00762C27">
        <w:t>Use the curve in a form as close as possible to its published form—for example,</w:t>
      </w:r>
      <w:r w:rsidRPr="008B6DB4">
        <w:t xml:space="preserve"> in April 2015 Bloomberg commenced publication of a 10 year BVAL curve. Accordingly, for averaging periods where the 10 year estimate is available, we will adopt this estimate rather than the 7 year BVAL curve extrapolated with RBA data.</w:t>
      </w:r>
    </w:p>
    <w:p w:rsidR="008B6DB4" w:rsidRPr="008B6DB4" w:rsidRDefault="008B6DB4" w:rsidP="008B6DB4">
      <w:pPr>
        <w:pStyle w:val="AERbulletlistfirststyle"/>
      </w:pPr>
      <w:r w:rsidRPr="00C56839">
        <w:t>Where necessary, rely on the independent expert judg</w:t>
      </w:r>
      <w:r w:rsidRPr="008B6DB4">
        <w:t>ement of the RBA and Bloomberg—In particular, where the RBA or Bloomberg makes changes to its methodology, we would prefer to evaluate these changes before concluding we are satisfied the curve still meets the criteria set out in the Guideline.</w:t>
      </w:r>
      <w:r w:rsidRPr="008B6DB4">
        <w:rPr>
          <w:rStyle w:val="FootnoteReference"/>
        </w:rPr>
        <w:footnoteReference w:id="546"/>
      </w:r>
      <w:r w:rsidRPr="008B6DB4">
        <w:t xml:space="preserve"> However, this is not possible during the regulatory control or access arrangement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8B6DB4" w:rsidRDefault="008B6DB4" w:rsidP="008B6DB4">
      <w:pPr>
        <w:pStyle w:val="HeadingItalic"/>
      </w:pPr>
      <w:r>
        <w:t>Response to key issues raised by stakeholders</w:t>
      </w:r>
    </w:p>
    <w:p w:rsidR="008B6DB4" w:rsidRDefault="008B6DB4" w:rsidP="008B6DB4">
      <w:r>
        <w:t>Citipower and Powercor proposed to make some adjustments to these contingencies. In particular, they proposed to:</w:t>
      </w:r>
    </w:p>
    <w:p w:rsidR="008B6DB4" w:rsidRPr="008B6DB4" w:rsidRDefault="008B6DB4" w:rsidP="008B6DB4">
      <w:pPr>
        <w:pStyle w:val="AERbulletlistfirststyle"/>
      </w:pPr>
      <w:r>
        <w:t>include the Reuters curve throughout the contingencies table</w:t>
      </w:r>
    </w:p>
    <w:p w:rsidR="008B6DB4" w:rsidRPr="008B6DB4" w:rsidRDefault="008B6DB4" w:rsidP="008B6DB4">
      <w:pPr>
        <w:pStyle w:val="AERbulletlistfirststyle"/>
      </w:pPr>
      <w:r>
        <w:t>remove</w:t>
      </w:r>
      <w:r w:rsidRPr="008B6DB4">
        <w:t xml:space="preserve"> the contingency relating to the BBB+ or utilities specific curve.</w:t>
      </w:r>
    </w:p>
    <w:p w:rsidR="008B6DB4" w:rsidRDefault="008B6DB4" w:rsidP="008B6DB4">
      <w:r>
        <w:t xml:space="preserve">Our final decision is to maintain the contingencies as set out in previous decisions. For the reasons set out in this section, we have not adopted use of the Reuters curve for this final decision. We may revisit the use of this curve in future where there is scope for detailed analysis and consultation on the curve. However, we are currently not satisfied that use of the Reuters curve will promote achievement of the </w:t>
      </w:r>
      <w:r w:rsidR="00270CE2">
        <w:t>ARORO</w:t>
      </w:r>
      <w:r>
        <w:t>. We therefore do not agree that it should be included within the scope of our contingencies.</w:t>
      </w:r>
    </w:p>
    <w:p w:rsidR="008B6DB4" w:rsidRDefault="008B6DB4" w:rsidP="008B6DB4">
      <w:r>
        <w:t>We also maintain our decision to adopt the BBB+ or utilities specific curve where either the RBA or Bloomberg commences publication of such a curve. In the rate of return guideline and in subsequent decisions, we have defined the benchmark entity as 'Similarly, for the reasons set out in this section, we have adopted a BBB+ benchmark credit rating.</w:t>
      </w:r>
    </w:p>
    <w:p w:rsidR="00391CC7" w:rsidRPr="00391CC7" w:rsidRDefault="00391CC7" w:rsidP="00391CC7">
      <w:pPr>
        <w:pStyle w:val="HeadingBoldItalic"/>
      </w:pPr>
      <w:r>
        <w:t>New issue premium</w:t>
      </w:r>
    </w:p>
    <w:p w:rsidR="00391CC7" w:rsidRPr="00391CC7" w:rsidRDefault="00391CC7" w:rsidP="00391CC7">
      <w:r w:rsidRPr="00391CC7">
        <w:t>We accept</w:t>
      </w:r>
      <w:r>
        <w:t xml:space="preserve"> ActewAGL's </w:t>
      </w:r>
      <w:r w:rsidRPr="00391CC7">
        <w:t xml:space="preserve">revised </w:t>
      </w:r>
      <w:r>
        <w:t xml:space="preserve">access arrangement </w:t>
      </w:r>
      <w:r w:rsidRPr="00391CC7">
        <w:t>proposal to not include an explicit allowance for the new issue premium. However, we do not agree with its commentary that excluding a new issue premium makes its proposed return on debt 'highly conservative'.</w:t>
      </w:r>
      <w:r w:rsidRPr="00391CC7">
        <w:rPr>
          <w:rStyle w:val="FootnoteReference"/>
        </w:rPr>
        <w:footnoteReference w:id="547"/>
      </w:r>
    </w:p>
    <w:p w:rsidR="00391CC7" w:rsidRPr="00391CC7" w:rsidRDefault="00391CC7" w:rsidP="00391CC7">
      <w:r w:rsidRPr="00391CC7">
        <w:t>We continue to be satisfied our current approach, without providing an uplift for a new issue premium,</w:t>
      </w:r>
      <w:r w:rsidRPr="00391CC7">
        <w:rPr>
          <w:rStyle w:val="FootnoteReference"/>
        </w:rPr>
        <w:footnoteReference w:id="548"/>
      </w:r>
      <w:r w:rsidRPr="00391CC7">
        <w:t xml:space="preserve"> contributes to the achievement of the ARORO. In particular, we are satisfied it is commensurate with the efficient financing costs of a benchmark efficient entity.</w:t>
      </w:r>
      <w:r w:rsidRPr="00391CC7">
        <w:rPr>
          <w:rStyle w:val="FootnoteReference"/>
        </w:rPr>
        <w:footnoteReference w:id="549"/>
      </w:r>
      <w:r w:rsidRPr="00391CC7">
        <w:t xml:space="preserve"> Our main reasons for our position are:</w:t>
      </w:r>
    </w:p>
    <w:p w:rsidR="00391CC7" w:rsidRPr="00391CC7" w:rsidRDefault="00391CC7" w:rsidP="00391CC7">
      <w:pPr>
        <w:pStyle w:val="AERbulletlistfirststyle"/>
      </w:pPr>
      <w:r w:rsidRPr="00391CC7">
        <w:t>Conceptually, we consider that a benchmark efficient entity would not face a new issue premium as part of its efficient financing costs.</w:t>
      </w:r>
    </w:p>
    <w:p w:rsidR="00391CC7" w:rsidRPr="00391CC7" w:rsidRDefault="00391CC7" w:rsidP="00391CC7">
      <w:pPr>
        <w:pStyle w:val="AERbulletlistfirststyle"/>
      </w:pPr>
      <w:r w:rsidRPr="00391CC7">
        <w:t>The evidence before us indicates that our return on debt allowance already appropriately compensates a benchmark efficient entity overall for its efficient financing costs.</w:t>
      </w:r>
    </w:p>
    <w:p w:rsidR="00391CC7" w:rsidRPr="00391CC7" w:rsidRDefault="00391CC7" w:rsidP="00391CC7">
      <w:pPr>
        <w:pStyle w:val="AERbulletlistfirststyle"/>
      </w:pPr>
      <w:r w:rsidRPr="00391CC7">
        <w:t>We consider that the empirical evidence on the new issue premium is inconclusive in general and that there is little consensus among experts on how to measure potential new issue premia.</w:t>
      </w:r>
    </w:p>
    <w:p w:rsidR="00391CC7" w:rsidRPr="00391CC7" w:rsidRDefault="00391CC7" w:rsidP="00391CC7">
      <w:pPr>
        <w:pStyle w:val="AERbulletlistfirststyle"/>
      </w:pPr>
      <w:r w:rsidRPr="00391CC7">
        <w:t>We are unaware of any academic literature on the new issue premium in the Australian market. On behalf of several service providers, CEG conducted an empirical analysis on the Australian market.</w:t>
      </w:r>
      <w:r w:rsidRPr="00391CC7">
        <w:rPr>
          <w:rStyle w:val="FootnoteReference"/>
        </w:rPr>
        <w:footnoteReference w:id="550"/>
      </w:r>
      <w:r w:rsidRPr="00391CC7">
        <w:t xml:space="preserve"> However, we have concerns with CEG's methodology, which we do not consider CEG has satisfactorily addressed.</w:t>
      </w:r>
      <w:r w:rsidRPr="00391CC7">
        <w:rPr>
          <w:rStyle w:val="FootnoteReference"/>
        </w:rPr>
        <w:footnoteReference w:id="551"/>
      </w:r>
    </w:p>
    <w:p w:rsidR="00391CC7" w:rsidRDefault="00391CC7" w:rsidP="008B6DB4">
      <w:r w:rsidRPr="00391CC7">
        <w:t>For a more detailed explanation of our reasons, see Appendix I of our final decision for United Energy.</w:t>
      </w:r>
      <w:r w:rsidRPr="00391CC7">
        <w:rPr>
          <w:rStyle w:val="FootnoteReference"/>
        </w:rPr>
        <w:footnoteReference w:id="552"/>
      </w:r>
    </w:p>
    <w:p w:rsidR="008B6DB4" w:rsidRDefault="008B6DB4" w:rsidP="008B6DB4">
      <w:pPr>
        <w:pStyle w:val="HeadingBoldItalic"/>
      </w:pPr>
      <w:r w:rsidRPr="00E761F9">
        <w:t xml:space="preserve">Averaging periods </w:t>
      </w:r>
    </w:p>
    <w:p w:rsidR="00047DC7" w:rsidRDefault="00047DC7" w:rsidP="00047DC7">
      <w:r>
        <w:t>Our final decision is to:</w:t>
      </w:r>
    </w:p>
    <w:p w:rsidR="00047DC7" w:rsidRPr="00047DC7" w:rsidRDefault="00047DC7" w:rsidP="00047DC7">
      <w:pPr>
        <w:pStyle w:val="AERbulletlistfirststyle"/>
      </w:pPr>
      <w:r w:rsidRPr="007E5EC0">
        <w:t>accept ActewAGL's proposed debt averaging period for the 2015–16 interval of delay year</w:t>
      </w:r>
      <w:r w:rsidRPr="00047DC7">
        <w:rPr>
          <w:rStyle w:val="FootnoteReference"/>
        </w:rPr>
        <w:footnoteReference w:id="553"/>
      </w:r>
      <w:r w:rsidRPr="00047DC7">
        <w:t xml:space="preserve"> </w:t>
      </w:r>
    </w:p>
    <w:p w:rsidR="00047DC7" w:rsidRPr="00047DC7" w:rsidRDefault="00047DC7" w:rsidP="00047DC7">
      <w:pPr>
        <w:pStyle w:val="AERbulletlistfirststyle"/>
      </w:pPr>
      <w:r w:rsidRPr="007E5EC0">
        <w:t>accept ActewAGL's proposed debt averaging period for the 2016–17 regulatory year</w:t>
      </w:r>
    </w:p>
    <w:p w:rsidR="00047DC7" w:rsidRPr="00047DC7" w:rsidRDefault="00047DC7" w:rsidP="00047DC7">
      <w:pPr>
        <w:pStyle w:val="AERbulletlistfirststyle"/>
      </w:pPr>
      <w:r w:rsidRPr="007E5EC0">
        <w:t xml:space="preserve">not accept ActewAGL's proposed process to nominate averaging periods for 2017–18, 2018–19, 2019–20 and 2020–21 throughout the </w:t>
      </w:r>
      <w:r w:rsidRPr="00047DC7">
        <w:t>access arrangement period.</w:t>
      </w:r>
      <w:r w:rsidRPr="00047DC7">
        <w:rPr>
          <w:rStyle w:val="FootnoteReference"/>
        </w:rPr>
        <w:footnoteReference w:id="554"/>
      </w:r>
    </w:p>
    <w:p w:rsidR="00512B4F" w:rsidRDefault="00047DC7" w:rsidP="00047DC7">
      <w:r>
        <w:t>ActewAGL also submitted a set of alternative averaging periods for 2017–18 to 2020–21, which it submitted in the event that we did not accept its proposed process for nominating averaging periods during the access arrangement period.</w:t>
      </w:r>
      <w:r>
        <w:rPr>
          <w:rStyle w:val="FootnoteReference"/>
        </w:rPr>
        <w:footnoteReference w:id="555"/>
      </w:r>
      <w:r>
        <w:t xml:space="preserve"> It amended these alternative averaging periods in its revised proposal.</w:t>
      </w:r>
      <w:r>
        <w:rPr>
          <w:rStyle w:val="FootnoteReference"/>
        </w:rPr>
        <w:footnoteReference w:id="556"/>
      </w:r>
      <w:r>
        <w:t xml:space="preserve"> We agree with ActewAGL's amended alternative averaging periods for 2017–18 to 2020–21.</w:t>
      </w:r>
    </w:p>
    <w:p w:rsidR="00047DC7" w:rsidRDefault="00512B4F" w:rsidP="00047DC7">
      <w:r w:rsidRPr="00512B4F">
        <w:t xml:space="preserve">We specify </w:t>
      </w:r>
      <w:r>
        <w:t>ActewAGL's proposed</w:t>
      </w:r>
      <w:r w:rsidRPr="00512B4F">
        <w:t xml:space="preserve"> averaging periods for the 2017–18 to 2020–21 regulatory years in confidential </w:t>
      </w:r>
      <w:r w:rsidR="00391CC7">
        <w:t>A</w:t>
      </w:r>
      <w:r w:rsidRPr="00512B4F">
        <w:t xml:space="preserve">ppendix </w:t>
      </w:r>
      <w:r w:rsidR="00391CC7">
        <w:fldChar w:fldCharType="begin"/>
      </w:r>
      <w:r w:rsidR="00391CC7">
        <w:instrText xml:space="preserve"> REF _Ref451328110 \r \h </w:instrText>
      </w:r>
      <w:r w:rsidR="00391CC7">
        <w:fldChar w:fldCharType="separate"/>
      </w:r>
      <w:r w:rsidR="001A023B">
        <w:t>L</w:t>
      </w:r>
      <w:r w:rsidR="00391CC7">
        <w:fldChar w:fldCharType="end"/>
      </w:r>
      <w:r w:rsidRPr="00512B4F">
        <w:t>. This is because our practice is to keep the dates of averaging periods confidential until they have expired.</w:t>
      </w:r>
    </w:p>
    <w:p w:rsidR="00DA4CFA" w:rsidRDefault="00DA4CFA" w:rsidP="00FE0D9E">
      <w:r>
        <w:t xml:space="preserve">As discussed in the draft decision for ActewAGL, the first year for which we calculate the return on debt is the </w:t>
      </w:r>
      <w:r w:rsidRPr="00E64712">
        <w:t>2015–16 interval-of-delay year.</w:t>
      </w:r>
      <w:r>
        <w:t xml:space="preserve"> This is because of</w:t>
      </w:r>
      <w:r w:rsidRPr="00E64712">
        <w:t xml:space="preserve"> the transitional arr</w:t>
      </w:r>
      <w:r>
        <w:t xml:space="preserve">angements applying to ActewAGL. For this final decision, we use an averaging period of </w:t>
      </w:r>
      <w:r w:rsidRPr="002E0D14">
        <w:t>15 business days commencing 4 June 2015</w:t>
      </w:r>
      <w:r>
        <w:t xml:space="preserve"> to calculate the return on debt for the interval of delay year (for the purposes of conducting the true-up).</w:t>
      </w:r>
      <w:r>
        <w:rPr>
          <w:rStyle w:val="FootnoteReference"/>
        </w:rPr>
        <w:footnoteReference w:id="557"/>
      </w:r>
      <w:r>
        <w:t xml:space="preserve"> </w:t>
      </w:r>
      <w:r w:rsidRPr="00E761F9">
        <w:t xml:space="preserve">In the </w:t>
      </w:r>
      <w:r>
        <w:t>draft decision</w:t>
      </w:r>
      <w:r w:rsidRPr="00E761F9">
        <w:t xml:space="preserve">, we </w:t>
      </w:r>
      <w:r>
        <w:t xml:space="preserve">also </w:t>
      </w:r>
      <w:r w:rsidRPr="00E761F9">
        <w:t>used a</w:t>
      </w:r>
      <w:r>
        <w:t>n</w:t>
      </w:r>
      <w:r w:rsidRPr="00E761F9">
        <w:t xml:space="preserve"> </w:t>
      </w:r>
      <w:r>
        <w:t xml:space="preserve">indicative </w:t>
      </w:r>
      <w:r w:rsidRPr="00E761F9">
        <w:t>averaging period to estimate the allowed return on debt for the 2016</w:t>
      </w:r>
      <w:r>
        <w:t>–17</w:t>
      </w:r>
      <w:r w:rsidRPr="00E761F9">
        <w:t xml:space="preserve"> regulatory year. At that time, we also stated we would update this averaging period for the final decision and stated, in a confidential appendix, the dates we would use for this updating. In this final decision, we have updated </w:t>
      </w:r>
      <w:r>
        <w:t>ActewAGL's</w:t>
      </w:r>
      <w:r w:rsidRPr="00E761F9">
        <w:t xml:space="preserve"> allowed return on debt for the 2016</w:t>
      </w:r>
      <w:r>
        <w:t>–17</w:t>
      </w:r>
      <w:r w:rsidRPr="00E761F9">
        <w:t xml:space="preserve"> regulatory year based on this averaging period, which was </w:t>
      </w:r>
      <w:r w:rsidR="00FE0D9E" w:rsidRPr="00FE0D9E">
        <w:t>15 business days ending 31 March 2016</w:t>
      </w:r>
      <w:r w:rsidRPr="00E761F9">
        <w:t>. We can specify this averaging period now because it has expired.</w:t>
      </w:r>
    </w:p>
    <w:p w:rsidR="00B543A7" w:rsidRPr="00E761F9" w:rsidRDefault="00B543A7" w:rsidP="00B543A7">
      <w:r w:rsidRPr="00E761F9">
        <w:t>In the Guideline, we proposed that service providers could nominate averaging periods of 10 or more consecutive business days up to a maximum of 12 months.</w:t>
      </w:r>
      <w:r w:rsidRPr="00E761F9">
        <w:rPr>
          <w:rStyle w:val="FootnoteReference"/>
        </w:rPr>
        <w:footnoteReference w:id="558"/>
      </w:r>
      <w:r w:rsidRPr="00E761F9">
        <w:t xml:space="preserve"> We also proposed that an averaging period should satisfy certain conditions. We developed these conditions so that the application of the averaging period contributes to the achievement of the </w:t>
      </w:r>
      <w:r w:rsidR="00270CE2">
        <w:t>ARORO</w:t>
      </w:r>
      <w:r w:rsidRPr="00E761F9">
        <w:t>.</w:t>
      </w:r>
      <w:r w:rsidRPr="00E761F9">
        <w:rPr>
          <w:rStyle w:val="FootnoteReference"/>
        </w:rPr>
        <w:footnoteReference w:id="559"/>
      </w:r>
    </w:p>
    <w:p w:rsidR="00B543A7" w:rsidRPr="00E761F9" w:rsidRDefault="00B543A7" w:rsidP="00B543A7">
      <w:r w:rsidRPr="00E761F9">
        <w:t xml:space="preserve">In assessing the service providers' proposed averaging periods, we applied the conditions we proposed in the Guideline, with one exception. The proposals from AusNet and some other service providers persuade us that one of the conditions we proposed is not necessary to achieve the </w:t>
      </w:r>
      <w:r w:rsidR="00270CE2">
        <w:t>ARORO</w:t>
      </w:r>
      <w:r w:rsidRPr="00E761F9">
        <w:t xml:space="preserve">. That condition was that averaging periods should be as close as practical to the commencement of each regulatory year. We remain of the view that the remaining Guideline conditions are important and necessary to promote the </w:t>
      </w:r>
      <w:r w:rsidR="00270CE2">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rsidR="00FE0D9E">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B543A7" w:rsidRPr="00E761F9" w:rsidRDefault="00FE0D9E" w:rsidP="00B543A7">
      <w:pPr>
        <w:numPr>
          <w:ilvl w:val="0"/>
          <w:numId w:val="24"/>
        </w:numPr>
      </w:pPr>
      <w:r>
        <w:fldChar w:fldCharType="begin"/>
      </w:r>
      <w:r>
        <w:instrText xml:space="preserve"> REF _Ref451268851 \h </w:instrText>
      </w:r>
      <w:r>
        <w:fldChar w:fldCharType="separate"/>
      </w:r>
      <w:r w:rsidR="001A023B">
        <w:t xml:space="preserve">Table </w:t>
      </w:r>
      <w:r w:rsidR="001A023B">
        <w:rPr>
          <w:noProof/>
        </w:rPr>
        <w:t>3</w:t>
      </w:r>
      <w:r w:rsidR="001A023B">
        <w:noBreakHyphen/>
      </w:r>
      <w:r w:rsidR="001A023B">
        <w:rPr>
          <w:noProof/>
        </w:rPr>
        <w:t>19</w:t>
      </w:r>
      <w:r>
        <w:fldChar w:fldCharType="end"/>
      </w:r>
      <w:r w:rsidR="00B543A7" w:rsidRPr="00E761F9">
        <w:t xml:space="preserve"> sets out why we consider an averaging period that meets the remaining conditions in the Guideline contributes to the achievement of the </w:t>
      </w:r>
      <w:r w:rsidR="00270CE2">
        <w:t>ARORO</w:t>
      </w:r>
      <w:r w:rsidR="00B543A7" w:rsidRPr="00E761F9">
        <w:t xml:space="preserve">. It also summarises our assessment of </w:t>
      </w:r>
      <w:r w:rsidR="00856C1B">
        <w:t>ActewAGL's</w:t>
      </w:r>
      <w:r w:rsidR="00856C1B" w:rsidRPr="00E761F9">
        <w:t xml:space="preserve"> </w:t>
      </w:r>
      <w:r w:rsidRPr="0081201C">
        <w:t>annual process for nominating debt averaging periods and its set of alternative averaging p</w:t>
      </w:r>
      <w:r>
        <w:t>eriods against these conditions</w:t>
      </w:r>
      <w:r w:rsidR="00B543A7" w:rsidRPr="00E761F9">
        <w:t xml:space="preserve">. </w:t>
      </w:r>
    </w:p>
    <w:p w:rsidR="00FE0D9E" w:rsidRDefault="00FE0D9E" w:rsidP="00FE0D9E">
      <w:pPr>
        <w:pStyle w:val="Caption"/>
      </w:pPr>
      <w:bookmarkStart w:id="88" w:name="_Ref451268851"/>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19</w:t>
      </w:r>
      <w:r w:rsidR="00120312">
        <w:rPr>
          <w:noProof/>
        </w:rPr>
        <w:fldChar w:fldCharType="end"/>
      </w:r>
      <w:bookmarkEnd w:id="88"/>
      <w:r>
        <w:tab/>
      </w:r>
      <w:r w:rsidRPr="00E761F9">
        <w:t>Assessment of proposed averaging periods against Guideline</w:t>
      </w:r>
    </w:p>
    <w:tbl>
      <w:tblPr>
        <w:tblStyle w:val="AERtable-text0"/>
        <w:tblW w:w="0" w:type="auto"/>
        <w:tblLook w:val="04A0" w:firstRow="1" w:lastRow="0" w:firstColumn="1" w:lastColumn="0" w:noHBand="0" w:noVBand="1"/>
      </w:tblPr>
      <w:tblGrid>
        <w:gridCol w:w="2151"/>
        <w:gridCol w:w="3486"/>
        <w:gridCol w:w="1559"/>
        <w:gridCol w:w="1497"/>
      </w:tblGrid>
      <w:tr w:rsidR="00FE0D9E" w:rsidTr="00BA7AE7">
        <w:trPr>
          <w:cnfStyle w:val="100000000000" w:firstRow="1" w:lastRow="0" w:firstColumn="0" w:lastColumn="0" w:oddVBand="0" w:evenVBand="0" w:oddHBand="0" w:evenHBand="0" w:firstRowFirstColumn="0" w:firstRowLastColumn="0" w:lastRowFirstColumn="0" w:lastRowLastColumn="0"/>
          <w:trHeight w:val="1145"/>
          <w:tblHeader/>
        </w:trPr>
        <w:tc>
          <w:tcPr>
            <w:tcW w:w="2151" w:type="dxa"/>
          </w:tcPr>
          <w:p w:rsidR="00FE0D9E" w:rsidRPr="00B543A7" w:rsidRDefault="00FE0D9E" w:rsidP="00BA7AE7">
            <w:r w:rsidRPr="00E761F9">
              <w:t>Condition</w:t>
            </w:r>
          </w:p>
        </w:tc>
        <w:tc>
          <w:tcPr>
            <w:tcW w:w="3486" w:type="dxa"/>
          </w:tcPr>
          <w:p w:rsidR="00FE0D9E" w:rsidRPr="00B543A7" w:rsidRDefault="00FE0D9E" w:rsidP="00BA7AE7">
            <w:r w:rsidRPr="00E761F9">
              <w:t>Reasons for condition</w:t>
            </w:r>
          </w:p>
        </w:tc>
        <w:tc>
          <w:tcPr>
            <w:tcW w:w="1559" w:type="dxa"/>
          </w:tcPr>
          <w:p w:rsidR="00FE0D9E" w:rsidRPr="00B543A7" w:rsidRDefault="00FE0D9E" w:rsidP="00BA7AE7">
            <w:r w:rsidRPr="00E761F9">
              <w:t>Condition met?</w:t>
            </w:r>
            <w:r>
              <w:t>—</w:t>
            </w:r>
            <w:r w:rsidRPr="00FE0D9E">
              <w:t>annual nomination process</w:t>
            </w:r>
          </w:p>
        </w:tc>
        <w:tc>
          <w:tcPr>
            <w:tcW w:w="1497" w:type="dxa"/>
          </w:tcPr>
          <w:p w:rsidR="00FE0D9E" w:rsidRPr="00E761F9" w:rsidRDefault="00FE0D9E" w:rsidP="00BA7AE7">
            <w:r>
              <w:t>Condition met?—alternative averaging periods*</w:t>
            </w:r>
          </w:p>
        </w:tc>
      </w:tr>
      <w:tr w:rsidR="00FE0D9E" w:rsidTr="00BA7AE7">
        <w:trPr>
          <w:trHeight w:val="1007"/>
        </w:trPr>
        <w:tc>
          <w:tcPr>
            <w:tcW w:w="2151" w:type="dxa"/>
          </w:tcPr>
          <w:p w:rsidR="00FE0D9E" w:rsidRPr="00B543A7" w:rsidRDefault="00FE0D9E" w:rsidP="00BA7AE7">
            <w:r w:rsidRPr="00E761F9">
              <w:t xml:space="preserve">Observed over a period of 10 or more consecutive business days up to a maximum of </w:t>
            </w:r>
            <w:r w:rsidRPr="00B543A7">
              <w:t>12 months</w:t>
            </w:r>
          </w:p>
        </w:tc>
        <w:tc>
          <w:tcPr>
            <w:tcW w:w="3486" w:type="dxa"/>
          </w:tcPr>
          <w:p w:rsidR="00FE0D9E" w:rsidRPr="00B543A7" w:rsidRDefault="00FE0D9E" w:rsidP="00BA7AE7">
            <w:r w:rsidRPr="00E761F9">
              <w:t>Averaging daily estimates over a number of days smooths out short term volatility in the annually updated return on debt allowance.</w:t>
            </w:r>
          </w:p>
        </w:tc>
        <w:tc>
          <w:tcPr>
            <w:tcW w:w="1559" w:type="dxa"/>
          </w:tcPr>
          <w:p w:rsidR="00FE0D9E" w:rsidRPr="00B543A7" w:rsidRDefault="00FE0D9E" w:rsidP="00BA7AE7">
            <w:r w:rsidRPr="00E761F9">
              <w:t>Yes</w:t>
            </w:r>
          </w:p>
        </w:tc>
        <w:tc>
          <w:tcPr>
            <w:tcW w:w="1497" w:type="dxa"/>
          </w:tcPr>
          <w:p w:rsidR="00FE0D9E" w:rsidRPr="00E761F9" w:rsidRDefault="00FE0D9E" w:rsidP="00BA7AE7">
            <w:r>
              <w:t>Yes</w:t>
            </w:r>
          </w:p>
        </w:tc>
      </w:tr>
      <w:tr w:rsidR="00FE0D9E" w:rsidTr="00BA7AE7">
        <w:trPr>
          <w:cnfStyle w:val="000000010000" w:firstRow="0" w:lastRow="0" w:firstColumn="0" w:lastColumn="0" w:oddVBand="0" w:evenVBand="0" w:oddHBand="0" w:evenHBand="1" w:firstRowFirstColumn="0" w:firstRowLastColumn="0" w:lastRowFirstColumn="0" w:lastRowLastColumn="0"/>
          <w:trHeight w:val="1816"/>
        </w:trPr>
        <w:tc>
          <w:tcPr>
            <w:tcW w:w="2151" w:type="dxa"/>
          </w:tcPr>
          <w:p w:rsidR="00FE0D9E" w:rsidRPr="00B543A7" w:rsidRDefault="00FE0D9E" w:rsidP="00BA7AE7">
            <w:r w:rsidRPr="00E761F9">
              <w:t xml:space="preserve">It should be specified prior to the commencement of the </w:t>
            </w:r>
            <w:r>
              <w:t>access arrangement</w:t>
            </w:r>
            <w:r w:rsidRPr="00E761F9">
              <w:t xml:space="preserve"> period.</w:t>
            </w:r>
          </w:p>
        </w:tc>
        <w:tc>
          <w:tcPr>
            <w:tcW w:w="3486" w:type="dxa"/>
          </w:tcPr>
          <w:p w:rsidR="00FE0D9E" w:rsidRPr="00B543A7" w:rsidRDefault="00FE0D9E" w:rsidP="00BA7AE7">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559" w:type="dxa"/>
          </w:tcPr>
          <w:p w:rsidR="00FE0D9E" w:rsidRPr="00B543A7" w:rsidRDefault="00FE0D9E" w:rsidP="00BA7AE7">
            <w:r>
              <w:t>No</w:t>
            </w:r>
          </w:p>
        </w:tc>
        <w:tc>
          <w:tcPr>
            <w:tcW w:w="1497" w:type="dxa"/>
          </w:tcPr>
          <w:p w:rsidR="00FE0D9E" w:rsidRPr="00E761F9" w:rsidRDefault="00FE0D9E" w:rsidP="00BA7AE7">
            <w:r>
              <w:t>Yes</w:t>
            </w:r>
          </w:p>
        </w:tc>
      </w:tr>
      <w:tr w:rsidR="00FE0D9E" w:rsidTr="00BA7AE7">
        <w:trPr>
          <w:trHeight w:val="908"/>
        </w:trPr>
        <w:tc>
          <w:tcPr>
            <w:tcW w:w="2151" w:type="dxa"/>
          </w:tcPr>
          <w:p w:rsidR="00FE0D9E" w:rsidRPr="00B543A7" w:rsidRDefault="00FE0D9E" w:rsidP="00BA7AE7">
            <w:r w:rsidRPr="00E761F9">
              <w:t>At the time it is nominated, all dates in the averaging period must take place in the future.</w:t>
            </w:r>
          </w:p>
        </w:tc>
        <w:tc>
          <w:tcPr>
            <w:tcW w:w="3486" w:type="dxa"/>
          </w:tcPr>
          <w:p w:rsidR="00FE0D9E" w:rsidRPr="00B543A7" w:rsidRDefault="00FE0D9E" w:rsidP="00BA7AE7">
            <w:r w:rsidRPr="00E761F9">
              <w:t>If a regulated service provider can select an averaging period by looking at historical yields, it may introduce an upward bias.</w:t>
            </w:r>
            <w:r w:rsidRPr="00B543A7">
              <w:rPr>
                <w:rStyle w:val="FootnoteReference"/>
              </w:rPr>
              <w:footnoteReference w:id="560"/>
            </w:r>
          </w:p>
        </w:tc>
        <w:tc>
          <w:tcPr>
            <w:tcW w:w="1559" w:type="dxa"/>
          </w:tcPr>
          <w:p w:rsidR="00FE0D9E" w:rsidRPr="00B543A7" w:rsidRDefault="00FE0D9E" w:rsidP="00BA7AE7">
            <w:r w:rsidRPr="00E761F9">
              <w:t>Yes</w:t>
            </w:r>
          </w:p>
        </w:tc>
        <w:tc>
          <w:tcPr>
            <w:tcW w:w="1497" w:type="dxa"/>
          </w:tcPr>
          <w:p w:rsidR="00FE0D9E" w:rsidRPr="00E761F9" w:rsidRDefault="00FE0D9E" w:rsidP="00BA7AE7">
            <w:r>
              <w:t>Yes</w:t>
            </w:r>
          </w:p>
        </w:tc>
      </w:tr>
      <w:tr w:rsidR="00FE0D9E" w:rsidTr="00BA7AE7">
        <w:trPr>
          <w:cnfStyle w:val="000000010000" w:firstRow="0" w:lastRow="0" w:firstColumn="0" w:lastColumn="0" w:oddVBand="0" w:evenVBand="0" w:oddHBand="0" w:evenHBand="1" w:firstRowFirstColumn="0" w:firstRowLastColumn="0" w:lastRowFirstColumn="0" w:lastRowLastColumn="0"/>
          <w:trHeight w:val="1291"/>
        </w:trPr>
        <w:tc>
          <w:tcPr>
            <w:tcW w:w="2151" w:type="dxa"/>
          </w:tcPr>
          <w:p w:rsidR="00FE0D9E" w:rsidRPr="00B543A7" w:rsidRDefault="00FE0D9E" w:rsidP="00BA7AE7">
            <w:r w:rsidRPr="00E761F9">
              <w:t>An averaging period needs to be specified for each regulatory year within a</w:t>
            </w:r>
            <w:r>
              <w:t>n access arrangement</w:t>
            </w:r>
            <w:r w:rsidRPr="00E761F9">
              <w:t xml:space="preserve"> period.</w:t>
            </w:r>
          </w:p>
        </w:tc>
        <w:tc>
          <w:tcPr>
            <w:tcW w:w="3486" w:type="dxa"/>
          </w:tcPr>
          <w:p w:rsidR="00FE0D9E" w:rsidRPr="00B543A7" w:rsidRDefault="00FE0D9E" w:rsidP="00BA7AE7">
            <w:r w:rsidRPr="00E761F9">
              <w:t>This allows for the annual debt update. The annual debt update reduces the potential for a mismatch between the allowed and actual return on debt for the benchmark efficient entity.</w:t>
            </w:r>
          </w:p>
        </w:tc>
        <w:tc>
          <w:tcPr>
            <w:tcW w:w="1559" w:type="dxa"/>
          </w:tcPr>
          <w:p w:rsidR="00FE0D9E" w:rsidRPr="00B543A7" w:rsidRDefault="006C744F" w:rsidP="00BA7AE7">
            <w:r>
              <w:t>Not as yet</w:t>
            </w:r>
          </w:p>
        </w:tc>
        <w:tc>
          <w:tcPr>
            <w:tcW w:w="1497" w:type="dxa"/>
          </w:tcPr>
          <w:p w:rsidR="00FE0D9E" w:rsidRPr="00E761F9" w:rsidRDefault="006C744F" w:rsidP="00BA7AE7">
            <w:r>
              <w:t>Yes</w:t>
            </w:r>
          </w:p>
        </w:tc>
      </w:tr>
      <w:tr w:rsidR="00FE0D9E" w:rsidTr="00BA7AE7">
        <w:trPr>
          <w:trHeight w:val="1551"/>
        </w:trPr>
        <w:tc>
          <w:tcPr>
            <w:tcW w:w="2151" w:type="dxa"/>
          </w:tcPr>
          <w:p w:rsidR="00FE0D9E" w:rsidRPr="00B543A7" w:rsidRDefault="00FE0D9E" w:rsidP="00BA7AE7">
            <w:r w:rsidRPr="00E761F9">
              <w:t>The proposed averaging periods for different regulatory years are not required to be identical but should not overlap.</w:t>
            </w:r>
          </w:p>
        </w:tc>
        <w:tc>
          <w:tcPr>
            <w:tcW w:w="3486" w:type="dxa"/>
          </w:tcPr>
          <w:p w:rsidR="00FE0D9E" w:rsidRPr="00B543A7" w:rsidRDefault="00FE0D9E" w:rsidP="00BA7AE7">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559" w:type="dxa"/>
          </w:tcPr>
          <w:p w:rsidR="00FE0D9E" w:rsidRPr="00B543A7" w:rsidRDefault="00FE0D9E" w:rsidP="00BA7AE7">
            <w:r w:rsidRPr="00E761F9">
              <w:t>Yes</w:t>
            </w:r>
          </w:p>
        </w:tc>
        <w:tc>
          <w:tcPr>
            <w:tcW w:w="1497" w:type="dxa"/>
          </w:tcPr>
          <w:p w:rsidR="00FE0D9E" w:rsidRPr="00E761F9" w:rsidRDefault="006C744F" w:rsidP="00BA7AE7">
            <w:r>
              <w:t>Yes</w:t>
            </w:r>
          </w:p>
        </w:tc>
      </w:tr>
      <w:tr w:rsidR="00FE0D9E" w:rsidTr="00BA7AE7">
        <w:trPr>
          <w:cnfStyle w:val="000000010000" w:firstRow="0" w:lastRow="0" w:firstColumn="0" w:lastColumn="0" w:oddVBand="0" w:evenVBand="0" w:oddHBand="0" w:evenHBand="1" w:firstRowFirstColumn="0" w:firstRowLastColumn="0" w:lastRowFirstColumn="0" w:lastRowLastColumn="0"/>
          <w:trHeight w:val="1008"/>
        </w:trPr>
        <w:tc>
          <w:tcPr>
            <w:tcW w:w="2151" w:type="dxa"/>
          </w:tcPr>
          <w:p w:rsidR="00FE0D9E" w:rsidRPr="00B543A7" w:rsidRDefault="00FE0D9E" w:rsidP="00BA7AE7">
            <w:r w:rsidRPr="00E761F9">
              <w:t>The nominal return on debt is to be updated annually using the agreed averaging period for the relevant regulatory year.</w:t>
            </w:r>
          </w:p>
        </w:tc>
        <w:tc>
          <w:tcPr>
            <w:tcW w:w="3486" w:type="dxa"/>
          </w:tcPr>
          <w:p w:rsidR="00FE0D9E" w:rsidRPr="00B543A7" w:rsidRDefault="00FE0D9E" w:rsidP="00BA7AE7">
            <w:r w:rsidRPr="00E761F9">
              <w:t>This prevents a service provider from introducing bias by only updating annually using the agreed averaging period when it is advantageous for it to do so.</w:t>
            </w:r>
          </w:p>
        </w:tc>
        <w:tc>
          <w:tcPr>
            <w:tcW w:w="1559" w:type="dxa"/>
          </w:tcPr>
          <w:p w:rsidR="00FE0D9E" w:rsidRPr="00B543A7" w:rsidRDefault="006C744F" w:rsidP="00BA7AE7">
            <w:r>
              <w:t>Not as yet</w:t>
            </w:r>
          </w:p>
        </w:tc>
        <w:tc>
          <w:tcPr>
            <w:tcW w:w="1497" w:type="dxa"/>
          </w:tcPr>
          <w:p w:rsidR="00FE0D9E" w:rsidRPr="00E761F9" w:rsidRDefault="006C744F" w:rsidP="00BA7AE7">
            <w:r>
              <w:t>Yes</w:t>
            </w:r>
          </w:p>
        </w:tc>
      </w:tr>
      <w:tr w:rsidR="00FE0D9E" w:rsidTr="00BA7AE7">
        <w:trPr>
          <w:trHeight w:val="1294"/>
        </w:trPr>
        <w:tc>
          <w:tcPr>
            <w:tcW w:w="2151" w:type="dxa"/>
          </w:tcPr>
          <w:p w:rsidR="00FE0D9E" w:rsidRPr="00B543A7" w:rsidRDefault="00FE0D9E" w:rsidP="00BA7AE7">
            <w:r w:rsidRPr="00E761F9">
              <w:t>Each agreed averaging period is to be confidential.</w:t>
            </w:r>
          </w:p>
        </w:tc>
        <w:tc>
          <w:tcPr>
            <w:tcW w:w="3486" w:type="dxa"/>
          </w:tcPr>
          <w:p w:rsidR="00FE0D9E" w:rsidRPr="00B543A7" w:rsidRDefault="00FE0D9E" w:rsidP="00BA7AE7">
            <w:r w:rsidRPr="00E761F9">
              <w:t>This facilitates service providers organising their financing arrangements without market participants being aware of the averaging periods. Accordingly, in practice we keep averaging periods confidential until they expire.</w:t>
            </w:r>
          </w:p>
        </w:tc>
        <w:tc>
          <w:tcPr>
            <w:tcW w:w="1559" w:type="dxa"/>
          </w:tcPr>
          <w:p w:rsidR="00FE0D9E" w:rsidRPr="00B543A7" w:rsidRDefault="00FE0D9E" w:rsidP="00BA7AE7">
            <w:r w:rsidRPr="00E761F9">
              <w:t>Yes</w:t>
            </w:r>
          </w:p>
        </w:tc>
        <w:tc>
          <w:tcPr>
            <w:tcW w:w="1497" w:type="dxa"/>
          </w:tcPr>
          <w:p w:rsidR="00FE0D9E" w:rsidRPr="00E761F9" w:rsidRDefault="006C744F" w:rsidP="00BA7AE7">
            <w:r>
              <w:t>Yes</w:t>
            </w:r>
          </w:p>
        </w:tc>
      </w:tr>
    </w:tbl>
    <w:p w:rsidR="006C744F" w:rsidRDefault="00B543A7" w:rsidP="00B543A7">
      <w:pPr>
        <w:pStyle w:val="AERtablesource"/>
      </w:pPr>
      <w:r w:rsidRPr="00E761F9">
        <w:t xml:space="preserve">Source: </w:t>
      </w:r>
      <w:r w:rsidRPr="00E761F9">
        <w:tab/>
        <w:t xml:space="preserve">AER, </w:t>
      </w:r>
      <w:r w:rsidRPr="00E761F9">
        <w:rPr>
          <w:rStyle w:val="AERtextitalic"/>
        </w:rPr>
        <w:t>Rate of return guideline</w:t>
      </w:r>
      <w:r w:rsidRPr="00E761F9">
        <w:t>, December 2013, pp. 21-22</w:t>
      </w:r>
      <w:r w:rsidR="00D7108D">
        <w:t>;</w:t>
      </w:r>
      <w:r w:rsidR="00D7108D" w:rsidRPr="00D7108D">
        <w:t xml:space="preserve"> </w:t>
      </w:r>
      <w:r w:rsidR="00D7108D" w:rsidRPr="00165880">
        <w:t xml:space="preserve">ActewAGL, </w:t>
      </w:r>
      <w:r w:rsidR="00D7108D" w:rsidRPr="00274274">
        <w:rPr>
          <w:rStyle w:val="Emphasis"/>
        </w:rPr>
        <w:t>Revised</w:t>
      </w:r>
      <w:r w:rsidR="00D7108D">
        <w:t xml:space="preserve"> a</w:t>
      </w:r>
      <w:r w:rsidR="00D7108D" w:rsidRPr="00165880">
        <w:rPr>
          <w:rStyle w:val="AERtextitalic"/>
        </w:rPr>
        <w:t>ccess</w:t>
      </w:r>
      <w:r w:rsidR="00D7108D">
        <w:rPr>
          <w:rStyle w:val="AERtextitalic"/>
        </w:rPr>
        <w:t xml:space="preserve"> arrangement proposal—Appendix 5.02</w:t>
      </w:r>
      <w:r w:rsidR="00D7108D" w:rsidRPr="00165880">
        <w:rPr>
          <w:rStyle w:val="AERtextitalic"/>
        </w:rPr>
        <w:t xml:space="preserve">: </w:t>
      </w:r>
      <w:r w:rsidR="00D7108D">
        <w:rPr>
          <w:rStyle w:val="AERtextitalic"/>
        </w:rPr>
        <w:t>Rate of return—alternative proposal for return on debt averaging periods</w:t>
      </w:r>
      <w:r w:rsidR="00D7108D" w:rsidRPr="00165880">
        <w:rPr>
          <w:rStyle w:val="AERtextitalic"/>
        </w:rPr>
        <w:t xml:space="preserve"> (</w:t>
      </w:r>
      <w:r w:rsidR="00D7108D">
        <w:rPr>
          <w:rStyle w:val="AERtextitalic"/>
        </w:rPr>
        <w:t>C</w:t>
      </w:r>
      <w:r w:rsidR="00D7108D" w:rsidRPr="00165880">
        <w:rPr>
          <w:rStyle w:val="AERtextitalic"/>
        </w:rPr>
        <w:t>onfidential)</w:t>
      </w:r>
      <w:r w:rsidR="00D7108D">
        <w:t>, January 2016, p. 2</w:t>
      </w:r>
      <w:r w:rsidRPr="00E761F9">
        <w:t xml:space="preserve">; </w:t>
      </w:r>
      <w:r w:rsidR="006C744F">
        <w:t xml:space="preserve">ActewAGL, </w:t>
      </w:r>
      <w:r w:rsidR="006C744F" w:rsidRPr="00BF2C25">
        <w:rPr>
          <w:rStyle w:val="AERtextitalic"/>
        </w:rPr>
        <w:t>Revised access arrangement proposal—</w:t>
      </w:r>
      <w:r w:rsidR="006C744F">
        <w:rPr>
          <w:rStyle w:val="AERtextitalic"/>
        </w:rPr>
        <w:t>Appendix 5.01: Detailed response to rate of return, gamma and inflation</w:t>
      </w:r>
      <w:r w:rsidR="006C744F">
        <w:t xml:space="preserve">, January 2016, pp. 46–47; </w:t>
      </w:r>
      <w:r w:rsidRPr="00E761F9">
        <w:t>AER analysis</w:t>
      </w:r>
      <w:r w:rsidR="006C744F">
        <w:t>.</w:t>
      </w:r>
    </w:p>
    <w:p w:rsidR="00B543A7" w:rsidRPr="00E761F9" w:rsidRDefault="006C744F" w:rsidP="00B543A7">
      <w:pPr>
        <w:pStyle w:val="AERtablesource"/>
      </w:pPr>
      <w:r>
        <w:t>*</w:t>
      </w:r>
      <w:r>
        <w:tab/>
        <w:t>This assessment is for ActewAGL's proposed averaging period for 2016–17 and its amended alternative averaging periods for 2017–18 to 2020–21 (as set out in its revised proposal)</w:t>
      </w:r>
      <w:r w:rsidR="00B543A7" w:rsidRPr="00E761F9">
        <w:t>.</w:t>
      </w:r>
    </w:p>
    <w:p w:rsidR="00B543A7" w:rsidRPr="00E761F9" w:rsidRDefault="00B543A7" w:rsidP="00B543A7">
      <w:r w:rsidRPr="00E761F9">
        <w:t xml:space="preserve">In assessing the service providers' (including </w:t>
      </w:r>
      <w:r w:rsidR="00762C3B">
        <w:t>ActewAGL's</w:t>
      </w:r>
      <w:r w:rsidRPr="00E761F9">
        <w:t>) debt averaging period proposals, we have considered the timeframe within which each period should occur. In the Guideline, we proposed that service providers could nominate averaging periods of 10 or more consecutive business days up to a maximum of 12 months. However, the timing of the annual price/tariff variation process creates practical difficulties in implementing a 12 month averaging period that falls within a regulatory year. Therefore, we consider an averaging period for estimating the return on debt for regulatory year t should fall within the following timeframe:</w:t>
      </w:r>
      <w:r w:rsidRPr="00E761F9">
        <w:rPr>
          <w:rStyle w:val="FootnoteReference"/>
        </w:rPr>
        <w:footnoteReference w:id="561"/>
      </w:r>
    </w:p>
    <w:p w:rsidR="00B543A7" w:rsidRPr="00B543A7" w:rsidRDefault="00B543A7" w:rsidP="00B543A7">
      <w:pPr>
        <w:pStyle w:val="AERbulletlistfirststyle"/>
      </w:pPr>
      <w:r w:rsidRPr="00E761F9">
        <w:t>end no later than 25 business days before a service provider submits its annual pricing proposal or reference tariff variation proposal for year t to the AER</w:t>
      </w:r>
      <w:r w:rsidRPr="00B543A7">
        <w:rPr>
          <w:rStyle w:val="FootnoteReference"/>
        </w:rPr>
        <w:footnoteReference w:id="562"/>
      </w:r>
    </w:p>
    <w:p w:rsidR="00B543A7" w:rsidRPr="00B543A7" w:rsidRDefault="00B543A7" w:rsidP="00B543A7">
      <w:pPr>
        <w:pStyle w:val="AERbulletlistfirststyle"/>
      </w:pPr>
      <w:r w:rsidRPr="00E761F9">
        <w:t>commence no earlier than 12 months plus 25 business days before a service provider submits its annual pricing proposal or reference tariff variation proposal for year t to the AER.</w:t>
      </w:r>
    </w:p>
    <w:p w:rsidR="00B543A7" w:rsidRPr="00E761F9" w:rsidRDefault="006C744F" w:rsidP="00B543A7">
      <w:r>
        <w:t xml:space="preserve">We consider ActewAGL's amended alternative averaging periods for 2017–18 to 2020–21 (as set out in its revised proposal) can be practically applied because they fall within this timeframe. </w:t>
      </w:r>
      <w:r w:rsidR="00B543A7" w:rsidRPr="00E761F9">
        <w:t xml:space="preserve">We discuss this in </w:t>
      </w:r>
      <w:r>
        <w:t xml:space="preserve">more </w:t>
      </w:r>
      <w:r w:rsidR="00B543A7" w:rsidRPr="00E761F9">
        <w:t>detail in the 'Annual debt update process' section.</w:t>
      </w:r>
    </w:p>
    <w:p w:rsidR="00B543A7" w:rsidRPr="00E761F9" w:rsidRDefault="00B543A7" w:rsidP="00B543A7">
      <w:pPr>
        <w:pStyle w:val="HeadingItalic"/>
      </w:pPr>
      <w:r w:rsidRPr="00E761F9">
        <w:t>Response to key issues raised by stakeholders</w:t>
      </w:r>
    </w:p>
    <w:p w:rsidR="006C744F" w:rsidRPr="00E761F9" w:rsidRDefault="006C744F" w:rsidP="006C744F">
      <w:r w:rsidRPr="00E761F9">
        <w:t>In our current regulatory processes, different service providers have proposed different methods for setting debt averaging periods during the regulatory control or access arrangement period. Many service providers have proposed more complicated approaches to nominating debt averaging periods in order to achieve greater flexibility. This is common to other aspects of the return on debt, such as the choice of third party data series. For example:</w:t>
      </w:r>
    </w:p>
    <w:p w:rsidR="006C744F" w:rsidRPr="006C744F" w:rsidRDefault="006C744F" w:rsidP="006C744F">
      <w:pPr>
        <w:pStyle w:val="AERbulletlistfirststyle"/>
      </w:pPr>
      <w:r w:rsidRPr="00E761F9">
        <w:t>Some service providers proposed to depart from the Guideline in relation to nominating all averaging periods before the start of the</w:t>
      </w:r>
      <w:r w:rsidRPr="006C744F">
        <w:t xml:space="preserve"> regulatory control or access arrangement period. Instead, these service providers proposed to nominate their averaging periods in a separate process each year. Within this, the service providers proposed different annual processes to nominate their averaging periods each year.</w:t>
      </w:r>
    </w:p>
    <w:p w:rsidR="006C744F" w:rsidRPr="00E761F9" w:rsidRDefault="006C744F" w:rsidP="006C744F">
      <w:pPr>
        <w:pStyle w:val="AERbulletlistfirststyle"/>
      </w:pPr>
      <w:r w:rsidRPr="00E761F9">
        <w:t xml:space="preserve">AGN proposed separate averaging periods for the base rate and DRP components of the return on debt. </w:t>
      </w:r>
    </w:p>
    <w:p w:rsidR="006C744F" w:rsidRPr="00E761F9" w:rsidRDefault="006C744F" w:rsidP="006C744F">
      <w:pPr>
        <w:pStyle w:val="AERbulletlistfirststyle"/>
      </w:pPr>
      <w:r w:rsidRPr="00E761F9">
        <w:t>AusNet nominated all averaging periods in its proposal, but departed from the Guideline in relation to nominating averaging periods that are as close as practically possible to the commencement of each regulatory year in its regulatory control period. Other service providers have implicitly departed from this Guideline condition by proposing a timeframe within which they can select an averaging period each year.</w:t>
      </w:r>
    </w:p>
    <w:p w:rsidR="006C744F" w:rsidRPr="00E761F9" w:rsidRDefault="006C744F" w:rsidP="006C744F">
      <w:r>
        <w:fldChar w:fldCharType="begin"/>
      </w:r>
      <w:r>
        <w:instrText xml:space="preserve"> REF _Ref451241863 \h </w:instrText>
      </w:r>
      <w:r>
        <w:fldChar w:fldCharType="separate"/>
      </w:r>
      <w:r w:rsidR="001A023B">
        <w:t xml:space="preserve">Table </w:t>
      </w:r>
      <w:r w:rsidR="001A023B">
        <w:rPr>
          <w:noProof/>
        </w:rPr>
        <w:t>3</w:t>
      </w:r>
      <w:r w:rsidR="001A023B">
        <w:noBreakHyphen/>
      </w:r>
      <w:r w:rsidR="001A023B">
        <w:rPr>
          <w:noProof/>
        </w:rPr>
        <w:t>20</w:t>
      </w:r>
      <w:r>
        <w:fldChar w:fldCharType="end"/>
      </w:r>
      <w:r w:rsidRPr="00E761F9">
        <w:t xml:space="preserve"> summarises the different approaches to the nomination of debt averaging periods proposed by different service providers. </w:t>
      </w:r>
    </w:p>
    <w:p w:rsidR="006C744F" w:rsidRDefault="006C744F" w:rsidP="006C744F">
      <w:pPr>
        <w:pStyle w:val="Caption"/>
      </w:pPr>
      <w:bookmarkStart w:id="89" w:name="_Ref451241863"/>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20</w:t>
      </w:r>
      <w:r w:rsidR="00120312">
        <w:rPr>
          <w:noProof/>
        </w:rPr>
        <w:fldChar w:fldCharType="end"/>
      </w:r>
      <w:bookmarkEnd w:id="89"/>
      <w:r>
        <w:tab/>
      </w:r>
      <w:r w:rsidRPr="00E761F9">
        <w:t>Summary of service providers' averaging period proposals</w:t>
      </w:r>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6C744F" w:rsidTr="00BB7A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8" w:type="dxa"/>
          </w:tcPr>
          <w:p w:rsidR="006C744F" w:rsidRPr="006C744F" w:rsidRDefault="006C744F" w:rsidP="006C744F">
            <w:r w:rsidRPr="00E761F9">
              <w:t>Service Provider</w:t>
            </w:r>
          </w:p>
        </w:tc>
        <w:tc>
          <w:tcPr>
            <w:tcW w:w="1449" w:type="dxa"/>
          </w:tcPr>
          <w:p w:rsidR="006C744F" w:rsidRPr="006C744F" w:rsidRDefault="006C744F" w:rsidP="006C744F">
            <w:pPr>
              <w:cnfStyle w:val="100000000000" w:firstRow="1" w:lastRow="0" w:firstColumn="0" w:lastColumn="0" w:oddVBand="0" w:evenVBand="0" w:oddHBand="0" w:evenHBand="0" w:firstRowFirstColumn="0" w:firstRowLastColumn="0" w:lastRowFirstColumn="0" w:lastRowLastColumn="0"/>
            </w:pPr>
            <w:r w:rsidRPr="00E761F9">
              <w:t>Number of averaging periods nominated in revised proposal</w:t>
            </w:r>
          </w:p>
        </w:tc>
        <w:tc>
          <w:tcPr>
            <w:tcW w:w="1449" w:type="dxa"/>
          </w:tcPr>
          <w:p w:rsidR="006C744F" w:rsidRPr="006C744F" w:rsidRDefault="006C744F" w:rsidP="006C744F">
            <w:pPr>
              <w:cnfStyle w:val="100000000000" w:firstRow="1" w:lastRow="0" w:firstColumn="0" w:lastColumn="0" w:oddVBand="0" w:evenVBand="0" w:oddHBand="0" w:evenHBand="0" w:firstRowFirstColumn="0" w:firstRowLastColumn="0" w:lastRowFirstColumn="0" w:lastRowLastColumn="0"/>
            </w:pPr>
            <w:r w:rsidRPr="00E761F9">
              <w:t>Annual process for nominating averaging periods</w:t>
            </w:r>
          </w:p>
        </w:tc>
        <w:tc>
          <w:tcPr>
            <w:tcW w:w="1449" w:type="dxa"/>
          </w:tcPr>
          <w:p w:rsidR="006C744F" w:rsidRPr="006C744F" w:rsidRDefault="006C744F" w:rsidP="006C744F">
            <w:pPr>
              <w:cnfStyle w:val="100000000000" w:firstRow="1" w:lastRow="0" w:firstColumn="0" w:lastColumn="0" w:oddVBand="0" w:evenVBand="0" w:oddHBand="0" w:evenHBand="0" w:firstRowFirstColumn="0" w:firstRowLastColumn="0" w:lastRowFirstColumn="0" w:lastRowLastColumn="0"/>
            </w:pPr>
            <w:r w:rsidRPr="00E761F9">
              <w:t>Lag of one year in the annual update process</w:t>
            </w:r>
          </w:p>
        </w:tc>
        <w:tc>
          <w:tcPr>
            <w:tcW w:w="1449" w:type="dxa"/>
          </w:tcPr>
          <w:p w:rsidR="006C744F" w:rsidRPr="006C744F" w:rsidRDefault="006C744F" w:rsidP="006C744F">
            <w:pPr>
              <w:cnfStyle w:val="100000000000" w:firstRow="1" w:lastRow="0" w:firstColumn="0" w:lastColumn="0" w:oddVBand="0" w:evenVBand="0" w:oddHBand="0" w:evenHBand="0" w:firstRowFirstColumn="0" w:firstRowLastColumn="0" w:lastRowFirstColumn="0" w:lastRowLastColumn="0"/>
            </w:pPr>
            <w:r w:rsidRPr="00E761F9">
              <w:t>Separate averaging periods for DRP and base</w:t>
            </w:r>
            <w:r w:rsidRPr="006C744F">
              <w:t xml:space="preserve"> rate</w:t>
            </w:r>
          </w:p>
        </w:tc>
        <w:tc>
          <w:tcPr>
            <w:tcW w:w="1449" w:type="dxa"/>
          </w:tcPr>
          <w:p w:rsidR="006C744F" w:rsidRPr="006C744F" w:rsidRDefault="006C744F" w:rsidP="006C744F">
            <w:pPr>
              <w:cnfStyle w:val="100000000000" w:firstRow="1" w:lastRow="0" w:firstColumn="0" w:lastColumn="0" w:oddVBand="0" w:evenVBand="0" w:oddHBand="0" w:evenHBand="0" w:firstRowFirstColumn="0" w:firstRowLastColumn="0" w:lastRowFirstColumn="0" w:lastRowLastColumn="0"/>
            </w:pPr>
            <w:r w:rsidRPr="00E761F9">
              <w:t xml:space="preserve">Not as close as practically possible to start of each regulatory year </w:t>
            </w:r>
          </w:p>
        </w:tc>
      </w:tr>
      <w:tr w:rsidR="006C744F" w:rsidTr="004C5238">
        <w:tc>
          <w:tcPr>
            <w:cnfStyle w:val="001000000000" w:firstRow="0" w:lastRow="0" w:firstColumn="1" w:lastColumn="0" w:oddVBand="0" w:evenVBand="0" w:oddHBand="0" w:evenHBand="0" w:firstRowFirstColumn="0" w:firstRowLastColumn="0" w:lastRowFirstColumn="0" w:lastRowLastColumn="0"/>
            <w:tcW w:w="1448" w:type="dxa"/>
          </w:tcPr>
          <w:p w:rsidR="006C744F" w:rsidRPr="006C744F" w:rsidRDefault="006C744F" w:rsidP="006C744F">
            <w:r w:rsidRPr="00E761F9">
              <w:t>AusNet Services</w:t>
            </w:r>
          </w:p>
        </w:tc>
        <w:tc>
          <w:tcPr>
            <w:tcW w:w="1449" w:type="dxa"/>
          </w:tcPr>
          <w:p w:rsidR="006C744F" w:rsidRPr="006C744F" w:rsidRDefault="006C744F" w:rsidP="006C744F">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6C744F" w:rsidRPr="00E761F9" w:rsidRDefault="006C744F" w:rsidP="006C744F">
            <w:pPr>
              <w:cnfStyle w:val="000000000000" w:firstRow="0" w:lastRow="0" w:firstColumn="0" w:lastColumn="0" w:oddVBand="0" w:evenVBand="0" w:oddHBand="0" w:evenHBand="0" w:firstRowFirstColumn="0" w:firstRowLastColumn="0" w:lastRowFirstColumn="0" w:lastRowLastColumn="0"/>
            </w:pPr>
          </w:p>
        </w:tc>
        <w:tc>
          <w:tcPr>
            <w:tcW w:w="1449" w:type="dxa"/>
          </w:tcPr>
          <w:p w:rsidR="006C744F" w:rsidRPr="00E761F9" w:rsidRDefault="006C744F" w:rsidP="006C744F">
            <w:pPr>
              <w:cnfStyle w:val="000000000000" w:firstRow="0" w:lastRow="0" w:firstColumn="0" w:lastColumn="0" w:oddVBand="0" w:evenVBand="0" w:oddHBand="0" w:evenHBand="0" w:firstRowFirstColumn="0" w:firstRowLastColumn="0" w:lastRowFirstColumn="0" w:lastRowLastColumn="0"/>
            </w:pPr>
          </w:p>
        </w:tc>
        <w:tc>
          <w:tcPr>
            <w:tcW w:w="1449" w:type="dxa"/>
          </w:tcPr>
          <w:p w:rsidR="006C744F" w:rsidRPr="00E761F9" w:rsidRDefault="006C744F" w:rsidP="006C744F">
            <w:pPr>
              <w:cnfStyle w:val="000000000000" w:firstRow="0" w:lastRow="0" w:firstColumn="0" w:lastColumn="0" w:oddVBand="0" w:evenVBand="0" w:oddHBand="0" w:evenHBand="0" w:firstRowFirstColumn="0" w:firstRowLastColumn="0" w:lastRowFirstColumn="0" w:lastRowLastColumn="0"/>
            </w:pPr>
          </w:p>
        </w:tc>
        <w:tc>
          <w:tcPr>
            <w:tcW w:w="1449" w:type="dxa"/>
          </w:tcPr>
          <w:p w:rsidR="006C744F" w:rsidRPr="006C744F" w:rsidRDefault="006C744F" w:rsidP="006C744F">
            <w:pPr>
              <w:cnfStyle w:val="000000000000" w:firstRow="0" w:lastRow="0" w:firstColumn="0" w:lastColumn="0" w:oddVBand="0" w:evenVBand="0" w:oddHBand="0" w:evenHBand="0" w:firstRowFirstColumn="0" w:firstRowLastColumn="0" w:lastRowFirstColumn="0" w:lastRowLastColumn="0"/>
            </w:pPr>
            <w:r w:rsidRPr="00E761F9">
              <w:t>X</w:t>
            </w:r>
          </w:p>
        </w:tc>
      </w:tr>
      <w:tr w:rsidR="006C744F" w:rsidTr="004C5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6C744F" w:rsidRPr="006C744F" w:rsidRDefault="006C744F" w:rsidP="006C744F">
            <w:r w:rsidRPr="00E761F9">
              <w:t>United Energy</w:t>
            </w:r>
          </w:p>
        </w:tc>
        <w:tc>
          <w:tcPr>
            <w:tcW w:w="1449" w:type="dxa"/>
          </w:tcPr>
          <w:p w:rsidR="006C744F" w:rsidRPr="006C744F" w:rsidRDefault="006C744F" w:rsidP="006C744F">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6C744F" w:rsidRPr="00E761F9" w:rsidRDefault="006C744F" w:rsidP="006C744F">
            <w:pPr>
              <w:cnfStyle w:val="000000010000" w:firstRow="0" w:lastRow="0" w:firstColumn="0" w:lastColumn="0" w:oddVBand="0" w:evenVBand="0" w:oddHBand="0" w:evenHBand="1" w:firstRowFirstColumn="0" w:firstRowLastColumn="0" w:lastRowFirstColumn="0" w:lastRowLastColumn="0"/>
            </w:pPr>
          </w:p>
        </w:tc>
        <w:tc>
          <w:tcPr>
            <w:tcW w:w="1449" w:type="dxa"/>
          </w:tcPr>
          <w:p w:rsidR="006C744F" w:rsidRPr="00E761F9" w:rsidRDefault="006C744F" w:rsidP="006C744F">
            <w:pPr>
              <w:cnfStyle w:val="000000010000" w:firstRow="0" w:lastRow="0" w:firstColumn="0" w:lastColumn="0" w:oddVBand="0" w:evenVBand="0" w:oddHBand="0" w:evenHBand="1" w:firstRowFirstColumn="0" w:firstRowLastColumn="0" w:lastRowFirstColumn="0" w:lastRowLastColumn="0"/>
            </w:pPr>
          </w:p>
        </w:tc>
        <w:tc>
          <w:tcPr>
            <w:tcW w:w="1449" w:type="dxa"/>
          </w:tcPr>
          <w:p w:rsidR="006C744F" w:rsidRPr="00E761F9" w:rsidRDefault="006C744F" w:rsidP="006C744F">
            <w:pPr>
              <w:cnfStyle w:val="000000010000" w:firstRow="0" w:lastRow="0" w:firstColumn="0" w:lastColumn="0" w:oddVBand="0" w:evenVBand="0" w:oddHBand="0" w:evenHBand="1" w:firstRowFirstColumn="0" w:firstRowLastColumn="0" w:lastRowFirstColumn="0" w:lastRowLastColumn="0"/>
            </w:pPr>
          </w:p>
        </w:tc>
        <w:tc>
          <w:tcPr>
            <w:tcW w:w="1449" w:type="dxa"/>
          </w:tcPr>
          <w:p w:rsidR="006C744F" w:rsidRPr="00E761F9" w:rsidRDefault="006C744F" w:rsidP="006C744F">
            <w:pPr>
              <w:cnfStyle w:val="000000010000" w:firstRow="0" w:lastRow="0" w:firstColumn="0" w:lastColumn="0" w:oddVBand="0" w:evenVBand="0" w:oddHBand="0" w:evenHBand="1" w:firstRowFirstColumn="0" w:firstRowLastColumn="0" w:lastRowFirstColumn="0" w:lastRowLastColumn="0"/>
            </w:pPr>
          </w:p>
        </w:tc>
      </w:tr>
      <w:tr w:rsidR="006C744F" w:rsidTr="004C5238">
        <w:tc>
          <w:tcPr>
            <w:cnfStyle w:val="001000000000" w:firstRow="0" w:lastRow="0" w:firstColumn="1" w:lastColumn="0" w:oddVBand="0" w:evenVBand="0" w:oddHBand="0" w:evenHBand="0" w:firstRowFirstColumn="0" w:firstRowLastColumn="0" w:lastRowFirstColumn="0" w:lastRowLastColumn="0"/>
            <w:tcW w:w="1448" w:type="dxa"/>
          </w:tcPr>
          <w:p w:rsidR="006C744F" w:rsidRPr="006C744F" w:rsidRDefault="006C744F" w:rsidP="006C744F">
            <w:r w:rsidRPr="00E761F9">
              <w:t>JEN</w:t>
            </w:r>
          </w:p>
        </w:tc>
        <w:tc>
          <w:tcPr>
            <w:tcW w:w="1449" w:type="dxa"/>
          </w:tcPr>
          <w:p w:rsidR="006C744F" w:rsidRPr="006C744F" w:rsidRDefault="006C744F" w:rsidP="006C744F">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6C744F" w:rsidRPr="006C744F" w:rsidRDefault="006C744F" w:rsidP="006C744F">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6C744F" w:rsidRPr="006C744F" w:rsidRDefault="006C744F" w:rsidP="006C744F">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6C744F" w:rsidRPr="00E761F9" w:rsidRDefault="006C744F" w:rsidP="006C744F">
            <w:pPr>
              <w:cnfStyle w:val="000000000000" w:firstRow="0" w:lastRow="0" w:firstColumn="0" w:lastColumn="0" w:oddVBand="0" w:evenVBand="0" w:oddHBand="0" w:evenHBand="0" w:firstRowFirstColumn="0" w:firstRowLastColumn="0" w:lastRowFirstColumn="0" w:lastRowLastColumn="0"/>
            </w:pPr>
          </w:p>
        </w:tc>
        <w:tc>
          <w:tcPr>
            <w:tcW w:w="1449" w:type="dxa"/>
          </w:tcPr>
          <w:p w:rsidR="006C744F" w:rsidRPr="006C744F" w:rsidRDefault="006C744F" w:rsidP="006C744F">
            <w:pPr>
              <w:cnfStyle w:val="000000000000" w:firstRow="0" w:lastRow="0" w:firstColumn="0" w:lastColumn="0" w:oddVBand="0" w:evenVBand="0" w:oddHBand="0" w:evenHBand="0" w:firstRowFirstColumn="0" w:firstRowLastColumn="0" w:lastRowFirstColumn="0" w:lastRowLastColumn="0"/>
            </w:pPr>
            <w:r w:rsidRPr="00E761F9">
              <w:t>X</w:t>
            </w:r>
          </w:p>
        </w:tc>
      </w:tr>
      <w:tr w:rsidR="006C744F" w:rsidTr="004C5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6C744F" w:rsidRPr="006C744F" w:rsidRDefault="006C744F" w:rsidP="006C744F">
            <w:r w:rsidRPr="00E761F9">
              <w:t>CitiPower / Powercor</w:t>
            </w:r>
          </w:p>
        </w:tc>
        <w:tc>
          <w:tcPr>
            <w:tcW w:w="1449" w:type="dxa"/>
          </w:tcPr>
          <w:p w:rsidR="006C744F" w:rsidRPr="006C744F" w:rsidRDefault="006C744F" w:rsidP="006C744F">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6C744F" w:rsidRPr="00E761F9" w:rsidRDefault="006C744F" w:rsidP="006C744F">
            <w:pPr>
              <w:cnfStyle w:val="000000010000" w:firstRow="0" w:lastRow="0" w:firstColumn="0" w:lastColumn="0" w:oddVBand="0" w:evenVBand="0" w:oddHBand="0" w:evenHBand="1" w:firstRowFirstColumn="0" w:firstRowLastColumn="0" w:lastRowFirstColumn="0" w:lastRowLastColumn="0"/>
            </w:pPr>
          </w:p>
        </w:tc>
        <w:tc>
          <w:tcPr>
            <w:tcW w:w="1449" w:type="dxa"/>
          </w:tcPr>
          <w:p w:rsidR="006C744F" w:rsidRPr="00E761F9" w:rsidRDefault="006C744F" w:rsidP="006C744F">
            <w:pPr>
              <w:cnfStyle w:val="000000010000" w:firstRow="0" w:lastRow="0" w:firstColumn="0" w:lastColumn="0" w:oddVBand="0" w:evenVBand="0" w:oddHBand="0" w:evenHBand="1" w:firstRowFirstColumn="0" w:firstRowLastColumn="0" w:lastRowFirstColumn="0" w:lastRowLastColumn="0"/>
            </w:pPr>
          </w:p>
        </w:tc>
        <w:tc>
          <w:tcPr>
            <w:tcW w:w="1449" w:type="dxa"/>
          </w:tcPr>
          <w:p w:rsidR="006C744F" w:rsidRPr="00E761F9" w:rsidRDefault="006C744F" w:rsidP="006C744F">
            <w:pPr>
              <w:cnfStyle w:val="000000010000" w:firstRow="0" w:lastRow="0" w:firstColumn="0" w:lastColumn="0" w:oddVBand="0" w:evenVBand="0" w:oddHBand="0" w:evenHBand="1" w:firstRowFirstColumn="0" w:firstRowLastColumn="0" w:lastRowFirstColumn="0" w:lastRowLastColumn="0"/>
            </w:pPr>
          </w:p>
        </w:tc>
        <w:tc>
          <w:tcPr>
            <w:tcW w:w="1449" w:type="dxa"/>
          </w:tcPr>
          <w:p w:rsidR="006C744F" w:rsidRPr="00E761F9" w:rsidRDefault="006C744F" w:rsidP="006C744F">
            <w:pPr>
              <w:cnfStyle w:val="000000010000" w:firstRow="0" w:lastRow="0" w:firstColumn="0" w:lastColumn="0" w:oddVBand="0" w:evenVBand="0" w:oddHBand="0" w:evenHBand="1" w:firstRowFirstColumn="0" w:firstRowLastColumn="0" w:lastRowFirstColumn="0" w:lastRowLastColumn="0"/>
            </w:pPr>
          </w:p>
        </w:tc>
      </w:tr>
      <w:tr w:rsidR="006C744F" w:rsidTr="004C5238">
        <w:tc>
          <w:tcPr>
            <w:cnfStyle w:val="001000000000" w:firstRow="0" w:lastRow="0" w:firstColumn="1" w:lastColumn="0" w:oddVBand="0" w:evenVBand="0" w:oddHBand="0" w:evenHBand="0" w:firstRowFirstColumn="0" w:firstRowLastColumn="0" w:lastRowFirstColumn="0" w:lastRowLastColumn="0"/>
            <w:tcW w:w="1448" w:type="dxa"/>
          </w:tcPr>
          <w:p w:rsidR="006C744F" w:rsidRPr="006C744F" w:rsidRDefault="006C744F" w:rsidP="006C744F">
            <w:r w:rsidRPr="00E761F9">
              <w:t>ActewAGL</w:t>
            </w:r>
          </w:p>
        </w:tc>
        <w:tc>
          <w:tcPr>
            <w:tcW w:w="1449" w:type="dxa"/>
          </w:tcPr>
          <w:p w:rsidR="006C744F" w:rsidRPr="006C744F" w:rsidRDefault="006C744F" w:rsidP="006C744F">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6C744F" w:rsidRPr="006C744F" w:rsidRDefault="006C744F" w:rsidP="006C744F">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6C744F" w:rsidRPr="006C744F" w:rsidRDefault="006C744F" w:rsidP="006C744F">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6C744F" w:rsidRPr="00E761F9" w:rsidRDefault="006C744F" w:rsidP="006C744F">
            <w:pPr>
              <w:cnfStyle w:val="000000000000" w:firstRow="0" w:lastRow="0" w:firstColumn="0" w:lastColumn="0" w:oddVBand="0" w:evenVBand="0" w:oddHBand="0" w:evenHBand="0" w:firstRowFirstColumn="0" w:firstRowLastColumn="0" w:lastRowFirstColumn="0" w:lastRowLastColumn="0"/>
            </w:pPr>
          </w:p>
        </w:tc>
        <w:tc>
          <w:tcPr>
            <w:tcW w:w="1449" w:type="dxa"/>
          </w:tcPr>
          <w:p w:rsidR="006C744F" w:rsidRPr="006C744F" w:rsidRDefault="006C744F" w:rsidP="006C744F">
            <w:pPr>
              <w:cnfStyle w:val="000000000000" w:firstRow="0" w:lastRow="0" w:firstColumn="0" w:lastColumn="0" w:oddVBand="0" w:evenVBand="0" w:oddHBand="0" w:evenHBand="0" w:firstRowFirstColumn="0" w:firstRowLastColumn="0" w:lastRowFirstColumn="0" w:lastRowLastColumn="0"/>
            </w:pPr>
            <w:r w:rsidRPr="00E761F9">
              <w:t>X</w:t>
            </w:r>
          </w:p>
        </w:tc>
      </w:tr>
      <w:tr w:rsidR="006C744F" w:rsidTr="004C5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6C744F" w:rsidRPr="006C744F" w:rsidRDefault="006C744F" w:rsidP="006C744F">
            <w:r w:rsidRPr="00E761F9">
              <w:t>AGN</w:t>
            </w:r>
          </w:p>
        </w:tc>
        <w:tc>
          <w:tcPr>
            <w:tcW w:w="1449" w:type="dxa"/>
          </w:tcPr>
          <w:p w:rsidR="006C744F" w:rsidRPr="006C744F" w:rsidRDefault="006C744F" w:rsidP="006C744F">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6C744F" w:rsidRPr="00E761F9" w:rsidRDefault="006C744F" w:rsidP="006C744F">
            <w:pPr>
              <w:cnfStyle w:val="000000010000" w:firstRow="0" w:lastRow="0" w:firstColumn="0" w:lastColumn="0" w:oddVBand="0" w:evenVBand="0" w:oddHBand="0" w:evenHBand="1" w:firstRowFirstColumn="0" w:firstRowLastColumn="0" w:lastRowFirstColumn="0" w:lastRowLastColumn="0"/>
            </w:pPr>
          </w:p>
        </w:tc>
        <w:tc>
          <w:tcPr>
            <w:tcW w:w="1449" w:type="dxa"/>
          </w:tcPr>
          <w:p w:rsidR="006C744F" w:rsidRPr="00E761F9" w:rsidRDefault="006C744F" w:rsidP="006C744F">
            <w:pPr>
              <w:cnfStyle w:val="000000010000" w:firstRow="0" w:lastRow="0" w:firstColumn="0" w:lastColumn="0" w:oddVBand="0" w:evenVBand="0" w:oddHBand="0" w:evenHBand="1" w:firstRowFirstColumn="0" w:firstRowLastColumn="0" w:lastRowFirstColumn="0" w:lastRowLastColumn="0"/>
            </w:pPr>
          </w:p>
        </w:tc>
        <w:tc>
          <w:tcPr>
            <w:tcW w:w="1449" w:type="dxa"/>
          </w:tcPr>
          <w:p w:rsidR="006C744F" w:rsidRPr="006C744F" w:rsidRDefault="006C744F" w:rsidP="006C744F">
            <w:pPr>
              <w:cnfStyle w:val="000000010000" w:firstRow="0" w:lastRow="0" w:firstColumn="0" w:lastColumn="0" w:oddVBand="0" w:evenVBand="0" w:oddHBand="0" w:evenHBand="1" w:firstRowFirstColumn="0" w:firstRowLastColumn="0" w:lastRowFirstColumn="0" w:lastRowLastColumn="0"/>
            </w:pPr>
            <w:r w:rsidRPr="00E761F9">
              <w:t>X</w:t>
            </w:r>
          </w:p>
        </w:tc>
        <w:tc>
          <w:tcPr>
            <w:tcW w:w="1449" w:type="dxa"/>
          </w:tcPr>
          <w:p w:rsidR="006C744F" w:rsidRPr="00E761F9" w:rsidRDefault="006C744F" w:rsidP="006C744F">
            <w:pPr>
              <w:cnfStyle w:val="000000010000" w:firstRow="0" w:lastRow="0" w:firstColumn="0" w:lastColumn="0" w:oddVBand="0" w:evenVBand="0" w:oddHBand="0" w:evenHBand="1" w:firstRowFirstColumn="0" w:firstRowLastColumn="0" w:lastRowFirstColumn="0" w:lastRowLastColumn="0"/>
            </w:pPr>
          </w:p>
        </w:tc>
      </w:tr>
      <w:tr w:rsidR="006C744F" w:rsidTr="004C5238">
        <w:tc>
          <w:tcPr>
            <w:cnfStyle w:val="001000000000" w:firstRow="0" w:lastRow="0" w:firstColumn="1" w:lastColumn="0" w:oddVBand="0" w:evenVBand="0" w:oddHBand="0" w:evenHBand="0" w:firstRowFirstColumn="0" w:firstRowLastColumn="0" w:lastRowFirstColumn="0" w:lastRowLastColumn="0"/>
            <w:tcW w:w="1448" w:type="dxa"/>
          </w:tcPr>
          <w:p w:rsidR="006C744F" w:rsidRPr="006C744F" w:rsidRDefault="006C744F" w:rsidP="006C744F">
            <w:r w:rsidRPr="00E761F9">
              <w:t>Amadeus</w:t>
            </w:r>
          </w:p>
        </w:tc>
        <w:tc>
          <w:tcPr>
            <w:tcW w:w="1449" w:type="dxa"/>
          </w:tcPr>
          <w:p w:rsidR="006C744F" w:rsidRPr="006C744F" w:rsidRDefault="006C744F" w:rsidP="006C744F">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6C744F" w:rsidRPr="00E761F9" w:rsidRDefault="006C744F" w:rsidP="006C744F">
            <w:pPr>
              <w:cnfStyle w:val="000000000000" w:firstRow="0" w:lastRow="0" w:firstColumn="0" w:lastColumn="0" w:oddVBand="0" w:evenVBand="0" w:oddHBand="0" w:evenHBand="0" w:firstRowFirstColumn="0" w:firstRowLastColumn="0" w:lastRowFirstColumn="0" w:lastRowLastColumn="0"/>
            </w:pPr>
          </w:p>
        </w:tc>
        <w:tc>
          <w:tcPr>
            <w:tcW w:w="1449" w:type="dxa"/>
          </w:tcPr>
          <w:p w:rsidR="006C744F" w:rsidRPr="00E761F9" w:rsidRDefault="006C744F" w:rsidP="006C744F">
            <w:pPr>
              <w:cnfStyle w:val="000000000000" w:firstRow="0" w:lastRow="0" w:firstColumn="0" w:lastColumn="0" w:oddVBand="0" w:evenVBand="0" w:oddHBand="0" w:evenHBand="0" w:firstRowFirstColumn="0" w:firstRowLastColumn="0" w:lastRowFirstColumn="0" w:lastRowLastColumn="0"/>
            </w:pPr>
          </w:p>
        </w:tc>
        <w:tc>
          <w:tcPr>
            <w:tcW w:w="1449" w:type="dxa"/>
          </w:tcPr>
          <w:p w:rsidR="006C744F" w:rsidRPr="00E761F9" w:rsidRDefault="006C744F" w:rsidP="006C744F">
            <w:pPr>
              <w:cnfStyle w:val="000000000000" w:firstRow="0" w:lastRow="0" w:firstColumn="0" w:lastColumn="0" w:oddVBand="0" w:evenVBand="0" w:oddHBand="0" w:evenHBand="0" w:firstRowFirstColumn="0" w:firstRowLastColumn="0" w:lastRowFirstColumn="0" w:lastRowLastColumn="0"/>
            </w:pPr>
          </w:p>
        </w:tc>
        <w:tc>
          <w:tcPr>
            <w:tcW w:w="1449" w:type="dxa"/>
          </w:tcPr>
          <w:p w:rsidR="006C744F" w:rsidRPr="00E761F9" w:rsidRDefault="006C744F" w:rsidP="006C744F">
            <w:pPr>
              <w:cnfStyle w:val="000000000000" w:firstRow="0" w:lastRow="0" w:firstColumn="0" w:lastColumn="0" w:oddVBand="0" w:evenVBand="0" w:oddHBand="0" w:evenHBand="0" w:firstRowFirstColumn="0" w:firstRowLastColumn="0" w:lastRowFirstColumn="0" w:lastRowLastColumn="0"/>
            </w:pPr>
          </w:p>
        </w:tc>
      </w:tr>
    </w:tbl>
    <w:p w:rsidR="006C744F" w:rsidRPr="00E761F9" w:rsidRDefault="006C744F" w:rsidP="006C744F">
      <w:pPr>
        <w:pStyle w:val="AERtablesource"/>
      </w:pPr>
      <w:r w:rsidRPr="00E761F9">
        <w:t>Source:</w:t>
      </w:r>
      <w:r w:rsidRPr="00E761F9">
        <w:tab/>
        <w:t xml:space="preserve">AER analysis; AusNet,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w:t>
      </w:r>
      <w:r>
        <w:t>7-36</w:t>
      </w:r>
      <w:r w:rsidRPr="00E761F9">
        <w:t xml:space="preserve">; United Energy, </w:t>
      </w:r>
      <w:r w:rsidRPr="00E761F9">
        <w:rPr>
          <w:rStyle w:val="AERtextitalic"/>
        </w:rPr>
        <w:t>United Energy</w:t>
      </w:r>
      <w:r>
        <w:rPr>
          <w:rStyle w:val="AERtextitalic"/>
        </w:rPr>
        <w:t xml:space="preserve">'s revised regulatory proposal—nominated </w:t>
      </w:r>
      <w:r w:rsidRPr="00E761F9">
        <w:rPr>
          <w:rStyle w:val="AERtextitalic"/>
        </w:rPr>
        <w:t>debt averaging periods</w:t>
      </w:r>
      <w:r>
        <w:rPr>
          <w:rStyle w:val="AERtextitalic"/>
        </w:rPr>
        <w:t xml:space="preserve"> (Confidential)</w:t>
      </w:r>
      <w:r w:rsidRPr="00E761F9">
        <w:t xml:space="preserve">, 6 January 2016; </w:t>
      </w:r>
      <w:r>
        <w:t xml:space="preserve">United Energy, </w:t>
      </w:r>
      <w:r w:rsidRPr="004D1E24">
        <w:rPr>
          <w:rStyle w:val="AERtextitalic"/>
        </w:rPr>
        <w:t>R</w:t>
      </w:r>
      <w:r>
        <w:rPr>
          <w:rStyle w:val="AERtextitalic"/>
        </w:rPr>
        <w:t>evised r</w:t>
      </w:r>
      <w:r w:rsidRPr="004D1E24">
        <w:rPr>
          <w:rStyle w:val="AERtextitalic"/>
        </w:rPr>
        <w:t>egulatory proposal</w:t>
      </w:r>
      <w:r>
        <w:t xml:space="preserve">, 6 January 2016, p. 75;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E761F9">
        <w:t xml:space="preserve">CitiPower,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349; Powercor,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343;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r w:rsidRPr="00E761F9">
        <w:t xml:space="preserve">; 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r w:rsidRPr="00E761F9">
        <w:t xml:space="preserve">; AGN, </w:t>
      </w:r>
      <w:r w:rsidRPr="00E761F9">
        <w:rPr>
          <w:rStyle w:val="AERtextitalic"/>
        </w:rPr>
        <w:t xml:space="preserve">Revised access arrangement proposal—Attachment 10.2A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Averaging </w:t>
      </w:r>
      <w:r>
        <w:rPr>
          <w:rStyle w:val="AERtextitalic"/>
        </w:rPr>
        <w:t>p</w:t>
      </w:r>
      <w:r w:rsidRPr="00E761F9">
        <w:rPr>
          <w:rStyle w:val="AERtextitalic"/>
        </w:rPr>
        <w:t>eriods</w:t>
      </w:r>
      <w:r>
        <w:rPr>
          <w:rStyle w:val="AERtextitalic"/>
        </w:rPr>
        <w:t xml:space="preserve"> (Confidential)</w:t>
      </w:r>
      <w:r w:rsidRPr="00E761F9">
        <w:t>, 6 January 2016</w:t>
      </w:r>
      <w:r>
        <w:t xml:space="preserve">; </w:t>
      </w:r>
      <w:r w:rsidRPr="00E761F9">
        <w:t xml:space="preserve">Amadeus, </w:t>
      </w:r>
      <w:r w:rsidRPr="00E761F9">
        <w:rPr>
          <w:rStyle w:val="AERtextitalic"/>
        </w:rPr>
        <w:t xml:space="preserve">Revised </w:t>
      </w:r>
      <w:r>
        <w:rPr>
          <w:rStyle w:val="AERtextitalic"/>
        </w:rPr>
        <w:t>a</w:t>
      </w:r>
      <w:r w:rsidRPr="00E761F9">
        <w:rPr>
          <w:rStyle w:val="AERtextitalic"/>
        </w:rPr>
        <w:t xml:space="preserve">ccess arrangement proposal—Attachment E: </w:t>
      </w:r>
      <w:r>
        <w:rPr>
          <w:rStyle w:val="AERtextitalic"/>
        </w:rPr>
        <w:t>A</w:t>
      </w:r>
      <w:r w:rsidRPr="00E761F9">
        <w:rPr>
          <w:rStyle w:val="AERtextitalic"/>
        </w:rPr>
        <w:t>veraging periods</w:t>
      </w:r>
      <w:r>
        <w:rPr>
          <w:rStyle w:val="AERtextitalic"/>
        </w:rPr>
        <w:t xml:space="preserve"> (Confidential)</w:t>
      </w:r>
      <w:r w:rsidRPr="00E761F9">
        <w:t>, 6 January 2016</w:t>
      </w:r>
      <w:r>
        <w:t>.</w:t>
      </w:r>
    </w:p>
    <w:p w:rsidR="006C744F" w:rsidRPr="00E761F9" w:rsidRDefault="006C744F" w:rsidP="006C744F">
      <w:r w:rsidRPr="00E761F9">
        <w:t>We remain of view expressed in the preliminary determination</w:t>
      </w:r>
      <w:r>
        <w:t>,</w:t>
      </w:r>
      <w:r w:rsidRPr="00E761F9">
        <w:t xml:space="preserve"> that the range in the service providers' averaging period proposals suggests there is no single 'best' approach that is universally accepted. Our task is to determine a return on debt that is commensurate with the efficient financing costs of a benchmark efficient entity. Our task is not to provide a return that precisely matches each service provider's preferred financing strategies. Nevertheless, our approach provides a significant degree of flexibility for service providers to nominate an approach which allows them to organise their finances. </w:t>
      </w:r>
    </w:p>
    <w:p w:rsidR="006C744F" w:rsidRPr="00E761F9" w:rsidRDefault="006C744F" w:rsidP="006C744F">
      <w:r w:rsidRPr="00E761F9">
        <w:t xml:space="preserve">In this context, we take an approach to the nomination of debt averaging periods that is consistent across service providers in line with our task of setting a benchmark return. We consider that applying a consistent approach is more transparent and predictable, which benefits stakeholders. It also reduces the complexity and administrative costs associated with implementation. Our decision is that the service providers' averaging periods: </w:t>
      </w:r>
    </w:p>
    <w:p w:rsidR="006C744F" w:rsidRPr="006C744F" w:rsidRDefault="006C744F" w:rsidP="006C744F">
      <w:pPr>
        <w:pStyle w:val="AERbulletlistfirststyle"/>
      </w:pPr>
      <w:r w:rsidRPr="00E761F9">
        <w:t xml:space="preserve">should be nominated before the regulatory </w:t>
      </w:r>
      <w:r w:rsidRPr="006C744F">
        <w:t>control or access arrangement period commences</w:t>
      </w:r>
    </w:p>
    <w:p w:rsidR="006C744F" w:rsidRPr="00E761F9" w:rsidRDefault="006C744F" w:rsidP="006C744F">
      <w:pPr>
        <w:pStyle w:val="AERbulletlistfirststyle"/>
      </w:pPr>
      <w:r w:rsidRPr="00E761F9">
        <w:t>should not be separated into DRP and base rate averaging periods</w:t>
      </w:r>
    </w:p>
    <w:p w:rsidR="006C744F" w:rsidRPr="00E761F9" w:rsidRDefault="006C744F" w:rsidP="006C744F">
      <w:pPr>
        <w:pStyle w:val="AERbulletlistfirststyle"/>
      </w:pPr>
      <w:r w:rsidRPr="00E761F9">
        <w:t>are not required to be as close as practically possible to the start of the each regulatory year, but should fall within a particular timeframe.</w:t>
      </w:r>
    </w:p>
    <w:p w:rsidR="006C744F" w:rsidRPr="00E761F9" w:rsidRDefault="006C744F" w:rsidP="006C744F">
      <w:r w:rsidRPr="00E761F9">
        <w:t xml:space="preserve">Each of these matters is discussed in more detail in section </w:t>
      </w:r>
      <w:r w:rsidR="00BB7CBA">
        <w:fldChar w:fldCharType="begin"/>
      </w:r>
      <w:r w:rsidR="00BB7CBA">
        <w:instrText xml:space="preserve"> REF _Ref451538429 \r \h </w:instrText>
      </w:r>
      <w:r w:rsidR="00BB7CBA">
        <w:fldChar w:fldCharType="separate"/>
      </w:r>
      <w:r w:rsidR="001A023B">
        <w:t>I.4</w:t>
      </w:r>
      <w:r w:rsidR="00BB7CBA">
        <w:fldChar w:fldCharType="end"/>
      </w:r>
      <w:r w:rsidRPr="00E761F9">
        <w:t xml:space="preserve"> of </w:t>
      </w:r>
      <w:r w:rsidR="00391CC7" w:rsidRPr="00391CC7">
        <w:t xml:space="preserve">Appendix </w:t>
      </w:r>
      <w:r w:rsidR="00391CC7" w:rsidRPr="00391CC7">
        <w:fldChar w:fldCharType="begin"/>
      </w:r>
      <w:r w:rsidR="00391CC7" w:rsidRPr="00391CC7">
        <w:instrText xml:space="preserve"> REF _Ref451328082 \r \h </w:instrText>
      </w:r>
      <w:r w:rsidR="00391CC7" w:rsidRPr="00391CC7">
        <w:fldChar w:fldCharType="separate"/>
      </w:r>
      <w:r w:rsidR="001A023B">
        <w:t>I</w:t>
      </w:r>
      <w:r w:rsidR="00391CC7" w:rsidRPr="00391CC7">
        <w:fldChar w:fldCharType="end"/>
      </w:r>
      <w:r w:rsidRPr="00E761F9">
        <w:t>.</w:t>
      </w:r>
    </w:p>
    <w:p w:rsidR="00B543A7" w:rsidRDefault="006C744F" w:rsidP="006C744F">
      <w:r w:rsidRPr="00E761F9">
        <w:t xml:space="preserve">We have also received submissions from other stakeholders. For example, the CCP does not support the service providers' proposals to nominate an averaging period for each regulatory year just prior to that regulatory year, rather than at the start of the whole regulatory </w:t>
      </w:r>
      <w:r>
        <w:t xml:space="preserve">control or access arrangement </w:t>
      </w:r>
      <w:r w:rsidRPr="00E761F9">
        <w:t>period. It considers that this increases the complexity and opportunities for regulatory gaming.</w:t>
      </w:r>
      <w:r w:rsidRPr="00E761F9">
        <w:rPr>
          <w:rStyle w:val="FootnoteReference"/>
        </w:rPr>
        <w:footnoteReference w:id="563"/>
      </w:r>
    </w:p>
    <w:p w:rsidR="00CD4005" w:rsidRPr="00CD4005" w:rsidRDefault="00CD4005" w:rsidP="00CD4005">
      <w:r w:rsidRPr="00CD4005">
        <w:t>We note the Tribunal, in its recent decision for Jemena Gas Networks, upheld our approach to determining debt averaging periods. It stated:</w:t>
      </w:r>
      <w:r w:rsidRPr="00CD4005">
        <w:rPr>
          <w:rStyle w:val="FootnoteReference"/>
        </w:rPr>
        <w:footnoteReference w:id="564"/>
      </w:r>
    </w:p>
    <w:p w:rsidR="00CD4005" w:rsidRPr="00CD4005" w:rsidRDefault="00CD4005" w:rsidP="00CD4005">
      <w:pPr>
        <w:pStyle w:val="AERquote"/>
      </w:pPr>
      <w:r w:rsidRPr="00CD4005">
        <w:t>The Tribunal is not satisfied that JGN’s contention in this regard demonstrates that any ground of review is made out. It is the Tribunal’s view that the AER’s approach accorded with r 87(12) of the NGR requiring the annual return on debt to be determined through the automatic application of a formula specified in the Final Decision. It is an approach which accords a balance between flexibility and certainty in a sensible way, and so in a way that would promote efficient investment decisions including those responsible for managing risk in the arrangement of financial arrangements. The relevant service providers have the flexibility of nominating the length of their averaging periods. It is a process which it not overly complex.</w:t>
      </w:r>
    </w:p>
    <w:p w:rsidR="008B6DB4" w:rsidRPr="00E761F9" w:rsidRDefault="008B6DB4" w:rsidP="008B6DB4">
      <w:pPr>
        <w:pStyle w:val="HeadingBoldItalic"/>
      </w:pPr>
      <w:r w:rsidRPr="00E761F9">
        <w:t xml:space="preserve">Annual debt update process </w:t>
      </w:r>
    </w:p>
    <w:p w:rsidR="006C744F" w:rsidRPr="00AD6210" w:rsidRDefault="006C744F" w:rsidP="006C744F">
      <w:pPr>
        <w:pStyle w:val="ListParagraph"/>
        <w:numPr>
          <w:ilvl w:val="0"/>
          <w:numId w:val="24"/>
        </w:numPr>
      </w:pPr>
      <w:r w:rsidRPr="00AD6210">
        <w:t>Our decision is that an averaging period should occur within a timeframe of 10 business days to 12 months.</w:t>
      </w:r>
      <w:r>
        <w:t xml:space="preserve"> This is consistent with the position we proposed in the Guideline.</w:t>
      </w:r>
      <w:r w:rsidRPr="00AD6210">
        <w:rPr>
          <w:rStyle w:val="FootnoteReference"/>
        </w:rPr>
        <w:footnoteReference w:id="565"/>
      </w:r>
      <w:r w:rsidRPr="00AD6210">
        <w:t xml:space="preserve"> We have considered how the process to annually update the return on debt would align with </w:t>
      </w:r>
      <w:r w:rsidRPr="007B540E">
        <w:t>the annual reference tariff variation process</w:t>
      </w:r>
      <w:r w:rsidRPr="00AD6210">
        <w:t>.</w:t>
      </w:r>
      <w:r w:rsidRPr="00AD6210">
        <w:rPr>
          <w:rStyle w:val="FootnoteReference"/>
        </w:rPr>
        <w:footnoteReference w:id="566"/>
      </w:r>
      <w:r w:rsidRPr="00AD6210">
        <w:t xml:space="preserve"> The timing of </w:t>
      </w:r>
      <w:r>
        <w:t xml:space="preserve">gas service providers' submission of their reference tariff variation proposals affects </w:t>
      </w:r>
      <w:r w:rsidRPr="00AD6210">
        <w:t>how late an averaging period can end and still be implemented in practice.</w:t>
      </w:r>
    </w:p>
    <w:p w:rsidR="006C744F" w:rsidRPr="009560BB" w:rsidRDefault="006C744F" w:rsidP="006C744F">
      <w:pPr>
        <w:numPr>
          <w:ilvl w:val="0"/>
          <w:numId w:val="24"/>
        </w:numPr>
      </w:pPr>
      <w:r>
        <w:fldChar w:fldCharType="begin"/>
      </w:r>
      <w:r>
        <w:instrText xml:space="preserve"> REF _Ref435451180 \h </w:instrText>
      </w:r>
      <w:r>
        <w:fldChar w:fldCharType="separate"/>
      </w:r>
      <w:r w:rsidR="001A023B">
        <w:t xml:space="preserve">Table </w:t>
      </w:r>
      <w:r w:rsidR="001A023B">
        <w:rPr>
          <w:noProof/>
        </w:rPr>
        <w:t>3</w:t>
      </w:r>
      <w:r w:rsidR="001A023B">
        <w:noBreakHyphen/>
      </w:r>
      <w:r w:rsidR="001A023B">
        <w:rPr>
          <w:noProof/>
        </w:rPr>
        <w:t>21</w:t>
      </w:r>
      <w:r>
        <w:fldChar w:fldCharType="end"/>
      </w:r>
      <w:r>
        <w:t xml:space="preserve"> outlines the general </w:t>
      </w:r>
      <w:r w:rsidRPr="004057C7">
        <w:t xml:space="preserve">process </w:t>
      </w:r>
      <w:r>
        <w:t>we have decided to adopt for the annual debt update</w:t>
      </w:r>
      <w:r w:rsidRPr="004057C7">
        <w:t xml:space="preserve"> </w:t>
      </w:r>
      <w:r>
        <w:t>f</w:t>
      </w:r>
      <w:r w:rsidRPr="004057C7">
        <w:t xml:space="preserve">or </w:t>
      </w:r>
      <w:r>
        <w:t xml:space="preserve">gas service providers. </w:t>
      </w:r>
      <w:r w:rsidRPr="007D10EB">
        <w:t xml:space="preserve">Our assessment of the proposed averaging periods for </w:t>
      </w:r>
      <w:r>
        <w:t>gas service providers</w:t>
      </w:r>
      <w:r w:rsidRPr="007D10EB">
        <w:t xml:space="preserve"> with current </w:t>
      </w:r>
      <w:r>
        <w:t xml:space="preserve">revised access arrangement proposals </w:t>
      </w:r>
      <w:r w:rsidRPr="007D10EB">
        <w:t xml:space="preserve">has taken this process into account. We also propose to adopt this process for assessing the proposed averaging periods of other </w:t>
      </w:r>
      <w:r>
        <w:t>gas service providers</w:t>
      </w:r>
      <w:r w:rsidRPr="007D10EB">
        <w:t xml:space="preserve"> in the future.</w:t>
      </w:r>
    </w:p>
    <w:p w:rsidR="006C744F" w:rsidRDefault="006C744F" w:rsidP="006C744F">
      <w:pPr>
        <w:pStyle w:val="Caption"/>
      </w:pPr>
      <w:bookmarkStart w:id="90" w:name="_Ref435451180"/>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21</w:t>
      </w:r>
      <w:r w:rsidR="00120312">
        <w:rPr>
          <w:noProof/>
        </w:rPr>
        <w:fldChar w:fldCharType="end"/>
      </w:r>
      <w:bookmarkEnd w:id="90"/>
      <w:r>
        <w:tab/>
        <w:t>Annual gas debt update process</w:t>
      </w:r>
    </w:p>
    <w:tbl>
      <w:tblPr>
        <w:tblStyle w:val="AERtable-text0"/>
        <w:tblW w:w="0" w:type="auto"/>
        <w:tblLook w:val="04A0" w:firstRow="1" w:lastRow="0" w:firstColumn="1" w:lastColumn="0" w:noHBand="0" w:noVBand="1"/>
      </w:tblPr>
      <w:tblGrid>
        <w:gridCol w:w="817"/>
        <w:gridCol w:w="2552"/>
        <w:gridCol w:w="2551"/>
        <w:gridCol w:w="2773"/>
      </w:tblGrid>
      <w:tr w:rsidR="006C744F" w:rsidTr="004C5238">
        <w:trPr>
          <w:cnfStyle w:val="100000000000" w:firstRow="1" w:lastRow="0" w:firstColumn="0" w:lastColumn="0" w:oddVBand="0" w:evenVBand="0" w:oddHBand="0" w:evenHBand="0" w:firstRowFirstColumn="0" w:firstRowLastColumn="0" w:lastRowFirstColumn="0" w:lastRowLastColumn="0"/>
          <w:tblHeader/>
        </w:trPr>
        <w:tc>
          <w:tcPr>
            <w:tcW w:w="817" w:type="dxa"/>
            <w:vAlign w:val="top"/>
          </w:tcPr>
          <w:p w:rsidR="006C744F" w:rsidRPr="006C744F" w:rsidRDefault="006C744F" w:rsidP="006C744F">
            <w:r w:rsidRPr="00360900">
              <w:t>Step</w:t>
            </w:r>
          </w:p>
        </w:tc>
        <w:tc>
          <w:tcPr>
            <w:tcW w:w="2552" w:type="dxa"/>
            <w:vAlign w:val="top"/>
          </w:tcPr>
          <w:p w:rsidR="006C744F" w:rsidRPr="006C744F" w:rsidRDefault="006C744F" w:rsidP="006C744F">
            <w:r w:rsidRPr="00360900">
              <w:t>Timing</w:t>
            </w:r>
            <w:r w:rsidRPr="006C744F">
              <w:t xml:space="preserve"> </w:t>
            </w:r>
          </w:p>
        </w:tc>
        <w:tc>
          <w:tcPr>
            <w:tcW w:w="2551" w:type="dxa"/>
            <w:vAlign w:val="top"/>
          </w:tcPr>
          <w:p w:rsidR="006C744F" w:rsidRPr="006C744F" w:rsidRDefault="006C744F" w:rsidP="006C744F">
            <w:r w:rsidRPr="00360900">
              <w:t>Description</w:t>
            </w:r>
            <w:r w:rsidRPr="006C744F">
              <w:t xml:space="preserve"> of step</w:t>
            </w:r>
          </w:p>
        </w:tc>
        <w:tc>
          <w:tcPr>
            <w:tcW w:w="2773" w:type="dxa"/>
            <w:vAlign w:val="top"/>
          </w:tcPr>
          <w:p w:rsidR="006C744F" w:rsidRPr="006C744F" w:rsidRDefault="006C744F" w:rsidP="006C744F">
            <w:r w:rsidRPr="00360900">
              <w:t>Reasons for timing</w:t>
            </w:r>
          </w:p>
        </w:tc>
      </w:tr>
      <w:tr w:rsidR="006C744F" w:rsidTr="004C5238">
        <w:tc>
          <w:tcPr>
            <w:tcW w:w="817" w:type="dxa"/>
            <w:vAlign w:val="top"/>
          </w:tcPr>
          <w:p w:rsidR="006C744F" w:rsidRPr="006C744F" w:rsidRDefault="006C744F" w:rsidP="006C744F">
            <w:r w:rsidRPr="00360900">
              <w:t>1</w:t>
            </w:r>
          </w:p>
        </w:tc>
        <w:tc>
          <w:tcPr>
            <w:tcW w:w="2552" w:type="dxa"/>
            <w:vAlign w:val="top"/>
          </w:tcPr>
          <w:p w:rsidR="006C744F" w:rsidRPr="006C744F" w:rsidRDefault="006C744F" w:rsidP="006C744F">
            <w:r w:rsidRPr="00360900">
              <w:t xml:space="preserve">25 business days before a service provider submits its annual reference tariff variation proposal to </w:t>
            </w:r>
            <w:r w:rsidRPr="006C744F">
              <w:t>us.</w:t>
            </w:r>
          </w:p>
        </w:tc>
        <w:tc>
          <w:tcPr>
            <w:tcW w:w="2551" w:type="dxa"/>
            <w:vAlign w:val="top"/>
          </w:tcPr>
          <w:p w:rsidR="006C744F" w:rsidRPr="006C744F" w:rsidRDefault="006C744F" w:rsidP="006C744F">
            <w:r w:rsidRPr="00360900">
              <w:t>Averaging period ends on or before this date.</w:t>
            </w:r>
          </w:p>
        </w:tc>
        <w:tc>
          <w:tcPr>
            <w:tcW w:w="2773" w:type="dxa"/>
            <w:vAlign w:val="top"/>
          </w:tcPr>
          <w:p w:rsidR="006C744F" w:rsidRPr="006C744F" w:rsidRDefault="006C744F" w:rsidP="006C744F">
            <w:r w:rsidRPr="00360900">
              <w:t xml:space="preserve">We determined the maximum practical end date of the averaging period </w:t>
            </w:r>
            <w:r w:rsidRPr="006C744F">
              <w:t>from the timing of steps 2 and 3.</w:t>
            </w:r>
          </w:p>
        </w:tc>
      </w:tr>
      <w:tr w:rsidR="006C744F" w:rsidTr="004C5238">
        <w:trPr>
          <w:cnfStyle w:val="000000010000" w:firstRow="0" w:lastRow="0" w:firstColumn="0" w:lastColumn="0" w:oddVBand="0" w:evenVBand="0" w:oddHBand="0" w:evenHBand="1" w:firstRowFirstColumn="0" w:firstRowLastColumn="0" w:lastRowFirstColumn="0" w:lastRowLastColumn="0"/>
        </w:trPr>
        <w:tc>
          <w:tcPr>
            <w:tcW w:w="817" w:type="dxa"/>
            <w:vAlign w:val="top"/>
          </w:tcPr>
          <w:p w:rsidR="006C744F" w:rsidRPr="006C744F" w:rsidRDefault="006C744F" w:rsidP="006C744F">
            <w:r w:rsidRPr="00360900">
              <w:t>2</w:t>
            </w:r>
          </w:p>
        </w:tc>
        <w:tc>
          <w:tcPr>
            <w:tcW w:w="2552" w:type="dxa"/>
            <w:vAlign w:val="top"/>
          </w:tcPr>
          <w:p w:rsidR="006C744F" w:rsidRPr="006C744F" w:rsidRDefault="006C744F" w:rsidP="006C744F">
            <w:r w:rsidRPr="00360900">
              <w:t xml:space="preserve">10 business days before a service provider submits its annual reference tariff variation proposal to </w:t>
            </w:r>
            <w:r w:rsidRPr="006C744F">
              <w:t>us.</w:t>
            </w:r>
          </w:p>
        </w:tc>
        <w:tc>
          <w:tcPr>
            <w:tcW w:w="2551" w:type="dxa"/>
            <w:vAlign w:val="top"/>
          </w:tcPr>
          <w:p w:rsidR="006C744F" w:rsidRPr="006C744F" w:rsidRDefault="006C744F" w:rsidP="006C744F">
            <w:r w:rsidRPr="00360900">
              <w:t xml:space="preserve">So the service provider can factor this into its annual reference tariff </w:t>
            </w:r>
            <w:r w:rsidRPr="006C744F">
              <w:t>variation proposal, we inform it of updates on the return on debt and X factor that incorporates the updated return on debt.</w:t>
            </w:r>
          </w:p>
        </w:tc>
        <w:tc>
          <w:tcPr>
            <w:tcW w:w="2773" w:type="dxa"/>
            <w:vAlign w:val="top"/>
          </w:tcPr>
          <w:p w:rsidR="006C744F" w:rsidRPr="006C744F" w:rsidRDefault="006C744F" w:rsidP="006C744F">
            <w:r w:rsidRPr="00360900">
              <w:t xml:space="preserve">15 business days between steps 1 and 2 </w:t>
            </w:r>
            <w:r w:rsidRPr="006C744F">
              <w:t>provides sufficient time for us to calculate (and provide quality assurance checks on) the updated return on debt and X factor.</w:t>
            </w:r>
          </w:p>
        </w:tc>
      </w:tr>
      <w:tr w:rsidR="006C744F" w:rsidTr="004C5238">
        <w:tc>
          <w:tcPr>
            <w:tcW w:w="817" w:type="dxa"/>
            <w:vAlign w:val="top"/>
          </w:tcPr>
          <w:p w:rsidR="006C744F" w:rsidRPr="006C744F" w:rsidRDefault="006C744F" w:rsidP="006C744F">
            <w:r w:rsidRPr="00360900">
              <w:t>3</w:t>
            </w:r>
          </w:p>
        </w:tc>
        <w:tc>
          <w:tcPr>
            <w:tcW w:w="2552" w:type="dxa"/>
            <w:vAlign w:val="top"/>
          </w:tcPr>
          <w:p w:rsidR="006C744F" w:rsidRPr="006C744F" w:rsidRDefault="006C744F" w:rsidP="006C744F">
            <w:r w:rsidRPr="00360900">
              <w:t xml:space="preserve">A service provider submits its annual reference tariff variation proposal to </w:t>
            </w:r>
            <w:r w:rsidRPr="006C744F">
              <w:t>us on the date in its access arrangement.</w:t>
            </w:r>
          </w:p>
        </w:tc>
        <w:tc>
          <w:tcPr>
            <w:tcW w:w="2551" w:type="dxa"/>
            <w:vAlign w:val="top"/>
          </w:tcPr>
          <w:p w:rsidR="006C744F" w:rsidRPr="006C744F" w:rsidRDefault="006C744F" w:rsidP="006C744F">
            <w:r w:rsidRPr="00360900">
              <w:t xml:space="preserve">The service provider submits its annual reference tariff variation proposal to </w:t>
            </w:r>
            <w:r w:rsidRPr="006C744F">
              <w:t>us for the relevant year.</w:t>
            </w:r>
          </w:p>
        </w:tc>
        <w:tc>
          <w:tcPr>
            <w:tcW w:w="2773" w:type="dxa"/>
            <w:vAlign w:val="top"/>
          </w:tcPr>
          <w:p w:rsidR="006C744F" w:rsidRPr="006C744F" w:rsidRDefault="006C744F" w:rsidP="006C744F">
            <w:r w:rsidRPr="00360900">
              <w:t>10 business days between steps 2 and 3 is based on a service provider's advice regarding the minimum period it would require to</w:t>
            </w:r>
            <w:r w:rsidRPr="006C744F">
              <w:t xml:space="preserve"> factor the updated information into its prices. We are open to individual service providers requiring a longer period (or requesting a shorter period) to accommodate their internal processes. </w:t>
            </w:r>
          </w:p>
        </w:tc>
      </w:tr>
    </w:tbl>
    <w:p w:rsidR="006C744F" w:rsidRDefault="006C744F" w:rsidP="006C744F">
      <w:pPr>
        <w:pStyle w:val="AERtablesource"/>
      </w:pPr>
      <w:r w:rsidRPr="00AA68A5">
        <w:t>Source:</w:t>
      </w:r>
      <w:r w:rsidRPr="00AA68A5">
        <w:tab/>
        <w:t>AER analysis.</w:t>
      </w:r>
    </w:p>
    <w:p w:rsidR="006C744F" w:rsidRDefault="006C744F" w:rsidP="006C744F">
      <w:r>
        <w:t xml:space="preserve">On the basis of the </w:t>
      </w:r>
      <w:r w:rsidRPr="007D10EB">
        <w:t xml:space="preserve">process outlined in </w:t>
      </w:r>
      <w:r>
        <w:fldChar w:fldCharType="begin"/>
      </w:r>
      <w:r>
        <w:instrText xml:space="preserve"> REF  _Ref435451180 \* Lower \h </w:instrText>
      </w:r>
      <w:r>
        <w:fldChar w:fldCharType="separate"/>
      </w:r>
      <w:r w:rsidR="001A023B">
        <w:t xml:space="preserve">table </w:t>
      </w:r>
      <w:r w:rsidR="001A023B">
        <w:rPr>
          <w:noProof/>
        </w:rPr>
        <w:t>3</w:t>
      </w:r>
      <w:r w:rsidR="001A023B">
        <w:noBreakHyphen/>
      </w:r>
      <w:r w:rsidR="001A023B">
        <w:rPr>
          <w:noProof/>
        </w:rPr>
        <w:t>21</w:t>
      </w:r>
      <w:r>
        <w:fldChar w:fldCharType="end"/>
      </w:r>
      <w:r>
        <w:t>, we consider an averaging period for estimating the return on debt for regulatory year t should fall within the following timeframe:</w:t>
      </w:r>
    </w:p>
    <w:p w:rsidR="006C744F" w:rsidRPr="009560BB" w:rsidRDefault="006C744F" w:rsidP="006C744F">
      <w:pPr>
        <w:pStyle w:val="AERbulletlistfirststyle"/>
      </w:pPr>
      <w:r w:rsidRPr="0004548C">
        <w:t xml:space="preserve">end no later than 25 business days before a </w:t>
      </w:r>
      <w:r w:rsidRPr="009560BB">
        <w:t>gas service provider submits its annual reference tariff variation proposal for year t to the AER</w:t>
      </w:r>
    </w:p>
    <w:p w:rsidR="006C744F" w:rsidRPr="009560BB" w:rsidRDefault="006C744F" w:rsidP="006C744F">
      <w:pPr>
        <w:pStyle w:val="AERbulletlistfirststyle"/>
      </w:pPr>
      <w:r w:rsidRPr="0004548C">
        <w:t xml:space="preserve">commence no earlier than 12 months plus 25 business days before a </w:t>
      </w:r>
      <w:r w:rsidRPr="009560BB">
        <w:t>gas service provider submits its annual reference tariff variation proposal for year t to the AER.</w:t>
      </w:r>
      <w:r w:rsidRPr="009560BB">
        <w:rPr>
          <w:rStyle w:val="FootnoteReference"/>
        </w:rPr>
        <w:footnoteReference w:id="567"/>
      </w:r>
    </w:p>
    <w:p w:rsidR="006C744F" w:rsidRDefault="006C744F" w:rsidP="006C744F">
      <w:pPr>
        <w:numPr>
          <w:ilvl w:val="0"/>
          <w:numId w:val="24"/>
        </w:numPr>
      </w:pPr>
      <w:r>
        <w:t xml:space="preserve">However, as set out in </w:t>
      </w:r>
      <w:r>
        <w:fldChar w:fldCharType="begin"/>
      </w:r>
      <w:r>
        <w:instrText xml:space="preserve"> REF  _Ref435451180 \* Lower \h </w:instrText>
      </w:r>
      <w:r>
        <w:fldChar w:fldCharType="separate"/>
      </w:r>
      <w:r w:rsidR="001A023B">
        <w:t xml:space="preserve">table </w:t>
      </w:r>
      <w:r w:rsidR="001A023B">
        <w:rPr>
          <w:noProof/>
        </w:rPr>
        <w:t>3</w:t>
      </w:r>
      <w:r w:rsidR="001A023B">
        <w:noBreakHyphen/>
      </w:r>
      <w:r w:rsidR="001A023B">
        <w:rPr>
          <w:noProof/>
        </w:rPr>
        <w:t>21</w:t>
      </w:r>
      <w:r>
        <w:fldChar w:fldCharType="end"/>
      </w:r>
      <w:r>
        <w:t>, w</w:t>
      </w:r>
      <w:r w:rsidRPr="00D11E32">
        <w:t xml:space="preserve">e are open to individual </w:t>
      </w:r>
      <w:r>
        <w:t>service providers</w:t>
      </w:r>
      <w:r w:rsidRPr="00D11E32">
        <w:t xml:space="preserve"> requiring a longer period (or requesting a shorter period)</w:t>
      </w:r>
      <w:r>
        <w:t xml:space="preserve"> between steps 2 and 3 t</w:t>
      </w:r>
      <w:r w:rsidRPr="00D11E32">
        <w:t>o accommodate their internal processes.</w:t>
      </w:r>
      <w:r w:rsidRPr="00FB531F">
        <w:t xml:space="preserve"> </w:t>
      </w:r>
      <w:r w:rsidRPr="00D76D56">
        <w:t>We note that a longer (or shorter) time period would move back (or forward) the maximum practical end date of the averaging period by the same timeframe.</w:t>
      </w:r>
      <w:r>
        <w:t xml:space="preserve"> For example, if a service provider requested 15 business days (instead of 10) for its internal processes, then its averaging period would need to end 30 business days (instead of 25) before the date the service provider must submit its annual reference tariff variation </w:t>
      </w:r>
      <w:r w:rsidRPr="0004548C">
        <w:t>proposal</w:t>
      </w:r>
      <w:r>
        <w:t xml:space="preserve"> to us.</w:t>
      </w:r>
    </w:p>
    <w:p w:rsidR="006C744F" w:rsidRDefault="006C744F" w:rsidP="006C744F">
      <w:pPr>
        <w:numPr>
          <w:ilvl w:val="0"/>
          <w:numId w:val="24"/>
        </w:numPr>
      </w:pPr>
      <w:r>
        <w:t xml:space="preserve">The process outlined in </w:t>
      </w:r>
      <w:r>
        <w:fldChar w:fldCharType="begin"/>
      </w:r>
      <w:r>
        <w:instrText xml:space="preserve"> REF  _Ref435451180 \* Lower \h </w:instrText>
      </w:r>
      <w:r>
        <w:fldChar w:fldCharType="separate"/>
      </w:r>
      <w:r w:rsidR="001A023B">
        <w:t xml:space="preserve">table </w:t>
      </w:r>
      <w:r w:rsidR="001A023B">
        <w:rPr>
          <w:noProof/>
        </w:rPr>
        <w:t>3</w:t>
      </w:r>
      <w:r w:rsidR="001A023B">
        <w:noBreakHyphen/>
      </w:r>
      <w:r w:rsidR="001A023B">
        <w:rPr>
          <w:noProof/>
        </w:rPr>
        <w:t>21</w:t>
      </w:r>
      <w:r>
        <w:fldChar w:fldCharType="end"/>
      </w:r>
      <w:r>
        <w:t xml:space="preserve"> does not apply to the first regulatory year of an access arrangement period. This is because the final access arrangement </w:t>
      </w:r>
      <w:r w:rsidRPr="007D10EB">
        <w:t>will include the X factor for the first year, which will already incorporat</w:t>
      </w:r>
      <w:r>
        <w:t>e the first year return on debt. Therefore, this process will generally apply to the subsequent years of an access arrangement period.</w:t>
      </w:r>
    </w:p>
    <w:p w:rsidR="006C744F" w:rsidRPr="008B6DB4" w:rsidRDefault="006C744F" w:rsidP="006C744F">
      <w:pPr>
        <w:numPr>
          <w:ilvl w:val="0"/>
          <w:numId w:val="24"/>
        </w:numPr>
      </w:pPr>
      <w:r w:rsidRPr="00DE652D">
        <w:t xml:space="preserve">In </w:t>
      </w:r>
      <w:r>
        <w:fldChar w:fldCharType="begin"/>
      </w:r>
      <w:r>
        <w:instrText xml:space="preserve"> REF  _Ref435451180 \* Lower \h </w:instrText>
      </w:r>
      <w:r>
        <w:fldChar w:fldCharType="separate"/>
      </w:r>
      <w:r w:rsidR="001A023B">
        <w:t xml:space="preserve">table </w:t>
      </w:r>
      <w:r w:rsidR="001A023B">
        <w:rPr>
          <w:noProof/>
        </w:rPr>
        <w:t>3</w:t>
      </w:r>
      <w:r w:rsidR="001A023B">
        <w:noBreakHyphen/>
      </w:r>
      <w:r w:rsidR="001A023B">
        <w:rPr>
          <w:noProof/>
        </w:rPr>
        <w:t>21</w:t>
      </w:r>
      <w:r>
        <w:fldChar w:fldCharType="end"/>
      </w:r>
      <w:r w:rsidRPr="00DE652D">
        <w:t xml:space="preserve">, we </w:t>
      </w:r>
      <w:r>
        <w:t>propose calculating</w:t>
      </w:r>
      <w:r w:rsidRPr="00DE652D">
        <w:t xml:space="preserve"> the return on debt</w:t>
      </w:r>
      <w:r>
        <w:t xml:space="preserve"> </w:t>
      </w:r>
      <w:r w:rsidRPr="00DE652D">
        <w:t xml:space="preserve">and X factor in accordance with the formula in the final access arrangement. We </w:t>
      </w:r>
      <w:r>
        <w:t>propose informing</w:t>
      </w:r>
      <w:r w:rsidRPr="00DE652D">
        <w:t xml:space="preserve"> </w:t>
      </w:r>
      <w:r>
        <w:t>the gas service provider</w:t>
      </w:r>
      <w:r w:rsidRPr="00DE652D">
        <w:t xml:space="preserve"> of our calculations before it submits its annual </w:t>
      </w:r>
      <w:r>
        <w:t xml:space="preserve">reference </w:t>
      </w:r>
      <w:r w:rsidRPr="00DE652D">
        <w:t>tariff variation proposal. We consider this preferable to the alternative approach, where w</w:t>
      </w:r>
      <w:r>
        <w:t xml:space="preserve">e would assess the updates the gas service provider </w:t>
      </w:r>
      <w:r w:rsidRPr="00DE652D">
        <w:t xml:space="preserve">calculated itself. This alternative approach could significantly complicate the annual tariff variation approval process if we identify calculation errors and require </w:t>
      </w:r>
      <w:r>
        <w:t xml:space="preserve">the gas service provider </w:t>
      </w:r>
      <w:r w:rsidRPr="00DE652D">
        <w:t xml:space="preserve">to revise all its proposed reference tariffs. On the other hand, our approach focusses the annual reference tariff variation approval process on how </w:t>
      </w:r>
      <w:r>
        <w:t xml:space="preserve">the gas service provider </w:t>
      </w:r>
      <w:r w:rsidRPr="00DE652D">
        <w:t xml:space="preserve">has incorporated the revised X factor into its prices, rather than also </w:t>
      </w:r>
      <w:r>
        <w:t>checking the revised X factor has been calculated in accordance with the access arrangement</w:t>
      </w:r>
      <w:r w:rsidRPr="00DE652D">
        <w:t>.</w:t>
      </w:r>
    </w:p>
    <w:p w:rsidR="008B6DB4" w:rsidRPr="006C744F" w:rsidRDefault="006C744F" w:rsidP="006C744F">
      <w:r w:rsidRPr="007D10EB">
        <w:t xml:space="preserve">The above process factors in the date that the </w:t>
      </w:r>
      <w:r>
        <w:t>gas service providers are required to submit their annual reference tariff variation proposals to us. For ActewAGL, this date is on or before 15 March each year (or the next closest business day) prior to the relevant financial year in which the proposed reference tariffs are to apply.</w:t>
      </w:r>
      <w:r>
        <w:rPr>
          <w:rStyle w:val="FootnoteReference"/>
        </w:rPr>
        <w:footnoteReference w:id="568"/>
      </w:r>
    </w:p>
    <w:p w:rsidR="00F24F66" w:rsidRPr="00F366FC" w:rsidRDefault="00F24F66" w:rsidP="00F24F66">
      <w:pPr>
        <w:pStyle w:val="HeadingItalic"/>
      </w:pPr>
      <w:r w:rsidRPr="00F366FC">
        <w:t>Response to key issues raised by stakeholders</w:t>
      </w:r>
    </w:p>
    <w:p w:rsidR="00F24F66" w:rsidRPr="00E761F9" w:rsidRDefault="00F24F66" w:rsidP="00F24F66">
      <w:r w:rsidRPr="00E761F9">
        <w:t>JEN and ActewAGL proposed annual processes to nominate future averaging periods that can only be implemented with a lag of one year in the annual debt update process. However, these service providers' proposals did not specifically state that a lag of one year should apply.</w:t>
      </w:r>
      <w:r w:rsidRPr="00E761F9">
        <w:rPr>
          <w:rStyle w:val="FootnoteReference"/>
        </w:rPr>
        <w:footnoteReference w:id="569"/>
      </w:r>
      <w:r w:rsidRPr="00E761F9">
        <w:t xml:space="preserve"> </w:t>
      </w:r>
    </w:p>
    <w:p w:rsidR="00F24F66" w:rsidRPr="00E761F9" w:rsidRDefault="00F24F66" w:rsidP="00F24F66">
      <w:r w:rsidRPr="00E761F9">
        <w:t xml:space="preserve">We do not agree with the submissions to incorporate a one year lag into in the annual debt update process. As set out above, our position instead is that an averaging period for regulatory year t should fall within the 12 months prior to 25 business days before submission of the annual pricing proposal or reference tariff variation proposal (for regulatory year t). We consider this approach is consistent with the requirements in the rules, which contributes to the achievement of the </w:t>
      </w:r>
      <w:r w:rsidR="00270CE2">
        <w:t>ARORO</w:t>
      </w:r>
      <w:r w:rsidRPr="00E761F9">
        <w:t>.</w:t>
      </w:r>
      <w:r w:rsidRPr="00E761F9">
        <w:rPr>
          <w:rStyle w:val="FootnoteReference"/>
        </w:rPr>
        <w:footnoteReference w:id="570"/>
      </w:r>
      <w:r w:rsidRPr="00E761F9">
        <w:t xml:space="preserve"> Our decision is based on the following reasoning:</w:t>
      </w:r>
    </w:p>
    <w:p w:rsidR="00F24F66" w:rsidRPr="00D108C4" w:rsidRDefault="00F24F66" w:rsidP="00F24F66">
      <w:pPr>
        <w:pStyle w:val="AERbulletlistfirststyle"/>
      </w:pPr>
      <w:r w:rsidRPr="00E761F9">
        <w:t>There are practical difficulties with allowing a one year lag in the annual debt update process. We considered this issue in the October 2014 proposed amendment to the PTRM.</w:t>
      </w:r>
      <w:r w:rsidRPr="00D108C4">
        <w:rPr>
          <w:rStyle w:val="FootnoteReference"/>
        </w:rPr>
        <w:footnoteReference w:id="571"/>
      </w:r>
      <w:r w:rsidRPr="00D108C4">
        <w:t xml:space="preserve"> We considered that the proposed PTRM could potentially handle a lag to the X factor change. However, we also considered that under a one year lag, 'the adjustment for the return on debt in year 5 would need to be implemented in the first year of the following regulatory control period, but it is unclear how this would occur'.</w:t>
      </w:r>
      <w:r w:rsidRPr="00D108C4">
        <w:rPr>
          <w:rStyle w:val="FootnoteReference"/>
        </w:rPr>
        <w:footnoteReference w:id="572"/>
      </w:r>
      <w:r w:rsidRPr="00D108C4">
        <w:t xml:space="preserve"> Our approach allows for a consistent and continuous practical implementation—both within a regulatory control or access arrangement period, and across multiple regulatory control or access arrangement periods. </w:t>
      </w:r>
    </w:p>
    <w:p w:rsidR="00F24F66" w:rsidRPr="00D108C4" w:rsidRDefault="00F24F66" w:rsidP="00F24F66">
      <w:pPr>
        <w:pStyle w:val="AERbulletlistfirststyle"/>
      </w:pPr>
      <w:r w:rsidRPr="00E761F9">
        <w:t>A one year lag allows for the return on debt for regulatory year t to be estimated over a period closer to that year, however, a one year lag increases the time before this estimate is incorporated into prices. This is because it is not possible to include the effect of year t's annual return on debt update in the pricing implementation for that year. We consider this mitigates some of the potential benefits of allowing the return on debt for regulatory year t to be estimated closer to that year. This would increase the mismatch between the allowed and incurred return on debt for a benchmark efficient entity because the allowed return on debt would only be updated to reflect the incurred return on debt one year later.</w:t>
      </w:r>
      <w:r w:rsidRPr="00D108C4">
        <w:rPr>
          <w:rStyle w:val="FootnoteReference"/>
        </w:rPr>
        <w:footnoteReference w:id="573"/>
      </w:r>
    </w:p>
    <w:p w:rsidR="008B6DB4" w:rsidRPr="00E761F9" w:rsidRDefault="00F24F66" w:rsidP="00F24F66">
      <w:pPr>
        <w:pStyle w:val="AERbulletlistfirststyle"/>
      </w:pPr>
      <w:r w:rsidRPr="00E761F9">
        <w:t>A one year lag adds further complexity and costs to the administration of regulation. We are not satisfied that there are benefits which outweigh the additional complexity resulting from the service providers' proposals. Given the existing complexity involved in the annual update process, a consistent approach across service providers is preferable to simplify the process where possible</w:t>
      </w:r>
      <w:r w:rsidR="008B6DB4" w:rsidRPr="00E761F9">
        <w:t>.</w:t>
      </w:r>
    </w:p>
    <w:p w:rsidR="00737E50" w:rsidRDefault="00737E50" w:rsidP="00737E50">
      <w:pPr>
        <w:pStyle w:val="Heading3"/>
      </w:pPr>
      <w:bookmarkStart w:id="91" w:name="_Ref450922237"/>
      <w:bookmarkStart w:id="92" w:name="_Toc451945478"/>
      <w:r>
        <w:t>Gearing</w:t>
      </w:r>
      <w:bookmarkEnd w:id="91"/>
      <w:bookmarkEnd w:id="92"/>
    </w:p>
    <w:p w:rsidR="00883C42" w:rsidRPr="00883C42" w:rsidRDefault="00883C42" w:rsidP="00883C42">
      <w:pPr>
        <w:numPr>
          <w:ilvl w:val="0"/>
          <w:numId w:val="24"/>
        </w:numPr>
      </w:pPr>
      <w:r w:rsidRPr="00883C42">
        <w:t>Our decision is to adopt a 60 per cent gearing ratio. A 60 per cent gearing ratio is the same as the gearing ratio we proposed in the Guideline and adopted in the</w:t>
      </w:r>
      <w:r w:rsidR="00BF089E">
        <w:t xml:space="preserve"> draft</w:t>
      </w:r>
      <w:r w:rsidRPr="00883C42">
        <w:t xml:space="preserve"> decision.</w:t>
      </w:r>
    </w:p>
    <w:p w:rsidR="00F50842" w:rsidRPr="00EF5528" w:rsidRDefault="00F50842" w:rsidP="00F50842">
      <w:pPr>
        <w:numPr>
          <w:ilvl w:val="0"/>
          <w:numId w:val="24"/>
        </w:numPr>
      </w:pPr>
      <w:r w:rsidRPr="00EF5528">
        <w:t>In the revised proposals</w:t>
      </w:r>
      <w:r>
        <w:t xml:space="preserve"> and access arrangements</w:t>
      </w:r>
      <w:r w:rsidRPr="00EF5528">
        <w:t xml:space="preserve"> currently before us, all of the service providers proposed a 60 per cent gearing ratio. We agree with that component of these proposals. However, we do not agree with the </w:t>
      </w:r>
      <w:r>
        <w:t>submissions</w:t>
      </w:r>
      <w:r w:rsidRPr="00EF5528">
        <w:t xml:space="preserve"> by some of the service providers that the adoption of a 60 per cent gearing ratio is 'likely to lead to a conservative (low) estimate of the overall rate of return'.</w:t>
      </w:r>
      <w:r w:rsidRPr="00EF5528">
        <w:rPr>
          <w:rStyle w:val="FootnoteReference"/>
        </w:rPr>
        <w:footnoteReference w:id="574"/>
      </w:r>
      <w:r w:rsidRPr="00EF5528">
        <w:t xml:space="preserve"> </w:t>
      </w:r>
      <w:r>
        <w:t>In support for their submission, t</w:t>
      </w:r>
      <w:r w:rsidRPr="00EF5528">
        <w:t>hese service providers referred to a report by Frontier Economics.</w:t>
      </w:r>
      <w:r w:rsidRPr="00EF5528">
        <w:rPr>
          <w:rStyle w:val="FootnoteReference"/>
        </w:rPr>
        <w:footnoteReference w:id="575"/>
      </w:r>
      <w:r w:rsidRPr="00EF5528">
        <w:t xml:space="preserve"> However, in this report, Frontier Economics clearly stated that it 'agree[s] with the AER’s conclusion that the relevant evidence supports leverage of 60%'.</w:t>
      </w:r>
      <w:r w:rsidRPr="00EF5528">
        <w:rPr>
          <w:rStyle w:val="FootnoteReference"/>
        </w:rPr>
        <w:footnoteReference w:id="576"/>
      </w:r>
      <w:r w:rsidRPr="00EF5528">
        <w:t xml:space="preserve"> </w:t>
      </w:r>
    </w:p>
    <w:p w:rsidR="00F50842" w:rsidRDefault="00F50842" w:rsidP="00F50842">
      <w:pPr>
        <w:numPr>
          <w:ilvl w:val="0"/>
          <w:numId w:val="24"/>
        </w:numPr>
      </w:pPr>
      <w:r>
        <w:t>T</w:t>
      </w:r>
      <w:r w:rsidRPr="00E94496">
        <w:t xml:space="preserve">he </w:t>
      </w:r>
      <w:r w:rsidRPr="00915660">
        <w:t>Energy Consumers Coalition of South Australia</w:t>
      </w:r>
      <w:r>
        <w:t xml:space="preserve"> (ECCSA)</w:t>
      </w:r>
      <w:r w:rsidRPr="00E94496">
        <w:t xml:space="preserve"> submitted that </w:t>
      </w:r>
      <w:r>
        <w:t>our adoption of a 60 per cent gearing ratio together with a credit rating of BBB+ for a benchmark efficient entity is '</w:t>
      </w:r>
      <w:r w:rsidRPr="00675D88">
        <w:t>conservative and could include a higher</w:t>
      </w:r>
      <w:r>
        <w:t xml:space="preserve"> </w:t>
      </w:r>
      <w:r w:rsidRPr="00675D88">
        <w:t>gearin</w:t>
      </w:r>
      <w:r>
        <w:t>g and/or a higher credit rating'.</w:t>
      </w:r>
      <w:r>
        <w:rPr>
          <w:rStyle w:val="FootnoteReference"/>
        </w:rPr>
        <w:footnoteReference w:id="577"/>
      </w:r>
      <w:r>
        <w:t xml:space="preserve"> ECCSA's view was based on analysis of the service providers' actual levels of gearing and actual credit ratings. Sub-panel 3 of the Consumer Challenge Panel (CCP3) also submitted that a 60 per cent gearing ratio is conservatively low and noted that there may be a disconnect between the gearing ratios and credit ratings of the service providers due to their uniquely stable cash flows.</w:t>
      </w:r>
      <w:r>
        <w:rPr>
          <w:rStyle w:val="FootnoteReference"/>
        </w:rPr>
        <w:footnoteReference w:id="578"/>
      </w:r>
    </w:p>
    <w:p w:rsidR="00883C42" w:rsidRPr="00883C42" w:rsidRDefault="00883C42" w:rsidP="00883C42">
      <w:pPr>
        <w:numPr>
          <w:ilvl w:val="0"/>
          <w:numId w:val="24"/>
        </w:numPr>
      </w:pPr>
      <w:r w:rsidRPr="00883C42">
        <w:t>Overall, 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883C42" w:rsidRPr="00883C42" w:rsidRDefault="00883C42" w:rsidP="00883C42">
      <w:pPr>
        <w:numPr>
          <w:ilvl w:val="0"/>
          <w:numId w:val="24"/>
        </w:numPr>
      </w:pPr>
      <w:r w:rsidRPr="00883C42">
        <w:t>Gearing is defined as the ratio of the value of debt to total capital (that is, debt and equity). 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In theory, the optimal debt to equity ratio is the point at which business value is maximised, where the marginal benefits just offset the marginal cost of debt. While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 In other words, we assume that the industry is, on average, efficient and therefore use the industry average to guide our regulatory benchmark.</w:t>
      </w:r>
    </w:p>
    <w:p w:rsidR="00883C42" w:rsidRPr="00883C42" w:rsidRDefault="00883C42" w:rsidP="00883C42">
      <w:pPr>
        <w:numPr>
          <w:ilvl w:val="0"/>
          <w:numId w:val="24"/>
        </w:numPr>
      </w:pPr>
      <w:r w:rsidRPr="00883C42">
        <w:t>We consider that the empirical evidence supports a gearing of 60 per cent. Average gearing levels from the 2009 WACC review are presented in the following table, as are the Bloomberg market valuations using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w:t>
      </w:r>
    </w:p>
    <w:p w:rsidR="00883C42" w:rsidRPr="00883C42" w:rsidRDefault="00883C42" w:rsidP="00883C42">
      <w:pPr>
        <w:pStyle w:val="Caption"/>
      </w:pPr>
      <w:r w:rsidRPr="00883C42">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Pr="00883C42">
        <w:noBreakHyphen/>
      </w:r>
      <w:r w:rsidR="00120312">
        <w:fldChar w:fldCharType="begin"/>
      </w:r>
      <w:r w:rsidR="00120312">
        <w:instrText xml:space="preserve"> SEQ Table \* ARABIC \s 1 </w:instrText>
      </w:r>
      <w:r w:rsidR="00120312">
        <w:fldChar w:fldCharType="separate"/>
      </w:r>
      <w:r w:rsidR="001A023B">
        <w:rPr>
          <w:noProof/>
        </w:rPr>
        <w:t>22</w:t>
      </w:r>
      <w:r w:rsidR="00120312">
        <w:rPr>
          <w:noProof/>
        </w:rPr>
        <w:fldChar w:fldCharType="end"/>
      </w:r>
      <w:r w:rsidRPr="00883C42">
        <w:tab/>
        <w:t>Averaging gearing ratio—Comparator set of firms</w:t>
      </w:r>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883C42" w:rsidRPr="00E94496" w:rsidTr="00E81255">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883C42" w:rsidRPr="00883C42" w:rsidRDefault="00883C42" w:rsidP="00883C42">
            <w:r w:rsidRPr="00883C42">
              <w:t>Year</w:t>
            </w:r>
          </w:p>
        </w:tc>
        <w:tc>
          <w:tcPr>
            <w:tcW w:w="1812" w:type="dxa"/>
            <w:noWrap/>
          </w:tcPr>
          <w:p w:rsidR="00883C42" w:rsidRPr="00883C42" w:rsidRDefault="00883C42" w:rsidP="00883C42">
            <w:r w:rsidRPr="00883C42">
              <w:t xml:space="preserve">2009 WACC review </w:t>
            </w:r>
          </w:p>
          <w:p w:rsidR="00883C42" w:rsidRPr="00883C42" w:rsidRDefault="00883C42" w:rsidP="00883C42">
            <w:r w:rsidRPr="00883C42">
              <w:t>2002–2007</w:t>
            </w:r>
            <w:r w:rsidRPr="00883C42">
              <w:rPr>
                <w:rStyle w:val="AERsuperscript"/>
              </w:rPr>
              <w:t>a</w:t>
            </w:r>
            <w:r w:rsidRPr="00883C42">
              <w:t xml:space="preserve"> </w:t>
            </w:r>
          </w:p>
        </w:tc>
        <w:tc>
          <w:tcPr>
            <w:tcW w:w="1813" w:type="dxa"/>
            <w:noWrap/>
          </w:tcPr>
          <w:p w:rsidR="00883C42" w:rsidRPr="00883C42" w:rsidRDefault="00883C42" w:rsidP="00883C42">
            <w:r w:rsidRPr="00883C42">
              <w:t>Bloomberg    (market value)</w:t>
            </w:r>
          </w:p>
          <w:p w:rsidR="00883C42" w:rsidRPr="00883C42" w:rsidRDefault="00883C42" w:rsidP="00883C42">
            <w:r w:rsidRPr="00883C42">
              <w:t>2002–2012            (full sample)</w:t>
            </w:r>
            <w:r w:rsidRPr="00883C42">
              <w:rPr>
                <w:rStyle w:val="AERsuperscript"/>
              </w:rPr>
              <w:t>b</w:t>
            </w:r>
          </w:p>
        </w:tc>
        <w:tc>
          <w:tcPr>
            <w:tcW w:w="1812" w:type="dxa"/>
          </w:tcPr>
          <w:p w:rsidR="00883C42" w:rsidRPr="00883C42" w:rsidRDefault="00883C42" w:rsidP="00883C42">
            <w:r w:rsidRPr="00883C42">
              <w:t>Bloomberg    (market value)</w:t>
            </w:r>
          </w:p>
          <w:p w:rsidR="00883C42" w:rsidRPr="00883C42" w:rsidRDefault="00883C42" w:rsidP="00883C42">
            <w:r w:rsidRPr="00883C42">
              <w:t>2002–2012     (refined sample)</w:t>
            </w:r>
            <w:r w:rsidRPr="00883C42">
              <w:rPr>
                <w:rStyle w:val="AERsuperscript"/>
              </w:rPr>
              <w:t>c</w:t>
            </w:r>
          </w:p>
        </w:tc>
        <w:tc>
          <w:tcPr>
            <w:tcW w:w="1813" w:type="dxa"/>
          </w:tcPr>
          <w:p w:rsidR="00883C42" w:rsidRPr="00883C42" w:rsidRDefault="00883C42" w:rsidP="00883C42">
            <w:r w:rsidRPr="00883C42">
              <w:t>Standard and Poor's (book value)</w:t>
            </w:r>
          </w:p>
          <w:p w:rsidR="00883C42" w:rsidRPr="00883C42" w:rsidRDefault="00883C42" w:rsidP="00883C42">
            <w:r w:rsidRPr="00883C42">
              <w:t>2008–2012</w:t>
            </w:r>
            <w:r w:rsidRPr="00883C42">
              <w:rPr>
                <w:rStyle w:val="AERsuperscript"/>
              </w:rPr>
              <w:t>d</w:t>
            </w:r>
          </w:p>
        </w:tc>
      </w:tr>
      <w:tr w:rsidR="00883C42" w:rsidRPr="00E94496" w:rsidTr="00E81255">
        <w:trPr>
          <w:trHeight w:val="255"/>
        </w:trPr>
        <w:tc>
          <w:tcPr>
            <w:tcW w:w="1812" w:type="dxa"/>
            <w:noWrap/>
          </w:tcPr>
          <w:p w:rsidR="00883C42" w:rsidRPr="00883C42" w:rsidRDefault="00883C42" w:rsidP="00883C42">
            <w:r w:rsidRPr="00883C42">
              <w:t>2002</w:t>
            </w:r>
          </w:p>
        </w:tc>
        <w:tc>
          <w:tcPr>
            <w:tcW w:w="1812" w:type="dxa"/>
            <w:noWrap/>
          </w:tcPr>
          <w:p w:rsidR="00883C42" w:rsidRPr="00883C42" w:rsidRDefault="00883C42" w:rsidP="00883C42">
            <w:r w:rsidRPr="00883C42">
              <w:t>65.1</w:t>
            </w:r>
          </w:p>
        </w:tc>
        <w:tc>
          <w:tcPr>
            <w:tcW w:w="1813" w:type="dxa"/>
            <w:noWrap/>
          </w:tcPr>
          <w:p w:rsidR="00883C42" w:rsidRPr="00883C42" w:rsidRDefault="00883C42" w:rsidP="00883C42">
            <w:r w:rsidRPr="00883C42">
              <w:t>54.5</w:t>
            </w:r>
          </w:p>
        </w:tc>
        <w:tc>
          <w:tcPr>
            <w:tcW w:w="1812" w:type="dxa"/>
          </w:tcPr>
          <w:p w:rsidR="00883C42" w:rsidRPr="00883C42" w:rsidRDefault="00883C42" w:rsidP="00883C42">
            <w:r w:rsidRPr="00883C42">
              <w:t>65.8</w:t>
            </w:r>
          </w:p>
        </w:tc>
        <w:tc>
          <w:tcPr>
            <w:tcW w:w="1813" w:type="dxa"/>
          </w:tcPr>
          <w:p w:rsidR="00883C42" w:rsidRPr="00883C42" w:rsidRDefault="00883C42" w:rsidP="00883C42">
            <w:r w:rsidRPr="00883C42">
              <w:t>N/A</w:t>
            </w:r>
          </w:p>
        </w:tc>
      </w:tr>
      <w:tr w:rsidR="00883C42" w:rsidRPr="00E94496" w:rsidTr="00E81255">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83C42" w:rsidRPr="00883C42" w:rsidRDefault="00883C42" w:rsidP="00883C42">
            <w:r w:rsidRPr="00883C42">
              <w:t>2003</w:t>
            </w:r>
          </w:p>
        </w:tc>
        <w:tc>
          <w:tcPr>
            <w:tcW w:w="1812" w:type="dxa"/>
            <w:noWrap/>
          </w:tcPr>
          <w:p w:rsidR="00883C42" w:rsidRPr="00883C42" w:rsidRDefault="00883C42" w:rsidP="00883C42">
            <w:r w:rsidRPr="00883C42">
              <w:t>64.8</w:t>
            </w:r>
          </w:p>
        </w:tc>
        <w:tc>
          <w:tcPr>
            <w:tcW w:w="1813" w:type="dxa"/>
            <w:noWrap/>
          </w:tcPr>
          <w:p w:rsidR="00883C42" w:rsidRPr="00883C42" w:rsidRDefault="00883C42" w:rsidP="00883C42">
            <w:r w:rsidRPr="00883C42">
              <w:t>51.8</w:t>
            </w:r>
          </w:p>
        </w:tc>
        <w:tc>
          <w:tcPr>
            <w:tcW w:w="1812" w:type="dxa"/>
          </w:tcPr>
          <w:p w:rsidR="00883C42" w:rsidRPr="00883C42" w:rsidRDefault="00883C42" w:rsidP="00883C42">
            <w:r w:rsidRPr="00883C42">
              <w:t>60.5</w:t>
            </w:r>
          </w:p>
        </w:tc>
        <w:tc>
          <w:tcPr>
            <w:tcW w:w="1813" w:type="dxa"/>
          </w:tcPr>
          <w:p w:rsidR="00883C42" w:rsidRPr="00883C42" w:rsidRDefault="00883C42" w:rsidP="00883C42">
            <w:r w:rsidRPr="00883C42">
              <w:t>N/A</w:t>
            </w:r>
          </w:p>
        </w:tc>
      </w:tr>
      <w:tr w:rsidR="00883C42" w:rsidRPr="00E94496" w:rsidTr="00E81255">
        <w:trPr>
          <w:trHeight w:val="255"/>
        </w:trPr>
        <w:tc>
          <w:tcPr>
            <w:tcW w:w="1812" w:type="dxa"/>
            <w:noWrap/>
          </w:tcPr>
          <w:p w:rsidR="00883C42" w:rsidRPr="00883C42" w:rsidRDefault="00883C42" w:rsidP="00883C42">
            <w:r w:rsidRPr="00883C42">
              <w:t>2004</w:t>
            </w:r>
          </w:p>
        </w:tc>
        <w:tc>
          <w:tcPr>
            <w:tcW w:w="1812" w:type="dxa"/>
            <w:noWrap/>
          </w:tcPr>
          <w:p w:rsidR="00883C42" w:rsidRPr="00883C42" w:rsidRDefault="00883C42" w:rsidP="00883C42">
            <w:r w:rsidRPr="00883C42">
              <w:t>61.7</w:t>
            </w:r>
          </w:p>
        </w:tc>
        <w:tc>
          <w:tcPr>
            <w:tcW w:w="1813" w:type="dxa"/>
            <w:noWrap/>
          </w:tcPr>
          <w:p w:rsidR="00883C42" w:rsidRPr="00883C42" w:rsidRDefault="00883C42" w:rsidP="00883C42">
            <w:r w:rsidRPr="00883C42">
              <w:t>51.2</w:t>
            </w:r>
          </w:p>
        </w:tc>
        <w:tc>
          <w:tcPr>
            <w:tcW w:w="1812" w:type="dxa"/>
          </w:tcPr>
          <w:p w:rsidR="00883C42" w:rsidRPr="00883C42" w:rsidRDefault="00883C42" w:rsidP="00883C42">
            <w:r w:rsidRPr="00883C42">
              <w:t>55.1</w:t>
            </w:r>
          </w:p>
        </w:tc>
        <w:tc>
          <w:tcPr>
            <w:tcW w:w="1813" w:type="dxa"/>
          </w:tcPr>
          <w:p w:rsidR="00883C42" w:rsidRPr="00883C42" w:rsidRDefault="00883C42" w:rsidP="00883C42">
            <w:r w:rsidRPr="00883C42">
              <w:t>N/A</w:t>
            </w:r>
          </w:p>
        </w:tc>
      </w:tr>
      <w:tr w:rsidR="00883C42" w:rsidRPr="00E94496" w:rsidTr="00E81255">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83C42" w:rsidRPr="00883C42" w:rsidRDefault="00883C42" w:rsidP="00883C42">
            <w:r w:rsidRPr="00883C42">
              <w:t>2005</w:t>
            </w:r>
          </w:p>
        </w:tc>
        <w:tc>
          <w:tcPr>
            <w:tcW w:w="1812" w:type="dxa"/>
            <w:noWrap/>
          </w:tcPr>
          <w:p w:rsidR="00883C42" w:rsidRPr="00883C42" w:rsidRDefault="00883C42" w:rsidP="00883C42">
            <w:r w:rsidRPr="00883C42">
              <w:t>64.6</w:t>
            </w:r>
          </w:p>
        </w:tc>
        <w:tc>
          <w:tcPr>
            <w:tcW w:w="1813" w:type="dxa"/>
            <w:noWrap/>
          </w:tcPr>
          <w:p w:rsidR="00883C42" w:rsidRPr="00883C42" w:rsidRDefault="00883C42" w:rsidP="00883C42">
            <w:r w:rsidRPr="00883C42">
              <w:t>51.2</w:t>
            </w:r>
          </w:p>
        </w:tc>
        <w:tc>
          <w:tcPr>
            <w:tcW w:w="1812" w:type="dxa"/>
          </w:tcPr>
          <w:p w:rsidR="00883C42" w:rsidRPr="00883C42" w:rsidRDefault="00883C42" w:rsidP="00883C42">
            <w:r w:rsidRPr="00883C42">
              <w:t>62.6</w:t>
            </w:r>
          </w:p>
        </w:tc>
        <w:tc>
          <w:tcPr>
            <w:tcW w:w="1813" w:type="dxa"/>
          </w:tcPr>
          <w:p w:rsidR="00883C42" w:rsidRPr="00883C42" w:rsidRDefault="00883C42" w:rsidP="00883C42">
            <w:r w:rsidRPr="00883C42">
              <w:t>N/A</w:t>
            </w:r>
          </w:p>
        </w:tc>
      </w:tr>
      <w:tr w:rsidR="00883C42" w:rsidRPr="00E94496" w:rsidTr="00E81255">
        <w:trPr>
          <w:trHeight w:val="255"/>
        </w:trPr>
        <w:tc>
          <w:tcPr>
            <w:tcW w:w="1812" w:type="dxa"/>
            <w:noWrap/>
          </w:tcPr>
          <w:p w:rsidR="00883C42" w:rsidRPr="00883C42" w:rsidRDefault="00883C42" w:rsidP="00883C42">
            <w:r w:rsidRPr="00883C42">
              <w:t>2006</w:t>
            </w:r>
          </w:p>
        </w:tc>
        <w:tc>
          <w:tcPr>
            <w:tcW w:w="1812" w:type="dxa"/>
            <w:noWrap/>
          </w:tcPr>
          <w:p w:rsidR="00883C42" w:rsidRPr="00883C42" w:rsidRDefault="00883C42" w:rsidP="00883C42">
            <w:r w:rsidRPr="00883C42">
              <w:t>63.0</w:t>
            </w:r>
          </w:p>
        </w:tc>
        <w:tc>
          <w:tcPr>
            <w:tcW w:w="1813" w:type="dxa"/>
            <w:noWrap/>
          </w:tcPr>
          <w:p w:rsidR="00883C42" w:rsidRPr="00883C42" w:rsidRDefault="00883C42" w:rsidP="00883C42">
            <w:r w:rsidRPr="00883C42">
              <w:t>56.6</w:t>
            </w:r>
          </w:p>
        </w:tc>
        <w:tc>
          <w:tcPr>
            <w:tcW w:w="1812" w:type="dxa"/>
          </w:tcPr>
          <w:p w:rsidR="00883C42" w:rsidRPr="00883C42" w:rsidRDefault="00883C42" w:rsidP="00883C42">
            <w:r w:rsidRPr="00883C42">
              <w:t>61.9</w:t>
            </w:r>
          </w:p>
        </w:tc>
        <w:tc>
          <w:tcPr>
            <w:tcW w:w="1813" w:type="dxa"/>
          </w:tcPr>
          <w:p w:rsidR="00883C42" w:rsidRPr="00883C42" w:rsidRDefault="00883C42" w:rsidP="00883C42">
            <w:r w:rsidRPr="00883C42">
              <w:t>N/A</w:t>
            </w:r>
          </w:p>
        </w:tc>
      </w:tr>
      <w:tr w:rsidR="00883C42" w:rsidRPr="00E94496" w:rsidTr="00E81255">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83C42" w:rsidRPr="00883C42" w:rsidRDefault="00883C42" w:rsidP="00883C42">
            <w:r w:rsidRPr="00883C42">
              <w:t>2007</w:t>
            </w:r>
          </w:p>
        </w:tc>
        <w:tc>
          <w:tcPr>
            <w:tcW w:w="1812" w:type="dxa"/>
            <w:noWrap/>
          </w:tcPr>
          <w:p w:rsidR="00883C42" w:rsidRPr="00883C42" w:rsidRDefault="00883C42" w:rsidP="00883C42">
            <w:r w:rsidRPr="00883C42">
              <w:t>60.5</w:t>
            </w:r>
          </w:p>
        </w:tc>
        <w:tc>
          <w:tcPr>
            <w:tcW w:w="1813" w:type="dxa"/>
            <w:noWrap/>
          </w:tcPr>
          <w:p w:rsidR="00883C42" w:rsidRPr="00883C42" w:rsidRDefault="00883C42" w:rsidP="00883C42">
            <w:r w:rsidRPr="00883C42">
              <w:t>57.6</w:t>
            </w:r>
          </w:p>
        </w:tc>
        <w:tc>
          <w:tcPr>
            <w:tcW w:w="1812" w:type="dxa"/>
          </w:tcPr>
          <w:p w:rsidR="00883C42" w:rsidRPr="00883C42" w:rsidRDefault="00883C42" w:rsidP="00883C42">
            <w:r w:rsidRPr="00883C42">
              <w:t>57.6</w:t>
            </w:r>
          </w:p>
        </w:tc>
        <w:tc>
          <w:tcPr>
            <w:tcW w:w="1813" w:type="dxa"/>
          </w:tcPr>
          <w:p w:rsidR="00883C42" w:rsidRPr="00883C42" w:rsidRDefault="00883C42" w:rsidP="00883C42">
            <w:r w:rsidRPr="00883C42">
              <w:t>N/A</w:t>
            </w:r>
          </w:p>
        </w:tc>
      </w:tr>
      <w:tr w:rsidR="00883C42" w:rsidRPr="00E94496" w:rsidTr="00E81255">
        <w:trPr>
          <w:trHeight w:val="255"/>
        </w:trPr>
        <w:tc>
          <w:tcPr>
            <w:tcW w:w="1812" w:type="dxa"/>
            <w:noWrap/>
          </w:tcPr>
          <w:p w:rsidR="00883C42" w:rsidRPr="00883C42" w:rsidRDefault="00883C42" w:rsidP="00883C42">
            <w:r w:rsidRPr="00883C42">
              <w:t>2008</w:t>
            </w:r>
          </w:p>
        </w:tc>
        <w:tc>
          <w:tcPr>
            <w:tcW w:w="1812" w:type="dxa"/>
            <w:noWrap/>
          </w:tcPr>
          <w:p w:rsidR="00883C42" w:rsidRPr="00883C42" w:rsidRDefault="00883C42" w:rsidP="00883C42">
            <w:r w:rsidRPr="00883C42">
              <w:t>N/A</w:t>
            </w:r>
          </w:p>
        </w:tc>
        <w:tc>
          <w:tcPr>
            <w:tcW w:w="1813" w:type="dxa"/>
            <w:noWrap/>
          </w:tcPr>
          <w:p w:rsidR="00883C42" w:rsidRPr="00883C42" w:rsidRDefault="00883C42" w:rsidP="00883C42">
            <w:r w:rsidRPr="00883C42">
              <w:t>68.3</w:t>
            </w:r>
          </w:p>
        </w:tc>
        <w:tc>
          <w:tcPr>
            <w:tcW w:w="1812" w:type="dxa"/>
          </w:tcPr>
          <w:p w:rsidR="00883C42" w:rsidRPr="00883C42" w:rsidRDefault="00883C42" w:rsidP="00883C42">
            <w:r w:rsidRPr="00883C42">
              <w:t>68.3</w:t>
            </w:r>
          </w:p>
        </w:tc>
        <w:tc>
          <w:tcPr>
            <w:tcW w:w="1813" w:type="dxa"/>
          </w:tcPr>
          <w:p w:rsidR="00883C42" w:rsidRPr="00883C42" w:rsidRDefault="00883C42" w:rsidP="00883C42">
            <w:r w:rsidRPr="00883C42">
              <w:t>70</w:t>
            </w:r>
          </w:p>
        </w:tc>
      </w:tr>
      <w:tr w:rsidR="00883C42" w:rsidRPr="00E94496" w:rsidTr="00E81255">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83C42" w:rsidRPr="00883C42" w:rsidRDefault="00883C42" w:rsidP="00883C42">
            <w:r w:rsidRPr="00883C42">
              <w:t>2009</w:t>
            </w:r>
          </w:p>
        </w:tc>
        <w:tc>
          <w:tcPr>
            <w:tcW w:w="1812" w:type="dxa"/>
            <w:noWrap/>
          </w:tcPr>
          <w:p w:rsidR="00883C42" w:rsidRPr="00883C42" w:rsidRDefault="00883C42" w:rsidP="00883C42">
            <w:r w:rsidRPr="00883C42">
              <w:t>N/A</w:t>
            </w:r>
          </w:p>
        </w:tc>
        <w:tc>
          <w:tcPr>
            <w:tcW w:w="1813" w:type="dxa"/>
            <w:noWrap/>
          </w:tcPr>
          <w:p w:rsidR="00883C42" w:rsidRPr="00883C42" w:rsidRDefault="00883C42" w:rsidP="00883C42">
            <w:r w:rsidRPr="00883C42">
              <w:t>68.8</w:t>
            </w:r>
          </w:p>
        </w:tc>
        <w:tc>
          <w:tcPr>
            <w:tcW w:w="1812" w:type="dxa"/>
          </w:tcPr>
          <w:p w:rsidR="00883C42" w:rsidRPr="00883C42" w:rsidRDefault="00883C42" w:rsidP="00883C42">
            <w:r w:rsidRPr="00883C42">
              <w:t>68.8</w:t>
            </w:r>
          </w:p>
        </w:tc>
        <w:tc>
          <w:tcPr>
            <w:tcW w:w="1813" w:type="dxa"/>
          </w:tcPr>
          <w:p w:rsidR="00883C42" w:rsidRPr="00883C42" w:rsidRDefault="00883C42" w:rsidP="00883C42">
            <w:r w:rsidRPr="00883C42">
              <w:t>69</w:t>
            </w:r>
          </w:p>
        </w:tc>
      </w:tr>
      <w:tr w:rsidR="00883C42" w:rsidRPr="00E94496" w:rsidTr="00E81255">
        <w:trPr>
          <w:trHeight w:val="255"/>
        </w:trPr>
        <w:tc>
          <w:tcPr>
            <w:tcW w:w="1812" w:type="dxa"/>
            <w:noWrap/>
          </w:tcPr>
          <w:p w:rsidR="00883C42" w:rsidRPr="00883C42" w:rsidRDefault="00883C42" w:rsidP="00883C42">
            <w:r w:rsidRPr="00883C42">
              <w:t>2010</w:t>
            </w:r>
          </w:p>
        </w:tc>
        <w:tc>
          <w:tcPr>
            <w:tcW w:w="1812" w:type="dxa"/>
            <w:noWrap/>
          </w:tcPr>
          <w:p w:rsidR="00883C42" w:rsidRPr="00883C42" w:rsidRDefault="00883C42" w:rsidP="00883C42">
            <w:r w:rsidRPr="00883C42">
              <w:t>N/A</w:t>
            </w:r>
          </w:p>
        </w:tc>
        <w:tc>
          <w:tcPr>
            <w:tcW w:w="1813" w:type="dxa"/>
            <w:noWrap/>
          </w:tcPr>
          <w:p w:rsidR="00883C42" w:rsidRPr="00883C42" w:rsidRDefault="00883C42" w:rsidP="00883C42">
            <w:r w:rsidRPr="00883C42">
              <w:t>65.5</w:t>
            </w:r>
          </w:p>
        </w:tc>
        <w:tc>
          <w:tcPr>
            <w:tcW w:w="1812" w:type="dxa"/>
          </w:tcPr>
          <w:p w:rsidR="00883C42" w:rsidRPr="00883C42" w:rsidRDefault="00883C42" w:rsidP="00883C42">
            <w:r w:rsidRPr="00883C42">
              <w:t>65.5</w:t>
            </w:r>
          </w:p>
        </w:tc>
        <w:tc>
          <w:tcPr>
            <w:tcW w:w="1813" w:type="dxa"/>
          </w:tcPr>
          <w:p w:rsidR="00883C42" w:rsidRPr="00883C42" w:rsidRDefault="00883C42" w:rsidP="00883C42">
            <w:r w:rsidRPr="00883C42">
              <w:t>66</w:t>
            </w:r>
          </w:p>
        </w:tc>
      </w:tr>
      <w:tr w:rsidR="00883C42" w:rsidRPr="00E94496" w:rsidTr="00E81255">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83C42" w:rsidRPr="00883C42" w:rsidRDefault="00883C42" w:rsidP="00883C42">
            <w:r w:rsidRPr="00883C42">
              <w:t>2011</w:t>
            </w:r>
          </w:p>
        </w:tc>
        <w:tc>
          <w:tcPr>
            <w:tcW w:w="1812" w:type="dxa"/>
            <w:noWrap/>
          </w:tcPr>
          <w:p w:rsidR="00883C42" w:rsidRPr="00883C42" w:rsidRDefault="00883C42" w:rsidP="00883C42">
            <w:r w:rsidRPr="00883C42">
              <w:t>N/A</w:t>
            </w:r>
          </w:p>
        </w:tc>
        <w:tc>
          <w:tcPr>
            <w:tcW w:w="1813" w:type="dxa"/>
            <w:noWrap/>
          </w:tcPr>
          <w:p w:rsidR="00883C42" w:rsidRPr="00883C42" w:rsidRDefault="00883C42" w:rsidP="00883C42">
            <w:r w:rsidRPr="00883C42">
              <w:t>63.2</w:t>
            </w:r>
          </w:p>
        </w:tc>
        <w:tc>
          <w:tcPr>
            <w:tcW w:w="1812" w:type="dxa"/>
          </w:tcPr>
          <w:p w:rsidR="00883C42" w:rsidRPr="00883C42" w:rsidRDefault="00883C42" w:rsidP="00883C42">
            <w:r w:rsidRPr="00883C42">
              <w:t>63.2</w:t>
            </w:r>
          </w:p>
        </w:tc>
        <w:tc>
          <w:tcPr>
            <w:tcW w:w="1813" w:type="dxa"/>
          </w:tcPr>
          <w:p w:rsidR="00883C42" w:rsidRPr="00883C42" w:rsidRDefault="00883C42" w:rsidP="00883C42">
            <w:r w:rsidRPr="00883C42">
              <w:t>62</w:t>
            </w:r>
          </w:p>
        </w:tc>
      </w:tr>
      <w:tr w:rsidR="00883C42" w:rsidRPr="00E94496" w:rsidTr="00E81255">
        <w:trPr>
          <w:trHeight w:val="255"/>
        </w:trPr>
        <w:tc>
          <w:tcPr>
            <w:tcW w:w="1812" w:type="dxa"/>
            <w:noWrap/>
          </w:tcPr>
          <w:p w:rsidR="00883C42" w:rsidRPr="00883C42" w:rsidRDefault="00883C42" w:rsidP="00883C42">
            <w:r w:rsidRPr="00883C42">
              <w:t>2012</w:t>
            </w:r>
          </w:p>
        </w:tc>
        <w:tc>
          <w:tcPr>
            <w:tcW w:w="1812" w:type="dxa"/>
            <w:noWrap/>
          </w:tcPr>
          <w:p w:rsidR="00883C42" w:rsidRPr="00883C42" w:rsidRDefault="00883C42" w:rsidP="00883C42">
            <w:r w:rsidRPr="00883C42">
              <w:t>N/A</w:t>
            </w:r>
          </w:p>
        </w:tc>
        <w:tc>
          <w:tcPr>
            <w:tcW w:w="1813" w:type="dxa"/>
            <w:noWrap/>
          </w:tcPr>
          <w:p w:rsidR="00883C42" w:rsidRPr="00883C42" w:rsidRDefault="00883C42" w:rsidP="00883C42">
            <w:r w:rsidRPr="00883C42">
              <w:t>60.6</w:t>
            </w:r>
          </w:p>
        </w:tc>
        <w:tc>
          <w:tcPr>
            <w:tcW w:w="1812" w:type="dxa"/>
          </w:tcPr>
          <w:p w:rsidR="00883C42" w:rsidRPr="00883C42" w:rsidRDefault="00883C42" w:rsidP="00883C42">
            <w:r w:rsidRPr="00883C42">
              <w:t>60.6</w:t>
            </w:r>
          </w:p>
        </w:tc>
        <w:tc>
          <w:tcPr>
            <w:tcW w:w="1813" w:type="dxa"/>
          </w:tcPr>
          <w:p w:rsidR="00883C42" w:rsidRPr="00883C42" w:rsidRDefault="00883C42" w:rsidP="00883C42">
            <w:r w:rsidRPr="00883C42">
              <w:t>65</w:t>
            </w:r>
          </w:p>
        </w:tc>
      </w:tr>
      <w:tr w:rsidR="00883C42" w:rsidRPr="00E94496" w:rsidTr="00E81255">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83C42" w:rsidRPr="00883C42" w:rsidRDefault="00883C42" w:rsidP="00883C42">
            <w:r w:rsidRPr="00883C42">
              <w:t>Average</w:t>
            </w:r>
          </w:p>
        </w:tc>
        <w:tc>
          <w:tcPr>
            <w:tcW w:w="1812" w:type="dxa"/>
            <w:noWrap/>
          </w:tcPr>
          <w:p w:rsidR="00883C42" w:rsidRPr="00883C42" w:rsidRDefault="00883C42" w:rsidP="00883C42">
            <w:r w:rsidRPr="00883C42">
              <w:t>63.3</w:t>
            </w:r>
          </w:p>
        </w:tc>
        <w:tc>
          <w:tcPr>
            <w:tcW w:w="1813" w:type="dxa"/>
            <w:noWrap/>
          </w:tcPr>
          <w:p w:rsidR="00883C42" w:rsidRPr="00883C42" w:rsidRDefault="00883C42" w:rsidP="00883C42">
            <w:r w:rsidRPr="00883C42">
              <w:t>59.0</w:t>
            </w:r>
          </w:p>
        </w:tc>
        <w:tc>
          <w:tcPr>
            <w:tcW w:w="1812" w:type="dxa"/>
          </w:tcPr>
          <w:p w:rsidR="00883C42" w:rsidRPr="00883C42" w:rsidRDefault="00883C42" w:rsidP="00883C42">
            <w:r w:rsidRPr="00883C42">
              <w:t>63.1</w:t>
            </w:r>
          </w:p>
        </w:tc>
        <w:tc>
          <w:tcPr>
            <w:tcW w:w="1813" w:type="dxa"/>
          </w:tcPr>
          <w:p w:rsidR="00883C42" w:rsidRPr="00883C42" w:rsidRDefault="00883C42" w:rsidP="00883C42">
            <w:r w:rsidRPr="00883C42">
              <w:t>66</w:t>
            </w:r>
          </w:p>
        </w:tc>
      </w:tr>
    </w:tbl>
    <w:p w:rsidR="00883C42" w:rsidRPr="00883C42" w:rsidRDefault="00883C42" w:rsidP="00883C42">
      <w:pPr>
        <w:pStyle w:val="AERtablesource"/>
      </w:pPr>
      <w:r w:rsidRPr="00883C42">
        <w:t xml:space="preserve">Source: </w:t>
      </w:r>
      <w:r w:rsidRPr="00883C42">
        <w:tab/>
        <w:t>AER analysis.</w:t>
      </w:r>
    </w:p>
    <w:p w:rsidR="00883C42" w:rsidRPr="00883C42" w:rsidRDefault="00883C42" w:rsidP="00883C42">
      <w:pPr>
        <w:pStyle w:val="AERtablesource"/>
      </w:pPr>
      <w:r w:rsidRPr="00883C42">
        <w:t xml:space="preserve">Notes: </w:t>
      </w:r>
      <w:r w:rsidRPr="00883C42">
        <w:tab/>
        <w:t xml:space="preserve">(a) AER, </w:t>
      </w:r>
      <w:r w:rsidRPr="00883C42">
        <w:rPr>
          <w:rStyle w:val="AERtextitalic"/>
        </w:rPr>
        <w:t>Final decision: Electricity transmission and distribution network service providers: Review of the weighted average cost of capital (WACC) parameters</w:t>
      </w:r>
      <w:r w:rsidRPr="00883C42">
        <w:t>, 1 May 2009, p. 124.</w:t>
      </w:r>
    </w:p>
    <w:p w:rsidR="00883C42" w:rsidRPr="00883C42" w:rsidRDefault="00883C42" w:rsidP="00883C42">
      <w:pPr>
        <w:pStyle w:val="AERtablesource"/>
      </w:pPr>
      <w:r w:rsidRPr="00883C42">
        <w:tab/>
        <w:t>(b) Analysis including full sample of businesses.</w:t>
      </w:r>
    </w:p>
    <w:p w:rsidR="00883C42" w:rsidRPr="00883C42" w:rsidRDefault="00883C42" w:rsidP="00883C42">
      <w:pPr>
        <w:pStyle w:val="AERtablesource"/>
      </w:pPr>
      <w:r w:rsidRPr="00883C42">
        <w:tab/>
        <w:t>(c) AGL, Alinta and GasNet excluded from the analysis.</w:t>
      </w:r>
    </w:p>
    <w:p w:rsidR="00883C42" w:rsidRPr="00883C42" w:rsidRDefault="00883C42" w:rsidP="00883C42">
      <w:pPr>
        <w:pStyle w:val="AERtablesource"/>
      </w:pPr>
      <w:r w:rsidRPr="00883C42">
        <w:tab/>
        <w:t xml:space="preserve">(d) ERA, </w:t>
      </w:r>
      <w:r w:rsidRPr="00883C42">
        <w:rPr>
          <w:rStyle w:val="AERtextitalic"/>
        </w:rPr>
        <w:t>Explanatory statement for the draft rate of return guidelines</w:t>
      </w:r>
      <w:r w:rsidRPr="00883C42">
        <w:t>, 6 August 2013, p. 49.</w:t>
      </w:r>
    </w:p>
    <w:p w:rsidR="00883C42" w:rsidRPr="00883C42" w:rsidRDefault="00883C42" w:rsidP="00883C42">
      <w:pPr>
        <w:numPr>
          <w:ilvl w:val="0"/>
          <w:numId w:val="24"/>
        </w:numPr>
      </w:pPr>
      <w:r w:rsidRPr="00883C42">
        <w:t>The benchmark gearing ratio is used:</w:t>
      </w:r>
    </w:p>
    <w:p w:rsidR="00883C42" w:rsidRPr="00883C42" w:rsidRDefault="00883C42" w:rsidP="00883C42">
      <w:pPr>
        <w:pStyle w:val="AERbulletlistfirststyle"/>
      </w:pPr>
      <w:r w:rsidRPr="00883C42">
        <w:t>to weight the expected required return on debt and equity to derive a WACC</w:t>
      </w:r>
    </w:p>
    <w:p w:rsidR="00883C42" w:rsidRPr="00883C42" w:rsidRDefault="00883C42" w:rsidP="00883C42">
      <w:pPr>
        <w:pStyle w:val="AERbulletlistfirststyle"/>
      </w:pPr>
      <w:r w:rsidRPr="00883C42">
        <w:t>to re-lever the asset betas for the purposes of comparing the levels of systematic risk across businesses, and</w:t>
      </w:r>
    </w:p>
    <w:p w:rsidR="00883C42" w:rsidRPr="00883C42" w:rsidRDefault="00883C42" w:rsidP="00883C42">
      <w:pPr>
        <w:pStyle w:val="AERbulletlistfirststyle"/>
      </w:pPr>
      <w:r w:rsidRPr="00883C42">
        <w:t>as a factor in estimating the benchmark credit rating.</w:t>
      </w:r>
      <w:r w:rsidRPr="00883C42">
        <w:rPr>
          <w:rStyle w:val="FootnoteReference"/>
        </w:rPr>
        <w:footnoteReference w:id="579"/>
      </w:r>
    </w:p>
    <w:p w:rsidR="00737E50" w:rsidRDefault="00737E50" w:rsidP="00BB7AE6">
      <w:pPr>
        <w:pStyle w:val="Heading3"/>
        <w:keepNext/>
      </w:pPr>
      <w:bookmarkStart w:id="93" w:name="_Ref450922240"/>
      <w:bookmarkStart w:id="94" w:name="_Toc451945479"/>
      <w:r>
        <w:t>Expected inflation rate</w:t>
      </w:r>
      <w:bookmarkEnd w:id="93"/>
      <w:bookmarkEnd w:id="94"/>
    </w:p>
    <w:p w:rsidR="00B07A7A" w:rsidRDefault="00B07A7A" w:rsidP="00BB7AE6">
      <w:pPr>
        <w:keepNext/>
      </w:pPr>
      <w:r>
        <w:t xml:space="preserve">Our estimate of expected inflation is set out in </w:t>
      </w:r>
      <w:r>
        <w:fldChar w:fldCharType="begin"/>
      </w:r>
      <w:r>
        <w:instrText xml:space="preserve"> REF  _Ref450909591 \* Lower \h </w:instrText>
      </w:r>
      <w:r>
        <w:fldChar w:fldCharType="separate"/>
      </w:r>
      <w:r w:rsidR="001A023B">
        <w:t xml:space="preserve">table </w:t>
      </w:r>
      <w:r w:rsidR="001A023B">
        <w:rPr>
          <w:noProof/>
        </w:rPr>
        <w:t>3</w:t>
      </w:r>
      <w:r w:rsidR="001A023B">
        <w:noBreakHyphen/>
      </w:r>
      <w:r w:rsidR="001A023B">
        <w:rPr>
          <w:noProof/>
        </w:rPr>
        <w:t>23</w:t>
      </w:r>
      <w:r>
        <w:fldChar w:fldCharType="end"/>
      </w:r>
      <w:r>
        <w:t xml:space="preserve">. </w:t>
      </w:r>
      <w:r w:rsidRPr="00C66100">
        <w:t xml:space="preserve">We base our approach on an average of the RBA's short term inflation forecasts and the mid-point of the </w:t>
      </w:r>
      <w:r>
        <w:t>RBA’s inflation targeting band.</w:t>
      </w:r>
    </w:p>
    <w:p w:rsidR="00B07A7A" w:rsidRDefault="00B07A7A" w:rsidP="00B07A7A">
      <w:r w:rsidRPr="00C66100">
        <w:t>This</w:t>
      </w:r>
      <w:r>
        <w:t xml:space="preserve"> method is consistent with what w</w:t>
      </w:r>
      <w:r w:rsidRPr="00C66100">
        <w:t>e have previously adopted</w:t>
      </w:r>
      <w:r>
        <w:t xml:space="preserve"> and applied since 2008, as well as</w:t>
      </w:r>
      <w:r w:rsidRPr="00E04B8A">
        <w:t xml:space="preserve"> </w:t>
      </w:r>
      <w:r>
        <w:t>ActewAGL's</w:t>
      </w:r>
      <w:r w:rsidRPr="00E04B8A">
        <w:t xml:space="preserve"> </w:t>
      </w:r>
      <w:r>
        <w:t>access arrangement</w:t>
      </w:r>
      <w:r w:rsidRPr="00E04B8A">
        <w:t xml:space="preserve"> proposal and our </w:t>
      </w:r>
      <w:r>
        <w:t xml:space="preserve">draft </w:t>
      </w:r>
      <w:r w:rsidRPr="00E04B8A">
        <w:t>de</w:t>
      </w:r>
      <w:r>
        <w:t>cision (the current method).</w:t>
      </w:r>
      <w:r w:rsidRPr="00DA79C8">
        <w:rPr>
          <w:rStyle w:val="FootnoteReference"/>
        </w:rPr>
        <w:footnoteReference w:id="580"/>
      </w:r>
      <w:r>
        <w:t xml:space="preserve"> We consider the current method to be a reasonable estimation method for the following reasons:</w:t>
      </w:r>
    </w:p>
    <w:p w:rsidR="00B07A7A" w:rsidRPr="00B07A7A" w:rsidRDefault="00B07A7A" w:rsidP="00B07A7A">
      <w:pPr>
        <w:pStyle w:val="AERbulletlistfirststyle"/>
      </w:pPr>
      <w:r>
        <w:t xml:space="preserve">RBA </w:t>
      </w:r>
      <w:r w:rsidRPr="00B07A7A">
        <w:t>research indicates that its one year inflation forecasts have substantial explanatory power.</w:t>
      </w:r>
      <w:r w:rsidRPr="00B07A7A">
        <w:rPr>
          <w:rStyle w:val="FootnoteReference"/>
        </w:rPr>
        <w:footnoteReference w:id="581"/>
      </w:r>
    </w:p>
    <w:p w:rsidR="00B07A7A" w:rsidRPr="00B07A7A" w:rsidRDefault="00B07A7A" w:rsidP="00B07A7A">
      <w:pPr>
        <w:pStyle w:val="AERbulletlistfirststyle"/>
      </w:pPr>
      <w:r w:rsidRPr="00D62DC1">
        <w:t>To the extent that the historical success of RBA monetary policy informs m</w:t>
      </w:r>
      <w:r w:rsidRPr="00B07A7A">
        <w:t>arket consensus inflation expectations, the mid-point of the RBA's inflation targeting band would reflect longer term inflation expectations. We note that since inflation rate targeting in 1993, the average annualised inflation rate has been approximately 2.6 per cent, which is close to the 2.5 per cent midpoint of the target band.</w:t>
      </w:r>
    </w:p>
    <w:p w:rsidR="00B07A7A" w:rsidRPr="00B07A7A" w:rsidRDefault="00B07A7A" w:rsidP="00B07A7A">
      <w:pPr>
        <w:pStyle w:val="AERbulletlistfirststyle"/>
      </w:pPr>
      <w:r>
        <w:t>Evidence indicates</w:t>
      </w:r>
      <w:r w:rsidRPr="00B07A7A">
        <w:t xml:space="preserve"> that the RBA's control of official interest rates and commentary has an impact on outturn inflation and inflation expectations.</w:t>
      </w:r>
      <w:r w:rsidRPr="00B07A7A">
        <w:rPr>
          <w:rStyle w:val="FootnoteReference"/>
        </w:rPr>
        <w:footnoteReference w:id="582"/>
      </w:r>
    </w:p>
    <w:p w:rsidR="00B07A7A" w:rsidRPr="00B07A7A" w:rsidRDefault="00B07A7A" w:rsidP="00B07A7A">
      <w:pPr>
        <w:pStyle w:val="AERbulletlistfirststyle"/>
      </w:pPr>
      <w:r w:rsidRPr="00B6405A">
        <w:t>This</w:t>
      </w:r>
      <w:r w:rsidRPr="00B07A7A">
        <w:t xml:space="preserve"> method is simple, transparent, easily replicated and unlikely to be subject to estimation error.</w:t>
      </w:r>
    </w:p>
    <w:p w:rsidR="00B07A7A" w:rsidRDefault="00B07A7A" w:rsidP="00B07A7A">
      <w:r>
        <w:t xml:space="preserve">In the draft decision, we noted our expectation that </w:t>
      </w:r>
      <w:r w:rsidRPr="00AF5BA1">
        <w:t xml:space="preserve">the RBA </w:t>
      </w:r>
      <w:r>
        <w:t xml:space="preserve">would </w:t>
      </w:r>
      <w:r w:rsidRPr="00AF5BA1">
        <w:t xml:space="preserve">publish a more recent inflation forecast before our </w:t>
      </w:r>
      <w:r>
        <w:t>final</w:t>
      </w:r>
      <w:r w:rsidRPr="00AF5BA1">
        <w:t xml:space="preserve"> decision, and </w:t>
      </w:r>
      <w:r>
        <w:t xml:space="preserve">that </w:t>
      </w:r>
      <w:r w:rsidRPr="00AF5BA1">
        <w:t>we will update the value of the expected inflation rate accordingly in the</w:t>
      </w:r>
      <w:r>
        <w:t xml:space="preserve"> final decision.</w:t>
      </w:r>
      <w:r>
        <w:rPr>
          <w:rStyle w:val="FootnoteReference"/>
        </w:rPr>
        <w:footnoteReference w:id="583"/>
      </w:r>
      <w:r>
        <w:t xml:space="preserve"> Consistent with our draft decision, our final decision reflects updated RBA forecasts from May 2016. As the interval of delay is the base year for ActewAGL's access arrangement period, the first relevant inflation forecast is for end-June 2016.</w:t>
      </w:r>
      <w:r>
        <w:rPr>
          <w:rStyle w:val="FootnoteReference"/>
        </w:rPr>
        <w:footnoteReference w:id="584"/>
      </w:r>
    </w:p>
    <w:p w:rsidR="00EA4C14" w:rsidRDefault="00EA4C14" w:rsidP="00B07A7A"/>
    <w:p w:rsidR="00B07A7A" w:rsidRDefault="00B07A7A" w:rsidP="00B07A7A">
      <w:pPr>
        <w:pStyle w:val="Caption"/>
      </w:pPr>
      <w:bookmarkStart w:id="95" w:name="_Ref450909591"/>
      <w:r>
        <w:t xml:space="preserve">Table </w:t>
      </w:r>
      <w:r w:rsidRPr="00B07A7A">
        <w:fldChar w:fldCharType="begin"/>
      </w:r>
      <w:r>
        <w:instrText xml:space="preserve"> STYLEREF 1 \s </w:instrText>
      </w:r>
      <w:r w:rsidRPr="00B07A7A">
        <w:fldChar w:fldCharType="separate"/>
      </w:r>
      <w:r w:rsidR="001A023B">
        <w:rPr>
          <w:noProof/>
        </w:rPr>
        <w:t>3</w:t>
      </w:r>
      <w:r w:rsidRPr="00B07A7A">
        <w:fldChar w:fldCharType="end"/>
      </w:r>
      <w:r>
        <w:noBreakHyphen/>
      </w:r>
      <w:r w:rsidRPr="00B07A7A">
        <w:fldChar w:fldCharType="begin"/>
      </w:r>
      <w:r>
        <w:instrText xml:space="preserve"> SEQ Table \* ARABIC \s 1 </w:instrText>
      </w:r>
      <w:r w:rsidRPr="00B07A7A">
        <w:fldChar w:fldCharType="separate"/>
      </w:r>
      <w:r w:rsidR="001A023B">
        <w:rPr>
          <w:noProof/>
        </w:rPr>
        <w:t>23</w:t>
      </w:r>
      <w:r w:rsidRPr="00B07A7A">
        <w:fldChar w:fldCharType="end"/>
      </w:r>
      <w:bookmarkEnd w:id="95"/>
      <w:r>
        <w:tab/>
      </w:r>
      <w:r w:rsidRPr="00C66100">
        <w:t xml:space="preserve">AER </w:t>
      </w:r>
      <w:r>
        <w:t>estimate of expected inflation</w:t>
      </w:r>
      <w:r w:rsidRPr="00C66100">
        <w:t xml:space="preserve"> (per cent)</w:t>
      </w:r>
    </w:p>
    <w:tbl>
      <w:tblPr>
        <w:tblStyle w:val="AERtable-numbers"/>
        <w:tblW w:w="5000" w:type="pct"/>
        <w:tblLook w:val="04A0" w:firstRow="1" w:lastRow="0" w:firstColumn="1" w:lastColumn="0" w:noHBand="0" w:noVBand="1"/>
      </w:tblPr>
      <w:tblGrid>
        <w:gridCol w:w="2228"/>
        <w:gridCol w:w="1004"/>
        <w:gridCol w:w="1003"/>
        <w:gridCol w:w="1128"/>
        <w:gridCol w:w="1504"/>
        <w:gridCol w:w="1826"/>
      </w:tblGrid>
      <w:tr w:rsidR="00B07A7A" w:rsidRPr="00616FA2" w:rsidTr="003C3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rsidR="00B07A7A" w:rsidRPr="00B07A7A" w:rsidRDefault="00B07A7A" w:rsidP="00B07A7A">
            <w:r>
              <w:t>Expected</w:t>
            </w:r>
            <w:r w:rsidRPr="00B07A7A">
              <w:t xml:space="preserve"> inflation</w:t>
            </w:r>
          </w:p>
        </w:tc>
        <w:tc>
          <w:tcPr>
            <w:tcW w:w="577" w:type="pct"/>
          </w:tcPr>
          <w:p w:rsidR="00B07A7A" w:rsidRPr="00B07A7A" w:rsidRDefault="00B07A7A" w:rsidP="00B07A7A">
            <w:pPr>
              <w:cnfStyle w:val="100000000000" w:firstRow="1" w:lastRow="0" w:firstColumn="0" w:lastColumn="0" w:oddVBand="0" w:evenVBand="0" w:oddHBand="0" w:evenHBand="0" w:firstRowFirstColumn="0" w:firstRowLastColumn="0" w:lastRowFirstColumn="0" w:lastRowLastColumn="0"/>
            </w:pPr>
            <w:r>
              <w:t>2015-16</w:t>
            </w:r>
          </w:p>
        </w:tc>
        <w:tc>
          <w:tcPr>
            <w:tcW w:w="577" w:type="pct"/>
          </w:tcPr>
          <w:p w:rsidR="00B07A7A" w:rsidRPr="00B07A7A" w:rsidRDefault="00B07A7A" w:rsidP="00B07A7A">
            <w:pPr>
              <w:cnfStyle w:val="100000000000" w:firstRow="1" w:lastRow="0" w:firstColumn="0" w:lastColumn="0" w:oddVBand="0" w:evenVBand="0" w:oddHBand="0" w:evenHBand="0" w:firstRowFirstColumn="0" w:firstRowLastColumn="0" w:lastRowFirstColumn="0" w:lastRowLastColumn="0"/>
            </w:pPr>
            <w:r>
              <w:t>2016-17</w:t>
            </w:r>
          </w:p>
        </w:tc>
        <w:tc>
          <w:tcPr>
            <w:tcW w:w="649" w:type="pct"/>
          </w:tcPr>
          <w:p w:rsidR="00B07A7A" w:rsidRPr="00B07A7A" w:rsidRDefault="00B07A7A" w:rsidP="00B07A7A">
            <w:pPr>
              <w:cnfStyle w:val="100000000000" w:firstRow="1" w:lastRow="0" w:firstColumn="0" w:lastColumn="0" w:oddVBand="0" w:evenVBand="0" w:oddHBand="0" w:evenHBand="0" w:firstRowFirstColumn="0" w:firstRowLastColumn="0" w:lastRowFirstColumn="0" w:lastRowLastColumn="0"/>
            </w:pPr>
            <w:r>
              <w:t>2017-18</w:t>
            </w:r>
          </w:p>
        </w:tc>
        <w:tc>
          <w:tcPr>
            <w:tcW w:w="865" w:type="pct"/>
          </w:tcPr>
          <w:p w:rsidR="00B07A7A" w:rsidRPr="00B07A7A" w:rsidRDefault="00B07A7A" w:rsidP="00B07A7A">
            <w:pPr>
              <w:cnfStyle w:val="100000000000" w:firstRow="1" w:lastRow="0" w:firstColumn="0" w:lastColumn="0" w:oddVBand="0" w:evenVBand="0" w:oddHBand="0" w:evenHBand="0" w:firstRowFirstColumn="0" w:firstRowLastColumn="0" w:lastRowFirstColumn="0" w:lastRowLastColumn="0"/>
            </w:pPr>
            <w:r>
              <w:t>2018</w:t>
            </w:r>
            <w:r w:rsidRPr="00B07A7A">
              <w:t xml:space="preserve"> to 2025</w:t>
            </w:r>
          </w:p>
        </w:tc>
        <w:tc>
          <w:tcPr>
            <w:tcW w:w="1050" w:type="pct"/>
          </w:tcPr>
          <w:p w:rsidR="00B07A7A" w:rsidRPr="00B07A7A" w:rsidRDefault="00B07A7A" w:rsidP="00B07A7A">
            <w:pPr>
              <w:cnfStyle w:val="100000000000" w:firstRow="1" w:lastRow="0" w:firstColumn="0" w:lastColumn="0" w:oddVBand="0" w:evenVBand="0" w:oddHBand="0" w:evenHBand="0" w:firstRowFirstColumn="0" w:firstRowLastColumn="0" w:lastRowFirstColumn="0" w:lastRowLastColumn="0"/>
            </w:pPr>
            <w:r w:rsidRPr="00616FA2">
              <w:t xml:space="preserve">Geometric </w:t>
            </w:r>
            <w:r w:rsidRPr="00B07A7A">
              <w:t>average</w:t>
            </w:r>
          </w:p>
        </w:tc>
      </w:tr>
      <w:tr w:rsidR="00B07A7A" w:rsidRPr="00616FA2" w:rsidTr="003C3515">
        <w:tc>
          <w:tcPr>
            <w:cnfStyle w:val="001000000000" w:firstRow="0" w:lastRow="0" w:firstColumn="1" w:lastColumn="0" w:oddVBand="0" w:evenVBand="0" w:oddHBand="0" w:evenHBand="0" w:firstRowFirstColumn="0" w:firstRowLastColumn="0" w:lastRowFirstColumn="0" w:lastRowLastColumn="0"/>
            <w:tcW w:w="1281" w:type="pct"/>
          </w:tcPr>
          <w:p w:rsidR="00B07A7A" w:rsidRPr="00B07A7A" w:rsidRDefault="00B07A7A" w:rsidP="00B07A7A">
            <w:r w:rsidRPr="00AF5BA1">
              <w:t xml:space="preserve">AER </w:t>
            </w:r>
            <w:r w:rsidRPr="00B07A7A">
              <w:t>draft decision</w:t>
            </w:r>
          </w:p>
        </w:tc>
        <w:tc>
          <w:tcPr>
            <w:tcW w:w="577" w:type="pct"/>
          </w:tcPr>
          <w:p w:rsidR="00B07A7A" w:rsidRPr="00B07A7A" w:rsidRDefault="00B07A7A" w:rsidP="00B07A7A">
            <w:pPr>
              <w:cnfStyle w:val="000000000000" w:firstRow="0" w:lastRow="0" w:firstColumn="0" w:lastColumn="0" w:oddVBand="0" w:evenVBand="0" w:oddHBand="0" w:evenHBand="0" w:firstRowFirstColumn="0" w:firstRowLastColumn="0" w:lastRowFirstColumn="0" w:lastRowLastColumn="0"/>
            </w:pPr>
            <w:r>
              <w:t>N/A</w:t>
            </w:r>
          </w:p>
        </w:tc>
        <w:tc>
          <w:tcPr>
            <w:tcW w:w="577" w:type="pct"/>
          </w:tcPr>
          <w:p w:rsidR="00B07A7A" w:rsidRPr="00B07A7A" w:rsidRDefault="00B07A7A" w:rsidP="00B07A7A">
            <w:pPr>
              <w:cnfStyle w:val="000000000000" w:firstRow="0" w:lastRow="0" w:firstColumn="0" w:lastColumn="0" w:oddVBand="0" w:evenVBand="0" w:oddHBand="0" w:evenHBand="0" w:firstRowFirstColumn="0" w:firstRowLastColumn="0" w:lastRowFirstColumn="0" w:lastRowLastColumn="0"/>
            </w:pPr>
            <w:r>
              <w:t>2.</w:t>
            </w:r>
            <w:r w:rsidRPr="00B07A7A">
              <w:t>5</w:t>
            </w:r>
            <w:r w:rsidRPr="00B07A7A">
              <w:rPr>
                <w:rStyle w:val="FootnoteReference"/>
              </w:rPr>
              <w:t xml:space="preserve"> a</w:t>
            </w:r>
          </w:p>
        </w:tc>
        <w:tc>
          <w:tcPr>
            <w:tcW w:w="649" w:type="pct"/>
          </w:tcPr>
          <w:p w:rsidR="00B07A7A" w:rsidRPr="00B07A7A" w:rsidRDefault="00B07A7A" w:rsidP="00B07A7A">
            <w:pPr>
              <w:cnfStyle w:val="000000000000" w:firstRow="0" w:lastRow="0" w:firstColumn="0" w:lastColumn="0" w:oddVBand="0" w:evenVBand="0" w:oddHBand="0" w:evenHBand="0" w:firstRowFirstColumn="0" w:firstRowLastColumn="0" w:lastRowFirstColumn="0" w:lastRowLastColumn="0"/>
            </w:pPr>
            <w:r>
              <w:t>2.</w:t>
            </w:r>
            <w:r w:rsidRPr="00B07A7A">
              <w:t>5</w:t>
            </w:r>
            <w:r w:rsidRPr="00B07A7A">
              <w:rPr>
                <w:rStyle w:val="FootnoteReference"/>
              </w:rPr>
              <w:t xml:space="preserve"> a</w:t>
            </w:r>
          </w:p>
        </w:tc>
        <w:tc>
          <w:tcPr>
            <w:tcW w:w="865" w:type="pct"/>
          </w:tcPr>
          <w:p w:rsidR="00B07A7A" w:rsidRPr="00B07A7A" w:rsidRDefault="00B07A7A" w:rsidP="00B07A7A">
            <w:pPr>
              <w:cnfStyle w:val="000000000000" w:firstRow="0" w:lastRow="0" w:firstColumn="0" w:lastColumn="0" w:oddVBand="0" w:evenVBand="0" w:oddHBand="0" w:evenHBand="0" w:firstRowFirstColumn="0" w:firstRowLastColumn="0" w:lastRowFirstColumn="0" w:lastRowLastColumn="0"/>
            </w:pPr>
            <w:r w:rsidRPr="00AF5BA1">
              <w:t>2.5</w:t>
            </w:r>
          </w:p>
        </w:tc>
        <w:tc>
          <w:tcPr>
            <w:tcW w:w="1050" w:type="pct"/>
          </w:tcPr>
          <w:p w:rsidR="00B07A7A" w:rsidRPr="00B07A7A" w:rsidRDefault="00B07A7A" w:rsidP="00B07A7A">
            <w:pPr>
              <w:cnfStyle w:val="000000000000" w:firstRow="0" w:lastRow="0" w:firstColumn="0" w:lastColumn="0" w:oddVBand="0" w:evenVBand="0" w:oddHBand="0" w:evenHBand="0" w:firstRowFirstColumn="0" w:firstRowLastColumn="0" w:lastRowFirstColumn="0" w:lastRowLastColumn="0"/>
            </w:pPr>
            <w:r w:rsidRPr="00AF5BA1">
              <w:t>2.5</w:t>
            </w:r>
            <w:r w:rsidRPr="00B07A7A">
              <w:t>0</w:t>
            </w:r>
          </w:p>
        </w:tc>
      </w:tr>
      <w:tr w:rsidR="00B07A7A" w:rsidRPr="00616FA2" w:rsidTr="003C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rsidR="00B07A7A" w:rsidRPr="00B07A7A" w:rsidRDefault="00B07A7A" w:rsidP="00B07A7A">
            <w:r>
              <w:t xml:space="preserve">AER </w:t>
            </w:r>
            <w:r w:rsidRPr="00B07A7A">
              <w:t>final decision update</w:t>
            </w:r>
          </w:p>
        </w:tc>
        <w:tc>
          <w:tcPr>
            <w:tcW w:w="577" w:type="pct"/>
          </w:tcPr>
          <w:p w:rsidR="00B07A7A" w:rsidRPr="00B07A7A" w:rsidRDefault="00B07A7A" w:rsidP="00B07A7A">
            <w:pPr>
              <w:cnfStyle w:val="000000010000" w:firstRow="0" w:lastRow="0" w:firstColumn="0" w:lastColumn="0" w:oddVBand="0" w:evenVBand="0" w:oddHBand="0" w:evenHBand="1" w:firstRowFirstColumn="0" w:firstRowLastColumn="0" w:lastRowFirstColumn="0" w:lastRowLastColumn="0"/>
            </w:pPr>
            <w:r>
              <w:t xml:space="preserve">1.0 </w:t>
            </w:r>
            <w:r w:rsidRPr="00B07A7A">
              <w:rPr>
                <w:rStyle w:val="AERsuperscript"/>
              </w:rPr>
              <w:t>b</w:t>
            </w:r>
          </w:p>
        </w:tc>
        <w:tc>
          <w:tcPr>
            <w:tcW w:w="577" w:type="pct"/>
          </w:tcPr>
          <w:p w:rsidR="00B07A7A" w:rsidRPr="00B07A7A" w:rsidRDefault="00B07A7A" w:rsidP="00B07A7A">
            <w:pPr>
              <w:cnfStyle w:val="000000010000" w:firstRow="0" w:lastRow="0" w:firstColumn="0" w:lastColumn="0" w:oddVBand="0" w:evenVBand="0" w:oddHBand="0" w:evenHBand="1" w:firstRowFirstColumn="0" w:firstRowLastColumn="0" w:lastRowFirstColumn="0" w:lastRowLastColumn="0"/>
            </w:pPr>
            <w:r>
              <w:t xml:space="preserve">2.0 </w:t>
            </w:r>
            <w:r w:rsidRPr="00B07A7A">
              <w:rPr>
                <w:rStyle w:val="FootnoteReference"/>
              </w:rPr>
              <w:t>b</w:t>
            </w:r>
          </w:p>
        </w:tc>
        <w:tc>
          <w:tcPr>
            <w:tcW w:w="649" w:type="pct"/>
          </w:tcPr>
          <w:p w:rsidR="00B07A7A" w:rsidRPr="00B07A7A" w:rsidRDefault="00B07A7A" w:rsidP="00B07A7A">
            <w:pPr>
              <w:cnfStyle w:val="000000010000" w:firstRow="0" w:lastRow="0" w:firstColumn="0" w:lastColumn="0" w:oddVBand="0" w:evenVBand="0" w:oddHBand="0" w:evenHBand="1" w:firstRowFirstColumn="0" w:firstRowLastColumn="0" w:lastRowFirstColumn="0" w:lastRowLastColumn="0"/>
            </w:pPr>
            <w:r>
              <w:t xml:space="preserve">2.0 </w:t>
            </w:r>
            <w:r w:rsidRPr="00B07A7A">
              <w:rPr>
                <w:rStyle w:val="FootnoteReference"/>
              </w:rPr>
              <w:t>b</w:t>
            </w:r>
          </w:p>
        </w:tc>
        <w:tc>
          <w:tcPr>
            <w:tcW w:w="865" w:type="pct"/>
          </w:tcPr>
          <w:p w:rsidR="00B07A7A" w:rsidRPr="00B07A7A" w:rsidRDefault="00B07A7A" w:rsidP="00B07A7A">
            <w:pPr>
              <w:cnfStyle w:val="000000010000" w:firstRow="0" w:lastRow="0" w:firstColumn="0" w:lastColumn="0" w:oddVBand="0" w:evenVBand="0" w:oddHBand="0" w:evenHBand="1" w:firstRowFirstColumn="0" w:firstRowLastColumn="0" w:lastRowFirstColumn="0" w:lastRowLastColumn="0"/>
            </w:pPr>
            <w:r>
              <w:t>2.5</w:t>
            </w:r>
          </w:p>
        </w:tc>
        <w:tc>
          <w:tcPr>
            <w:tcW w:w="1050" w:type="pct"/>
          </w:tcPr>
          <w:p w:rsidR="00B07A7A" w:rsidRPr="00B07A7A" w:rsidRDefault="00B07A7A" w:rsidP="00B07A7A">
            <w:pPr>
              <w:cnfStyle w:val="000000010000" w:firstRow="0" w:lastRow="0" w:firstColumn="0" w:lastColumn="0" w:oddVBand="0" w:evenVBand="0" w:oddHBand="0" w:evenHBand="1" w:firstRowFirstColumn="0" w:firstRowLastColumn="0" w:lastRowFirstColumn="0" w:lastRowLastColumn="0"/>
            </w:pPr>
            <w:r>
              <w:t>2.</w:t>
            </w:r>
            <w:r w:rsidRPr="00B07A7A">
              <w:t>18</w:t>
            </w:r>
          </w:p>
        </w:tc>
      </w:tr>
    </w:tbl>
    <w:p w:rsidR="00B07A7A" w:rsidRDefault="00B07A7A" w:rsidP="00B07A7A">
      <w:pPr>
        <w:pStyle w:val="AERtablesource"/>
      </w:pPr>
      <w:r w:rsidRPr="008234EE">
        <w:t xml:space="preserve">Source: </w:t>
      </w:r>
      <w:r>
        <w:tab/>
      </w:r>
      <w:r w:rsidRPr="008234EE">
        <w:t xml:space="preserve">RBA, </w:t>
      </w:r>
      <w:r w:rsidRPr="00391888">
        <w:rPr>
          <w:rStyle w:val="AERtextitalic"/>
        </w:rPr>
        <w:t>Statement on Monetary Policy</w:t>
      </w:r>
      <w:r w:rsidRPr="008234EE">
        <w:t xml:space="preserve">, </w:t>
      </w:r>
      <w:r>
        <w:t>August 2015, p. 67;</w:t>
      </w:r>
      <w:r w:rsidRPr="001372F5">
        <w:t xml:space="preserve"> </w:t>
      </w:r>
      <w:r w:rsidRPr="00A00BC9">
        <w:t xml:space="preserve">RBA, </w:t>
      </w:r>
      <w:r w:rsidRPr="00A00BC9">
        <w:rPr>
          <w:rStyle w:val="AERtextitalic"/>
        </w:rPr>
        <w:t>Statement on Monetary Policy</w:t>
      </w:r>
      <w:r>
        <w:t>, May 2016, p. 61</w:t>
      </w:r>
      <w:r w:rsidRPr="001372F5">
        <w:t>.</w:t>
      </w:r>
    </w:p>
    <w:p w:rsidR="00B07A7A" w:rsidRDefault="00B07A7A" w:rsidP="00B07A7A">
      <w:pPr>
        <w:pStyle w:val="AERtablesource"/>
      </w:pPr>
      <w:r w:rsidRPr="008234EE">
        <w:t>(</w:t>
      </w:r>
      <w:r>
        <w:t>a</w:t>
      </w:r>
      <w:r w:rsidRPr="008234EE">
        <w:t xml:space="preserve">) </w:t>
      </w:r>
      <w:r>
        <w:tab/>
        <w:t>In August 2015, the RBA published a range</w:t>
      </w:r>
      <w:r w:rsidRPr="008234EE">
        <w:t xml:space="preserve"> of </w:t>
      </w:r>
      <w:r>
        <w:t>2–3 per cent for i</w:t>
      </w:r>
      <w:r w:rsidRPr="008234EE">
        <w:t xml:space="preserve">ts </w:t>
      </w:r>
      <w:r>
        <w:t>June</w:t>
      </w:r>
      <w:r w:rsidRPr="00AF5BA1">
        <w:t xml:space="preserve"> 2017</w:t>
      </w:r>
      <w:r>
        <w:t xml:space="preserve"> and June 2018</w:t>
      </w:r>
      <w:r w:rsidRPr="00AF5BA1">
        <w:t xml:space="preserve"> </w:t>
      </w:r>
      <w:r>
        <w:t>CPI inflation forecasts respectively</w:t>
      </w:r>
      <w:r w:rsidRPr="008234EE">
        <w:t xml:space="preserve">. </w:t>
      </w:r>
      <w:r w:rsidRPr="00AF5BA1">
        <w:t>Where the RBA published ranges, we select the mid-points</w:t>
      </w:r>
      <w:r>
        <w:t>.</w:t>
      </w:r>
    </w:p>
    <w:p w:rsidR="00B07A7A" w:rsidRDefault="00B07A7A" w:rsidP="00B07A7A">
      <w:pPr>
        <w:pStyle w:val="AERtablesource"/>
      </w:pPr>
      <w:r w:rsidRPr="008234EE">
        <w:t>(</w:t>
      </w:r>
      <w:r>
        <w:t>b</w:t>
      </w:r>
      <w:r w:rsidRPr="008234EE">
        <w:t xml:space="preserve">) </w:t>
      </w:r>
      <w:r>
        <w:tab/>
        <w:t>In May 2016</w:t>
      </w:r>
      <w:r w:rsidRPr="00AF5BA1">
        <w:t xml:space="preserve">, the RBA published </w:t>
      </w:r>
      <w:r>
        <w:t xml:space="preserve">1.0 per cent, </w:t>
      </w:r>
      <w:r w:rsidRPr="00AF5BA1">
        <w:t xml:space="preserve">a range of </w:t>
      </w:r>
      <w:r>
        <w:t xml:space="preserve">1.5–2.5 </w:t>
      </w:r>
      <w:r w:rsidRPr="00AF5BA1">
        <w:t xml:space="preserve">per cent and a range of </w:t>
      </w:r>
      <w:r>
        <w:t xml:space="preserve">1.5–2.5 </w:t>
      </w:r>
      <w:r w:rsidRPr="00AF5BA1">
        <w:t>per cent for its</w:t>
      </w:r>
      <w:r>
        <w:t xml:space="preserve"> June 2016,</w:t>
      </w:r>
      <w:r w:rsidRPr="00AF5BA1">
        <w:t xml:space="preserve"> </w:t>
      </w:r>
      <w:r>
        <w:t>June</w:t>
      </w:r>
      <w:r w:rsidRPr="00AF5BA1">
        <w:t xml:space="preserve"> 2017</w:t>
      </w:r>
      <w:r>
        <w:t xml:space="preserve"> and June 2018</w:t>
      </w:r>
      <w:r w:rsidRPr="00AF5BA1">
        <w:t xml:space="preserve"> CPI inflation forecasts respectively. </w:t>
      </w:r>
      <w:r>
        <w:t>Where the RBA publishes ranges, we select</w:t>
      </w:r>
      <w:r w:rsidRPr="008234EE">
        <w:t xml:space="preserve"> the mid-poin</w:t>
      </w:r>
      <w:r>
        <w:t>t.</w:t>
      </w:r>
    </w:p>
    <w:p w:rsidR="00B07A7A" w:rsidRDefault="00B07A7A" w:rsidP="00B07A7A">
      <w:r>
        <w:t>ActewAGL proposed the current method</w:t>
      </w:r>
      <w:r w:rsidRPr="00E04B8A">
        <w:t xml:space="preserve"> </w:t>
      </w:r>
      <w:r>
        <w:t>in its initial access arrangement.</w:t>
      </w:r>
      <w:r w:rsidRPr="008F77D5">
        <w:t xml:space="preserve"> </w:t>
      </w:r>
      <w:r>
        <w:t>However, it also noted that, '</w:t>
      </w:r>
      <w:r w:rsidRPr="008F77D5">
        <w:t>expectations concerning inflation appear to be volatile and it may be that the best method for estimating inflation may evolve during the period that our revenue proposal is being considered</w:t>
      </w:r>
      <w:r>
        <w:t>'.</w:t>
      </w:r>
      <w:r>
        <w:rPr>
          <w:rStyle w:val="FootnoteReference"/>
        </w:rPr>
        <w:footnoteReference w:id="585"/>
      </w:r>
      <w:r>
        <w:t xml:space="preserve"> ActewAGL's submission with its initial access arrangement did not explain this further or indicate how 'the best method' might evolve.</w:t>
      </w:r>
    </w:p>
    <w:p w:rsidR="00B07A7A" w:rsidRDefault="00B07A7A" w:rsidP="00B07A7A">
      <w:r>
        <w:t>In its revised access arrangement, ActewAGL departed from the current method</w:t>
      </w:r>
      <w:r w:rsidRPr="00CA1AC5">
        <w:t xml:space="preserve"> </w:t>
      </w:r>
      <w:r>
        <w:t>and proposed an estimate of 2.19 per cent.</w:t>
      </w:r>
      <w:r>
        <w:rPr>
          <w:rStyle w:val="FootnoteReference"/>
        </w:rPr>
        <w:footnoteReference w:id="586"/>
      </w:r>
      <w:r>
        <w:t xml:space="preserve"> This estimate was based on CEG's application of the 'breakeven approach',</w:t>
      </w:r>
      <w:r>
        <w:rPr>
          <w:rStyle w:val="FootnoteReference"/>
        </w:rPr>
        <w:footnoteReference w:id="587"/>
      </w:r>
      <w:r>
        <w:t xml:space="preserve"> using an averaging period of 20 business days ending 30 September 2015.</w:t>
      </w:r>
      <w:r>
        <w:rPr>
          <w:rStyle w:val="FootnoteReference"/>
        </w:rPr>
        <w:footnoteReference w:id="588"/>
      </w:r>
      <w:r>
        <w:t xml:space="preserve"> While the estimate we apply in this final decision is similar to the estimate in ActewAGL's revised proposal, it is higher than the estimate ActewAGL put forward in its late submission on 12 May 2016 of 1.96 per cent.</w:t>
      </w:r>
      <w:r>
        <w:rPr>
          <w:rStyle w:val="FootnoteReference"/>
        </w:rPr>
        <w:footnoteReference w:id="589"/>
      </w:r>
      <w:r>
        <w:t xml:space="preserve"> As part of this late submission, ActewAGL submitted a report by CEG updating its previous estimates of expected inflation and providing further commentary.</w:t>
      </w:r>
      <w:r>
        <w:rPr>
          <w:rStyle w:val="FootnoteReference"/>
        </w:rPr>
        <w:footnoteReference w:id="590"/>
      </w:r>
      <w:r>
        <w:t xml:space="preserve"> Given we received this new material one fortnight before publishing our final decision, we were unable to respond to it in detail and other stakeholders have been unable to consider it.</w:t>
      </w:r>
    </w:p>
    <w:p w:rsidR="00B07A7A" w:rsidRDefault="00B07A7A" w:rsidP="00B07A7A">
      <w:r>
        <w:t xml:space="preserve">We do not accept the approach ActewAGL put forward in its revised </w:t>
      </w:r>
      <w:r w:rsidR="00433264">
        <w:t xml:space="preserve">access arrangement </w:t>
      </w:r>
      <w:r>
        <w:t>proposal and in its late submission. This is because we do not consider CEG's application of the breakeven approach appropriately adjusts for bias. Further, we do not consider that a breakeven approach using indexed CGSs would necessarily produce better estimates of expected inflation than the current method (or another estimation method, such a one based on inflation swaps).</w:t>
      </w:r>
      <w:r>
        <w:rPr>
          <w:rStyle w:val="FootnoteReference"/>
        </w:rPr>
        <w:footnoteReference w:id="591"/>
      </w:r>
    </w:p>
    <w:p w:rsidR="00B07A7A" w:rsidRPr="00B07A7A" w:rsidRDefault="00B07A7A" w:rsidP="00B07A7A">
      <w:pPr>
        <w:pStyle w:val="AERbulletlistfirststyle"/>
      </w:pPr>
      <w:r>
        <w:t>Moreover, e</w:t>
      </w:r>
      <w:r w:rsidRPr="00B07A7A">
        <w:t>ven if we considered an alternative approach could be preferable (which we do not), the method for estimating expected inflation should apply to all service providers as inflation expectations are not business-specific. As such, any change in approach should only be considered following broad consultation with all stakeholders, rather than within a single reset.</w:t>
      </w:r>
    </w:p>
    <w:p w:rsidR="00B07A7A" w:rsidRPr="00B07A7A" w:rsidRDefault="00B07A7A" w:rsidP="00B07A7A">
      <w:pPr>
        <w:pStyle w:val="AERbulletlistfirststyle"/>
      </w:pPr>
      <w:r w:rsidRPr="005D41D8">
        <w:t xml:space="preserve">We note that </w:t>
      </w:r>
      <w:r w:rsidRPr="00B07A7A">
        <w:t>ActewAGL did not propose CEG's recommendation to apply a five year inflation expectation to the return on debt.</w:t>
      </w:r>
      <w:r w:rsidRPr="00B07A7A">
        <w:rPr>
          <w:rStyle w:val="FootnoteReference"/>
        </w:rPr>
        <w:footnoteReference w:id="592"/>
      </w:r>
      <w:r w:rsidRPr="00B07A7A">
        <w:t xml:space="preserve"> Rather it proposes an inflation expectation that matches the term of our allowed rate of return (that is, 10 years). We accept this aspect of ActewAGL's proposed access arrangement.</w:t>
      </w:r>
    </w:p>
    <w:p w:rsidR="00B07A7A" w:rsidRDefault="00B07A7A" w:rsidP="00B07A7A">
      <w:pPr>
        <w:pStyle w:val="HeadingBoldBlue"/>
      </w:pPr>
      <w:bookmarkStart w:id="96" w:name="_Toc450909467"/>
      <w:r>
        <w:t>Response to CEG's approach</w:t>
      </w:r>
      <w:bookmarkEnd w:id="96"/>
    </w:p>
    <w:p w:rsidR="00B07A7A" w:rsidRDefault="00B07A7A" w:rsidP="00B07A7A">
      <w:r>
        <w:t>In its revised access arrangement proposal, ActewAGL submitted a report by CEG on estimating expected inflation. We do not consider that CEG's approach produces better estimates of expected inflation than the current method. CEG's method entails:</w:t>
      </w:r>
      <w:r>
        <w:rPr>
          <w:rStyle w:val="FootnoteReference"/>
        </w:rPr>
        <w:footnoteReference w:id="593"/>
      </w:r>
    </w:p>
    <w:p w:rsidR="00B07A7A" w:rsidRPr="00B07A7A" w:rsidRDefault="00B07A7A" w:rsidP="00B07A7A">
      <w:pPr>
        <w:pStyle w:val="AERbulletlistfirststyle"/>
      </w:pPr>
      <w:r>
        <w:t xml:space="preserve">A recommendation that </w:t>
      </w:r>
      <w:r w:rsidRPr="00B07A7A">
        <w:t>ActewAGL did not put forward in its revised access arrangement. That is, on the basis that CEG thinks that, for the return on debt, we should use a five year inflation expectation matching the access arrangement period:</w:t>
      </w:r>
    </w:p>
    <w:p w:rsidR="00B07A7A" w:rsidRDefault="00B07A7A" w:rsidP="00B07A7A">
      <w:pPr>
        <w:pStyle w:val="AERbulletlistsecondstyle"/>
      </w:pPr>
      <w:r>
        <w:t>Adopting a 60/40 weighted average estimate of five</w:t>
      </w:r>
      <w:r w:rsidRPr="00537367">
        <w:t xml:space="preserve"> and 10 year inflation</w:t>
      </w:r>
      <w:r>
        <w:t xml:space="preserve"> expectations, rather than a 10 year inflation expectation.</w:t>
      </w:r>
    </w:p>
    <w:p w:rsidR="00B07A7A" w:rsidRDefault="00B07A7A" w:rsidP="00B07A7A">
      <w:pPr>
        <w:pStyle w:val="AERbulletlistsecondstyle"/>
      </w:pPr>
      <w:r>
        <w:t>Where available, using observed inflation in its estimate of a five year inflation expectation.</w:t>
      </w:r>
    </w:p>
    <w:p w:rsidR="00B07A7A" w:rsidRPr="00B07A7A" w:rsidRDefault="00B07A7A" w:rsidP="00B07A7A">
      <w:pPr>
        <w:pStyle w:val="AERbulletlistfirststyle"/>
      </w:pPr>
      <w:r>
        <w:t xml:space="preserve">A recommendation that </w:t>
      </w:r>
      <w:r w:rsidRPr="00B07A7A">
        <w:t xml:space="preserve">ActewAGL proposed in its revised access arrangement. That is, estimating expected inflation using its application of the breakeven approach, rather than using the current method based on RBA forecasts. </w:t>
      </w:r>
    </w:p>
    <w:p w:rsidR="00B07A7A" w:rsidRPr="00CA1AC5" w:rsidRDefault="00B07A7A" w:rsidP="00B07A7A">
      <w:r w:rsidRPr="00086BBC">
        <w:rPr>
          <w:rStyle w:val="AERbody"/>
        </w:rPr>
        <w:t xml:space="preserve">We </w:t>
      </w:r>
      <w:r w:rsidRPr="00CA1AC5">
        <w:rPr>
          <w:rStyle w:val="AERbody"/>
        </w:rPr>
        <w:t>respond to CEG's report in the following sections.</w:t>
      </w:r>
    </w:p>
    <w:p w:rsidR="00B07A7A" w:rsidRDefault="00B07A7A" w:rsidP="00B07A7A">
      <w:pPr>
        <w:pStyle w:val="HeadingBoldItalic"/>
      </w:pPr>
      <w:r>
        <w:t>An expectation matching the access arrangement period</w:t>
      </w:r>
    </w:p>
    <w:p w:rsidR="00B07A7A" w:rsidRDefault="00B07A7A" w:rsidP="00B07A7A">
      <w:r>
        <w:t>We accept ActewAGL's decision to not adopt CEG's estimate of expected inflation that assumes the relevant expectation for the return on debt matches the access arrangement period.</w:t>
      </w:r>
      <w:r>
        <w:rPr>
          <w:rStyle w:val="FootnoteReference"/>
        </w:rPr>
        <w:footnoteReference w:id="594"/>
      </w:r>
    </w:p>
    <w:p w:rsidR="00B07A7A" w:rsidRDefault="00B07A7A" w:rsidP="00B07A7A">
      <w:r>
        <w:t>It is both internally consistent and necessary to use a 10 year inflation expectation to convert a nominal return on debt with a 10 year term to a real return on debt with a 10 year term.</w:t>
      </w:r>
      <w:r w:rsidRPr="00054852">
        <w:t xml:space="preserve"> </w:t>
      </w:r>
      <w:r>
        <w:t>Debt contracts are based on prices investors are willing to pay. These prices reflect investor expectations of the risk free rate, debt risk premium and inflation over their investment horizon at the time they raise this debt. Service providers, including ActewAGL agree that this horizon (or term) for the return on debt is 10 years.</w:t>
      </w:r>
      <w:r>
        <w:rPr>
          <w:rStyle w:val="FootnoteReference"/>
        </w:rPr>
        <w:footnoteReference w:id="595"/>
      </w:r>
      <w:r>
        <w:t xml:space="preserve"> Therefore, while debt contracts may fix the nominal cost of debt, this cost incorporates investor expectations of inflation over the next 10 years.</w:t>
      </w:r>
    </w:p>
    <w:p w:rsidR="00B07A7A" w:rsidRPr="00C94E22" w:rsidRDefault="00B07A7A" w:rsidP="00B07A7A">
      <w:r>
        <w:t>Our position is consistent with what CEG has supported in the past and it is not clear to us why it has since changed its position. In 2008, CEG submitted that the correct measure of expected inflation for converting nominal returns into real returns is</w:t>
      </w:r>
      <w:r w:rsidRPr="00062636">
        <w:t xml:space="preserve"> expected inflation over the life of the 10 year nominal CGS bond from which the inflation estimate is being removed.</w:t>
      </w:r>
      <w:r w:rsidRPr="00062636">
        <w:rPr>
          <w:rStyle w:val="FootnoteReference"/>
        </w:rPr>
        <w:footnoteReference w:id="596"/>
      </w:r>
      <w:r w:rsidRPr="00062636">
        <w:t xml:space="preserve"> While we no longer explicitly use 10 year nominal CGS bonds to estimate return on debt, our estimate of a 10 year forward looking return on debt implicitly reflect</w:t>
      </w:r>
      <w:r>
        <w:t xml:space="preserve">s </w:t>
      </w:r>
      <w:r w:rsidRPr="00062636">
        <w:t>a 10 year forward</w:t>
      </w:r>
      <w:r>
        <w:t xml:space="preserve"> looking nominal risk free rate. We can express this </w:t>
      </w:r>
      <w:r w:rsidRPr="00C94E22">
        <w:t>algebraically as:</w:t>
      </w:r>
    </w:p>
    <w:p w:rsidR="00B07A7A" w:rsidRPr="00B07A7A" w:rsidRDefault="00B07A7A" w:rsidP="00256969">
      <w:pPr>
        <w:pStyle w:val="AERbulletlistfirststyle"/>
        <w:numPr>
          <w:ilvl w:val="0"/>
          <w:numId w:val="0"/>
        </w:numPr>
      </w:pPr>
      <m:oMathPara>
        <m:oMath>
          <m:r>
            <w:rPr>
              <w:rFonts w:ascii="Cambria Math" w:hAnsi="Cambria Math"/>
            </w:rPr>
            <m:t>Expected</m:t>
          </m:r>
          <m:d>
            <m:dPr>
              <m:begChr m:val="["/>
              <m:endChr m:val="]"/>
              <m:ctrlPr>
                <w:rPr>
                  <w:rFonts w:ascii="Cambria Math" w:hAnsi="Cambria Math"/>
                </w:rPr>
              </m:ctrlPr>
            </m:dPr>
            <m:e>
              <m:r>
                <w:rPr>
                  <w:rFonts w:ascii="Cambria Math" w:hAnsi="Cambria Math"/>
                </w:rPr>
                <m:t xml:space="preserve">RoD </m:t>
              </m:r>
              <m:r>
                <w:rPr>
                  <w:rStyle w:val="AERsubscript"/>
                  <w:rFonts w:ascii="Cambria Math" w:hAnsi="Cambria Math"/>
                </w:rPr>
                <m:t>nominal,10 years</m:t>
              </m:r>
            </m:e>
          </m:d>
          <m:r>
            <w:rPr>
              <w:rFonts w:ascii="Cambria Math" w:hAnsi="Cambria Math"/>
            </w:rPr>
            <m:t>=Expected [rf]</m:t>
          </m:r>
          <m:r>
            <w:rPr>
              <w:rStyle w:val="AERsubscript"/>
              <w:rFonts w:ascii="Cambria Math" w:hAnsi="Cambria Math"/>
            </w:rPr>
            <m:t xml:space="preserve"> nominal, 10 years</m:t>
          </m:r>
          <m:r>
            <w:rPr>
              <w:rFonts w:ascii="Cambria Math" w:hAnsi="Cambria Math"/>
            </w:rPr>
            <m:t xml:space="preserve">+Expected[DRP </m:t>
          </m:r>
          <m:r>
            <w:rPr>
              <w:rStyle w:val="AERsubscript"/>
              <w:rFonts w:ascii="Cambria Math" w:hAnsi="Cambria Math"/>
            </w:rPr>
            <m:t>10 years</m:t>
          </m:r>
          <m:r>
            <w:rPr>
              <w:rFonts w:ascii="Cambria Math" w:hAnsi="Cambria Math"/>
            </w:rPr>
            <m:t>]</m:t>
          </m:r>
        </m:oMath>
      </m:oMathPara>
    </w:p>
    <w:p w:rsidR="00B07A7A" w:rsidRDefault="00B07A7A" w:rsidP="00B07A7A">
      <w:pPr>
        <w:pStyle w:val="AERtablesource"/>
      </w:pPr>
      <w:r>
        <w:t>Where:</w:t>
      </w:r>
      <w:r>
        <w:tab/>
        <w:t>RoD = Return on debt</w:t>
      </w:r>
    </w:p>
    <w:p w:rsidR="00B07A7A" w:rsidRDefault="00B07A7A" w:rsidP="00B07A7A">
      <w:pPr>
        <w:pStyle w:val="AERtablesource"/>
      </w:pPr>
      <w:r>
        <w:tab/>
        <w:t xml:space="preserve"> rf = risk free rate</w:t>
      </w:r>
    </w:p>
    <w:p w:rsidR="00B07A7A" w:rsidRDefault="00B07A7A" w:rsidP="00B07A7A">
      <w:pPr>
        <w:pStyle w:val="AERtablesource"/>
      </w:pPr>
      <w:r>
        <w:tab/>
        <w:t xml:space="preserve"> DRP = debt risk premium</w:t>
      </w:r>
    </w:p>
    <w:p w:rsidR="00B07A7A" w:rsidRPr="008F77D5" w:rsidRDefault="00B07A7A" w:rsidP="00B07A7A">
      <w:r w:rsidRPr="00EA48FF">
        <w:rPr>
          <w:rStyle w:val="AERbody"/>
        </w:rPr>
        <w:t>Our position is also consistent with what NERA has advised service providers in the past when it submitted</w:t>
      </w:r>
      <w:r w:rsidRPr="008F77D5">
        <w:t>:</w:t>
      </w:r>
      <w:r w:rsidRPr="008F77D5">
        <w:rPr>
          <w:rStyle w:val="FootnoteReference"/>
        </w:rPr>
        <w:footnoteReference w:id="597"/>
      </w:r>
    </w:p>
    <w:p w:rsidR="00B07A7A" w:rsidRDefault="00B07A7A" w:rsidP="00B07A7A">
      <w:pPr>
        <w:pStyle w:val="AERquote"/>
      </w:pPr>
      <w:r w:rsidRPr="00822045">
        <w:t xml:space="preserve">inflation rate forecast horizon should match the term of the nominal government bond rate </w:t>
      </w:r>
      <w:r>
        <w:t>[that is,10 years]</w:t>
      </w:r>
      <w:r w:rsidRPr="00822045">
        <w:rPr>
          <w:rStyle w:val="FootnoteReference"/>
        </w:rPr>
        <w:t xml:space="preserve"> </w:t>
      </w:r>
      <w:r w:rsidRPr="00822045">
        <w:t>used in the calculation of the weighted average cost of capital (WACC). This practice is consistent with the fundamental principle established by the Fisher equation which in effect states that the nominal bond rate encapsulates the market’s expectations of the inflation that is expected to prevail over the life of the security in question.</w:t>
      </w:r>
    </w:p>
    <w:p w:rsidR="00B07A7A" w:rsidRDefault="00B07A7A" w:rsidP="00B07A7A">
      <w:pPr>
        <w:pStyle w:val="HeadingBoldItalic"/>
      </w:pPr>
      <w:r>
        <w:t>The breakeven approach</w:t>
      </w:r>
    </w:p>
    <w:p w:rsidR="00B07A7A" w:rsidRPr="00CA1AC5" w:rsidRDefault="00B07A7A" w:rsidP="00B07A7A">
      <w:r>
        <w:t xml:space="preserve">Our final decision is to apply the current </w:t>
      </w:r>
      <w:r w:rsidRPr="00CA1AC5">
        <w:t>method rather than to use CEG's breakeven estimates. Even though we recognise there may be benefits to using a breakeven approach, we also recognise:</w:t>
      </w:r>
    </w:p>
    <w:p w:rsidR="00B07A7A" w:rsidRPr="00B07A7A" w:rsidRDefault="00B07A7A" w:rsidP="00B07A7A">
      <w:pPr>
        <w:pStyle w:val="AERbulletlistfirststyle"/>
      </w:pPr>
      <w:r>
        <w:t>There are strengths and limitations to both the current method and breakeven approaches.</w:t>
      </w:r>
      <w:r w:rsidRPr="00B07A7A">
        <w:t xml:space="preserve"> Given the information currently before us, we are not satisfied that changing our approach would improve our estimates of expected inflation.</w:t>
      </w:r>
    </w:p>
    <w:p w:rsidR="00B07A7A" w:rsidRPr="00B07A7A" w:rsidRDefault="00B07A7A" w:rsidP="00B07A7A">
      <w:pPr>
        <w:pStyle w:val="AERbulletlistfirststyle"/>
      </w:pPr>
      <w:r w:rsidRPr="005F5142">
        <w:t xml:space="preserve">There are clear limitations to </w:t>
      </w:r>
      <w:r w:rsidRPr="00B07A7A">
        <w:t>using breakeven approaches that result in biased estimates of expected inflation unless particular adjustments are made to these estimates. ActewAGL has not put any material before us to discuss these limitations or propose how to adjust for them</w:t>
      </w:r>
      <w:r>
        <w:t>.</w:t>
      </w:r>
    </w:p>
    <w:p w:rsidR="00702DD6" w:rsidRPr="00702DD6" w:rsidRDefault="00702DD6" w:rsidP="00702DD6">
      <w:pPr>
        <w:pStyle w:val="AERbulletlistfirststyle"/>
      </w:pPr>
      <w:r>
        <w:t xml:space="preserve">Market imperfections can undermine the ability of breakeven approaches to estimate the market's inflation expectations. CEG has recognised this </w:t>
      </w:r>
      <w:r w:rsidRPr="00702DD6">
        <w:t>in its recent advice.</w:t>
      </w:r>
      <w:r w:rsidRPr="00702DD6">
        <w:rPr>
          <w:rStyle w:val="FootnoteReference"/>
        </w:rPr>
        <w:footnoteReference w:id="598"/>
      </w:r>
      <w:r w:rsidRPr="00702DD6">
        <w:t xml:space="preserve"> It has also recognised this in the past when advising that it was generally reasonable to use RBA forecasts.</w:t>
      </w:r>
      <w:r w:rsidRPr="00702DD6">
        <w:rPr>
          <w:rStyle w:val="FootnoteReference"/>
        </w:rPr>
        <w:footnoteReference w:id="599"/>
      </w:r>
      <w:r w:rsidRPr="00702DD6">
        <w:t xml:space="preserve"> CEG also advised that its estimate of expected inflation using the breakeven approach (at that time) was, 'at odds with credible forecasts by the RBA and all other macro-economic experts'.</w:t>
      </w:r>
      <w:r w:rsidRPr="00702DD6">
        <w:rPr>
          <w:rStyle w:val="FootnoteReference"/>
        </w:rPr>
        <w:footnoteReference w:id="600"/>
      </w:r>
      <w:r w:rsidRPr="00702DD6">
        <w:t xml:space="preserve"> While CEG has indicated that this is no longer a material concern, we find its analysis unconvincing for reasons discussed below.</w:t>
      </w:r>
    </w:p>
    <w:p w:rsidR="00B07A7A" w:rsidRDefault="00B07A7A" w:rsidP="00B07A7A">
      <w:pPr>
        <w:pStyle w:val="HeadingItalic"/>
      </w:pPr>
      <w:r>
        <w:t>Changing approaches may not improve estimates</w:t>
      </w:r>
    </w:p>
    <w:p w:rsidR="00B07A7A" w:rsidRPr="00CA1AC5" w:rsidRDefault="00B07A7A" w:rsidP="00B07A7A">
      <w:r w:rsidRPr="00C554DC">
        <w:t>We</w:t>
      </w:r>
      <w:r w:rsidRPr="00CA1AC5">
        <w:t xml:space="preserve"> do not consider that reverting to a breakeven approach is likely to improve our estimates of expected inflation. We recognise that both the current method and breakeven approaches have benefits and limitations, as summarised in</w:t>
      </w:r>
      <w:r>
        <w:t xml:space="preserve"> </w:t>
      </w:r>
      <w:r>
        <w:fldChar w:fldCharType="begin"/>
      </w:r>
      <w:r>
        <w:instrText xml:space="preserve"> REF  _Ref450909853 \* Lower \h </w:instrText>
      </w:r>
      <w:r>
        <w:fldChar w:fldCharType="separate"/>
      </w:r>
      <w:r w:rsidR="001A023B">
        <w:t xml:space="preserve">table </w:t>
      </w:r>
      <w:r w:rsidR="001A023B">
        <w:rPr>
          <w:noProof/>
        </w:rPr>
        <w:t>3</w:t>
      </w:r>
      <w:r w:rsidR="001A023B">
        <w:noBreakHyphen/>
      </w:r>
      <w:r w:rsidR="001A023B">
        <w:rPr>
          <w:noProof/>
        </w:rPr>
        <w:t>24</w:t>
      </w:r>
      <w:r>
        <w:fldChar w:fldCharType="end"/>
      </w:r>
      <w:r w:rsidRPr="00CA1AC5">
        <w:t>.</w:t>
      </w:r>
    </w:p>
    <w:p w:rsidR="00B07A7A" w:rsidRDefault="00B07A7A" w:rsidP="00B07A7A">
      <w:pPr>
        <w:pStyle w:val="Caption"/>
      </w:pPr>
      <w:bookmarkStart w:id="97" w:name="_Ref450909853"/>
      <w:r>
        <w:t xml:space="preserve">Table </w:t>
      </w:r>
      <w:r w:rsidRPr="00B07A7A">
        <w:fldChar w:fldCharType="begin"/>
      </w:r>
      <w:r>
        <w:instrText xml:space="preserve"> STYLEREF 1 \s </w:instrText>
      </w:r>
      <w:r w:rsidRPr="00B07A7A">
        <w:fldChar w:fldCharType="separate"/>
      </w:r>
      <w:r w:rsidR="001A023B">
        <w:rPr>
          <w:noProof/>
        </w:rPr>
        <w:t>3</w:t>
      </w:r>
      <w:r w:rsidRPr="00B07A7A">
        <w:fldChar w:fldCharType="end"/>
      </w:r>
      <w:r>
        <w:noBreakHyphen/>
      </w:r>
      <w:r w:rsidRPr="00B07A7A">
        <w:fldChar w:fldCharType="begin"/>
      </w:r>
      <w:r>
        <w:instrText xml:space="preserve"> SEQ Table \* ARABIC \s 1 </w:instrText>
      </w:r>
      <w:r w:rsidRPr="00B07A7A">
        <w:fldChar w:fldCharType="separate"/>
      </w:r>
      <w:r w:rsidR="001A023B">
        <w:rPr>
          <w:noProof/>
        </w:rPr>
        <w:t>24</w:t>
      </w:r>
      <w:r w:rsidRPr="00B07A7A">
        <w:fldChar w:fldCharType="end"/>
      </w:r>
      <w:bookmarkEnd w:id="97"/>
      <w:r>
        <w:t>:</w:t>
      </w:r>
      <w:r>
        <w:tab/>
        <w:t xml:space="preserve">Comparison of the current method and breakeven approach </w:t>
      </w:r>
    </w:p>
    <w:tbl>
      <w:tblPr>
        <w:tblStyle w:val="AERtable-text0"/>
        <w:tblW w:w="0" w:type="auto"/>
        <w:tblLook w:val="04A0" w:firstRow="1" w:lastRow="0" w:firstColumn="1" w:lastColumn="0" w:noHBand="0" w:noVBand="1"/>
      </w:tblPr>
      <w:tblGrid>
        <w:gridCol w:w="1809"/>
        <w:gridCol w:w="3261"/>
        <w:gridCol w:w="3623"/>
      </w:tblGrid>
      <w:tr w:rsidR="00B07A7A" w:rsidTr="00BB7AE6">
        <w:trPr>
          <w:cnfStyle w:val="100000000000" w:firstRow="1" w:lastRow="0" w:firstColumn="0" w:lastColumn="0" w:oddVBand="0" w:evenVBand="0" w:oddHBand="0" w:evenHBand="0" w:firstRowFirstColumn="0" w:firstRowLastColumn="0" w:lastRowFirstColumn="0" w:lastRowLastColumn="0"/>
          <w:tblHeader/>
        </w:trPr>
        <w:tc>
          <w:tcPr>
            <w:tcW w:w="1809" w:type="dxa"/>
          </w:tcPr>
          <w:p w:rsidR="00B07A7A" w:rsidRPr="00B07A7A" w:rsidRDefault="00B07A7A" w:rsidP="00B07A7A">
            <w:r>
              <w:t>Approach</w:t>
            </w:r>
          </w:p>
        </w:tc>
        <w:tc>
          <w:tcPr>
            <w:tcW w:w="3261" w:type="dxa"/>
          </w:tcPr>
          <w:p w:rsidR="00B07A7A" w:rsidRPr="00B07A7A" w:rsidRDefault="00B07A7A" w:rsidP="00B07A7A">
            <w:r>
              <w:t>Benefits</w:t>
            </w:r>
          </w:p>
        </w:tc>
        <w:tc>
          <w:tcPr>
            <w:tcW w:w="3623" w:type="dxa"/>
          </w:tcPr>
          <w:p w:rsidR="00B07A7A" w:rsidRPr="00B07A7A" w:rsidRDefault="00B07A7A" w:rsidP="00B07A7A">
            <w:r>
              <w:t>Limitations</w:t>
            </w:r>
          </w:p>
        </w:tc>
      </w:tr>
      <w:tr w:rsidR="00B07A7A" w:rsidTr="003C3515">
        <w:tc>
          <w:tcPr>
            <w:tcW w:w="1809" w:type="dxa"/>
          </w:tcPr>
          <w:p w:rsidR="00B07A7A" w:rsidRPr="00B07A7A" w:rsidRDefault="00B07A7A" w:rsidP="00B07A7A">
            <w:r>
              <w:t xml:space="preserve">The </w:t>
            </w:r>
            <w:r w:rsidRPr="00B07A7A">
              <w:t>current method :</w:t>
            </w:r>
          </w:p>
          <w:p w:rsidR="00B07A7A" w:rsidRPr="00B07A7A" w:rsidRDefault="00B07A7A" w:rsidP="00B07A7A">
            <w:r>
              <w:t xml:space="preserve">A </w:t>
            </w:r>
            <w:r w:rsidRPr="00B07A7A">
              <w:t>geometric average of the RBA forecast and mid-point.</w:t>
            </w:r>
          </w:p>
        </w:tc>
        <w:tc>
          <w:tcPr>
            <w:tcW w:w="3261" w:type="dxa"/>
          </w:tcPr>
          <w:p w:rsidR="00B07A7A" w:rsidRPr="00B07A7A" w:rsidRDefault="00B07A7A" w:rsidP="00B07A7A">
            <w:r>
              <w:t>This is</w:t>
            </w:r>
            <w:r w:rsidRPr="00B07A7A">
              <w:t xml:space="preserve"> simple, transparent and easily replicated. Since the current method is not subject to estimation bias or error it may improve regulatory certainty and reduce the scope for gaming.</w:t>
            </w:r>
          </w:p>
          <w:p w:rsidR="00B07A7A" w:rsidRPr="00B07A7A" w:rsidRDefault="00B07A7A" w:rsidP="00B07A7A">
            <w:r>
              <w:t>This</w:t>
            </w:r>
            <w:r w:rsidRPr="00B07A7A">
              <w:t xml:space="preserve"> relies on RBA 2 year forecasts – RBA’s research suggests that its 1 year forecasts of inflation have substantial explanatory power and in the past RBA forecasts have been marginally more accurate than private sector forecasts.</w:t>
            </w:r>
            <w:r w:rsidRPr="00B07A7A">
              <w:rPr>
                <w:rStyle w:val="FootnoteReference"/>
              </w:rPr>
              <w:footnoteReference w:id="601"/>
            </w:r>
            <w:r w:rsidRPr="00B07A7A">
              <w:t xml:space="preserve"> </w:t>
            </w:r>
          </w:p>
          <w:p w:rsidR="00B07A7A" w:rsidRPr="00B07A7A" w:rsidRDefault="00B07A7A" w:rsidP="00B07A7A">
            <w:r w:rsidRPr="00883AE6">
              <w:t xml:space="preserve">Since inflation </w:t>
            </w:r>
            <w:r w:rsidRPr="00B07A7A">
              <w:t>rate targeting in 1993, the average annualised inflation rate has been approximately 2.6%, which is close to the 2.5% midpoint of the target band. To the extent that the historical success of RBA monetary policy informs market-consensus expectations of inflation, the current approach may be a reasonable estimate of longer term inflation expectations. There is evidence to suggest that the RBA's control of official interest rates and commentary has an impact on outturn inflation and inflation expectations.</w:t>
            </w:r>
            <w:r w:rsidRPr="00B07A7A">
              <w:rPr>
                <w:rStyle w:val="FootnoteReference"/>
              </w:rPr>
              <w:footnoteReference w:id="602"/>
            </w:r>
          </w:p>
        </w:tc>
        <w:tc>
          <w:tcPr>
            <w:tcW w:w="3623" w:type="dxa"/>
          </w:tcPr>
          <w:p w:rsidR="00B07A7A" w:rsidRPr="00B07A7A" w:rsidRDefault="00B07A7A" w:rsidP="00B07A7A">
            <w:r>
              <w:t>If</w:t>
            </w:r>
            <w:r w:rsidRPr="00B07A7A">
              <w:t xml:space="preserve"> monetary policy loses or is perceived to have lost its effectiveness in influencing economic activity, inflation expectations may deviate systematically from the mid-point of the inflation target range. In which case, estimates under this approach may be too high or too low relative to the market inflation expectations. </w:t>
            </w:r>
          </w:p>
          <w:p w:rsidR="00B07A7A" w:rsidRPr="00B07A7A" w:rsidRDefault="00B07A7A" w:rsidP="00B07A7A">
            <w:r>
              <w:t>Th</w:t>
            </w:r>
            <w:r w:rsidRPr="00B07A7A">
              <w:t>e current approach is more likely than market-based estimates to be inconsistent with the term structure of inflation observed in the market because it is not based on the market-implied forward inflation curve. This raises the risk that estimates of the real risk free rate may depart from the ‘true’ real risk free rate in the market.</w:t>
            </w:r>
          </w:p>
        </w:tc>
      </w:tr>
      <w:tr w:rsidR="00B07A7A" w:rsidTr="003C3515">
        <w:trPr>
          <w:cnfStyle w:val="000000010000" w:firstRow="0" w:lastRow="0" w:firstColumn="0" w:lastColumn="0" w:oddVBand="0" w:evenVBand="0" w:oddHBand="0" w:evenHBand="1" w:firstRowFirstColumn="0" w:firstRowLastColumn="0" w:lastRowFirstColumn="0" w:lastRowLastColumn="0"/>
        </w:trPr>
        <w:tc>
          <w:tcPr>
            <w:tcW w:w="1809" w:type="dxa"/>
          </w:tcPr>
          <w:p w:rsidR="00B07A7A" w:rsidRPr="00B07A7A" w:rsidRDefault="00B07A7A" w:rsidP="00B07A7A">
            <w:r>
              <w:t xml:space="preserve">The </w:t>
            </w:r>
            <w:r w:rsidRPr="00B07A7A">
              <w:t>breakeven approach:</w:t>
            </w:r>
          </w:p>
          <w:p w:rsidR="00B07A7A" w:rsidRPr="00B07A7A" w:rsidRDefault="00B07A7A" w:rsidP="00B07A7A">
            <w:r>
              <w:t>The breakeven inflation rate implied by comparing CPI-indexed CGS and nominal CGS</w:t>
            </w:r>
            <w:r w:rsidRPr="00B07A7A">
              <w:t>.</w:t>
            </w:r>
          </w:p>
        </w:tc>
        <w:tc>
          <w:tcPr>
            <w:tcW w:w="3261" w:type="dxa"/>
          </w:tcPr>
          <w:p w:rsidR="00B07A7A" w:rsidRPr="00B07A7A" w:rsidRDefault="00B07A7A" w:rsidP="00B07A7A">
            <w:r>
              <w:t>These e</w:t>
            </w:r>
            <w:r w:rsidRPr="00B07A7A">
              <w:t xml:space="preserve">stimates include market-consensus expectations of inflation that is based on an aggregation of most up-to-date, relevant and available information. </w:t>
            </w:r>
          </w:p>
          <w:p w:rsidR="00B07A7A" w:rsidRDefault="00B07A7A" w:rsidP="00B07A7A"/>
        </w:tc>
        <w:tc>
          <w:tcPr>
            <w:tcW w:w="3623" w:type="dxa"/>
          </w:tcPr>
          <w:p w:rsidR="00B07A7A" w:rsidRPr="00B07A7A" w:rsidRDefault="00B07A7A" w:rsidP="00B07A7A">
            <w:r>
              <w:t xml:space="preserve">We moved away from using this approach in the past as it was recognised that bias existed in </w:t>
            </w:r>
            <w:r w:rsidRPr="00B07A7A">
              <w:t xml:space="preserve">indexed CGS yields. </w:t>
            </w:r>
          </w:p>
          <w:p w:rsidR="00B07A7A" w:rsidRPr="00B07A7A" w:rsidRDefault="00B07A7A" w:rsidP="00B07A7A">
            <w:r>
              <w:t>The breakeven approach</w:t>
            </w:r>
            <w:r w:rsidRPr="00B07A7A">
              <w:t xml:space="preserve"> can be a misleading proxy for expected inflation unless various biases are identified and removed. Potential sources of bias include the effect of bond convexity; inflation risk premia, liquidity premia, and inflation indexation lag on nominal and/or indexed bond yields. </w:t>
            </w:r>
          </w:p>
        </w:tc>
      </w:tr>
    </w:tbl>
    <w:p w:rsidR="00B07A7A" w:rsidRDefault="00B07A7A" w:rsidP="00B07A7A">
      <w:pPr>
        <w:pStyle w:val="HeadingItalic"/>
      </w:pPr>
      <w:r>
        <w:t xml:space="preserve">Other limitations and potential biases to the breakeven approach </w:t>
      </w:r>
    </w:p>
    <w:p w:rsidR="00B07A7A" w:rsidRPr="00CA1AC5" w:rsidRDefault="00B07A7A" w:rsidP="00B07A7A">
      <w:r>
        <w:t>T</w:t>
      </w:r>
      <w:r w:rsidRPr="00CA1AC5">
        <w:t>here is no straightforward way of employing a breakeven approach. Rather, breakeven estimates require adjustment to account for several different types of bias.</w:t>
      </w:r>
      <w:r w:rsidRPr="00CA1AC5">
        <w:rPr>
          <w:rStyle w:val="FootnoteReference"/>
        </w:rPr>
        <w:footnoteReference w:id="603"/>
      </w:r>
      <w:r w:rsidRPr="00CA1AC5">
        <w:t xml:space="preserve"> </w:t>
      </w:r>
      <w:r>
        <w:fldChar w:fldCharType="begin"/>
      </w:r>
      <w:r>
        <w:instrText xml:space="preserve"> REF _Ref450909873 \h </w:instrText>
      </w:r>
      <w:r>
        <w:fldChar w:fldCharType="separate"/>
      </w:r>
      <w:r w:rsidR="001A023B">
        <w:t xml:space="preserve">Table </w:t>
      </w:r>
      <w:r w:rsidR="001A023B">
        <w:rPr>
          <w:noProof/>
        </w:rPr>
        <w:t>3</w:t>
      </w:r>
      <w:r w:rsidR="001A023B">
        <w:noBreakHyphen/>
      </w:r>
      <w:r w:rsidR="001A023B">
        <w:rPr>
          <w:noProof/>
        </w:rPr>
        <w:t>25</w:t>
      </w:r>
      <w:r>
        <w:fldChar w:fldCharType="end"/>
      </w:r>
      <w:r>
        <w:t xml:space="preserve"> </w:t>
      </w:r>
      <w:r w:rsidRPr="00CA1AC5">
        <w:t>highlights some of these potential biases based on preliminary research.</w:t>
      </w:r>
    </w:p>
    <w:p w:rsidR="00B07A7A" w:rsidRDefault="00B07A7A" w:rsidP="00B07A7A">
      <w:pPr>
        <w:pStyle w:val="Caption"/>
      </w:pPr>
      <w:bookmarkStart w:id="98" w:name="_Ref450909873"/>
      <w:r>
        <w:t xml:space="preserve">Table </w:t>
      </w:r>
      <w:r w:rsidRPr="00B07A7A">
        <w:fldChar w:fldCharType="begin"/>
      </w:r>
      <w:r>
        <w:instrText xml:space="preserve"> STYLEREF 1 \s </w:instrText>
      </w:r>
      <w:r w:rsidRPr="00B07A7A">
        <w:fldChar w:fldCharType="separate"/>
      </w:r>
      <w:r w:rsidR="001A023B">
        <w:rPr>
          <w:noProof/>
        </w:rPr>
        <w:t>3</w:t>
      </w:r>
      <w:r w:rsidRPr="00B07A7A">
        <w:fldChar w:fldCharType="end"/>
      </w:r>
      <w:r>
        <w:noBreakHyphen/>
      </w:r>
      <w:r w:rsidRPr="00B07A7A">
        <w:fldChar w:fldCharType="begin"/>
      </w:r>
      <w:r>
        <w:instrText xml:space="preserve"> SEQ Table \* ARABIC \s 1 </w:instrText>
      </w:r>
      <w:r w:rsidRPr="00B07A7A">
        <w:fldChar w:fldCharType="separate"/>
      </w:r>
      <w:r w:rsidR="001A023B">
        <w:rPr>
          <w:noProof/>
        </w:rPr>
        <w:t>25</w:t>
      </w:r>
      <w:r w:rsidRPr="00B07A7A">
        <w:fldChar w:fldCharType="end"/>
      </w:r>
      <w:bookmarkEnd w:id="98"/>
      <w:r>
        <w:t>: Potential biases under the breakeven approach</w:t>
      </w:r>
    </w:p>
    <w:tbl>
      <w:tblPr>
        <w:tblStyle w:val="AERtable-text0"/>
        <w:tblW w:w="0" w:type="auto"/>
        <w:tblLook w:val="04A0" w:firstRow="1" w:lastRow="0" w:firstColumn="1" w:lastColumn="0" w:noHBand="0" w:noVBand="1"/>
      </w:tblPr>
      <w:tblGrid>
        <w:gridCol w:w="1171"/>
        <w:gridCol w:w="1631"/>
        <w:gridCol w:w="3685"/>
        <w:gridCol w:w="2206"/>
      </w:tblGrid>
      <w:tr w:rsidR="00B07A7A" w:rsidTr="00BB7AE6">
        <w:trPr>
          <w:cnfStyle w:val="100000000000" w:firstRow="1" w:lastRow="0" w:firstColumn="0" w:lastColumn="0" w:oddVBand="0" w:evenVBand="0" w:oddHBand="0" w:evenHBand="0" w:firstRowFirstColumn="0" w:firstRowLastColumn="0" w:lastRowFirstColumn="0" w:lastRowLastColumn="0"/>
          <w:tblHeader/>
        </w:trPr>
        <w:tc>
          <w:tcPr>
            <w:tcW w:w="1171" w:type="dxa"/>
          </w:tcPr>
          <w:p w:rsidR="00B07A7A" w:rsidRPr="00B07A7A" w:rsidRDefault="00B07A7A" w:rsidP="00B07A7A">
            <w:r>
              <w:t>Potential bias</w:t>
            </w:r>
          </w:p>
        </w:tc>
        <w:tc>
          <w:tcPr>
            <w:tcW w:w="1631" w:type="dxa"/>
          </w:tcPr>
          <w:p w:rsidR="00B07A7A" w:rsidRPr="00B07A7A" w:rsidRDefault="00B07A7A" w:rsidP="00B07A7A">
            <w:r>
              <w:t xml:space="preserve">Effect on </w:t>
            </w:r>
            <w:r w:rsidRPr="00B07A7A">
              <w:t>estimates</w:t>
            </w:r>
          </w:p>
        </w:tc>
        <w:tc>
          <w:tcPr>
            <w:tcW w:w="3685" w:type="dxa"/>
          </w:tcPr>
          <w:p w:rsidR="00B07A7A" w:rsidRPr="00B07A7A" w:rsidRDefault="00B07A7A" w:rsidP="00B07A7A">
            <w:r>
              <w:t>Explanation</w:t>
            </w:r>
          </w:p>
        </w:tc>
        <w:tc>
          <w:tcPr>
            <w:tcW w:w="2206" w:type="dxa"/>
          </w:tcPr>
          <w:p w:rsidR="00B07A7A" w:rsidRPr="00B07A7A" w:rsidRDefault="00B07A7A" w:rsidP="00B07A7A">
            <w:r>
              <w:t>Adjustment needed?</w:t>
            </w:r>
          </w:p>
        </w:tc>
      </w:tr>
      <w:tr w:rsidR="00B07A7A" w:rsidTr="003C3515">
        <w:tc>
          <w:tcPr>
            <w:tcW w:w="1171" w:type="dxa"/>
          </w:tcPr>
          <w:p w:rsidR="00B07A7A" w:rsidRPr="00B07A7A" w:rsidRDefault="00B07A7A" w:rsidP="00B07A7A">
            <w:r w:rsidRPr="00D273FA">
              <w:t>Convexity</w:t>
            </w:r>
          </w:p>
        </w:tc>
        <w:tc>
          <w:tcPr>
            <w:tcW w:w="1631" w:type="dxa"/>
          </w:tcPr>
          <w:p w:rsidR="00B07A7A" w:rsidRPr="00B07A7A" w:rsidRDefault="00B07A7A" w:rsidP="00B07A7A">
            <w:r>
              <w:t>Underestimate</w:t>
            </w:r>
          </w:p>
        </w:tc>
        <w:tc>
          <w:tcPr>
            <w:tcW w:w="3685" w:type="dxa"/>
          </w:tcPr>
          <w:p w:rsidR="00B07A7A" w:rsidRPr="00B07A7A" w:rsidRDefault="00B07A7A" w:rsidP="00B07A7A">
            <w:r>
              <w:t xml:space="preserve">Differences in convexity and convexity bias between indexed and nominal bonds mean that the implied breakeven inflation rate may differ from inflation expectations. </w:t>
            </w:r>
          </w:p>
          <w:p w:rsidR="00B07A7A" w:rsidRPr="00B07A7A" w:rsidRDefault="00B07A7A" w:rsidP="00B07A7A">
            <w:r w:rsidRPr="00EA48FF">
              <w:t>Convexity bias results in a downward bias of bond yields and nominal bond yields are generally more downwardly biased than indexed bond yields. This is because convexity bias is sensitive to yield volatility and nominal bond yields are generally more volatile than indexed bond yields. As a result, the differences in bond convexity bias could bias long-term breakeven inflation rates below inflation expectations.</w:t>
            </w:r>
            <w:r w:rsidRPr="00B07A7A">
              <w:rPr>
                <w:rStyle w:val="FootnoteReference"/>
              </w:rPr>
              <w:t xml:space="preserve"> </w:t>
            </w:r>
            <w:r w:rsidRPr="00B07A7A">
              <w:rPr>
                <w:rStyle w:val="FootnoteReference"/>
              </w:rPr>
              <w:footnoteReference w:id="604"/>
            </w:r>
            <w:r w:rsidRPr="00B07A7A">
              <w:t xml:space="preserve"> </w:t>
            </w:r>
          </w:p>
        </w:tc>
        <w:tc>
          <w:tcPr>
            <w:tcW w:w="2206" w:type="dxa"/>
          </w:tcPr>
          <w:p w:rsidR="00B07A7A" w:rsidRPr="00B07A7A" w:rsidRDefault="00B07A7A" w:rsidP="00B07A7A">
            <w:r>
              <w:t>Yes</w:t>
            </w:r>
          </w:p>
        </w:tc>
      </w:tr>
      <w:tr w:rsidR="00B07A7A" w:rsidTr="003C3515">
        <w:trPr>
          <w:cnfStyle w:val="000000010000" w:firstRow="0" w:lastRow="0" w:firstColumn="0" w:lastColumn="0" w:oddVBand="0" w:evenVBand="0" w:oddHBand="0" w:evenHBand="1" w:firstRowFirstColumn="0" w:firstRowLastColumn="0" w:lastRowFirstColumn="0" w:lastRowLastColumn="0"/>
        </w:trPr>
        <w:tc>
          <w:tcPr>
            <w:tcW w:w="1171" w:type="dxa"/>
          </w:tcPr>
          <w:p w:rsidR="00B07A7A" w:rsidRPr="00B07A7A" w:rsidRDefault="00B07A7A" w:rsidP="00B07A7A">
            <w:r w:rsidRPr="00D273FA">
              <w:t>Inflation risk premium</w:t>
            </w:r>
          </w:p>
        </w:tc>
        <w:tc>
          <w:tcPr>
            <w:tcW w:w="1631" w:type="dxa"/>
          </w:tcPr>
          <w:p w:rsidR="00B07A7A" w:rsidRPr="00B07A7A" w:rsidRDefault="00B07A7A" w:rsidP="00B07A7A">
            <w:r>
              <w:t>Generally an o</w:t>
            </w:r>
            <w:r w:rsidRPr="00B07A7A">
              <w:t>verestimate.</w:t>
            </w:r>
          </w:p>
          <w:p w:rsidR="00B07A7A" w:rsidRPr="00B07A7A" w:rsidRDefault="00B07A7A" w:rsidP="00B07A7A">
            <w:r>
              <w:t>Potential u</w:t>
            </w:r>
            <w:r w:rsidRPr="00B07A7A">
              <w:t>nderestimate if there are concerns about deflation or very low inflation.</w:t>
            </w:r>
            <w:r w:rsidRPr="00B07A7A">
              <w:rPr>
                <w:rStyle w:val="FootnoteReference"/>
              </w:rPr>
              <w:footnoteReference w:id="605"/>
            </w:r>
          </w:p>
        </w:tc>
        <w:tc>
          <w:tcPr>
            <w:tcW w:w="3685" w:type="dxa"/>
          </w:tcPr>
          <w:p w:rsidR="00B07A7A" w:rsidRPr="00B07A7A" w:rsidRDefault="00B07A7A" w:rsidP="00B07A7A">
            <w:r w:rsidRPr="00D273FA">
              <w:t xml:space="preserve">Nominal bondholders will demand compensation for </w:t>
            </w:r>
            <w:r w:rsidRPr="00B07A7A">
              <w:t xml:space="preserve">inﬂation risk as the actual inflation rate may not match the expected inflation rate. The implied breakeven inflation rate is likely to exceed the expected inflation rate if there is an inflation risk premium in nominal bond yields. </w:t>
            </w:r>
          </w:p>
          <w:p w:rsidR="00B07A7A" w:rsidRPr="00B07A7A" w:rsidRDefault="00B07A7A" w:rsidP="00B07A7A">
            <w:r w:rsidRPr="00D273FA">
              <w:t xml:space="preserve">However, if there are </w:t>
            </w:r>
            <w:r w:rsidRPr="00B07A7A">
              <w:t>concerns about deflation, the inflation risk premium may become negative and the breakeven inflation rate may underestimate expected inflation.</w:t>
            </w:r>
          </w:p>
        </w:tc>
        <w:tc>
          <w:tcPr>
            <w:tcW w:w="2206" w:type="dxa"/>
          </w:tcPr>
          <w:p w:rsidR="00B07A7A" w:rsidRPr="00B07A7A" w:rsidRDefault="00B07A7A" w:rsidP="00B07A7A">
            <w:r>
              <w:t xml:space="preserve">Yes, if our goal is to </w:t>
            </w:r>
            <w:r w:rsidRPr="00B07A7A">
              <w:t>only estimate expected inflation.</w:t>
            </w:r>
          </w:p>
          <w:p w:rsidR="00B07A7A" w:rsidRPr="00B07A7A" w:rsidRDefault="00B07A7A" w:rsidP="00B07A7A">
            <w:r>
              <w:t xml:space="preserve">No, if our goal is to convert a nominal rate of return with an inflation risk premium into a real rate of return for a business with no inflation risk. </w:t>
            </w:r>
          </w:p>
        </w:tc>
      </w:tr>
      <w:tr w:rsidR="00B07A7A" w:rsidTr="003C3515">
        <w:tc>
          <w:tcPr>
            <w:tcW w:w="1171" w:type="dxa"/>
          </w:tcPr>
          <w:p w:rsidR="00B07A7A" w:rsidRPr="00B07A7A" w:rsidRDefault="00B07A7A" w:rsidP="00B07A7A">
            <w:r w:rsidRPr="00D273FA">
              <w:t>Liquidity premium</w:t>
            </w:r>
          </w:p>
        </w:tc>
        <w:tc>
          <w:tcPr>
            <w:tcW w:w="1631" w:type="dxa"/>
          </w:tcPr>
          <w:p w:rsidR="00B07A7A" w:rsidRPr="00B07A7A" w:rsidRDefault="00B07A7A" w:rsidP="00B07A7A">
            <w:r>
              <w:t>Underestimate</w:t>
            </w:r>
          </w:p>
        </w:tc>
        <w:tc>
          <w:tcPr>
            <w:tcW w:w="3685" w:type="dxa"/>
          </w:tcPr>
          <w:p w:rsidR="00B07A7A" w:rsidRPr="00B07A7A" w:rsidRDefault="00B07A7A" w:rsidP="00B07A7A">
            <w:r>
              <w:t>T</w:t>
            </w:r>
            <w:r w:rsidRPr="00B07A7A">
              <w:t>he indexed bond market is likely to be less liquid than the nominal bond market and as a result the breakeven inflation rate is likely to include a liquidity premium.</w:t>
            </w:r>
          </w:p>
          <w:p w:rsidR="00B07A7A" w:rsidRPr="00B07A7A" w:rsidRDefault="00B07A7A" w:rsidP="00B07A7A">
            <w:r w:rsidRPr="00EA48FF">
              <w:t>The differential liquidity premium between nominal and indexed bonds may also be time-varying. This premium is likely to be greater during periods of uncertainty when there is a ‘flight’ to more liquid nominal bond markets.</w:t>
            </w:r>
            <w:r w:rsidRPr="00B07A7A">
              <w:rPr>
                <w:rStyle w:val="FootnoteReference"/>
              </w:rPr>
              <w:footnoteReference w:id="606"/>
            </w:r>
            <w:r w:rsidRPr="00B07A7A">
              <w:t xml:space="preserve"> This would result in a narrow spread between nominal and indexed bond yields caused by greater uncertainty rather than a fall in expected inflation. If we accept CEG's forecasts of weak economic activity and an 'inflation trap', any resulting financial market uncertainty may give rise to a large liquidity premium in the breakeven inflation rate.</w:t>
            </w:r>
          </w:p>
        </w:tc>
        <w:tc>
          <w:tcPr>
            <w:tcW w:w="2206" w:type="dxa"/>
          </w:tcPr>
          <w:p w:rsidR="00B07A7A" w:rsidRPr="00B07A7A" w:rsidRDefault="00B07A7A" w:rsidP="00B07A7A">
            <w:r>
              <w:t>Yes</w:t>
            </w:r>
          </w:p>
        </w:tc>
      </w:tr>
      <w:tr w:rsidR="00B07A7A" w:rsidTr="003C3515">
        <w:trPr>
          <w:cnfStyle w:val="000000010000" w:firstRow="0" w:lastRow="0" w:firstColumn="0" w:lastColumn="0" w:oddVBand="0" w:evenVBand="0" w:oddHBand="0" w:evenHBand="1" w:firstRowFirstColumn="0" w:firstRowLastColumn="0" w:lastRowFirstColumn="0" w:lastRowLastColumn="0"/>
        </w:trPr>
        <w:tc>
          <w:tcPr>
            <w:tcW w:w="1171" w:type="dxa"/>
          </w:tcPr>
          <w:p w:rsidR="00B07A7A" w:rsidRPr="00B07A7A" w:rsidRDefault="00B07A7A" w:rsidP="00B07A7A">
            <w:r w:rsidRPr="00D273FA">
              <w:t>Inflation indexation lag</w:t>
            </w:r>
          </w:p>
        </w:tc>
        <w:tc>
          <w:tcPr>
            <w:tcW w:w="1631" w:type="dxa"/>
          </w:tcPr>
          <w:p w:rsidR="00B07A7A" w:rsidRPr="00B07A7A" w:rsidRDefault="00B07A7A" w:rsidP="00B07A7A">
            <w:r>
              <w:t>U</w:t>
            </w:r>
            <w:r w:rsidRPr="00B07A7A">
              <w:t>nderestimate or overestimate – potentially small if inflation is stable and the indexation lag is small.</w:t>
            </w:r>
          </w:p>
        </w:tc>
        <w:tc>
          <w:tcPr>
            <w:tcW w:w="3685" w:type="dxa"/>
          </w:tcPr>
          <w:p w:rsidR="00B07A7A" w:rsidRPr="00B07A7A" w:rsidRDefault="00B07A7A" w:rsidP="00B07A7A">
            <w:r>
              <w:t>I</w:t>
            </w:r>
            <w:r w:rsidRPr="00B07A7A">
              <w:t>ndexed CGS yields reflect some historical inflation as there are lags between movements in the price index and adjustments of indexed bond cash flows.</w:t>
            </w:r>
            <w:r w:rsidRPr="00B07A7A">
              <w:rPr>
                <w:rStyle w:val="FootnoteReference"/>
              </w:rPr>
              <w:footnoteReference w:id="607"/>
            </w:r>
            <w:r w:rsidRPr="00B07A7A">
              <w:t xml:space="preserve"> The indexation lag on indexed CGS is considerable - between 4.5 and 5.5 months.</w:t>
            </w:r>
          </w:p>
          <w:p w:rsidR="00B07A7A" w:rsidRPr="00B07A7A" w:rsidRDefault="00B07A7A" w:rsidP="00B07A7A">
            <w:r>
              <w:t>As a result of indexation lag, i</w:t>
            </w:r>
            <w:r w:rsidRPr="00B07A7A">
              <w:t xml:space="preserve">f historical inflation is high (low) relative to the inflation rate expected by the market then, all else equal, the real yield to maturity on the indexed bond may be higher (lower) than its ‘true’ real yield and the breakeven approach may underestimate (overestimate) the expected inflation rate. </w:t>
            </w:r>
          </w:p>
          <w:p w:rsidR="00B07A7A" w:rsidRPr="00B07A7A" w:rsidRDefault="00B07A7A" w:rsidP="00B07A7A">
            <w:r w:rsidRPr="00D273FA">
              <w:t>A</w:t>
            </w:r>
            <w:r w:rsidRPr="00B07A7A">
              <w:t>lso, due to indexation lag, the real return on indexed bonds may be exposed to some inflation risk and may include an inflation risk premium.</w:t>
            </w:r>
            <w:r w:rsidRPr="00B07A7A">
              <w:rPr>
                <w:rStyle w:val="FootnoteReference"/>
              </w:rPr>
              <w:footnoteReference w:id="608"/>
            </w:r>
          </w:p>
        </w:tc>
        <w:tc>
          <w:tcPr>
            <w:tcW w:w="2206" w:type="dxa"/>
          </w:tcPr>
          <w:p w:rsidR="00B07A7A" w:rsidRPr="00B07A7A" w:rsidRDefault="00B07A7A" w:rsidP="00B07A7A">
            <w:r>
              <w:t>Potentially not if immaterial.</w:t>
            </w:r>
            <w:r w:rsidRPr="00B07A7A">
              <w:t xml:space="preserve"> </w:t>
            </w:r>
          </w:p>
        </w:tc>
      </w:tr>
    </w:tbl>
    <w:p w:rsidR="00B07A7A" w:rsidRPr="008F77D5" w:rsidRDefault="00B07A7A" w:rsidP="00B07A7A">
      <w:r w:rsidRPr="00EA48FF">
        <w:rPr>
          <w:rStyle w:val="AERbody"/>
        </w:rPr>
        <w:t xml:space="preserve">It is worth noting that the potentially material biases in </w:t>
      </w:r>
      <w:r>
        <w:rPr>
          <w:rStyle w:val="AERbody"/>
        </w:rPr>
        <w:fldChar w:fldCharType="begin"/>
      </w:r>
      <w:r>
        <w:rPr>
          <w:rStyle w:val="AERbody"/>
        </w:rPr>
        <w:instrText xml:space="preserve"> REF  _Ref450909873 \* Lower \h </w:instrText>
      </w:r>
      <w:r>
        <w:rPr>
          <w:rStyle w:val="AERbody"/>
        </w:rPr>
      </w:r>
      <w:r>
        <w:rPr>
          <w:rStyle w:val="AERbody"/>
        </w:rPr>
        <w:fldChar w:fldCharType="separate"/>
      </w:r>
      <w:r w:rsidR="001A023B">
        <w:t xml:space="preserve">table </w:t>
      </w:r>
      <w:r w:rsidR="001A023B">
        <w:rPr>
          <w:noProof/>
        </w:rPr>
        <w:t>3</w:t>
      </w:r>
      <w:r w:rsidR="001A023B">
        <w:noBreakHyphen/>
      </w:r>
      <w:r w:rsidR="001A023B">
        <w:rPr>
          <w:noProof/>
        </w:rPr>
        <w:t>25</w:t>
      </w:r>
      <w:r>
        <w:rPr>
          <w:rStyle w:val="AERbody"/>
        </w:rPr>
        <w:fldChar w:fldCharType="end"/>
      </w:r>
      <w:r>
        <w:rPr>
          <w:rStyle w:val="AERbody"/>
        </w:rPr>
        <w:t xml:space="preserve"> </w:t>
      </w:r>
      <w:r w:rsidRPr="00EA48FF">
        <w:rPr>
          <w:rStyle w:val="AERbody"/>
        </w:rPr>
        <w:t xml:space="preserve">have yet to be raised or discussed. </w:t>
      </w:r>
      <w:r>
        <w:t>This provides further support for broad consultation with</w:t>
      </w:r>
      <w:r w:rsidRPr="008D2805">
        <w:t xml:space="preserve"> all stakeholders</w:t>
      </w:r>
      <w:r>
        <w:t xml:space="preserve"> prior to changing approaches as this would illicit stakeholder input to the various benefits and limitations to a change in approach. For instance, </w:t>
      </w:r>
      <w:r>
        <w:rPr>
          <w:rStyle w:val="AERbody"/>
        </w:rPr>
        <w:t xml:space="preserve">there </w:t>
      </w:r>
      <w:r w:rsidRPr="00EA48FF">
        <w:rPr>
          <w:rStyle w:val="AERbody"/>
        </w:rPr>
        <w:t>is a range of limitations to the breakeven approach that</w:t>
      </w:r>
      <w:r w:rsidRPr="008F77D5">
        <w:t xml:space="preserve"> CEG </w:t>
      </w:r>
      <w:r>
        <w:t>and ActewAGL have not raised</w:t>
      </w:r>
      <w:r w:rsidRPr="008F77D5">
        <w:t xml:space="preserve"> and stakeholders may </w:t>
      </w:r>
      <w:r>
        <w:t>be</w:t>
      </w:r>
      <w:r w:rsidRPr="009B0F8C">
        <w:t xml:space="preserve"> yet </w:t>
      </w:r>
      <w:r>
        <w:t xml:space="preserve">to </w:t>
      </w:r>
      <w:r w:rsidRPr="009B0F8C">
        <w:t>consider</w:t>
      </w:r>
      <w:r w:rsidRPr="008F77D5">
        <w:t>.</w:t>
      </w:r>
      <w:r w:rsidRPr="008F77D5">
        <w:rPr>
          <w:rStyle w:val="FootnoteReference"/>
        </w:rPr>
        <w:footnoteReference w:id="609"/>
      </w:r>
      <w:r w:rsidRPr="008F77D5">
        <w:t xml:space="preserve"> Where possible, it would be prudent to adjust for any identifiable material biases if such a review lead us to adopt the breakeven approach (or another method, such as one</w:t>
      </w:r>
      <w:r>
        <w:t xml:space="preserve"> based on interest rate swaps).</w:t>
      </w:r>
    </w:p>
    <w:p w:rsidR="00B07A7A" w:rsidRPr="005F5142" w:rsidRDefault="00B07A7A" w:rsidP="00B07A7A">
      <w:pPr>
        <w:pStyle w:val="HeadingItalic"/>
      </w:pPr>
      <w:r w:rsidRPr="005F5142">
        <w:t>Limitations under market imperfections</w:t>
      </w:r>
    </w:p>
    <w:p w:rsidR="00B07A7A" w:rsidRPr="005F5142" w:rsidRDefault="00B07A7A" w:rsidP="00B07A7A">
      <w:pPr>
        <w:rPr>
          <w:rStyle w:val="AERbody"/>
        </w:rPr>
      </w:pPr>
      <w:r w:rsidRPr="005F5142">
        <w:t>Market imperfections can undermine the ability of the breakeven approach to estimate the market's inflation expectations. For this reason, our use of the breakeven approach pre-2008 had been criticised by various stakeholders.</w:t>
      </w:r>
      <w:r w:rsidRPr="005F5142">
        <w:rPr>
          <w:rStyle w:val="FootnoteReference"/>
        </w:rPr>
        <w:footnoteReference w:id="610"/>
      </w:r>
      <w:r w:rsidRPr="005F5142">
        <w:t xml:space="preserve"> Also, CEG recently recognised this in advising</w:t>
      </w:r>
      <w:r w:rsidRPr="005F5142">
        <w:rPr>
          <w:rStyle w:val="AERbody"/>
        </w:rPr>
        <w:t>:</w:t>
      </w:r>
      <w:r w:rsidRPr="005F5142">
        <w:rPr>
          <w:rStyle w:val="FootnoteReference"/>
        </w:rPr>
        <w:footnoteReference w:id="611"/>
      </w:r>
    </w:p>
    <w:p w:rsidR="00B07A7A" w:rsidRPr="00256969" w:rsidRDefault="00B07A7A" w:rsidP="00256969">
      <w:pPr>
        <w:pStyle w:val="AERquote"/>
        <w:rPr>
          <w:rStyle w:val="AERbody"/>
          <w:color w:val="000000"/>
          <w:sz w:val="20"/>
        </w:rPr>
      </w:pPr>
      <w:r w:rsidRPr="00256969">
        <w:rPr>
          <w:rStyle w:val="AERbody"/>
          <w:color w:val="000000"/>
          <w:sz w:val="20"/>
        </w:rPr>
        <w:t>in the period from 2006 to late 2008 the indexed CGS market was much smaller than today. RBA analysis suggested that the limited supply, in combination with heightened demand by foreigners due to regulatory changes, were combining to push up indexed CGS prices and push down real yields; with the effect that breakeven inflation estimates were overstated.</w:t>
      </w:r>
    </w:p>
    <w:p w:rsidR="00B07A7A" w:rsidRPr="005F5142" w:rsidRDefault="00B07A7A" w:rsidP="00B07A7A">
      <w:r w:rsidRPr="005F5142">
        <w:t>CEG suggests that its criticism of the breakeven approach in 2007 does not apply to the current market. However, we do not consider it has provided convincing evidence of this. We agree with CEG's observation that there has been an increase in the size of the indexed CGS market (there are currently seven types of indexed CGS on issue).</w:t>
      </w:r>
      <w:r w:rsidRPr="005F5142">
        <w:rPr>
          <w:rStyle w:val="FootnoteReference"/>
        </w:rPr>
        <w:footnoteReference w:id="612"/>
      </w:r>
      <w:r w:rsidRPr="005F5142">
        <w:t xml:space="preserve"> However, we do not consider th</w:t>
      </w:r>
      <w:r>
        <w:t>is</w:t>
      </w:r>
      <w:r w:rsidRPr="005F5142">
        <w:t xml:space="preserve"> means that market disto</w:t>
      </w:r>
      <w:r>
        <w:t>rtions are no longer a concern.</w:t>
      </w:r>
    </w:p>
    <w:p w:rsidR="00B07A7A" w:rsidRPr="005F5142" w:rsidRDefault="00B07A7A" w:rsidP="00B07A7A">
      <w:r w:rsidRPr="005F5142">
        <w:t>For instance, despite having improved since 2007, the size and liquidity of the indexed CGS market is still limited.</w:t>
      </w:r>
      <w:r w:rsidRPr="005F5142">
        <w:rPr>
          <w:rStyle w:val="FootnoteReference"/>
        </w:rPr>
        <w:footnoteReference w:id="613"/>
      </w:r>
      <w:r w:rsidRPr="005F5142">
        <w:t xml:space="preserve"> Further, increased</w:t>
      </w:r>
      <w:r>
        <w:t xml:space="preserve"> </w:t>
      </w:r>
      <w:r w:rsidRPr="007D3879">
        <w:rPr>
          <w:rStyle w:val="AERtextitalic"/>
        </w:rPr>
        <w:t>absolute</w:t>
      </w:r>
      <w:r w:rsidRPr="005F5142">
        <w:t xml:space="preserve"> liquidity in the indexed CGS market does not necessarily imply that th</w:t>
      </w:r>
      <w:r>
        <w:t>is</w:t>
      </w:r>
      <w:r w:rsidRPr="005F5142">
        <w:t xml:space="preserve"> market has become more liquid</w:t>
      </w:r>
      <w:r w:rsidRPr="005F5142">
        <w:rPr>
          <w:rStyle w:val="AERtextitalic"/>
        </w:rPr>
        <w:t xml:space="preserve"> relative</w:t>
      </w:r>
      <w:r w:rsidRPr="005F5142">
        <w:t xml:space="preserve"> to </w:t>
      </w:r>
      <w:r>
        <w:t xml:space="preserve">the </w:t>
      </w:r>
      <w:r w:rsidRPr="005F5142">
        <w:t>nominal CGS</w:t>
      </w:r>
      <w:r>
        <w:t xml:space="preserve"> market</w:t>
      </w:r>
      <w:r w:rsidRPr="005F5142">
        <w:t xml:space="preserve">. </w:t>
      </w:r>
      <w:r>
        <w:t xml:space="preserve">This is important because </w:t>
      </w:r>
      <w:r w:rsidRPr="005F5142">
        <w:t xml:space="preserve">relative liquidity </w:t>
      </w:r>
      <w:r>
        <w:t xml:space="preserve">between these two markets determines </w:t>
      </w:r>
      <w:r w:rsidRPr="005F5142">
        <w:t>the liquidity bias in implied breakeven rates. Trading volume of indexed CGS expressed share of total indexed and nominal CGS can be used as a measure of the relative liquidity.</w:t>
      </w:r>
      <w:r w:rsidRPr="005F5142">
        <w:rPr>
          <w:rStyle w:val="FootnoteReference"/>
        </w:rPr>
        <w:footnoteReference w:id="614"/>
      </w:r>
      <w:r w:rsidRPr="005F5142">
        <w:t xml:space="preserve"> According to this metric, there has only been a minor improvement to relative liquidity of the indexed CGS since early 2008.</w:t>
      </w:r>
      <w:r w:rsidRPr="005F5142">
        <w:rPr>
          <w:rStyle w:val="FootnoteReference"/>
        </w:rPr>
        <w:footnoteReference w:id="615"/>
      </w:r>
      <w:r w:rsidRPr="005F5142">
        <w:t xml:space="preserve"> </w:t>
      </w:r>
      <w:r>
        <w:t>Liquidity</w:t>
      </w:r>
      <w:r w:rsidRPr="005F5142">
        <w:t xml:space="preserve"> bias can be material and difficult to </w:t>
      </w:r>
      <w:r>
        <w:t>identify and remove from the breakeven rate</w:t>
      </w:r>
      <w:r w:rsidRPr="005F5142">
        <w:t>―particularly as evidence indicates that it can vary considerably over time.</w:t>
      </w:r>
      <w:r w:rsidRPr="005F5142">
        <w:rPr>
          <w:rStyle w:val="FootnoteReference"/>
        </w:rPr>
        <w:footnoteReference w:id="616"/>
      </w:r>
    </w:p>
    <w:p w:rsidR="00B07A7A" w:rsidRDefault="00B07A7A" w:rsidP="00B07A7A">
      <w:r w:rsidRPr="005F5142">
        <w:t xml:space="preserve">Further, </w:t>
      </w:r>
      <w:r>
        <w:t>while</w:t>
      </w:r>
      <w:r w:rsidRPr="005F5142">
        <w:t xml:space="preserve"> CEG suggest</w:t>
      </w:r>
      <w:r>
        <w:t>s</w:t>
      </w:r>
      <w:r w:rsidRPr="005F5142">
        <w:t xml:space="preserve"> the current approach is producing unusual results</w:t>
      </w:r>
      <w:r>
        <w:t xml:space="preserve">, it </w:t>
      </w:r>
      <w:r w:rsidRPr="005F5142">
        <w:t>is not clear that</w:t>
      </w:r>
      <w:r>
        <w:t xml:space="preserve"> this is the case</w:t>
      </w:r>
      <w:r w:rsidRPr="005F5142">
        <w:t>. Another market-based method for estimating expected inflation entails using inflation swaps. CEG's application of this method showed that a 10 year inflation expectation of approximately 2.6 per cent, which was higher than what the current approach produced at that time (2.5 per cent). While CEG advised that hedging costs cause an upward bias in inflation estimates from swaps, it is worth noting that the breakeven approach is not free from bias either.</w:t>
      </w:r>
      <w:r w:rsidRPr="005F5142">
        <w:rPr>
          <w:rStyle w:val="FootnoteReference"/>
        </w:rPr>
        <w:footnoteReference w:id="617"/>
      </w:r>
      <w:r w:rsidRPr="005F5142">
        <w:t xml:space="preserve"> Inflation swaps also have some advantages over the breakeven approach. For instance, </w:t>
      </w:r>
      <w:r>
        <w:t xml:space="preserve">the Treasury, the RBA and several academic researchers observe that, as estimates of expected inflation, inflation swap rates are </w:t>
      </w:r>
      <w:r w:rsidRPr="005F5142">
        <w:t>less affected by</w:t>
      </w:r>
      <w:r>
        <w:t xml:space="preserve"> </w:t>
      </w:r>
      <w:r w:rsidRPr="005F5142">
        <w:t>liquidity premia</w:t>
      </w:r>
      <w:r>
        <w:t xml:space="preserve"> than</w:t>
      </w:r>
      <w:r w:rsidRPr="007D5816">
        <w:t xml:space="preserve"> </w:t>
      </w:r>
      <w:r>
        <w:t>the bond breakeven inflation rate</w:t>
      </w:r>
      <w:r w:rsidRPr="005F5142">
        <w:t>.</w:t>
      </w:r>
      <w:r w:rsidRPr="005F5142">
        <w:rPr>
          <w:rStyle w:val="FootnoteReference"/>
        </w:rPr>
        <w:footnoteReference w:id="618"/>
      </w:r>
    </w:p>
    <w:p w:rsidR="00B07A7A" w:rsidRDefault="00B07A7A" w:rsidP="00B07A7A">
      <w:pPr>
        <w:pStyle w:val="HeadingBoldBlue"/>
      </w:pPr>
      <w:bookmarkStart w:id="99" w:name="_Toc450909468"/>
      <w:r>
        <w:t>Amending methods in the future</w:t>
      </w:r>
      <w:bookmarkEnd w:id="99"/>
      <w:r>
        <w:t xml:space="preserve"> </w:t>
      </w:r>
    </w:p>
    <w:p w:rsidR="00B07A7A" w:rsidRPr="00746B06" w:rsidRDefault="00B07A7A" w:rsidP="00B07A7A">
      <w:r>
        <w:t xml:space="preserve">In its revised access arrangement, ActewAGL submitted that it was unclear why we could only consider changing the method for estimating expected inflation </w:t>
      </w:r>
      <w:r w:rsidRPr="00A2013B">
        <w:t>as part of a separate consultation process.</w:t>
      </w:r>
      <w:r>
        <w:rPr>
          <w:rStyle w:val="FootnoteReference"/>
        </w:rPr>
        <w:footnoteReference w:id="619"/>
      </w:r>
      <w:r>
        <w:t xml:space="preserve"> We do not consider that changing our approach would improve our estimates of expected inflation. However, we maintain that if we change our view in the future, this should follow a consultation process and a comprehensive analysis of the strengths and weaknesses of different approaches. This will allow us to consistently apply a </w:t>
      </w:r>
      <w:r w:rsidRPr="00746B06">
        <w:rPr>
          <w:rStyle w:val="AERbody"/>
        </w:rPr>
        <w:t>methodology</w:t>
      </w:r>
      <w:r>
        <w:rPr>
          <w:rStyle w:val="AERbody"/>
        </w:rPr>
        <w:t xml:space="preserve"> for estimating expected inflation</w:t>
      </w:r>
      <w:r w:rsidRPr="00746B06">
        <w:rPr>
          <w:rStyle w:val="AERbody"/>
        </w:rPr>
        <w:t xml:space="preserve"> that is broadly accepted as sound</w:t>
      </w:r>
      <w:r>
        <w:rPr>
          <w:rStyle w:val="AERbody"/>
        </w:rPr>
        <w:t xml:space="preserve">. </w:t>
      </w:r>
      <w:r>
        <w:t>We consider this to be beneficial over</w:t>
      </w:r>
      <w:r w:rsidRPr="00746B06">
        <w:t xml:space="preserve"> changing approaches across resets</w:t>
      </w:r>
      <w:r>
        <w:t xml:space="preserve"> (noting that we do not consider service providers </w:t>
      </w:r>
      <w:r w:rsidRPr="008769C3">
        <w:t>have shown broad support to permanently return to the breakeven approach</w:t>
      </w:r>
      <w:r>
        <w:t>)</w:t>
      </w:r>
      <w:r w:rsidRPr="008769C3">
        <w:t>.</w:t>
      </w:r>
      <w:r w:rsidRPr="008769C3">
        <w:rPr>
          <w:rStyle w:val="FootnoteReference"/>
        </w:rPr>
        <w:footnoteReference w:id="620"/>
      </w:r>
      <w:r w:rsidRPr="00746B06">
        <w:t xml:space="preserve"> </w:t>
      </w:r>
      <w:r>
        <w:t>This is because</w:t>
      </w:r>
      <w:r w:rsidRPr="00746B06">
        <w:t>:</w:t>
      </w:r>
    </w:p>
    <w:p w:rsidR="00B07A7A" w:rsidRPr="00B07A7A" w:rsidRDefault="00B07A7A" w:rsidP="00B07A7A">
      <w:pPr>
        <w:pStyle w:val="AERbulletlistfirststyle"/>
      </w:pPr>
      <w:r>
        <w:t>For the majority of service providers we regulate, t</w:t>
      </w:r>
      <w:r w:rsidRPr="00B07A7A">
        <w:t xml:space="preserve">he </w:t>
      </w:r>
      <w:r w:rsidRPr="00B07A7A">
        <w:rPr>
          <w:rStyle w:val="AERtextunderline"/>
        </w:rPr>
        <w:t>method</w:t>
      </w:r>
      <w:r w:rsidRPr="00B07A7A">
        <w:t xml:space="preserve"> that we determine is likely to result in the best estimates of expected inflation must be contained in the PTRM.</w:t>
      </w:r>
      <w:r w:rsidRPr="00B07A7A">
        <w:rPr>
          <w:rStyle w:val="FootnoteReference"/>
        </w:rPr>
        <w:footnoteReference w:id="621"/>
      </w:r>
      <w:r w:rsidRPr="00B07A7A">
        <w:t xml:space="preserve"> The NER specify that we may amend the PTRM in accordance with the consultation procedures.</w:t>
      </w:r>
      <w:r w:rsidRPr="00B07A7A">
        <w:rPr>
          <w:rStyle w:val="FootnoteReference"/>
        </w:rPr>
        <w:footnoteReference w:id="622"/>
      </w:r>
      <w:r w:rsidRPr="00B07A7A">
        <w:t xml:space="preserve"> Even where this is not required (such as under the NGR), it is nevertheless valuable to follow consultation procedures in amending aspects of our approach that will apply</w:t>
      </w:r>
      <w:r>
        <w:t xml:space="preserve"> to all service providers.</w:t>
      </w:r>
    </w:p>
    <w:p w:rsidR="00B07A7A" w:rsidRPr="00B07A7A" w:rsidRDefault="00B07A7A" w:rsidP="00B07A7A">
      <w:pPr>
        <w:pStyle w:val="AERbulletlistfirststyle"/>
      </w:pPr>
      <w:r w:rsidRPr="003A1732">
        <w:t xml:space="preserve">Regularly </w:t>
      </w:r>
      <w:r w:rsidRPr="00B07A7A">
        <w:t>switching between different methods for estimating inflation expectations could allow bias to enter our decisions as this would incentivise service providers to propose approaches that were most beneficial to them at a given point in time. If an alternative to the current method provides unambiguously better estimates of expected inflation, we consider it preferable to adopt this as our general approach rather than applying it on a decision-by-decision basis. We do not consider CEG or ActewAGL have made a strong case for how the breakeven approach might produce superior estimates of expected inflation to the current method. Further, neither addressed nor proposed to adjust for the potentially material bia</w:t>
      </w:r>
      <w:r>
        <w:t>ses underpinning this approach.</w:t>
      </w:r>
    </w:p>
    <w:p w:rsidR="006C7533" w:rsidRPr="006C7533" w:rsidRDefault="00B07A7A" w:rsidP="006C7533">
      <w:pPr>
        <w:pStyle w:val="AERbulletlistfirststyle"/>
      </w:pPr>
      <w:r>
        <w:t>We do not consider that service providers or other stakeholders</w:t>
      </w:r>
      <w:r w:rsidRPr="00B07A7A">
        <w:t xml:space="preserve"> have shown broad support to permanently return to the breakeven approach. In 2013, stakeholders endorsed continuing the current method when we raised this as an issue for potential review of our regulatory approach.</w:t>
      </w:r>
      <w:r w:rsidRPr="00B07A7A">
        <w:rPr>
          <w:rStyle w:val="FootnoteReference"/>
        </w:rPr>
        <w:footnoteReference w:id="623"/>
      </w:r>
      <w:r w:rsidRPr="00B07A7A">
        <w:t xml:space="preserve"> ActewAGL submitted that stakeholders endorsed continuing the current method in 2013 because it produced similar estimates to the breakeven approach at the time.</w:t>
      </w:r>
      <w:r w:rsidRPr="00B07A7A">
        <w:rPr>
          <w:rStyle w:val="FootnoteReference"/>
        </w:rPr>
        <w:footnoteReference w:id="624"/>
      </w:r>
      <w:r w:rsidRPr="00B07A7A">
        <w:t xml:space="preserve"> We do not find this convincing. Recognising that different methods produce different estimates across time, we consider stakeholders would have supported the estimation method they considered was most reasonable. We would accept that stakeholders might change their preferences if liquidity in the indexed CGS market improved notably since 2013 and/or less biases and premia were affecting the breakeven inflation rate more generally. However, this does not appear to be the case.</w:t>
      </w:r>
    </w:p>
    <w:p w:rsidR="00421E06" w:rsidRPr="00BA0AFD" w:rsidRDefault="00421E06" w:rsidP="00421E06">
      <w:pPr>
        <w:pStyle w:val="Heading7"/>
      </w:pPr>
      <w:bookmarkStart w:id="100" w:name="_Ref448871343"/>
      <w:bookmarkStart w:id="101" w:name="_Toc451945480"/>
      <w:bookmarkEnd w:id="12"/>
      <w:r>
        <w:t>Our foundation model approach</w:t>
      </w:r>
      <w:bookmarkEnd w:id="100"/>
      <w:bookmarkEnd w:id="101"/>
    </w:p>
    <w:p w:rsidR="00421E06" w:rsidRDefault="00421E06" w:rsidP="00421E06">
      <w:r>
        <w:t>We determined the allowed return on equity by applying our foundation model approach. The foundation model approach was developed after extensive consultation during the formation of our Rate of Return Guideline in December 2013.</w:t>
      </w:r>
    </w:p>
    <w:p w:rsidR="00421E06" w:rsidRDefault="00421E06" w:rsidP="00421E06">
      <w:r>
        <w:t>Service providers submitted that our approach prevents us from having appropriate regard to relevant material.</w:t>
      </w:r>
      <w:r>
        <w:rPr>
          <w:rStyle w:val="FootnoteReference"/>
        </w:rPr>
        <w:footnoteReference w:id="625"/>
      </w:r>
      <w:r>
        <w:t xml:space="preserve"> We disagree, and provide the following for clarification:</w:t>
      </w:r>
    </w:p>
    <w:p w:rsidR="00421E06" w:rsidRPr="00421E06" w:rsidRDefault="00421E06" w:rsidP="00421E06">
      <w:pPr>
        <w:pStyle w:val="AERbulletlistfirststyle"/>
      </w:pPr>
      <w:r>
        <w:t>The foundation model approach identifies one model as the foundation model, but this is just a starting point and does not prevent other models, or combinations of multiple models, from being adopted. As set out in the Guideline:</w:t>
      </w:r>
      <w:r w:rsidRPr="00421E06">
        <w:rPr>
          <w:rStyle w:val="FootnoteReference"/>
        </w:rPr>
        <w:footnoteReference w:id="626"/>
      </w:r>
    </w:p>
    <w:p w:rsidR="00421E06" w:rsidRPr="0081065F" w:rsidRDefault="00421E06" w:rsidP="00421E06">
      <w:pPr>
        <w:pStyle w:val="AERquote"/>
      </w:pPr>
      <w:r w:rsidRPr="0081065F">
        <w:t xml:space="preserve">The use of regulatory judgement may also result in a final estimate of the return on equity that is outside the foundation model range. This recognises that, ultimately, our rate of return must meet the allowed rate of return objective. In these circumstances, we may reconsider the foundation model input parameter estimates, or more fundamentally, we may also reconsider the foundation model itself. </w:t>
      </w:r>
    </w:p>
    <w:p w:rsidR="00421E06" w:rsidRDefault="00421E06" w:rsidP="00421E06">
      <w:pPr>
        <w:pStyle w:val="AERbulletlistfirststyle"/>
      </w:pPr>
      <w:r>
        <w:t>The foundation model approach has six steps, but this does not mean that material considered in earlier steps are given more weight than material considered in later steps.</w:t>
      </w:r>
    </w:p>
    <w:p w:rsidR="00421E06" w:rsidRDefault="00421E06" w:rsidP="00421E06">
      <w:pPr>
        <w:pStyle w:val="AERbulletlistfirststyle"/>
      </w:pPr>
      <w:r>
        <w:t>Identifying material as being valuable in the estimation of one parameter (eg. market risk premium) does not prevent us from considering the value of that parameter for the estimation of other parameters (eg. overall return on equity). However, in using certain material to inform the estimation of multiple parameters, it is important to consider that the weight being afforded to the material reflects the relative merits of the material and is not in effect being 'double-counted'.</w:t>
      </w:r>
    </w:p>
    <w:p w:rsidR="00421E06" w:rsidRPr="00421E06" w:rsidRDefault="00421E06" w:rsidP="00421E06">
      <w:pPr>
        <w:pStyle w:val="AERbulletlistfirststyle"/>
      </w:pPr>
      <w:r>
        <w:t xml:space="preserve">We do not consider that having regard to relevant material requires running all the equity models put before us. Rather, the need to run these models depends on how valuable we consider they are in estimating a return on equity commensurate with the efficient financing costs given the systematic risk associated with ActewAGL's </w:t>
      </w:r>
      <w:r w:rsidRPr="00421E06">
        <w:t>regulated services.</w:t>
      </w:r>
    </w:p>
    <w:p w:rsidR="00421E06" w:rsidRPr="003D1061" w:rsidRDefault="00421E06" w:rsidP="00421E06">
      <w:pPr>
        <w:numPr>
          <w:ilvl w:val="0"/>
          <w:numId w:val="24"/>
        </w:numPr>
      </w:pPr>
      <w:r>
        <w:t>Our approach was endorsed by the Tribunal, which stated recently:</w:t>
      </w:r>
    </w:p>
    <w:p w:rsidR="00421E06" w:rsidRPr="003D1061" w:rsidRDefault="00421E06" w:rsidP="00421E06">
      <w:pPr>
        <w:pStyle w:val="AERquote"/>
      </w:pPr>
      <w:r w:rsidRPr="003D1061">
        <w:t xml:space="preserve">649 The AER has appropriately extracted from the 2012 Rule Amendments the following propositions summarising how </w:t>
      </w:r>
      <w:r>
        <w:t>[the AEMC]</w:t>
      </w:r>
      <w:r w:rsidRPr="003D1061">
        <w:t xml:space="preserve"> intended the 2012 Rule Amendments, in particular r 6.5.2 of the NER and r 87(2) of the NGR, to operate: </w:t>
      </w:r>
    </w:p>
    <w:p w:rsidR="00421E06" w:rsidRPr="003D1061" w:rsidRDefault="00421E06" w:rsidP="00421E06">
      <w:pPr>
        <w:pStyle w:val="AERquote"/>
      </w:pPr>
      <w:r w:rsidRPr="003D1061">
        <w:t xml:space="preserve">(a) the RoR Objective has primacy in any estimation of the rate of return on equity (pp 18, 36 and 38-39); </w:t>
      </w:r>
    </w:p>
    <w:p w:rsidR="00421E06" w:rsidRPr="003D1061" w:rsidRDefault="00421E06" w:rsidP="00421E06">
      <w:pPr>
        <w:pStyle w:val="AERquote"/>
      </w:pPr>
      <w:r w:rsidRPr="003D1061">
        <w:t xml:space="preserve">(b) the AER’s obligation to “have regard to” the material referred to in NER 6.5.2(e) when determining the allowed rate of return is subject to its obligation under NER 6.5.2(b) to determine the allowed rate of return such that it achieves the RoR Objective (and equally under NGR r 87(3) and 87(2)) (pp 36-37); </w:t>
      </w:r>
    </w:p>
    <w:p w:rsidR="00421E06" w:rsidRPr="003D1061" w:rsidRDefault="00421E06" w:rsidP="00421E06">
      <w:pPr>
        <w:pStyle w:val="AERquote"/>
      </w:pPr>
      <w:r w:rsidRPr="003D1061">
        <w:t xml:space="preserve">(c) the AER must actively turn its mind to the factors listed, but it is up to the regulator to determine whether and, if so, how the factors should influence its decision (if at all) (pp 36-37); </w:t>
      </w:r>
    </w:p>
    <w:p w:rsidR="00421E06" w:rsidRPr="003D1061" w:rsidRDefault="00421E06" w:rsidP="00421E06">
      <w:pPr>
        <w:pStyle w:val="AERquote"/>
      </w:pPr>
      <w:r w:rsidRPr="003D1061">
        <w:t xml:space="preserve">(d) it is important that the AER be given flexibility to adopt an approach to determining the rate of return that is appropriate to market conditions (p 44); </w:t>
      </w:r>
    </w:p>
    <w:p w:rsidR="00421E06" w:rsidRPr="003D1061" w:rsidRDefault="00421E06" w:rsidP="00421E06">
      <w:pPr>
        <w:pStyle w:val="AERquote"/>
      </w:pPr>
      <w:r w:rsidRPr="003D1061">
        <w:t xml:space="preserve">(e) it is important for the AER to be transparent in its approach to determining the rate of return in order to maintain the confidence of service providers, investors and consumers in the process (pp 23 and 24); </w:t>
      </w:r>
    </w:p>
    <w:p w:rsidR="00421E06" w:rsidRPr="003D1061" w:rsidRDefault="00421E06" w:rsidP="00421E06">
      <w:pPr>
        <w:pStyle w:val="AERquote"/>
      </w:pPr>
      <w:r w:rsidRPr="003D1061">
        <w:t xml:space="preserve">(f) it is important that all stakeholders (including consumers) have the opportunity to contribute to the development of the RoR 2013 Guideline and its evolution through periodic review every three years (pp 45-46); </w:t>
      </w:r>
    </w:p>
    <w:p w:rsidR="00421E06" w:rsidRPr="003D1061" w:rsidRDefault="00421E06" w:rsidP="00421E06">
      <w:pPr>
        <w:pStyle w:val="AERquote"/>
      </w:pPr>
      <w:r w:rsidRPr="003D1061">
        <w:t>(g) the RoR 2013 Guideline should include details as to the financial models that the AER would take into account in making a determination, and why it has chosen those models over other models (p 70);</w:t>
      </w:r>
    </w:p>
    <w:p w:rsidR="00421E06" w:rsidRPr="003D1061" w:rsidRDefault="00421E06" w:rsidP="00421E06">
      <w:pPr>
        <w:pStyle w:val="AERquote"/>
      </w:pPr>
      <w:r w:rsidRPr="003D1061">
        <w:t xml:space="preserve">(h) the RoR 2013 Guideline should provide a service provider with a reasonably predictable, transparent guide as to how the AER will assess the various estimation methods, financial models, market data and other evidence in meeting the overall RoR objective. The Guideline should allow a service provider to make a reasonably good estimate of the rate of return that would be determined by the AER if the Guidelines were applied (p 71); and </w:t>
      </w:r>
    </w:p>
    <w:p w:rsidR="00421E06" w:rsidRDefault="00421E06" w:rsidP="00421E06">
      <w:pPr>
        <w:pStyle w:val="AERquote"/>
      </w:pPr>
      <w:r w:rsidRPr="003D1061">
        <w:t>(i) while the RoR 2013 Guideline are not determinative, these should “provide a meaningful signal as to the regulator’s intended methodologies for estimating return on equity” and be capable of being given “some weight” to narrow the debate about preferred methodologies and models. They should be used as a starting point in making a regulatory determination (p 71).</w:t>
      </w:r>
    </w:p>
    <w:p w:rsidR="00421E06" w:rsidRPr="002629C5" w:rsidRDefault="00421E06" w:rsidP="00421E06">
      <w:r>
        <w:t>Ultimately, as the Tribunal has emphasised, we must exercise our regulatory judgement about the weight that should be attached to different models, data, methods and other evidence that may be available to us when making our decision.</w:t>
      </w:r>
      <w:r>
        <w:rPr>
          <w:rStyle w:val="FootnoteReference"/>
        </w:rPr>
        <w:footnoteReference w:id="627"/>
      </w:r>
      <w:r>
        <w:t xml:space="preserve"> We recognise that there are potential weaknesses in the different models and estimation methods.  Nevertheless, we are charged with deciding from the available evidence, a return on equity that we consider contributes to the rate of return objective. The </w:t>
      </w:r>
      <w:r w:rsidR="00536B64">
        <w:t>Australian</w:t>
      </w:r>
      <w:r>
        <w:t xml:space="preserve"> Competition Tribunal has described the way in which the AER should carry out this task as follows:</w:t>
      </w:r>
      <w:r>
        <w:rPr>
          <w:rStyle w:val="FootnoteReference"/>
        </w:rPr>
        <w:footnoteReference w:id="628"/>
      </w:r>
    </w:p>
    <w:p w:rsidR="00421E06" w:rsidRPr="002629C5" w:rsidRDefault="00421E06" w:rsidP="00421E06">
      <w:pPr>
        <w:pStyle w:val="AERquote"/>
      </w:pPr>
      <w:r>
        <w:t>713 …</w:t>
      </w:r>
      <w:r w:rsidRPr="002629C5">
        <w:t xml:space="preserve">The Tribunal takes the obligation on the AER so expressed as requiring it to give consideration to the range of sources of evidence and analysis to estimate the rate of return. It need not give particular weight to any one source of evidence, and indeed it might treat particular evidence as having little or no weight in the circumstances. It is for the AER to make that assessment. It may also have regard to other factors. </w:t>
      </w:r>
      <w:r>
        <w:t>….</w:t>
      </w:r>
      <w:r w:rsidRPr="002629C5">
        <w:t xml:space="preserve"> </w:t>
      </w:r>
    </w:p>
    <w:p w:rsidR="00421E06" w:rsidRPr="002629C5" w:rsidRDefault="00421E06" w:rsidP="00421E06">
      <w:pPr>
        <w:pStyle w:val="AERquote"/>
      </w:pPr>
      <w:r w:rsidRPr="002629C5">
        <w:t xml:space="preserve">714 The AER accepted that it did not itself “run” other models than the SL CAPM. It had presented to it the outcome of other models, through various expert reports provided to it. It considered, but did not adopt, those outcomes. It is said by the Network Applicants that the AER’s approach was based upon an incorrect step – both non-compliant with the Rules and in fact – that the SL CAPM was a superior model and so an appropriate “foundation model” for the purposes of the RoR 2013 Guideline. </w:t>
      </w:r>
    </w:p>
    <w:p w:rsidR="00421E06" w:rsidRPr="002629C5" w:rsidRDefault="00421E06" w:rsidP="00421E06">
      <w:pPr>
        <w:pStyle w:val="AERquote"/>
      </w:pPr>
      <w:r w:rsidRPr="002629C5">
        <w:t xml:space="preserve">715 The relevant textual features, in the view of the Tribunal, are the breadth and generality of the words “relevant estimation methods, financial models, market data and other evidence”. They do not suggest a prescriptive obligation to consider particular methods, models or data. If that were intended, one would expect it to be more prescribed. Rather, it is left to the AER to decide what is “relevant” and a dispute about relevance is not itself a basis for asserting error of the character now asserted. In fact, the AER did have regard – in the sense of considering – the material put forward by the Network Applicants. The same reasoning suggests that the obligation to “have regard to” certain material is to consider it and to give it such weight as the AER decides. Again, if a more sophisticated obligation were intended, it is likely it would have been differently expressed. </w:t>
      </w:r>
      <w:r>
        <w:t>…</w:t>
      </w:r>
    </w:p>
    <w:p w:rsidR="00421E06" w:rsidRPr="00C241EE" w:rsidRDefault="00421E06" w:rsidP="00421E06">
      <w:r>
        <w:t>This means that when we consider conflicting evidence, we must come to a conclusion that we consider fits the regulatory requirements.  This has been recently emphasised again by the Tribunal:</w:t>
      </w:r>
      <w:r>
        <w:rPr>
          <w:rStyle w:val="FootnoteReference"/>
        </w:rPr>
        <w:footnoteReference w:id="629"/>
      </w:r>
    </w:p>
    <w:p w:rsidR="00421E06" w:rsidRDefault="00421E06" w:rsidP="00421E06">
      <w:pPr>
        <w:pStyle w:val="AERquote"/>
      </w:pPr>
      <w:r w:rsidRPr="00C241EE">
        <w:t xml:space="preserve">802 </w:t>
      </w:r>
      <w:r>
        <w:t>…</w:t>
      </w:r>
      <w:r w:rsidRPr="00C241EE">
        <w:t xml:space="preserve"> The mere existence of competing views or of reasons why a particular piece of information might point in one or other direction will not of itself mean that the Tribunal should or will reach a view different from that of the AER. That is particularly so where there are competing expert opinions. In the universe of the NEL and the NGL (as in other areas of decision making) it is a feature of the qualitative decision making process that competing materials, including competing expert opinions, may be available to the AER. It must make its decisions under, and in accordance with, the legislative and regulatory instruments </w:t>
      </w:r>
      <w:r>
        <w:t>having regard to that material. …</w:t>
      </w:r>
    </w:p>
    <w:p w:rsidR="00CE01EE" w:rsidRPr="00BA0AFD" w:rsidRDefault="00CE01EE" w:rsidP="00CE01EE">
      <w:pPr>
        <w:pStyle w:val="Heading7"/>
      </w:pPr>
      <w:bookmarkStart w:id="102" w:name="_Ref451691033"/>
      <w:bookmarkStart w:id="103" w:name="_Toc451945481"/>
      <w:bookmarkStart w:id="104" w:name="_Ref451414893"/>
      <w:bookmarkStart w:id="105" w:name="_Ref451414916"/>
      <w:bookmarkStart w:id="106" w:name="_Ref451415098"/>
      <w:bookmarkStart w:id="107" w:name="_Ref451415590"/>
      <w:bookmarkStart w:id="108" w:name="_Ref451415625"/>
      <w:bookmarkStart w:id="109" w:name="_Ref451415763"/>
      <w:bookmarkStart w:id="110" w:name="_Ref451415800"/>
      <w:bookmarkStart w:id="111" w:name="_Ref451415926"/>
      <w:bookmarkStart w:id="112" w:name="_Ref451416598"/>
      <w:bookmarkStart w:id="113" w:name="_Ref451416623"/>
      <w:bookmarkStart w:id="114" w:name="_Ref451416644"/>
      <w:bookmarkStart w:id="115" w:name="_Toc451498843"/>
      <w:r>
        <w:t>Equity models</w:t>
      </w:r>
      <w:bookmarkEnd w:id="102"/>
      <w:bookmarkEnd w:id="103"/>
    </w:p>
    <w:p w:rsidR="00CE01EE" w:rsidRPr="001562D4" w:rsidRDefault="00CE01EE" w:rsidP="00CE01EE">
      <w:pPr>
        <w:numPr>
          <w:ilvl w:val="0"/>
          <w:numId w:val="24"/>
        </w:numPr>
      </w:pPr>
      <w:r>
        <w:t xml:space="preserve">As part of </w:t>
      </w:r>
      <w:r w:rsidRPr="001562D4">
        <w:t>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w:t>
      </w:r>
      <w:r>
        <w:t>may</w:t>
      </w:r>
      <w:r w:rsidRPr="001562D4">
        <w:t xml:space="preserve"> be used to estimate the </w:t>
      </w:r>
      <w:r>
        <w:t>return on equity,</w:t>
      </w:r>
      <w:r w:rsidRPr="001562D4">
        <w:t xml:space="preserve"> or to i</w:t>
      </w:r>
      <w:r>
        <w:t xml:space="preserve">nform </w:t>
      </w:r>
      <w:r w:rsidRPr="001562D4">
        <w:t>the implementation of our foundation model approach:</w:t>
      </w:r>
    </w:p>
    <w:p w:rsidR="00CE01EE" w:rsidRPr="001562D4" w:rsidRDefault="00CE01EE" w:rsidP="00CE01EE">
      <w:pPr>
        <w:pStyle w:val="ListNumber"/>
        <w:numPr>
          <w:ilvl w:val="1"/>
          <w:numId w:val="24"/>
        </w:numPr>
      </w:pPr>
      <w:r w:rsidRPr="001562D4">
        <w:t>The Sharp</w:t>
      </w:r>
      <w:r>
        <w:t>e–</w:t>
      </w:r>
      <w:r w:rsidRPr="001562D4">
        <w:t>Lintn</w:t>
      </w:r>
      <w:r>
        <w:t>er Capital Asset Pricing Model (Sharpe-Lintner CAPM)</w:t>
      </w:r>
    </w:p>
    <w:p w:rsidR="00CE01EE" w:rsidRPr="001562D4" w:rsidRDefault="00CE01EE" w:rsidP="00CE01EE">
      <w:pPr>
        <w:pStyle w:val="ListNumber"/>
        <w:numPr>
          <w:ilvl w:val="1"/>
          <w:numId w:val="24"/>
        </w:numPr>
      </w:pPr>
      <w:r w:rsidRPr="001562D4">
        <w:t>The Black Capital Asset Pricing model (Black CAPM)</w:t>
      </w:r>
    </w:p>
    <w:p w:rsidR="00CE01EE" w:rsidRPr="001562D4" w:rsidRDefault="00CE01EE" w:rsidP="00CE01EE">
      <w:pPr>
        <w:pStyle w:val="ListNumber"/>
        <w:numPr>
          <w:ilvl w:val="1"/>
          <w:numId w:val="24"/>
        </w:numPr>
      </w:pPr>
      <w:r w:rsidRPr="001562D4">
        <w:t xml:space="preserve">The </w:t>
      </w:r>
      <w:r>
        <w:t>Fama French Three Factor Model</w:t>
      </w:r>
    </w:p>
    <w:p w:rsidR="00CE01EE" w:rsidRPr="001562D4" w:rsidRDefault="00CE01EE" w:rsidP="00CE01EE">
      <w:pPr>
        <w:pStyle w:val="ListNumber"/>
        <w:numPr>
          <w:ilvl w:val="1"/>
          <w:numId w:val="24"/>
        </w:numPr>
      </w:pPr>
      <w:r>
        <w:t>The Dividend Growth Model</w:t>
      </w:r>
    </w:p>
    <w:p w:rsidR="00CE01EE" w:rsidRDefault="00CE01EE" w:rsidP="00CE01EE">
      <w:pPr>
        <w:numPr>
          <w:ilvl w:val="0"/>
          <w:numId w:val="24"/>
        </w:numPr>
      </w:pPr>
      <w:r>
        <w:t>We have</w:t>
      </w:r>
      <w:r w:rsidRPr="00577884">
        <w:t xml:space="preserve"> considered all mo</w:t>
      </w:r>
      <w:r>
        <w:t>dels that have been proposed.</w:t>
      </w:r>
      <w:r w:rsidRPr="00BA3AB3">
        <w:t xml:space="preserve"> </w:t>
      </w:r>
      <w:r w:rsidRPr="00577884">
        <w:t>In this sense, all of the models are relevant.</w:t>
      </w:r>
      <w:r>
        <w:t xml:space="preserve"> </w:t>
      </w:r>
      <w:r w:rsidRPr="00577884">
        <w:t xml:space="preserve"> </w:t>
      </w:r>
      <w:r w:rsidRPr="006C4D93">
        <w:t>In addition to these models, we have considered information submitted in relation to non-s</w:t>
      </w:r>
      <w:r>
        <w:t xml:space="preserve">tandard versions of the Sharpe-Lintner CAPM </w:t>
      </w:r>
      <w:r w:rsidRPr="008A35BC">
        <w:t>—</w:t>
      </w:r>
      <w:r>
        <w:t xml:space="preserve"> </w:t>
      </w:r>
      <w:r w:rsidRPr="006C4D93">
        <w:t>th</w:t>
      </w:r>
      <w:r>
        <w:t>e Wright and historical specifications</w:t>
      </w:r>
      <w:r w:rsidRPr="006C4D93">
        <w:t>.</w:t>
      </w:r>
    </w:p>
    <w:p w:rsidR="00CE01EE" w:rsidRPr="001562D4" w:rsidRDefault="00CE01EE" w:rsidP="00CE01EE">
      <w:pPr>
        <w:numPr>
          <w:ilvl w:val="0"/>
          <w:numId w:val="24"/>
        </w:numPr>
      </w:pPr>
      <w:r>
        <w:t>Service providers</w:t>
      </w:r>
      <w:r w:rsidRPr="001562D4">
        <w:t xml:space="preserve"> </w:t>
      </w:r>
      <w:r>
        <w:t>proposed using</w:t>
      </w:r>
      <w:r w:rsidRPr="001562D4">
        <w:t xml:space="preserve"> empirical estimates from the </w:t>
      </w:r>
      <w:r>
        <w:t>Black CAPM, Fama-French model, and dividend growth model. They proposed to use the estimates from these models to inform</w:t>
      </w:r>
      <w:r w:rsidRPr="001562D4">
        <w:t xml:space="preserve"> the </w:t>
      </w:r>
      <w:r>
        <w:t>overall return on equity through either:</w:t>
      </w:r>
      <w:r w:rsidRPr="001562D4">
        <w:rPr>
          <w:rStyle w:val="FootnoteReference"/>
        </w:rPr>
        <w:footnoteReference w:id="630"/>
      </w:r>
      <w:r>
        <w:t xml:space="preserve"> </w:t>
      </w:r>
    </w:p>
    <w:p w:rsidR="00CE01EE" w:rsidRPr="00CE01EE" w:rsidRDefault="00CE01EE" w:rsidP="00CE01EE">
      <w:pPr>
        <w:pStyle w:val="AERbulletlistfirststyle"/>
      </w:pPr>
      <w:r>
        <w:t>e</w:t>
      </w:r>
      <w:r w:rsidRPr="00CE01EE">
        <w:t>stimating their proposed return on equity as part of a multi-model approach, or to inform input parameters into the Sharpe-Lintner CAPM, and/or</w:t>
      </w:r>
    </w:p>
    <w:p w:rsidR="00CE01EE" w:rsidRPr="00CE01EE" w:rsidRDefault="00CE01EE" w:rsidP="00CE01EE">
      <w:pPr>
        <w:pStyle w:val="AERbulletlistfirststyle"/>
      </w:pPr>
      <w:r>
        <w:t xml:space="preserve">providing </w:t>
      </w:r>
      <w:r w:rsidRPr="00CE01EE">
        <w:t xml:space="preserve">evidentiary support that their estimate of the return on equity is reasonable and will contribute to the achievement of the </w:t>
      </w:r>
      <w:r w:rsidR="00270CE2">
        <w:t>ARORO</w:t>
      </w:r>
      <w:r w:rsidRPr="00CE01EE">
        <w:t>.</w:t>
      </w:r>
    </w:p>
    <w:p w:rsidR="00CE01EE" w:rsidRDefault="00CE01EE" w:rsidP="00CE01EE">
      <w:pPr>
        <w:numPr>
          <w:ilvl w:val="0"/>
          <w:numId w:val="24"/>
        </w:numPr>
      </w:pPr>
      <w:r w:rsidRPr="00577884">
        <w:t xml:space="preserve">While </w:t>
      </w:r>
      <w:r>
        <w:t>we have</w:t>
      </w:r>
      <w:r w:rsidRPr="00577884">
        <w:t xml:space="preserve"> considered all proposed models, </w:t>
      </w:r>
      <w:r>
        <w:t>we are</w:t>
      </w:r>
      <w:r w:rsidRPr="00577884">
        <w:t xml:space="preserve"> not </w:t>
      </w:r>
      <w:r>
        <w:t>persuaded</w:t>
      </w:r>
      <w:r w:rsidRPr="00577884">
        <w:t xml:space="preserve"> that they are all of equal value. </w:t>
      </w:r>
      <w:r>
        <w:t>This appendix sets out our assessment of the relative merits of the models for estimating the return on equity, either directly through a foundation model or multi-model approach, or through informing other parameters of the return on equity.</w:t>
      </w:r>
    </w:p>
    <w:p w:rsidR="00CE01EE" w:rsidRDefault="00CE01EE" w:rsidP="00CE01EE">
      <w:pPr>
        <w:pStyle w:val="Heading8"/>
      </w:pPr>
      <w:bookmarkStart w:id="116" w:name="_Toc443923187"/>
      <w:bookmarkStart w:id="117" w:name="_Ref445849366"/>
      <w:bookmarkStart w:id="118" w:name="_Toc451945482"/>
      <w:r>
        <w:t>Sharpe-Lintner CAPM</w:t>
      </w:r>
      <w:bookmarkEnd w:id="116"/>
      <w:bookmarkEnd w:id="117"/>
      <w:bookmarkEnd w:id="118"/>
    </w:p>
    <w:p w:rsidR="00CE01EE" w:rsidRPr="001562D4" w:rsidRDefault="00CE01EE" w:rsidP="00CE01EE">
      <w:pPr>
        <w:numPr>
          <w:ilvl w:val="0"/>
          <w:numId w:val="24"/>
        </w:numPr>
      </w:pPr>
      <w:r w:rsidRPr="001562D4">
        <w:t xml:space="preserve">The </w:t>
      </w:r>
      <w:r>
        <w:t>Sharpe-Lintner 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631"/>
      </w:r>
    </w:p>
    <w:p w:rsidR="00CE01EE" w:rsidRDefault="00CE01EE" w:rsidP="00CE01EE">
      <w:pPr>
        <w:numPr>
          <w:ilvl w:val="0"/>
          <w:numId w:val="24"/>
        </w:numPr>
      </w:pPr>
      <w:r>
        <w:t xml:space="preserve">We consider the Sharpe-Lintner </w:t>
      </w:r>
      <w:r w:rsidRPr="001562D4">
        <w:t>CAPM will, as the foundation model</w:t>
      </w:r>
      <w:r>
        <w:t xml:space="preserve"> in our foundation model approach</w:t>
      </w:r>
      <w:r w:rsidRPr="0056187B">
        <w:t xml:space="preserve"> </w:t>
      </w:r>
      <w:r>
        <w:t xml:space="preserve">and </w:t>
      </w:r>
      <w:r w:rsidRPr="001562D4">
        <w:t xml:space="preserve">with reasonably selected input parameters, result in a </w:t>
      </w:r>
      <w:r>
        <w:t>return on equity</w:t>
      </w:r>
      <w:r w:rsidRPr="001562D4">
        <w:t xml:space="preserve"> commensurate with the benchmark ent</w:t>
      </w:r>
      <w:r>
        <w:t>ity's efficient financing costs</w:t>
      </w:r>
      <w:r w:rsidRPr="001562D4">
        <w:t xml:space="preserve">. We consider </w:t>
      </w:r>
      <w:r>
        <w:t xml:space="preserve">our </w:t>
      </w:r>
      <w:r w:rsidRPr="001562D4">
        <w:t>cross checks</w:t>
      </w:r>
      <w:r>
        <w:rPr>
          <w:rStyle w:val="FootnoteReference"/>
        </w:rPr>
        <w:footnoteReference w:id="632"/>
      </w:r>
      <w:r w:rsidRPr="001562D4">
        <w:t xml:space="preserve"> on the </w:t>
      </w:r>
      <w:r>
        <w:t>return on equity provide supporting evidence that the</w:t>
      </w:r>
      <w:r w:rsidRPr="001562D4">
        <w:t xml:space="preserve"> </w:t>
      </w:r>
      <w:r>
        <w:t>return on equity derived using the Sharpe-Lintner 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objective.</w:t>
      </w:r>
    </w:p>
    <w:p w:rsidR="00CE01EE" w:rsidRPr="001562D4" w:rsidRDefault="00CE01EE" w:rsidP="00CE01EE">
      <w:pPr>
        <w:numPr>
          <w:ilvl w:val="0"/>
          <w:numId w:val="24"/>
        </w:numPr>
      </w:pPr>
      <w:r w:rsidRPr="001562D4">
        <w:t>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633"/>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proposals </w:t>
      </w:r>
      <w:r>
        <w:t>from</w:t>
      </w:r>
      <w:r w:rsidRPr="001562D4">
        <w:t xml:space="preserve"> </w:t>
      </w:r>
      <w:r>
        <w:t>service providers'</w:t>
      </w:r>
      <w:r w:rsidRPr="001562D4">
        <w:t xml:space="preserve"> and submissions on these proposals</w:t>
      </w:r>
      <w:r>
        <w:t>.</w:t>
      </w:r>
      <w:r>
        <w:rPr>
          <w:rStyle w:val="FootnoteReference"/>
        </w:rPr>
        <w:footnoteReference w:id="634"/>
      </w:r>
    </w:p>
    <w:p w:rsidR="00CE01EE" w:rsidRPr="001562D4" w:rsidRDefault="00CE01EE" w:rsidP="00CE01EE">
      <w:pPr>
        <w:numPr>
          <w:ilvl w:val="0"/>
          <w:numId w:val="24"/>
        </w:numPr>
      </w:pPr>
      <w:r>
        <w:t xml:space="preserve">The Sharpe-Lintner </w:t>
      </w:r>
      <w:r w:rsidRPr="001562D4">
        <w:t>CAPM is the dominant model used to estimate firms' cost of capital by providers of capital to firms (</w:t>
      </w:r>
      <w:r>
        <w:t>that is,</w:t>
      </w:r>
      <w:r w:rsidRPr="001562D4">
        <w:t xml:space="preserve"> investors).</w:t>
      </w:r>
      <w:r>
        <w:rPr>
          <w:rStyle w:val="FootnoteReference"/>
        </w:rPr>
        <w:footnoteReference w:id="635"/>
      </w:r>
      <w:r>
        <w:t xml:space="preserve"> We consider the model:</w:t>
      </w:r>
    </w:p>
    <w:p w:rsidR="00CE01EE" w:rsidRPr="00CE01EE" w:rsidRDefault="00CE01EE" w:rsidP="00CE01EE">
      <w:pPr>
        <w:pStyle w:val="AERbulletlistfirststyle"/>
      </w:pPr>
      <w:r w:rsidRPr="001562D4">
        <w:t>is reflective of economic and finance pri</w:t>
      </w:r>
      <w:r w:rsidRPr="00CE01EE">
        <w:t>nciples and market information</w:t>
      </w:r>
    </w:p>
    <w:p w:rsidR="00CE01EE" w:rsidRPr="00CE01EE" w:rsidRDefault="00CE01EE" w:rsidP="00CE01EE">
      <w:pPr>
        <w:pStyle w:val="AERbulletlistfirststyle"/>
      </w:pPr>
      <w:r w:rsidRPr="001562D4">
        <w:t xml:space="preserve">is fit for purpose as it was developed for </w:t>
      </w:r>
      <w:r w:rsidRPr="00CE01EE">
        <w:t>estimating the cost of capital</w:t>
      </w:r>
    </w:p>
    <w:p w:rsidR="00CE01EE" w:rsidRPr="00CE01EE" w:rsidRDefault="00CE01EE" w:rsidP="00CE01EE">
      <w:pPr>
        <w:pStyle w:val="AERbulletlistfirststyle"/>
      </w:pPr>
      <w:r w:rsidRPr="001562D4">
        <w:t>can be implemented in accordance with good pr</w:t>
      </w:r>
      <w:r w:rsidRPr="00CE01EE">
        <w:t>actice</w:t>
      </w:r>
    </w:p>
    <w:p w:rsidR="00CE01EE" w:rsidRPr="00CE01EE" w:rsidRDefault="00CE01EE" w:rsidP="00CE01EE">
      <w:pPr>
        <w:pStyle w:val="AERbulletlistfirststyle"/>
      </w:pPr>
      <w:r w:rsidRPr="001562D4">
        <w:t>is not unduly sensitive to errors in</w:t>
      </w:r>
      <w:r w:rsidRPr="00CE01EE">
        <w:t xml:space="preserve"> inputs or arbitrary filtering</w:t>
      </w:r>
    </w:p>
    <w:p w:rsidR="00CE01EE" w:rsidRPr="00CE01EE" w:rsidRDefault="00CE01EE" w:rsidP="00CE01EE">
      <w:pPr>
        <w:pStyle w:val="AERbulletlistfirststyle"/>
      </w:pPr>
      <w:r w:rsidRPr="001562D4">
        <w:t xml:space="preserve">uses input data that is credible and verifiable, comparable and </w:t>
      </w:r>
      <w:r w:rsidRPr="00CE01EE">
        <w:t>timely and clearly sourced</w:t>
      </w:r>
    </w:p>
    <w:p w:rsidR="00CE01EE" w:rsidRPr="00CE01EE" w:rsidRDefault="00CE01EE" w:rsidP="00CE01EE">
      <w:pPr>
        <w:pStyle w:val="AERbulletlistfirststyle"/>
      </w:pPr>
      <w:r w:rsidRPr="001562D4">
        <w:t>is sufficiently flexible to allow for changing market conditions and new information to be reflected in regul</w:t>
      </w:r>
      <w:r w:rsidRPr="00CE01EE">
        <w:t>atory outcomes, as appropriate.</w:t>
      </w:r>
    </w:p>
    <w:p w:rsidR="00CE01EE" w:rsidRPr="006C4D93" w:rsidRDefault="00CE01EE" w:rsidP="00CE01EE">
      <w:r w:rsidRPr="001562D4">
        <w:t xml:space="preserve">While a range of challenges to the </w:t>
      </w:r>
      <w:r>
        <w:t>Sharpe-Lintner CAPM</w:t>
      </w:r>
      <w:r w:rsidRPr="001562D4">
        <w:t xml:space="preserve"> have been raised over many years, the model remains the dominant asset pricing model used for capital budgeting.</w:t>
      </w:r>
      <w:r>
        <w:rPr>
          <w:rStyle w:val="FootnoteReference"/>
        </w:rPr>
        <w:footnoteReference w:id="636"/>
      </w:r>
      <w:r w:rsidRPr="001562D4">
        <w:t xml:space="preserve"> </w:t>
      </w:r>
      <w:r>
        <w:t>T</w:t>
      </w:r>
      <w:r w:rsidRPr="006C4D93">
        <w:t xml:space="preserve">he </w:t>
      </w:r>
      <w:r>
        <w:t>model—</w:t>
      </w:r>
      <w:r w:rsidRPr="006C4D93">
        <w:t xml:space="preserve">estimated as the sum of the risk free rate and the product of the equity beta and </w:t>
      </w:r>
      <w:r>
        <w:t>market risk premium—</w:t>
      </w:r>
      <w:r w:rsidRPr="006C4D93">
        <w:t xml:space="preserve">is relatively simple to implement. </w:t>
      </w:r>
      <w:r>
        <w:t>We consider these i</w:t>
      </w:r>
      <w:r w:rsidRPr="006C4D93">
        <w:t xml:space="preserve">nput parameter estimates </w:t>
      </w:r>
      <w:r>
        <w:t>are based on ro</w:t>
      </w:r>
      <w:r w:rsidRPr="006C4D93">
        <w:t>bust, transparent and replicable analysis.</w:t>
      </w:r>
      <w:r>
        <w:t xml:space="preserve"> </w:t>
      </w:r>
      <w:r w:rsidRPr="00C61D42">
        <w:t>We consider its use in this context will lead to a predictable estimate of the return on equity, and this will be valuable in ensuring regulated service providers can efficiently raise equity.</w:t>
      </w:r>
    </w:p>
    <w:p w:rsidR="00CE01EE" w:rsidRPr="001562D4" w:rsidRDefault="00CE01EE" w:rsidP="00CE01EE">
      <w:pPr>
        <w:numPr>
          <w:ilvl w:val="0"/>
          <w:numId w:val="24"/>
        </w:numPr>
      </w:pPr>
      <w:r w:rsidRPr="001562D4">
        <w:t>In relation to the S</w:t>
      </w:r>
      <w:r>
        <w:t>harpe-</w:t>
      </w:r>
      <w:r w:rsidRPr="001562D4">
        <w:t>L</w:t>
      </w:r>
      <w:r>
        <w:t xml:space="preserve">intner </w:t>
      </w:r>
      <w:r w:rsidRPr="001562D4">
        <w:t>CAPM, McKenzie and Partington found the following:</w:t>
      </w:r>
      <w:r>
        <w:rPr>
          <w:rStyle w:val="FootnoteReference"/>
        </w:rPr>
        <w:footnoteReference w:id="637"/>
      </w:r>
    </w:p>
    <w:p w:rsidR="00CE01EE" w:rsidRPr="00CE01EE" w:rsidRDefault="00CE01EE" w:rsidP="00CE01EE">
      <w:pPr>
        <w:pStyle w:val="AERbulletlistfirststyle"/>
      </w:pPr>
      <w:r>
        <w:t>A</w:t>
      </w:r>
      <w:r w:rsidRPr="00CE01EE">
        <w:t>s the foundation model it, 'provides a starting point, which is firmly based in a mature and well accepted theoretical and empirical literature'.</w:t>
      </w:r>
    </w:p>
    <w:p w:rsidR="00CE01EE" w:rsidRPr="00CE01EE" w:rsidRDefault="00CE01EE" w:rsidP="00CE01EE">
      <w:pPr>
        <w:pStyle w:val="AERbulletlistfirststyle"/>
      </w:pPr>
      <w:r w:rsidRPr="001562D4">
        <w:t>Its efficacy comes from surviving the test of time</w:t>
      </w:r>
      <w:r w:rsidRPr="00CE01EE">
        <w:t>. They noted the 'model has been around for in excess of half a century and has become the standard workhorse model of modern finance both in theory and practice'.</w:t>
      </w:r>
    </w:p>
    <w:p w:rsidR="00CE01EE" w:rsidRPr="00CE01EE" w:rsidRDefault="00CE01EE" w:rsidP="00CE01EE">
      <w:pPr>
        <w:pStyle w:val="AERbulletlistfirststyle"/>
      </w:pPr>
      <w:r>
        <w:t>Its '</w:t>
      </w:r>
      <w:r w:rsidRPr="00CE01EE">
        <w:t>place as the foundation model is justifiable in terms of its simple theoretical underpinnings and relative ease of application'.</w:t>
      </w:r>
    </w:p>
    <w:p w:rsidR="00CE01EE" w:rsidRPr="00CE01EE" w:rsidRDefault="00CE01EE" w:rsidP="00CE01EE">
      <w:pPr>
        <w:pStyle w:val="AERbulletlistfirststyle"/>
      </w:pPr>
      <w:r>
        <w:t>T</w:t>
      </w:r>
      <w:r w:rsidRPr="00CE01EE">
        <w:t>he majority of international regulators primarily base their decision on the Sharpe-Lintner CAPM framework.</w:t>
      </w:r>
    </w:p>
    <w:p w:rsidR="00CE01EE" w:rsidRPr="001562D4" w:rsidRDefault="00CE01EE" w:rsidP="00CE01EE">
      <w:pPr>
        <w:numPr>
          <w:ilvl w:val="0"/>
          <w:numId w:val="24"/>
        </w:numPr>
      </w:pPr>
      <w:r>
        <w:t xml:space="preserve">Further, </w:t>
      </w:r>
      <w:r w:rsidRPr="001562D4">
        <w:t xml:space="preserve">McKenzie and Partington </w:t>
      </w:r>
      <w:r>
        <w:t>have expressed that</w:t>
      </w:r>
      <w:r w:rsidRPr="001562D4">
        <w:t xml:space="preserve"> the foundat</w:t>
      </w:r>
      <w:r>
        <w:t xml:space="preserve">ion model approach, using the Sharpe-Lintner </w:t>
      </w:r>
      <w:r w:rsidRPr="001562D4">
        <w:t>CAPM as the foundation model, would be expected to:</w:t>
      </w:r>
      <w:r w:rsidRPr="001562D4">
        <w:rPr>
          <w:rStyle w:val="FootnoteReference"/>
        </w:rPr>
        <w:footnoteReference w:id="638"/>
      </w:r>
    </w:p>
    <w:p w:rsidR="00CE01EE" w:rsidRPr="00CE01EE" w:rsidRDefault="00CE01EE" w:rsidP="00CE01EE">
      <w:pPr>
        <w:pStyle w:val="AERbulletlistfirststyle"/>
      </w:pPr>
      <w:r w:rsidRPr="001562D4">
        <w:t xml:space="preserve">lead to a reasonable estimate of the </w:t>
      </w:r>
      <w:r w:rsidRPr="00CE01EE">
        <w:t>return on equity</w:t>
      </w:r>
    </w:p>
    <w:p w:rsidR="00CE01EE" w:rsidRPr="00CE01EE" w:rsidRDefault="00CE01EE" w:rsidP="00CE01EE">
      <w:pPr>
        <w:pStyle w:val="AERbulletlistfirststyle"/>
      </w:pPr>
      <w:r w:rsidRPr="001562D4">
        <w:t xml:space="preserve">lead to a </w:t>
      </w:r>
      <w:r w:rsidRPr="00CE01EE">
        <w:t>rate of return that meets the allowed rate of return objective</w:t>
      </w:r>
    </w:p>
    <w:p w:rsidR="00CE01EE" w:rsidRPr="00CE01EE" w:rsidRDefault="00CE01EE" w:rsidP="00CE01EE">
      <w:pPr>
        <w:pStyle w:val="AERbulletlistfirststyle"/>
      </w:pPr>
      <w:r w:rsidRPr="001562D4">
        <w:t>not lead to a downward biased estimate of the cost of equity fo</w:t>
      </w:r>
      <w:r w:rsidRPr="00CE01EE">
        <w:t>r a benchmark efficient entity.</w:t>
      </w:r>
    </w:p>
    <w:p w:rsidR="00CE01EE" w:rsidRDefault="00CE01EE" w:rsidP="00CE01EE">
      <w:pPr>
        <w:pStyle w:val="AERbulletlistfirststyle"/>
        <w:numPr>
          <w:ilvl w:val="0"/>
          <w:numId w:val="24"/>
        </w:numPr>
      </w:pPr>
      <w:r>
        <w:t>In relation to the Sharpe-Lintner CAPM, Partington and Satchell noted:</w:t>
      </w:r>
      <w:r>
        <w:rPr>
          <w:rStyle w:val="FootnoteReference"/>
        </w:rPr>
        <w:footnoteReference w:id="639"/>
      </w:r>
      <w:r>
        <w:t xml:space="preserve"> </w:t>
      </w:r>
    </w:p>
    <w:p w:rsidR="00CE01EE" w:rsidRPr="00CE01EE" w:rsidRDefault="00CE01EE" w:rsidP="00CE01EE">
      <w:pPr>
        <w:pStyle w:val="AERbulletlistfirststyle"/>
      </w:pPr>
      <w:r>
        <w:t>The model is 'ubiquitous in relation to the estimation of the cost of equity' and 'the same cannot be said for the alternative models proposed by the regulated businesses.</w:t>
      </w:r>
      <w:r w:rsidRPr="00CE01EE">
        <w:rPr>
          <w:rStyle w:val="FootnoteReference"/>
        </w:rPr>
        <w:footnoteReference w:id="640"/>
      </w:r>
    </w:p>
    <w:p w:rsidR="00CE01EE" w:rsidRPr="00CE01EE" w:rsidRDefault="00CE01EE" w:rsidP="00CE01EE">
      <w:pPr>
        <w:pStyle w:val="AERbulletlistfirststyle"/>
      </w:pPr>
      <w:r>
        <w:t xml:space="preserve">It is 'widely used and understood'. </w:t>
      </w:r>
    </w:p>
    <w:p w:rsidR="00CE01EE" w:rsidRPr="00CE01EE" w:rsidRDefault="00CE01EE" w:rsidP="00CE01EE">
      <w:pPr>
        <w:pStyle w:val="AERbulletlistfirststyle"/>
      </w:pPr>
      <w:r>
        <w:t xml:space="preserve">The model has passed the test of time and 'has had several decades of widespread practical use in estimating the cost of capital'. </w:t>
      </w:r>
    </w:p>
    <w:p w:rsidR="00CE01EE" w:rsidRDefault="00CE01EE" w:rsidP="00CE01EE">
      <w:pPr>
        <w:numPr>
          <w:ilvl w:val="0"/>
          <w:numId w:val="24"/>
        </w:numPr>
      </w:pPr>
      <w:r w:rsidRPr="001562D4">
        <w:t>Handley</w:t>
      </w:r>
      <w:r>
        <w:t xml:space="preserve"> </w:t>
      </w:r>
      <w:r w:rsidRPr="001562D4">
        <w:t xml:space="preserve">indicated </w:t>
      </w:r>
      <w:r>
        <w:t xml:space="preserve">that our use of the Sharpe-Lintner </w:t>
      </w:r>
      <w:r w:rsidRPr="001562D4">
        <w:t>CAPM as foundation model</w:t>
      </w:r>
      <w:r>
        <w:t xml:space="preserve"> was</w:t>
      </w:r>
      <w:r w:rsidRPr="001562D4">
        <w:t xml:space="preserve"> entirely appropriate and reasonable.</w:t>
      </w:r>
      <w:r>
        <w:rPr>
          <w:rStyle w:val="FootnoteReference"/>
        </w:rPr>
        <w:footnoteReference w:id="641"/>
      </w:r>
      <w:r>
        <w:t xml:space="preserve"> He noted:</w:t>
      </w:r>
      <w:r w:rsidRPr="00B310A9">
        <w:rPr>
          <w:rStyle w:val="FootnoteReference"/>
        </w:rPr>
        <w:t xml:space="preserve"> </w:t>
      </w:r>
      <w:r>
        <w:rPr>
          <w:rStyle w:val="FootnoteReference"/>
        </w:rPr>
        <w:footnoteReference w:id="642"/>
      </w:r>
    </w:p>
    <w:p w:rsidR="00CE01EE" w:rsidRDefault="00CE01EE" w:rsidP="00CE01EE">
      <w:pPr>
        <w:pStyle w:val="AERquote"/>
      </w:pP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CE01EE" w:rsidRDefault="00CE01EE" w:rsidP="00CE01EE">
      <w:pPr>
        <w:numPr>
          <w:ilvl w:val="0"/>
          <w:numId w:val="24"/>
        </w:numPr>
      </w:pPr>
      <w:r w:rsidRPr="001562D4">
        <w:t>A s</w:t>
      </w:r>
      <w:r>
        <w:t xml:space="preserve">ubstantial </w:t>
      </w:r>
      <w:r w:rsidRPr="001562D4">
        <w:t xml:space="preserve">amount of the material submitted to us </w:t>
      </w:r>
      <w:r>
        <w:t>after publishing</w:t>
      </w:r>
      <w:r w:rsidRPr="001562D4">
        <w:t xml:space="preserve"> the Guideline commented on </w:t>
      </w:r>
      <w:r>
        <w:t xml:space="preserve">our conclusions and choice of Sharpe-Lintner </w:t>
      </w:r>
      <w:r w:rsidRPr="001562D4">
        <w:t xml:space="preserve">CAPM as the foundation model. </w:t>
      </w:r>
      <w:r>
        <w:t xml:space="preserve">The majority of </w:t>
      </w:r>
      <w:r w:rsidRPr="001562D4">
        <w:t xml:space="preserve">stakeholders </w:t>
      </w:r>
      <w:r>
        <w:t xml:space="preserve">other than service providers </w:t>
      </w:r>
      <w:r w:rsidRPr="001562D4">
        <w:t>su</w:t>
      </w:r>
      <w:r>
        <w:t xml:space="preserve">pported the use of </w:t>
      </w:r>
      <w:r w:rsidRPr="001562D4">
        <w:t xml:space="preserve">the </w:t>
      </w:r>
      <w:r>
        <w:t>model</w:t>
      </w:r>
      <w:r w:rsidRPr="001562D4">
        <w:t xml:space="preserve"> as the </w:t>
      </w:r>
      <w:r>
        <w:t>foundation model.</w:t>
      </w:r>
      <w:r>
        <w:rPr>
          <w:rStyle w:val="FootnoteReference"/>
        </w:rPr>
        <w:footnoteReference w:id="643"/>
      </w:r>
      <w:r>
        <w:t xml:space="preserve"> These submissions are detailed in section </w:t>
      </w:r>
      <w:r>
        <w:fldChar w:fldCharType="begin"/>
      </w:r>
      <w:r>
        <w:instrText xml:space="preserve"> REF _Ref449004907 \r \h </w:instrText>
      </w:r>
      <w:r>
        <w:fldChar w:fldCharType="separate"/>
      </w:r>
      <w:r w:rsidR="001A023B">
        <w:t>B.1.1</w:t>
      </w:r>
      <w:r>
        <w:fldChar w:fldCharType="end"/>
      </w:r>
      <w:r>
        <w:t>.</w:t>
      </w:r>
    </w:p>
    <w:p w:rsidR="00CE01EE" w:rsidRDefault="00CE01EE" w:rsidP="00CE01EE">
      <w:r>
        <w:t>Generally,</w:t>
      </w:r>
      <w:r w:rsidRPr="001562D4">
        <w:t xml:space="preserve"> </w:t>
      </w:r>
      <w:r>
        <w:t xml:space="preserve">service providers </w:t>
      </w:r>
      <w:r w:rsidRPr="001562D4">
        <w:t>submitted that the allowed return on equity for a bench</w:t>
      </w:r>
      <w:r>
        <w:t>mark efficient entity from the foundation m</w:t>
      </w:r>
      <w:r w:rsidRPr="001562D4">
        <w:t>odel approach (usin</w:t>
      </w:r>
      <w:r>
        <w:t>g the Sharpe-Lintner CAPM as the foundation</w:t>
      </w:r>
      <w:r w:rsidRPr="001562D4">
        <w:t xml:space="preserve"> model) is likely to be downward biased. </w:t>
      </w:r>
      <w:r>
        <w:t>In their proposals, t</w:t>
      </w:r>
      <w:r w:rsidRPr="001562D4">
        <w:t xml:space="preserve">hese </w:t>
      </w:r>
      <w:r>
        <w:t>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644"/>
      </w:r>
      <w:r>
        <w:t xml:space="preserve"> Service providers also resubmitted these positions in their submissions on other service providers' regulatory proposals.</w:t>
      </w:r>
      <w:r>
        <w:rPr>
          <w:rStyle w:val="FootnoteReference"/>
        </w:rPr>
        <w:footnoteReference w:id="645"/>
      </w:r>
      <w:r w:rsidRPr="001562D4">
        <w:t xml:space="preserve"> </w:t>
      </w:r>
    </w:p>
    <w:p w:rsidR="00CE01EE" w:rsidRDefault="00CE01EE" w:rsidP="00CE01EE">
      <w:r>
        <w:t>Service providers</w:t>
      </w:r>
      <w:r w:rsidRPr="001562D4">
        <w:t xml:space="preserve"> appear to have submitted </w:t>
      </w:r>
      <w:r>
        <w:t xml:space="preserve">that </w:t>
      </w:r>
      <w:r w:rsidRPr="001562D4">
        <w:t xml:space="preserve">the downward bias is </w:t>
      </w:r>
      <w:r>
        <w:t xml:space="preserve">(in part) </w:t>
      </w:r>
      <w:r w:rsidRPr="001562D4">
        <w:t xml:space="preserve">due to improper consideration </w:t>
      </w:r>
      <w:r>
        <w:t>of the Black CAPM, Fama-French model, and dividend growth model. Service providers appear to have submitted that these other models should be used to either directly estimate the return on equity</w:t>
      </w:r>
      <w:r w:rsidRPr="006C4D93">
        <w:rPr>
          <w:rStyle w:val="FootnoteReference"/>
        </w:rPr>
        <w:footnoteReference w:id="646"/>
      </w:r>
      <w:r>
        <w:t xml:space="preserve"> or used to inform appropriate parameter values to use in applying the Sharpe-Lintner CAPM.</w:t>
      </w:r>
      <w:r w:rsidRPr="00895AD3">
        <w:rPr>
          <w:rStyle w:val="FootnoteReference"/>
        </w:rPr>
        <w:t xml:space="preserve"> </w:t>
      </w:r>
      <w:r w:rsidRPr="006C4D93">
        <w:rPr>
          <w:rStyle w:val="FootnoteReference"/>
        </w:rPr>
        <w:footnoteReference w:id="647"/>
      </w:r>
      <w:r>
        <w:t xml:space="preserve"> </w:t>
      </w:r>
      <w:r w:rsidRPr="001562D4">
        <w:t xml:space="preserve">A number of </w:t>
      </w:r>
      <w:r>
        <w:t>service providers</w:t>
      </w:r>
      <w:r w:rsidRPr="001562D4">
        <w:t xml:space="preserve"> appear to have submitted, directly or implicitly, that </w:t>
      </w:r>
      <w:r>
        <w:t xml:space="preserve">the parameters we select for the Sharpe-Lintner </w:t>
      </w:r>
      <w:r w:rsidRPr="001562D4">
        <w:t xml:space="preserve">CAPM </w:t>
      </w:r>
      <w:r>
        <w:t>under the</w:t>
      </w:r>
      <w:r w:rsidRPr="001562D4">
        <w:t xml:space="preserve"> foundation model approach </w:t>
      </w:r>
      <w:r>
        <w:t>are</w:t>
      </w:r>
      <w:r w:rsidRPr="001562D4">
        <w:t xml:space="preserve"> </w:t>
      </w:r>
      <w:r>
        <w:t>in</w:t>
      </w:r>
      <w:r w:rsidRPr="001562D4">
        <w:t>sufficient to over</w:t>
      </w:r>
      <w:r>
        <w:t xml:space="preserve">come the downward bias in the Sharpe-Lintner </w:t>
      </w:r>
      <w:r w:rsidRPr="001562D4">
        <w:t>CAPM.</w:t>
      </w:r>
      <w:r w:rsidRPr="001562D4">
        <w:rPr>
          <w:rStyle w:val="FootnoteReference"/>
        </w:rPr>
        <w:footnoteReference w:id="648"/>
      </w:r>
      <w:r>
        <w:t xml:space="preserve"> </w:t>
      </w:r>
    </w:p>
    <w:p w:rsidR="00CE01EE" w:rsidRDefault="00CE01EE" w:rsidP="00CE01EE">
      <w:r w:rsidRPr="001562D4">
        <w:t xml:space="preserve">The key information </w:t>
      </w:r>
      <w:r>
        <w:t>that service providers</w:t>
      </w:r>
      <w:r w:rsidRPr="001562D4">
        <w:t xml:space="preserve"> </w:t>
      </w:r>
      <w:r>
        <w:t>used to support</w:t>
      </w:r>
      <w:r w:rsidRPr="001562D4">
        <w:t xml:space="preserve"> these propositions </w:t>
      </w:r>
      <w:r w:rsidRPr="00787D60">
        <w:t>include</w:t>
      </w:r>
      <w:r>
        <w:t>d:</w:t>
      </w:r>
    </w:p>
    <w:p w:rsidR="00CE01EE" w:rsidRPr="00CE01EE" w:rsidRDefault="00CE01EE" w:rsidP="00CE01EE">
      <w:pPr>
        <w:pStyle w:val="AERbulletlistfirststyle"/>
      </w:pPr>
      <w:r w:rsidRPr="00787D60">
        <w:t>Studies of ex post performance of the S</w:t>
      </w:r>
      <w:r w:rsidRPr="00CE01EE">
        <w:t>harpe-Lintner CAPM.</w:t>
      </w:r>
      <w:r w:rsidRPr="00CE01EE">
        <w:rPr>
          <w:rStyle w:val="FootnoteReference"/>
        </w:rPr>
        <w:footnoteReference w:id="649"/>
      </w:r>
      <w:r w:rsidRPr="00CE01EE">
        <w:t xml:space="preserve"> Frontier and NERA submitted that empirical tests reject the model and that it performs poorly relative to the other models.</w:t>
      </w:r>
      <w:r w:rsidRPr="00CE01EE">
        <w:rPr>
          <w:rStyle w:val="FootnoteReference"/>
        </w:rPr>
        <w:footnoteReference w:id="650"/>
      </w:r>
      <w:r w:rsidRPr="00CE01EE">
        <w:t xml:space="preserve"> </w:t>
      </w:r>
    </w:p>
    <w:p w:rsidR="00CE01EE" w:rsidRPr="00CE01EE" w:rsidRDefault="00CE01EE" w:rsidP="00CE01EE">
      <w:pPr>
        <w:pStyle w:val="AERbulletlistfirststyle"/>
      </w:pPr>
      <w:r w:rsidRPr="00787D60">
        <w:t xml:space="preserve">Other direct estimates of the </w:t>
      </w:r>
      <w:r w:rsidRPr="00CE01EE">
        <w:t>return on equity from the Black CAPM, Fama-French model, and dividend growth model.</w:t>
      </w:r>
      <w:r w:rsidRPr="00CE01EE">
        <w:rPr>
          <w:rStyle w:val="FootnoteReference"/>
        </w:rPr>
        <w:footnoteReference w:id="651"/>
      </w:r>
      <w:r w:rsidRPr="00CE01EE">
        <w:t xml:space="preserve"> Service providers submitted:</w:t>
      </w:r>
    </w:p>
    <w:p w:rsidR="00CE01EE" w:rsidRDefault="00CE01EE" w:rsidP="00CE01EE">
      <w:pPr>
        <w:pStyle w:val="AERbulletlistsecondstyle"/>
      </w:pPr>
      <w:r>
        <w:t>the Black CAPM as evidence that the Sharpe-Lintner CAPM displays low beta bias</w:t>
      </w:r>
    </w:p>
    <w:p w:rsidR="00CE01EE" w:rsidRDefault="00CE01EE" w:rsidP="00CE01EE">
      <w:pPr>
        <w:pStyle w:val="AERbulletlistsecondstyle"/>
      </w:pPr>
      <w:r>
        <w:t>the Fama-French model as evidence that the Sharpe-Lintner CAPM displays book-to-market bias</w:t>
      </w:r>
    </w:p>
    <w:p w:rsidR="00CE01EE" w:rsidRPr="006C4D93" w:rsidRDefault="00CE01EE" w:rsidP="00CE01EE">
      <w:pPr>
        <w:pStyle w:val="AERbulletlistsecondstyle"/>
      </w:pPr>
      <w:r>
        <w:t>the dividend growth model as evidence that the Sharpe-Lintner CAPM, as applied by the AER, is not reflective of prevailing market conditions.</w:t>
      </w:r>
    </w:p>
    <w:p w:rsidR="00CE01EE" w:rsidRDefault="00CE01EE" w:rsidP="00CE01EE">
      <w:pPr>
        <w:numPr>
          <w:ilvl w:val="0"/>
          <w:numId w:val="24"/>
        </w:numPr>
      </w:pPr>
      <w:r>
        <w:t xml:space="preserve">These submissions from service providers are detailed further in sections </w:t>
      </w:r>
      <w:r>
        <w:fldChar w:fldCharType="begin"/>
      </w:r>
      <w:r>
        <w:instrText xml:space="preserve"> REF _Ref449004981 \r \h </w:instrText>
      </w:r>
      <w:r>
        <w:fldChar w:fldCharType="separate"/>
      </w:r>
      <w:r w:rsidR="001A023B">
        <w:t>B.1.3</w:t>
      </w:r>
      <w:r>
        <w:fldChar w:fldCharType="end"/>
      </w:r>
      <w:r>
        <w:t xml:space="preserve"> and </w:t>
      </w:r>
      <w:r>
        <w:fldChar w:fldCharType="begin"/>
      </w:r>
      <w:r>
        <w:instrText xml:space="preserve"> REF _Ref449004969 \r \h </w:instrText>
      </w:r>
      <w:r>
        <w:fldChar w:fldCharType="separate"/>
      </w:r>
      <w:r w:rsidR="001A023B">
        <w:t>B.1.2</w:t>
      </w:r>
      <w:r>
        <w:fldChar w:fldCharType="end"/>
      </w:r>
      <w:r>
        <w:t xml:space="preserve"> below.</w:t>
      </w:r>
    </w:p>
    <w:p w:rsidR="00CE01EE" w:rsidRDefault="00CE01EE" w:rsidP="00CE01EE">
      <w:pPr>
        <w:numPr>
          <w:ilvl w:val="0"/>
          <w:numId w:val="24"/>
        </w:numPr>
      </w:pPr>
      <w:r>
        <w:t>The</w:t>
      </w:r>
      <w:r w:rsidRPr="00787D60">
        <w:t xml:space="preserve"> key submissions on these points</w:t>
      </w:r>
      <w:r>
        <w:t xml:space="preserve"> were considered in our draft decision for ActewAGL, and this material remains relevant.</w:t>
      </w:r>
      <w:r w:rsidRPr="00787D60">
        <w:t xml:space="preserve"> </w:t>
      </w:r>
      <w:r>
        <w:t>We have reviewed the new material</w:t>
      </w:r>
      <w:r w:rsidRPr="00C61D42">
        <w:t xml:space="preserve"> before us</w:t>
      </w:r>
      <w:r>
        <w:t xml:space="preserve">. </w:t>
      </w:r>
      <w:r w:rsidRPr="00C61D42">
        <w:t>While we recognise all models have strengths an</w:t>
      </w:r>
      <w:r>
        <w:t xml:space="preserve">d weaknesses, we consider the Sharpe-Lintner </w:t>
      </w:r>
      <w:r w:rsidRPr="00C61D42">
        <w:t>CAPM to be the superior model before us for the purpose of estimati</w:t>
      </w:r>
      <w:r>
        <w:t xml:space="preserve">ng the allowed return on equity. </w:t>
      </w:r>
      <w:r w:rsidRPr="00787D60">
        <w:t xml:space="preserve">We do not consider that </w:t>
      </w:r>
      <w:r>
        <w:t>service providers' submissions</w:t>
      </w:r>
      <w:r w:rsidRPr="00787D60">
        <w:t xml:space="preserve"> support any further adjustment to our S</w:t>
      </w:r>
      <w:r>
        <w:t xml:space="preserve">harpe-Lintner </w:t>
      </w:r>
      <w:r w:rsidRPr="00787D60">
        <w:t>CAPM input parameters</w:t>
      </w:r>
      <w:r>
        <w:t>. We are satisfied that we have had significant regard to prevailing market conditions in estimating the return on equity for a benchmark efficient entity.</w:t>
      </w:r>
      <w:r>
        <w:rPr>
          <w:rStyle w:val="FootnoteReference"/>
        </w:rPr>
        <w:footnoteReference w:id="652"/>
      </w:r>
      <w:r>
        <w:t xml:space="preserve">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t xml:space="preserve">ActewAGL </w:t>
      </w:r>
      <w:r w:rsidRPr="00787D60">
        <w:t>for its efficient equity financing costs</w:t>
      </w:r>
      <w:r>
        <w:t>.</w:t>
      </w:r>
    </w:p>
    <w:p w:rsidR="00CE01EE" w:rsidRPr="00663DB7" w:rsidRDefault="00CE01EE" w:rsidP="00CE01EE">
      <w:pPr>
        <w:pStyle w:val="ListParagraph"/>
        <w:numPr>
          <w:ilvl w:val="0"/>
          <w:numId w:val="24"/>
        </w:numPr>
      </w:pPr>
      <w:r>
        <w:t>Services providers submitted that t</w:t>
      </w:r>
      <w:r w:rsidRPr="00663DB7">
        <w:t xml:space="preserve">he AER has </w:t>
      </w:r>
      <w:r>
        <w:t>"</w:t>
      </w:r>
      <w:r w:rsidRPr="00663DB7">
        <w:t>erred in finding that the SL-CAPM is the clearly superior model</w:t>
      </w:r>
      <w:r>
        <w:t>",</w:t>
      </w:r>
      <w:r>
        <w:rPr>
          <w:rStyle w:val="FootnoteReference"/>
        </w:rPr>
        <w:footnoteReference w:id="653"/>
      </w:r>
      <w:r w:rsidRPr="00663DB7">
        <w:t xml:space="preserve"> </w:t>
      </w:r>
      <w:r>
        <w:t>submitting that</w:t>
      </w:r>
      <w:r w:rsidRPr="00663DB7">
        <w:t xml:space="preserve"> no evidence</w:t>
      </w:r>
      <w:r>
        <w:t xml:space="preserve"> (such as expert reports)</w:t>
      </w:r>
      <w:r w:rsidRPr="00663DB7">
        <w:t xml:space="preserve"> is cited in support of this statemen</w:t>
      </w:r>
      <w:r>
        <w:t>t</w:t>
      </w:r>
      <w:r w:rsidRPr="00663DB7">
        <w:t xml:space="preserve">. </w:t>
      </w:r>
      <w:r>
        <w:t>We note that the Tribunal recently found no error in our approach to estimating the return on equity, including the use of the Sharpe-Lintner CAPM in our foundation model approach.</w:t>
      </w:r>
      <w:r>
        <w:rPr>
          <w:rStyle w:val="FootnoteReference"/>
        </w:rPr>
        <w:footnoteReference w:id="654"/>
      </w:r>
    </w:p>
    <w:p w:rsidR="00CE01EE" w:rsidRPr="00B4711B" w:rsidRDefault="00CE01EE" w:rsidP="00CE01EE">
      <w:pPr>
        <w:pStyle w:val="Heading9"/>
      </w:pPr>
      <w:bookmarkStart w:id="119" w:name="_Ref449004907"/>
      <w:r>
        <w:t>Submissions supporting the use of the Sharpe-Lintner CAPM as the foundation model</w:t>
      </w:r>
      <w:bookmarkEnd w:id="119"/>
    </w:p>
    <w:p w:rsidR="00CE01EE" w:rsidRPr="001562D4" w:rsidRDefault="00CE01EE" w:rsidP="00CE01EE">
      <w:pPr>
        <w:numPr>
          <w:ilvl w:val="0"/>
          <w:numId w:val="24"/>
        </w:numPr>
      </w:pPr>
      <w:r>
        <w:t xml:space="preserve">The majority of </w:t>
      </w:r>
      <w:r w:rsidRPr="001562D4">
        <w:t>stakeholders</w:t>
      </w:r>
      <w:r>
        <w:t xml:space="preserve"> (other than service providers)</w:t>
      </w:r>
      <w:r w:rsidRPr="001562D4">
        <w:t xml:space="preserve"> su</w:t>
      </w:r>
      <w:r>
        <w:t xml:space="preserve">pported using the Sharpe-Lintner </w:t>
      </w:r>
      <w:r w:rsidRPr="001562D4">
        <w:t xml:space="preserve">CAPM as the </w:t>
      </w:r>
      <w:r>
        <w:t>foundation model.</w:t>
      </w:r>
      <w:r>
        <w:rPr>
          <w:rStyle w:val="FootnoteReference"/>
        </w:rPr>
        <w:footnoteReference w:id="655"/>
      </w:r>
      <w:r>
        <w:t xml:space="preserve"> However, </w:t>
      </w:r>
      <w:r w:rsidRPr="001562D4">
        <w:t xml:space="preserve">a number </w:t>
      </w:r>
      <w:r>
        <w:t xml:space="preserve">of them </w:t>
      </w:r>
      <w:r w:rsidRPr="001562D4">
        <w:t>submitted we sh</w:t>
      </w:r>
      <w:r>
        <w:t xml:space="preserve">ould consider lowering our </w:t>
      </w:r>
      <w:r w:rsidRPr="001562D4">
        <w:t xml:space="preserve">input parameters </w:t>
      </w:r>
      <w:r>
        <w:t>used in the model relative to those published with the Guideline</w:t>
      </w:r>
      <w:r w:rsidRPr="001562D4">
        <w:t>.</w:t>
      </w:r>
      <w:r w:rsidRPr="001562D4">
        <w:rPr>
          <w:rStyle w:val="FootnoteReference"/>
        </w:rPr>
        <w:footnoteReference w:id="656"/>
      </w:r>
      <w:r w:rsidRPr="001562D4">
        <w:t xml:space="preserve"> </w:t>
      </w:r>
      <w:r>
        <w:fldChar w:fldCharType="begin"/>
      </w:r>
      <w:r>
        <w:instrText xml:space="preserve"> REF _Ref433137654 \h </w:instrText>
      </w:r>
      <w:r>
        <w:fldChar w:fldCharType="separate"/>
      </w:r>
      <w:r w:rsidR="001A023B">
        <w:t xml:space="preserve">Table </w:t>
      </w:r>
      <w:r w:rsidR="001A023B">
        <w:rPr>
          <w:noProof/>
        </w:rPr>
        <w:t>3</w:t>
      </w:r>
      <w:r w:rsidR="001A023B">
        <w:noBreakHyphen/>
      </w:r>
      <w:r w:rsidR="001A023B">
        <w:rPr>
          <w:noProof/>
        </w:rPr>
        <w:t>26</w:t>
      </w:r>
      <w:r>
        <w:fldChar w:fldCharType="end"/>
      </w:r>
      <w:r>
        <w:t xml:space="preserve"> summarises a</w:t>
      </w:r>
      <w:r w:rsidRPr="001562D4">
        <w:t xml:space="preserve"> number of these submissions</w:t>
      </w:r>
      <w:r>
        <w:t>.</w:t>
      </w:r>
      <w:r w:rsidRPr="001562D4">
        <w:t xml:space="preserve"> </w:t>
      </w:r>
    </w:p>
    <w:p w:rsidR="00CE01EE" w:rsidRPr="001562D4" w:rsidRDefault="00CE01EE" w:rsidP="00CE01EE">
      <w:pPr>
        <w:pStyle w:val="Caption"/>
      </w:pPr>
      <w:bookmarkStart w:id="120" w:name="_Ref433137654"/>
      <w:r>
        <w:t xml:space="preserve">Table </w:t>
      </w:r>
      <w:r w:rsidRPr="00421894">
        <w:fldChar w:fldCharType="begin"/>
      </w:r>
      <w:r>
        <w:instrText xml:space="preserve"> STYLEREF 1 \s </w:instrText>
      </w:r>
      <w:r w:rsidRPr="00421894">
        <w:fldChar w:fldCharType="separate"/>
      </w:r>
      <w:r w:rsidR="001A023B">
        <w:rPr>
          <w:noProof/>
        </w:rPr>
        <w:t>3</w:t>
      </w:r>
      <w:r w:rsidRPr="00421894">
        <w:fldChar w:fldCharType="end"/>
      </w:r>
      <w:r>
        <w:noBreakHyphen/>
      </w:r>
      <w:r w:rsidRPr="00421894">
        <w:fldChar w:fldCharType="begin"/>
      </w:r>
      <w:r>
        <w:instrText xml:space="preserve"> SEQ Table \* ARABIC \s 1 </w:instrText>
      </w:r>
      <w:r w:rsidRPr="00421894">
        <w:fldChar w:fldCharType="separate"/>
      </w:r>
      <w:r w:rsidR="001A023B">
        <w:rPr>
          <w:noProof/>
        </w:rPr>
        <w:t>26</w:t>
      </w:r>
      <w:r w:rsidRPr="00421894">
        <w:fldChar w:fldCharType="end"/>
      </w:r>
      <w:bookmarkEnd w:id="120"/>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8"/>
      </w:tblGrid>
      <w:tr w:rsidR="00CE01EE" w:rsidRPr="001848E2" w:rsidTr="00D23307">
        <w:trPr>
          <w:cnfStyle w:val="100000000000" w:firstRow="1" w:lastRow="0" w:firstColumn="0" w:lastColumn="0" w:oddVBand="0" w:evenVBand="0" w:oddHBand="0" w:evenHBand="0" w:firstRowFirstColumn="0" w:firstRowLastColumn="0" w:lastRowFirstColumn="0" w:lastRowLastColumn="0"/>
          <w:tblHeader/>
        </w:trPr>
        <w:tc>
          <w:tcPr>
            <w:tcW w:w="1605" w:type="dxa"/>
          </w:tcPr>
          <w:p w:rsidR="00CE01EE" w:rsidRPr="00CE01EE" w:rsidRDefault="00CE01EE" w:rsidP="00BA7AE7">
            <w:r w:rsidRPr="001562D4">
              <w:t>Stakeholder</w:t>
            </w:r>
          </w:p>
        </w:tc>
        <w:tc>
          <w:tcPr>
            <w:tcW w:w="7088" w:type="dxa"/>
          </w:tcPr>
          <w:p w:rsidR="00CE01EE" w:rsidRPr="00CE01EE" w:rsidRDefault="00CE01EE" w:rsidP="00BA7AE7">
            <w:r w:rsidRPr="001562D4">
              <w:t>Submission</w:t>
            </w:r>
          </w:p>
        </w:tc>
      </w:tr>
      <w:tr w:rsidR="00CE01EE" w:rsidRPr="001848E2" w:rsidTr="00D23307">
        <w:tc>
          <w:tcPr>
            <w:tcW w:w="1605" w:type="dxa"/>
          </w:tcPr>
          <w:p w:rsidR="00CE01EE" w:rsidRPr="00CE01EE" w:rsidRDefault="00CE01EE" w:rsidP="00BA7AE7">
            <w:r w:rsidRPr="001562D4">
              <w:t>AGL</w:t>
            </w:r>
          </w:p>
        </w:tc>
        <w:tc>
          <w:tcPr>
            <w:tcW w:w="7088" w:type="dxa"/>
          </w:tcPr>
          <w:p w:rsidR="00CE01EE" w:rsidRPr="00CE01EE" w:rsidRDefault="00CE01EE" w:rsidP="00BA7AE7">
            <w:r w:rsidRPr="00B54D67">
              <w:t>AGL</w:t>
            </w:r>
            <w:r w:rsidRPr="00CE01EE">
              <w:t xml:space="preserve"> fully supported our use of the Guideline for determining a rate of return which balances the interests of the distributions networks and energy consumers. AGL submitted that the equity beta provided by the Guideline can be considered generous given the regulated framework ensures revenue recovery by distribution networks.</w:t>
            </w:r>
            <w:r w:rsidRPr="00CE01EE">
              <w:rPr>
                <w:rStyle w:val="FootnoteReference"/>
              </w:rPr>
              <w:footnoteReference w:id="657"/>
            </w:r>
          </w:p>
        </w:tc>
      </w:tr>
      <w:tr w:rsidR="00CE01EE" w:rsidRPr="001848E2" w:rsidTr="00D23307">
        <w:trPr>
          <w:cnfStyle w:val="000000010000" w:firstRow="0" w:lastRow="0" w:firstColumn="0" w:lastColumn="0" w:oddVBand="0" w:evenVBand="0" w:oddHBand="0" w:evenHBand="1" w:firstRowFirstColumn="0" w:firstRowLastColumn="0" w:lastRowFirstColumn="0" w:lastRowLastColumn="0"/>
        </w:trPr>
        <w:tc>
          <w:tcPr>
            <w:tcW w:w="1605" w:type="dxa"/>
          </w:tcPr>
          <w:p w:rsidR="00CE01EE" w:rsidRPr="00CE01EE" w:rsidRDefault="00CE01EE" w:rsidP="00BA7AE7">
            <w:r>
              <w:t xml:space="preserve">Alternative </w:t>
            </w:r>
            <w:r w:rsidRPr="00CE01EE">
              <w:t>Technologies Association (ATA)</w:t>
            </w:r>
          </w:p>
        </w:tc>
        <w:tc>
          <w:tcPr>
            <w:tcW w:w="7088" w:type="dxa"/>
          </w:tcPr>
          <w:p w:rsidR="00CE01EE" w:rsidRPr="00CE01EE" w:rsidDel="00433B42" w:rsidRDefault="00CE01EE" w:rsidP="00BA7AE7">
            <w:r w:rsidRPr="00D5494F">
              <w:t>ATA expect</w:t>
            </w:r>
            <w:r w:rsidRPr="00CE01EE">
              <w:t>ed our determinations to be consistent with our recent decisions and provide for a lower rate of return.</w:t>
            </w:r>
            <w:r w:rsidRPr="00CE01EE">
              <w:rPr>
                <w:rStyle w:val="FootnoteReference"/>
              </w:rPr>
              <w:footnoteReference w:id="658"/>
            </w:r>
          </w:p>
        </w:tc>
      </w:tr>
      <w:tr w:rsidR="00CE01EE" w:rsidRPr="001848E2" w:rsidTr="00D23307">
        <w:tc>
          <w:tcPr>
            <w:tcW w:w="1605" w:type="dxa"/>
          </w:tcPr>
          <w:p w:rsidR="00CE01EE" w:rsidRPr="00CE01EE" w:rsidRDefault="00CE01EE" w:rsidP="00BA7AE7">
            <w:r>
              <w:t>Business South Australia</w:t>
            </w:r>
          </w:p>
        </w:tc>
        <w:tc>
          <w:tcPr>
            <w:tcW w:w="7088" w:type="dxa"/>
          </w:tcPr>
          <w:p w:rsidR="00CE01EE" w:rsidRPr="00CE01EE" w:rsidRDefault="00CE01EE" w:rsidP="00BA7AE7">
            <w:r>
              <w:t>Business SA support</w:t>
            </w:r>
            <w:r w:rsidRPr="00CE01EE">
              <w:t>ed our decision not to depart from its rate of return guideline.</w:t>
            </w:r>
            <w:r w:rsidRPr="00CE01EE">
              <w:rPr>
                <w:rStyle w:val="FootnoteReference"/>
              </w:rPr>
              <w:footnoteReference w:id="659"/>
            </w:r>
          </w:p>
        </w:tc>
      </w:tr>
      <w:tr w:rsidR="00CE01EE" w:rsidRPr="001848E2" w:rsidTr="00D23307">
        <w:trPr>
          <w:cnfStyle w:val="000000010000" w:firstRow="0" w:lastRow="0" w:firstColumn="0" w:lastColumn="0" w:oddVBand="0" w:evenVBand="0" w:oddHBand="0" w:evenHBand="1" w:firstRowFirstColumn="0" w:firstRowLastColumn="0" w:lastRowFirstColumn="0" w:lastRowLastColumn="0"/>
        </w:trPr>
        <w:tc>
          <w:tcPr>
            <w:tcW w:w="1605" w:type="dxa"/>
          </w:tcPr>
          <w:p w:rsidR="00CE01EE" w:rsidRPr="00CE01EE" w:rsidRDefault="00CE01EE" w:rsidP="00BA7AE7">
            <w:r>
              <w:t>The Consumer Utilities Advocacy Centre (CUAC)</w:t>
            </w:r>
          </w:p>
        </w:tc>
        <w:tc>
          <w:tcPr>
            <w:tcW w:w="7088" w:type="dxa"/>
          </w:tcPr>
          <w:p w:rsidR="00CE01EE" w:rsidRPr="00CE01EE" w:rsidRDefault="00CE01EE" w:rsidP="00BA7AE7">
            <w:r>
              <w:t>The Consumer Utilities Advocacy Centre submit</w:t>
            </w:r>
            <w:r w:rsidRPr="00CE01EE">
              <w:t>ted that the weighted average cost of capital proposals from distributors are excessive, and encourages us to instead apply the methodology of the Guideline in estimating a fair rate of return.</w:t>
            </w:r>
            <w:r w:rsidRPr="00CE01EE">
              <w:rPr>
                <w:rStyle w:val="FootnoteReference"/>
              </w:rPr>
              <w:footnoteReference w:id="660"/>
            </w:r>
          </w:p>
        </w:tc>
      </w:tr>
      <w:tr w:rsidR="00CE01EE" w:rsidRPr="001848E2" w:rsidTr="00D23307">
        <w:tc>
          <w:tcPr>
            <w:tcW w:w="1605" w:type="dxa"/>
          </w:tcPr>
          <w:p w:rsidR="00CE01EE" w:rsidRPr="00CE01EE" w:rsidRDefault="00CE01EE" w:rsidP="00BA7AE7">
            <w:r>
              <w:t>Consumer Challenge Panel (</w:t>
            </w:r>
            <w:r w:rsidRPr="00CE01EE">
              <w:t>CCP)</w:t>
            </w:r>
          </w:p>
        </w:tc>
        <w:tc>
          <w:tcPr>
            <w:tcW w:w="7088" w:type="dxa"/>
          </w:tcPr>
          <w:p w:rsidR="00CE01EE" w:rsidRPr="00CE01EE" w:rsidRDefault="00CE01EE" w:rsidP="00BA7AE7">
            <w:r>
              <w:t>The CCP wa</w:t>
            </w:r>
            <w:r w:rsidRPr="00CE01EE">
              <w:t>s unconvinced by arguments from the service providers' various consultants' reports urging us to use models other than the Sharpe-Lintner CAPM for calculating the rate of return. The CCP considered that these alternative models are currently not being utilized by academics nor valuation practitioners.</w:t>
            </w:r>
            <w:r w:rsidRPr="00CE01EE">
              <w:rPr>
                <w:rStyle w:val="FootnoteReference"/>
              </w:rPr>
              <w:footnoteReference w:id="661"/>
            </w:r>
            <w:r w:rsidRPr="00CE01EE">
              <w:t xml:space="preserve"> </w:t>
            </w:r>
          </w:p>
        </w:tc>
      </w:tr>
      <w:tr w:rsidR="00CE01EE" w:rsidRPr="001848E2" w:rsidTr="00D23307">
        <w:trPr>
          <w:cnfStyle w:val="000000010000" w:firstRow="0" w:lastRow="0" w:firstColumn="0" w:lastColumn="0" w:oddVBand="0" w:evenVBand="0" w:oddHBand="0" w:evenHBand="1" w:firstRowFirstColumn="0" w:firstRowLastColumn="0" w:lastRowFirstColumn="0" w:lastRowLastColumn="0"/>
        </w:trPr>
        <w:tc>
          <w:tcPr>
            <w:tcW w:w="1605" w:type="dxa"/>
          </w:tcPr>
          <w:p w:rsidR="00CE01EE" w:rsidRPr="00CE01EE" w:rsidRDefault="00CE01EE" w:rsidP="00BA7AE7">
            <w:r w:rsidRPr="00202838">
              <w:t>Energy Consumers Coalition of SA (ECCSA)</w:t>
            </w:r>
          </w:p>
        </w:tc>
        <w:tc>
          <w:tcPr>
            <w:tcW w:w="7088" w:type="dxa"/>
          </w:tcPr>
          <w:p w:rsidR="00CE01EE" w:rsidRPr="00CE01EE" w:rsidRDefault="00CE01EE" w:rsidP="00BA7AE7">
            <w:r>
              <w:t>The Energy Consumers Coalition of SA</w:t>
            </w:r>
            <w:r w:rsidRPr="00CE01EE">
              <w:t xml:space="preserve"> (ECCSA) rejected SA Power Networks' assertion that its risk profile has changed and that our approach to return on equity developed during the Better Regulation program does not reflect this change in risk. The ECCSA notes that the Better Regulation program was finalised within the past 2 years and considers it to be contemporary.</w:t>
            </w:r>
            <w:r w:rsidRPr="00CE01EE">
              <w:rPr>
                <w:rStyle w:val="FootnoteReference"/>
              </w:rPr>
              <w:footnoteReference w:id="662"/>
            </w:r>
          </w:p>
          <w:p w:rsidR="00CE01EE" w:rsidRPr="00CE01EE" w:rsidRDefault="00CE01EE" w:rsidP="00BA7AE7">
            <w:r>
              <w:t xml:space="preserve">The </w:t>
            </w:r>
            <w:r w:rsidRPr="00CE01EE">
              <w:t>ECCSA is concerned with AGN's equity modelling framework, which the ECCSA consider to be arbitrary and includes weighting for models that have not met the tests of transparency, repeatability and validity in the Australian context.</w:t>
            </w:r>
          </w:p>
          <w:p w:rsidR="00CE01EE" w:rsidRPr="00CE01EE" w:rsidRDefault="00CE01EE" w:rsidP="00BA7AE7">
            <w:r w:rsidRPr="00D57CEF">
              <w:t xml:space="preserve">The </w:t>
            </w:r>
            <w:r w:rsidRPr="00CE01EE">
              <w:t>ECCSA rejected the suggestion that a lower cost of equity (as would be derived under the Guideline) would result in an inability of AGN to invest in the network in the future as it could not recover its costs. If AGN applies prudent capital management principles, there is no reason to believe that it would not recover its costs, although it may not achieve the same above normal profits as it currently enjoys.</w:t>
            </w:r>
            <w:r w:rsidRPr="00CE01EE">
              <w:rPr>
                <w:rStyle w:val="FootnoteReference"/>
              </w:rPr>
              <w:footnoteReference w:id="663"/>
            </w:r>
          </w:p>
        </w:tc>
      </w:tr>
      <w:tr w:rsidR="00CE01EE" w:rsidRPr="001848E2" w:rsidTr="00D23307">
        <w:tc>
          <w:tcPr>
            <w:tcW w:w="1605" w:type="dxa"/>
          </w:tcPr>
          <w:p w:rsidR="00CE01EE" w:rsidRPr="00CE01EE" w:rsidRDefault="00CE01EE" w:rsidP="00BA7AE7">
            <w:r>
              <w:t>The</w:t>
            </w:r>
            <w:r w:rsidRPr="00CE01EE">
              <w:t xml:space="preserve"> Energy Retailers Association of Australia (ERAA)</w:t>
            </w:r>
          </w:p>
        </w:tc>
        <w:tc>
          <w:tcPr>
            <w:tcW w:w="7088" w:type="dxa"/>
          </w:tcPr>
          <w:p w:rsidR="00CE01EE" w:rsidRPr="00CE01EE" w:rsidRDefault="00CE01EE" w:rsidP="00A52239">
            <w:r>
              <w:t>ERAA support</w:t>
            </w:r>
            <w:r w:rsidRPr="00CE01EE">
              <w:t xml:space="preserve">ed our proposed methodology and determination in relation to the rate of return. It believed our </w:t>
            </w:r>
            <w:r w:rsidR="00A52239">
              <w:t>preliminary</w:t>
            </w:r>
            <w:r w:rsidRPr="00CE01EE">
              <w:t xml:space="preserve"> decision on the rate of return better reflects the financing costs of SA Power Networks with respect to the level and exposure to risk that applies to an Australian regulated energy network service provider and should be preferred over SA Power Networks’ estimate.</w:t>
            </w:r>
            <w:r w:rsidRPr="00CE01EE">
              <w:rPr>
                <w:rStyle w:val="FootnoteReference"/>
              </w:rPr>
              <w:footnoteReference w:id="664"/>
            </w:r>
          </w:p>
        </w:tc>
      </w:tr>
      <w:tr w:rsidR="00CE01EE" w:rsidRPr="001848E2" w:rsidTr="00D23307">
        <w:trPr>
          <w:cnfStyle w:val="000000010000" w:firstRow="0" w:lastRow="0" w:firstColumn="0" w:lastColumn="0" w:oddVBand="0" w:evenVBand="0" w:oddHBand="0" w:evenHBand="1" w:firstRowFirstColumn="0" w:firstRowLastColumn="0" w:lastRowFirstColumn="0" w:lastRowLastColumn="0"/>
        </w:trPr>
        <w:tc>
          <w:tcPr>
            <w:tcW w:w="1605" w:type="dxa"/>
          </w:tcPr>
          <w:p w:rsidR="00CE01EE" w:rsidRPr="00CE01EE" w:rsidRDefault="00CE01EE" w:rsidP="00BA7AE7">
            <w:r w:rsidRPr="001562D4">
              <w:t xml:space="preserve">The Energy </w:t>
            </w:r>
            <w:r w:rsidRPr="00CE01EE">
              <w:t>Users Association of Australia (EUAA)</w:t>
            </w:r>
          </w:p>
        </w:tc>
        <w:tc>
          <w:tcPr>
            <w:tcW w:w="7088" w:type="dxa"/>
          </w:tcPr>
          <w:p w:rsidR="00CE01EE" w:rsidRPr="00CE01EE" w:rsidRDefault="00CE01EE" w:rsidP="00BA7AE7">
            <w:r>
              <w:t xml:space="preserve">The Energy Users Association of Australia (EUAA) </w:t>
            </w:r>
            <w:r w:rsidRPr="00CE01EE">
              <w:t>considered that the service providers were over compensated by the AER for post GFC financial market conditions that did not eventuate. The EUAA proposed a market risk premium of 5.00 per cent and an equity beta of 0.4, resulting in a rate of return of 5.07 per cent.</w:t>
            </w:r>
            <w:r w:rsidRPr="00CE01EE">
              <w:rPr>
                <w:rStyle w:val="FootnoteReference"/>
              </w:rPr>
              <w:footnoteReference w:id="665"/>
            </w:r>
          </w:p>
        </w:tc>
      </w:tr>
      <w:tr w:rsidR="00CE01EE" w:rsidRPr="001848E2" w:rsidTr="00D23307">
        <w:tc>
          <w:tcPr>
            <w:tcW w:w="1605" w:type="dxa"/>
          </w:tcPr>
          <w:p w:rsidR="00CE01EE" w:rsidRPr="00CE01EE" w:rsidRDefault="00CE01EE" w:rsidP="00BA7AE7">
            <w:r w:rsidRPr="001562D4">
              <w:t>Origin Energy</w:t>
            </w:r>
          </w:p>
        </w:tc>
        <w:tc>
          <w:tcPr>
            <w:tcW w:w="7088" w:type="dxa"/>
          </w:tcPr>
          <w:p w:rsidR="00CE01EE" w:rsidRPr="00CE01EE" w:rsidRDefault="00CE01EE" w:rsidP="00BA7AE7">
            <w:r w:rsidRPr="00C61D42">
              <w:t>Origin Energy submitted that the AER has no reason to expect that departing from relying pri</w:t>
            </w:r>
            <w:r w:rsidRPr="00CE01EE">
              <w:t>ncipally on the output of the Sharpe-Lintner CAPM would better contribute to the achievement of the allowed rate of return objective.</w:t>
            </w:r>
            <w:r w:rsidRPr="00CE01EE">
              <w:rPr>
                <w:rStyle w:val="FootnoteReference"/>
              </w:rPr>
              <w:footnoteReference w:id="666"/>
            </w:r>
          </w:p>
          <w:p w:rsidR="00CE01EE" w:rsidRPr="00CE01EE" w:rsidRDefault="00CE01EE" w:rsidP="00BA7AE7">
            <w:r>
              <w:t>Origin Energy maintain</w:t>
            </w:r>
            <w:r w:rsidRPr="00CE01EE">
              <w:t>ed its view that we have adopted a balanced and pragmatic approach that provides certain and predictable outcomes for investors and provides a balance between the views of consumer groups and the network businesses.</w:t>
            </w:r>
            <w:r w:rsidRPr="00CE01EE">
              <w:rPr>
                <w:rStyle w:val="FootnoteReference"/>
              </w:rPr>
              <w:footnoteReference w:id="667"/>
            </w:r>
          </w:p>
          <w:p w:rsidR="00CE01EE" w:rsidRPr="00CE01EE" w:rsidRDefault="00CE01EE" w:rsidP="00BA7AE7">
            <w:r>
              <w:t>Origin Energy submit</w:t>
            </w:r>
            <w:r w:rsidRPr="00CE01EE">
              <w:t>ted that the Guideline provides transparency and predictability of outcomes in rate of return issues and a balance between the views of distributors and consumers, and considers that departures from the Guideline should only be approved where there is strong evidence to support the departure.</w:t>
            </w:r>
            <w:r w:rsidRPr="00CE01EE">
              <w:rPr>
                <w:rStyle w:val="FootnoteReference"/>
              </w:rPr>
              <w:footnoteReference w:id="668"/>
            </w:r>
          </w:p>
        </w:tc>
      </w:tr>
      <w:tr w:rsidR="00CE01EE" w:rsidRPr="001848E2" w:rsidTr="00D23307">
        <w:trPr>
          <w:cnfStyle w:val="000000010000" w:firstRow="0" w:lastRow="0" w:firstColumn="0" w:lastColumn="0" w:oddVBand="0" w:evenVBand="0" w:oddHBand="0" w:evenHBand="1" w:firstRowFirstColumn="0" w:firstRowLastColumn="0" w:lastRowFirstColumn="0" w:lastRowLastColumn="0"/>
        </w:trPr>
        <w:tc>
          <w:tcPr>
            <w:tcW w:w="1605" w:type="dxa"/>
          </w:tcPr>
          <w:p w:rsidR="00CE01EE" w:rsidRPr="00CE01EE" w:rsidRDefault="00CE01EE" w:rsidP="00BA7AE7">
            <w:r w:rsidRPr="00DD3B92">
              <w:t>Q</w:t>
            </w:r>
            <w:r w:rsidRPr="00CE01EE">
              <w:t xml:space="preserve">ueensland Council of Social Service (QCOSS) </w:t>
            </w:r>
          </w:p>
        </w:tc>
        <w:tc>
          <w:tcPr>
            <w:tcW w:w="7088" w:type="dxa"/>
          </w:tcPr>
          <w:p w:rsidR="00CE01EE" w:rsidRPr="00CE01EE" w:rsidRDefault="00CE01EE" w:rsidP="00BA7AE7">
            <w:r>
              <w:t>The Queensland Council of Social Service consider</w:t>
            </w:r>
            <w:r w:rsidRPr="00CE01EE">
              <w:t xml:space="preserve">ed the rate of return parameters in the </w:t>
            </w:r>
            <w:r>
              <w:t>draft</w:t>
            </w:r>
            <w:r w:rsidRPr="00CE01EE">
              <w:t xml:space="preserve"> decision are too conservative and are not consistent with both the low prevailing cost of capital and the low risk of distribution activities.</w:t>
            </w:r>
            <w:r w:rsidRPr="00CE01EE">
              <w:rPr>
                <w:rStyle w:val="FootnoteReference"/>
              </w:rPr>
              <w:footnoteReference w:id="669"/>
            </w:r>
          </w:p>
          <w:p w:rsidR="00CE01EE" w:rsidRPr="00CE01EE" w:rsidRDefault="00CE01EE" w:rsidP="00BA7AE7">
            <w:r>
              <w:t>The Queensland Council of Social Service submit</w:t>
            </w:r>
            <w:r w:rsidRPr="00CE01EE">
              <w:t>ted that empirical studies, as well as the reports from McKenzie and Partington and Frontier suggest an appropriate equity beta to be around 0.5.</w:t>
            </w:r>
            <w:r w:rsidRPr="00CE01EE">
              <w:rPr>
                <w:rStyle w:val="FootnoteReference"/>
              </w:rPr>
              <w:footnoteReference w:id="670"/>
            </w:r>
          </w:p>
        </w:tc>
      </w:tr>
      <w:tr w:rsidR="00CE01EE" w:rsidRPr="001848E2" w:rsidTr="00D23307">
        <w:tc>
          <w:tcPr>
            <w:tcW w:w="1605" w:type="dxa"/>
          </w:tcPr>
          <w:p w:rsidR="00CE01EE" w:rsidRPr="00CE01EE" w:rsidRDefault="00CE01EE" w:rsidP="00BA7AE7">
            <w:r>
              <w:t>Victorian Energy Consumer and User Alliance</w:t>
            </w:r>
            <w:r w:rsidRPr="00CE01EE">
              <w:t xml:space="preserve"> (VECUSA)</w:t>
            </w:r>
          </w:p>
        </w:tc>
        <w:tc>
          <w:tcPr>
            <w:tcW w:w="7088" w:type="dxa"/>
          </w:tcPr>
          <w:p w:rsidR="00CE01EE" w:rsidRPr="00CE01EE" w:rsidRDefault="00CE01EE" w:rsidP="00BA7AE7">
            <w:r>
              <w:t>The Victorian Energy Consumer and User Alliance consider</w:t>
            </w:r>
            <w:r w:rsidRPr="00CE01EE">
              <w:t>ed the Victorian service providers' proposed rate of return allowances of 7.18-7.38 per cent to be excessive and based on major unjustified departures from the Guideline.</w:t>
            </w:r>
            <w:r w:rsidRPr="00CE01EE">
              <w:rPr>
                <w:rStyle w:val="FootnoteReference"/>
              </w:rPr>
              <w:footnoteReference w:id="671"/>
            </w:r>
          </w:p>
          <w:p w:rsidR="00CE01EE" w:rsidRPr="00CE01EE" w:rsidRDefault="00CE01EE" w:rsidP="00BA7AE7">
            <w:r>
              <w:t>The Victorian Energy Consumer and User Alliance consider</w:t>
            </w:r>
            <w:r w:rsidRPr="00CE01EE">
              <w:t>ed that our approach to estimating return on equity is more appropriate than the distributors' proposed approaches that adopt weighted averages of different return on equity models. These proposed departures have not been subjected to any rigorous analysis or stakeholder consultation.</w:t>
            </w:r>
            <w:r w:rsidRPr="00CE01EE">
              <w:rPr>
                <w:rStyle w:val="FootnoteReference"/>
              </w:rPr>
              <w:footnoteReference w:id="672"/>
            </w:r>
          </w:p>
          <w:p w:rsidR="00CE01EE" w:rsidRPr="00CE01EE" w:rsidRDefault="00CE01EE" w:rsidP="00BA7AE7">
            <w:r>
              <w:t xml:space="preserve">The Victorian Energy Consumers and Users </w:t>
            </w:r>
            <w:r w:rsidRPr="00CE01EE">
              <w:t>Alliance noted Professor Henry's report</w:t>
            </w:r>
            <w:r w:rsidRPr="00CE01EE">
              <w:rPr>
                <w:rStyle w:val="FootnoteReference"/>
              </w:rPr>
              <w:footnoteReference w:id="673"/>
            </w:r>
            <w:r w:rsidRPr="00CE01EE">
              <w:t xml:space="preserve"> suggests an equity beta at the low end of the Guideline range (i.e. 0.4) more accurately reflects the empirical data available.</w:t>
            </w:r>
            <w:r w:rsidRPr="00CE01EE">
              <w:rPr>
                <w:rStyle w:val="FootnoteReference"/>
              </w:rPr>
              <w:footnoteReference w:id="674"/>
            </w:r>
          </w:p>
          <w:p w:rsidR="00CE01EE" w:rsidRPr="00CE01EE" w:rsidRDefault="00CE01EE" w:rsidP="00BA7AE7">
            <w:r>
              <w:t xml:space="preserve">The Victorian </w:t>
            </w:r>
            <w:r w:rsidRPr="00CE01EE">
              <w:t>Energy Consumer and User Alliance (VECUA) agreed with other submissions we received over the past year that regarding the regulatory framework for Australia’s monopoly networks as providing an extremely low business risk environment. The VECUA submits that the market risk premium should be set at the bottom of the Guideline range (i.e. 5.0%).</w:t>
            </w:r>
            <w:r w:rsidRPr="00CE01EE">
              <w:rPr>
                <w:rStyle w:val="FootnoteReference"/>
              </w:rPr>
              <w:footnoteReference w:id="675"/>
            </w:r>
          </w:p>
        </w:tc>
      </w:tr>
    </w:tbl>
    <w:p w:rsidR="00CE01EE" w:rsidRPr="001562D4" w:rsidRDefault="00CE01EE" w:rsidP="00CE01EE">
      <w:pPr>
        <w:pStyle w:val="AERtablesource"/>
      </w:pPr>
      <w:r>
        <w:t xml:space="preserve">Source: </w:t>
      </w:r>
      <w:r>
        <w:tab/>
        <w:t>AER analysis of submissions.</w:t>
      </w:r>
    </w:p>
    <w:p w:rsidR="00CE01EE" w:rsidRDefault="00CE01EE" w:rsidP="00CE01EE">
      <w:pPr>
        <w:numPr>
          <w:ilvl w:val="0"/>
          <w:numId w:val="24"/>
        </w:numPr>
      </w:pPr>
      <w:r>
        <w:t xml:space="preserve">We consider the submissions in </w:t>
      </w:r>
      <w:r>
        <w:fldChar w:fldCharType="begin"/>
      </w:r>
      <w:r>
        <w:instrText xml:space="preserve"> REF _Ref433137654 \h </w:instrText>
      </w:r>
      <w:r>
        <w:fldChar w:fldCharType="separate"/>
      </w:r>
      <w:r w:rsidR="001A023B">
        <w:t xml:space="preserve">Table </w:t>
      </w:r>
      <w:r w:rsidR="001A023B">
        <w:rPr>
          <w:noProof/>
        </w:rPr>
        <w:t>3</w:t>
      </w:r>
      <w:r w:rsidR="001A023B">
        <w:noBreakHyphen/>
      </w:r>
      <w:r w:rsidR="001A023B">
        <w:rPr>
          <w:noProof/>
        </w:rPr>
        <w:t>26</w:t>
      </w:r>
      <w:r>
        <w:fldChar w:fldCharType="end"/>
      </w:r>
      <w:r>
        <w:t xml:space="preserve"> generally support our use of the Sharpe-Lintner CAPM as the foundation model in our foundation model approach. However, we do not agree with submissions to lower the input parameters from those published in the Guideline. Our reasons for this position are set out in section</w:t>
      </w:r>
      <w:r w:rsidR="0018625A">
        <w:t xml:space="preserve"> </w:t>
      </w:r>
      <w:r w:rsidR="0018625A">
        <w:fldChar w:fldCharType="begin"/>
      </w:r>
      <w:r w:rsidR="0018625A">
        <w:instrText xml:space="preserve"> REF _Ref451691090 \r \h </w:instrText>
      </w:r>
      <w:r w:rsidR="0018625A">
        <w:fldChar w:fldCharType="separate"/>
      </w:r>
      <w:r w:rsidR="001A023B">
        <w:t>3.4.1</w:t>
      </w:r>
      <w:r w:rsidR="0018625A">
        <w:fldChar w:fldCharType="end"/>
      </w:r>
      <w:r>
        <w:t>.</w:t>
      </w:r>
    </w:p>
    <w:p w:rsidR="00CE01EE" w:rsidRPr="00B4711B" w:rsidRDefault="00CE01EE" w:rsidP="00CE01EE">
      <w:pPr>
        <w:pStyle w:val="Heading9"/>
      </w:pPr>
      <w:bookmarkStart w:id="121" w:name="_Ref449004969"/>
      <w:r>
        <w:t>Empirical tests of the Sharpe-Lintner CAPM</w:t>
      </w:r>
      <w:bookmarkEnd w:id="121"/>
    </w:p>
    <w:p w:rsidR="00CE01EE" w:rsidRDefault="00CE01EE" w:rsidP="00CE01EE">
      <w:pPr>
        <w:numPr>
          <w:ilvl w:val="0"/>
          <w:numId w:val="24"/>
        </w:numPr>
      </w:pPr>
      <w:r>
        <w:t>Service providers submitted that empirical tests indicate that the Sharpe-Lintner CAPM performs poorly compared to the Fama-French model and Black CAPM.</w:t>
      </w:r>
      <w:r>
        <w:rPr>
          <w:rStyle w:val="FootnoteReference"/>
        </w:rPr>
        <w:footnoteReference w:id="676"/>
      </w:r>
    </w:p>
    <w:p w:rsidR="00CE01EE" w:rsidRDefault="00CE01EE" w:rsidP="00CE01EE">
      <w:pPr>
        <w:numPr>
          <w:ilvl w:val="0"/>
          <w:numId w:val="24"/>
        </w:numPr>
      </w:pPr>
      <w:r>
        <w:t>At this time, we conclude that</w:t>
      </w:r>
      <w:r w:rsidRPr="001562D4">
        <w:t xml:space="preserve"> </w:t>
      </w:r>
      <w:r>
        <w:t>the evidence i</w:t>
      </w:r>
      <w:r w:rsidRPr="001562D4">
        <w:t>s unclear given the empirical limitation of the tests</w:t>
      </w:r>
      <w:r>
        <w:t>. Given the available evidence and the limitations of this evidence, we consider that there is no strong basis to conclude that the Black CAPM and/or Fama-French model provide materially better estimates of expected return on equity. N</w:t>
      </w:r>
      <w:r w:rsidRPr="001562D4">
        <w:t>otwithstanding potential limitatio</w:t>
      </w:r>
      <w:r>
        <w:t>ns with the empirical tests, we consider</w:t>
      </w:r>
      <w:r w:rsidRPr="001562D4">
        <w:t xml:space="preserve"> that our implementa</w:t>
      </w:r>
      <w:r>
        <w:t>tion of the Sharpe-Lintner CAPM in our foundation model approach recognises any potential</w:t>
      </w:r>
      <w:r w:rsidRPr="001562D4">
        <w:t xml:space="preserve"> em</w:t>
      </w:r>
      <w:r>
        <w:t>pirical limitations.</w:t>
      </w:r>
    </w:p>
    <w:p w:rsidR="00CE01EE" w:rsidRPr="001562D4" w:rsidRDefault="00CE01EE" w:rsidP="00CE01EE">
      <w:pPr>
        <w:numPr>
          <w:ilvl w:val="0"/>
          <w:numId w:val="24"/>
        </w:numPr>
      </w:pPr>
      <w:r>
        <w:t xml:space="preserve">On the empirical performance of the Sharpe-Lintner </w:t>
      </w:r>
      <w:r w:rsidRPr="001562D4">
        <w:t>CAPM, McKenzie and Partington found the following:</w:t>
      </w:r>
      <w:r>
        <w:rPr>
          <w:rStyle w:val="FootnoteReference"/>
        </w:rPr>
        <w:footnoteReference w:id="677"/>
      </w:r>
    </w:p>
    <w:p w:rsidR="00CE01EE" w:rsidRPr="00CE01EE" w:rsidRDefault="00CE01EE" w:rsidP="00CE01EE">
      <w:pPr>
        <w:pStyle w:val="AERbulletlistfirststyle"/>
      </w:pPr>
      <w:r w:rsidRPr="001562D4">
        <w:t>The fact some work appears to show other models better explain the cross section of realised average returns does not invalidate the use of the model for several reasons</w:t>
      </w:r>
      <w:r w:rsidRPr="00CE01EE">
        <w:t>. For instance, the cross section of returns is only one dimension of interest.</w:t>
      </w:r>
      <w:r w:rsidRPr="00CE01EE">
        <w:rPr>
          <w:rStyle w:val="FootnoteReference"/>
        </w:rPr>
        <w:footnoteReference w:id="678"/>
      </w:r>
    </w:p>
    <w:p w:rsidR="00CE01EE" w:rsidRPr="00CE01EE" w:rsidRDefault="00CE01EE" w:rsidP="00CE01EE">
      <w:pPr>
        <w:pStyle w:val="AERbulletlistfirststyle"/>
      </w:pPr>
      <w:r>
        <w:t>T</w:t>
      </w:r>
      <w:r w:rsidRPr="00CE01EE">
        <w:t>he evidence against the Sharpe-Lintner CAPM may not be as robust as once thought when more appropriate statistical tests are used.</w:t>
      </w:r>
    </w:p>
    <w:p w:rsidR="00CE01EE" w:rsidRPr="00CE01EE" w:rsidRDefault="00CE01EE" w:rsidP="00CE01EE">
      <w:pPr>
        <w:pStyle w:val="AERbulletlistfirststyle"/>
      </w:pPr>
      <w:r>
        <w:t>T</w:t>
      </w:r>
      <w:r w:rsidRPr="00CE01EE">
        <w:t>he empirical evidence against the model does not invalidate its use for estimating the cost of capital for projects when making capital budgeting decisions.</w:t>
      </w:r>
    </w:p>
    <w:p w:rsidR="00CE01EE" w:rsidRDefault="00CE01EE" w:rsidP="00CE01EE">
      <w:pPr>
        <w:numPr>
          <w:ilvl w:val="0"/>
          <w:numId w:val="24"/>
        </w:numPr>
      </w:pPr>
      <w:r>
        <w:t xml:space="preserve">Partington and Satchell made the following observations for testing empirical performances of asset pricing models: </w:t>
      </w:r>
    </w:p>
    <w:p w:rsidR="00CE01EE" w:rsidRPr="00CE01EE" w:rsidRDefault="00CE01EE" w:rsidP="00CE01EE">
      <w:pPr>
        <w:pStyle w:val="AERbulletlistfirststyle"/>
      </w:pPr>
      <w:r>
        <w:t>Testing of an asset pricing model involves how well it describes ex-ante expected returns when security prices are in equilibrium. Empirical work attempts to examine how well the asset pricing model explains ex-post realised returns which 'may not be a particularly good test'.</w:t>
      </w:r>
      <w:r w:rsidRPr="00CE01EE">
        <w:rPr>
          <w:rStyle w:val="FootnoteReference"/>
        </w:rPr>
        <w:footnoteReference w:id="679"/>
      </w:r>
      <w:r w:rsidRPr="00CE01EE">
        <w:t xml:space="preserve"> </w:t>
      </w:r>
    </w:p>
    <w:p w:rsidR="00CE01EE" w:rsidRPr="00CE01EE" w:rsidRDefault="00CE01EE" w:rsidP="00CE01EE">
      <w:pPr>
        <w:pStyle w:val="AERbulletlistfirststyle"/>
      </w:pPr>
      <w:r>
        <w:t>T</w:t>
      </w:r>
      <w:r w:rsidRPr="00CE01EE">
        <w:t>he results are dependent on the method used to conduct the test (for example the characteristics used in sorting stocks into portfolios when testing model performance), was also noted by Kan, Robotti and Shanken.</w:t>
      </w:r>
      <w:r w:rsidRPr="00CE01EE">
        <w:rPr>
          <w:rStyle w:val="FootnoteReference"/>
        </w:rPr>
        <w:t xml:space="preserve"> </w:t>
      </w:r>
      <w:r w:rsidRPr="00CE01EE">
        <w:rPr>
          <w:rStyle w:val="FootnoteReference"/>
        </w:rPr>
        <w:footnoteReference w:id="680"/>
      </w:r>
      <w:r w:rsidRPr="00CE01EE">
        <w:t xml:space="preserve"> </w:t>
      </w:r>
    </w:p>
    <w:p w:rsidR="00CE01EE" w:rsidRPr="00CE01EE" w:rsidRDefault="00CE01EE" w:rsidP="00CE01EE">
      <w:pPr>
        <w:pStyle w:val="AERbulletlistfirststyle"/>
      </w:pPr>
      <w:r>
        <w:t>Fischer Black has previously suggested that testing of model performance using ex-post realised returns 'might be telling…more about the shocks to the expected returns (volatility) rather than the equilibrium expected returns'.</w:t>
      </w:r>
      <w:r w:rsidRPr="00CE01EE">
        <w:rPr>
          <w:rStyle w:val="FootnoteReference"/>
        </w:rPr>
        <w:footnoteReference w:id="681"/>
      </w:r>
    </w:p>
    <w:p w:rsidR="00CE01EE" w:rsidRPr="00CE01EE" w:rsidRDefault="00CE01EE" w:rsidP="00CE01EE">
      <w:pPr>
        <w:pStyle w:val="AERbulletlistfirststyle"/>
      </w:pPr>
      <w:r w:rsidRPr="00C61D42">
        <w:t>NERA referred to the work of Kan, Robotti</w:t>
      </w:r>
      <w:r w:rsidRPr="00CE01EE">
        <w:t xml:space="preserve"> and Shanken for the superior performance of the Fama-French model compared to the Sharpe-Lintner CAPM.</w:t>
      </w:r>
      <w:r w:rsidRPr="00CE01EE">
        <w:rPr>
          <w:rStyle w:val="FootnoteReference"/>
        </w:rPr>
        <w:footnoteReference w:id="682"/>
      </w:r>
      <w:r w:rsidRPr="00CE01EE">
        <w:t xml:space="preserve"> Partington and Satchell stated that they "are not persuaded at this time as there is no conclusive evidence of the superior performance of the FFM–as Kan, Robotti and Shanken also found the conditional CAPM and ICAPM to be the best performing models if the portfolios are formed by ranking stocks on size and CAPM beta instead of by book-to-market and size".</w:t>
      </w:r>
      <w:r w:rsidRPr="00CE01EE">
        <w:rPr>
          <w:rStyle w:val="FootnoteReference"/>
        </w:rPr>
        <w:footnoteReference w:id="683"/>
      </w:r>
      <w:r w:rsidRPr="00CE01EE">
        <w:t xml:space="preserve">  Partington and Satchell noted that Lewellen, Nagel and Shanken have cautioned that 'none of the models provides much improvement over the simple or consumption CAPM when performance is measured by the GLS</w:t>
      </w:r>
      <w:r w:rsidRPr="00CE01EE">
        <w:rPr>
          <w:rStyle w:val="FootnoteReference"/>
        </w:rPr>
        <w:footnoteReference w:id="684"/>
      </w:r>
      <w:r w:rsidRPr="00CE01EE">
        <w:t xml:space="preserve"> R2 or q'.</w:t>
      </w:r>
      <w:r w:rsidRPr="00CE01EE">
        <w:rPr>
          <w:rStyle w:val="FootnoteReference"/>
        </w:rPr>
        <w:footnoteReference w:id="685"/>
      </w:r>
      <w:r w:rsidRPr="00CE01EE">
        <w:t xml:space="preserve"> </w:t>
      </w:r>
    </w:p>
    <w:p w:rsidR="00CE01EE" w:rsidRDefault="00CE01EE" w:rsidP="00CE01EE">
      <w:r>
        <w:t xml:space="preserve">In response to our draft decision, HoustonKemp submitted that </w:t>
      </w:r>
      <w:r w:rsidRPr="006B3D58">
        <w:t>Kan, Robotti and Shanken do not say that</w:t>
      </w:r>
      <w:r>
        <w:t xml:space="preserve"> </w:t>
      </w:r>
      <w:r w:rsidRPr="006B3D58">
        <w:t>when po</w:t>
      </w:r>
      <w:r>
        <w:t xml:space="preserve">rtfolios are formed by size and beta </w:t>
      </w:r>
      <w:r w:rsidRPr="006B3D58">
        <w:t>that the CAPM can be shown to be superior to the Fama-French</w:t>
      </w:r>
      <w:r>
        <w:t xml:space="preserve"> </w:t>
      </w:r>
      <w:r w:rsidRPr="006B3D58">
        <w:t>three-factor model</w:t>
      </w:r>
      <w:r>
        <w:t>.</w:t>
      </w:r>
      <w:r>
        <w:rPr>
          <w:rStyle w:val="FootnoteReference"/>
        </w:rPr>
        <w:footnoteReference w:id="686"/>
      </w:r>
      <w:r>
        <w:t xml:space="preserve"> In response, Partington and Satchell state that:</w:t>
      </w:r>
      <w:r>
        <w:rPr>
          <w:rStyle w:val="FootnoteReference"/>
        </w:rPr>
        <w:footnoteReference w:id="687"/>
      </w:r>
    </w:p>
    <w:p w:rsidR="00CE01EE" w:rsidRDefault="00CE01EE" w:rsidP="00CE01EE">
      <w:pPr>
        <w:pStyle w:val="AERquote"/>
      </w:pPr>
      <w:r w:rsidRPr="00290597">
        <w:t>We stand by our observations that in Kan, Robotti and Shanken (2013) the results of the asset pricing tests in general, and tests of the FF3 model in particular, depend upon the characteristics used in sorting stocks into portfolios</w:t>
      </w:r>
      <w:r>
        <w:t>…</w:t>
      </w:r>
      <w:r w:rsidRPr="00823F8D">
        <w:t xml:space="preserve">in </w:t>
      </w:r>
      <w:r w:rsidRPr="00290597">
        <w:t xml:space="preserve">Kan, Robotti and Shanken (2013) using </w:t>
      </w:r>
      <w:r w:rsidRPr="00823F8D">
        <w:t xml:space="preserve">tests based on size and book to market sorts for portfolios </w:t>
      </w:r>
      <w:r>
        <w:t xml:space="preserve">the </w:t>
      </w:r>
      <w:r w:rsidRPr="00823F8D">
        <w:t xml:space="preserve">FF3 model ranks second to the ICAPM, but when portfolios are sorted on size and beta </w:t>
      </w:r>
      <w:r>
        <w:t>the</w:t>
      </w:r>
      <w:r w:rsidRPr="00823F8D">
        <w:t xml:space="preserve"> performance </w:t>
      </w:r>
      <w:r>
        <w:t xml:space="preserve">of FF3 </w:t>
      </w:r>
      <w:r w:rsidRPr="00823F8D">
        <w:t>degrades</w:t>
      </w:r>
    </w:p>
    <w:p w:rsidR="00CE01EE" w:rsidRDefault="00CE01EE" w:rsidP="00CE01EE">
      <w:pPr>
        <w:numPr>
          <w:ilvl w:val="0"/>
          <w:numId w:val="24"/>
        </w:numPr>
      </w:pPr>
      <w:r>
        <w:t>Several service providers resubmitted an empirical test of the Sharpe-Lintner CAPM and the Black CAPM by NERA that was considered in the JGN final decision.</w:t>
      </w:r>
      <w:r>
        <w:rPr>
          <w:rStyle w:val="FootnoteReference"/>
        </w:rPr>
        <w:footnoteReference w:id="688"/>
      </w:r>
      <w:r>
        <w:t xml:space="preserve"> We continue to observe that the results in NERA's report appear counterintuitive. For instance, NERA's in-sample tests indicated there was a negative relation between returns and beta</w:t>
      </w:r>
      <w:r w:rsidRPr="0021745C">
        <w:t>—</w:t>
      </w:r>
      <w:r>
        <w:t>which is not consistent with the theory underpinning the Sharpe-Lintner CAPM or the Black CAPM.</w:t>
      </w:r>
      <w:r>
        <w:rPr>
          <w:rStyle w:val="FootnoteReference"/>
        </w:rPr>
        <w:footnoteReference w:id="689"/>
      </w:r>
      <w:r>
        <w:t xml:space="preserve"> NERA also provided an estimate of the zero-beta premium of 10.75 per cent.</w:t>
      </w:r>
      <w:r>
        <w:rPr>
          <w:rStyle w:val="FootnoteReference"/>
        </w:rPr>
        <w:footnoteReference w:id="690"/>
      </w:r>
      <w:r>
        <w:t xml:space="preserve"> It has been acknowledged that it is implausible for the zero beta premium to be equal to or greater than the market risk premium</w:t>
      </w:r>
      <w:r w:rsidRPr="001562D4">
        <w:t>.</w:t>
      </w:r>
      <w:r w:rsidRPr="001562D4">
        <w:rPr>
          <w:rStyle w:val="FootnoteReference"/>
        </w:rPr>
        <w:footnoteReference w:id="691"/>
      </w:r>
      <w:r>
        <w:t xml:space="preserve"> Further, having reviewed this report in relation to its results on the Black CAPM, Partington advised:</w:t>
      </w:r>
      <w:r>
        <w:rPr>
          <w:rStyle w:val="FootnoteReference"/>
        </w:rPr>
        <w:footnoteReference w:id="692"/>
      </w:r>
      <w:r>
        <w:t xml:space="preserve"> </w:t>
      </w:r>
    </w:p>
    <w:p w:rsidR="00CE01EE" w:rsidRPr="00AB3FED" w:rsidRDefault="00CE01EE" w:rsidP="00CE01EE">
      <w:pPr>
        <w:pStyle w:val="AERquote"/>
      </w:pPr>
      <w:r w:rsidRPr="00AB3FED">
        <w:t xml:space="preserve">the results of NERA’s various empirical analyses (most recently NERA, 2015) show that the reference portfolio they use is not on the efficient set ex-post.  If it were, then there would be a perfect linear relation between the returns on securities and their betas calculated relative to the reference portfolio. Empirically, however, this is not the case. Therefore, the reference portfolio is not on the efficient set. </w:t>
      </w:r>
    </w:p>
    <w:p w:rsidR="00CE01EE" w:rsidRPr="001562D4" w:rsidRDefault="00CE01EE" w:rsidP="00CE01EE">
      <w:pPr>
        <w:pStyle w:val="AERquote"/>
      </w:pPr>
      <w:r w:rsidRPr="00AB3FED">
        <w:t xml:space="preserve">The implication of a reference portfolio that is not on the efficient set is that there is an infinite set of zero beta portfolios with differing returns that can be associated with the reference portfolio. In this case, the zero beta return can be more or less arbitrarily chosen. NERA (2015) and SFG (2015) restrict the choice by fitting a regression model to the data in order to obtain a single estimate. </w:t>
      </w:r>
    </w:p>
    <w:p w:rsidR="00CE01EE" w:rsidRDefault="00CE01EE" w:rsidP="00CE01EE">
      <w:pPr>
        <w:numPr>
          <w:ilvl w:val="0"/>
          <w:numId w:val="24"/>
        </w:numPr>
      </w:pPr>
      <w:r>
        <w:t xml:space="preserve">McKenzie and Partington considered that </w:t>
      </w:r>
      <w:r w:rsidRPr="001562D4">
        <w:t>the empirical results</w:t>
      </w:r>
      <w:r>
        <w:t xml:space="preserve"> for the Black CAPM and Sharpe-Lintner CAPM we</w:t>
      </w:r>
      <w:r w:rsidRPr="001562D4">
        <w:t>re not directly comparable</w:t>
      </w:r>
      <w:r>
        <w:t>.</w:t>
      </w:r>
      <w:r w:rsidRPr="001562D4">
        <w:rPr>
          <w:rStyle w:val="FootnoteReference"/>
        </w:rPr>
        <w:footnoteReference w:id="693"/>
      </w:r>
    </w:p>
    <w:p w:rsidR="00CE01EE" w:rsidRDefault="00CE01EE" w:rsidP="00CE01EE">
      <w:pPr>
        <w:numPr>
          <w:ilvl w:val="0"/>
          <w:numId w:val="24"/>
        </w:numPr>
      </w:pPr>
      <w:r>
        <w:t>Further, there are a number of possible explanations (for example, economic conditions) that do not imply a bias in beta. These explanations were noted by Partington and Satchell as well as Handley.</w:t>
      </w:r>
      <w:r>
        <w:rPr>
          <w:rStyle w:val="FootnoteReference"/>
        </w:rPr>
        <w:footnoteReference w:id="694"/>
      </w:r>
      <w:r>
        <w:t xml:space="preserve"> For example, Mujisson, Fishwick and Satchell (2014) found that beta for a given portfolio remains relatively constant despite changes in the interest rate and market movements. More discussion of these potential explanations is in sections </w:t>
      </w:r>
      <w:r>
        <w:fldChar w:fldCharType="begin"/>
      </w:r>
      <w:r>
        <w:instrText xml:space="preserve"> REF _Ref449010288 \r \h </w:instrText>
      </w:r>
      <w:r>
        <w:fldChar w:fldCharType="separate"/>
      </w:r>
      <w:r w:rsidR="001A023B">
        <w:t>B.2.2</w:t>
      </w:r>
      <w:r>
        <w:fldChar w:fldCharType="end"/>
      </w:r>
      <w:r>
        <w:t xml:space="preserve"> and </w:t>
      </w:r>
      <w:r>
        <w:fldChar w:fldCharType="begin"/>
      </w:r>
      <w:r>
        <w:instrText xml:space="preserve"> REF _Ref449010281 \r \h </w:instrText>
      </w:r>
      <w:r>
        <w:fldChar w:fldCharType="separate"/>
      </w:r>
      <w:r w:rsidR="001A023B">
        <w:t>B.3.2</w:t>
      </w:r>
      <w:r>
        <w:fldChar w:fldCharType="end"/>
      </w:r>
      <w:r>
        <w:t>.</w:t>
      </w:r>
    </w:p>
    <w:p w:rsidR="00CE01EE" w:rsidRDefault="00CE01EE" w:rsidP="00CE01EE">
      <w:r>
        <w:t>In response to t</w:t>
      </w:r>
      <w:r w:rsidRPr="00C674E4">
        <w:t xml:space="preserve">he AER’s </w:t>
      </w:r>
      <w:r>
        <w:t>statement</w:t>
      </w:r>
      <w:r w:rsidRPr="00C674E4">
        <w:t xml:space="preserve"> that results </w:t>
      </w:r>
      <w:r>
        <w:t>from</w:t>
      </w:r>
      <w:r w:rsidRPr="00C674E4">
        <w:t xml:space="preserve"> </w:t>
      </w:r>
      <w:r>
        <w:t>NERA's</w:t>
      </w:r>
      <w:r w:rsidRPr="00C674E4">
        <w:t xml:space="preserve"> February 2015</w:t>
      </w:r>
      <w:r>
        <w:t xml:space="preserve"> </w:t>
      </w:r>
      <w:r w:rsidRPr="00C674E4">
        <w:t>report are counterintuitive</w:t>
      </w:r>
      <w:r>
        <w:t>, HoustonKemp</w:t>
      </w:r>
      <w:r w:rsidRPr="00C674E4">
        <w:t xml:space="preserve"> </w:t>
      </w:r>
      <w:r>
        <w:t>submitted that t</w:t>
      </w:r>
      <w:r w:rsidRPr="00C674E4">
        <w:t>he results are not unusual and that many others have produced very similar results</w:t>
      </w:r>
      <w:r>
        <w:t>.</w:t>
      </w:r>
      <w:r>
        <w:rPr>
          <w:rStyle w:val="FootnoteReference"/>
        </w:rPr>
        <w:footnoteReference w:id="695"/>
      </w:r>
      <w:r w:rsidRPr="00C674E4">
        <w:t xml:space="preserve">  </w:t>
      </w:r>
      <w:r w:rsidRPr="00864180">
        <w:t>HoustonKemp noted that over the period 1979 through 2014 there has been a negative rather than a positive relation in Australia between average returns and estimates of their betas.</w:t>
      </w:r>
      <w:r w:rsidRPr="00864180">
        <w:rPr>
          <w:rStyle w:val="FootnoteReference"/>
        </w:rPr>
        <w:footnoteReference w:id="696"/>
      </w:r>
      <w:r>
        <w:t xml:space="preserve"> HoustonKemp submitted that </w:t>
      </w:r>
      <w:r w:rsidRPr="00284228">
        <w:t>Kan, Robotti and Shanken</w:t>
      </w:r>
      <w:r>
        <w:t xml:space="preserve"> </w:t>
      </w:r>
      <w:r w:rsidRPr="00284228">
        <w:t>show that the GLS R2 associated with the CAPM exceeds zero because of a significant negative relation between the mean returns and betas</w:t>
      </w:r>
      <w:r>
        <w:t>.</w:t>
      </w:r>
      <w:r>
        <w:rPr>
          <w:rStyle w:val="FootnoteReference"/>
        </w:rPr>
        <w:footnoteReference w:id="697"/>
      </w:r>
    </w:p>
    <w:p w:rsidR="00CE01EE" w:rsidRDefault="00CE01EE" w:rsidP="00CE01EE">
      <w:r>
        <w:t>Partington and Satchell also note that '</w:t>
      </w:r>
      <w:r w:rsidRPr="000A45F8">
        <w:t xml:space="preserve"> a relatively flat or inverted relation between beta and realised returns is quite common in empirical work</w:t>
      </w:r>
      <w:r>
        <w:t>'.</w:t>
      </w:r>
      <w:r>
        <w:rPr>
          <w:rStyle w:val="FootnoteReference"/>
        </w:rPr>
        <w:footnoteReference w:id="698"/>
      </w:r>
      <w:r>
        <w:t xml:space="preserve"> However, they also note that it is not clear that this is evidence that other models are better at estimating expected return on equity, stating: </w:t>
      </w:r>
      <w:r>
        <w:rPr>
          <w:rStyle w:val="FootnoteReference"/>
        </w:rPr>
        <w:footnoteReference w:id="699"/>
      </w:r>
    </w:p>
    <w:p w:rsidR="00CE01EE" w:rsidRDefault="00CE01EE" w:rsidP="00CE01EE">
      <w:pPr>
        <w:pStyle w:val="AERquote"/>
      </w:pPr>
      <w:r w:rsidRPr="000A45F8">
        <w:t>What this shows is that low beta shares have had realised returns that outperformed and high beta shares have had realised returns that underperformed relative to the CAPM equilibrium expected return benchmark. This may or may not be because the CAPM is a poor model of equilibrium returns and some examples of varying explanations are given in Handley (2014). Harvey, Liu and Zhu (2015) report more than 300 variables have been found significant in explaining the cross section of realised returns. Possibly one or several of these variables might explain the divergence of realised returns from the CAPM. The question is do any of these variables determine equilibrium expected returns and that is a question that is unresolved.</w:t>
      </w:r>
    </w:p>
    <w:p w:rsidR="00CE01EE" w:rsidRDefault="00CE01EE" w:rsidP="00CE01EE">
      <w:pPr>
        <w:numPr>
          <w:ilvl w:val="0"/>
          <w:numId w:val="24"/>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w:t>
      </w:r>
      <w:r>
        <w:t xml:space="preserve">that our application of the Sharpe-Lintner </w:t>
      </w:r>
      <w:r w:rsidRPr="001562D4">
        <w:t>CAPM will undercompensate the benchmark efficient entity for it</w:t>
      </w:r>
      <w:r>
        <w:t>s</w:t>
      </w:r>
      <w:r w:rsidRPr="001562D4">
        <w:t xml:space="preserve"> efficient cost of equity. The benchmark firm is not average risk and its risk is not expected to change given its </w:t>
      </w:r>
      <w:r>
        <w:t xml:space="preserve">regulated </w:t>
      </w:r>
      <w:r w:rsidRPr="001562D4">
        <w:t xml:space="preserve">monopoly nature. 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Partington also observed Henry's result in advising that a Vasicek adjustment was not valid. He advised:</w:t>
      </w:r>
      <w:r>
        <w:rPr>
          <w:rStyle w:val="FootnoteReference"/>
        </w:rPr>
        <w:footnoteReference w:id="700"/>
      </w:r>
    </w:p>
    <w:p w:rsidR="00CE01EE" w:rsidRPr="00BD52D8" w:rsidRDefault="00CE01EE" w:rsidP="00CE01EE">
      <w:pPr>
        <w:pStyle w:val="AERquote"/>
      </w:pPr>
      <w:r w:rsidRPr="00BD52D8">
        <w:t>we note the work of Henry (2008), who finds no evidence that would support the use of the Vasicek model for Australian data.  The results of the Henry (2008) study:</w:t>
      </w:r>
    </w:p>
    <w:p w:rsidR="00CE01EE" w:rsidRPr="00BD52D8" w:rsidRDefault="00CE01EE" w:rsidP="00CE01EE">
      <w:pPr>
        <w:pStyle w:val="AERquoteindent2"/>
      </w:pPr>
      <w:r w:rsidRPr="00BD52D8">
        <w:t>“… suggest that there is little convincing evidence of regression to unity in this data. Therefore, it is difficult to justify the application of the Blume or Vasicek adjustments.” (p. 12)</w:t>
      </w:r>
    </w:p>
    <w:p w:rsidR="00CE01EE" w:rsidRDefault="00CE01EE" w:rsidP="00CE01EE">
      <w:r>
        <w:t>HoustonKemp responded that a</w:t>
      </w:r>
      <w:r w:rsidRPr="00ED2704">
        <w:t>n absence of mean reversion in betas will not guarantee that the use</w:t>
      </w:r>
      <w:r>
        <w:t xml:space="preserve"> </w:t>
      </w:r>
      <w:r w:rsidRPr="00ED2704">
        <w:t>of the S</w:t>
      </w:r>
      <w:r>
        <w:t>harpe-</w:t>
      </w:r>
      <w:r w:rsidRPr="00ED2704">
        <w:t>L</w:t>
      </w:r>
      <w:r>
        <w:t>intner</w:t>
      </w:r>
      <w:r w:rsidRPr="00ED2704">
        <w:t xml:space="preserve"> CAPM will generate estimates of the cost of equity capital for a benchmark efficient entity that are</w:t>
      </w:r>
      <w:r>
        <w:t xml:space="preserve"> </w:t>
      </w:r>
      <w:r w:rsidRPr="00ED2704">
        <w:t>not downwardly biased.</w:t>
      </w:r>
      <w:r>
        <w:rPr>
          <w:rStyle w:val="FootnoteReference"/>
        </w:rPr>
        <w:footnoteReference w:id="701"/>
      </w:r>
      <w:r>
        <w:t xml:space="preserve"> In response, Partington and Satchell clarified their statements on mean reversion in beta. They noted that the absence of mean reversion indicates that measurement error in empirical tests is unlikely to be a source of low beta bias.</w:t>
      </w:r>
      <w:r>
        <w:rPr>
          <w:rStyle w:val="FootnoteReference"/>
        </w:rPr>
        <w:footnoteReference w:id="702"/>
      </w:r>
    </w:p>
    <w:p w:rsidR="00CE01EE" w:rsidRPr="00B4711B" w:rsidRDefault="00CE01EE" w:rsidP="00CE01EE">
      <w:pPr>
        <w:pStyle w:val="Heading9"/>
      </w:pPr>
      <w:bookmarkStart w:id="122" w:name="_Ref449004981"/>
      <w:r>
        <w:t>Evidence from estimates of other models</w:t>
      </w:r>
      <w:bookmarkEnd w:id="122"/>
    </w:p>
    <w:p w:rsidR="00CE01EE" w:rsidRDefault="00CE01EE" w:rsidP="00CE01EE">
      <w:r>
        <w:t>Service providers</w:t>
      </w:r>
      <w:r w:rsidRPr="001562D4">
        <w:t xml:space="preserve"> </w:t>
      </w:r>
      <w:r>
        <w:t>submitted:</w:t>
      </w:r>
    </w:p>
    <w:p w:rsidR="00CE01EE" w:rsidRPr="00CE01EE" w:rsidRDefault="00CE01EE" w:rsidP="00CE01EE">
      <w:pPr>
        <w:pStyle w:val="AERbulletlistfirststyle"/>
      </w:pPr>
      <w:r>
        <w:t xml:space="preserve">the Black CAPM as evidence that the Sharpe-Lintner CAPM displays low beta bias (that is, </w:t>
      </w:r>
      <w:r w:rsidRPr="00CE01EE">
        <w:t>downward biased for stocks with a beta of less than one)</w:t>
      </w:r>
    </w:p>
    <w:p w:rsidR="00CE01EE" w:rsidRPr="00CE01EE" w:rsidRDefault="00CE01EE" w:rsidP="00CE01EE">
      <w:pPr>
        <w:pStyle w:val="AERbulletlistfirststyle"/>
      </w:pPr>
      <w:r>
        <w:t>the Fama-French model as evidence that the Sharpe-Lintner CAPM displays book-to-market bias</w:t>
      </w:r>
    </w:p>
    <w:p w:rsidR="00CE01EE" w:rsidRPr="00CE01EE" w:rsidRDefault="00CE01EE" w:rsidP="00CE01EE">
      <w:pPr>
        <w:pStyle w:val="AERbulletlistfirststyle"/>
      </w:pPr>
      <w:r>
        <w:t>the dividend growth model as evidence that the Sharpe-Lintner CAPM, as applied by the AER, is not reflective of prevailing market conditions.</w:t>
      </w:r>
    </w:p>
    <w:p w:rsidR="00CE01EE" w:rsidRDefault="00CE01EE" w:rsidP="00CE01EE">
      <w:pPr>
        <w:numPr>
          <w:ilvl w:val="0"/>
          <w:numId w:val="24"/>
        </w:numPr>
      </w:pPr>
      <w:r>
        <w:t>We note that the usefulness of the evidence provided from the Black CAPM, Fama-French model, and dividend growth model about possible bias in the Sharpe-Lintner CAPM is predominately in conjunction with empirical tests of these asset pricing models. That is, where multiple models are considered capable of providing appropriate estimates, tests of the relative performance of the models may be needed to determine if one model outperforms another. For example, empirical tests may be needed to determine if estimates from the Black CAPM (on their own) suggest downwards bias in the Sharpe-Lintner CAPM, or if they suggest upwards bias in the Black CAPM.</w:t>
      </w:r>
    </w:p>
    <w:p w:rsidR="00CE01EE" w:rsidRDefault="00CE01EE" w:rsidP="00CE01EE">
      <w:pPr>
        <w:numPr>
          <w:ilvl w:val="0"/>
          <w:numId w:val="24"/>
        </w:numPr>
      </w:pPr>
      <w:r>
        <w:t xml:space="preserve">Our assessment of the empirical tests of the asset pricing models is set out in section </w:t>
      </w:r>
      <w:r>
        <w:fldChar w:fldCharType="begin"/>
      </w:r>
      <w:r>
        <w:instrText xml:space="preserve"> REF _Ref449004969 \r \h </w:instrText>
      </w:r>
      <w:r>
        <w:fldChar w:fldCharType="separate"/>
      </w:r>
      <w:r w:rsidR="001A023B">
        <w:t>B.1.2</w:t>
      </w:r>
      <w:r>
        <w:fldChar w:fldCharType="end"/>
      </w:r>
      <w:r>
        <w:t>. Notwithstanding this assessment, we consider that there are significant limitations to the Black CAPM, Fama-French model, and dividend growth models. Given these limitations, we do not consider that these models provide compelling evidence that the Sharpe-Lintner CAPM, when used as our foundation mode</w:t>
      </w:r>
      <w:r w:rsidR="00536B64">
        <w:t>l in our foundation model appro</w:t>
      </w:r>
      <w:r>
        <w:t xml:space="preserve">ach, is downwardly biased. Our assessment of the Black CAPM, Fama-French model, and dividend growth model are contained in sections </w:t>
      </w:r>
      <w:r>
        <w:fldChar w:fldCharType="begin"/>
      </w:r>
      <w:r>
        <w:instrText xml:space="preserve"> REF _Ref449007419 \r \h </w:instrText>
      </w:r>
      <w:r>
        <w:fldChar w:fldCharType="separate"/>
      </w:r>
      <w:r w:rsidR="001A023B">
        <w:t>B.2</w:t>
      </w:r>
      <w:r>
        <w:fldChar w:fldCharType="end"/>
      </w:r>
      <w:r>
        <w:t xml:space="preserve">, </w:t>
      </w:r>
      <w:r>
        <w:fldChar w:fldCharType="begin"/>
      </w:r>
      <w:r>
        <w:instrText xml:space="preserve"> REF _Ref449007420 \r \h </w:instrText>
      </w:r>
      <w:r>
        <w:fldChar w:fldCharType="separate"/>
      </w:r>
      <w:r w:rsidR="001A023B">
        <w:t>B.3</w:t>
      </w:r>
      <w:r>
        <w:fldChar w:fldCharType="end"/>
      </w:r>
      <w:r>
        <w:t xml:space="preserve">, and </w:t>
      </w:r>
      <w:r>
        <w:fldChar w:fldCharType="begin"/>
      </w:r>
      <w:r>
        <w:instrText xml:space="preserve"> REF _Ref449007421 \r \h </w:instrText>
      </w:r>
      <w:r>
        <w:fldChar w:fldCharType="separate"/>
      </w:r>
      <w:r w:rsidR="001A023B">
        <w:t>B.4</w:t>
      </w:r>
      <w:r>
        <w:fldChar w:fldCharType="end"/>
      </w:r>
      <w:r>
        <w:t xml:space="preserve"> respectively.</w:t>
      </w:r>
    </w:p>
    <w:p w:rsidR="00CE01EE" w:rsidRDefault="00CE01EE" w:rsidP="00CE01EE">
      <w:pPr>
        <w:pStyle w:val="Heading8"/>
      </w:pPr>
      <w:bookmarkStart w:id="123" w:name="_Ref449007419"/>
      <w:bookmarkStart w:id="124" w:name="_Toc451945483"/>
      <w:r>
        <w:t>Black CAPM</w:t>
      </w:r>
      <w:bookmarkEnd w:id="123"/>
      <w:bookmarkEnd w:id="124"/>
    </w:p>
    <w:p w:rsidR="00CE01EE" w:rsidRPr="001562D4" w:rsidRDefault="00CE01EE" w:rsidP="00CE01EE">
      <w:r w:rsidRPr="001562D4">
        <w:t>Fischer Black developed a version of the CAPM with restricted borrowing</w:t>
      </w:r>
      <w:r>
        <w:t xml:space="preserve"> (the Black CAPM)</w:t>
      </w:r>
      <w:r w:rsidRPr="001562D4">
        <w:t>.</w:t>
      </w:r>
      <w:r w:rsidRPr="001562D4">
        <w:rPr>
          <w:rStyle w:val="FootnoteReference"/>
        </w:rPr>
        <w:footnoteReference w:id="703"/>
      </w:r>
      <w:r w:rsidRPr="001562D4">
        <w:t xml:space="preserve"> Black's model relaxes one of th</w:t>
      </w:r>
      <w:r>
        <w:t xml:space="preserve">e key assumptions of the Sharpe-Lintner 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one that only restricts borrowing at the risk free rate. However, while he relaxes the </w:t>
      </w:r>
      <w:r>
        <w:t xml:space="preserve">Sharpe-Lintner </w:t>
      </w:r>
      <w:r w:rsidRPr="001562D4">
        <w:t>CAPM assumption of unlimited borrowing and lending at the risk free rate, in its place he assumes investors can en</w:t>
      </w:r>
      <w:r>
        <w:t>gage in unlimited short selling.</w:t>
      </w:r>
      <w:r w:rsidRPr="001562D4">
        <w:rPr>
          <w:rStyle w:val="FootnoteReference"/>
        </w:rPr>
        <w:footnoteReference w:id="704"/>
      </w:r>
      <w:r w:rsidRPr="001562D4">
        <w:t xml:space="preserve"> </w:t>
      </w:r>
      <w:r>
        <w:t>Unlimited short selling does not hold in practice either</w:t>
      </w:r>
      <w:r w:rsidRPr="001562D4">
        <w:t>.</w:t>
      </w:r>
      <w:r>
        <w:rPr>
          <w:rStyle w:val="FootnoteReference"/>
        </w:rPr>
        <w:footnoteReference w:id="705"/>
      </w:r>
    </w:p>
    <w:p w:rsidR="00CE01EE" w:rsidRDefault="00CE01EE" w:rsidP="00CE01EE">
      <w:r w:rsidRPr="001562D4">
        <w:t xml:space="preserve">In the place of the risk free asset in the </w:t>
      </w:r>
      <w:r>
        <w:t xml:space="preserve">Sharpe-Lintner </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 xml:space="preserve">eta (as </w:t>
      </w:r>
      <w:r>
        <w:t xml:space="preserve">it is </w:t>
      </w:r>
      <w:r w:rsidRPr="001562D4">
        <w:t>in the S</w:t>
      </w:r>
      <w:r>
        <w:t>harpe-</w:t>
      </w:r>
      <w:r w:rsidRPr="001562D4">
        <w:t>L</w:t>
      </w:r>
      <w:r>
        <w:t xml:space="preserve">intner </w:t>
      </w:r>
      <w:r w:rsidRPr="001562D4">
        <w:t>CAPM)</w:t>
      </w:r>
      <w:r>
        <w:t>. Further, in</w:t>
      </w:r>
      <w:r w:rsidRPr="001562D4">
        <w:t xml:space="preserve"> the CAPM (security market line) equation</w:t>
      </w:r>
      <w:r>
        <w:t>,</w:t>
      </w:r>
      <w:r w:rsidRPr="001562D4">
        <w:t xml:space="preserve"> </w:t>
      </w:r>
      <w:r>
        <w:t xml:space="preserve">Black finds </w:t>
      </w:r>
      <w:r w:rsidRPr="001562D4">
        <w:t>the expected return on the zero beta p</w:t>
      </w:r>
      <w:r>
        <w:t xml:space="preserve">ortfolio replaces the </w:t>
      </w:r>
      <w:r w:rsidRPr="001562D4">
        <w:t>risk free asset.</w:t>
      </w:r>
      <w:r w:rsidRPr="001562D4">
        <w:rPr>
          <w:rStyle w:val="FootnoteReference"/>
        </w:rPr>
        <w:footnoteReference w:id="706"/>
      </w:r>
      <w:r>
        <w:t xml:space="preserve"> </w:t>
      </w:r>
      <w:r w:rsidRPr="001562D4" w:rsidDel="00BF79E1">
        <w:t xml:space="preserve">Relative to the </w:t>
      </w:r>
      <w:r w:rsidDel="00BF79E1">
        <w:t>S</w:t>
      </w:r>
      <w:r>
        <w:t>harpe-</w:t>
      </w:r>
      <w:r w:rsidDel="00BF79E1">
        <w:t>L</w:t>
      </w:r>
      <w:r>
        <w:t xml:space="preserve">intner </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beta expected return.</w:t>
      </w:r>
    </w:p>
    <w:p w:rsidR="00CE01EE" w:rsidRDefault="00CE01EE" w:rsidP="00CE01EE">
      <w:pPr>
        <w:numPr>
          <w:ilvl w:val="0"/>
          <w:numId w:val="24"/>
        </w:numPr>
      </w:pPr>
      <w:r>
        <w:t>We have reviewed the material submitted to us</w:t>
      </w:r>
      <w:r>
        <w:rPr>
          <w:rStyle w:val="FootnoteReference"/>
        </w:rPr>
        <w:footnoteReference w:id="707"/>
      </w:r>
      <w:r>
        <w:t xml:space="preserve"> on the Black CAPM and w</w:t>
      </w:r>
      <w:r w:rsidRPr="001562D4">
        <w:t>e do not consider</w:t>
      </w:r>
      <w:r>
        <w:t xml:space="preserve"> that estimating the Black CAPM</w:t>
      </w:r>
      <w:r w:rsidRPr="001562D4">
        <w:t xml:space="preserve"> will result in a </w:t>
      </w:r>
      <w:r>
        <w:t>return on equity</w:t>
      </w:r>
      <w:r w:rsidRPr="001562D4">
        <w:t xml:space="preserve"> </w:t>
      </w:r>
      <w:r>
        <w:t>commensurate with the efficient financing costs given the risk of ActewAGL's regulated services</w:t>
      </w:r>
      <w:r w:rsidRPr="001562D4">
        <w:t xml:space="preserve">. </w:t>
      </w:r>
      <w:r>
        <w:t xml:space="preserve">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708"/>
      </w:r>
      <w:r w:rsidRPr="002E1BC3">
        <w:rPr>
          <w:rStyle w:val="FootnoteReference"/>
        </w:rPr>
        <w:t xml:space="preserve"> </w:t>
      </w:r>
    </w:p>
    <w:p w:rsidR="00CE01EE" w:rsidRPr="001562D4" w:rsidDel="00BF79E1" w:rsidRDefault="00CE01EE" w:rsidP="00CE01EE">
      <w:r>
        <w:t>Therefore, our approach is to:</w:t>
      </w:r>
    </w:p>
    <w:p w:rsidR="00CE01EE" w:rsidRPr="00CE01EE" w:rsidRDefault="00CE01EE" w:rsidP="00CE01EE">
      <w:pPr>
        <w:pStyle w:val="AERbulletlistfirststyle"/>
      </w:pPr>
      <w:r>
        <w:t>use the</w:t>
      </w:r>
      <w:r w:rsidRPr="00CE01EE">
        <w:t xml:space="preserve"> theory behind the Black CAPM to inform the equity beta estimate in the Sharpe-Lintner CAPM.</w:t>
      </w:r>
    </w:p>
    <w:p w:rsidR="00CE01EE" w:rsidRPr="00CE01EE" w:rsidRDefault="00CE01EE" w:rsidP="00CE01EE">
      <w:pPr>
        <w:pStyle w:val="AERbulletlistfirststyle"/>
      </w:pPr>
      <w:r>
        <w:t>not use the</w:t>
      </w:r>
      <w:r w:rsidRPr="00CE01EE">
        <w:t xml:space="preserve"> Black CAPM to empirically estimate the return on equity for the benchmark efficient entity.</w:t>
      </w:r>
    </w:p>
    <w:p w:rsidR="00CE01EE" w:rsidRPr="001562D4" w:rsidRDefault="00CE01EE" w:rsidP="00CE01EE">
      <w:r>
        <w:t>Our use of the</w:t>
      </w:r>
      <w:r w:rsidRPr="006C4D93">
        <w:t xml:space="preserve"> Black CAPM </w:t>
      </w:r>
      <w:r>
        <w:t>is due to the following reasons:</w:t>
      </w:r>
    </w:p>
    <w:p w:rsidR="00CE01EE" w:rsidRPr="00CE01EE" w:rsidRDefault="00CE01EE" w:rsidP="00CE01EE">
      <w:pPr>
        <w:pStyle w:val="AERbulletlistfirststyle"/>
      </w:pPr>
      <w:r>
        <w:t>T</w:t>
      </w:r>
      <w:r w:rsidRPr="00CE01EE">
        <w:t>he empirical implementation of the Black CAPM is unreliable because, in contrast to the risk-free rate, the expected return on the zero beta asset is unobservable and there is no apparent consensus on methods for estimating this return. The lack of consensus on methodological choices is likely to increase the sensitivity of the model to such choices, reducing the reliability of the model and increasing the potential for bias.</w:t>
      </w:r>
    </w:p>
    <w:p w:rsidR="00CE01EE" w:rsidRPr="00CE01EE" w:rsidRDefault="00CE01EE" w:rsidP="00CE01EE">
      <w:pPr>
        <w:pStyle w:val="AERbulletlistfirststyle"/>
      </w:pPr>
      <w:r>
        <w:t>T</w:t>
      </w:r>
      <w:r w:rsidRPr="00CE01EE">
        <w:t>here is little evidence that other regulators, academics or market practitioners use the Black CAPM to estimate the return on equity.</w:t>
      </w:r>
      <w:r w:rsidRPr="00CE01EE">
        <w:rPr>
          <w:rStyle w:val="FootnoteReference"/>
        </w:rPr>
        <w:footnoteReference w:id="709"/>
      </w:r>
      <w:r w:rsidRPr="00CE01EE">
        <w:t xml:space="preserve"> In particular, regulators rarely have recourse to the Black CAPM.</w:t>
      </w:r>
      <w:r w:rsidRPr="00CE01EE">
        <w:rPr>
          <w:rStyle w:val="FootnoteReference"/>
        </w:rPr>
        <w:footnoteReference w:id="710"/>
      </w:r>
      <w:r w:rsidRPr="00CE01EE">
        <w:t xml:space="preserve"> This view was supported by Handley.</w:t>
      </w:r>
      <w:r w:rsidRPr="00CE01EE">
        <w:rPr>
          <w:rStyle w:val="FootnoteReference"/>
        </w:rPr>
        <w:footnoteReference w:id="711"/>
      </w:r>
    </w:p>
    <w:p w:rsidR="00CE01EE" w:rsidRPr="00CE01EE" w:rsidRDefault="00CE01EE" w:rsidP="00CE01EE">
      <w:pPr>
        <w:pStyle w:val="AERbulletlistfirststyle"/>
      </w:pPr>
      <w:r>
        <w:t>Implementation of the Black CAPM typically results in estimates of the</w:t>
      </w:r>
      <w:r w:rsidRPr="00CE01EE">
        <w:t xml:space="preserve"> zero beta return being less reflective of prevailing market conditions than risk free rate estimates.</w:t>
      </w:r>
      <w:r w:rsidRPr="00CE01EE">
        <w:rPr>
          <w:rStyle w:val="FootnoteReference"/>
        </w:rPr>
        <w:footnoteReference w:id="712"/>
      </w:r>
      <w:r w:rsidRPr="00CE01EE">
        <w:t xml:space="preserve"> </w:t>
      </w:r>
    </w:p>
    <w:p w:rsidR="00CE01EE" w:rsidRPr="00CE01EE" w:rsidRDefault="00CE01EE" w:rsidP="00CE01EE">
      <w:pPr>
        <w:pStyle w:val="AERbulletlistfirststyle"/>
      </w:pPr>
      <w:r>
        <w:t>U</w:t>
      </w:r>
      <w:r w:rsidRPr="00CE01EE">
        <w:t>sing a conservative estimate of beta in the Sharpe-Lintner CAPM can accommodate potential issues that arise from not estimating the Black CAPM.</w:t>
      </w:r>
      <w:r w:rsidRPr="00CE01EE">
        <w:rPr>
          <w:rStyle w:val="FootnoteReference"/>
        </w:rPr>
        <w:footnoteReference w:id="713"/>
      </w:r>
    </w:p>
    <w:p w:rsidR="00CE01EE" w:rsidRDefault="00CE01EE" w:rsidP="00CE01EE">
      <w:r>
        <w:t xml:space="preserve">We elaborate on our reasons for these positions in sections </w:t>
      </w:r>
      <w:r>
        <w:fldChar w:fldCharType="begin"/>
      </w:r>
      <w:r>
        <w:instrText xml:space="preserve"> REF _Ref448924784 \r \h </w:instrText>
      </w:r>
      <w:r>
        <w:fldChar w:fldCharType="separate"/>
      </w:r>
      <w:r w:rsidR="001A023B">
        <w:t>B.2.1</w:t>
      </w:r>
      <w:r>
        <w:fldChar w:fldCharType="end"/>
      </w:r>
      <w:r>
        <w:t xml:space="preserve"> to </w:t>
      </w:r>
      <w:r>
        <w:fldChar w:fldCharType="begin"/>
      </w:r>
      <w:r>
        <w:instrText xml:space="preserve"> REF _Ref448924785 \r \h </w:instrText>
      </w:r>
      <w:r>
        <w:fldChar w:fldCharType="separate"/>
      </w:r>
      <w:r w:rsidR="001A023B">
        <w:t>B.2.3</w:t>
      </w:r>
      <w:r>
        <w:fldChar w:fldCharType="end"/>
      </w:r>
      <w:r>
        <w:t xml:space="preserve"> below.</w:t>
      </w:r>
    </w:p>
    <w:p w:rsidR="00CE01EE" w:rsidRPr="001562D4" w:rsidRDefault="00CE01EE" w:rsidP="00CE01EE">
      <w:r>
        <w:t>Service providers proposed</w:t>
      </w:r>
      <w:r w:rsidRPr="001562D4">
        <w:t xml:space="preserve"> that empirical estimates from the Black CAPM should be used for e</w:t>
      </w:r>
      <w:r>
        <w:t>stimating the return on equity</w:t>
      </w:r>
      <w:r w:rsidRPr="001562D4">
        <w:t>.</w:t>
      </w:r>
      <w:r w:rsidRPr="001562D4">
        <w:rPr>
          <w:rStyle w:val="FootnoteReference"/>
        </w:rPr>
        <w:footnoteReference w:id="714"/>
      </w:r>
      <w:r>
        <w:t xml:space="preserve"> </w:t>
      </w:r>
      <w:r w:rsidRPr="001562D4">
        <w:t xml:space="preserve">In support of </w:t>
      </w:r>
      <w:r>
        <w:t>using</w:t>
      </w:r>
      <w:r w:rsidRPr="001562D4">
        <w:t xml:space="preserve"> empirical </w:t>
      </w:r>
      <w:r>
        <w:t>return on equity</w:t>
      </w:r>
      <w:r w:rsidRPr="001562D4">
        <w:t xml:space="preserve"> estimates from the Black CAPM,</w:t>
      </w:r>
      <w:r>
        <w:t xml:space="preserve"> service providers submitted that: </w:t>
      </w:r>
    </w:p>
    <w:p w:rsidR="00CE01EE" w:rsidRPr="00CE01EE" w:rsidRDefault="00CE01EE" w:rsidP="00CE01EE">
      <w:pPr>
        <w:pStyle w:val="AERbulletlistfirststyle"/>
      </w:pPr>
      <w:r>
        <w:t xml:space="preserve">Empirical evidence indicates that the 'SL-CAPM will lead to downwardly biased </w:t>
      </w:r>
      <w:r w:rsidRPr="00CE01EE">
        <w:t>estimates of the return on equity for low-beta stocks.</w:t>
      </w:r>
      <w:r w:rsidRPr="00CE01EE">
        <w:rPr>
          <w:rStyle w:val="FootnoteReference"/>
        </w:rPr>
        <w:footnoteReference w:id="715"/>
      </w:r>
    </w:p>
    <w:p w:rsidR="00CE01EE" w:rsidRPr="00CE01EE" w:rsidRDefault="00CE01EE" w:rsidP="00CE01EE">
      <w:pPr>
        <w:pStyle w:val="AERbulletlistfirststyle"/>
      </w:pPr>
      <w:r>
        <w:t>The AER cannot reject the use of the Black CAPM based on concerns with reliability without testing SFG's zero-beta premium or 'seeking a reliable estimate' of the premium</w:t>
      </w:r>
      <w:r w:rsidRPr="00CE01EE">
        <w:rPr>
          <w:rStyle w:val="FootnoteReference"/>
        </w:rPr>
        <w:footnoteReference w:id="716"/>
      </w:r>
    </w:p>
    <w:p w:rsidR="00CE01EE" w:rsidRPr="00CE01EE" w:rsidRDefault="00CE01EE" w:rsidP="00CE01EE">
      <w:pPr>
        <w:pStyle w:val="AERbulletlistfirststyle"/>
      </w:pPr>
      <w:r>
        <w:t>The AER's return on equity estimate is below those from other relevant return on equity models.</w:t>
      </w:r>
      <w:r w:rsidRPr="00CE01EE">
        <w:rPr>
          <w:rStyle w:val="FootnoteReference"/>
        </w:rPr>
        <w:footnoteReference w:id="717"/>
      </w:r>
    </w:p>
    <w:p w:rsidR="00CE01EE" w:rsidRPr="00CE01EE" w:rsidRDefault="00CE01EE" w:rsidP="00CE01EE">
      <w:pPr>
        <w:pStyle w:val="AERbulletlistfirststyle"/>
      </w:pPr>
      <w:r>
        <w:t>Consultant reports show that the Black CAPM is used in rate of return regulation cases.</w:t>
      </w:r>
      <w:r w:rsidRPr="00CE01EE">
        <w:rPr>
          <w:rStyle w:val="FootnoteReference"/>
        </w:rPr>
        <w:footnoteReference w:id="718"/>
      </w:r>
      <w:r w:rsidRPr="00CE01EE">
        <w:t xml:space="preserve"> </w:t>
      </w:r>
    </w:p>
    <w:p w:rsidR="00CE01EE" w:rsidRDefault="00CE01EE" w:rsidP="00CE01EE">
      <w:pPr>
        <w:numPr>
          <w:ilvl w:val="0"/>
          <w:numId w:val="24"/>
        </w:numPr>
      </w:pPr>
      <w:r>
        <w:t>Having considered these submissions, we do not find them compelling and we remain satisfied with our position in the Guideline and draft decision. We consider that</w:t>
      </w:r>
      <w:r w:rsidRPr="001562D4">
        <w:t xml:space="preserve"> the Black CAPM </w:t>
      </w:r>
      <w:r>
        <w:t xml:space="preserve">is </w:t>
      </w:r>
      <w:r w:rsidRPr="001562D4">
        <w:t>to</w:t>
      </w:r>
      <w:r>
        <w:t>o sensitive to</w:t>
      </w:r>
      <w:r w:rsidRPr="001562D4">
        <w:t xml:space="preserve"> implementation choices</w:t>
      </w:r>
      <w:r>
        <w:t xml:space="preserve"> for which there is no general consensus. This may also explain </w:t>
      </w:r>
      <w:r w:rsidRPr="001562D4">
        <w:t>its lack of use</w:t>
      </w:r>
      <w:r>
        <w:t xml:space="preserve">. </w:t>
      </w:r>
      <w:r w:rsidRPr="001562D4">
        <w:t xml:space="preserve">We do not consider </w:t>
      </w:r>
      <w:r>
        <w:t xml:space="preserve">that Black CAPM </w:t>
      </w:r>
      <w:r w:rsidRPr="001562D4">
        <w:t xml:space="preserve">estimates </w:t>
      </w:r>
      <w:r>
        <w:t>would</w:t>
      </w:r>
      <w:r w:rsidRPr="001562D4">
        <w:t xml:space="preserve"> </w:t>
      </w:r>
      <w:r>
        <w:t xml:space="preserve">contribute to a return on equity commensurate with efficient financing costs given ActewAGL's risk in providing regulated services. We elaborate on our response to these submissions in sections </w:t>
      </w:r>
      <w:r>
        <w:fldChar w:fldCharType="begin"/>
      </w:r>
      <w:r>
        <w:instrText xml:space="preserve"> REF _Ref448924784 \r \h </w:instrText>
      </w:r>
      <w:r>
        <w:fldChar w:fldCharType="separate"/>
      </w:r>
      <w:r w:rsidR="001A023B">
        <w:t>B.2.1</w:t>
      </w:r>
      <w:r>
        <w:fldChar w:fldCharType="end"/>
      </w:r>
      <w:r>
        <w:t xml:space="preserve"> to </w:t>
      </w:r>
      <w:r>
        <w:fldChar w:fldCharType="begin"/>
      </w:r>
      <w:r>
        <w:instrText xml:space="preserve"> REF _Ref448924785 \r \h </w:instrText>
      </w:r>
      <w:r>
        <w:fldChar w:fldCharType="separate"/>
      </w:r>
      <w:r w:rsidR="001A023B">
        <w:t>B.2.3</w:t>
      </w:r>
      <w:r>
        <w:fldChar w:fldCharType="end"/>
      </w:r>
      <w:r>
        <w:t xml:space="preserve"> below.</w:t>
      </w:r>
    </w:p>
    <w:p w:rsidR="00CE01EE" w:rsidRPr="00B4711B" w:rsidRDefault="00CE01EE" w:rsidP="00CE01EE">
      <w:pPr>
        <w:pStyle w:val="Heading9"/>
      </w:pPr>
      <w:bookmarkStart w:id="125" w:name="_Ref448924784"/>
      <w:r>
        <w:t>Empirical reliability of the Black CAPM</w:t>
      </w:r>
      <w:bookmarkEnd w:id="125"/>
    </w:p>
    <w:p w:rsidR="00CE01EE" w:rsidRDefault="00CE01EE" w:rsidP="00CE01EE">
      <w:r>
        <w:t>We consider that there appears no consensus on the methodological choices required to construct a zero-beta portfolio.</w:t>
      </w:r>
    </w:p>
    <w:p w:rsidR="00CE01EE" w:rsidRPr="007B60D8" w:rsidRDefault="00CE01EE" w:rsidP="00CE01EE">
      <w:pPr>
        <w:pStyle w:val="AERbulletlistfirststyle"/>
        <w:numPr>
          <w:ilvl w:val="0"/>
          <w:numId w:val="24"/>
        </w:numPr>
      </w:pPr>
      <w:r w:rsidRPr="001562D4">
        <w:t xml:space="preserve">McKenzie and Partington </w:t>
      </w:r>
      <w:r>
        <w:t>indicated that</w:t>
      </w:r>
      <w:r w:rsidRPr="001562D4">
        <w:t xml:space="preserve"> the Black CAPM</w:t>
      </w:r>
      <w:r w:rsidRPr="00DD27F8">
        <w:t xml:space="preserve"> </w:t>
      </w:r>
      <w:r w:rsidRPr="006C4D93">
        <w:t>can be very sensitive to implementation choices.</w:t>
      </w:r>
      <w:r w:rsidRPr="006C4D93">
        <w:rPr>
          <w:rStyle w:val="FootnoteReference"/>
        </w:rPr>
        <w:footnoteReference w:id="719"/>
      </w:r>
      <w:r>
        <w:t xml:space="preserve"> Partington and Satchell noted that, irrespective of the </w:t>
      </w:r>
      <w:r w:rsidRPr="00C61D42">
        <w:t>name and framework (the Black, Vasicek and Brennan versions of the CAPM), the major issue with zero beta CAPMs is determining the return of the zero beta portfolio.</w:t>
      </w:r>
      <w:r w:rsidRPr="00C61D42">
        <w:rPr>
          <w:rStyle w:val="FootnoteReference"/>
        </w:rPr>
        <w:footnoteReference w:id="720"/>
      </w:r>
      <w:r w:rsidRPr="00C61D42">
        <w:t xml:space="preserve"> They noted Beaulieu, Dufour and Khalaf's conclusion that the estimate of the zero beta return is unstable and unreliable over time.</w:t>
      </w:r>
      <w:r w:rsidRPr="00C61D42">
        <w:rPr>
          <w:rStyle w:val="FootnoteReference"/>
        </w:rPr>
        <w:footnoteReference w:id="721"/>
      </w:r>
      <w:r w:rsidRPr="00C61D42">
        <w:t xml:space="preserve"> </w:t>
      </w:r>
      <w:r w:rsidRPr="008F0849">
        <w:t xml:space="preserve">Partington recommended </w:t>
      </w:r>
      <w:r>
        <w:t>against</w:t>
      </w:r>
      <w:r w:rsidRPr="008F0849">
        <w:t xml:space="preserve"> using empirical </w:t>
      </w:r>
      <w:r w:rsidRPr="00C61D42">
        <w:t xml:space="preserve">estimates of the </w:t>
      </w:r>
      <w:r>
        <w:t>Fama French model</w:t>
      </w:r>
      <w:r w:rsidRPr="00C61D42">
        <w:t xml:space="preserve"> and Black CAPM in the Australian context because many of the issue are 'virtually intractable and estimates, such as those of the zero beta return are so problematic and unreliable as to render them virtually worthless'.</w:t>
      </w:r>
      <w:r w:rsidRPr="00C61D42">
        <w:rPr>
          <w:rStyle w:val="FootnoteReference"/>
        </w:rPr>
        <w:footnoteReference w:id="722"/>
      </w:r>
    </w:p>
    <w:p w:rsidR="00CE01EE" w:rsidRPr="001562D4" w:rsidRDefault="00CE01EE" w:rsidP="00CE01EE">
      <w:pPr>
        <w:numPr>
          <w:ilvl w:val="0"/>
          <w:numId w:val="24"/>
        </w:numPr>
      </w:pPr>
      <w:r w:rsidRPr="001562D4">
        <w:t xml:space="preserve">The instability of the Black CAPM </w:t>
      </w:r>
      <w:r>
        <w:t>is</w:t>
      </w:r>
      <w:r w:rsidRPr="001562D4">
        <w:t xml:space="preserve"> highlighted in</w:t>
      </w:r>
      <w:r>
        <w:t xml:space="preserve"> </w:t>
      </w:r>
      <w:r w:rsidRPr="001562D4">
        <w:t xml:space="preserve">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723"/>
      </w:r>
    </w:p>
    <w:p w:rsidR="00CE01EE" w:rsidRPr="00CE01EE" w:rsidRDefault="00CE01EE" w:rsidP="00CE01EE">
      <w:pPr>
        <w:pStyle w:val="AERbulletlistfirststyle"/>
      </w:pPr>
      <w:r w:rsidRPr="001562D4">
        <w:t xml:space="preserve">CEG (2008) reports zero beta </w:t>
      </w:r>
      <w:r w:rsidRPr="00CE01EE">
        <w:t>premium estimates between 7.21 and 10.31 per cent per annum.</w:t>
      </w:r>
    </w:p>
    <w:p w:rsidR="00CE01EE" w:rsidRPr="00CE01EE" w:rsidRDefault="00CE01EE" w:rsidP="00CE01EE">
      <w:pPr>
        <w:pStyle w:val="AERbulletlistfirststyle"/>
      </w:pPr>
      <w:r w:rsidRPr="001562D4">
        <w:t xml:space="preserve">NERA (2013) reports zero beta </w:t>
      </w:r>
      <w:r w:rsidRPr="00CE01EE">
        <w:t>premium estimates between 8.74 and 13.95 per cent per annum.</w:t>
      </w:r>
    </w:p>
    <w:p w:rsidR="00CE01EE" w:rsidRDefault="00CE01EE" w:rsidP="00CE01EE">
      <w:pPr>
        <w:numPr>
          <w:ilvl w:val="0"/>
          <w:numId w:val="24"/>
        </w:numPr>
      </w:pPr>
      <w:r w:rsidRPr="001562D4">
        <w:t>NERA also acknowledge</w:t>
      </w:r>
      <w:r>
        <w:t>d</w:t>
      </w:r>
      <w:r w:rsidRPr="001562D4">
        <w:t xml:space="preserve"> that</w:t>
      </w:r>
      <w:r>
        <w:t>:</w:t>
      </w:r>
      <w:r w:rsidRPr="001562D4">
        <w:rPr>
          <w:rStyle w:val="FootnoteReference"/>
        </w:rPr>
        <w:footnoteReference w:id="724"/>
      </w:r>
    </w:p>
    <w:p w:rsidR="00CE01EE" w:rsidRDefault="00CE01EE" w:rsidP="00CE01EE">
      <w:pPr>
        <w:pStyle w:val="AERquote"/>
      </w:pPr>
      <w:r w:rsidRPr="001562D4">
        <w:t>estimates of the zero-beta premium produced by studies that use long time series of Australian data are generally larger than estimates of the MRP that the AER has in the past used</w:t>
      </w:r>
      <w:r>
        <w:t>.</w:t>
      </w:r>
    </w:p>
    <w:p w:rsidR="00CE01EE" w:rsidRDefault="00CE01EE" w:rsidP="00CE01EE">
      <w:pPr>
        <w:numPr>
          <w:ilvl w:val="0"/>
          <w:numId w:val="24"/>
        </w:numPr>
      </w:pPr>
      <w:r>
        <w:t>NERA</w:t>
      </w:r>
      <w:r w:rsidRPr="001562D4">
        <w:t xml:space="preserve"> also acknowledge</w:t>
      </w:r>
      <w:r>
        <w:t>d</w:t>
      </w:r>
      <w:r w:rsidRPr="001562D4">
        <w:t xml:space="preserve"> the implausibility of the zero beta premium being equal to the </w:t>
      </w:r>
      <w:r>
        <w:t>market risk premium</w:t>
      </w:r>
      <w:r w:rsidRPr="001562D4">
        <w:t>. However, NERA claim</w:t>
      </w:r>
      <w:r>
        <w:t>ed</w:t>
      </w:r>
      <w:r w:rsidRPr="001562D4">
        <w:t xml:space="preserve"> the result simply reflects that there is no relationship between systematic risk and return.</w:t>
      </w:r>
      <w:r w:rsidRPr="001562D4">
        <w:rPr>
          <w:rStyle w:val="FootnoteReference"/>
        </w:rPr>
        <w:footnoteReference w:id="725"/>
      </w:r>
      <w:r>
        <w:t xml:space="preserve"> Similarly, SFG submitted that imprecise estimates of the zero beta premium arose from the imprecision in the relationship between beta and stock returns.</w:t>
      </w:r>
      <w:r>
        <w:rPr>
          <w:rStyle w:val="FootnoteReference"/>
        </w:rPr>
        <w:footnoteReference w:id="726"/>
      </w:r>
      <w:r>
        <w:t xml:space="preserve"> We do not find these submissions compelling. As stated by Handley, </w:t>
      </w:r>
      <w:r w:rsidRPr="001562D4">
        <w:t>NERA's results that the zero b</w:t>
      </w:r>
      <w:r w:rsidRPr="006C4D93">
        <w:t xml:space="preserve">eta premium equals the </w:t>
      </w:r>
      <w:r>
        <w:t>market risk premium</w:t>
      </w:r>
      <w:r w:rsidRPr="006C4D93">
        <w:t xml:space="preserve"> ha</w:t>
      </w:r>
      <w:r>
        <w:t>ve</w:t>
      </w:r>
      <w:r w:rsidRPr="006C4D93">
        <w:t xml:space="preserve"> an unsettling implication that, 'there is a minimum variance portfolio that has no exposure to the risk of the market but is still expected to yield the same return as the market portfolio.'</w:t>
      </w:r>
      <w:r w:rsidRPr="006C4D93">
        <w:rPr>
          <w:rStyle w:val="FootnoteReference"/>
        </w:rPr>
        <w:footnoteReference w:id="727"/>
      </w:r>
      <w:r>
        <w:t xml:space="preserve"> </w:t>
      </w:r>
      <w:r w:rsidRPr="001562D4">
        <w:t xml:space="preserve">We also question the validity of applying an asset pricing model that prices assets on the basis of </w:t>
      </w:r>
      <w:r>
        <w:t xml:space="preserve">equity </w:t>
      </w:r>
      <w:r w:rsidRPr="001562D4">
        <w:t>beta</w:t>
      </w:r>
      <w:r>
        <w:t xml:space="preserve">, in a situation where one does </w:t>
      </w:r>
      <w:r w:rsidRPr="001562D4">
        <w:t>not consider there is a relationship be</w:t>
      </w:r>
      <w:r>
        <w:t>tween equity beta and required return.</w:t>
      </w:r>
    </w:p>
    <w:p w:rsidR="00CE01EE" w:rsidRDefault="00CE01EE" w:rsidP="00CE01EE">
      <w:pPr>
        <w:pStyle w:val="AERbulletlistfirststyle"/>
        <w:numPr>
          <w:ilvl w:val="0"/>
          <w:numId w:val="24"/>
        </w:numPr>
      </w:pPr>
      <w:r>
        <w:t xml:space="preserve">Partington </w:t>
      </w:r>
      <w:r w:rsidRPr="00CA5AF6">
        <w:t xml:space="preserve">and Satchell also noted </w:t>
      </w:r>
      <w:r>
        <w:t xml:space="preserve">that </w:t>
      </w:r>
      <w:r w:rsidRPr="00CA5AF6">
        <w:t>Shanken has cautioned u</w:t>
      </w:r>
      <w:r>
        <w:t>sing the method by Litzenburger</w:t>
      </w:r>
      <w:r w:rsidRPr="00CA5AF6">
        <w:t xml:space="preserve"> and Ramaswamy and Shanken (used by NERA) to estimate the zero-beta premium because such procedures can lead to unreliable estimates.</w:t>
      </w:r>
      <w:r w:rsidRPr="00CA5AF6">
        <w:rPr>
          <w:rStyle w:val="FootnoteReference"/>
        </w:rPr>
        <w:footnoteReference w:id="728"/>
      </w:r>
      <w:r w:rsidRPr="00CA5AF6">
        <w:t xml:space="preserve"> </w:t>
      </w:r>
    </w:p>
    <w:p w:rsidR="00CE01EE" w:rsidRPr="00C854DA" w:rsidRDefault="00CE01EE" w:rsidP="00CE01EE">
      <w:pPr>
        <w:pStyle w:val="ListParagraph"/>
        <w:numPr>
          <w:ilvl w:val="0"/>
          <w:numId w:val="24"/>
        </w:numPr>
      </w:pPr>
      <w:r w:rsidRPr="00C854DA">
        <w:t xml:space="preserve">NERA’s 2012 submission further illustrates the unreliability of the Black CAPM. This presented estimates of a Black CAPM that implied a negative </w:t>
      </w:r>
      <w:r>
        <w:t>market risk premium</w:t>
      </w:r>
      <w:r w:rsidRPr="00C854DA">
        <w:t>.</w:t>
      </w:r>
      <w:r w:rsidRPr="00C854DA">
        <w:rPr>
          <w:rStyle w:val="FootnoteReference"/>
        </w:rPr>
        <w:footnoteReference w:id="729"/>
      </w:r>
    </w:p>
    <w:p w:rsidR="00CE01EE" w:rsidRPr="001562D4" w:rsidRDefault="00CE01EE" w:rsidP="00CE01EE">
      <w:pPr>
        <w:numPr>
          <w:ilvl w:val="0"/>
          <w:numId w:val="24"/>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730"/>
      </w:r>
      <w:r w:rsidRPr="001562D4">
        <w:t xml:space="preserve"> SFG estimate</w:t>
      </w:r>
      <w:r>
        <w:t xml:space="preserve">d an </w:t>
      </w:r>
      <w:r w:rsidRPr="001562D4">
        <w:t>estimate of the zero beta premium of 3.34</w:t>
      </w:r>
      <w:r>
        <w:t xml:space="preserve"> per cent per annum</w:t>
      </w:r>
      <w:r w:rsidRPr="001562D4">
        <w:t>.</w:t>
      </w:r>
      <w:r w:rsidRPr="001562D4">
        <w:rPr>
          <w:rStyle w:val="FootnoteReference"/>
        </w:rPr>
        <w:footnoteReference w:id="731"/>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732"/>
      </w:r>
    </w:p>
    <w:p w:rsidR="00CE01EE" w:rsidRPr="001562D4" w:rsidRDefault="00CE01EE" w:rsidP="00CE01EE">
      <w:pPr>
        <w:pStyle w:val="AERquote"/>
      </w:pPr>
      <w:r w:rsidRPr="001562D4">
        <w:t>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CE01EE" w:rsidRPr="001562D4" w:rsidRDefault="00CE01EE" w:rsidP="00CE01EE">
      <w:pPr>
        <w:numPr>
          <w:ilvl w:val="0"/>
          <w:numId w:val="24"/>
        </w:numPr>
      </w:pPr>
      <w:r>
        <w:t>W</w:t>
      </w:r>
      <w:r w:rsidRPr="001562D4">
        <w:t>e consider SFG's latest estimate of the zero beta</w:t>
      </w:r>
      <w:r>
        <w:t xml:space="preserve"> premium appears more plausible, as it is not negative and is below the market risk premium.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1562D4">
        <w:t>McKenzie and Partington also consider</w:t>
      </w:r>
      <w:r>
        <w:t>ed</w:t>
      </w:r>
      <w:r w:rsidRPr="001562D4">
        <w:t xml:space="preserve"> </w:t>
      </w:r>
      <w:r>
        <w:t xml:space="preserve">SFG's and </w:t>
      </w:r>
      <w:r w:rsidRPr="001562D4">
        <w:t>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733"/>
      </w:r>
    </w:p>
    <w:p w:rsidR="00CE01EE" w:rsidRDefault="00CE01EE" w:rsidP="00CE01EE">
      <w:pPr>
        <w:pStyle w:val="AERquote"/>
      </w:pPr>
      <w:r w:rsidRPr="001562D4">
        <w:t>Our point that ‘what you get depends very heavily on what you do’ is well illustrated by the SFG estimate of the zero beta premium, which is quite different to the NERA estimate</w:t>
      </w:r>
    </w:p>
    <w:p w:rsidR="00CE01EE" w:rsidRDefault="00CE01EE" w:rsidP="00CE01EE">
      <w:pPr>
        <w:rPr>
          <w:rStyle w:val="CommentReference"/>
        </w:rPr>
      </w:pPr>
      <w:r w:rsidRPr="005A1480">
        <w:t xml:space="preserve">SFG </w:t>
      </w:r>
      <w:r>
        <w:t>later characterised this logic as not placing reliance on a 'plausible' estimate simply because different approaches produced implausible estimates.</w:t>
      </w:r>
      <w:r>
        <w:rPr>
          <w:rStyle w:val="FootnoteReference"/>
        </w:rPr>
        <w:footnoteReference w:id="734"/>
      </w:r>
      <w:r>
        <w:t xml:space="preserve"> Having reviewed SFG's report, Partington advised:</w:t>
      </w:r>
      <w:r>
        <w:rPr>
          <w:rStyle w:val="FootnoteReference"/>
        </w:rPr>
        <w:footnoteReference w:id="735"/>
      </w:r>
    </w:p>
    <w:p w:rsidR="00CE01EE" w:rsidRPr="009A5577" w:rsidRDefault="00CE01EE" w:rsidP="00CE01EE">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providers consultants reports. This is an important point as McKenzie and Partington (2014) do not suggest that the Black model cannot be estimated. Indeed, the consultants reports clearly show that it can be done. What they do say however, is that it is unclear what those estimated represent</w:t>
      </w:r>
      <w:r>
        <w:t>.</w:t>
      </w:r>
    </w:p>
    <w:p w:rsidR="00CE01EE" w:rsidRPr="00127ECB" w:rsidRDefault="00CE01EE" w:rsidP="00CE01EE">
      <w:r>
        <w:t>We received a number of submissions from the service providers and their consultants on the Black CAPM for this decision. However, they largely surround issues previously considered in our Guideline and/or previous decisions.</w:t>
      </w:r>
      <w:r>
        <w:rPr>
          <w:rStyle w:val="FootnoteReference"/>
        </w:rPr>
        <w:footnoteReference w:id="736"/>
      </w:r>
      <w:r>
        <w:t xml:space="preserve"> We focus on key aspects of these submissions below. In response to our concern with the reliability</w:t>
      </w:r>
      <w:r w:rsidRPr="00127ECB">
        <w:t xml:space="preserve"> of the </w:t>
      </w:r>
      <w:r>
        <w:t>zero beta premium</w:t>
      </w:r>
      <w:r w:rsidRPr="00127ECB">
        <w:t xml:space="preserve">, </w:t>
      </w:r>
      <w:r>
        <w:t>service providers submitted that</w:t>
      </w:r>
      <w:r w:rsidRPr="00127ECB">
        <w:t xml:space="preserve"> the AER has not sought to test SFG’s proposed</w:t>
      </w:r>
      <w:r>
        <w:t xml:space="preserve"> </w:t>
      </w:r>
      <w:r w:rsidRPr="00127ECB">
        <w:t>zero-beta premium</w:t>
      </w:r>
      <w:r>
        <w:t xml:space="preserve"> and</w:t>
      </w:r>
      <w:r w:rsidRPr="00127ECB">
        <w:t xml:space="preserve"> </w:t>
      </w:r>
      <w:r>
        <w:t xml:space="preserve">instead </w:t>
      </w:r>
      <w:r w:rsidRPr="00127ECB">
        <w:t xml:space="preserve">dismissed </w:t>
      </w:r>
      <w:r>
        <w:t>this</w:t>
      </w:r>
      <w:r w:rsidRPr="00127ECB">
        <w:t xml:space="preserve"> estimate on the basis that there are other</w:t>
      </w:r>
      <w:r>
        <w:t xml:space="preserve"> </w:t>
      </w:r>
      <w:r w:rsidRPr="00127ECB">
        <w:t>differing estimates, some of which are ‘implausible</w:t>
      </w:r>
      <w:r>
        <w:t>'.</w:t>
      </w:r>
      <w:r>
        <w:rPr>
          <w:rStyle w:val="FootnoteReference"/>
        </w:rPr>
        <w:footnoteReference w:id="737"/>
      </w:r>
    </w:p>
    <w:p w:rsidR="00CE01EE" w:rsidRDefault="00CE01EE" w:rsidP="00CE01EE">
      <w:r>
        <w:t>Service providers considered that, g</w:t>
      </w:r>
      <w:r w:rsidRPr="00127ECB">
        <w:t xml:space="preserve">iven </w:t>
      </w:r>
      <w:r>
        <w:t>t</w:t>
      </w:r>
      <w:r w:rsidRPr="00127ECB">
        <w:t xml:space="preserve">he Black CAPM is a relevant model, a proper examination should be undertaken </w:t>
      </w:r>
      <w:r>
        <w:t>for</w:t>
      </w:r>
      <w:r w:rsidRPr="00127ECB">
        <w:t xml:space="preserve"> the</w:t>
      </w:r>
      <w:r>
        <w:t xml:space="preserve"> </w:t>
      </w:r>
      <w:r w:rsidRPr="00127ECB">
        <w:t>best estimate for the zero-beta premium and this value should be used</w:t>
      </w:r>
      <w:r>
        <w:t xml:space="preserve"> instead of </w:t>
      </w:r>
      <w:r w:rsidRPr="00127ECB">
        <w:t>effectively assum</w:t>
      </w:r>
      <w:r>
        <w:t xml:space="preserve">ing </w:t>
      </w:r>
      <w:r w:rsidRPr="00127ECB">
        <w:t>this to be ze</w:t>
      </w:r>
      <w:r>
        <w:t xml:space="preserve">ro (by relying solely on the Sharpe-Lintner </w:t>
      </w:r>
      <w:r w:rsidRPr="00127ECB">
        <w:t>CAPM to estimate the return on equity).</w:t>
      </w:r>
      <w:r>
        <w:rPr>
          <w:rStyle w:val="FootnoteReference"/>
        </w:rPr>
        <w:footnoteReference w:id="738"/>
      </w:r>
      <w:r w:rsidRPr="00127ECB">
        <w:t xml:space="preserve"> </w:t>
      </w:r>
    </w:p>
    <w:p w:rsidR="00CE01EE" w:rsidRDefault="00CE01EE" w:rsidP="00CE01EE">
      <w:pPr>
        <w:rPr>
          <w:rStyle w:val="AERbody"/>
        </w:rPr>
      </w:pPr>
      <w:r>
        <w:rPr>
          <w:rStyle w:val="AERbody"/>
        </w:rPr>
        <w:t>Partington and Satchell continue to note a range of issues (some of which are long-standing) with the Black CAPM in their latest report:</w:t>
      </w:r>
    </w:p>
    <w:p w:rsidR="00CE01EE" w:rsidRPr="00CE01EE" w:rsidRDefault="00CE01EE" w:rsidP="00CE01EE">
      <w:pPr>
        <w:pStyle w:val="AERbulletlistfirststyle"/>
      </w:pPr>
      <w:r>
        <w:t>Examinations of important academic research on the Black CAPM show that it is based on a number of unrealistic assumptions, such as unrestricted short-selling.</w:t>
      </w:r>
      <w:r w:rsidRPr="00CE01EE">
        <w:rPr>
          <w:rStyle w:val="FootnoteReference"/>
        </w:rPr>
        <w:footnoteReference w:id="739"/>
      </w:r>
      <w:r w:rsidRPr="00CE01EE">
        <w:t xml:space="preserve"> In particular, the 1971 Brennan paper indicates that the Black CAPM is unsuitable for regulatory use due to its assumption of two Markowitz portfolios as we cannot be certain what the properties of the market portfolio actually are. </w:t>
      </w:r>
    </w:p>
    <w:p w:rsidR="00CE01EE" w:rsidRPr="00CE01EE" w:rsidRDefault="00CE01EE" w:rsidP="00CE01EE">
      <w:pPr>
        <w:pStyle w:val="AERbulletlistfirststyle"/>
        <w:rPr>
          <w:rStyle w:val="AERbody"/>
        </w:rPr>
      </w:pPr>
      <w:r>
        <w:rPr>
          <w:rStyle w:val="AERbody"/>
        </w:rPr>
        <w:t>There are a range of issues with implementing the Black CAPM.</w:t>
      </w:r>
      <w:r w:rsidRPr="00CE01EE">
        <w:rPr>
          <w:rStyle w:val="FootnoteReference"/>
        </w:rPr>
        <w:footnoteReference w:id="740"/>
      </w:r>
      <w:r w:rsidRPr="00CE01EE">
        <w:rPr>
          <w:rStyle w:val="AERbody"/>
        </w:rPr>
        <w:t xml:space="preserve"> For example, the zero-beta premium is not observable and different methods and assumptions can lead to very different estimates of the zero-beta premium. In particular, the variability in zero-beta premiums is evident in SFG's estimate (10.75 per cent) and NERA's estimate (3.43 per cent).</w:t>
      </w:r>
    </w:p>
    <w:p w:rsidR="00CE01EE" w:rsidRPr="00CE01EE" w:rsidRDefault="00CE01EE" w:rsidP="00CE01EE">
      <w:pPr>
        <w:pStyle w:val="AERbulletlistfirststyle"/>
      </w:pPr>
      <w:r>
        <w:t>The zero beta premium estimates is not current nor observable and the standard errors of the estimates are substantial.</w:t>
      </w:r>
      <w:r w:rsidRPr="00CE01EE">
        <w:rPr>
          <w:rStyle w:val="FootnoteReference"/>
        </w:rPr>
        <w:footnoteReference w:id="741"/>
      </w:r>
    </w:p>
    <w:p w:rsidR="00CE01EE" w:rsidRDefault="00CE01EE" w:rsidP="00CE01EE">
      <w:r>
        <w:t>After reviewing the material submitted to us, we are satisfied that we do not need to estimate the Black CAPM.</w:t>
      </w:r>
    </w:p>
    <w:p w:rsidR="00CE01EE" w:rsidRDefault="00CE01EE" w:rsidP="00CE01EE">
      <w:r>
        <w:t>In response to Partington and Satchell's October 2015 advice, HoustonKemp submitted analysis</w:t>
      </w:r>
      <w:r w:rsidRPr="001B55CE">
        <w:t xml:space="preserve"> show</w:t>
      </w:r>
      <w:r>
        <w:t>ed</w:t>
      </w:r>
      <w:r w:rsidRPr="001B55CE">
        <w:t xml:space="preserve"> that none of the estimates are either extremely large and negative or extremely large and positive</w:t>
      </w:r>
      <w:r>
        <w:t>. HoustonKemp submitted that</w:t>
      </w:r>
      <w:r w:rsidRPr="001B55CE">
        <w:t xml:space="preserve"> the recursive estimates of the zero-beta premium have been relatively stable for the last 30 years and do not appear to be either problematic or unreliable.</w:t>
      </w:r>
      <w:r>
        <w:rPr>
          <w:rStyle w:val="FootnoteReference"/>
        </w:rPr>
        <w:footnoteReference w:id="742"/>
      </w:r>
      <w:r w:rsidRPr="001B55CE">
        <w:t xml:space="preserve"> </w:t>
      </w:r>
    </w:p>
    <w:p w:rsidR="00CE01EE" w:rsidRPr="001B6CF5" w:rsidRDefault="00CE01EE" w:rsidP="00CE01EE">
      <w:pPr>
        <w:rPr>
          <w:rStyle w:val="AERbody"/>
        </w:rPr>
      </w:pPr>
      <w:r w:rsidRPr="001B6CF5">
        <w:rPr>
          <w:rStyle w:val="AERbody"/>
        </w:rPr>
        <w:t>Based on a visu</w:t>
      </w:r>
      <w:r>
        <w:rPr>
          <w:rStyle w:val="AERbody"/>
        </w:rPr>
        <w:t xml:space="preserve">al interpretation of its </w:t>
      </w:r>
      <w:r w:rsidRPr="001B6CF5">
        <w:rPr>
          <w:rStyle w:val="AERbody"/>
        </w:rPr>
        <w:t>figure 4</w:t>
      </w:r>
      <w:r>
        <w:rPr>
          <w:rStyle w:val="AERbody"/>
        </w:rPr>
        <w:t xml:space="preserve"> in HoustonKemp's report</w:t>
      </w:r>
      <w:r w:rsidRPr="001B6CF5">
        <w:rPr>
          <w:rStyle w:val="AERbody"/>
        </w:rPr>
        <w:t>, more than half of the zero beta premium estimates are concentrated in the 5% bar. HoustonKemp's recursive estimate of the zero bet</w:t>
      </w:r>
      <w:r>
        <w:rPr>
          <w:rStyle w:val="AERbody"/>
        </w:rPr>
        <w:t>a premium (figure 5) indicates</w:t>
      </w:r>
      <w:r w:rsidRPr="001B6CF5">
        <w:rPr>
          <w:rStyle w:val="AERbody"/>
        </w:rPr>
        <w:t xml:space="preserve"> a value around 7–8% in 2014.  We consider that both charts indicate a large and positive premium, </w:t>
      </w:r>
      <w:r>
        <w:rPr>
          <w:rStyle w:val="AERbody"/>
        </w:rPr>
        <w:t>relative to our estimated range for the market risk premium</w:t>
      </w:r>
      <w:r w:rsidRPr="001B6CF5">
        <w:rPr>
          <w:rStyle w:val="AERbody"/>
        </w:rPr>
        <w:t>. Further, we note that the 95% confidence interval captures a range of approximately 4–13% which suggest</w:t>
      </w:r>
      <w:r>
        <w:rPr>
          <w:rStyle w:val="AERbody"/>
        </w:rPr>
        <w:t>s</w:t>
      </w:r>
      <w:r w:rsidRPr="001B6CF5">
        <w:rPr>
          <w:rStyle w:val="AERbody"/>
        </w:rPr>
        <w:t xml:space="preserve"> not insignificant uncertainty regarding the zero beta premium estimate. </w:t>
      </w:r>
    </w:p>
    <w:p w:rsidR="00CE01EE" w:rsidRDefault="00CE01EE" w:rsidP="00CE01EE">
      <w:r>
        <w:t xml:space="preserve">HoustonKemp made the following submissions on Beaulieu, Dufour and Khalaf's </w:t>
      </w:r>
      <w:r w:rsidRPr="00C61D42">
        <w:t>conclusion that the estimate of the zero beta return is unstable and unreliable over time</w:t>
      </w:r>
      <w:r>
        <w:t>:</w:t>
      </w:r>
      <w:r>
        <w:rPr>
          <w:rStyle w:val="FootnoteReference"/>
        </w:rPr>
        <w:footnoteReference w:id="743"/>
      </w:r>
    </w:p>
    <w:p w:rsidR="00CE01EE" w:rsidRDefault="00CE01EE" w:rsidP="00CE01EE">
      <w:pPr>
        <w:pStyle w:val="AERquote"/>
      </w:pPr>
      <w:r>
        <w:t>Beaulieu, Dufour and Khalaf's finding relates to unreliable zero-beta rate estimates</w:t>
      </w:r>
      <w:r w:rsidRPr="00A22A95">
        <w:t xml:space="preserve"> </w:t>
      </w:r>
      <w:r>
        <w:t>for assets with true betas that are close to one. HoustonKemp has used data from the largest stocks</w:t>
      </w:r>
      <w:r>
        <w:rPr>
          <w:rStyle w:val="FootnoteReference"/>
        </w:rPr>
        <w:footnoteReference w:id="744"/>
      </w:r>
      <w:r w:rsidRPr="001B55CE">
        <w:t xml:space="preserve"> </w:t>
      </w:r>
      <w:r>
        <w:t xml:space="preserve">to </w:t>
      </w:r>
      <w:r w:rsidRPr="001B55CE">
        <w:t xml:space="preserve">compute </w:t>
      </w:r>
      <w:r>
        <w:t>its</w:t>
      </w:r>
      <w:r w:rsidRPr="001B55CE">
        <w:t xml:space="preserve"> zero-beta premium</w:t>
      </w:r>
      <w:r>
        <w:t xml:space="preserve"> </w:t>
      </w:r>
      <w:r w:rsidRPr="001B55CE">
        <w:t>and it</w:t>
      </w:r>
      <w:r>
        <w:t xml:space="preserve"> </w:t>
      </w:r>
      <w:r w:rsidRPr="001B55CE">
        <w:t>is unlikely that all of these stocks have true betas that are close to one.</w:t>
      </w:r>
      <w:r>
        <w:t xml:space="preserve"> </w:t>
      </w:r>
    </w:p>
    <w:p w:rsidR="00CE01EE" w:rsidRDefault="00CE01EE" w:rsidP="00CE01EE">
      <w:pPr>
        <w:rPr>
          <w:rStyle w:val="AERbody"/>
        </w:rPr>
      </w:pPr>
      <w:r>
        <w:rPr>
          <w:rStyle w:val="AERbody"/>
        </w:rPr>
        <w:t>Partington and Satchell noted that the estimation problems set out in Beaulieu, Dufour and Khalaf remain relevant even for assets with estimated betas not close to one. Partington and Satchell stated:</w:t>
      </w:r>
      <w:r>
        <w:rPr>
          <w:rStyle w:val="FootnoteReference"/>
        </w:rPr>
        <w:footnoteReference w:id="745"/>
      </w:r>
    </w:p>
    <w:p w:rsidR="00855643" w:rsidRPr="00855643" w:rsidRDefault="00855643" w:rsidP="00855643">
      <w:pPr>
        <w:pStyle w:val="AERquote"/>
      </w:pPr>
      <w:r w:rsidRPr="00855643">
        <w:t>Beaulieu, Dufour and Khalaf (2012) states that] even if estimated betas are not close to one, irregularities associated with WI [weak identification] are not at all precluded [in view of (1) and (2) above]…</w:t>
      </w:r>
    </w:p>
    <w:p w:rsidR="00855643" w:rsidRPr="00855643" w:rsidRDefault="00855643" w:rsidP="00855643">
      <w:pPr>
        <w:pStyle w:val="AERquote"/>
      </w:pPr>
      <w:r w:rsidRPr="00855643">
        <w:t xml:space="preserve"> [Their statement states that] even if the estimated betas are not close to one, this is not a sufficient condition to preclude problems of estimation and inference.</w:t>
      </w:r>
    </w:p>
    <w:p w:rsidR="00CE01EE" w:rsidRPr="003E007E" w:rsidRDefault="00855643" w:rsidP="00CE01EE">
      <w:pPr>
        <w:pStyle w:val="AERquote"/>
      </w:pPr>
      <w:r w:rsidRPr="00855643">
        <w:t>The implicit argument [by HoustonKemp] is that any instability in estimates of the zero beta return is due to variation in the risk free rate. Thus eliminating the risk free rate fixes the stability problems in the zero beta rate by transforming it to a zero beta premium. This is a dubious proposition, which we find completely unconvincing.</w:t>
      </w:r>
    </w:p>
    <w:p w:rsidR="00CE01EE" w:rsidRDefault="00CE01EE" w:rsidP="00CE01EE">
      <w:r>
        <w:t>HoustonKemp submitted that Partington and Satchell's finding of Kan, Robotti and Shanken's</w:t>
      </w:r>
      <w:r w:rsidRPr="00AB73B1">
        <w:t xml:space="preserve"> </w:t>
      </w:r>
      <w:r>
        <w:t>zero-beta estimate being implausibly high ignores the fact that there is no sign the authors consider their estimate</w:t>
      </w:r>
      <w:r w:rsidRPr="00AB73B1">
        <w:t xml:space="preserve"> unreliable</w:t>
      </w:r>
      <w:r>
        <w:t>.</w:t>
      </w:r>
      <w:r w:rsidRPr="00BC4BBC">
        <w:rPr>
          <w:rStyle w:val="FootnoteReference"/>
        </w:rPr>
        <w:t xml:space="preserve"> </w:t>
      </w:r>
      <w:r>
        <w:rPr>
          <w:rStyle w:val="FootnoteReference"/>
        </w:rPr>
        <w:footnoteReference w:id="746"/>
      </w:r>
    </w:p>
    <w:p w:rsidR="00CE01EE" w:rsidRDefault="00CE01EE" w:rsidP="00CE01EE">
      <w:r w:rsidRPr="00024F5D">
        <w:rPr>
          <w:rStyle w:val="AERbody"/>
        </w:rPr>
        <w:t xml:space="preserve">We note Partington previous </w:t>
      </w:r>
      <w:r>
        <w:rPr>
          <w:rStyle w:val="AERbody"/>
        </w:rPr>
        <w:t xml:space="preserve">and latest </w:t>
      </w:r>
      <w:r w:rsidRPr="00024F5D">
        <w:rPr>
          <w:rStyle w:val="AERbody"/>
        </w:rPr>
        <w:t>advice regarding issues with implementing the Black CAPM, including the unreliable nature of (and wide range for) the zero beta estimate.</w:t>
      </w:r>
      <w:r w:rsidRPr="009A482A">
        <w:rPr>
          <w:rStyle w:val="FootnoteReference"/>
        </w:rPr>
        <w:footnoteReference w:id="747"/>
      </w:r>
      <w:r w:rsidRPr="00024F5D">
        <w:rPr>
          <w:rStyle w:val="AERbody"/>
        </w:rPr>
        <w:t xml:space="preserve"> We also consider </w:t>
      </w:r>
      <w:r>
        <w:rPr>
          <w:rStyle w:val="AERbody"/>
        </w:rPr>
        <w:t xml:space="preserve">that </w:t>
      </w:r>
      <w:r>
        <w:t>Kan, Robotti and Shanken</w:t>
      </w:r>
      <w:r>
        <w:rPr>
          <w:rStyle w:val="AERbody"/>
        </w:rPr>
        <w:t xml:space="preserve">'s </w:t>
      </w:r>
      <w:r w:rsidRPr="00024F5D">
        <w:rPr>
          <w:rStyle w:val="AERbody"/>
        </w:rPr>
        <w:t>caution reinforces our view that the model is not empirically reliable.</w:t>
      </w:r>
      <w:r w:rsidRPr="00FE6A89">
        <w:rPr>
          <w:rStyle w:val="FootnoteReference"/>
        </w:rPr>
        <w:footnoteReference w:id="748"/>
      </w:r>
      <w:r w:rsidRPr="00024F5D">
        <w:rPr>
          <w:rStyle w:val="AERbody"/>
        </w:rPr>
        <w:t xml:space="preserve"> </w:t>
      </w:r>
      <w:r w:rsidRPr="00FE35A8">
        <w:t xml:space="preserve"> </w:t>
      </w:r>
      <w:r>
        <w:t>Partington and Satchell advise that the Black CAPM is based on a number of unrealistic assumptions and can lead to a wide range (and unreliable) estimates depending on the method used.</w:t>
      </w:r>
      <w:r>
        <w:rPr>
          <w:rStyle w:val="FootnoteReference"/>
        </w:rPr>
        <w:footnoteReference w:id="749"/>
      </w:r>
    </w:p>
    <w:p w:rsidR="00CE01EE" w:rsidRPr="00890E90" w:rsidRDefault="00CE01EE" w:rsidP="00CE01EE">
      <w:r>
        <w:t>HoustonKemp submitted in respect of the asset pricing tests in Lewellen, Nagel and Shanken:</w:t>
      </w:r>
      <w:r w:rsidRPr="00890E90">
        <w:rPr>
          <w:rStyle w:val="FootnoteReference"/>
        </w:rPr>
        <w:footnoteReference w:id="750"/>
      </w:r>
      <w:r w:rsidRPr="00890E90">
        <w:t xml:space="preserve">  </w:t>
      </w:r>
    </w:p>
    <w:p w:rsidR="00CE01EE" w:rsidRPr="00CE01EE" w:rsidRDefault="00CE01EE" w:rsidP="00CE01EE">
      <w:pPr>
        <w:pStyle w:val="AERbulletlistfirststyle"/>
      </w:pPr>
      <w:r>
        <w:t>Lewellen, Nagel and Shanken</w:t>
      </w:r>
      <w:r w:rsidRPr="00CE01EE">
        <w:t xml:space="preserve"> find that there is little relation between mean return and beta, and that estimates of the zero-beta premium are large and both economically and statistically significant.</w:t>
      </w:r>
    </w:p>
    <w:p w:rsidR="00CE01EE" w:rsidRPr="00CE01EE" w:rsidRDefault="00CE01EE" w:rsidP="00CE01EE">
      <w:pPr>
        <w:pStyle w:val="AERbulletlistfirststyle"/>
      </w:pPr>
      <w:r w:rsidRPr="00065C01">
        <w:t>Lewellen, Nagel and Shanken find</w:t>
      </w:r>
      <w:r w:rsidRPr="00CE01EE">
        <w:t xml:space="preserve"> statistically significant evidence that the Sharpe-Lintner CAPM will deliver downwardly biased estimates of the returns required on low-beta portfolios of stocks.</w:t>
      </w:r>
    </w:p>
    <w:p w:rsidR="00CE01EE" w:rsidRPr="009A482A" w:rsidRDefault="00CE01EE" w:rsidP="00CE01EE">
      <w:pPr>
        <w:rPr>
          <w:rStyle w:val="AERbody"/>
        </w:rPr>
      </w:pPr>
      <w:r w:rsidRPr="009A482A">
        <w:rPr>
          <w:rStyle w:val="AERbody"/>
        </w:rPr>
        <w:t>However, Partington and Satchell cautioned use of results from asset pricing tests:</w:t>
      </w:r>
      <w:r w:rsidRPr="009A482A">
        <w:rPr>
          <w:rStyle w:val="FootnoteReference"/>
        </w:rPr>
        <w:footnoteReference w:id="751"/>
      </w:r>
    </w:p>
    <w:p w:rsidR="00CE01EE" w:rsidRDefault="00CE01EE" w:rsidP="00CE01EE">
      <w:pPr>
        <w:pStyle w:val="AERquote"/>
      </w:pPr>
      <w:r>
        <w:t xml:space="preserve">we have also pointed out (see for example, Partington and Satchell 2015a and 2015b) that there is well regarded </w:t>
      </w:r>
      <w:r w:rsidRPr="001B191B">
        <w:t>research which shows that there are substantial methodological and statistical problems associated with asset pricing tests, for example, that results depend on how the portfolios used in the tests are formed.</w:t>
      </w:r>
      <w:r>
        <w:t xml:space="preserve"> </w:t>
      </w:r>
    </w:p>
    <w:p w:rsidR="00CE01EE" w:rsidRDefault="00CE01EE" w:rsidP="00CE01EE">
      <w:pPr>
        <w:pStyle w:val="AERquote"/>
        <w:rPr>
          <w:rStyle w:val="AERtexthighlight"/>
        </w:rPr>
      </w:pPr>
      <w:r w:rsidRPr="001B191B">
        <w:t>These papers also illustrate that the tide of academic opinion is divided about the evidence from realised returns, both for and against the CAPM. In short there is ongoing debate about how asset pricing tests should be conducted, what test statistics are appropriate, and what such tests actually mean.</w:t>
      </w:r>
    </w:p>
    <w:p w:rsidR="00CE01EE" w:rsidRPr="00B4711B" w:rsidRDefault="00CE01EE" w:rsidP="00CE01EE">
      <w:pPr>
        <w:pStyle w:val="Heading9"/>
      </w:pPr>
      <w:bookmarkStart w:id="126" w:name="_Ref449010288"/>
      <w:r>
        <w:t>Low beta bias may not reflect ex ante priced risk</w:t>
      </w:r>
      <w:bookmarkEnd w:id="126"/>
    </w:p>
    <w:p w:rsidR="00CE01EE" w:rsidRDefault="00CE01EE" w:rsidP="00CE01EE">
      <w:r>
        <w:t>Service providers submitted that the Sharpe-Lintner CAPM underestimates the return on equity for businesses with an equity beta less than one ('low beta bias'). Service providers submitted that low beta bias is evidenced by the return on equity estimates from Black CAPM and the empirical performance of the Sharpe-Lintner CAPM using ex post data.</w:t>
      </w:r>
      <w:r>
        <w:rPr>
          <w:rStyle w:val="FootnoteReference"/>
        </w:rPr>
        <w:footnoteReference w:id="752"/>
      </w:r>
    </w:p>
    <w:p w:rsidR="00CE01EE" w:rsidRDefault="00CE01EE" w:rsidP="00CE01EE">
      <w:r>
        <w:t xml:space="preserve">The empirical performance of the Sharpe-Lintner CAPM using ex post data is discussed in detail in section </w:t>
      </w:r>
      <w:r>
        <w:fldChar w:fldCharType="begin"/>
      </w:r>
      <w:r>
        <w:instrText xml:space="preserve"> REF _Ref449004969 \r \h </w:instrText>
      </w:r>
      <w:r>
        <w:fldChar w:fldCharType="separate"/>
      </w:r>
      <w:r w:rsidR="001A023B">
        <w:t>B.1.2</w:t>
      </w:r>
      <w:r>
        <w:fldChar w:fldCharType="end"/>
      </w:r>
      <w:r>
        <w:t>. We acknowledge tha</w:t>
      </w:r>
      <w:r w:rsidR="00536B64">
        <w:t>t</w:t>
      </w:r>
      <w:r>
        <w:t xml:space="preserve"> the Sharpe-Lintner CAPM tests poorly using ex post returns data, and appears to underestimate the ex post returns for businesses with an equity beta less than one. However, we do not consider that this result is evidence that the set of assumptions underpinning the Black CAPM are more realistic than those underpinning the Sharpe-Lintner CAPM.</w:t>
      </w:r>
    </w:p>
    <w:p w:rsidR="00CE01EE" w:rsidRPr="006C4D93" w:rsidRDefault="00CE01EE" w:rsidP="00CE01EE">
      <w:r>
        <w:t>Handley stated that 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753"/>
      </w:r>
      <w:r w:rsidRPr="00FB2D22">
        <w:t xml:space="preserve"> </w:t>
      </w:r>
      <w:r>
        <w:t>I</w:t>
      </w:r>
      <w:r w:rsidRPr="006C4D93">
        <w:t>t is unclear that low beta bias is a priced risk not already captured by the S</w:t>
      </w:r>
      <w:r>
        <w:t>harpe-</w:t>
      </w:r>
      <w:r w:rsidRPr="006C4D93">
        <w:t>L</w:t>
      </w:r>
      <w:r>
        <w:t xml:space="preserve">intner </w:t>
      </w:r>
      <w:r w:rsidRPr="006C4D93">
        <w:t>CAPM.</w:t>
      </w:r>
      <w:r w:rsidRPr="006C4D93">
        <w:rPr>
          <w:rStyle w:val="FootnoteReference"/>
        </w:rPr>
        <w:footnoteReference w:id="754"/>
      </w:r>
      <w:r>
        <w:t xml:space="preserve"> Handley later reiterated that </w:t>
      </w:r>
      <w:r w:rsidRPr="00725202">
        <w:t>our understanding of the low beta bias is still far</w:t>
      </w:r>
      <w:r>
        <w:t xml:space="preserve"> </w:t>
      </w:r>
      <w:r w:rsidRPr="00725202">
        <w:t>from clear.</w:t>
      </w:r>
      <w:r>
        <w:rPr>
          <w:rStyle w:val="FootnoteReference"/>
        </w:rPr>
        <w:footnoteReference w:id="755"/>
      </w:r>
    </w:p>
    <w:p w:rsidR="00CE01EE" w:rsidRDefault="00CE01EE" w:rsidP="00CE01EE">
      <w:r w:rsidRPr="001562D4">
        <w:t xml:space="preserve">McKenzie and Partington </w:t>
      </w:r>
      <w:r>
        <w:t>indicated that</w:t>
      </w:r>
      <w:r w:rsidRPr="001562D4">
        <w:t xml:space="preserve"> the Black CAPM</w:t>
      </w:r>
      <w:r w:rsidRPr="00DD27F8">
        <w:t xml:space="preserve"> </w:t>
      </w:r>
      <w:r w:rsidRPr="006C4D93">
        <w:t>is not based on more realistic assumptions than the S</w:t>
      </w:r>
      <w:r>
        <w:t xml:space="preserve">harpe-Lintner </w:t>
      </w:r>
      <w:r w:rsidRPr="006C4D93">
        <w:t xml:space="preserve">CAPM. </w:t>
      </w:r>
      <w:r>
        <w:t>In fact, Partington and Satchell show that the Black CAPM is based on a number of unrealistic assumptions, such as unrestricted short-selling.</w:t>
      </w:r>
      <w:r>
        <w:rPr>
          <w:rStyle w:val="FootnoteReference"/>
        </w:rPr>
        <w:footnoteReference w:id="756"/>
      </w:r>
    </w:p>
    <w:p w:rsidR="00CE01EE" w:rsidRDefault="00CE01EE" w:rsidP="00CE01EE">
      <w:r w:rsidRPr="006C4D93">
        <w:t>The Black CAPM cannot be directly compared to the S</w:t>
      </w:r>
      <w:r>
        <w:t>harpe-</w:t>
      </w:r>
      <w:r w:rsidRPr="006C4D93">
        <w:t>L</w:t>
      </w:r>
      <w:r>
        <w:t xml:space="preserve">intner </w:t>
      </w:r>
      <w:r w:rsidRPr="006C4D93">
        <w:t>CAPM as they each involve very different investment strategies.</w:t>
      </w:r>
      <w:r w:rsidRPr="006C4D93">
        <w:rPr>
          <w:rStyle w:val="FootnoteReference"/>
        </w:rPr>
        <w:footnoteReference w:id="757"/>
      </w:r>
      <w:r>
        <w:t xml:space="preserve"> As such, any attempt to compare the two models must be done with great care.</w:t>
      </w:r>
      <w:r>
        <w:rPr>
          <w:rStyle w:val="FootnoteReference"/>
        </w:rPr>
        <w:footnoteReference w:id="758"/>
      </w:r>
    </w:p>
    <w:p w:rsidR="00CE01EE" w:rsidRPr="001B6CF5" w:rsidRDefault="00CE01EE" w:rsidP="00CE01EE">
      <w:r>
        <w:t xml:space="preserve">Partington and Satchell noted that 'low beta bias' represents </w:t>
      </w:r>
      <w:r w:rsidRPr="001B6CF5">
        <w:t xml:space="preserve">a tendency for low beta stocks to overperform and high beta stocks to underperform relative to the CAPM. </w:t>
      </w:r>
      <w:r>
        <w:t>Partington and Satchell noted that o</w:t>
      </w:r>
      <w:r w:rsidRPr="001B6CF5">
        <w:t xml:space="preserve">ne possible interpretation is </w:t>
      </w:r>
      <w:r>
        <w:t xml:space="preserve">not necessarily that the </w:t>
      </w:r>
      <w:r w:rsidRPr="001B6CF5">
        <w:t>Sharpe–Lintner CAPM gives a downward biased estimated</w:t>
      </w:r>
      <w:r>
        <w:t xml:space="preserve"> of required returns </w:t>
      </w:r>
      <w:r w:rsidRPr="001B6CF5">
        <w:t>but that low b</w:t>
      </w:r>
      <w:r>
        <w:t>eta stocks have positive 'alphas'</w:t>
      </w:r>
      <w:r w:rsidRPr="001B6CF5">
        <w:t>.</w:t>
      </w:r>
      <w:r w:rsidRPr="001B6CF5">
        <w:rPr>
          <w:rStyle w:val="FootnoteReference"/>
        </w:rPr>
        <w:footnoteReference w:id="759"/>
      </w:r>
      <w:r>
        <w:t xml:space="preserve"> We note that a myriad factors can contribute to the under and over performance of a stock.</w:t>
      </w:r>
      <w:r w:rsidRPr="001B6CF5">
        <w:t xml:space="preserve"> </w:t>
      </w:r>
      <w:r>
        <w:t xml:space="preserve">Partington and Satchell noted that the question of whether </w:t>
      </w:r>
      <w:r w:rsidRPr="001B6CF5">
        <w:t>any of these variables determine equilibrium expected returns</w:t>
      </w:r>
      <w:r>
        <w:t xml:space="preserve"> </w:t>
      </w:r>
      <w:r w:rsidRPr="001B6CF5">
        <w:t xml:space="preserve">is </w:t>
      </w:r>
      <w:r>
        <w:t xml:space="preserve">currently </w:t>
      </w:r>
      <w:r w:rsidRPr="001B6CF5">
        <w:t>unresolved.</w:t>
      </w:r>
      <w:r w:rsidRPr="001B6CF5">
        <w:rPr>
          <w:rStyle w:val="FootnoteReference"/>
        </w:rPr>
        <w:footnoteReference w:id="760"/>
      </w:r>
      <w:r w:rsidRPr="001B6CF5">
        <w:t xml:space="preserve"> </w:t>
      </w:r>
    </w:p>
    <w:p w:rsidR="00CE01EE" w:rsidRPr="00B4711B" w:rsidRDefault="00CE01EE" w:rsidP="00CE01EE">
      <w:pPr>
        <w:pStyle w:val="Heading9"/>
      </w:pPr>
      <w:bookmarkStart w:id="127" w:name="_Ref448924785"/>
      <w:r>
        <w:t>AER's role for the theory of the Black CAPM</w:t>
      </w:r>
      <w:bookmarkEnd w:id="127"/>
    </w:p>
    <w:p w:rsidR="00CE01EE" w:rsidRDefault="00CE01EE" w:rsidP="00CE01EE">
      <w:pPr>
        <w:numPr>
          <w:ilvl w:val="0"/>
          <w:numId w:val="24"/>
        </w:numPr>
      </w:pPr>
      <w:r>
        <w:t>We consider that the Black CAPM cannot be reliably estimated and we should not place weight on return on equity estimates from the model. However, we consider the theoretical underpinnings of the model remain a relevant consideration.</w:t>
      </w:r>
    </w:p>
    <w:p w:rsidR="00CE01EE" w:rsidRDefault="00CE01EE" w:rsidP="00CE01EE">
      <w:pPr>
        <w:numPr>
          <w:ilvl w:val="0"/>
          <w:numId w:val="24"/>
        </w:numPr>
      </w:pPr>
      <w:r>
        <w:t>T</w:t>
      </w:r>
      <w:r w:rsidRPr="00A71CB9">
        <w:t xml:space="preserve">he </w:t>
      </w:r>
      <w:r w:rsidRPr="00C61D42">
        <w:t>theoretical principles underpinning the Black CAPM demonstrate that market imperfections could cause the true (unobservable) expected return on equity to vary from the S</w:t>
      </w:r>
      <w:r>
        <w:t>harpe-</w:t>
      </w:r>
      <w:r w:rsidRPr="00C61D42">
        <w:t>L</w:t>
      </w:r>
      <w:r>
        <w:t xml:space="preserve">intner CAPM estimate. This is </w:t>
      </w:r>
      <w:r w:rsidRPr="00A71CB9">
        <w:t>a result of slightly different starting assumptions</w:t>
      </w:r>
      <w:r>
        <w:t xml:space="preserve"> between the models.</w:t>
      </w:r>
      <w:r w:rsidRPr="00A71CB9">
        <w:rPr>
          <w:rStyle w:val="FootnoteReference"/>
        </w:rPr>
        <w:footnoteReference w:id="761"/>
      </w:r>
      <w:r w:rsidRPr="00A71CB9">
        <w:t xml:space="preserve"> </w:t>
      </w:r>
      <w:r>
        <w:t>The resulting variation in expected return on equity is (in the theoretical principles) larger for businesses with equity betas further from one. We</w:t>
      </w:r>
      <w:r w:rsidRPr="00C44EAF">
        <w:t xml:space="preserve"> have </w:t>
      </w:r>
      <w:r>
        <w:t xml:space="preserve">also </w:t>
      </w:r>
      <w:r w:rsidRPr="00C44EAF">
        <w:t>considered the empirical evidence that the S</w:t>
      </w:r>
      <w:r>
        <w:t>harpe-</w:t>
      </w:r>
      <w:r w:rsidRPr="00C44EAF">
        <w:t>L</w:t>
      </w:r>
      <w:r>
        <w:t xml:space="preserve">intner </w:t>
      </w:r>
      <w:r w:rsidRPr="00C44EAF">
        <w:t xml:space="preserve">CAPM </w:t>
      </w:r>
      <w:r>
        <w:t xml:space="preserve">tends to </w:t>
      </w:r>
      <w:r w:rsidRPr="00C44EAF">
        <w:t>underestimate return</w:t>
      </w:r>
      <w:r>
        <w:t>s</w:t>
      </w:r>
      <w:r w:rsidRPr="00C44EAF">
        <w:t xml:space="preserve"> on low beta stocks </w:t>
      </w:r>
      <w:r w:rsidRPr="00C61D42">
        <w:t>when examined using ex</w:t>
      </w:r>
      <w:r>
        <w:t>-</w:t>
      </w:r>
      <w:r w:rsidRPr="00C61D42">
        <w:t>post data.</w:t>
      </w:r>
    </w:p>
    <w:p w:rsidR="00CE01EE" w:rsidRDefault="00CE01EE" w:rsidP="00CE01EE">
      <w:pPr>
        <w:numPr>
          <w:ilvl w:val="0"/>
          <w:numId w:val="24"/>
        </w:numPr>
      </w:pPr>
      <w:r>
        <w:t>Our empirical and conceptual analysis of equity beta for businesses with a similar degree of risk as ActewAGL (in the provision of regulated services) indicates an equity beta less than one, and within the range of 0.4 to 0.7.</w:t>
      </w:r>
      <w:r>
        <w:rPr>
          <w:rStyle w:val="FootnoteReference"/>
        </w:rPr>
        <w:footnoteReference w:id="762"/>
      </w:r>
      <w:r>
        <w:t xml:space="preserve"> In this case, where initial considerations indicate an equity beta materially below one, the theory of the Black CAPM may be relevant. As the importance of the theory of the Black CAPM is relative to considerations of the business' equity beta estimate, we consider it is appropriate for the theory of the Black CAPM to inform our equity beta estimate.</w:t>
      </w:r>
    </w:p>
    <w:p w:rsidR="00CE01EE" w:rsidRDefault="00CE01EE" w:rsidP="00CE01EE">
      <w:pPr>
        <w:numPr>
          <w:ilvl w:val="0"/>
          <w:numId w:val="24"/>
        </w:numPr>
      </w:pPr>
      <w:r>
        <w:t>However, it is important to note that:</w:t>
      </w:r>
    </w:p>
    <w:p w:rsidR="00CE01EE" w:rsidRPr="00CE01EE" w:rsidRDefault="00CE01EE" w:rsidP="00CE01EE">
      <w:pPr>
        <w:pStyle w:val="AERbulletlistfirststyle"/>
      </w:pPr>
      <w:r>
        <w:t>A</w:t>
      </w:r>
      <w:r w:rsidRPr="00CE01EE">
        <w:t>ll models with simplifying assumptions will likely be affected by market imperfections when they are applied in a practical setting. The key theoretical difference between the Black CAPM and the Sharpe-Lintner CAPM relates to borrowing and lending. The Sharpe-Lintner 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w:t>
      </w:r>
    </w:p>
    <w:p w:rsidR="00CE01EE" w:rsidRPr="00CE01EE" w:rsidRDefault="00CE01EE" w:rsidP="00CE01EE">
      <w:pPr>
        <w:pStyle w:val="AERbulletlistfirststyle"/>
      </w:pPr>
      <w:r>
        <w:t>W</w:t>
      </w:r>
      <w:r w:rsidRPr="00CE01EE">
        <w:t>e consider that we cannot reliably estimate the Black CAPM.</w:t>
      </w:r>
    </w:p>
    <w:p w:rsidR="00CE01EE" w:rsidRPr="00CE01EE" w:rsidRDefault="00CE01EE" w:rsidP="00CE01EE">
      <w:pPr>
        <w:pStyle w:val="AERbulletlistfirststyle"/>
      </w:pPr>
      <w:r>
        <w:t>The</w:t>
      </w:r>
      <w:r w:rsidRPr="00CE01EE">
        <w:t xml:space="preserve"> empirical tests of the Sharpe-Lintner CAPM using ex-post data do not provide conclusive evidence that the Sharpe-Lintner CAPM has 'low beta bias'.</w:t>
      </w:r>
    </w:p>
    <w:p w:rsidR="00CE01EE" w:rsidRDefault="00CE01EE" w:rsidP="00CE01EE">
      <w:pPr>
        <w:numPr>
          <w:ilvl w:val="0"/>
          <w:numId w:val="24"/>
        </w:numPr>
      </w:pPr>
      <w:r>
        <w:t xml:space="preserve">Our use of the Black CAPM in informing the equity beta point estimate is supported by recent advice from our expert consultants, McKenzie and Partington and John Handley. </w:t>
      </w:r>
    </w:p>
    <w:p w:rsidR="00CE01EE" w:rsidRDefault="00CE01EE" w:rsidP="00CE01EE">
      <w:pPr>
        <w:numPr>
          <w:ilvl w:val="0"/>
          <w:numId w:val="24"/>
        </w:numPr>
      </w:pPr>
      <w:r>
        <w:t>John Handley noted our use of the Black CAPM to inform the beta estimate, as well as our roles for the dividend growth model and the Fama-French model, as 'appropriate and reasonable'.</w:t>
      </w:r>
      <w:r>
        <w:rPr>
          <w:rStyle w:val="FootnoteReference"/>
        </w:rPr>
        <w:footnoteReference w:id="763"/>
      </w:r>
    </w:p>
    <w:p w:rsidR="00CE01EE" w:rsidRDefault="00CE01EE" w:rsidP="00CE01EE">
      <w:pPr>
        <w:numPr>
          <w:ilvl w:val="0"/>
          <w:numId w:val="24"/>
        </w:numPr>
      </w:pPr>
      <w:r w:rsidRPr="00A71CB9">
        <w:t>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764"/>
      </w:r>
      <w:r w:rsidRPr="00A71CB9">
        <w:t xml:space="preserve"> </w:t>
      </w:r>
      <w:r w:rsidRPr="00C1309F">
        <w:t>McKenzie and Partington note</w:t>
      </w:r>
      <w:r>
        <w:t>d</w:t>
      </w:r>
      <w:r w:rsidRPr="00C1309F">
        <w:t xml:space="preserve"> there is considerable uncertainty in how the Black CAPM</w:t>
      </w:r>
      <w:r>
        <w:t xml:space="preserve"> theory should be applied to a Sharpe-Lintner CAPM</w:t>
      </w:r>
      <w:r w:rsidRPr="00C1309F">
        <w:t xml:space="preserve"> equity beta estimate.</w:t>
      </w:r>
      <w:r>
        <w:t xml:space="preserve"> However, they considered the theory underlying the Black CAPM does not necessarily support an uplift to the equity beta estimate used in the Sharpe-Lintner CAPM.</w:t>
      </w:r>
      <w:r w:rsidRPr="00A71CB9">
        <w:rPr>
          <w:rStyle w:val="FootnoteReference"/>
        </w:rPr>
        <w:footnoteReference w:id="765"/>
      </w:r>
      <w:r>
        <w:t xml:space="preserve"> </w:t>
      </w:r>
    </w:p>
    <w:p w:rsidR="00CE01EE" w:rsidRDefault="00CE01EE" w:rsidP="00CE01EE">
      <w:r>
        <w:t>W</w:t>
      </w:r>
      <w:r w:rsidRPr="001562D4">
        <w:t xml:space="preserve">e agree with McKenzie and Partington that the Black CAPM (of itself) does not justify an uplift to the equity beta </w:t>
      </w:r>
      <w:r>
        <w:t>used in</w:t>
      </w:r>
      <w:r w:rsidRPr="001562D4">
        <w:t xml:space="preserve"> the S</w:t>
      </w:r>
      <w:r>
        <w:t>harpe-</w:t>
      </w:r>
      <w:r w:rsidRPr="001562D4">
        <w:t>L</w:t>
      </w:r>
      <w:r>
        <w:t xml:space="preserve">intner </w:t>
      </w:r>
      <w:r w:rsidRPr="001562D4">
        <w:t>CAPM</w:t>
      </w:r>
      <w:r>
        <w:t>.</w:t>
      </w:r>
      <w:r w:rsidRPr="001562D4">
        <w:rPr>
          <w:rStyle w:val="FootnoteReference"/>
        </w:rPr>
        <w:footnoteReference w:id="766"/>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Sharpe-Lintner CAPM-</w:t>
      </w:r>
      <w:r w:rsidRPr="001562D4">
        <w:t>based estimate</w:t>
      </w:r>
      <w:r>
        <w:t>. We consider this</w:t>
      </w:r>
      <w:r w:rsidRPr="001562D4">
        <w:t xml:space="preserve"> a relevant consideration</w:t>
      </w:r>
      <w:r>
        <w:t xml:space="preserve"> in selecting the equity beta.</w:t>
      </w:r>
    </w:p>
    <w:p w:rsidR="00CE01EE" w:rsidRPr="00C61D42" w:rsidRDefault="00CE01EE" w:rsidP="00CE01EE">
      <w:r>
        <w:t>Some s</w:t>
      </w:r>
      <w:r w:rsidRPr="00C61D42">
        <w:t>ervice providers have submitted that we have adjusted the equity beta for the Black CAPM in order to provide a correction for low beta bias.</w:t>
      </w:r>
      <w:r>
        <w:rPr>
          <w:rStyle w:val="FootnoteReference"/>
        </w:rPr>
        <w:footnoteReference w:id="767"/>
      </w:r>
      <w:r w:rsidRPr="00C61D42">
        <w:t xml:space="preserve"> </w:t>
      </w:r>
      <w:r>
        <w:t>Other service providers submitted that</w:t>
      </w:r>
      <w:r w:rsidRPr="0012004B">
        <w:t xml:space="preserve"> it is not clear whether </w:t>
      </w:r>
      <w:r>
        <w:t>our equity beta estimate</w:t>
      </w:r>
      <w:r w:rsidRPr="0012004B">
        <w:t xml:space="preserve"> is intended to correct for bias in the</w:t>
      </w:r>
      <w:r>
        <w:t xml:space="preserve"> Sharpe-Lintner CAPM</w:t>
      </w:r>
      <w:r w:rsidRPr="0012004B">
        <w:t>.</w:t>
      </w:r>
      <w:r>
        <w:rPr>
          <w:rStyle w:val="FootnoteReference"/>
        </w:rPr>
        <w:footnoteReference w:id="768"/>
      </w:r>
      <w:r>
        <w:t xml:space="preserve"> </w:t>
      </w:r>
      <w:r w:rsidRPr="00C61D42">
        <w:t xml:space="preserve">We do not consider </w:t>
      </w:r>
      <w:r>
        <w:t>that</w:t>
      </w:r>
      <w:r w:rsidRPr="00C61D42">
        <w:t xml:space="preserve"> service providers have shown that low beta bias exists on an ex ante basis and that it reflects a priced risk factor that would contribute to the allowed rate of return objective. </w:t>
      </w:r>
      <w:r>
        <w:t>We also note that the theory of the Black CAPM is only one consideration informing our equity beta point estimate (for more detail, see the 'estimating equity beta' subsection in section</w:t>
      </w:r>
      <w:r w:rsidR="0018625A">
        <w:t xml:space="preserve"> </w:t>
      </w:r>
      <w:r w:rsidR="0018625A">
        <w:fldChar w:fldCharType="begin"/>
      </w:r>
      <w:r w:rsidR="0018625A">
        <w:instrText xml:space="preserve"> REF _Ref451691090 \r \h </w:instrText>
      </w:r>
      <w:r w:rsidR="0018625A">
        <w:fldChar w:fldCharType="separate"/>
      </w:r>
      <w:r w:rsidR="001A023B">
        <w:t>3.4.1</w:t>
      </w:r>
      <w:r w:rsidR="0018625A">
        <w:fldChar w:fldCharType="end"/>
      </w:r>
      <w:r>
        <w:t>).</w:t>
      </w:r>
    </w:p>
    <w:p w:rsidR="00CE01EE" w:rsidRDefault="00CE01EE" w:rsidP="00CE01EE">
      <w:r>
        <w:t>SFG, Frontier, and Houston Kemp</w:t>
      </w:r>
      <w:r w:rsidRPr="00C61D42">
        <w:t xml:space="preserve"> submitted it is not possible to have proper regard to the Black CAPM without estimating it</w:t>
      </w:r>
      <w:r>
        <w:t>, and that we have essentially computed an unspecified estimate of the zero-beta premium</w:t>
      </w:r>
      <w:r w:rsidRPr="00C61D42">
        <w:t>.</w:t>
      </w:r>
      <w:r w:rsidRPr="00C61D42">
        <w:rPr>
          <w:rStyle w:val="FootnoteReference"/>
        </w:rPr>
        <w:footnoteReference w:id="769"/>
      </w:r>
      <w:r>
        <w:t xml:space="preserve"> We do not consider that the Black CAPM can be reliably estimated, and therefore consider that proper regard to the model requires that we do not place weight on estimates from the model and do not estimate the zero-beta premium.</w:t>
      </w:r>
    </w:p>
    <w:p w:rsidR="00CE01EE" w:rsidRDefault="00CE01EE" w:rsidP="00CE01EE">
      <w:r>
        <w:t xml:space="preserve">HoustonKemp submitted that we </w:t>
      </w:r>
      <w:r w:rsidRPr="002D59BA">
        <w:t>adjust upwards an estimate of 0.55 – the midpoint of the</w:t>
      </w:r>
      <w:r>
        <w:t xml:space="preserve"> </w:t>
      </w:r>
      <w:r w:rsidRPr="002D59BA">
        <w:t>range of 0.4 to 0.7 – to 0.7</w:t>
      </w:r>
      <w:r>
        <w:t xml:space="preserve"> by placing</w:t>
      </w:r>
      <w:r w:rsidRPr="002D59BA">
        <w:t xml:space="preserve"> a weight of two thirds on an</w:t>
      </w:r>
      <w:r>
        <w:t xml:space="preserve"> </w:t>
      </w:r>
      <w:r w:rsidRPr="002D59BA">
        <w:t>unadjusted estimate of beta</w:t>
      </w:r>
      <w:r>
        <w:t xml:space="preserve"> (0.55)</w:t>
      </w:r>
      <w:r w:rsidRPr="002D59BA">
        <w:t xml:space="preserve"> and one third on one.</w:t>
      </w:r>
      <w:r>
        <w:rPr>
          <w:rStyle w:val="FootnoteReference"/>
        </w:rPr>
        <w:footnoteReference w:id="770"/>
      </w:r>
      <w:r>
        <w:t xml:space="preserve"> </w:t>
      </w:r>
    </w:p>
    <w:p w:rsidR="00CE01EE" w:rsidRPr="0092561B" w:rsidRDefault="00CE01EE" w:rsidP="00CE01EE">
      <w:pPr>
        <w:rPr>
          <w:rStyle w:val="AERbody"/>
        </w:rPr>
      </w:pPr>
      <w:r w:rsidRPr="0092561B">
        <w:rPr>
          <w:rStyle w:val="AERbody"/>
        </w:rPr>
        <w:t>We note that our equity beta estimate of 0.7 is informed by a range of relevant evidence</w:t>
      </w:r>
      <w:r w:rsidRPr="0092561B">
        <w:rPr>
          <w:rStyle w:val="FootnoteReference"/>
        </w:rPr>
        <w:footnoteReference w:id="771"/>
      </w:r>
      <w:r w:rsidRPr="0092561B">
        <w:rPr>
          <w:rStyle w:val="AERbody"/>
        </w:rPr>
        <w:t xml:space="preserve"> and based on exercise of our regulatory judgment. It is not determined in any mechanistic manner as suggested by HoustonKemp. </w:t>
      </w:r>
    </w:p>
    <w:p w:rsidR="00CE01EE" w:rsidRDefault="00CE01EE" w:rsidP="00CE01EE">
      <w:pPr>
        <w:pStyle w:val="ListParagraph"/>
        <w:numPr>
          <w:ilvl w:val="0"/>
          <w:numId w:val="24"/>
        </w:numPr>
      </w:pPr>
      <w:r>
        <w:t xml:space="preserve">In its June 2015 and January 2016 reports, </w:t>
      </w:r>
      <w:r w:rsidRPr="00EB6387">
        <w:t xml:space="preserve">Frontier </w:t>
      </w:r>
      <w:r>
        <w:t>maintained its disagreement</w:t>
      </w:r>
      <w:r w:rsidRPr="00EB6387">
        <w:t xml:space="preserve"> with our use of the theory underlying the Black CAPM to inform the equity beta point estimate.</w:t>
      </w:r>
      <w:r w:rsidRPr="00EB6387">
        <w:rPr>
          <w:rStyle w:val="FootnoteReference"/>
        </w:rPr>
        <w:footnoteReference w:id="772"/>
      </w:r>
      <w:r w:rsidRPr="00EB6387">
        <w:t xml:space="preserve"> We do not consider </w:t>
      </w:r>
      <w:r>
        <w:t>that Frontier</w:t>
      </w:r>
      <w:r w:rsidRPr="00EB6387">
        <w:t xml:space="preserve"> have raised any substantive new evidence to support their views. Therefore, we maintain the position and reasoning set out above.</w:t>
      </w:r>
    </w:p>
    <w:p w:rsidR="00CE01EE" w:rsidRPr="00F143C8" w:rsidRDefault="00CE01EE" w:rsidP="00CE01EE">
      <w:pPr>
        <w:pStyle w:val="ListParagraph"/>
        <w:numPr>
          <w:ilvl w:val="0"/>
          <w:numId w:val="24"/>
        </w:numPr>
      </w:pPr>
      <w:r w:rsidRPr="00F143C8">
        <w:t xml:space="preserve">The </w:t>
      </w:r>
      <w:r>
        <w:t>Consumer Challenge Panel</w:t>
      </w:r>
      <w:r w:rsidRPr="00F143C8">
        <w:t xml:space="preserve"> agreed with our view on </w:t>
      </w:r>
      <w:r>
        <w:t xml:space="preserve">the difficulties with </w:t>
      </w:r>
      <w:r w:rsidRPr="00F143C8">
        <w:t>empirically implementing the Black CAPM. However, it disagreed with our use of the theory underlying the Black CAPM to inform the equity beta point estimate.</w:t>
      </w:r>
      <w:r w:rsidRPr="00F143C8">
        <w:rPr>
          <w:rStyle w:val="FootnoteReference"/>
        </w:rPr>
        <w:footnoteReference w:id="773"/>
      </w:r>
      <w:r w:rsidRPr="00F143C8">
        <w:t xml:space="preserve"> The </w:t>
      </w:r>
      <w:r>
        <w:t>Consumer Challenge Panel</w:t>
      </w:r>
      <w:r w:rsidRPr="00F143C8">
        <w:t xml:space="preserve"> stated:</w:t>
      </w:r>
      <w:r w:rsidRPr="00F143C8">
        <w:rPr>
          <w:rStyle w:val="FootnoteReference"/>
        </w:rPr>
        <w:footnoteReference w:id="774"/>
      </w:r>
    </w:p>
    <w:p w:rsidR="00CE01EE" w:rsidRPr="00F143C8" w:rsidRDefault="00CE01EE" w:rsidP="00CE01EE">
      <w:pPr>
        <w:pStyle w:val="AERquote"/>
      </w:pPr>
      <w:r w:rsidRPr="00F143C8">
        <w:t>We have discussed our concerns with the Black CAPM above and do not consider it is an appropriate basis for the AER to select an equity beta that is higher than the median of the empirical observations.</w:t>
      </w:r>
    </w:p>
    <w:p w:rsidR="00CE01EE" w:rsidRDefault="00CE01EE" w:rsidP="00CE01EE">
      <w:pPr>
        <w:pStyle w:val="ListParagraph"/>
        <w:numPr>
          <w:ilvl w:val="0"/>
          <w:numId w:val="24"/>
        </w:numPr>
      </w:pPr>
      <w:r w:rsidRPr="00F143C8">
        <w:t xml:space="preserve">We consider the </w:t>
      </w:r>
      <w:r>
        <w:t>Consumer Challenge Panel's</w:t>
      </w:r>
      <w:r w:rsidRPr="00F143C8">
        <w:t xml:space="preserve"> submission merely reflects a difference in opinion on the usefulness of qualitative evidence from one model to inform a parameter estimate in another model.</w:t>
      </w:r>
      <w:r w:rsidRPr="00F143C8">
        <w:rPr>
          <w:rStyle w:val="FootnoteReference"/>
        </w:rPr>
        <w:footnoteReference w:id="775"/>
      </w:r>
      <w:r w:rsidRPr="00F143C8">
        <w:t xml:space="preserve"> We note that the theory of the Black CAPM was only one factor that informed our equity beta point estimate.</w:t>
      </w:r>
    </w:p>
    <w:p w:rsidR="00CE01EE" w:rsidRPr="001B6CF5" w:rsidRDefault="00CE01EE" w:rsidP="00CE01EE">
      <w:r>
        <w:t xml:space="preserve">In submissions </w:t>
      </w:r>
      <w:r w:rsidRPr="001B6CF5">
        <w:t xml:space="preserve">on </w:t>
      </w:r>
      <w:r>
        <w:t>service providers' proposals</w:t>
      </w:r>
      <w:r w:rsidRPr="001B6CF5">
        <w:t>, there was broad agreement from consumer groups on the application of our foundation model approach as set out in our Guideline.</w:t>
      </w:r>
      <w:r w:rsidRPr="001B6CF5">
        <w:rPr>
          <w:rStyle w:val="FootnoteReference"/>
        </w:rPr>
        <w:footnoteReference w:id="776"/>
      </w:r>
      <w:r w:rsidRPr="001B6CF5">
        <w:t xml:space="preserve"> We consider that this refers to the Guideline in its entirety, including our role for the theory of the Black CAPM.</w:t>
      </w:r>
    </w:p>
    <w:p w:rsidR="00CE01EE" w:rsidRDefault="00CE01EE" w:rsidP="00CE01EE">
      <w:pPr>
        <w:pStyle w:val="Heading8"/>
      </w:pPr>
      <w:bookmarkStart w:id="128" w:name="_Ref449007420"/>
      <w:bookmarkStart w:id="129" w:name="_Toc451945484"/>
      <w:r>
        <w:t>Fama-French model</w:t>
      </w:r>
      <w:bookmarkEnd w:id="128"/>
      <w:bookmarkEnd w:id="129"/>
    </w:p>
    <w:p w:rsidR="00CE01EE" w:rsidRPr="001562D4" w:rsidRDefault="00CE01EE" w:rsidP="00CE01EE">
      <w:pPr>
        <w:numPr>
          <w:ilvl w:val="0"/>
          <w:numId w:val="24"/>
        </w:numPr>
      </w:pPr>
      <w:r w:rsidRPr="001562D4">
        <w:t xml:space="preserve">The </w:t>
      </w:r>
      <w:r>
        <w:t>Fama-French model</w:t>
      </w:r>
      <w:r w:rsidRPr="001562D4">
        <w:t xml:space="preserve"> is a three factor model of asset returns.</w:t>
      </w:r>
      <w:r w:rsidRPr="001562D4">
        <w:rPr>
          <w:rStyle w:val="FootnoteReference"/>
        </w:rPr>
        <w:footnoteReference w:id="777"/>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778"/>
      </w:r>
    </w:p>
    <w:p w:rsidR="00CE01EE" w:rsidRPr="00CE01EE" w:rsidRDefault="00CE01EE" w:rsidP="00CE01EE">
      <w:pPr>
        <w:pStyle w:val="AERbulletlistfirststyle"/>
      </w:pPr>
      <w:r w:rsidRPr="001562D4">
        <w:t>the return on the market (thus it incorporates the CAPM</w:t>
      </w:r>
      <w:r w:rsidRPr="00CE01EE">
        <w:t>'s systematic risk factor by having  the return on the market as a factor)</w:t>
      </w:r>
    </w:p>
    <w:p w:rsidR="00CE01EE" w:rsidRPr="00CE01EE" w:rsidRDefault="00CE01EE" w:rsidP="00CE01EE">
      <w:pPr>
        <w:pStyle w:val="AERbulletlistfirststyle"/>
      </w:pPr>
      <w:r w:rsidRPr="001562D4">
        <w:t>firm size (measured by market capitalisation)</w:t>
      </w:r>
    </w:p>
    <w:p w:rsidR="00CE01EE" w:rsidRPr="00CE01EE" w:rsidRDefault="00CE01EE" w:rsidP="00CE01EE">
      <w:pPr>
        <w:pStyle w:val="AERbulletlistfirststyle"/>
      </w:pPr>
      <w:r w:rsidRPr="001562D4">
        <w:t>the ratio of book value to market value</w:t>
      </w:r>
      <w:r w:rsidRPr="00CE01EE">
        <w:t>.</w:t>
      </w:r>
    </w:p>
    <w:p w:rsidR="00CE01EE" w:rsidRDefault="00CE01EE" w:rsidP="00CE01EE">
      <w:pPr>
        <w:numPr>
          <w:ilvl w:val="0"/>
          <w:numId w:val="24"/>
        </w:numPr>
      </w:pPr>
      <w:r>
        <w:t>We have reviewed all the material submitted to us</w:t>
      </w:r>
      <w:r>
        <w:rPr>
          <w:rStyle w:val="FootnoteReference"/>
        </w:rPr>
        <w:footnoteReference w:id="779"/>
      </w:r>
      <w:r>
        <w:t xml:space="preserve"> on the Fama-French model and decided to give the model no role in informing our return on equity estimate (either directly or through informing parameter estimates). 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780"/>
      </w:r>
      <w:r w:rsidRPr="002E1BC3">
        <w:rPr>
          <w:rStyle w:val="FootnoteReference"/>
        </w:rPr>
        <w:t xml:space="preserve"> </w:t>
      </w:r>
      <w:r w:rsidRPr="001562D4">
        <w:t>We do not consider</w:t>
      </w:r>
      <w:r>
        <w:t xml:space="preserve"> that using the Fama-French model</w:t>
      </w:r>
      <w:r w:rsidRPr="001562D4">
        <w:t xml:space="preserve"> will result in a </w:t>
      </w:r>
      <w:r>
        <w:t>return on equity</w:t>
      </w:r>
      <w:r w:rsidRPr="001562D4">
        <w:t xml:space="preserve"> </w:t>
      </w:r>
      <w:r>
        <w:t>commensurate with the efficient financing costs given the risk of ActewAGL's regulated services</w:t>
      </w:r>
      <w:r w:rsidRPr="001562D4">
        <w:t xml:space="preserve">. </w:t>
      </w:r>
    </w:p>
    <w:p w:rsidR="00CE01EE" w:rsidRPr="001562D4" w:rsidRDefault="00CE01EE" w:rsidP="00CE01EE">
      <w:pPr>
        <w:numPr>
          <w:ilvl w:val="0"/>
          <w:numId w:val="24"/>
        </w:numPr>
      </w:pPr>
      <w:r>
        <w:t>Our</w:t>
      </w:r>
      <w:r w:rsidRPr="001562D4">
        <w:t xml:space="preserve"> reasons for giving the </w:t>
      </w:r>
      <w:r>
        <w:t>Fama-French model</w:t>
      </w:r>
      <w:r w:rsidRPr="001562D4">
        <w:t xml:space="preserve"> no role </w:t>
      </w:r>
      <w:r>
        <w:t>are:</w:t>
      </w:r>
    </w:p>
    <w:p w:rsidR="00CE01EE" w:rsidRPr="00CE01EE" w:rsidRDefault="00CE01EE" w:rsidP="00CE01EE">
      <w:pPr>
        <w:pStyle w:val="AERbulletlistfirststyle"/>
      </w:pPr>
      <w:r>
        <w:t>E</w:t>
      </w:r>
      <w:r w:rsidRPr="00CE01EE">
        <w:t>mpirical implementation of the Fama-French model is relatively complex and opaque, with no apparent consensus on the factors to be included or the construction of portfolios for the factors. Its estimates are sensitive to the chosen estimation period and methodological assumptions.</w:t>
      </w:r>
    </w:p>
    <w:p w:rsidR="00CE01EE" w:rsidRPr="00CE01EE" w:rsidRDefault="00CE01EE" w:rsidP="00CE01EE">
      <w:pPr>
        <w:pStyle w:val="AERbulletlistfirststyle"/>
      </w:pPr>
      <w:r>
        <w:t>T</w:t>
      </w:r>
      <w:r w:rsidRPr="00CE01EE">
        <w:t>he ex-post (backward looking) observation of apparently priced risk factors does not mean these factors are priced ex-ante (on a forward looking basis).</w:t>
      </w:r>
    </w:p>
    <w:p w:rsidR="00CE01EE" w:rsidRPr="00CE01EE" w:rsidRDefault="00CE01EE" w:rsidP="00CE01EE">
      <w:pPr>
        <w:pStyle w:val="AERbulletlistfirststyle"/>
      </w:pPr>
      <w:r>
        <w:t>T</w:t>
      </w:r>
      <w:r w:rsidRPr="00CE01EE">
        <w:t>here is a lack of agreed-upon theoretical foundation for the factors and the instability of parameter estimates. This may be a contributing factor to the lack of consensus on the empirical implementation of the Fama-French model. It also increases the difficulty associated with ascertaining whether the ex post observation of apparently priced risk factors are priced ex ante.</w:t>
      </w:r>
      <w:r w:rsidRPr="00CE01EE">
        <w:rPr>
          <w:rStyle w:val="FootnoteReference"/>
        </w:rPr>
        <w:t xml:space="preserve"> </w:t>
      </w:r>
      <w:r w:rsidRPr="00CE01EE">
        <w:rPr>
          <w:rStyle w:val="FootnoteReference"/>
        </w:rPr>
        <w:footnoteReference w:id="781"/>
      </w:r>
    </w:p>
    <w:p w:rsidR="00CE01EE" w:rsidRPr="00CE01EE" w:rsidRDefault="00CE01EE" w:rsidP="00CE01EE">
      <w:pPr>
        <w:pStyle w:val="AERbulletlistfirststyle"/>
      </w:pPr>
      <w:r>
        <w:t>T</w:t>
      </w:r>
      <w:r w:rsidRPr="00CE01EE">
        <w:t>here is little evidence of companies or regulators using the Fama-French model to estimate the return on equity.</w:t>
      </w:r>
      <w:r w:rsidRPr="00CE01EE">
        <w:rPr>
          <w:rStyle w:val="FootnoteReference"/>
        </w:rPr>
        <w:footnoteReference w:id="782"/>
      </w:r>
    </w:p>
    <w:p w:rsidR="00CE01EE" w:rsidRDefault="00CE01EE" w:rsidP="00CE01EE">
      <w:pPr>
        <w:numPr>
          <w:ilvl w:val="0"/>
          <w:numId w:val="24"/>
        </w:numPr>
      </w:pPr>
      <w:r>
        <w:t>T</w:t>
      </w:r>
      <w:r w:rsidRPr="001562D4">
        <w:t>here is no single correct application</w:t>
      </w:r>
      <w:r>
        <w:t xml:space="preserve"> of the Fama-French model</w:t>
      </w:r>
      <w:r w:rsidRPr="001562D4">
        <w:t xml:space="preserve">. </w:t>
      </w:r>
      <w:r>
        <w:t>T</w:t>
      </w:r>
      <w:r w:rsidRPr="001562D4">
        <w:t xml:space="preserve">here are numerous specifications of the </w:t>
      </w:r>
      <w:r>
        <w:t>model that produce</w:t>
      </w:r>
      <w:r w:rsidRPr="001562D4">
        <w:t xml:space="preserve"> different estimates of the </w:t>
      </w:r>
      <w:r>
        <w:t>return on equity. The lack of consensus on both the relevant factors and methodological choices is likely to increase the sensitivity of the model to such choices, reducing the reliability of the model and increasing the potential for bias. 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a business with a similar degree of risk as ActewAGL in providing regulated services,</w:t>
      </w:r>
      <w:r w:rsidRPr="001562D4">
        <w:t xml:space="preserve"> even if they were capable of estimating required returns for the</w:t>
      </w:r>
      <w:r>
        <w:t xml:space="preserve"> average firm.</w:t>
      </w:r>
      <w:r w:rsidRPr="00405B65">
        <w:t xml:space="preserve"> </w:t>
      </w:r>
      <w:r>
        <w:t>We set out these issues in more detail in the subsections below.</w:t>
      </w:r>
    </w:p>
    <w:p w:rsidR="00CE01EE" w:rsidRPr="001562D4" w:rsidRDefault="00CE01EE" w:rsidP="00CE01EE">
      <w:pPr>
        <w:numPr>
          <w:ilvl w:val="0"/>
          <w:numId w:val="24"/>
        </w:numPr>
      </w:pPr>
      <w:r>
        <w:t xml:space="preserve">McKenzie and Partington have also previously </w:t>
      </w:r>
      <w:r w:rsidRPr="001562D4">
        <w:t>support</w:t>
      </w:r>
      <w:r>
        <w:t>ed</w:t>
      </w:r>
      <w:r w:rsidRPr="001562D4">
        <w:t xml:space="preserve"> our decision to not use the model.</w:t>
      </w:r>
      <w:r w:rsidRPr="001562D4">
        <w:rPr>
          <w:rStyle w:val="FootnoteReference"/>
        </w:rPr>
        <w:footnoteReference w:id="783"/>
      </w:r>
      <w:r>
        <w:t xml:space="preserve"> We consider Handley's comments on the model also support our decision to not use the Fame-French model.</w:t>
      </w:r>
      <w:r>
        <w:rPr>
          <w:rStyle w:val="FootnoteReference"/>
        </w:rPr>
        <w:footnoteReference w:id="784"/>
      </w:r>
    </w:p>
    <w:p w:rsidR="00CE01EE" w:rsidRDefault="00CE01EE" w:rsidP="00CE01EE">
      <w:r w:rsidRPr="000A3A91">
        <w:t>The E</w:t>
      </w:r>
      <w:r>
        <w:t xml:space="preserve">nergy </w:t>
      </w:r>
      <w:r w:rsidRPr="000A3A91">
        <w:t>C</w:t>
      </w:r>
      <w:r>
        <w:t xml:space="preserve">onsumers </w:t>
      </w:r>
      <w:r w:rsidRPr="000A3A91">
        <w:t>C</w:t>
      </w:r>
      <w:r>
        <w:t xml:space="preserve">oalition of </w:t>
      </w:r>
      <w:r w:rsidRPr="000A3A91">
        <w:t>S</w:t>
      </w:r>
      <w:r>
        <w:t xml:space="preserve">outh </w:t>
      </w:r>
      <w:r w:rsidRPr="000A3A91">
        <w:t>A</w:t>
      </w:r>
      <w:r>
        <w:t>ustralia (ECCSA)</w:t>
      </w:r>
      <w:r w:rsidRPr="000A3A91">
        <w:t xml:space="preserve"> agree</w:t>
      </w:r>
      <w:r>
        <w:t>d</w:t>
      </w:r>
      <w:r w:rsidRPr="000A3A91">
        <w:t xml:space="preserve"> </w:t>
      </w:r>
      <w:r>
        <w:t>with the role we assign to</w:t>
      </w:r>
      <w:r w:rsidRPr="000A3A91">
        <w:t xml:space="preserve"> the Fama–French model</w:t>
      </w:r>
      <w:r>
        <w:t>. ECCSA</w:t>
      </w:r>
      <w:r w:rsidRPr="000A3A91">
        <w:t xml:space="preserve"> </w:t>
      </w:r>
      <w:r>
        <w:t xml:space="preserve">rejected </w:t>
      </w:r>
      <w:r w:rsidRPr="000A3A91">
        <w:t>the associated proposal by the</w:t>
      </w:r>
      <w:r>
        <w:t xml:space="preserve"> </w:t>
      </w:r>
      <w:r w:rsidRPr="000A3A91">
        <w:t>networks to use multiple models to assess the outcomes then weighting</w:t>
      </w:r>
      <w:r>
        <w:t xml:space="preserve"> </w:t>
      </w:r>
      <w:r w:rsidRPr="000A3A91">
        <w:t>these models to arrive at a point estimate.</w:t>
      </w:r>
      <w:r>
        <w:rPr>
          <w:rStyle w:val="FootnoteReference"/>
        </w:rPr>
        <w:footnoteReference w:id="785"/>
      </w:r>
      <w:r>
        <w:t xml:space="preserve"> </w:t>
      </w:r>
    </w:p>
    <w:p w:rsidR="00CE01EE" w:rsidRDefault="00CE01EE" w:rsidP="00CE01EE">
      <w:r>
        <w:t>The Consumer Challenge P</w:t>
      </w:r>
      <w:r w:rsidRPr="001562D4">
        <w:t>anel</w:t>
      </w:r>
      <w:r>
        <w:t xml:space="preserve"> was</w:t>
      </w:r>
      <w:r w:rsidRPr="001562D4">
        <w:t xml:space="preserve"> </w:t>
      </w:r>
      <w:r>
        <w:t>also unconvinced by arguments from the various service providers for the AER to use models other than the Sharpe-Lintner CAPM for estimating the cost of equity. The Consumer Challenge P</w:t>
      </w:r>
      <w:r w:rsidRPr="001562D4">
        <w:t>anel</w:t>
      </w:r>
      <w:r>
        <w:t xml:space="preserve"> considered that these alternative models are currently not being utilized by academics nor valuation practitioners.</w:t>
      </w:r>
      <w:r>
        <w:rPr>
          <w:rStyle w:val="FootnoteReference"/>
        </w:rPr>
        <w:footnoteReference w:id="786"/>
      </w:r>
      <w:r>
        <w:t xml:space="preserve"> Similarly, t</w:t>
      </w:r>
      <w:r w:rsidRPr="006B4511">
        <w:t xml:space="preserve">he Victorian Energy Consumer and User Alliance </w:t>
      </w:r>
      <w:r>
        <w:t xml:space="preserve">(VECUA) </w:t>
      </w:r>
      <w:r w:rsidRPr="006B4511">
        <w:t>consider</w:t>
      </w:r>
      <w:r>
        <w:t>ed</w:t>
      </w:r>
      <w:r w:rsidRPr="006B4511">
        <w:t xml:space="preserve"> that </w:t>
      </w:r>
      <w:r>
        <w:t>our</w:t>
      </w:r>
      <w:r w:rsidRPr="006B4511">
        <w:t xml:space="preserve"> approach to estimating return on equity is more appropriate than the distribut</w:t>
      </w:r>
      <w:r>
        <w:t>or</w:t>
      </w:r>
      <w:r w:rsidRPr="006B4511">
        <w:t>s' proposed approaches that adopt weighted averages of different return on equity models</w:t>
      </w:r>
      <w:r>
        <w:t>. T</w:t>
      </w:r>
      <w:r w:rsidRPr="006B4511">
        <w:t>hese proposed departures have not been subjected to any rigorous analysis or stakeholder consultation.</w:t>
      </w:r>
      <w:r w:rsidRPr="006B4511">
        <w:rPr>
          <w:rStyle w:val="FootnoteReference"/>
        </w:rPr>
        <w:footnoteReference w:id="787"/>
      </w:r>
      <w:r>
        <w:t xml:space="preserve"> </w:t>
      </w:r>
    </w:p>
    <w:p w:rsidR="00CE01EE" w:rsidRDefault="00CE01EE" w:rsidP="00CE01EE">
      <w:pPr>
        <w:numPr>
          <w:ilvl w:val="0"/>
          <w:numId w:val="24"/>
        </w:numPr>
      </w:pPr>
      <w:r>
        <w:t>Service providers</w:t>
      </w:r>
      <w:r w:rsidRPr="001562D4">
        <w:t xml:space="preserve"> responded to </w:t>
      </w:r>
      <w:r>
        <w:t xml:space="preserve">our </w:t>
      </w:r>
      <w:r w:rsidRPr="001562D4">
        <w:t>rea</w:t>
      </w:r>
      <w:r>
        <w:t>sons for giving the Fama-French model no role, submitting that:</w:t>
      </w:r>
      <w:r>
        <w:rPr>
          <w:rStyle w:val="FootnoteReference"/>
        </w:rPr>
        <w:footnoteReference w:id="788"/>
      </w:r>
      <w:r>
        <w:t xml:space="preserve"> </w:t>
      </w:r>
    </w:p>
    <w:p w:rsidR="00CE01EE" w:rsidRPr="00CE01EE" w:rsidRDefault="00CE01EE" w:rsidP="00CE01EE">
      <w:pPr>
        <w:pStyle w:val="AERbulletlistfirststyle"/>
      </w:pPr>
      <w:r>
        <w:t>The Fama-French model performs better than the Sharpe-Lintner CAPM.</w:t>
      </w:r>
      <w:r w:rsidRPr="00CE01EE">
        <w:rPr>
          <w:rStyle w:val="FootnoteReference"/>
        </w:rPr>
        <w:footnoteReference w:id="789"/>
      </w:r>
    </w:p>
    <w:p w:rsidR="00CE01EE" w:rsidRPr="00CE01EE" w:rsidRDefault="00CE01EE" w:rsidP="00CE01EE">
      <w:pPr>
        <w:pStyle w:val="AERbulletlistfirststyle"/>
      </w:pPr>
      <w:r>
        <w:t>All models requiring parameter estimates are sensitive to those estimates, including the Sharpe-Lintner CAPM, and the Fama-French model is not materially more sensitive to input choices than the Sharpe-Lintner CAPM.</w:t>
      </w:r>
    </w:p>
    <w:p w:rsidR="00CE01EE" w:rsidRPr="00CE01EE" w:rsidRDefault="00CE01EE" w:rsidP="00CE01EE">
      <w:pPr>
        <w:pStyle w:val="AERbulletlistfirststyle"/>
        <w:rPr>
          <w:rStyle w:val="AERbody"/>
        </w:rPr>
      </w:pPr>
      <w:r w:rsidRPr="008166A1">
        <w:rPr>
          <w:rStyle w:val="AERbody"/>
        </w:rPr>
        <w:t xml:space="preserve">HoustonKemp noted that the </w:t>
      </w:r>
      <w:r w:rsidRPr="00CE01EE">
        <w:rPr>
          <w:rStyle w:val="AERbody"/>
        </w:rPr>
        <w:t>Fama-French model was developed to address mis-pricing on low-cap and value stocks.</w:t>
      </w:r>
      <w:r w:rsidRPr="00CE01EE">
        <w:rPr>
          <w:rStyle w:val="FootnoteReference"/>
        </w:rPr>
        <w:footnoteReference w:id="790"/>
      </w:r>
      <w:r w:rsidRPr="00CE01EE">
        <w:rPr>
          <w:rStyle w:val="AERbody"/>
        </w:rPr>
        <w:t xml:space="preserve"> </w:t>
      </w:r>
    </w:p>
    <w:p w:rsidR="00CE01EE" w:rsidRPr="008166A1" w:rsidRDefault="00CE01EE" w:rsidP="00CE01EE">
      <w:pPr>
        <w:pStyle w:val="ListParagraph"/>
        <w:numPr>
          <w:ilvl w:val="0"/>
          <w:numId w:val="24"/>
        </w:numPr>
        <w:rPr>
          <w:rStyle w:val="AERtexthighlight"/>
        </w:rPr>
      </w:pPr>
      <w:r w:rsidRPr="008166A1">
        <w:rPr>
          <w:rStyle w:val="AERbody"/>
        </w:rPr>
        <w:t>HoustonKemp submitted that, in examining the performance of a five factor model, Fama and French do not suggest that they consider the three-factor model to provide estimates of the returns required on equities to be inferior to those produced by the S</w:t>
      </w:r>
      <w:r>
        <w:rPr>
          <w:rStyle w:val="AERbody"/>
        </w:rPr>
        <w:t>harpe-Lintner</w:t>
      </w:r>
      <w:r w:rsidRPr="008166A1">
        <w:rPr>
          <w:rStyle w:val="AERbody"/>
        </w:rPr>
        <w:t xml:space="preserve"> CAPM.</w:t>
      </w:r>
      <w:r w:rsidRPr="008166A1">
        <w:rPr>
          <w:rStyle w:val="FootnoteReference"/>
        </w:rPr>
        <w:footnoteReference w:id="791"/>
      </w:r>
      <w:r w:rsidRPr="008166A1">
        <w:rPr>
          <w:rStyle w:val="AERbody"/>
        </w:rPr>
        <w:t xml:space="preserve"> </w:t>
      </w:r>
    </w:p>
    <w:p w:rsidR="00CE01EE" w:rsidRDefault="00CE01EE" w:rsidP="00CE01EE">
      <w:pPr>
        <w:pStyle w:val="ListParagraph"/>
        <w:numPr>
          <w:ilvl w:val="0"/>
          <w:numId w:val="24"/>
        </w:numPr>
      </w:pPr>
      <w:r>
        <w:t xml:space="preserve">We are not satisfied with these arguments. </w:t>
      </w:r>
      <w:r w:rsidRPr="006F34DC">
        <w:t xml:space="preserve">Partington and Satchell's latest report </w:t>
      </w:r>
      <w:r>
        <w:t>also advised against using the Fama-French model:</w:t>
      </w:r>
      <w:r>
        <w:rPr>
          <w:rStyle w:val="FootnoteReference"/>
        </w:rPr>
        <w:footnoteReference w:id="792"/>
      </w:r>
    </w:p>
    <w:p w:rsidR="00CE01EE" w:rsidRPr="006F34DC" w:rsidRDefault="00CE01EE" w:rsidP="00CE01EE">
      <w:pPr>
        <w:pStyle w:val="AERquote"/>
      </w:pPr>
      <w:r w:rsidRPr="006F34DC">
        <w:t>'</w:t>
      </w:r>
      <w:r>
        <w:t xml:space="preserve">one reason why </w:t>
      </w:r>
      <w:r w:rsidRPr="006F34DC">
        <w:t xml:space="preserve">regulators should be wary of the Fama-French approach is that there is considerable possible variation in the ways these factors can be constructed, which is one of the reasons that these factors are favoured by the financial sector; they can be customised. Also, there is no theory attached to such a model; this has the implication that we do not really know if these factors represent risks, alpha opportunities, or behavioural anomalies. By contrast, the CAPM is a simple but self-contained theory of equilibrium pricing; the single factor, the market, is clearly identifiable as a risk factor and this makes it much harder to manipulate once we agree upon the market portfolio and the choice of riskless asset. </w:t>
      </w:r>
    </w:p>
    <w:p w:rsidR="00CE01EE" w:rsidRPr="001F02B3" w:rsidRDefault="00CE01EE" w:rsidP="00CE01EE">
      <w:pPr>
        <w:pStyle w:val="ListParagraph"/>
        <w:numPr>
          <w:ilvl w:val="0"/>
          <w:numId w:val="24"/>
        </w:numPr>
        <w:rPr>
          <w:rStyle w:val="AERbody"/>
        </w:rPr>
      </w:pPr>
      <w:r w:rsidRPr="001F02B3">
        <w:t>Further, Partington and Satchell noted that the Fama-French model is a model that that is still to gain acceptance in the world of practice and is also being increasingly questioned.</w:t>
      </w:r>
      <w:r w:rsidRPr="001F02B3">
        <w:rPr>
          <w:rStyle w:val="FootnoteReference"/>
        </w:rPr>
        <w:footnoteReference w:id="793"/>
      </w:r>
      <w:r w:rsidRPr="001F02B3">
        <w:t>. They advised that the model has not established itself in the role of estimating the cost of capital, it is increasingly being challenged and currently it is in a state of flux with Fama and French having moved on to a new model.</w:t>
      </w:r>
      <w:r w:rsidRPr="001F02B3">
        <w:rPr>
          <w:rStyle w:val="FootnoteReference"/>
        </w:rPr>
        <w:footnoteReference w:id="794"/>
      </w:r>
    </w:p>
    <w:p w:rsidR="00CE01EE" w:rsidRDefault="00CE01EE" w:rsidP="00CE01EE">
      <w:pPr>
        <w:numPr>
          <w:ilvl w:val="0"/>
          <w:numId w:val="24"/>
        </w:numPr>
      </w:pPr>
      <w:r>
        <w:t xml:space="preserve">We have discussed the relative empirical performance of the Sharpe-Lintner CAPM in section </w:t>
      </w:r>
      <w:r>
        <w:fldChar w:fldCharType="begin"/>
      </w:r>
      <w:r>
        <w:instrText xml:space="preserve"> REF _Ref445849366 \r \h </w:instrText>
      </w:r>
      <w:r>
        <w:fldChar w:fldCharType="separate"/>
      </w:r>
      <w:r w:rsidR="001A023B">
        <w:t>B.1</w:t>
      </w:r>
      <w:r>
        <w:fldChar w:fldCharType="end"/>
      </w:r>
      <w:r>
        <w:t xml:space="preserve"> above. We set out our response to the other issues in the following sections.</w:t>
      </w:r>
    </w:p>
    <w:p w:rsidR="00CE01EE" w:rsidRPr="00B4711B" w:rsidRDefault="00CE01EE" w:rsidP="00CE01EE">
      <w:pPr>
        <w:pStyle w:val="Heading9"/>
      </w:pPr>
      <w:r>
        <w:t>Sensitivity to methodological choices</w:t>
      </w:r>
    </w:p>
    <w:p w:rsidR="00CE01EE" w:rsidRDefault="00CE01EE" w:rsidP="00CE01EE">
      <w:pPr>
        <w:pStyle w:val="AERbulletlistfirststyle"/>
        <w:numPr>
          <w:ilvl w:val="0"/>
          <w:numId w:val="24"/>
        </w:numPr>
      </w:pPr>
      <w:r w:rsidRPr="00EE03E8">
        <w:t xml:space="preserve">There appears to be no consensus, and, indeed, nothing approaching a consensus, on the appropriate factors to use in factor modelling. </w:t>
      </w:r>
      <w:r w:rsidRPr="001562D4">
        <w:t>McKenzie and Partington</w:t>
      </w:r>
      <w:r>
        <w:t xml:space="preserve"> </w:t>
      </w:r>
      <w:r w:rsidRPr="001562D4">
        <w:t>highlight</w:t>
      </w:r>
      <w:r>
        <w:t xml:space="preserve">ed a vast array of models that add further factors to the Fama-French model. They </w:t>
      </w:r>
      <w:r w:rsidRPr="001562D4">
        <w:t>point</w:t>
      </w:r>
      <w:r>
        <w:t>ed to one academic article that used</w:t>
      </w:r>
      <w:r w:rsidRPr="001562D4">
        <w:t xml:space="preserve"> over 50 variables to predict stock returns</w:t>
      </w:r>
      <w:r>
        <w:t>, and another that showed</w:t>
      </w:r>
      <w:r w:rsidRPr="001562D4">
        <w:t xml:space="preserve"> over 330 different predictive return signals.</w:t>
      </w:r>
      <w:r w:rsidRPr="001562D4">
        <w:rPr>
          <w:rStyle w:val="FootnoteReference"/>
        </w:rPr>
        <w:footnoteReference w:id="795"/>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796"/>
      </w:r>
    </w:p>
    <w:p w:rsidR="00CE01EE" w:rsidRDefault="00CE01EE" w:rsidP="00CE01EE">
      <w:pPr>
        <w:numPr>
          <w:ilvl w:val="0"/>
          <w:numId w:val="24"/>
        </w:numPr>
      </w:pPr>
      <w:r>
        <w:t>In addition to the appropriate factors to us in the model, there appears to be no consensus on the methodological choices for constructing the portfolios to proxy the chosen factors.</w:t>
      </w:r>
      <w:r>
        <w:rPr>
          <w:rStyle w:val="FootnoteReference"/>
        </w:rPr>
        <w:footnoteReference w:id="797"/>
      </w:r>
      <w:r>
        <w:t xml:space="preserve"> This lack of consensus on both the relevant factors and methodological choices is likely to increase the sensitivity of the model to such choices, reducing the reliability of the model and increasing the potential for bias and regulatory gaming.</w:t>
      </w:r>
    </w:p>
    <w:p w:rsidR="00CE01EE" w:rsidRPr="00F17532" w:rsidRDefault="00CE01EE" w:rsidP="00CE01EE">
      <w:pPr>
        <w:pStyle w:val="ListParagraph"/>
        <w:numPr>
          <w:ilvl w:val="0"/>
          <w:numId w:val="24"/>
        </w:numPr>
      </w:pPr>
      <w:r w:rsidRPr="00F17532">
        <w:t>Partington and Satchell noted that the Fama-French model can be manipulated through varying the number of factors and their definitions to choose a form that is most favourable to certain arguments.</w:t>
      </w:r>
      <w:r w:rsidRPr="00F17532">
        <w:rPr>
          <w:rStyle w:val="FootnoteReference"/>
        </w:rPr>
        <w:footnoteReference w:id="798"/>
      </w:r>
      <w:r w:rsidRPr="00F17532">
        <w:t xml:space="preserve"> They noted that </w:t>
      </w:r>
      <w:r>
        <w:t xml:space="preserve">two </w:t>
      </w:r>
      <w:r w:rsidRPr="00F17532">
        <w:t>advantage</w:t>
      </w:r>
      <w:r>
        <w:t xml:space="preserve">s </w:t>
      </w:r>
      <w:r w:rsidRPr="00F17532">
        <w:t>of the S</w:t>
      </w:r>
      <w:r>
        <w:t xml:space="preserve">harpe-Lintner </w:t>
      </w:r>
      <w:r w:rsidRPr="00F17532">
        <w:t xml:space="preserve">CAPM </w:t>
      </w:r>
      <w:r>
        <w:t>are its parsimony and greater observability</w:t>
      </w:r>
      <w:r w:rsidRPr="00F17532">
        <w:t xml:space="preserve"> which reduces opportunities for cherry picking and also provides the opportunity for a relatively transparent implementation.</w:t>
      </w:r>
      <w:r w:rsidRPr="00F17532">
        <w:rPr>
          <w:rStyle w:val="FootnoteReference"/>
        </w:rPr>
        <w:footnoteReference w:id="799"/>
      </w:r>
    </w:p>
    <w:p w:rsidR="00CE01EE" w:rsidRPr="001562D4" w:rsidRDefault="00CE01EE" w:rsidP="00CE01EE">
      <w:pPr>
        <w:numPr>
          <w:ilvl w:val="0"/>
          <w:numId w:val="24"/>
        </w:numPr>
      </w:pPr>
      <w:r>
        <w:t>A</w:t>
      </w:r>
      <w:r w:rsidRPr="001562D4">
        <w:t xml:space="preserve"> recent study in the UK by Michou, Mouselli and Stark (2014)</w:t>
      </w:r>
      <w:r>
        <w:t xml:space="preserve"> supports </w:t>
      </w:r>
      <w:r w:rsidRPr="001562D4">
        <w:t>this conclusion.</w:t>
      </w:r>
      <w:r w:rsidRPr="001562D4">
        <w:rPr>
          <w:rStyle w:val="FootnoteReference"/>
        </w:rPr>
        <w:footnoteReference w:id="800"/>
      </w:r>
      <w:r>
        <w:t xml:space="preserve"> </w:t>
      </w:r>
      <w:r w:rsidRPr="001562D4">
        <w:t>A principal conclusion</w:t>
      </w:r>
      <w:r>
        <w:t xml:space="preserve"> of Michou, Mouselli and Stark wa</w:t>
      </w:r>
      <w:r w:rsidRPr="001562D4">
        <w:t xml:space="preserve">s that the results of the </w:t>
      </w:r>
      <w:r>
        <w:t>model</w:t>
      </w:r>
      <w:r w:rsidRPr="001562D4">
        <w:t xml:space="preserve">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801"/>
      </w:r>
      <w:r w:rsidRPr="001562D4">
        <w:t xml:space="preserve"> </w:t>
      </w:r>
      <w:r>
        <w:t>T</w:t>
      </w:r>
      <w:r w:rsidRPr="001562D4">
        <w:t>he Australian work of Brailsford, Guant and O'Brien (2012) note</w:t>
      </w:r>
      <w:r>
        <w:t>d that,</w:t>
      </w:r>
      <w:r w:rsidRPr="001562D4">
        <w:t xml:space="preserve"> </w:t>
      </w:r>
      <w:r>
        <w:t>regarding</w:t>
      </w:r>
      <w:r w:rsidRPr="001562D4">
        <w:t xml:space="preserve"> the </w:t>
      </w:r>
      <w:r>
        <w:t>Fama French model's</w:t>
      </w:r>
      <w:r w:rsidRPr="001562D4">
        <w:t xml:space="preserve"> specification choices</w:t>
      </w:r>
      <w:r>
        <w:t>,</w:t>
      </w:r>
      <w:r w:rsidRPr="001562D4">
        <w:t xml:space="preserve"> </w:t>
      </w:r>
      <w:r>
        <w:t>'</w:t>
      </w:r>
      <w:r w:rsidRPr="001562D4">
        <w:t>what appears to be relatively innocuous choices in portfolio construction can lead to substantially different conclusions</w:t>
      </w:r>
      <w:r>
        <w:t>'</w:t>
      </w:r>
      <w:r w:rsidRPr="001562D4">
        <w:t>.</w:t>
      </w:r>
      <w:r w:rsidRPr="001562D4">
        <w:rPr>
          <w:rStyle w:val="FootnoteReference"/>
        </w:rPr>
        <w:footnoteReference w:id="802"/>
      </w:r>
      <w:r>
        <w:t xml:space="preserve"> In contrast, we have a higher degree of confidence in our Sharpe-Lintner CAPM input parameters and resulting return on equity estimates.</w:t>
      </w:r>
    </w:p>
    <w:p w:rsidR="00CE01EE" w:rsidRDefault="00CE01EE" w:rsidP="00CE01EE">
      <w:pPr>
        <w:pStyle w:val="AERbulletlistfirststyle"/>
        <w:numPr>
          <w:ilvl w:val="0"/>
          <w:numId w:val="24"/>
        </w:numPr>
      </w:pPr>
      <w:r w:rsidRPr="00EE03E8">
        <w:t xml:space="preserve">Given the large range of potential factors used in factor modelling, as well as the contested and technical nature of this emerging body of research, we consider (at this time) factor modelling is </w:t>
      </w:r>
      <w:r>
        <w:t>unlikely to produce suitably reliable and unbiased estimates of the return on equity.</w:t>
      </w:r>
    </w:p>
    <w:p w:rsidR="00CE01EE" w:rsidRDefault="00CE01EE" w:rsidP="00CE01EE">
      <w:pPr>
        <w:pStyle w:val="AERbulletlistfirststyle"/>
        <w:numPr>
          <w:ilvl w:val="0"/>
          <w:numId w:val="24"/>
        </w:numPr>
      </w:pPr>
      <w:r>
        <w:t>SFG did not consider the Fama-French model complex to implement, as it simply required estimating three factors instead of the one factor in the Sharpe-Lintner CAPM.</w:t>
      </w:r>
      <w:r>
        <w:rPr>
          <w:rStyle w:val="FootnoteReference"/>
        </w:rPr>
        <w:footnoteReference w:id="803"/>
      </w:r>
      <w:r>
        <w:t xml:space="preserve"> We do not agree. We consider that there is a much greater degree of consensus among academics and market practitioners on the methods and data sources for estimating the market risk premium and equity beta than there is for estimating the size and value factors in the Fama-French model.</w:t>
      </w:r>
      <w:r>
        <w:rPr>
          <w:rStyle w:val="FootnoteReference"/>
        </w:rPr>
        <w:footnoteReference w:id="804"/>
      </w:r>
      <w:r>
        <w:t xml:space="preserve"> Further, estimating the market risk premium and equity beta in the Sharpe-Lintner CAPM has resulted in a large amount of material being submitted by service providers, consultants and consumer groups.</w:t>
      </w:r>
      <w:r>
        <w:rPr>
          <w:rStyle w:val="FootnoteReference"/>
        </w:rPr>
        <w:footnoteReference w:id="805"/>
      </w:r>
      <w:r>
        <w:t xml:space="preserve"> This material adds a large amount of complexity 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CE01EE" w:rsidRDefault="00CE01EE" w:rsidP="00CE01EE">
      <w:pPr>
        <w:numPr>
          <w:ilvl w:val="0"/>
          <w:numId w:val="24"/>
        </w:numPr>
      </w:pPr>
      <w:r>
        <w:t>Regarding sensitivity, SFG and Frontier considered all models requiring parameter estimates are sensitive to those estimates, including the Sharpe-Lintner CAPM.</w:t>
      </w:r>
      <w:r>
        <w:rPr>
          <w:rStyle w:val="FootnoteReference"/>
        </w:rPr>
        <w:footnoteReference w:id="806"/>
      </w:r>
      <w:r>
        <w:t xml:space="preserve"> While we recognise that all models can be sensitive, we are not satisfied that the sensitivity of the Fama-French model is comparable to the Sharpe-Lintner CAPM. </w:t>
      </w:r>
    </w:p>
    <w:p w:rsidR="00CE01EE" w:rsidRDefault="00CE01EE" w:rsidP="00CE01EE">
      <w:pPr>
        <w:numPr>
          <w:ilvl w:val="0"/>
          <w:numId w:val="24"/>
        </w:numPr>
      </w:pPr>
      <w:r>
        <w:t>SFG appears to suggest that the sensitivity arising from the Sharpe-Lintner CAPM is due to the market factor. We have no reason to expect that adding arguably more sensitive factors (the size and value factors) would produce a model with a comparable level of sensitivity.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807"/>
      </w:r>
      <w:r>
        <w:t xml:space="preserve"> We have confidence in our proxy for the risk free rate, which would be the same if we were to apply the Fama-French model.</w:t>
      </w:r>
    </w:p>
    <w:p w:rsidR="00CE01EE" w:rsidRDefault="00CE01EE" w:rsidP="00CE01EE">
      <w:r>
        <w:t>Partington did not agree with SFG's submission that all models are sensitive to different estimation periods and methodologies. He advised:</w:t>
      </w:r>
      <w:r>
        <w:rPr>
          <w:rStyle w:val="FootnoteReference"/>
        </w:rPr>
        <w:footnoteReference w:id="808"/>
      </w:r>
    </w:p>
    <w:p w:rsidR="00CE01EE" w:rsidRDefault="00CE01EE" w:rsidP="00CE01EE">
      <w:pPr>
        <w:pStyle w:val="AERquote"/>
      </w:pPr>
      <w:r w:rsidRPr="00E311F4">
        <w:t>We do not agree with SFG however, that “this applies to all models”</w:t>
      </w:r>
      <w:r>
        <w:t>. We agree that estimated values may vary over data sets, the question is do they vary moderately or do they vary so much as to be considered unstable and/or unreliable? In this context we</w:t>
      </w:r>
      <w:r w:rsidRPr="00E311F4">
        <w:t xml:space="preserve"> note that Henry (2008, 2009, 2014) tests for, and finds no evidence of, structural instability in the estimates of the equity beta in the SL-CAPM.  </w:t>
      </w:r>
    </w:p>
    <w:p w:rsidR="00CE01EE" w:rsidRDefault="00CE01EE" w:rsidP="00CE01EE">
      <w:pPr>
        <w:pStyle w:val="AERbulletlistfirststyle"/>
        <w:numPr>
          <w:ilvl w:val="0"/>
          <w:numId w:val="24"/>
        </w:numPr>
      </w:pPr>
      <w:r>
        <w:t xml:space="preserve">NERA submitted that </w:t>
      </w:r>
      <w:r w:rsidRPr="006C4D93">
        <w:t xml:space="preserve">the </w:t>
      </w:r>
      <w:r>
        <w:t>Fama-French model</w:t>
      </w:r>
      <w:r w:rsidRPr="006C4D93">
        <w:t xml:space="preserve"> produces a less precise estimate than the S</w:t>
      </w:r>
      <w:r>
        <w:t>harpe-</w:t>
      </w:r>
      <w:r w:rsidRPr="006C4D93">
        <w:t>L</w:t>
      </w:r>
      <w:r>
        <w:t xml:space="preserve">intner </w:t>
      </w:r>
      <w:r w:rsidRPr="006C4D93">
        <w:t>CAPM, ‘because it requires beta estimates relative to, not one, but three factors’. However, there may be a trade-off between precision (low standard deviation) and bias</w:t>
      </w:r>
      <w:r>
        <w:t xml:space="preserve"> </w:t>
      </w:r>
      <w:r w:rsidRPr="00F025A9">
        <w:t>—</w:t>
      </w:r>
      <w:r>
        <w:t xml:space="preserve"> the Fama-French model should be considered given its relative lack of</w:t>
      </w:r>
      <w:r w:rsidRPr="006C4D93">
        <w:t xml:space="preserve"> </w:t>
      </w:r>
      <w:r>
        <w:t>bias</w:t>
      </w:r>
      <w:r w:rsidRPr="006C4D93">
        <w:t>.</w:t>
      </w:r>
      <w:r>
        <w:rPr>
          <w:rStyle w:val="FootnoteReference"/>
        </w:rPr>
        <w:footnoteReference w:id="809"/>
      </w:r>
      <w:r>
        <w:t xml:space="preserve"> </w:t>
      </w:r>
      <w:r w:rsidRPr="001562D4">
        <w:t>We accept that a more complex model may be preferred over a less complex model where it offers a better estimate. However, w</w:t>
      </w:r>
      <w:r>
        <w:t xml:space="preserve">e do not consider the Fama-French model </w:t>
      </w:r>
      <w:r w:rsidRPr="001562D4">
        <w:t xml:space="preserve">provides a better estimate </w:t>
      </w:r>
      <w:r>
        <w:t>than</w:t>
      </w:r>
      <w:r w:rsidRPr="001562D4">
        <w:t xml:space="preserve"> the S</w:t>
      </w:r>
      <w:r>
        <w:t>harpe-</w:t>
      </w:r>
      <w:r w:rsidRPr="001562D4">
        <w:t>L</w:t>
      </w:r>
      <w:r>
        <w:t xml:space="preserve">intner </w:t>
      </w:r>
      <w:r w:rsidRPr="001562D4">
        <w:t xml:space="preserve">CAPM. </w:t>
      </w:r>
      <w:r>
        <w:t>As noted above, we do not consider that the Fama-French model provides compelling evidence that a book-to-market bias exists in the Sharpe-Lintner CAPM.</w:t>
      </w:r>
      <w:r w:rsidRPr="001562D4">
        <w:t xml:space="preserve"> </w:t>
      </w:r>
    </w:p>
    <w:p w:rsidR="00CE01EE" w:rsidRPr="006C4D93" w:rsidRDefault="00CE01EE" w:rsidP="00CE01EE">
      <w:pPr>
        <w:numPr>
          <w:ilvl w:val="0"/>
          <w:numId w:val="24"/>
        </w:numPr>
      </w:pPr>
      <w:r>
        <w:t>SFG submitted t</w:t>
      </w:r>
      <w:r w:rsidRPr="006C4D93">
        <w:t xml:space="preserve">he variation between </w:t>
      </w:r>
      <w:r>
        <w:t>Fama-French</w:t>
      </w:r>
      <w:r w:rsidRPr="006C4D93">
        <w:t xml:space="preserve"> </w:t>
      </w:r>
      <w:r>
        <w:t xml:space="preserve">model </w:t>
      </w:r>
      <w:r w:rsidRPr="006C4D93">
        <w:t>estimates arises because the studies that produce them are of different quality. We should only consider estimates from the best studies.</w:t>
      </w:r>
      <w:r w:rsidRPr="006C4D93">
        <w:rPr>
          <w:rStyle w:val="FootnoteReference"/>
        </w:rPr>
        <w:footnoteReference w:id="810"/>
      </w:r>
      <w:r>
        <w:t xml:space="preserve"> Further, NERA previously submitted:</w:t>
      </w:r>
      <w:r w:rsidRPr="006C4D93">
        <w:rPr>
          <w:rStyle w:val="FootnoteReference"/>
        </w:rPr>
        <w:footnoteReference w:id="811"/>
      </w:r>
    </w:p>
    <w:p w:rsidR="00CE01EE" w:rsidRPr="001562D4" w:rsidRDefault="00CE01EE" w:rsidP="00CE01EE">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CE01EE" w:rsidRDefault="00CE01EE" w:rsidP="00CE01EE">
      <w:r>
        <w:t>We do not consider there are clear objective grounds to distinguish the 'best' studies. McKenzie and Partington supported this view.</w:t>
      </w:r>
      <w:r>
        <w:rPr>
          <w:rStyle w:val="FootnoteReference"/>
        </w:rPr>
        <w:footnoteReference w:id="812"/>
      </w:r>
      <w:r>
        <w:t xml:space="preserve"> </w:t>
      </w:r>
      <w:r w:rsidRPr="001562D4">
        <w:t>While SFG argue</w:t>
      </w:r>
      <w:r>
        <w:t>d</w:t>
      </w:r>
      <w:r w:rsidRPr="001562D4">
        <w:t xml:space="preserve"> </w:t>
      </w:r>
      <w:r>
        <w:t>that one methodology to estimating the Fama-French model i</w:t>
      </w:r>
      <w:r w:rsidRPr="001562D4">
        <w:t xml:space="preserve">s superior to </w:t>
      </w:r>
      <w:r>
        <w:t>other methodologies</w:t>
      </w:r>
      <w:r w:rsidRPr="001562D4">
        <w:t>, we disagree.</w:t>
      </w:r>
      <w:r w:rsidRPr="001562D4">
        <w:rPr>
          <w:rStyle w:val="FootnoteReference"/>
        </w:rPr>
        <w:footnoteReference w:id="813"/>
      </w:r>
      <w:r w:rsidRPr="001562D4">
        <w:t xml:space="preserve"> 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814"/>
      </w:r>
    </w:p>
    <w:p w:rsidR="00CE01EE" w:rsidRPr="00B4711B" w:rsidRDefault="00CE01EE" w:rsidP="00CE01EE">
      <w:pPr>
        <w:pStyle w:val="Heading9"/>
      </w:pPr>
      <w:bookmarkStart w:id="130" w:name="_Ref449010281"/>
      <w:r>
        <w:t>Fama-French factors may not reflect ex ante priced risk</w:t>
      </w:r>
      <w:bookmarkEnd w:id="130"/>
    </w:p>
    <w:p w:rsidR="00CE01EE" w:rsidRDefault="00CE01EE" w:rsidP="00CE01EE">
      <w:pPr>
        <w:numPr>
          <w:ilvl w:val="0"/>
          <w:numId w:val="24"/>
        </w:numPr>
      </w:pPr>
      <w:r>
        <w:t>The Fama-French model</w:t>
      </w:r>
      <w:r w:rsidRPr="001562D4">
        <w:t xml:space="preserve"> estimate</w:t>
      </w:r>
      <w:r>
        <w:t>s average returns in the cross-</w:t>
      </w:r>
      <w:r w:rsidRPr="001562D4">
        <w:t>section</w:t>
      </w:r>
      <w:r>
        <w:t xml:space="preserve">. </w:t>
      </w:r>
      <w:r w:rsidRPr="001562D4">
        <w:t xml:space="preserve">McKenzie and Partington </w:t>
      </w:r>
      <w:r>
        <w:t>made</w:t>
      </w:r>
      <w:r w:rsidRPr="001562D4">
        <w:t xml:space="preserve"> the important point that</w:t>
      </w:r>
      <w:r>
        <w:t>,</w:t>
      </w:r>
      <w:r w:rsidRPr="001562D4">
        <w:t xml:space="preserve"> </w:t>
      </w:r>
      <w:r>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815"/>
      </w:r>
    </w:p>
    <w:p w:rsidR="00CE01EE" w:rsidRDefault="00CE01EE" w:rsidP="00CE01EE">
      <w:pPr>
        <w:numPr>
          <w:ilvl w:val="0"/>
          <w:numId w:val="24"/>
        </w:numPr>
      </w:pPr>
      <w:r>
        <w:t>We are not satisfied the Fama-French model is helpful for our regulatory task because:</w:t>
      </w:r>
    </w:p>
    <w:p w:rsidR="00CE01EE" w:rsidRPr="00CE01EE" w:rsidRDefault="00CE01EE" w:rsidP="00CE01EE">
      <w:pPr>
        <w:pStyle w:val="AERbulletlistfirststyle"/>
      </w:pPr>
      <w:r>
        <w:t xml:space="preserve">We consider that whether </w:t>
      </w:r>
      <w:r w:rsidRPr="00CE01EE">
        <w:t>factors are priced in the cross-section is unresolved. SFG referred to a number of possible explanations for why the value factor could be genuinely priced in average returns in the cross section.</w:t>
      </w:r>
      <w:r w:rsidRPr="00CE01EE">
        <w:rPr>
          <w:rStyle w:val="FootnoteReference"/>
        </w:rPr>
        <w:footnoteReference w:id="816"/>
      </w:r>
      <w:r w:rsidRPr="00CE01EE">
        <w:t xml:space="preserve"> However, none of the possible reasons is commonly accepted.</w:t>
      </w:r>
      <w:r w:rsidRPr="00CE01EE">
        <w:rPr>
          <w:rStyle w:val="FootnoteReference"/>
        </w:rPr>
        <w:footnoteReference w:id="817"/>
      </w:r>
    </w:p>
    <w:p w:rsidR="00CE01EE" w:rsidRPr="00CE01EE" w:rsidRDefault="00CE01EE" w:rsidP="00CE01EE">
      <w:pPr>
        <w:pStyle w:val="AERbulletlistfirststyle"/>
      </w:pPr>
      <w:r>
        <w:t>E</w:t>
      </w:r>
      <w:r w:rsidRPr="00CE01EE">
        <w:t>ven if we accepted that the factors were priced in the cross-section, McKenzie and Partington question the appropriateness of applying average returns in the cross-section to the benchmark efficient entity. Even if factors are priced in the cross-section, this does not necessarily imply that the benchmark efficient entity requires compensation above the level provided for under the Sharpe-Lintner CAPM.</w:t>
      </w:r>
    </w:p>
    <w:p w:rsidR="00CE01EE" w:rsidRDefault="00CE01EE" w:rsidP="00CE01EE">
      <w:r>
        <w:t>Service providers noted that our concern</w:t>
      </w:r>
      <w:r w:rsidRPr="00127ECB">
        <w:t xml:space="preserve"> that the </w:t>
      </w:r>
      <w:r>
        <w:t xml:space="preserve">Fama-French model </w:t>
      </w:r>
      <w:r w:rsidRPr="00127ECB">
        <w:t>is not clearly estimating ex ante required</w:t>
      </w:r>
      <w:r>
        <w:t xml:space="preserve"> </w:t>
      </w:r>
      <w:r w:rsidRPr="00127ECB">
        <w:t>returns</w:t>
      </w:r>
      <w:r>
        <w:t xml:space="preserve"> is 'curious'.</w:t>
      </w:r>
      <w:r>
        <w:rPr>
          <w:rStyle w:val="FootnoteReference"/>
        </w:rPr>
        <w:footnoteReference w:id="818"/>
      </w:r>
      <w:r w:rsidRPr="00127ECB">
        <w:t xml:space="preserve"> </w:t>
      </w:r>
      <w:r>
        <w:t xml:space="preserve">Frontier added that </w:t>
      </w:r>
      <w:r w:rsidRPr="00127ECB">
        <w:t xml:space="preserve">the rationale for using the </w:t>
      </w:r>
      <w:r>
        <w:t>Fama-French model</w:t>
      </w:r>
      <w:r w:rsidRPr="00127ECB">
        <w:t xml:space="preserve"> is no</w:t>
      </w:r>
      <w:r>
        <w:t xml:space="preserve"> </w:t>
      </w:r>
      <w:r w:rsidRPr="00127ECB">
        <w:t>different to the rationale for using the S</w:t>
      </w:r>
      <w:r>
        <w:t xml:space="preserve">harpe-Lintner </w:t>
      </w:r>
      <w:r w:rsidRPr="00127ECB">
        <w:t>CAPM or Black CAPM</w:t>
      </w:r>
      <w:r>
        <w:t xml:space="preserve"> - that is, </w:t>
      </w:r>
      <w:r w:rsidRPr="00127ECB">
        <w:t>to explain the cross</w:t>
      </w:r>
      <w:r>
        <w:t>-</w:t>
      </w:r>
      <w:r w:rsidRPr="00127ECB">
        <w:t>section of stock returns, based on explanatory factors</w:t>
      </w:r>
      <w:r>
        <w:t xml:space="preserve"> </w:t>
      </w:r>
      <w:r w:rsidRPr="00127ECB">
        <w:t>that have been observed to correlate with stock returns in the past.</w:t>
      </w:r>
      <w:r>
        <w:t xml:space="preserve"> HoustonKemp also noted that t</w:t>
      </w:r>
      <w:r w:rsidRPr="00291ED2">
        <w:rPr>
          <w:rStyle w:val="AERbody"/>
        </w:rPr>
        <w:t xml:space="preserve">he </w:t>
      </w:r>
      <w:r>
        <w:rPr>
          <w:rStyle w:val="AERbody"/>
        </w:rPr>
        <w:t>Fama-French model</w:t>
      </w:r>
      <w:r w:rsidRPr="00291ED2">
        <w:rPr>
          <w:rStyle w:val="AERbody"/>
        </w:rPr>
        <w:t xml:space="preserve"> was developed to address mis-pricing on low-cap and value stocks.</w:t>
      </w:r>
      <w:r w:rsidRPr="004212BE">
        <w:rPr>
          <w:rStyle w:val="FootnoteReference"/>
        </w:rPr>
        <w:footnoteReference w:id="819"/>
      </w:r>
    </w:p>
    <w:p w:rsidR="00CE01EE" w:rsidRDefault="00CE01EE" w:rsidP="00CE01EE">
      <w:pPr>
        <w:pStyle w:val="ListParagraph"/>
        <w:numPr>
          <w:ilvl w:val="0"/>
          <w:numId w:val="24"/>
        </w:numPr>
      </w:pPr>
      <w:r>
        <w:t xml:space="preserve">We note that service providers and their consultants' </w:t>
      </w:r>
      <w:r w:rsidRPr="00615EDE">
        <w:t xml:space="preserve">criterion for selecting an asset pricing model </w:t>
      </w:r>
      <w:r>
        <w:t xml:space="preserve">appears to be </w:t>
      </w:r>
      <w:r w:rsidRPr="00615EDE">
        <w:t>how well it forecasts subsequent realised returns</w:t>
      </w:r>
      <w:r>
        <w:t xml:space="preserve"> using asset pricing tests</w:t>
      </w:r>
      <w:r w:rsidRPr="00615EDE">
        <w:t>.</w:t>
      </w:r>
      <w:r>
        <w:rPr>
          <w:rStyle w:val="FootnoteReference"/>
        </w:rPr>
        <w:footnoteReference w:id="820"/>
      </w:r>
      <w:r w:rsidRPr="00615EDE">
        <w:t xml:space="preserve"> </w:t>
      </w:r>
      <w:r>
        <w:t>However, Partington and Satchell advised that it is t</w:t>
      </w:r>
      <w:r w:rsidRPr="00265E75">
        <w:t xml:space="preserve">he </w:t>
      </w:r>
      <w:r>
        <w:t>e</w:t>
      </w:r>
      <w:r w:rsidRPr="00265E75">
        <w:t xml:space="preserve">quilibrium expected returns </w:t>
      </w:r>
      <w:r>
        <w:t>that</w:t>
      </w:r>
      <w:r w:rsidRPr="00265E75">
        <w:t xml:space="preserve"> we want to measure when determining the cost of capital.</w:t>
      </w:r>
      <w:r>
        <w:rPr>
          <w:rStyle w:val="FootnoteReference"/>
        </w:rPr>
        <w:footnoteReference w:id="821"/>
      </w:r>
      <w:r>
        <w:t xml:space="preserve"> They added that f</w:t>
      </w:r>
      <w:r w:rsidRPr="00615EDE">
        <w:t>orecasting stock returns and determining equilibrium expected returns (asset pricing) are two different tasks.</w:t>
      </w:r>
      <w:r>
        <w:rPr>
          <w:rStyle w:val="FootnoteReference"/>
        </w:rPr>
        <w:footnoteReference w:id="822"/>
      </w:r>
      <w:r w:rsidRPr="00615EDE">
        <w:t xml:space="preserve"> </w:t>
      </w:r>
    </w:p>
    <w:p w:rsidR="00CE01EE" w:rsidRDefault="00CE01EE" w:rsidP="00CE01EE">
      <w:pPr>
        <w:pStyle w:val="ListParagraph"/>
        <w:numPr>
          <w:ilvl w:val="0"/>
          <w:numId w:val="24"/>
        </w:numPr>
      </w:pPr>
      <w:r>
        <w:t xml:space="preserve">We also note that the results of asset pricing tests such as those by Kan, Robotti and Shanken </w:t>
      </w:r>
      <w:r w:rsidRPr="00615EDE">
        <w:t>depend upon the characteristics used in sorting stocks into portfolios</w:t>
      </w:r>
      <w:r>
        <w:t xml:space="preserve"> when undertaking asset pricing tests</w:t>
      </w:r>
      <w:r w:rsidRPr="00615EDE">
        <w:t>.</w:t>
      </w:r>
      <w:r>
        <w:rPr>
          <w:rStyle w:val="FootnoteReference"/>
        </w:rPr>
        <w:footnoteReference w:id="823"/>
      </w:r>
      <w:r w:rsidRPr="00615EDE">
        <w:t xml:space="preserve"> </w:t>
      </w:r>
      <w:r>
        <w:t>Partington and Satchell</w:t>
      </w:r>
      <w:r w:rsidRPr="00615EDE">
        <w:t xml:space="preserve"> </w:t>
      </w:r>
      <w:r>
        <w:t xml:space="preserve">noted that in </w:t>
      </w:r>
      <w:r w:rsidRPr="00615EDE">
        <w:t>multiple model comparisons</w:t>
      </w:r>
      <w:r>
        <w:t>,</w:t>
      </w:r>
      <w:r w:rsidRPr="00615EDE">
        <w:t xml:space="preserve"> the </w:t>
      </w:r>
      <w:r>
        <w:t>Fama-French</w:t>
      </w:r>
      <w:r w:rsidRPr="00615EDE">
        <w:t xml:space="preserve"> model is rejected in tests using portfolios sorted </w:t>
      </w:r>
      <w:r>
        <w:t xml:space="preserve">by </w:t>
      </w:r>
      <w:r w:rsidRPr="00615EDE">
        <w:t xml:space="preserve">size and beta. </w:t>
      </w:r>
    </w:p>
    <w:p w:rsidR="00CE01EE" w:rsidRDefault="00CE01EE" w:rsidP="00CE01EE">
      <w:pPr>
        <w:pStyle w:val="Heading8"/>
      </w:pPr>
      <w:bookmarkStart w:id="131" w:name="_Ref449007421"/>
      <w:bookmarkStart w:id="132" w:name="_Toc451945485"/>
      <w:r>
        <w:t>Dividend growth model</w:t>
      </w:r>
      <w:bookmarkEnd w:id="131"/>
      <w:bookmarkEnd w:id="132"/>
    </w:p>
    <w:p w:rsidR="00CE01EE" w:rsidRDefault="00CE01EE" w:rsidP="00CE01EE">
      <w:pPr>
        <w:numPr>
          <w:ilvl w:val="0"/>
          <w:numId w:val="24"/>
        </w:numPr>
      </w:pPr>
      <w:r>
        <w:t xml:space="preserve">Dividend growth models </w:t>
      </w:r>
      <w:r w:rsidRPr="00C8159B">
        <w:t>use forecast</w:t>
      </w:r>
      <w:r>
        <w:t>s of a business'</w:t>
      </w:r>
      <w:r w:rsidRPr="00C8159B">
        <w:t xml:space="preserve"> dividends to derive the return on equity by making the assumption that the present value of these dividends is equal to the business' market value of equity. </w:t>
      </w:r>
      <w:r>
        <w:t xml:space="preserve">Dividend growth models may come in many different forms. Our preferred construction of the dividend growth model is set out in section </w:t>
      </w:r>
      <w:r>
        <w:fldChar w:fldCharType="begin"/>
      </w:r>
      <w:r>
        <w:instrText xml:space="preserve"> REF _Ref448787515 \r \h </w:instrText>
      </w:r>
      <w:r>
        <w:fldChar w:fldCharType="separate"/>
      </w:r>
      <w:r w:rsidR="001A023B">
        <w:t>D.3</w:t>
      </w:r>
      <w:r>
        <w:fldChar w:fldCharType="end"/>
      </w:r>
      <w:r>
        <w:t xml:space="preserve">. Dividend growth models typically require forecasts of dividends for a defined future period, and a rate at which dividends are forecast to grow in the long-term after the forecast period has ended. </w:t>
      </w:r>
    </w:p>
    <w:p w:rsidR="00CE01EE" w:rsidRPr="00957F0D" w:rsidRDefault="00CE01EE" w:rsidP="00CE01EE">
      <w:pPr>
        <w:numPr>
          <w:ilvl w:val="0"/>
          <w:numId w:val="24"/>
        </w:numPr>
      </w:pPr>
      <w:r w:rsidRPr="00957F0D">
        <w:t xml:space="preserve">We consider the point estimates of the </w:t>
      </w:r>
      <w:r>
        <w:t>return on equity</w:t>
      </w:r>
      <w:r w:rsidRPr="00957F0D">
        <w:t xml:space="preserve"> from </w:t>
      </w:r>
      <w:r>
        <w:t>dividend growth models</w:t>
      </w:r>
      <w:r w:rsidRPr="00957F0D">
        <w:t xml:space="preserve"> are currently </w:t>
      </w:r>
      <w:r>
        <w:t>unsuitable for:</w:t>
      </w:r>
    </w:p>
    <w:p w:rsidR="00CE01EE" w:rsidRPr="00CE01EE" w:rsidRDefault="00CE01EE" w:rsidP="00CE01EE">
      <w:pPr>
        <w:pStyle w:val="AERbulletlistfirststyle"/>
      </w:pPr>
      <w:r>
        <w:t>e</w:t>
      </w:r>
      <w:r w:rsidRPr="00CE01EE">
        <w:t>stimating the return on equity for the benchmark efficient entity</w:t>
      </w:r>
    </w:p>
    <w:p w:rsidR="00CE01EE" w:rsidRPr="00CE01EE" w:rsidRDefault="00CE01EE" w:rsidP="00CE01EE">
      <w:pPr>
        <w:pStyle w:val="AERbulletlistfirststyle"/>
      </w:pPr>
      <w:r>
        <w:t>p</w:t>
      </w:r>
      <w:r w:rsidRPr="00CE01EE">
        <w:t>erforming a cross check on whether other models (including the Sharpe-Lintner CAPM) are producing reasonable estimates of the return on equity.</w:t>
      </w:r>
    </w:p>
    <w:p w:rsidR="00CE01EE" w:rsidRPr="00957F0D" w:rsidRDefault="00CE01EE" w:rsidP="00CE01EE">
      <w:pPr>
        <w:numPr>
          <w:ilvl w:val="0"/>
          <w:numId w:val="24"/>
        </w:numPr>
      </w:pPr>
      <w:r>
        <w:t>Our</w:t>
      </w:r>
      <w:r w:rsidRPr="00957F0D">
        <w:t xml:space="preserve"> reasons for </w:t>
      </w:r>
      <w:r>
        <w:t>this position</w:t>
      </w:r>
      <w:r w:rsidRPr="00957F0D">
        <w:t xml:space="preserve"> are:</w:t>
      </w:r>
    </w:p>
    <w:p w:rsidR="00CE01EE" w:rsidRPr="00CE01EE" w:rsidRDefault="00CE01EE" w:rsidP="00CE01EE">
      <w:pPr>
        <w:pStyle w:val="AERbulletlistfirststyle"/>
      </w:pPr>
      <w:r>
        <w:t>T</w:t>
      </w:r>
      <w:r w:rsidRPr="00CE01EE">
        <w:t>here is insufficient data on dividend forecasts to form robust estimates of the required return on equity for Australian energy network service providers.</w:t>
      </w:r>
      <w:r w:rsidRPr="00CE01EE">
        <w:rPr>
          <w:rStyle w:val="FootnoteReference"/>
        </w:rPr>
        <w:footnoteReference w:id="824"/>
      </w:r>
      <w:r w:rsidRPr="00CE01EE">
        <w:t xml:space="preserve"> As such, there are practical difficulties in constructing credible datasets for implementing industry specific dividend growth models.</w:t>
      </w:r>
      <w:r w:rsidRPr="00CE01EE">
        <w:rPr>
          <w:rStyle w:val="FootnoteReference"/>
        </w:rPr>
        <w:footnoteReference w:id="825"/>
      </w:r>
      <w:r w:rsidRPr="00CE01EE">
        <w:t xml:space="preserve"> Also, there are too few Australian businesses to estimate dividend growth models on an individual business level.</w:t>
      </w:r>
      <w:r w:rsidRPr="00CE01EE">
        <w:rPr>
          <w:rStyle w:val="FootnoteReference"/>
        </w:rPr>
        <w:footnoteReference w:id="826"/>
      </w:r>
      <w:r w:rsidRPr="00CE01EE">
        <w:t xml:space="preserve"> However, a sufficiently robust data series exists for dividend yields for the Australian market as a whole.</w:t>
      </w:r>
    </w:p>
    <w:p w:rsidR="00CE01EE" w:rsidRPr="00CE01EE" w:rsidRDefault="00CE01EE" w:rsidP="00CE01EE">
      <w:pPr>
        <w:pStyle w:val="AERbulletlistfirststyle"/>
      </w:pPr>
      <w:r>
        <w:t>We do not consider that</w:t>
      </w:r>
      <w:r w:rsidRPr="00CE01EE">
        <w:t xml:space="preserve"> there is a sufficiently robust method for estimating the long-term dividend growth rate</w:t>
      </w:r>
      <w:r w:rsidRPr="00CE01EE">
        <w:rPr>
          <w:rStyle w:val="CommentReference"/>
        </w:rPr>
        <w:t xml:space="preserve"> </w:t>
      </w:r>
      <w:r w:rsidRPr="00CE01EE">
        <w:t>for Australian energy network service providers.</w:t>
      </w:r>
      <w:r w:rsidRPr="00CE01EE">
        <w:rPr>
          <w:rStyle w:val="FootnoteReference"/>
        </w:rPr>
        <w:footnoteReference w:id="827"/>
      </w:r>
      <w:r w:rsidRPr="00CE01EE">
        <w:t xml:space="preserve"> However, there are developed methods for estimating the long-term growth rate of dividends for the Australian market as a whole.</w:t>
      </w:r>
      <w:r w:rsidRPr="00CE01EE">
        <w:rPr>
          <w:rStyle w:val="FootnoteReference"/>
        </w:rPr>
        <w:footnoteReference w:id="828"/>
      </w:r>
      <w:r w:rsidRPr="00CE01EE">
        <w:t xml:space="preserve"> </w:t>
      </w:r>
    </w:p>
    <w:p w:rsidR="00CE01EE" w:rsidRPr="00CE01EE" w:rsidRDefault="00CE01EE" w:rsidP="00CE01EE">
      <w:pPr>
        <w:pStyle w:val="AERbulletlistfirststyle"/>
      </w:pPr>
      <w:r>
        <w:t>Dividend growth models</w:t>
      </w:r>
      <w:r w:rsidRPr="00CE01EE">
        <w:t xml:space="preserve"> can have limited robustness given they are highly sensitive to input assumptions regarding short and long-term dividend growth rates. This makes the models highly sensitive to potential errors in inputs. Further, dividend growth models may generate counter-intuitive results. For example, we have observed that, over</w:t>
      </w:r>
      <w:r w:rsidRPr="00CE01EE">
        <w:rPr>
          <w:rStyle w:val="CommentReference"/>
        </w:rPr>
        <w:t xml:space="preserve"> </w:t>
      </w:r>
      <w:r w:rsidRPr="00CE01EE">
        <w:t>extended periods of time, dividend growth models generated significantly higher average returns on equity for Australian energy network businesses than for the Australian market as a whole. We consider this fails a sanity test as the systematic risk of network businesses is likely less than the overall market.</w:t>
      </w:r>
      <w:r w:rsidRPr="00CE01EE">
        <w:rPr>
          <w:rStyle w:val="FootnoteReference"/>
        </w:rPr>
        <w:footnoteReference w:id="829"/>
      </w:r>
    </w:p>
    <w:p w:rsidR="00CE01EE" w:rsidRPr="00CE01EE" w:rsidRDefault="00CE01EE" w:rsidP="00CE01EE">
      <w:pPr>
        <w:pStyle w:val="AERbulletlistfirststyle"/>
      </w:pPr>
      <w:r>
        <w:t>Dividend growth model estimates may be upwardly biased due to:</w:t>
      </w:r>
    </w:p>
    <w:p w:rsidR="00CE01EE" w:rsidRDefault="00CE01EE" w:rsidP="00CE01EE">
      <w:pPr>
        <w:pStyle w:val="AERbulletlistsecondstyle"/>
      </w:pPr>
      <w:r>
        <w:t>The well-understood upwards bias in a</w:t>
      </w:r>
      <w:r w:rsidRPr="00B4711B">
        <w:t>nalyst forecasts</w:t>
      </w:r>
      <w:r>
        <w:t>.</w:t>
      </w:r>
      <w:r w:rsidRPr="00B4711B">
        <w:rPr>
          <w:rStyle w:val="FootnoteReference"/>
        </w:rPr>
        <w:footnoteReference w:id="830"/>
      </w:r>
    </w:p>
    <w:p w:rsidR="00CE01EE" w:rsidRDefault="00CE01EE" w:rsidP="00CE01EE">
      <w:pPr>
        <w:pStyle w:val="AERbulletlistsecondstyle"/>
      </w:pPr>
      <w:r>
        <w:t>Slow-changing dividends, which is</w:t>
      </w:r>
      <w:r w:rsidRPr="0065391F">
        <w:t xml:space="preserve"> </w:t>
      </w:r>
      <w:r>
        <w:t xml:space="preserve">a </w:t>
      </w:r>
      <w:r w:rsidRPr="0065391F">
        <w:t>well-understood phenomenon in financial theory and empirical</w:t>
      </w:r>
      <w:r>
        <w:t>ly supported by survey evidence</w:t>
      </w:r>
      <w:r w:rsidRPr="0065391F">
        <w:t>.</w:t>
      </w:r>
      <w:r w:rsidRPr="0065391F">
        <w:rPr>
          <w:rStyle w:val="FootnoteReference"/>
        </w:rPr>
        <w:footnoteReference w:id="831"/>
      </w:r>
      <w:r w:rsidRPr="00832CA6">
        <w:t xml:space="preserve"> </w:t>
      </w:r>
      <w:r>
        <w:t>T</w:t>
      </w:r>
      <w:r w:rsidRPr="0065391F">
        <w:t>here is likely to be an asymmetry in the effects because of a greater reluctance to cut dividends than increase dividends.</w:t>
      </w:r>
      <w:r w:rsidRPr="0065391F">
        <w:rPr>
          <w:rStyle w:val="FootnoteReference"/>
        </w:rPr>
        <w:footnoteReference w:id="832"/>
      </w:r>
    </w:p>
    <w:p w:rsidR="00CE01EE" w:rsidRDefault="00CE01EE" w:rsidP="00CE01EE">
      <w:pPr>
        <w:pStyle w:val="AERbulletlistsecondstyle"/>
      </w:pPr>
      <w:r w:rsidRPr="0065391F">
        <w:rPr>
          <w:rStyle w:val="AERbody"/>
        </w:rPr>
        <w:t xml:space="preserve">The currently relatively low </w:t>
      </w:r>
      <w:r>
        <w:rPr>
          <w:rStyle w:val="AERbody"/>
        </w:rPr>
        <w:t>risk free rate</w:t>
      </w:r>
      <w:r w:rsidRPr="0065391F">
        <w:rPr>
          <w:rStyle w:val="AERbody"/>
        </w:rPr>
        <w:t>.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833"/>
      </w:r>
      <w:r w:rsidRPr="0065391F">
        <w:rPr>
          <w:rStyle w:val="AERbody"/>
        </w:rPr>
        <w:t xml:space="preserve"> </w:t>
      </w:r>
    </w:p>
    <w:p w:rsidR="00CE01EE" w:rsidRPr="00B4711B" w:rsidRDefault="00CE01EE" w:rsidP="00CE01EE">
      <w:pPr>
        <w:pStyle w:val="AERbulletlistsecondstyle"/>
      </w:pPr>
      <w:r>
        <w:t xml:space="preserve">Financing arrangements. </w:t>
      </w:r>
      <w:r w:rsidRPr="0065391F">
        <w:rPr>
          <w:rStyle w:val="AERbody"/>
        </w:rPr>
        <w:t>Where there is significant financing of dividends and/or where substantial investment demand for funds is anticipated, there is a risk that dividend growth will slow or even turn negative for a period. This is likely to result in the model produc</w:t>
      </w:r>
      <w:r>
        <w:rPr>
          <w:rStyle w:val="AERbody"/>
        </w:rPr>
        <w:t>ing upwardly biased estimates</w:t>
      </w:r>
      <w:r w:rsidRPr="0065391F">
        <w:rPr>
          <w:rStyle w:val="AERbody"/>
        </w:rPr>
        <w:t>.</w:t>
      </w:r>
      <w:r>
        <w:rPr>
          <w:rStyle w:val="FootnoteReference"/>
        </w:rPr>
        <w:footnoteReference w:id="834"/>
      </w:r>
    </w:p>
    <w:p w:rsidR="00CE01EE" w:rsidRPr="002F6B48" w:rsidRDefault="00CE01EE" w:rsidP="00CE01EE">
      <w:pPr>
        <w:rPr>
          <w:rStyle w:val="AERbody"/>
        </w:rPr>
      </w:pPr>
      <w:r w:rsidRPr="002F6B48">
        <w:rPr>
          <w:rStyle w:val="AERbody"/>
        </w:rPr>
        <w:t xml:space="preserve">The first two concerns </w:t>
      </w:r>
      <w:r>
        <w:rPr>
          <w:rStyle w:val="AERbody"/>
        </w:rPr>
        <w:t xml:space="preserve">listed above </w:t>
      </w:r>
      <w:r w:rsidRPr="002F6B48">
        <w:rPr>
          <w:rStyle w:val="AERbody"/>
        </w:rPr>
        <w:t xml:space="preserve">are not relevant when using the dividend growth model to estimate the market risk premium. </w:t>
      </w:r>
      <w:r>
        <w:rPr>
          <w:rStyle w:val="AERbody"/>
        </w:rPr>
        <w:t>We therefore consider that dividend growth model estimates may be more useful for informing our estimate of the market risk premium. However,</w:t>
      </w:r>
      <w:r w:rsidRPr="002F6B48">
        <w:rPr>
          <w:rStyle w:val="AERbody"/>
        </w:rPr>
        <w:t xml:space="preserve"> </w:t>
      </w:r>
      <w:r>
        <w:rPr>
          <w:rStyle w:val="AERbody"/>
        </w:rPr>
        <w:t xml:space="preserve">in doing so, we note that </w:t>
      </w:r>
      <w:r w:rsidRPr="002F6B48">
        <w:rPr>
          <w:rStyle w:val="AERbody"/>
        </w:rPr>
        <w:t xml:space="preserve">the other limitations </w:t>
      </w:r>
      <w:r>
        <w:rPr>
          <w:rStyle w:val="AERbody"/>
        </w:rPr>
        <w:t xml:space="preserve">set out above </w:t>
      </w:r>
      <w:r w:rsidRPr="002F6B48">
        <w:rPr>
          <w:rStyle w:val="AERbody"/>
        </w:rPr>
        <w:t xml:space="preserve">are likely to </w:t>
      </w:r>
      <w:r>
        <w:rPr>
          <w:rStyle w:val="AERbody"/>
        </w:rPr>
        <w:t>remain relevant</w:t>
      </w:r>
      <w:r w:rsidRPr="002F6B48">
        <w:rPr>
          <w:rStyle w:val="AERbody"/>
        </w:rPr>
        <w:t>. For these reasons, we place only limited reliance on dividend growth model estimates of market risk premium.</w:t>
      </w:r>
    </w:p>
    <w:p w:rsidR="00CE01EE" w:rsidRDefault="00CE01EE" w:rsidP="00CE01EE">
      <w:r w:rsidRPr="00767D37">
        <w:t xml:space="preserve">We note much of the material provided by service providers was considered in </w:t>
      </w:r>
      <w:r>
        <w:t>our</w:t>
      </w:r>
      <w:r w:rsidRPr="00690E38">
        <w:t xml:space="preserve"> April and June 2015 decisions and reviewed by McKenzie, Partington, and Satchell</w:t>
      </w:r>
      <w:r>
        <w:t xml:space="preserve"> (Partington and Satchell maintained the positions set out by McKenzie and Partington)</w:t>
      </w:r>
      <w:r w:rsidRPr="00690E38">
        <w:t>.</w:t>
      </w:r>
      <w:r w:rsidRPr="00690E38">
        <w:rPr>
          <w:rStyle w:val="FootnoteReference"/>
        </w:rPr>
        <w:footnoteReference w:id="835"/>
      </w:r>
      <w:r w:rsidRPr="00690E38">
        <w:t xml:space="preserve"> Having reviewed all this material, McKenzie and Partington supported our decision to not use the dividend growth model to directly estimate the return on equity on the benchmark efficient entity. They also supported limiting the use of the dividend growth model to informing the estimate of the market risk premium.</w:t>
      </w:r>
      <w:r w:rsidRPr="00690E38">
        <w:rPr>
          <w:rStyle w:val="FootnoteReference"/>
        </w:rPr>
        <w:footnoteReference w:id="836"/>
      </w:r>
      <w:r w:rsidRPr="00690E38">
        <w:t xml:space="preserve"> However, they raised </w:t>
      </w:r>
      <w:r>
        <w:t xml:space="preserve">the </w:t>
      </w:r>
      <w:r w:rsidRPr="00690E38">
        <w:t>concerns around the reliability of dividend growth model</w:t>
      </w:r>
      <w:r>
        <w:t xml:space="preserve"> that we have outlined above</w:t>
      </w:r>
      <w:r w:rsidRPr="00690E38">
        <w:t>.</w:t>
      </w:r>
      <w:r w:rsidRPr="00690E38">
        <w:rPr>
          <w:rStyle w:val="FootnoteReference"/>
        </w:rPr>
        <w:footnoteReference w:id="837"/>
      </w:r>
      <w:r w:rsidRPr="00690E38">
        <w:t xml:space="preserve"> While we use the dividend growth model to inform the estimate of the market risk premium, we also take these concerns into account.</w:t>
      </w:r>
    </w:p>
    <w:p w:rsidR="00CE01EE" w:rsidRPr="00957F0D" w:rsidRDefault="00CE01EE" w:rsidP="00CE01EE">
      <w:pPr>
        <w:numPr>
          <w:ilvl w:val="0"/>
          <w:numId w:val="24"/>
        </w:numPr>
      </w:pPr>
      <w:r>
        <w:t>Handley also reviewed</w:t>
      </w:r>
      <w:r w:rsidRPr="00957F0D">
        <w:t xml:space="preserve"> sub</w:t>
      </w:r>
      <w:r>
        <w:t>missions on the dividend growth model and stated that</w:t>
      </w:r>
      <w:r w:rsidRPr="00957F0D">
        <w:t xml:space="preserve"> </w:t>
      </w:r>
      <w:r>
        <w:t>the model</w:t>
      </w:r>
      <w:r w:rsidRPr="00957F0D">
        <w:t xml:space="preserve"> </w:t>
      </w:r>
      <w:r>
        <w:t xml:space="preserve">involves estimating an unobservable expected </w:t>
      </w:r>
      <w:r w:rsidRPr="00957F0D">
        <w:t>growth rate:</w:t>
      </w:r>
      <w:r w:rsidRPr="00957F0D">
        <w:rPr>
          <w:rStyle w:val="FootnoteReference"/>
        </w:rPr>
        <w:footnoteReference w:id="838"/>
      </w:r>
    </w:p>
    <w:p w:rsidR="00CE01EE" w:rsidRPr="00957F0D" w:rsidRDefault="00CE01EE" w:rsidP="00CE01EE">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CE01EE" w:rsidRPr="00957F0D" w:rsidRDefault="00CE01EE" w:rsidP="00CE01EE">
      <w:pPr>
        <w:numPr>
          <w:ilvl w:val="0"/>
          <w:numId w:val="24"/>
        </w:numPr>
      </w:pPr>
      <w:r>
        <w:t>Handley showed that the</w:t>
      </w:r>
      <w:r w:rsidRPr="00957F0D">
        <w:t xml:space="preserve"> </w:t>
      </w:r>
      <w:r>
        <w:t>return on equity estimated using a constant-</w:t>
      </w:r>
      <w:r w:rsidRPr="00957F0D">
        <w:t>growth</w:t>
      </w:r>
      <w:r>
        <w:t xml:space="preserve"> version of the dividend growth model</w:t>
      </w:r>
      <w:r w:rsidRPr="00957F0D">
        <w:t xml:space="preserve"> </w:t>
      </w:r>
      <w:r>
        <w:t>simply equalled</w:t>
      </w:r>
      <w:r w:rsidRPr="00957F0D">
        <w:t xml:space="preserve"> the expected dividend yield next period plus the growth rate.</w:t>
      </w:r>
      <w:r>
        <w:rPr>
          <w:rStyle w:val="FootnoteReference"/>
        </w:rPr>
        <w:footnoteReference w:id="839"/>
      </w:r>
      <w:r>
        <w:t xml:space="preserve"> Handley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840"/>
      </w:r>
    </w:p>
    <w:p w:rsidR="00CE01EE" w:rsidRPr="00045ECA" w:rsidRDefault="00CE01EE" w:rsidP="00CE01EE">
      <w:pPr>
        <w:pStyle w:val="ListParagraph"/>
        <w:numPr>
          <w:ilvl w:val="0"/>
          <w:numId w:val="24"/>
        </w:numPr>
      </w:pPr>
      <w:r w:rsidRPr="00045ECA">
        <w:t>Malko submitted that the wide acceptance of dividend growth models in the US demonstrates that this model is sufficiently robust to be useful in economic regulatory decision making.</w:t>
      </w:r>
      <w:r w:rsidRPr="00045ECA">
        <w:rPr>
          <w:rStyle w:val="FootnoteReference"/>
        </w:rPr>
        <w:footnoteReference w:id="841"/>
      </w:r>
      <w:r w:rsidRPr="00045ECA">
        <w:t xml:space="preserve"> However, we note Malko's admission that current corporate and academic practices are less supportive of the use of dividend growth models alone in estimating a rate of return and consider that other information should also inform the decision'.</w:t>
      </w:r>
      <w:r w:rsidRPr="00045ECA">
        <w:rPr>
          <w:rStyle w:val="FootnoteReference"/>
        </w:rPr>
        <w:footnoteReference w:id="842"/>
      </w:r>
      <w:r w:rsidRPr="00045ECA">
        <w:t xml:space="preserve"> </w:t>
      </w:r>
    </w:p>
    <w:p w:rsidR="00CE01EE" w:rsidRDefault="00CE01EE" w:rsidP="00CE01EE">
      <w:pPr>
        <w:numPr>
          <w:ilvl w:val="0"/>
          <w:numId w:val="24"/>
        </w:numPr>
      </w:pPr>
      <w:r>
        <w:t>Service providers have not provided any substantively new evidence to alleviate our concerns that the dividend growth model cannot reliably estimate return on equity for individual firms or sectors.</w:t>
      </w:r>
      <w:r>
        <w:rPr>
          <w:rStyle w:val="FootnoteReference"/>
        </w:rPr>
        <w:footnoteReference w:id="843"/>
      </w:r>
      <w:r>
        <w:t xml:space="preserve"> Services providers have also not provided compelling evidence that dividend growth model estimates of market risk premium are not upwardly biased. </w:t>
      </w:r>
    </w:p>
    <w:p w:rsidR="00CE01EE" w:rsidRPr="004D7F0F" w:rsidRDefault="00CE01EE" w:rsidP="00CE01EE">
      <w:pPr>
        <w:pStyle w:val="ListParagraph"/>
        <w:numPr>
          <w:ilvl w:val="0"/>
          <w:numId w:val="24"/>
        </w:numPr>
      </w:pPr>
      <w:r w:rsidRPr="004D7F0F">
        <w:t xml:space="preserve">We consider that dividend growth models are likely to be biased in the current market, due to concerns about slow-changing dividend forecasts, bias in analysts' forecasts, and to the extent that there is a term structure for the return on equity. Our consultant, Partington and Satchell, also share </w:t>
      </w:r>
      <w:r>
        <w:t>our</w:t>
      </w:r>
      <w:r w:rsidRPr="004D7F0F">
        <w:t xml:space="preserve"> concerns on these issues.</w:t>
      </w:r>
      <w:r w:rsidRPr="004D7F0F">
        <w:rPr>
          <w:rStyle w:val="FootnoteReference"/>
        </w:rPr>
        <w:footnoteReference w:id="844"/>
      </w:r>
    </w:p>
    <w:p w:rsidR="00CE01EE" w:rsidRDefault="00CE01EE" w:rsidP="00CE01EE">
      <w:pPr>
        <w:numPr>
          <w:ilvl w:val="0"/>
          <w:numId w:val="24"/>
        </w:numPr>
      </w:pPr>
      <w:r>
        <w:t xml:space="preserve">Our response to submissions on bias in the dividend growth model is set out in section </w:t>
      </w:r>
      <w:r>
        <w:fldChar w:fldCharType="begin"/>
      </w:r>
      <w:r>
        <w:instrText xml:space="preserve"> REF _Ref446260197 \r \h </w:instrText>
      </w:r>
      <w:r>
        <w:fldChar w:fldCharType="separate"/>
      </w:r>
      <w:r w:rsidR="001A023B">
        <w:t>D.4</w:t>
      </w:r>
      <w:r>
        <w:fldChar w:fldCharType="end"/>
      </w:r>
      <w:r>
        <w:t>.</w:t>
      </w:r>
    </w:p>
    <w:p w:rsidR="00CE01EE" w:rsidRPr="00C61D42" w:rsidRDefault="00CE01EE" w:rsidP="00CE01EE">
      <w:r>
        <w:t>Service providers also supported SFG's construction of the dividend growth model and approach to using the model to estimate return on equity.</w:t>
      </w:r>
      <w:r w:rsidRPr="001C657E">
        <w:rPr>
          <w:rStyle w:val="FootnoteReference"/>
        </w:rPr>
        <w:t xml:space="preserve"> </w:t>
      </w:r>
      <w:r>
        <w:rPr>
          <w:rStyle w:val="FootnoteReference"/>
        </w:rPr>
        <w:footnoteReference w:id="845"/>
      </w:r>
      <w:r>
        <w:t xml:space="preserve"> We consider that SFG's dividend growth model approach is unlikely to provide reliable estimates of the return on equity or market risk premium. Our concerns are detailed in section </w:t>
      </w:r>
      <w:r>
        <w:fldChar w:fldCharType="begin"/>
      </w:r>
      <w:r>
        <w:instrText xml:space="preserve"> REF _Ref449021062 \r \h </w:instrText>
      </w:r>
      <w:r>
        <w:fldChar w:fldCharType="separate"/>
      </w:r>
      <w:r w:rsidR="001A023B">
        <w:t>B.4.1</w:t>
      </w:r>
      <w:r>
        <w:fldChar w:fldCharType="end"/>
      </w:r>
      <w:r>
        <w:t xml:space="preserve"> below.</w:t>
      </w:r>
    </w:p>
    <w:p w:rsidR="00CE01EE" w:rsidRPr="00B4711B" w:rsidRDefault="00CE01EE" w:rsidP="00BB7AE6">
      <w:pPr>
        <w:pStyle w:val="Heading9"/>
        <w:keepNext/>
      </w:pPr>
      <w:bookmarkStart w:id="133" w:name="_Ref449021062"/>
      <w:r w:rsidRPr="00B4711B">
        <w:t>SFG</w:t>
      </w:r>
      <w:r>
        <w:t xml:space="preserve">'s </w:t>
      </w:r>
      <w:r w:rsidR="00536B64">
        <w:t>construction</w:t>
      </w:r>
      <w:r>
        <w:t xml:space="preserve"> of the dividend growth model</w:t>
      </w:r>
      <w:bookmarkEnd w:id="133"/>
    </w:p>
    <w:p w:rsidR="00CE01EE" w:rsidRDefault="00CE01EE" w:rsidP="00BB7AE6">
      <w:pPr>
        <w:keepNext/>
        <w:numPr>
          <w:ilvl w:val="0"/>
          <w:numId w:val="24"/>
        </w:numPr>
      </w:pPr>
      <w:r>
        <w:t xml:space="preserve">SFG and several service providers criticised our position in the Guideline and our April and June 2015 decisions to </w:t>
      </w:r>
      <w:r w:rsidRPr="001562D4">
        <w:t xml:space="preserve">limit the role of the </w:t>
      </w:r>
      <w:r>
        <w:t>dividend growth model</w:t>
      </w:r>
      <w:r w:rsidRPr="001562D4">
        <w:t xml:space="preserve"> to informing the </w:t>
      </w:r>
      <w:r>
        <w:t xml:space="preserve">market risk premium, rather than also considering dividend growth model to inform </w:t>
      </w:r>
      <w:r w:rsidRPr="001562D4">
        <w:t>the overall return on equity.</w:t>
      </w:r>
      <w:r w:rsidRPr="001562D4">
        <w:rPr>
          <w:rStyle w:val="FootnoteReference"/>
        </w:rPr>
        <w:footnoteReference w:id="846"/>
      </w:r>
      <w:r w:rsidRPr="001562D4">
        <w:t xml:space="preserve"> </w:t>
      </w:r>
      <w:r w:rsidRPr="00B4711B">
        <w:t xml:space="preserve">SFG submitted its construction of the </w:t>
      </w:r>
      <w:r>
        <w:t>dividend growth model</w:t>
      </w:r>
      <w:r w:rsidRPr="00B4711B">
        <w:t xml:space="preserve"> could produce estimates that we could use for the Australian market as a whole, and at the industry level.</w:t>
      </w:r>
      <w:r w:rsidRPr="00B4711B">
        <w:rPr>
          <w:rStyle w:val="FootnoteReference"/>
        </w:rPr>
        <w:footnoteReference w:id="847"/>
      </w:r>
      <w:r w:rsidRPr="00B4711B">
        <w:t xml:space="preserve"> However, we consider SFG has overstated the ability of its </w:t>
      </w:r>
      <w:r>
        <w:t>dividend growth model</w:t>
      </w:r>
      <w:r w:rsidRPr="00B4711B">
        <w:t xml:space="preserve"> to provide robust return on equity estimates at the industry level.</w:t>
      </w:r>
    </w:p>
    <w:p w:rsidR="00CE01EE" w:rsidRDefault="00CE01EE" w:rsidP="00CE01EE">
      <w:pPr>
        <w:numPr>
          <w:ilvl w:val="0"/>
          <w:numId w:val="24"/>
        </w:numPr>
      </w:pPr>
      <w:r w:rsidRPr="00B4711B">
        <w:t>In SFG's 2014 analysis, there are 99 return on equity estimates using analyst forecasts for the network businesses over the period 2002 to 2014, based on a six month averaging period.</w:t>
      </w:r>
      <w:r w:rsidRPr="00B4711B">
        <w:rPr>
          <w:rStyle w:val="FootnoteReference"/>
        </w:rPr>
        <w:footnoteReference w:id="848"/>
      </w:r>
      <w:r w:rsidRPr="00B4711B">
        <w:t xml:space="preserve"> This is a small sample size, relative to the sample size for estimating the return on equity for the market as a whole. There are few analyst data because there are few network businesses listed on the Australian stock exchange. There is also limited analyst coverage of Australian network businesses. Given the relatively small sample of analyst forecasts available on Australian network businesses, we consider it is difficult to derive a sound return on equity estimate for these businesses using </w:t>
      </w:r>
      <w:r>
        <w:t>dividend growth models</w:t>
      </w:r>
      <w:r w:rsidRPr="00B4711B">
        <w:t>.</w:t>
      </w:r>
    </w:p>
    <w:p w:rsidR="00CE01EE" w:rsidRPr="00941168" w:rsidRDefault="00CE01EE" w:rsidP="00CE01EE">
      <w:pPr>
        <w:pStyle w:val="ListParagraph"/>
        <w:numPr>
          <w:ilvl w:val="0"/>
          <w:numId w:val="24"/>
        </w:numPr>
      </w:pPr>
      <w:r w:rsidRPr="00941168">
        <w:t>In SFG's 2015 report, it changed its approach to use a two month averaging period. In SFG's 2015 analysis, there are 235 return on equity estimates using analyst forecasts for the network businesses over the period 2002 to 2014.</w:t>
      </w:r>
      <w:r w:rsidRPr="00941168">
        <w:rPr>
          <w:rStyle w:val="FootnoteReference"/>
        </w:rPr>
        <w:footnoteReference w:id="849"/>
      </w:r>
      <w:r w:rsidRPr="00941168">
        <w:t xml:space="preserve"> This is a larger sample size than that used in its 2014 analysis. However, we consider it is still a small sample size relative to the sample size for estimating the return on equity for the market as a whole. We also maintain our above considerations on SFG's average risk premium ratio (or effective equity beta). Moreover, we consider SFG's new approach of using a two month averaging period may introduce errors because of a lack of data. For example, in SFG's sample, there are six two month periods where there were no analyst forecasts for energy network businesses.</w:t>
      </w:r>
      <w:r w:rsidRPr="00941168">
        <w:rPr>
          <w:rStyle w:val="FootnoteReference"/>
        </w:rPr>
        <w:footnoteReference w:id="850"/>
      </w:r>
      <w:r w:rsidRPr="00941168">
        <w:t xml:space="preserve"> </w:t>
      </w:r>
    </w:p>
    <w:p w:rsidR="00CE01EE" w:rsidRPr="00941168" w:rsidRDefault="00CE01EE" w:rsidP="00CE01EE">
      <w:pPr>
        <w:pStyle w:val="ListParagraph"/>
        <w:numPr>
          <w:ilvl w:val="0"/>
          <w:numId w:val="24"/>
        </w:numPr>
      </w:pPr>
      <w:r w:rsidRPr="00941168">
        <w:t xml:space="preserve">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then the use of a simple average means that analyst will be given more weight in the return on equity estimate compared to an analyst that makes only one forecast on that stock in a two month period. Further, firms that have more analyst coverage will have more two–monthly return on equity estimates and hence will receive more weight than firms that have less analyst coverage. Therefore, we consider that SFG's </w:t>
      </w:r>
      <w:r>
        <w:t>dividend growth model</w:t>
      </w:r>
      <w:r w:rsidRPr="00941168">
        <w:t xml:space="preserve"> gives energy network firms with more analyst coverage greater weight.</w:t>
      </w:r>
    </w:p>
    <w:p w:rsidR="00CE01EE" w:rsidRDefault="00CE01EE" w:rsidP="00CE01EE">
      <w:r>
        <w:t xml:space="preserve">We also note that SFG's approach does not entail directly estimating the return on equity for the using the dividend growth model. Rather, SFG applies its dividend growth model to produce a market risk premium estimate and a ratio of energy networks' risk premiums relative to the market risk premium (an indirect equity beta estimate). </w:t>
      </w:r>
      <w:r w:rsidRPr="00B4711B">
        <w:t>The method used to estimate</w:t>
      </w:r>
      <w:r>
        <w:t xml:space="preserve"> the average risk premium ratio</w:t>
      </w:r>
      <w:r w:rsidRPr="00B4711B">
        <w:t xml:space="preserve"> is not aligned with the definition of equity beta. The equity beta is the covariance between the return on the market and the return on a business divided by the variance of the market. </w:t>
      </w:r>
      <w:r>
        <w:t>We consider that, in doing so, SFG has overstated the ability of its dividend growth model to reliably estimate the return on equity directly</w:t>
      </w:r>
      <w:r w:rsidRPr="006C4D93">
        <w:t>.</w:t>
      </w:r>
      <w:r>
        <w:t xml:space="preserve">  SFG is effectively using its dividend growth model to estimate the market risk premium to incorporate into a Sharpe-Lintner CAPM. </w:t>
      </w:r>
    </w:p>
    <w:p w:rsidR="00CE01EE" w:rsidRPr="001562D4" w:rsidRDefault="00CE01EE" w:rsidP="00CE01EE">
      <w:pPr>
        <w:numPr>
          <w:ilvl w:val="0"/>
          <w:numId w:val="24"/>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dividend growth model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851"/>
      </w:r>
    </w:p>
    <w:p w:rsidR="00CE01EE" w:rsidRPr="00B4711B" w:rsidRDefault="00CE01EE" w:rsidP="00CE01EE">
      <w:r>
        <w:t>SFG</w:t>
      </w:r>
      <w:r w:rsidRPr="00B4711B">
        <w:t xml:space="preserve"> submitted its </w:t>
      </w:r>
      <w:r>
        <w:t>dividend growth model</w:t>
      </w:r>
      <w:r w:rsidRPr="00B4711B">
        <w:t xml:space="preserve"> is more reliable and less volatile than our </w:t>
      </w:r>
      <w:r>
        <w:t>model</w:t>
      </w:r>
      <w:r w:rsidRPr="00B4711B">
        <w:t>.</w:t>
      </w:r>
      <w:r w:rsidRPr="00B4711B">
        <w:rPr>
          <w:rStyle w:val="FootnoteReference"/>
        </w:rPr>
        <w:footnoteReference w:id="852"/>
      </w:r>
      <w:r w:rsidRPr="00B4711B">
        <w:t xml:space="preserve"> However, this perception of stability is subjective and we do not agree with it. </w:t>
      </w:r>
      <w:r>
        <w:fldChar w:fldCharType="begin"/>
      </w:r>
      <w:r>
        <w:instrText xml:space="preserve"> REF _Ref449021102 \h </w:instrText>
      </w:r>
      <w:r>
        <w:fldChar w:fldCharType="separate"/>
      </w:r>
      <w:r w:rsidR="001A023B" w:rsidRPr="00B4711B">
        <w:t xml:space="preserve">Figure </w:t>
      </w:r>
      <w:r w:rsidR="001A023B">
        <w:rPr>
          <w:noProof/>
        </w:rPr>
        <w:t>3</w:t>
      </w:r>
      <w:r w:rsidR="001A023B">
        <w:noBreakHyphen/>
      </w:r>
      <w:r w:rsidR="001A023B">
        <w:rPr>
          <w:noProof/>
        </w:rPr>
        <w:t>6</w:t>
      </w:r>
      <w:r>
        <w:fldChar w:fldCharType="end"/>
      </w:r>
      <w:r>
        <w:t xml:space="preserve"> </w:t>
      </w:r>
      <w:r w:rsidRPr="00B4711B">
        <w:t>illustrates this point by showing three time series:</w:t>
      </w:r>
      <w:r w:rsidRPr="00B4711B">
        <w:rPr>
          <w:rStyle w:val="FootnoteReference"/>
        </w:rPr>
        <w:footnoteReference w:id="853"/>
      </w:r>
    </w:p>
    <w:p w:rsidR="00CE01EE" w:rsidRPr="00CE01EE" w:rsidRDefault="00CE01EE" w:rsidP="00CE01EE">
      <w:pPr>
        <w:pStyle w:val="AERbulletlistfirststyle"/>
      </w:pPr>
      <w:r w:rsidRPr="00B4711B">
        <w:t xml:space="preserve">the return on equity for the market determined by SFG's </w:t>
      </w:r>
      <w:r w:rsidRPr="00CE01EE">
        <w:t>model (blue line)</w:t>
      </w:r>
    </w:p>
    <w:p w:rsidR="00CE01EE" w:rsidRPr="00CE01EE" w:rsidRDefault="00CE01EE" w:rsidP="00CE01EE">
      <w:pPr>
        <w:pStyle w:val="AERbulletlistfirststyle"/>
      </w:pPr>
      <w:r w:rsidRPr="00B4711B">
        <w:t xml:space="preserve">the return on equity for network businesses determined by multiplying the </w:t>
      </w:r>
      <w:r w:rsidRPr="00CE01EE">
        <w:t>market risk premium from SFG's model by 0.94 then adding the prevailing risk free rate (green line)</w:t>
      </w:r>
    </w:p>
    <w:p w:rsidR="00CE01EE" w:rsidRPr="00CE01EE" w:rsidRDefault="00CE01EE" w:rsidP="00CE01EE">
      <w:pPr>
        <w:pStyle w:val="AERbulletlistfirststyle"/>
      </w:pPr>
      <w:r w:rsidRPr="00B4711B">
        <w:t xml:space="preserve">the return on equity for network businesses determined by directly applying SFG's </w:t>
      </w:r>
      <w:r w:rsidRPr="00CE01EE">
        <w:t>model (red line).</w:t>
      </w:r>
    </w:p>
    <w:p w:rsidR="00CE01EE" w:rsidRPr="00B4711B" w:rsidRDefault="00CE01EE" w:rsidP="00CE01EE">
      <w:pPr>
        <w:pStyle w:val="Caption"/>
      </w:pPr>
      <w:bookmarkStart w:id="134" w:name="_Ref449021102"/>
      <w:r w:rsidRPr="00B4711B">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6</w:t>
      </w:r>
      <w:r w:rsidR="00120312">
        <w:rPr>
          <w:noProof/>
        </w:rPr>
        <w:fldChar w:fldCharType="end"/>
      </w:r>
      <w:bookmarkEnd w:id="134"/>
      <w:r w:rsidRPr="00B4711B">
        <w:tab/>
        <w:t>Movements in SFG's dividend growth model</w:t>
      </w:r>
    </w:p>
    <w:p w:rsidR="00CE01EE" w:rsidRPr="00B4711B" w:rsidRDefault="00CE01EE" w:rsidP="00CE01EE">
      <w:pPr>
        <w:numPr>
          <w:ilvl w:val="0"/>
          <w:numId w:val="24"/>
        </w:numPr>
      </w:pPr>
      <w:r w:rsidRPr="00CE01EE">
        <w:rPr>
          <w:noProof/>
          <w:lang w:eastAsia="en-AU"/>
        </w:rPr>
        <w:drawing>
          <wp:inline distT="0" distB="0" distL="0" distR="0" wp14:anchorId="48502439" wp14:editId="458A7134">
            <wp:extent cx="5382895" cy="322365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2895" cy="3223655"/>
                    </a:xfrm>
                    <a:prstGeom prst="rect">
                      <a:avLst/>
                    </a:prstGeom>
                    <a:noFill/>
                    <a:ln>
                      <a:noFill/>
                    </a:ln>
                  </pic:spPr>
                </pic:pic>
              </a:graphicData>
            </a:graphic>
          </wp:inline>
        </w:drawing>
      </w:r>
    </w:p>
    <w:p w:rsidR="00CE01EE" w:rsidRPr="00B4711B" w:rsidRDefault="00CE01EE" w:rsidP="00CE01EE">
      <w:pPr>
        <w:pStyle w:val="AERtablesource"/>
      </w:pPr>
      <w:r w:rsidRPr="00B4711B">
        <w:t xml:space="preserve">Source: </w:t>
      </w:r>
      <w:r w:rsidRPr="00B4711B">
        <w:tab/>
        <w:t xml:space="preserve">SFG, </w:t>
      </w:r>
      <w:r w:rsidRPr="00B4711B">
        <w:rPr>
          <w:rStyle w:val="AERtextitalic"/>
        </w:rPr>
        <w:t>Share prices, the dividend discount model and the cost of equity for the market and a benchmark energy network</w:t>
      </w:r>
      <w:r w:rsidRPr="00B4711B">
        <w:t>, 13 February 2015, pp. 40–41; AER analysis.</w:t>
      </w:r>
      <w:r w:rsidRPr="00B4711B">
        <w:rPr>
          <w:rStyle w:val="FootnoteReference"/>
        </w:rPr>
        <w:footnoteReference w:id="854"/>
      </w:r>
    </w:p>
    <w:p w:rsidR="00CE01EE" w:rsidRPr="00B4711B" w:rsidRDefault="00CE01EE" w:rsidP="00CE01EE">
      <w:pPr>
        <w:pStyle w:val="AERtablesource"/>
      </w:pPr>
      <w:r w:rsidRPr="00B4711B">
        <w:t>Note:</w:t>
      </w:r>
      <w:r w:rsidRPr="00B4711B">
        <w:tab/>
        <w:t>SFG calls the market value return on equity, the 'cost of equity'. This is the concept we refer to throughout this decision as the 'return on equity'.</w:t>
      </w:r>
    </w:p>
    <w:p w:rsidR="00CE01EE" w:rsidRPr="00B4711B" w:rsidRDefault="00CE01EE" w:rsidP="00CE01EE">
      <w:pPr>
        <w:pStyle w:val="AERtablesource"/>
      </w:pPr>
      <w:r w:rsidRPr="00B4711B">
        <w:tab/>
        <w:t>The gaps in the red line are the result of periods where there were no analyst forecasts for energy network businesses. Therefore, the return on equity for network businesses could not be estimated for these periods.</w:t>
      </w:r>
    </w:p>
    <w:p w:rsidR="00CE01EE" w:rsidRPr="00B4711B" w:rsidRDefault="00CE01EE" w:rsidP="00CE01EE">
      <w:pPr>
        <w:numPr>
          <w:ilvl w:val="0"/>
          <w:numId w:val="24"/>
        </w:numPr>
      </w:pPr>
      <w:r>
        <w:fldChar w:fldCharType="begin"/>
      </w:r>
      <w:r>
        <w:instrText xml:space="preserve"> REF _Ref449021102 \h </w:instrText>
      </w:r>
      <w:r>
        <w:fldChar w:fldCharType="separate"/>
      </w:r>
      <w:r w:rsidR="001A023B" w:rsidRPr="00B4711B">
        <w:t xml:space="preserve">Figure </w:t>
      </w:r>
      <w:r w:rsidR="001A023B">
        <w:rPr>
          <w:noProof/>
        </w:rPr>
        <w:t>3</w:t>
      </w:r>
      <w:r w:rsidR="001A023B">
        <w:noBreakHyphen/>
      </w:r>
      <w:r w:rsidR="001A023B">
        <w:rPr>
          <w:noProof/>
        </w:rPr>
        <w:t>6</w:t>
      </w:r>
      <w:r>
        <w:fldChar w:fldCharType="end"/>
      </w:r>
      <w:r>
        <w:t xml:space="preserve"> </w:t>
      </w:r>
      <w:r w:rsidRPr="00B4711B">
        <w:t xml:space="preserve">illustrates that direct estimates of the return on equity for network businesses using SFG's </w:t>
      </w:r>
      <w:r>
        <w:t>dividend growth model</w:t>
      </w:r>
      <w:r w:rsidRPr="00B4711B">
        <w:t xml:space="preserve"> (red line) are volatile. Whereas, by construction, SFG's indirect estimates of the return on equity for network businesses using a hybrid CAPM</w:t>
      </w:r>
      <w:r>
        <w:t xml:space="preserve"> </w:t>
      </w:r>
      <w:r w:rsidRPr="00B4711B">
        <w:t>/</w:t>
      </w:r>
      <w:r>
        <w:t xml:space="preserve"> dividend growth model</w:t>
      </w:r>
      <w:r w:rsidRPr="00B4711B">
        <w:t xml:space="preserve"> are more stable (green line). SFG and service providers only proposed indirect estimates. SFG's indirect approach results in a return for the industry that precisely mirrors movements in the market. SFG's indirect approach is predisposed to this outcome because of its construction. It is not clear to us that this outcome is a reasonable reflection of expected returns for the industry.</w:t>
      </w:r>
    </w:p>
    <w:p w:rsidR="00CE01EE" w:rsidRDefault="00CE01EE" w:rsidP="00CE01EE">
      <w:pPr>
        <w:pStyle w:val="Heading8"/>
      </w:pPr>
      <w:bookmarkStart w:id="135" w:name="_Ref449018117"/>
      <w:bookmarkStart w:id="136" w:name="_Toc451945486"/>
      <w:r>
        <w:t>Wright CAPM and historical CAPM</w:t>
      </w:r>
      <w:bookmarkEnd w:id="135"/>
      <w:bookmarkEnd w:id="136"/>
    </w:p>
    <w:p w:rsidR="00CE01EE" w:rsidRDefault="00CE01EE" w:rsidP="00CE01EE">
      <w:pPr>
        <w:numPr>
          <w:ilvl w:val="0"/>
          <w:numId w:val="24"/>
        </w:numPr>
      </w:pPr>
      <w:r>
        <w:t>The Wright CAPM is an alternative implementation of the Sharpe-Lintner CAPM. This is where the return on the market portfolio and the risk free rate are estimated as separate components of the market risk premium. The following equation represents this relationship:</w:t>
      </w:r>
    </w:p>
    <w:p w:rsidR="00CE01EE" w:rsidRDefault="00CE01EE" w:rsidP="00CE01EE">
      <w:pPr>
        <w:numPr>
          <w:ilvl w:val="0"/>
          <w:numId w:val="24"/>
        </w:numPr>
      </w:pPr>
      <m:oMath>
        <m:r>
          <w:rPr>
            <w:rFonts w:ascii="Cambria Math" w:hAnsi="Cambria Math"/>
          </w:rPr>
          <m:t>ke=rf+βe×(rm-rf)</m:t>
        </m:r>
      </m:oMath>
    </w:p>
    <w:p w:rsidR="00CE01EE" w:rsidRPr="0082305A" w:rsidRDefault="00CE01EE" w:rsidP="00CE01EE">
      <w:pPr>
        <w:pStyle w:val="AERtablesource"/>
      </w:pPr>
      <w:r>
        <w:t>W</w:t>
      </w:r>
      <w:r w:rsidRPr="0082305A">
        <w:t>here</w:t>
      </w:r>
      <w:r>
        <w:t>:</w:t>
      </w:r>
      <w:r>
        <w:tab/>
      </w:r>
      <m:oMath>
        <m:r>
          <w:rPr>
            <w:rFonts w:ascii="Cambria Math" w:hAnsi="Cambria Math"/>
          </w:rPr>
          <m:t>ke</m:t>
        </m:r>
      </m:oMath>
      <w:r w:rsidRPr="0082305A">
        <w:t xml:space="preserve"> is the expected return on equity</w:t>
      </w:r>
    </w:p>
    <w:p w:rsidR="00CE01EE" w:rsidRPr="0082305A" w:rsidRDefault="00CE01EE" w:rsidP="00CE01EE">
      <w:pPr>
        <w:pStyle w:val="AERtablesource"/>
      </w:pPr>
      <w:r>
        <w:tab/>
      </w:r>
      <m:oMath>
        <m:r>
          <w:rPr>
            <w:rFonts w:ascii="Cambria Math" w:hAnsi="Cambria Math"/>
          </w:rPr>
          <m:t>rf</m:t>
        </m:r>
      </m:oMath>
      <w:r w:rsidRPr="0082305A">
        <w:t xml:space="preserve"> is the risk free rate</w:t>
      </w:r>
    </w:p>
    <w:p w:rsidR="00CE01EE" w:rsidRPr="0082305A" w:rsidRDefault="00CE01EE" w:rsidP="00CE01EE">
      <w:pPr>
        <w:pStyle w:val="AERtablesource"/>
      </w:pPr>
      <w:r>
        <w:tab/>
      </w:r>
      <m:oMath>
        <m:r>
          <w:rPr>
            <w:rFonts w:ascii="Cambria Math" w:hAnsi="Cambria Math"/>
          </w:rPr>
          <m:t>βe</m:t>
        </m:r>
      </m:oMath>
      <w:r w:rsidRPr="0082305A">
        <w:t xml:space="preserve"> is the equity beta</w:t>
      </w:r>
    </w:p>
    <w:p w:rsidR="00CE01EE" w:rsidRDefault="00CE01EE" w:rsidP="00CE01EE">
      <w:pPr>
        <w:pStyle w:val="AERtablesource"/>
      </w:pPr>
      <w:r>
        <w:tab/>
      </w:r>
      <m:oMath>
        <m:r>
          <w:rPr>
            <w:rFonts w:ascii="Cambria Math" w:hAnsi="Cambria Math"/>
          </w:rPr>
          <m:t>rm</m:t>
        </m:r>
      </m:oMath>
      <w:r w:rsidRPr="0082305A">
        <w:t xml:space="preserve"> is the expected return on the market</w:t>
      </w:r>
    </w:p>
    <w:p w:rsidR="00CE01EE" w:rsidRDefault="00CE01EE" w:rsidP="00CE01EE">
      <w:pPr>
        <w:numPr>
          <w:ilvl w:val="0"/>
          <w:numId w:val="24"/>
        </w:numPr>
      </w:pPr>
      <w:r>
        <w:t>Typically, under the Wright approach the return on the market is estimated using historical data, while a prevailing risk free rate is estimated. Under an historical specification of the CAPM, both the return on the market (or market risk premium) and the risk free rate is estimated by reference to long-run historical data.</w:t>
      </w:r>
      <w:r>
        <w:rPr>
          <w:rStyle w:val="FootnoteReference"/>
        </w:rPr>
        <w:footnoteReference w:id="855"/>
      </w:r>
      <w:r>
        <w:t xml:space="preserve"> </w:t>
      </w:r>
    </w:p>
    <w:p w:rsidR="00CE01EE" w:rsidRDefault="00CE01EE" w:rsidP="00CE01EE">
      <w:pPr>
        <w:numPr>
          <w:ilvl w:val="0"/>
          <w:numId w:val="24"/>
        </w:numPr>
      </w:pPr>
      <w:r>
        <w:t>In its access arrangement proposal, APTNT</w:t>
      </w:r>
      <w:r w:rsidRPr="001562D4">
        <w:t xml:space="preserve"> </w:t>
      </w:r>
      <w:r>
        <w:t>proposed</w:t>
      </w:r>
      <w:r w:rsidRPr="001562D4">
        <w:t xml:space="preserve"> a 'Wright' specific</w:t>
      </w:r>
      <w:r>
        <w:t>ation of the Sharpe-Lintner CAPM.</w:t>
      </w:r>
      <w:r>
        <w:rPr>
          <w:rStyle w:val="FootnoteReference"/>
        </w:rPr>
        <w:footnoteReference w:id="856"/>
      </w:r>
      <w:r>
        <w:t xml:space="preserve"> Many other service providers proposed using the underlying premise of the Wright CAPM – that the market return is relatively constant – when estimating market risk premium.</w:t>
      </w:r>
      <w:r w:rsidRPr="007472EA">
        <w:rPr>
          <w:rStyle w:val="FootnoteReference"/>
        </w:rPr>
        <w:footnoteReference w:id="857"/>
      </w:r>
    </w:p>
    <w:p w:rsidR="00CE01EE" w:rsidRPr="00957F0D" w:rsidRDefault="00CE01EE" w:rsidP="00CE01EE">
      <w:pPr>
        <w:numPr>
          <w:ilvl w:val="0"/>
          <w:numId w:val="24"/>
        </w:numPr>
      </w:pPr>
      <w:r w:rsidRPr="00957F0D">
        <w:t xml:space="preserve">We consider the point estimates of the </w:t>
      </w:r>
      <w:r>
        <w:t>return on equity</w:t>
      </w:r>
      <w:r w:rsidRPr="00957F0D">
        <w:t xml:space="preserve"> from these non-standard specifications of the S</w:t>
      </w:r>
      <w:r>
        <w:t>harpe-</w:t>
      </w:r>
      <w:r w:rsidRPr="00957F0D">
        <w:t>L</w:t>
      </w:r>
      <w:r>
        <w:t xml:space="preserve">intner </w:t>
      </w:r>
      <w:r w:rsidRPr="00957F0D">
        <w:t xml:space="preserve">CAPM are currently </w:t>
      </w:r>
      <w:r>
        <w:t>unsuitable for:</w:t>
      </w:r>
    </w:p>
    <w:p w:rsidR="00CE01EE" w:rsidRPr="00CE01EE" w:rsidRDefault="00CE01EE" w:rsidP="00CE01EE">
      <w:pPr>
        <w:pStyle w:val="AERbulletlistfirststyle"/>
      </w:pPr>
      <w:r>
        <w:t>e</w:t>
      </w:r>
      <w:r w:rsidRPr="00CE01EE">
        <w:t>stimating the return on equity for the benchmark efficient entity</w:t>
      </w:r>
    </w:p>
    <w:p w:rsidR="00CE01EE" w:rsidRPr="00CE01EE" w:rsidRDefault="00CE01EE" w:rsidP="00CE01EE">
      <w:pPr>
        <w:pStyle w:val="AERbulletlistfirststyle"/>
      </w:pPr>
      <w:r>
        <w:t>p</w:t>
      </w:r>
      <w:r w:rsidRPr="00CE01EE">
        <w:t>erforming a cross check on whether other models (including the Sharpe-Lintner CAPM) are producing reasonable estimates of the return on equity.</w:t>
      </w:r>
    </w:p>
    <w:p w:rsidR="00CE01EE" w:rsidRPr="00957F0D" w:rsidRDefault="00CE01EE" w:rsidP="00CE01EE">
      <w:pPr>
        <w:numPr>
          <w:ilvl w:val="0"/>
          <w:numId w:val="24"/>
        </w:numPr>
      </w:pPr>
      <w:r>
        <w:t>Our</w:t>
      </w:r>
      <w:r w:rsidRPr="00957F0D">
        <w:t xml:space="preserve"> reasons for </w:t>
      </w:r>
      <w:r>
        <w:t>this position</w:t>
      </w:r>
      <w:r w:rsidRPr="00957F0D">
        <w:t xml:space="preserve"> are:</w:t>
      </w:r>
    </w:p>
    <w:p w:rsidR="00CE01EE" w:rsidRPr="00CE01EE" w:rsidRDefault="00CE01EE" w:rsidP="00CE01EE">
      <w:pPr>
        <w:pStyle w:val="AERbulletlistfirststyle"/>
      </w:pPr>
      <w:r w:rsidRPr="00957F0D">
        <w:t>The models are not theoretically justified. The S</w:t>
      </w:r>
      <w:r w:rsidRPr="00CE01EE">
        <w:t>harpe-Lintner CAPM is a forward-looking equilibrium asset pricing model and therefore requires forward looking input parameters.</w:t>
      </w:r>
      <w:r w:rsidRPr="00CE01EE">
        <w:rPr>
          <w:rStyle w:val="FootnoteReference"/>
        </w:rPr>
        <w:footnoteReference w:id="858"/>
      </w:r>
    </w:p>
    <w:p w:rsidR="00CE01EE" w:rsidRPr="00CE01EE" w:rsidRDefault="00CE01EE" w:rsidP="00CE01EE">
      <w:pPr>
        <w:pStyle w:val="AERbulletlistfirststyle"/>
      </w:pPr>
      <w:r w:rsidRPr="00957F0D">
        <w:t>The models do not take into acc</w:t>
      </w:r>
      <w:r w:rsidRPr="00CE01EE">
        <w:t>ount changing market conditions. Therefore, they are unlikely to (at a given point in time) estimate an unbiased forward-looking estimate of the required return on equity. Historical data may be used as a basis for estimates of the model’s parameters where they are good evidence of forward-looking parameters. However, we do not consider using historically based estimates that are clearly not representative of the forward looking rate will result in an unbiased estimate of the return on equity.</w:t>
      </w:r>
      <w:r w:rsidRPr="00CE01EE">
        <w:rPr>
          <w:rStyle w:val="FootnoteReference"/>
        </w:rPr>
        <w:footnoteReference w:id="859"/>
      </w:r>
    </w:p>
    <w:p w:rsidR="00CE01EE" w:rsidRPr="00CE01EE" w:rsidRDefault="00CE01EE" w:rsidP="00CE01EE">
      <w:pPr>
        <w:pStyle w:val="AERbulletlistfirststyle"/>
      </w:pPr>
      <w:r>
        <w:t>We consider that no</w:t>
      </w:r>
      <w:r w:rsidRPr="00CE01EE">
        <w:t xml:space="preserve"> compelling empirical evidence is before us to support the use of the models. We do not agree with the underlying premise of the Wright CAPM that there is a clear inverse relationship between movements in the risk free rate and market risk premium. Frontier submitted that empirical evidence from Wright &amp; Smithers indicates that the return on the market using U.S. data has been relatively stable over time.</w:t>
      </w:r>
      <w:r w:rsidRPr="00CE01EE">
        <w:rPr>
          <w:rStyle w:val="FootnoteReference"/>
        </w:rPr>
        <w:footnoteReference w:id="860"/>
      </w:r>
      <w:r w:rsidRPr="00CE01EE">
        <w:t xml:space="preserve"> However, applying Wright’s approach to Australian data, Lally found the estimated market risk premium series is more stable than the average real market return series.</w:t>
      </w:r>
      <w:r w:rsidRPr="00CE01EE">
        <w:rPr>
          <w:rStyle w:val="FootnoteReference"/>
        </w:rPr>
        <w:footnoteReference w:id="861"/>
      </w:r>
    </w:p>
    <w:p w:rsidR="00CE01EE" w:rsidRPr="00CE01EE" w:rsidRDefault="00CE01EE" w:rsidP="00CE01EE">
      <w:pPr>
        <w:pStyle w:val="AERbulletlistfirststyle"/>
      </w:pPr>
      <w:r>
        <w:t>M</w:t>
      </w:r>
      <w:r w:rsidRPr="00CE01EE">
        <w:t>arket practitioners, academics or regulators do not generally accept these models.</w:t>
      </w:r>
      <w:r w:rsidRPr="00CE01EE">
        <w:rPr>
          <w:rStyle w:val="FootnoteReference"/>
        </w:rPr>
        <w:footnoteReference w:id="862"/>
      </w:r>
      <w:r w:rsidRPr="00CE01EE">
        <w:t xml:space="preserve"> For example, an analysis of 78 suitable independent valuation reports over May 2013 to January 2016 indicates there are no reports that appear to use the Wright CAPM.</w:t>
      </w:r>
    </w:p>
    <w:p w:rsidR="00CE01EE" w:rsidRPr="00957F0D" w:rsidRDefault="00CE01EE" w:rsidP="00CE01EE">
      <w:r w:rsidRPr="00957F0D">
        <w:t xml:space="preserve">Handley considered the Wright </w:t>
      </w:r>
      <w:r>
        <w:t>CAPM</w:t>
      </w:r>
      <w:r w:rsidRPr="00957F0D">
        <w:t xml:space="preserve"> </w:t>
      </w:r>
      <w:r>
        <w:t>and</w:t>
      </w:r>
      <w:r w:rsidRPr="00957F0D">
        <w:t xml:space="preserve"> stated:</w:t>
      </w:r>
      <w:r>
        <w:rPr>
          <w:rStyle w:val="FootnoteReference"/>
        </w:rPr>
        <w:footnoteReference w:id="863"/>
      </w:r>
    </w:p>
    <w:p w:rsidR="00CE01EE" w:rsidRPr="00957F0D" w:rsidRDefault="00CE01EE" w:rsidP="00CE01EE">
      <w:pPr>
        <w:pStyle w:val="AERquote"/>
      </w:pPr>
      <w:r w:rsidRPr="00957F0D">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864"/>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CE01EE" w:rsidRPr="00957F0D" w:rsidRDefault="00CE01EE" w:rsidP="00CE01EE">
      <w:pPr>
        <w:pStyle w:val="AERquoteindent2"/>
      </w:pPr>
      <w:r w:rsidRPr="00957F0D">
        <w:t>“regulators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865"/>
      </w:r>
    </w:p>
    <w:p w:rsidR="00CE01EE" w:rsidRPr="00957F0D" w:rsidRDefault="00CE01EE" w:rsidP="00CE01EE">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CE01EE" w:rsidRDefault="00CE01EE" w:rsidP="00CE01EE">
      <w:pPr>
        <w:numPr>
          <w:ilvl w:val="0"/>
          <w:numId w:val="24"/>
        </w:numPr>
      </w:pPr>
      <w:r w:rsidRPr="00957F0D">
        <w:t>We note</w:t>
      </w:r>
      <w:r>
        <w:t xml:space="preserve"> that</w:t>
      </w:r>
      <w:r w:rsidRPr="00957F0D">
        <w:t xml:space="preserve"> Handley's comments appear equally applicable to the 'long term' </w:t>
      </w:r>
      <w:r>
        <w:t xml:space="preserve">Sharpe-Lintner </w:t>
      </w:r>
      <w:r w:rsidRPr="00957F0D">
        <w:t xml:space="preserve">CAPM specification proposed by a number of </w:t>
      </w:r>
      <w:r>
        <w:t>service providers.</w:t>
      </w:r>
    </w:p>
    <w:p w:rsidR="00CE01EE" w:rsidRDefault="00CE01EE" w:rsidP="00CE01EE">
      <w:pPr>
        <w:numPr>
          <w:ilvl w:val="0"/>
          <w:numId w:val="24"/>
        </w:numPr>
      </w:pPr>
      <w:r>
        <w:t>While</w:t>
      </w:r>
      <w:r w:rsidRPr="00957F0D">
        <w:t xml:space="preserve"> we have used a range from the Wright CAPM to inform the overall </w:t>
      </w:r>
      <w:r>
        <w:t>return on equity, we have placed little reliance on this information given our concerns outlined above</w:t>
      </w:r>
      <w:r w:rsidRPr="00957F0D">
        <w:t>.</w:t>
      </w:r>
      <w:r>
        <w:rPr>
          <w:rStyle w:val="FootnoteReference"/>
        </w:rPr>
        <w:footnoteReference w:id="866"/>
      </w:r>
    </w:p>
    <w:p w:rsidR="00CE01EE" w:rsidRDefault="00CE01EE" w:rsidP="00CE01EE">
      <w:pPr>
        <w:numPr>
          <w:ilvl w:val="0"/>
          <w:numId w:val="24"/>
        </w:numPr>
      </w:pPr>
      <w:r>
        <w:t>Service providers submitted that the Wright CAPM is relevant to the estimation of the market risk premium, rather than the overall return on equity.</w:t>
      </w:r>
      <w:r>
        <w:rPr>
          <w:rStyle w:val="FootnoteReference"/>
        </w:rPr>
        <w:footnoteReference w:id="867"/>
      </w:r>
      <w:r w:rsidRPr="00E364BB">
        <w:t xml:space="preserve"> </w:t>
      </w:r>
      <w:r>
        <w:t>We compare our foundation model equity risk premium to the Wright CAPM equity risk premium. This provides for consideration of both market risk premium and equity beta estimates, as the equity risk premium is the product of both estimates. We do not consider the Wright CAPM when estimating market risk premium. We consider that doing so would be unnecessary, and may place too much weight on the Wright CAPM given our concerns with it as set out above.</w:t>
      </w:r>
    </w:p>
    <w:p w:rsidR="00CE01EE" w:rsidRDefault="00CE01EE" w:rsidP="00CE01EE">
      <w:pPr>
        <w:pStyle w:val="ListParagraph"/>
        <w:numPr>
          <w:ilvl w:val="0"/>
          <w:numId w:val="24"/>
        </w:numPr>
      </w:pPr>
      <w:r>
        <w:t>Partington and Satchell advised that they are '</w:t>
      </w:r>
      <w:r w:rsidRPr="00042AEC">
        <w:t>unconvinced by the Wright approach</w:t>
      </w:r>
      <w:r>
        <w:t xml:space="preserve">' for estimating the market risk premium and </w:t>
      </w:r>
      <w:r w:rsidRPr="00042AEC">
        <w:t xml:space="preserve">recommend that </w:t>
      </w:r>
      <w:r>
        <w:t>we give</w:t>
      </w:r>
      <w:r w:rsidRPr="00042AEC">
        <w:t xml:space="preserve"> it little weight</w:t>
      </w:r>
      <w:r>
        <w:t>.</w:t>
      </w:r>
      <w:r>
        <w:rPr>
          <w:rStyle w:val="FootnoteReference"/>
        </w:rPr>
        <w:footnoteReference w:id="868"/>
      </w:r>
      <w:r>
        <w:t xml:space="preserve"> The noted that the Wright CAPM is</w:t>
      </w:r>
      <w:r w:rsidRPr="00042AEC">
        <w:t xml:space="preserve"> </w:t>
      </w:r>
      <w:r>
        <w:t>has no 'well accepted theoretical support',</w:t>
      </w:r>
      <w:r w:rsidRPr="00042AEC">
        <w:t xml:space="preserve"> </w:t>
      </w:r>
      <w:r>
        <w:t>'</w:t>
      </w:r>
      <w:r w:rsidRPr="00042AEC">
        <w:t>does not seem to be much used, if at all, in practice</w:t>
      </w:r>
      <w:r>
        <w:t>' and '</w:t>
      </w:r>
      <w:r w:rsidRPr="00042AEC">
        <w:t>runs contrary to the well accepted view that asset prices are inversely related to interest rates</w:t>
      </w:r>
      <w:r>
        <w:t xml:space="preserve">'. </w:t>
      </w:r>
    </w:p>
    <w:p w:rsidR="00CE01EE" w:rsidRDefault="00CE01EE" w:rsidP="00CE01EE">
      <w:pPr>
        <w:numPr>
          <w:ilvl w:val="0"/>
          <w:numId w:val="24"/>
        </w:numPr>
      </w:pPr>
    </w:p>
    <w:p w:rsidR="007C2B29" w:rsidRPr="00BA0AFD" w:rsidRDefault="007C2B29" w:rsidP="007C2B29">
      <w:pPr>
        <w:pStyle w:val="Heading7"/>
      </w:pPr>
      <w:bookmarkStart w:id="137" w:name="_Toc443923196"/>
      <w:bookmarkStart w:id="138" w:name="_Toc451945487"/>
      <w:bookmarkEnd w:id="104"/>
      <w:bookmarkEnd w:id="105"/>
      <w:bookmarkEnd w:id="106"/>
      <w:bookmarkEnd w:id="107"/>
      <w:bookmarkEnd w:id="108"/>
      <w:bookmarkEnd w:id="109"/>
      <w:bookmarkEnd w:id="110"/>
      <w:bookmarkEnd w:id="111"/>
      <w:bookmarkEnd w:id="112"/>
      <w:bookmarkEnd w:id="113"/>
      <w:bookmarkEnd w:id="114"/>
      <w:bookmarkEnd w:id="115"/>
      <w:r>
        <w:t>Historical stock returns</w:t>
      </w:r>
      <w:bookmarkEnd w:id="137"/>
      <w:bookmarkEnd w:id="138"/>
    </w:p>
    <w:p w:rsidR="007C2B29" w:rsidRDefault="007C2B29" w:rsidP="007C2B29">
      <w:r>
        <w:t>This appendix examines realised returns to Australian listed equity (stocks) as a proxy for the historical return on the portfolio of all equity in the market. We examine both total returns and excess returns. E</w:t>
      </w:r>
      <w:r w:rsidRPr="009F06D7">
        <w:t xml:space="preserve">xcess returns </w:t>
      </w:r>
      <w:r>
        <w:t>are the realised returns</w:t>
      </w:r>
      <w:r>
        <w:rPr>
          <w:rStyle w:val="FootnoteReference"/>
        </w:rPr>
        <w:footnoteReference w:id="869"/>
      </w:r>
      <w:r w:rsidRPr="009F06D7">
        <w:t xml:space="preserve"> </w:t>
      </w:r>
      <w:r>
        <w:t xml:space="preserve">that </w:t>
      </w:r>
      <w:r w:rsidRPr="009F06D7">
        <w:t>stocks have earned in excess of the</w:t>
      </w:r>
      <w:r>
        <w:t xml:space="preserve"> returns on government bonds with a ten-year term-to-maturity.</w:t>
      </w:r>
    </w:p>
    <w:p w:rsidR="007C2B29" w:rsidRPr="00DC72A3" w:rsidRDefault="007C2B29" w:rsidP="007C2B29">
      <w:pPr>
        <w:rPr>
          <w:rStyle w:val="AERbody"/>
        </w:rPr>
      </w:pPr>
      <w:r w:rsidRPr="00DC72A3">
        <w:rPr>
          <w:rStyle w:val="AERbody"/>
        </w:rPr>
        <w:t>Our dataset and methodology is based on Brailsford, Handley, and Maheswaran</w:t>
      </w:r>
      <w:r>
        <w:rPr>
          <w:rStyle w:val="AERbody"/>
        </w:rPr>
        <w:t xml:space="preserve"> (Brailsford et al)</w:t>
      </w:r>
      <w:r w:rsidRPr="00DC72A3">
        <w:rPr>
          <w:rStyle w:val="AERbody"/>
        </w:rPr>
        <w:t>.</w:t>
      </w:r>
      <w:r w:rsidRPr="00DC72A3">
        <w:rPr>
          <w:rStyle w:val="AERsuperscript"/>
        </w:rPr>
        <w:footnoteReference w:id="870"/>
      </w:r>
      <w:r w:rsidRPr="00DC72A3">
        <w:rPr>
          <w:rStyle w:val="AERbody"/>
        </w:rPr>
        <w:t xml:space="preserve"> </w:t>
      </w:r>
      <w:r>
        <w:rPr>
          <w:rStyle w:val="AERbody"/>
        </w:rPr>
        <w:t>A</w:t>
      </w:r>
      <w:r w:rsidRPr="00DC72A3">
        <w:rPr>
          <w:rStyle w:val="AERbody"/>
        </w:rPr>
        <w:t xml:space="preserve"> detailed discussion on data and methodology</w:t>
      </w:r>
      <w:r>
        <w:rPr>
          <w:rStyle w:val="AERbody"/>
        </w:rPr>
        <w:t xml:space="preserve"> </w:t>
      </w:r>
      <w:r w:rsidRPr="00DC72A3">
        <w:rPr>
          <w:rStyle w:val="AERbody"/>
        </w:rPr>
        <w:t xml:space="preserve">can be found </w:t>
      </w:r>
      <w:r>
        <w:rPr>
          <w:rStyle w:val="AERbody"/>
        </w:rPr>
        <w:t>in</w:t>
      </w:r>
      <w:r w:rsidRPr="00DC72A3">
        <w:rPr>
          <w:rStyle w:val="AERbody"/>
        </w:rPr>
        <w:t xml:space="preserve"> </w:t>
      </w:r>
      <w:r>
        <w:rPr>
          <w:rStyle w:val="AERbody"/>
        </w:rPr>
        <w:t>Brailsford et al</w:t>
      </w:r>
      <w:r w:rsidRPr="00DC72A3">
        <w:rPr>
          <w:rStyle w:val="AERbody"/>
        </w:rPr>
        <w:t xml:space="preserve">, our Guideline, and </w:t>
      </w:r>
      <w:r>
        <w:rPr>
          <w:rStyle w:val="AERbody"/>
        </w:rPr>
        <w:t>attachment 3 to our draft decision for ActewAGL</w:t>
      </w:r>
      <w:r w:rsidRPr="00DC72A3">
        <w:rPr>
          <w:rStyle w:val="AERbody"/>
        </w:rPr>
        <w:t xml:space="preserve">. </w:t>
      </w:r>
    </w:p>
    <w:p w:rsidR="007C2B29" w:rsidRDefault="007C2B29" w:rsidP="007C2B29">
      <w:r>
        <w:t>In the remainder of this section we examine:</w:t>
      </w:r>
    </w:p>
    <w:p w:rsidR="007C2B29" w:rsidRPr="007C2B29" w:rsidRDefault="007C2B29" w:rsidP="007C2B29">
      <w:pPr>
        <w:pStyle w:val="AERbulletlistfirststyle"/>
      </w:pPr>
      <w:r>
        <w:t>Prevailing estimates for both excess returns and total returns</w:t>
      </w:r>
    </w:p>
    <w:p w:rsidR="007C2B29" w:rsidRPr="007C2B29" w:rsidRDefault="007C2B29" w:rsidP="007C2B29">
      <w:pPr>
        <w:pStyle w:val="AERbulletlistfirststyle"/>
      </w:pPr>
      <w:r>
        <w:t>The relative merits of arithmetic and geometric averages of historical returns</w:t>
      </w:r>
    </w:p>
    <w:p w:rsidR="007C2B29" w:rsidRPr="007C2B29" w:rsidRDefault="007C2B29" w:rsidP="007C2B29">
      <w:pPr>
        <w:pStyle w:val="AERbulletlistfirststyle"/>
      </w:pPr>
      <w:r>
        <w:t xml:space="preserve">The relative merits of the ASX's adjustment and NERA's </w:t>
      </w:r>
      <w:r w:rsidR="00536B64">
        <w:t>adjustment</w:t>
      </w:r>
      <w:r>
        <w:t xml:space="preserve"> to historical stock returns data</w:t>
      </w:r>
    </w:p>
    <w:p w:rsidR="007C2B29" w:rsidRPr="00DB0499" w:rsidRDefault="007C2B29" w:rsidP="00F81198">
      <w:pPr>
        <w:pStyle w:val="Heading8"/>
        <w:numPr>
          <w:ilvl w:val="1"/>
          <w:numId w:val="50"/>
        </w:numPr>
      </w:pPr>
      <w:bookmarkStart w:id="139" w:name="_Toc443923197"/>
      <w:bookmarkStart w:id="140" w:name="_Ref444735329"/>
      <w:bookmarkStart w:id="141" w:name="_Toc451945488"/>
      <w:r>
        <w:t>Prevailing estimates: excess returns</w:t>
      </w:r>
      <w:bookmarkEnd w:id="139"/>
      <w:bookmarkEnd w:id="140"/>
      <w:bookmarkEnd w:id="141"/>
    </w:p>
    <w:p w:rsidR="007C2B29" w:rsidRDefault="007C2B29" w:rsidP="007C2B29">
      <w:r>
        <w:fldChar w:fldCharType="begin"/>
      </w:r>
      <w:r>
        <w:instrText xml:space="preserve"> REF _Ref432619921 \h </w:instrText>
      </w:r>
      <w:r>
        <w:fldChar w:fldCharType="separate"/>
      </w:r>
      <w:r w:rsidR="001A023B">
        <w:t xml:space="preserve">Table </w:t>
      </w:r>
      <w:r w:rsidR="001A023B">
        <w:rPr>
          <w:noProof/>
        </w:rPr>
        <w:t>3</w:t>
      </w:r>
      <w:r w:rsidR="001A023B">
        <w:noBreakHyphen/>
      </w:r>
      <w:r w:rsidR="001A023B">
        <w:rPr>
          <w:noProof/>
        </w:rPr>
        <w:t>27</w:t>
      </w:r>
      <w:r>
        <w:fldChar w:fldCharType="end"/>
      </w:r>
      <w:r w:rsidRPr="00DD37EB">
        <w:t xml:space="preserve"> sets out </w:t>
      </w:r>
      <w:r>
        <w:t xml:space="preserve">our estimates of </w:t>
      </w:r>
      <w:r w:rsidRPr="00DD37EB">
        <w:t>historical excess returns</w:t>
      </w:r>
      <w:r>
        <w:t xml:space="preserve">, measured using both </w:t>
      </w:r>
      <w:r w:rsidRPr="00DD37EB">
        <w:t>arithmetic and geometric average</w:t>
      </w:r>
      <w:r>
        <w:t>s, and</w:t>
      </w:r>
      <w:r w:rsidRPr="00DD37EB">
        <w:t xml:space="preserve"> estimated over different </w:t>
      </w:r>
      <w:r>
        <w:t>sample periods up until the 2015</w:t>
      </w:r>
      <w:r w:rsidRPr="00DD37EB">
        <w:t xml:space="preserve"> calendar year end.</w:t>
      </w:r>
      <w:r w:rsidRPr="00DD37EB">
        <w:rPr>
          <w:rStyle w:val="FootnoteReference"/>
        </w:rPr>
        <w:footnoteReference w:id="871"/>
      </w:r>
      <w:r w:rsidRPr="00DD37EB">
        <w:t xml:space="preserve"> </w:t>
      </w:r>
      <w:r>
        <w:t>Arithmetic average measures</w:t>
      </w:r>
      <w:r w:rsidRPr="00DD37EB">
        <w:t xml:space="preserve"> range between </w:t>
      </w:r>
      <w:r>
        <w:t>5.2</w:t>
      </w:r>
      <w:r w:rsidRPr="00DD37EB">
        <w:t xml:space="preserve"> and </w:t>
      </w:r>
      <w:r>
        <w:t>6.2</w:t>
      </w:r>
      <w:r w:rsidRPr="00DD37EB">
        <w:t xml:space="preserve"> per cent and geometric average</w:t>
      </w:r>
      <w:r>
        <w:t xml:space="preserve"> measures</w:t>
      </w:r>
      <w:r w:rsidRPr="00DD37EB">
        <w:t xml:space="preserve"> range between </w:t>
      </w:r>
      <w:r>
        <w:t>3.5</w:t>
      </w:r>
      <w:r w:rsidRPr="00DD37EB">
        <w:t xml:space="preserve"> and </w:t>
      </w:r>
      <w:r>
        <w:t>4.8</w:t>
      </w:r>
      <w:r w:rsidRPr="00DD37EB">
        <w:t xml:space="preserve"> per cent.</w:t>
      </w:r>
      <w:r>
        <w:t xml:space="preserve">  </w:t>
      </w:r>
    </w:p>
    <w:p w:rsidR="007C2B29" w:rsidRPr="007B58A9" w:rsidRDefault="007C2B29" w:rsidP="00EA4C14">
      <w:pPr>
        <w:pStyle w:val="Caption"/>
        <w:rPr>
          <w:rStyle w:val="Strong"/>
        </w:rPr>
      </w:pPr>
      <w:bookmarkStart w:id="142" w:name="_Ref432619921"/>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27</w:t>
      </w:r>
      <w:r w:rsidR="00120312">
        <w:rPr>
          <w:noProof/>
        </w:rPr>
        <w:fldChar w:fldCharType="end"/>
      </w:r>
      <w:bookmarkEnd w:id="142"/>
      <w:r>
        <w:tab/>
      </w:r>
      <w:r w:rsidRPr="005F2D3F">
        <w:t>Historical excess returns (per cent)</w:t>
      </w:r>
    </w:p>
    <w:tbl>
      <w:tblPr>
        <w:tblStyle w:val="AERtable-numbers"/>
        <w:tblW w:w="5000" w:type="pct"/>
        <w:tblLook w:val="01E0" w:firstRow="1" w:lastRow="1" w:firstColumn="1" w:lastColumn="1" w:noHBand="0" w:noVBand="0"/>
      </w:tblPr>
      <w:tblGrid>
        <w:gridCol w:w="2897"/>
        <w:gridCol w:w="2898"/>
        <w:gridCol w:w="2898"/>
      </w:tblGrid>
      <w:tr w:rsidR="007C2B29" w:rsidRPr="00F7507F" w:rsidTr="006D0F5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7C2B29" w:rsidRPr="007C2B29" w:rsidRDefault="007C2B29" w:rsidP="00BB7AE6">
            <w:pPr>
              <w:keepNext/>
              <w:rPr>
                <w:rStyle w:val="Strong"/>
                <w:rFonts w:eastAsiaTheme="minorHAnsi" w:cstheme="minorBidi"/>
                <w:bCs w:val="0"/>
                <w:color w:val="076A92" w:themeColor="text1"/>
                <w:sz w:val="24"/>
                <w:szCs w:val="18"/>
                <w:lang w:eastAsia="en-US"/>
              </w:rPr>
            </w:pPr>
            <w:r w:rsidRPr="00DD37EB">
              <w:rPr>
                <w:rStyle w:val="Strong"/>
              </w:rPr>
              <w:t>Sampling period</w:t>
            </w:r>
          </w:p>
        </w:tc>
        <w:tc>
          <w:tcPr>
            <w:tcW w:w="1667" w:type="pct"/>
            <w:noWrap/>
          </w:tcPr>
          <w:p w:rsidR="007C2B29" w:rsidRPr="007C2B29" w:rsidRDefault="007C2B29" w:rsidP="00BB7AE6">
            <w:pPr>
              <w:keepNext/>
              <w:cnfStyle w:val="100000000000" w:firstRow="1" w:lastRow="0" w:firstColumn="0" w:lastColumn="0" w:oddVBand="0" w:evenVBand="0" w:oddHBand="0" w:evenHBand="0" w:firstRowFirstColumn="0" w:firstRowLastColumn="0" w:lastRowFirstColumn="0" w:lastRowLastColumn="0"/>
              <w:rPr>
                <w:rStyle w:val="Strong"/>
                <w:rFonts w:eastAsiaTheme="minorHAnsi" w:cstheme="minorBidi"/>
                <w:bCs w:val="0"/>
                <w:color w:val="076A92" w:themeColor="text1"/>
                <w:sz w:val="24"/>
                <w:szCs w:val="18"/>
                <w:lang w:eastAsia="en-US"/>
              </w:rPr>
            </w:pPr>
            <w:r w:rsidRPr="00DD37EB">
              <w:rPr>
                <w:rStyle w:val="Strong"/>
              </w:rPr>
              <w:t xml:space="preserve">Arithmetic </w:t>
            </w:r>
            <w:r w:rsidRPr="007C2B29">
              <w:rPr>
                <w:rStyle w:val="Strong"/>
              </w:rPr>
              <w:t>average</w:t>
            </w:r>
          </w:p>
        </w:tc>
        <w:tc>
          <w:tcPr>
            <w:tcW w:w="1667" w:type="pct"/>
            <w:noWrap/>
          </w:tcPr>
          <w:p w:rsidR="007C2B29" w:rsidRPr="007C2B29" w:rsidRDefault="007C2B29" w:rsidP="00BB7AE6">
            <w:pPr>
              <w:keepNext/>
              <w:cnfStyle w:val="100000000000" w:firstRow="1" w:lastRow="0" w:firstColumn="0" w:lastColumn="0" w:oddVBand="0" w:evenVBand="0" w:oddHBand="0" w:evenHBand="0" w:firstRowFirstColumn="0" w:firstRowLastColumn="0" w:lastRowFirstColumn="0" w:lastRowLastColumn="0"/>
              <w:rPr>
                <w:rStyle w:val="Strong"/>
                <w:rFonts w:eastAsiaTheme="minorHAnsi" w:cstheme="minorBidi"/>
                <w:bCs w:val="0"/>
                <w:color w:val="076A92" w:themeColor="text1"/>
                <w:sz w:val="24"/>
                <w:szCs w:val="18"/>
                <w:lang w:eastAsia="en-US"/>
              </w:rPr>
            </w:pPr>
            <w:r w:rsidRPr="00DD37EB">
              <w:rPr>
                <w:rStyle w:val="Strong"/>
              </w:rPr>
              <w:t xml:space="preserve">Geometric </w:t>
            </w:r>
            <w:r w:rsidRPr="007C2B29">
              <w:rPr>
                <w:rStyle w:val="Strong"/>
              </w:rPr>
              <w:t>average</w:t>
            </w:r>
          </w:p>
        </w:tc>
      </w:tr>
      <w:tr w:rsidR="007C2B29" w:rsidRPr="00F7507F" w:rsidTr="006D0F55">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7C2B29" w:rsidRPr="007C2B29" w:rsidRDefault="007C2B29" w:rsidP="00BB7AE6">
            <w:pPr>
              <w:keepNext/>
            </w:pPr>
            <w:r w:rsidRPr="00F7507F">
              <w:t>1883–</w:t>
            </w:r>
            <w:r w:rsidRPr="007C2B29">
              <w:t>2015</w:t>
            </w:r>
          </w:p>
        </w:tc>
        <w:tc>
          <w:tcPr>
            <w:tcW w:w="1667" w:type="pct"/>
            <w:noWrap/>
          </w:tcPr>
          <w:p w:rsidR="007C2B29" w:rsidRPr="007C2B29" w:rsidRDefault="007C2B29" w:rsidP="00BB7AE6">
            <w:pPr>
              <w:keepNext/>
              <w:cnfStyle w:val="000000000000" w:firstRow="0" w:lastRow="0" w:firstColumn="0" w:lastColumn="0" w:oddVBand="0" w:evenVBand="0" w:oddHBand="0" w:evenHBand="0" w:firstRowFirstColumn="0" w:firstRowLastColumn="0" w:lastRowFirstColumn="0" w:lastRowLastColumn="0"/>
            </w:pPr>
            <w:r>
              <w:t>6.1</w:t>
            </w:r>
          </w:p>
        </w:tc>
        <w:tc>
          <w:tcPr>
            <w:tcW w:w="1667" w:type="pct"/>
            <w:noWrap/>
          </w:tcPr>
          <w:p w:rsidR="007C2B29" w:rsidRPr="007C2B29" w:rsidRDefault="007C2B29" w:rsidP="00BB7AE6">
            <w:pPr>
              <w:keepNext/>
              <w:cnfStyle w:val="000000000000" w:firstRow="0" w:lastRow="0" w:firstColumn="0" w:lastColumn="0" w:oddVBand="0" w:evenVBand="0" w:oddHBand="0" w:evenHBand="0" w:firstRowFirstColumn="0" w:firstRowLastColumn="0" w:lastRowFirstColumn="0" w:lastRowLastColumn="0"/>
            </w:pPr>
            <w:r>
              <w:t>4.</w:t>
            </w:r>
            <w:r w:rsidRPr="007C2B29">
              <w:t>8</w:t>
            </w:r>
          </w:p>
        </w:tc>
      </w:tr>
      <w:tr w:rsidR="007C2B29" w:rsidRPr="00F7507F" w:rsidTr="006D0F5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7C2B29" w:rsidRPr="007C2B29" w:rsidRDefault="007C2B29" w:rsidP="00BB7AE6">
            <w:pPr>
              <w:keepNext/>
            </w:pPr>
            <w:r w:rsidRPr="00F7507F">
              <w:t>1937–</w:t>
            </w:r>
            <w:r w:rsidRPr="007C2B29">
              <w:t>2015</w:t>
            </w:r>
          </w:p>
        </w:tc>
        <w:tc>
          <w:tcPr>
            <w:tcW w:w="1667" w:type="pct"/>
            <w:noWrap/>
          </w:tcPr>
          <w:p w:rsidR="007C2B29" w:rsidRPr="007C2B29" w:rsidRDefault="007C2B29" w:rsidP="00BB7AE6">
            <w:pPr>
              <w:keepNext/>
              <w:cnfStyle w:val="000000010000" w:firstRow="0" w:lastRow="0" w:firstColumn="0" w:lastColumn="0" w:oddVBand="0" w:evenVBand="0" w:oddHBand="0" w:evenHBand="1" w:firstRowFirstColumn="0" w:firstRowLastColumn="0" w:lastRowFirstColumn="0" w:lastRowLastColumn="0"/>
            </w:pPr>
            <w:r>
              <w:t>5.</w:t>
            </w:r>
            <w:r w:rsidRPr="007C2B29">
              <w:t>7</w:t>
            </w:r>
          </w:p>
        </w:tc>
        <w:tc>
          <w:tcPr>
            <w:tcW w:w="1667" w:type="pct"/>
            <w:noWrap/>
          </w:tcPr>
          <w:p w:rsidR="007C2B29" w:rsidRPr="007C2B29" w:rsidRDefault="007C2B29" w:rsidP="00BB7AE6">
            <w:pPr>
              <w:keepNext/>
              <w:cnfStyle w:val="000000010000" w:firstRow="0" w:lastRow="0" w:firstColumn="0" w:lastColumn="0" w:oddVBand="0" w:evenVBand="0" w:oddHBand="0" w:evenHBand="1" w:firstRowFirstColumn="0" w:firstRowLastColumn="0" w:lastRowFirstColumn="0" w:lastRowLastColumn="0"/>
            </w:pPr>
            <w:r>
              <w:t>3.</w:t>
            </w:r>
            <w:r w:rsidRPr="007C2B29">
              <w:t>9</w:t>
            </w:r>
          </w:p>
        </w:tc>
      </w:tr>
      <w:tr w:rsidR="007C2B29" w:rsidRPr="00F7507F" w:rsidTr="006D0F55">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7C2B29" w:rsidRPr="007C2B29" w:rsidRDefault="007C2B29" w:rsidP="00BB7AE6">
            <w:pPr>
              <w:keepNext/>
            </w:pPr>
            <w:r>
              <w:t>1958–</w:t>
            </w:r>
            <w:r w:rsidRPr="007C2B29">
              <w:t>2015</w:t>
            </w:r>
          </w:p>
        </w:tc>
        <w:tc>
          <w:tcPr>
            <w:tcW w:w="1667" w:type="pct"/>
            <w:noWrap/>
          </w:tcPr>
          <w:p w:rsidR="007C2B29" w:rsidRPr="007C2B29" w:rsidRDefault="007C2B29" w:rsidP="00BB7AE6">
            <w:pPr>
              <w:keepNext/>
              <w:cnfStyle w:val="000000000000" w:firstRow="0" w:lastRow="0" w:firstColumn="0" w:lastColumn="0" w:oddVBand="0" w:evenVBand="0" w:oddHBand="0" w:evenHBand="0" w:firstRowFirstColumn="0" w:firstRowLastColumn="0" w:lastRowFirstColumn="0" w:lastRowLastColumn="0"/>
            </w:pPr>
            <w:r>
              <w:t>6</w:t>
            </w:r>
            <w:r w:rsidRPr="007C2B29">
              <w:t>.2</w:t>
            </w:r>
          </w:p>
        </w:tc>
        <w:tc>
          <w:tcPr>
            <w:tcW w:w="1667" w:type="pct"/>
            <w:noWrap/>
          </w:tcPr>
          <w:p w:rsidR="007C2B29" w:rsidRPr="007C2B29" w:rsidRDefault="007C2B29" w:rsidP="00BB7AE6">
            <w:pPr>
              <w:keepNext/>
              <w:cnfStyle w:val="000000000000" w:firstRow="0" w:lastRow="0" w:firstColumn="0" w:lastColumn="0" w:oddVBand="0" w:evenVBand="0" w:oddHBand="0" w:evenHBand="0" w:firstRowFirstColumn="0" w:firstRowLastColumn="0" w:lastRowFirstColumn="0" w:lastRowLastColumn="0"/>
            </w:pPr>
            <w:r>
              <w:t>3.8</w:t>
            </w:r>
          </w:p>
        </w:tc>
      </w:tr>
      <w:tr w:rsidR="007C2B29" w:rsidRPr="00F7507F" w:rsidTr="006D0F5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7C2B29" w:rsidRPr="007C2B29" w:rsidRDefault="007C2B29" w:rsidP="00BB7AE6">
            <w:pPr>
              <w:keepNext/>
            </w:pPr>
            <w:r w:rsidRPr="00F7507F">
              <w:t>1980–</w:t>
            </w:r>
            <w:r w:rsidRPr="007C2B29">
              <w:t>2015</w:t>
            </w:r>
          </w:p>
        </w:tc>
        <w:tc>
          <w:tcPr>
            <w:tcW w:w="1667" w:type="pct"/>
            <w:noWrap/>
          </w:tcPr>
          <w:p w:rsidR="007C2B29" w:rsidRPr="007C2B29" w:rsidRDefault="007C2B29" w:rsidP="00BB7AE6">
            <w:pPr>
              <w:keepNext/>
              <w:cnfStyle w:val="000000010000" w:firstRow="0" w:lastRow="0" w:firstColumn="0" w:lastColumn="0" w:oddVBand="0" w:evenVBand="0" w:oddHBand="0" w:evenHBand="1" w:firstRowFirstColumn="0" w:firstRowLastColumn="0" w:lastRowFirstColumn="0" w:lastRowLastColumn="0"/>
            </w:pPr>
            <w:r>
              <w:t>5.</w:t>
            </w:r>
            <w:r w:rsidRPr="007C2B29">
              <w:t>9</w:t>
            </w:r>
          </w:p>
        </w:tc>
        <w:tc>
          <w:tcPr>
            <w:tcW w:w="1667" w:type="pct"/>
            <w:noWrap/>
          </w:tcPr>
          <w:p w:rsidR="007C2B29" w:rsidRPr="007C2B29" w:rsidRDefault="007C2B29" w:rsidP="00BB7AE6">
            <w:pPr>
              <w:keepNext/>
              <w:cnfStyle w:val="000000010000" w:firstRow="0" w:lastRow="0" w:firstColumn="0" w:lastColumn="0" w:oddVBand="0" w:evenVBand="0" w:oddHBand="0" w:evenHBand="1" w:firstRowFirstColumn="0" w:firstRowLastColumn="0" w:lastRowFirstColumn="0" w:lastRowLastColumn="0"/>
            </w:pPr>
            <w:r>
              <w:t>3.5</w:t>
            </w:r>
          </w:p>
        </w:tc>
      </w:tr>
      <w:tr w:rsidR="007C2B29" w:rsidRPr="00F7507F" w:rsidTr="006D0F55">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7C2B29" w:rsidRPr="007C2B29" w:rsidRDefault="007C2B29" w:rsidP="00BB7AE6">
            <w:pPr>
              <w:keepNext/>
            </w:pPr>
            <w:r w:rsidRPr="00F7507F">
              <w:t>1988–</w:t>
            </w:r>
            <w:r w:rsidRPr="007C2B29">
              <w:t>2015</w:t>
            </w:r>
          </w:p>
        </w:tc>
        <w:tc>
          <w:tcPr>
            <w:tcW w:w="1667" w:type="pct"/>
            <w:noWrap/>
          </w:tcPr>
          <w:p w:rsidR="007C2B29" w:rsidRPr="007C2B29" w:rsidRDefault="007C2B29" w:rsidP="00BB7AE6">
            <w:pPr>
              <w:keepNext/>
              <w:cnfStyle w:val="000000000000" w:firstRow="0" w:lastRow="0" w:firstColumn="0" w:lastColumn="0" w:oddVBand="0" w:evenVBand="0" w:oddHBand="0" w:evenHBand="0" w:firstRowFirstColumn="0" w:firstRowLastColumn="0" w:lastRowFirstColumn="0" w:lastRowLastColumn="0"/>
            </w:pPr>
            <w:r>
              <w:t>5.</w:t>
            </w:r>
            <w:r w:rsidRPr="007C2B29">
              <w:t>2</w:t>
            </w:r>
          </w:p>
        </w:tc>
        <w:tc>
          <w:tcPr>
            <w:tcW w:w="1667" w:type="pct"/>
            <w:noWrap/>
          </w:tcPr>
          <w:p w:rsidR="007C2B29" w:rsidRPr="007C2B29" w:rsidRDefault="007C2B29" w:rsidP="00BB7AE6">
            <w:pPr>
              <w:keepNext/>
              <w:cnfStyle w:val="000000000000" w:firstRow="0" w:lastRow="0" w:firstColumn="0" w:lastColumn="0" w:oddVBand="0" w:evenVBand="0" w:oddHBand="0" w:evenHBand="0" w:firstRowFirstColumn="0" w:firstRowLastColumn="0" w:lastRowFirstColumn="0" w:lastRowLastColumn="0"/>
            </w:pPr>
            <w:r>
              <w:t>3.</w:t>
            </w:r>
            <w:r w:rsidRPr="007C2B29">
              <w:t>6</w:t>
            </w:r>
          </w:p>
        </w:tc>
      </w:tr>
    </w:tbl>
    <w:p w:rsidR="007C2B29" w:rsidRPr="00BA0AFD" w:rsidRDefault="007C2B29" w:rsidP="00BB7AE6">
      <w:pPr>
        <w:pStyle w:val="AERtablesource"/>
        <w:keepNext/>
      </w:pPr>
      <w:r w:rsidRPr="00823B7B">
        <w:t>Source:</w:t>
      </w:r>
      <w:r w:rsidRPr="00823B7B">
        <w:tab/>
        <w:t xml:space="preserve">Handley, </w:t>
      </w:r>
      <w:r w:rsidRPr="00BA0AFD">
        <w:rPr>
          <w:rStyle w:val="AERtextitalic"/>
        </w:rPr>
        <w:t>An estimate of the historical equity risk premium for the period 1883 to 2011</w:t>
      </w:r>
      <w:r w:rsidRPr="00BA0AFD">
        <w:t>, April 2012, p. 6. AER update for 2012–201</w:t>
      </w:r>
      <w:r>
        <w:t>5</w:t>
      </w:r>
      <w:r w:rsidRPr="00BA0AFD">
        <w:t xml:space="preserve"> market data.</w:t>
      </w:r>
    </w:p>
    <w:p w:rsidR="007C2B29" w:rsidRPr="00DE1A32" w:rsidRDefault="007C2B29" w:rsidP="00BB7AE6">
      <w:pPr>
        <w:pStyle w:val="AERtablesource"/>
        <w:keepNext/>
      </w:pPr>
      <w:r>
        <w:t>Notes</w:t>
      </w:r>
      <w:r w:rsidRPr="00DE1A32">
        <w:t xml:space="preserve">: </w:t>
      </w:r>
      <w:r w:rsidRPr="00DE1A32">
        <w:tab/>
      </w:r>
      <w:r>
        <w:t>Based on a theta of 0.6.</w:t>
      </w:r>
    </w:p>
    <w:p w:rsidR="007C2B29" w:rsidRPr="006705B3" w:rsidRDefault="007C2B29" w:rsidP="007C2B29">
      <w:pPr>
        <w:pStyle w:val="Heading8"/>
      </w:pPr>
      <w:bookmarkStart w:id="143" w:name="_Toc443923198"/>
      <w:bookmarkStart w:id="144" w:name="_Ref444735331"/>
      <w:bookmarkStart w:id="145" w:name="_Ref445926700"/>
      <w:bookmarkStart w:id="146" w:name="_Ref449053064"/>
      <w:bookmarkStart w:id="147" w:name="_Toc451945489"/>
      <w:r>
        <w:t>P</w:t>
      </w:r>
      <w:r w:rsidRPr="006705B3">
        <w:t xml:space="preserve">revailing estimates: </w:t>
      </w:r>
      <w:r>
        <w:t>total</w:t>
      </w:r>
      <w:r w:rsidRPr="006705B3">
        <w:t xml:space="preserve"> returns</w:t>
      </w:r>
      <w:bookmarkEnd w:id="143"/>
      <w:bookmarkEnd w:id="144"/>
      <w:bookmarkEnd w:id="145"/>
      <w:bookmarkEnd w:id="146"/>
      <w:bookmarkEnd w:id="147"/>
    </w:p>
    <w:p w:rsidR="007C2B29" w:rsidRDefault="007C2B29" w:rsidP="007C2B29">
      <w:r>
        <w:fldChar w:fldCharType="begin"/>
      </w:r>
      <w:r>
        <w:instrText xml:space="preserve"> REF _Ref417570520 \h </w:instrText>
      </w:r>
      <w:r>
        <w:fldChar w:fldCharType="separate"/>
      </w:r>
      <w:r w:rsidR="001A023B">
        <w:t xml:space="preserve">Table </w:t>
      </w:r>
      <w:r w:rsidR="001A023B">
        <w:rPr>
          <w:noProof/>
        </w:rPr>
        <w:t>3</w:t>
      </w:r>
      <w:r w:rsidR="001A023B">
        <w:noBreakHyphen/>
      </w:r>
      <w:r w:rsidR="001A023B">
        <w:rPr>
          <w:noProof/>
        </w:rPr>
        <w:t>28</w:t>
      </w:r>
      <w:r>
        <w:fldChar w:fldCharType="end"/>
      </w:r>
      <w:r w:rsidRPr="00760BFA">
        <w:t xml:space="preserve"> sets out our estimates of historical returns on the market portfolio.</w:t>
      </w:r>
      <w:r w:rsidRPr="00F57E56">
        <w:t xml:space="preserve"> </w:t>
      </w:r>
      <w:r>
        <w:t>The nominal return ranges from 10.0 to 12.7. We use a range because the estimated return on the market will vary depending on the time period used.</w:t>
      </w:r>
      <w:r>
        <w:rPr>
          <w:rStyle w:val="FootnoteReference"/>
        </w:rPr>
        <w:footnoteReference w:id="872"/>
      </w:r>
    </w:p>
    <w:p w:rsidR="007C2B29" w:rsidRPr="00276FAF" w:rsidRDefault="007C2B29" w:rsidP="007C2B29">
      <w:pPr>
        <w:pStyle w:val="Caption"/>
        <w:rPr>
          <w:rStyle w:val="Strong"/>
        </w:rPr>
      </w:pPr>
      <w:bookmarkStart w:id="148" w:name="_Ref417570520"/>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28</w:t>
      </w:r>
      <w:r w:rsidR="00120312">
        <w:rPr>
          <w:noProof/>
        </w:rPr>
        <w:fldChar w:fldCharType="end"/>
      </w:r>
      <w:bookmarkEnd w:id="148"/>
      <w:r>
        <w:tab/>
      </w:r>
      <w:r w:rsidRPr="005F2D3F">
        <w:t xml:space="preserve">Historical returns on the market portfolio </w:t>
      </w:r>
      <w:r>
        <w:t>(per cent)</w:t>
      </w:r>
    </w:p>
    <w:tbl>
      <w:tblPr>
        <w:tblStyle w:val="AERtable-numbers"/>
        <w:tblW w:w="8755" w:type="dxa"/>
        <w:tblLook w:val="04A0" w:firstRow="1" w:lastRow="0" w:firstColumn="1" w:lastColumn="0" w:noHBand="0" w:noVBand="1"/>
      </w:tblPr>
      <w:tblGrid>
        <w:gridCol w:w="1909"/>
        <w:gridCol w:w="3423"/>
        <w:gridCol w:w="3423"/>
      </w:tblGrid>
      <w:tr w:rsidR="007C2B29" w:rsidRPr="00B9584E" w:rsidTr="006D0F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7C2B29" w:rsidRPr="007C2B29" w:rsidRDefault="007C2B29" w:rsidP="00BA7AE7">
            <w:r w:rsidRPr="00B9584E">
              <w:t>Sampling period</w:t>
            </w:r>
          </w:p>
        </w:tc>
        <w:tc>
          <w:tcPr>
            <w:tcW w:w="3423" w:type="dxa"/>
          </w:tcPr>
          <w:p w:rsidR="007C2B29" w:rsidRPr="007C2B29" w:rsidRDefault="007C2B29" w:rsidP="00BA7AE7">
            <w:pPr>
              <w:cnfStyle w:val="100000000000" w:firstRow="1" w:lastRow="0" w:firstColumn="0" w:lastColumn="0" w:oddVBand="0" w:evenVBand="0" w:oddHBand="0" w:evenHBand="0" w:firstRowFirstColumn="0" w:firstRowLastColumn="0" w:lastRowFirstColumn="0" w:lastRowLastColumn="0"/>
            </w:pPr>
            <w:r w:rsidRPr="009E266F">
              <w:t>Market return (real)</w:t>
            </w:r>
          </w:p>
        </w:tc>
        <w:tc>
          <w:tcPr>
            <w:tcW w:w="3423" w:type="dxa"/>
          </w:tcPr>
          <w:p w:rsidR="007C2B29" w:rsidRPr="007C2B29" w:rsidRDefault="007C2B29" w:rsidP="00BA7AE7">
            <w:pPr>
              <w:cnfStyle w:val="100000000000" w:firstRow="1" w:lastRow="0" w:firstColumn="0" w:lastColumn="0" w:oddVBand="0" w:evenVBand="0" w:oddHBand="0" w:evenHBand="0" w:firstRowFirstColumn="0" w:firstRowLastColumn="0" w:lastRowFirstColumn="0" w:lastRowLastColumn="0"/>
            </w:pPr>
            <w:r w:rsidRPr="009E266F">
              <w:t>Market return (nominal)</w:t>
            </w:r>
          </w:p>
        </w:tc>
      </w:tr>
      <w:tr w:rsidR="007C2B29" w:rsidRPr="00B9584E" w:rsidTr="006D0F55">
        <w:tc>
          <w:tcPr>
            <w:cnfStyle w:val="001000000000" w:firstRow="0" w:lastRow="0" w:firstColumn="1" w:lastColumn="0" w:oddVBand="0" w:evenVBand="0" w:oddHBand="0" w:evenHBand="0" w:firstRowFirstColumn="0" w:firstRowLastColumn="0" w:lastRowFirstColumn="0" w:lastRowLastColumn="0"/>
            <w:tcW w:w="1909" w:type="dxa"/>
          </w:tcPr>
          <w:p w:rsidR="007C2B29" w:rsidRPr="007C2B29" w:rsidRDefault="007C2B29" w:rsidP="00BA7AE7">
            <w:r>
              <w:t>1883</w:t>
            </w:r>
            <w:r w:rsidRPr="007C2B29">
              <w:t>–2015</w:t>
            </w:r>
          </w:p>
        </w:tc>
        <w:tc>
          <w:tcPr>
            <w:tcW w:w="3423" w:type="dxa"/>
          </w:tcPr>
          <w:p w:rsidR="007C2B29" w:rsidRPr="007C2B29" w:rsidRDefault="007C2B29" w:rsidP="00BA7AE7">
            <w:pPr>
              <w:cnfStyle w:val="000000000000" w:firstRow="0" w:lastRow="0" w:firstColumn="0" w:lastColumn="0" w:oddVBand="0" w:evenVBand="0" w:oddHBand="0" w:evenHBand="0" w:firstRowFirstColumn="0" w:firstRowLastColumn="0" w:lastRowFirstColumn="0" w:lastRowLastColumn="0"/>
            </w:pPr>
            <w:r>
              <w:t>8.</w:t>
            </w:r>
            <w:r w:rsidRPr="007C2B29">
              <w:t>6</w:t>
            </w:r>
          </w:p>
        </w:tc>
        <w:tc>
          <w:tcPr>
            <w:tcW w:w="3423" w:type="dxa"/>
          </w:tcPr>
          <w:p w:rsidR="007C2B29" w:rsidRPr="007C2B29" w:rsidRDefault="007C2B29" w:rsidP="00BA7AE7">
            <w:pPr>
              <w:cnfStyle w:val="000000000000" w:firstRow="0" w:lastRow="0" w:firstColumn="0" w:lastColumn="0" w:oddVBand="0" w:evenVBand="0" w:oddHBand="0" w:evenHBand="0" w:firstRowFirstColumn="0" w:firstRowLastColumn="0" w:lastRowFirstColumn="0" w:lastRowLastColumn="0"/>
            </w:pPr>
            <w:r>
              <w:t>11.</w:t>
            </w:r>
            <w:r w:rsidRPr="007C2B29">
              <w:t>3</w:t>
            </w:r>
          </w:p>
        </w:tc>
      </w:tr>
      <w:tr w:rsidR="007C2B29" w:rsidRPr="00B9584E" w:rsidTr="006D0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7C2B29" w:rsidRPr="007C2B29" w:rsidRDefault="007C2B29" w:rsidP="00BA7AE7">
            <w:r>
              <w:t>1937–201</w:t>
            </w:r>
            <w:r w:rsidRPr="007C2B29">
              <w:t>5</w:t>
            </w:r>
          </w:p>
        </w:tc>
        <w:tc>
          <w:tcPr>
            <w:tcW w:w="3423" w:type="dxa"/>
          </w:tcPr>
          <w:p w:rsidR="007C2B29" w:rsidRPr="007C2B29" w:rsidRDefault="007C2B29" w:rsidP="00BA7AE7">
            <w:pPr>
              <w:cnfStyle w:val="000000010000" w:firstRow="0" w:lastRow="0" w:firstColumn="0" w:lastColumn="0" w:oddVBand="0" w:evenVBand="0" w:oddHBand="0" w:evenHBand="1" w:firstRowFirstColumn="0" w:firstRowLastColumn="0" w:lastRowFirstColumn="0" w:lastRowLastColumn="0"/>
            </w:pPr>
            <w:r>
              <w:t>7.</w:t>
            </w:r>
            <w:r w:rsidRPr="007C2B29">
              <w:t>3</w:t>
            </w:r>
          </w:p>
        </w:tc>
        <w:tc>
          <w:tcPr>
            <w:tcW w:w="3423" w:type="dxa"/>
          </w:tcPr>
          <w:p w:rsidR="007C2B29" w:rsidRPr="007C2B29" w:rsidRDefault="007C2B29" w:rsidP="00BA7AE7">
            <w:pPr>
              <w:cnfStyle w:val="000000010000" w:firstRow="0" w:lastRow="0" w:firstColumn="0" w:lastColumn="0" w:oddVBand="0" w:evenVBand="0" w:oddHBand="0" w:evenHBand="1" w:firstRowFirstColumn="0" w:firstRowLastColumn="0" w:lastRowFirstColumn="0" w:lastRowLastColumn="0"/>
            </w:pPr>
            <w:r>
              <w:t>10.</w:t>
            </w:r>
            <w:r w:rsidRPr="007C2B29">
              <w:t>0</w:t>
            </w:r>
          </w:p>
        </w:tc>
      </w:tr>
      <w:tr w:rsidR="007C2B29" w:rsidRPr="00B9584E" w:rsidTr="006D0F55">
        <w:tc>
          <w:tcPr>
            <w:cnfStyle w:val="001000000000" w:firstRow="0" w:lastRow="0" w:firstColumn="1" w:lastColumn="0" w:oddVBand="0" w:evenVBand="0" w:oddHBand="0" w:evenHBand="0" w:firstRowFirstColumn="0" w:firstRowLastColumn="0" w:lastRowFirstColumn="0" w:lastRowLastColumn="0"/>
            <w:tcW w:w="1909" w:type="dxa"/>
          </w:tcPr>
          <w:p w:rsidR="007C2B29" w:rsidRPr="007C2B29" w:rsidRDefault="007C2B29" w:rsidP="00BA7AE7">
            <w:r>
              <w:t>1958–201</w:t>
            </w:r>
            <w:r w:rsidRPr="007C2B29">
              <w:t>5</w:t>
            </w:r>
          </w:p>
        </w:tc>
        <w:tc>
          <w:tcPr>
            <w:tcW w:w="3423" w:type="dxa"/>
          </w:tcPr>
          <w:p w:rsidR="007C2B29" w:rsidRPr="007C2B29" w:rsidRDefault="007C2B29" w:rsidP="00BA7AE7">
            <w:pPr>
              <w:cnfStyle w:val="000000000000" w:firstRow="0" w:lastRow="0" w:firstColumn="0" w:lastColumn="0" w:oddVBand="0" w:evenVBand="0" w:oddHBand="0" w:evenHBand="0" w:firstRowFirstColumn="0" w:firstRowLastColumn="0" w:lastRowFirstColumn="0" w:lastRowLastColumn="0"/>
            </w:pPr>
            <w:r>
              <w:t>8.9</w:t>
            </w:r>
          </w:p>
        </w:tc>
        <w:tc>
          <w:tcPr>
            <w:tcW w:w="3423" w:type="dxa"/>
          </w:tcPr>
          <w:p w:rsidR="007C2B29" w:rsidRPr="007C2B29" w:rsidRDefault="007C2B29" w:rsidP="00BA7AE7">
            <w:pPr>
              <w:cnfStyle w:val="000000000000" w:firstRow="0" w:lastRow="0" w:firstColumn="0" w:lastColumn="0" w:oddVBand="0" w:evenVBand="0" w:oddHBand="0" w:evenHBand="0" w:firstRowFirstColumn="0" w:firstRowLastColumn="0" w:lastRowFirstColumn="0" w:lastRowLastColumn="0"/>
            </w:pPr>
            <w:r>
              <w:t>11.</w:t>
            </w:r>
            <w:r w:rsidRPr="007C2B29">
              <w:t>6</w:t>
            </w:r>
          </w:p>
        </w:tc>
      </w:tr>
      <w:tr w:rsidR="007C2B29" w:rsidRPr="00B9584E" w:rsidTr="006D0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7C2B29" w:rsidRPr="007C2B29" w:rsidRDefault="007C2B29" w:rsidP="00BA7AE7">
            <w:r>
              <w:t>1980–201</w:t>
            </w:r>
            <w:r w:rsidRPr="007C2B29">
              <w:t>5</w:t>
            </w:r>
          </w:p>
        </w:tc>
        <w:tc>
          <w:tcPr>
            <w:tcW w:w="3423" w:type="dxa"/>
          </w:tcPr>
          <w:p w:rsidR="007C2B29" w:rsidRPr="007C2B29" w:rsidRDefault="007C2B29" w:rsidP="00BA7AE7">
            <w:pPr>
              <w:cnfStyle w:val="000000010000" w:firstRow="0" w:lastRow="0" w:firstColumn="0" w:lastColumn="0" w:oddVBand="0" w:evenVBand="0" w:oddHBand="0" w:evenHBand="1" w:firstRowFirstColumn="0" w:firstRowLastColumn="0" w:lastRowFirstColumn="0" w:lastRowLastColumn="0"/>
            </w:pPr>
            <w:r>
              <w:t>9.9</w:t>
            </w:r>
          </w:p>
        </w:tc>
        <w:tc>
          <w:tcPr>
            <w:tcW w:w="3423" w:type="dxa"/>
          </w:tcPr>
          <w:p w:rsidR="007C2B29" w:rsidRPr="007C2B29" w:rsidRDefault="007C2B29" w:rsidP="00BA7AE7">
            <w:pPr>
              <w:cnfStyle w:val="000000010000" w:firstRow="0" w:lastRow="0" w:firstColumn="0" w:lastColumn="0" w:oddVBand="0" w:evenVBand="0" w:oddHBand="0" w:evenHBand="1" w:firstRowFirstColumn="0" w:firstRowLastColumn="0" w:lastRowFirstColumn="0" w:lastRowLastColumn="0"/>
            </w:pPr>
            <w:r>
              <w:t>1</w:t>
            </w:r>
            <w:r w:rsidRPr="007C2B29">
              <w:t>2.7</w:t>
            </w:r>
          </w:p>
        </w:tc>
      </w:tr>
      <w:tr w:rsidR="007C2B29" w:rsidRPr="00B9584E" w:rsidTr="006D0F55">
        <w:tc>
          <w:tcPr>
            <w:cnfStyle w:val="001000000000" w:firstRow="0" w:lastRow="0" w:firstColumn="1" w:lastColumn="0" w:oddVBand="0" w:evenVBand="0" w:oddHBand="0" w:evenHBand="0" w:firstRowFirstColumn="0" w:firstRowLastColumn="0" w:lastRowFirstColumn="0" w:lastRowLastColumn="0"/>
            <w:tcW w:w="1909" w:type="dxa"/>
          </w:tcPr>
          <w:p w:rsidR="007C2B29" w:rsidRPr="007C2B29" w:rsidRDefault="007C2B29" w:rsidP="00BA7AE7">
            <w:r>
              <w:t>1988–201</w:t>
            </w:r>
            <w:r w:rsidRPr="007C2B29">
              <w:t>5</w:t>
            </w:r>
          </w:p>
        </w:tc>
        <w:tc>
          <w:tcPr>
            <w:tcW w:w="3423" w:type="dxa"/>
          </w:tcPr>
          <w:p w:rsidR="007C2B29" w:rsidRPr="007C2B29" w:rsidRDefault="007C2B29" w:rsidP="00BA7AE7">
            <w:pPr>
              <w:cnfStyle w:val="000000000000" w:firstRow="0" w:lastRow="0" w:firstColumn="0" w:lastColumn="0" w:oddVBand="0" w:evenVBand="0" w:oddHBand="0" w:evenHBand="0" w:firstRowFirstColumn="0" w:firstRowLastColumn="0" w:lastRowFirstColumn="0" w:lastRowLastColumn="0"/>
            </w:pPr>
            <w:r>
              <w:t>9.</w:t>
            </w:r>
            <w:r w:rsidRPr="007C2B29">
              <w:t>3</w:t>
            </w:r>
          </w:p>
        </w:tc>
        <w:tc>
          <w:tcPr>
            <w:tcW w:w="3423" w:type="dxa"/>
          </w:tcPr>
          <w:p w:rsidR="007C2B29" w:rsidRPr="007C2B29" w:rsidRDefault="007C2B29" w:rsidP="00BA7AE7">
            <w:pPr>
              <w:cnfStyle w:val="000000000000" w:firstRow="0" w:lastRow="0" w:firstColumn="0" w:lastColumn="0" w:oddVBand="0" w:evenVBand="0" w:oddHBand="0" w:evenHBand="0" w:firstRowFirstColumn="0" w:firstRowLastColumn="0" w:lastRowFirstColumn="0" w:lastRowLastColumn="0"/>
            </w:pPr>
            <w:r>
              <w:t>12.</w:t>
            </w:r>
            <w:r w:rsidRPr="007C2B29">
              <w:t>0</w:t>
            </w:r>
          </w:p>
        </w:tc>
      </w:tr>
    </w:tbl>
    <w:p w:rsidR="007C2B29" w:rsidRPr="00BA0AFD" w:rsidRDefault="007C2B29" w:rsidP="007C2B29">
      <w:pPr>
        <w:pStyle w:val="AERtablesource"/>
      </w:pPr>
      <w:r w:rsidRPr="00823B7B">
        <w:t>Source:</w:t>
      </w:r>
      <w:r w:rsidRPr="00823B7B">
        <w:tab/>
        <w:t xml:space="preserve">Handley, </w:t>
      </w:r>
      <w:r w:rsidRPr="00BA0AFD">
        <w:rPr>
          <w:rStyle w:val="AERtextitalic"/>
        </w:rPr>
        <w:t>An estimate of the historical equity risk premium for the period 1883 to 2011</w:t>
      </w:r>
      <w:r w:rsidRPr="00BA0AFD">
        <w:t>, April 2012, p. 6. AER update for 2012–201</w:t>
      </w:r>
      <w:r>
        <w:t>5</w:t>
      </w:r>
      <w:r w:rsidRPr="00BA0AFD">
        <w:t xml:space="preserve"> market data.</w:t>
      </w:r>
    </w:p>
    <w:p w:rsidR="007C2B29" w:rsidRPr="00BA0AFD" w:rsidRDefault="007C2B29" w:rsidP="007C2B29">
      <w:pPr>
        <w:pStyle w:val="AERtablesource"/>
      </w:pPr>
      <w:r>
        <w:t>Notes</w:t>
      </w:r>
      <w:r>
        <w:tab/>
        <w:t>Historical market returns are estimated using arithmetic averages, a</w:t>
      </w:r>
      <w:r w:rsidRPr="00BA0AFD">
        <w:t xml:space="preserve">ssuming </w:t>
      </w:r>
      <w:r>
        <w:t xml:space="preserve">a theta value of 0.6, and assuming </w:t>
      </w:r>
      <w:r w:rsidRPr="00BA0AFD">
        <w:t xml:space="preserve">an inflation rate of 2.5 per cent. Nominal figures calculated by the AER using the Fisher equation: </w:t>
      </w:r>
    </w:p>
    <w:p w:rsidR="007C2B29" w:rsidRPr="00BA0AFD" w:rsidRDefault="007C2B29" w:rsidP="007C2B29">
      <w:pPr>
        <w:pStyle w:val="AERtablesource"/>
      </w:pPr>
      <w:r w:rsidRPr="00823B7B">
        <w:tab/>
        <w:t>1+i=(1+r)×(1+</w:t>
      </w:r>
      <w:r w:rsidRPr="00BA0AFD">
        <w:rPr>
          <w:rFonts w:hint="eastAsia"/>
        </w:rPr>
        <w:t>π</w:t>
      </w:r>
      <w:r w:rsidRPr="00BA0AFD">
        <w:t xml:space="preserve">) where r denotes the real return, i denotes the nominal return and </w:t>
      </w:r>
      <w:r w:rsidRPr="00BA0AFD">
        <w:rPr>
          <w:rFonts w:hint="eastAsia"/>
        </w:rPr>
        <w:t>π</w:t>
      </w:r>
      <w:r w:rsidRPr="00BA0AFD">
        <w:t xml:space="preserve"> denotes the inflation rate</w:t>
      </w:r>
      <w:r>
        <w:t>.</w:t>
      </w:r>
    </w:p>
    <w:p w:rsidR="007C2B29" w:rsidRDefault="007C2B29" w:rsidP="007C2B29">
      <w:r>
        <w:t>We estimate a return on equity under the Wright CAPM</w:t>
      </w:r>
      <w:r>
        <w:rPr>
          <w:rStyle w:val="FootnoteReference"/>
        </w:rPr>
        <w:footnoteReference w:id="873"/>
      </w:r>
      <w:r>
        <w:t xml:space="preserve"> by combining the historical nominal market return with our prevailing risk free rate estimate</w:t>
      </w:r>
      <w:r>
        <w:rPr>
          <w:rStyle w:val="FootnoteReference"/>
        </w:rPr>
        <w:footnoteReference w:id="874"/>
      </w:r>
      <w:r>
        <w:t xml:space="preserve"> and equity beta estimates.</w:t>
      </w:r>
      <w:r>
        <w:rPr>
          <w:rStyle w:val="FootnoteReference"/>
        </w:rPr>
        <w:footnoteReference w:id="875"/>
      </w:r>
      <w:r>
        <w:t xml:space="preserve"> As shown in </w:t>
      </w:r>
      <w:r>
        <w:fldChar w:fldCharType="begin"/>
      </w:r>
      <w:r>
        <w:instrText xml:space="preserve"> REF _Ref443916669 \h </w:instrText>
      </w:r>
      <w:r>
        <w:fldChar w:fldCharType="separate"/>
      </w:r>
      <w:r w:rsidR="001A023B">
        <w:t xml:space="preserve">Table </w:t>
      </w:r>
      <w:r w:rsidR="001A023B">
        <w:rPr>
          <w:noProof/>
        </w:rPr>
        <w:t>3</w:t>
      </w:r>
      <w:r w:rsidR="001A023B">
        <w:noBreakHyphen/>
      </w:r>
      <w:r w:rsidR="001A023B">
        <w:rPr>
          <w:noProof/>
        </w:rPr>
        <w:t>29</w:t>
      </w:r>
      <w:r>
        <w:fldChar w:fldCharType="end"/>
      </w:r>
      <w:r>
        <w:t>, our estimated range for equity beta and market return results in Wright CAPM return on equity estimates ranging from 5.</w:t>
      </w:r>
      <w:r w:rsidR="00F851EC">
        <w:t>5</w:t>
      </w:r>
      <w:r>
        <w:t xml:space="preserve"> to 9.</w:t>
      </w:r>
      <w:r w:rsidR="00F851EC">
        <w:t>7</w:t>
      </w:r>
      <w:r>
        <w:t>.</w:t>
      </w:r>
    </w:p>
    <w:p w:rsidR="007C2B29" w:rsidRPr="00276FAF" w:rsidRDefault="007C2B29" w:rsidP="007C2B29">
      <w:pPr>
        <w:pStyle w:val="Caption"/>
        <w:rPr>
          <w:rStyle w:val="Strong"/>
        </w:rPr>
      </w:pPr>
      <w:bookmarkStart w:id="149" w:name="_Ref443916669"/>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29</w:t>
      </w:r>
      <w:r w:rsidR="00120312">
        <w:rPr>
          <w:noProof/>
        </w:rPr>
        <w:fldChar w:fldCharType="end"/>
      </w:r>
      <w:bookmarkEnd w:id="149"/>
      <w:r>
        <w:tab/>
        <w:t>Wright CAPM return on equity</w:t>
      </w:r>
      <w:r w:rsidRPr="005F2D3F">
        <w:t xml:space="preserve"> </w:t>
      </w:r>
      <w:r>
        <w:t>(per cent)</w:t>
      </w:r>
    </w:p>
    <w:tbl>
      <w:tblPr>
        <w:tblStyle w:val="AERtable-numbers"/>
        <w:tblW w:w="8755" w:type="dxa"/>
        <w:tblLook w:val="04A0" w:firstRow="1" w:lastRow="0" w:firstColumn="1" w:lastColumn="0" w:noHBand="0" w:noVBand="1"/>
      </w:tblPr>
      <w:tblGrid>
        <w:gridCol w:w="1909"/>
        <w:gridCol w:w="3423"/>
        <w:gridCol w:w="3423"/>
      </w:tblGrid>
      <w:tr w:rsidR="007C2B29" w:rsidRPr="00B9584E" w:rsidTr="006D0F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7C2B29" w:rsidRPr="007C2B29" w:rsidRDefault="007C2B29" w:rsidP="00BA7AE7">
            <w:r>
              <w:t>AER equity beta estimate</w:t>
            </w:r>
          </w:p>
        </w:tc>
        <w:tc>
          <w:tcPr>
            <w:tcW w:w="3423" w:type="dxa"/>
          </w:tcPr>
          <w:p w:rsidR="007C2B29" w:rsidRPr="007C2B29" w:rsidRDefault="007C2B29" w:rsidP="00BA7AE7">
            <w:pPr>
              <w:cnfStyle w:val="100000000000" w:firstRow="1" w:lastRow="0" w:firstColumn="0" w:lastColumn="0" w:oddVBand="0" w:evenVBand="0" w:oddHBand="0" w:evenHBand="0" w:firstRowFirstColumn="0" w:firstRowLastColumn="0" w:lastRowFirstColumn="0" w:lastRowLastColumn="0"/>
            </w:pPr>
            <w:r>
              <w:t>Wright CAPM return on equity based on 10.0 market return</w:t>
            </w:r>
          </w:p>
        </w:tc>
        <w:tc>
          <w:tcPr>
            <w:tcW w:w="3423" w:type="dxa"/>
          </w:tcPr>
          <w:p w:rsidR="007C2B29" w:rsidRPr="007C2B29" w:rsidRDefault="007C2B29" w:rsidP="00BA7AE7">
            <w:pPr>
              <w:cnfStyle w:val="100000000000" w:firstRow="1" w:lastRow="0" w:firstColumn="0" w:lastColumn="0" w:oddVBand="0" w:evenVBand="0" w:oddHBand="0" w:evenHBand="0" w:firstRowFirstColumn="0" w:firstRowLastColumn="0" w:lastRowFirstColumn="0" w:lastRowLastColumn="0"/>
            </w:pPr>
            <w:r>
              <w:t>Wright CAPM return on equity based on 12.7 market return</w:t>
            </w:r>
          </w:p>
        </w:tc>
      </w:tr>
      <w:tr w:rsidR="007C2B29" w:rsidRPr="00B9584E" w:rsidTr="006D0F55">
        <w:tc>
          <w:tcPr>
            <w:cnfStyle w:val="001000000000" w:firstRow="0" w:lastRow="0" w:firstColumn="1" w:lastColumn="0" w:oddVBand="0" w:evenVBand="0" w:oddHBand="0" w:evenHBand="0" w:firstRowFirstColumn="0" w:firstRowLastColumn="0" w:lastRowFirstColumn="0" w:lastRowLastColumn="0"/>
            <w:tcW w:w="1909" w:type="dxa"/>
          </w:tcPr>
          <w:p w:rsidR="007C2B29" w:rsidRPr="007C2B29" w:rsidRDefault="007C2B29" w:rsidP="00BA7AE7">
            <w:r>
              <w:t>0.4</w:t>
            </w:r>
          </w:p>
        </w:tc>
        <w:tc>
          <w:tcPr>
            <w:tcW w:w="3423" w:type="dxa"/>
          </w:tcPr>
          <w:p w:rsidR="007C2B29" w:rsidRPr="007C2B29" w:rsidRDefault="007C2B29" w:rsidP="00BA7AE7">
            <w:pPr>
              <w:cnfStyle w:val="000000000000" w:firstRow="0" w:lastRow="0" w:firstColumn="0" w:lastColumn="0" w:oddVBand="0" w:evenVBand="0" w:oddHBand="0" w:evenHBand="0" w:firstRowFirstColumn="0" w:firstRowLastColumn="0" w:lastRowFirstColumn="0" w:lastRowLastColumn="0"/>
            </w:pPr>
            <w:r>
              <w:t>5.</w:t>
            </w:r>
            <w:r w:rsidRPr="007C2B29">
              <w:t>5</w:t>
            </w:r>
          </w:p>
        </w:tc>
        <w:tc>
          <w:tcPr>
            <w:tcW w:w="3423" w:type="dxa"/>
          </w:tcPr>
          <w:p w:rsidR="007C2B29" w:rsidRPr="007C2B29" w:rsidRDefault="007C2B29" w:rsidP="00BA7AE7">
            <w:pPr>
              <w:cnfStyle w:val="000000000000" w:firstRow="0" w:lastRow="0" w:firstColumn="0" w:lastColumn="0" w:oddVBand="0" w:evenVBand="0" w:oddHBand="0" w:evenHBand="0" w:firstRowFirstColumn="0" w:firstRowLastColumn="0" w:lastRowFirstColumn="0" w:lastRowLastColumn="0"/>
            </w:pPr>
            <w:r>
              <w:t>6.</w:t>
            </w:r>
            <w:r w:rsidRPr="007C2B29">
              <w:t>6</w:t>
            </w:r>
          </w:p>
        </w:tc>
      </w:tr>
      <w:tr w:rsidR="007C2B29" w:rsidRPr="00B9584E" w:rsidTr="006D0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7C2B29" w:rsidRPr="007C2B29" w:rsidRDefault="007C2B29" w:rsidP="00BA7AE7">
            <w:r>
              <w:t>0.7</w:t>
            </w:r>
          </w:p>
        </w:tc>
        <w:tc>
          <w:tcPr>
            <w:tcW w:w="3423" w:type="dxa"/>
          </w:tcPr>
          <w:p w:rsidR="007C2B29" w:rsidRPr="007C2B29" w:rsidRDefault="007C2B29" w:rsidP="00BA7AE7">
            <w:pPr>
              <w:cnfStyle w:val="000000010000" w:firstRow="0" w:lastRow="0" w:firstColumn="0" w:lastColumn="0" w:oddVBand="0" w:evenVBand="0" w:oddHBand="0" w:evenHBand="1" w:firstRowFirstColumn="0" w:firstRowLastColumn="0" w:lastRowFirstColumn="0" w:lastRowLastColumn="0"/>
            </w:pPr>
            <w:r>
              <w:t>7.8</w:t>
            </w:r>
          </w:p>
        </w:tc>
        <w:tc>
          <w:tcPr>
            <w:tcW w:w="3423" w:type="dxa"/>
          </w:tcPr>
          <w:p w:rsidR="007C2B29" w:rsidRPr="007C2B29" w:rsidRDefault="007C2B29" w:rsidP="00BA7AE7">
            <w:pPr>
              <w:cnfStyle w:val="000000010000" w:firstRow="0" w:lastRow="0" w:firstColumn="0" w:lastColumn="0" w:oddVBand="0" w:evenVBand="0" w:oddHBand="0" w:evenHBand="1" w:firstRowFirstColumn="0" w:firstRowLastColumn="0" w:lastRowFirstColumn="0" w:lastRowLastColumn="0"/>
            </w:pPr>
            <w:r>
              <w:t>9.7</w:t>
            </w:r>
          </w:p>
        </w:tc>
      </w:tr>
    </w:tbl>
    <w:p w:rsidR="007C2B29" w:rsidRPr="00BA0AFD" w:rsidRDefault="007C2B29" w:rsidP="007C2B29">
      <w:pPr>
        <w:pStyle w:val="AERtablesource"/>
      </w:pPr>
      <w:r w:rsidRPr="00823B7B">
        <w:t>Source:</w:t>
      </w:r>
      <w:r w:rsidRPr="00823B7B">
        <w:tab/>
      </w:r>
      <w:r>
        <w:t>AER analysis</w:t>
      </w:r>
      <w:r w:rsidRPr="00BA0AFD">
        <w:t>.</w:t>
      </w:r>
    </w:p>
    <w:p w:rsidR="007C2B29" w:rsidRPr="00BA0AFD" w:rsidRDefault="007C2B29" w:rsidP="007C2B29">
      <w:pPr>
        <w:pStyle w:val="AERtablesource"/>
      </w:pPr>
      <w:r>
        <w:t>Notes</w:t>
      </w:r>
      <w:r w:rsidRPr="00823B7B">
        <w:t>:</w:t>
      </w:r>
      <w:r w:rsidRPr="00823B7B">
        <w:tab/>
      </w:r>
      <w:r>
        <w:t>Based on a risk free rate estimate of 2.57 per cent.</w:t>
      </w:r>
    </w:p>
    <w:p w:rsidR="007C2B29" w:rsidRDefault="007C2B29" w:rsidP="007C2B29">
      <w:pPr>
        <w:pStyle w:val="Heading8"/>
      </w:pPr>
      <w:bookmarkStart w:id="150" w:name="_Toc443923200"/>
      <w:bookmarkStart w:id="151" w:name="_Ref448320174"/>
      <w:bookmarkStart w:id="152" w:name="_Toc451945490"/>
      <w:r>
        <w:t>Arithmetic and geometric averages</w:t>
      </w:r>
      <w:bookmarkEnd w:id="150"/>
      <w:bookmarkEnd w:id="151"/>
      <w:bookmarkEnd w:id="152"/>
    </w:p>
    <w:p w:rsidR="007C2B29" w:rsidRDefault="007C2B29" w:rsidP="007C2B29">
      <w:r w:rsidRPr="008323D2">
        <w:t xml:space="preserve">Historical excess market returns are sensitive to the method of averaging returns over multiple periods. The arithmetic average return </w:t>
      </w:r>
      <w:r>
        <w:t>is</w:t>
      </w:r>
      <w:r w:rsidRPr="008323D2">
        <w:t xml:space="preserve"> the </w:t>
      </w:r>
      <w:r>
        <w:t xml:space="preserve">simple </w:t>
      </w:r>
      <w:r w:rsidRPr="008323D2">
        <w:t xml:space="preserve">average </w:t>
      </w:r>
      <w:r>
        <w:t>annual return</w:t>
      </w:r>
      <w:r w:rsidRPr="008323D2">
        <w:t xml:space="preserve">. </w:t>
      </w:r>
      <w:r>
        <w:t xml:space="preserve">The </w:t>
      </w:r>
      <w:r w:rsidRPr="008323D2">
        <w:t>geometric average return</w:t>
      </w:r>
      <w:r>
        <w:t xml:space="preserve"> is the average compounded annual return</w:t>
      </w:r>
      <w:r w:rsidRPr="008323D2">
        <w:t>.</w:t>
      </w:r>
      <w:r>
        <w:rPr>
          <w:rStyle w:val="FootnoteReference"/>
        </w:rPr>
        <w:footnoteReference w:id="876"/>
      </w:r>
    </w:p>
    <w:p w:rsidR="007C2B29" w:rsidRDefault="007C2B29" w:rsidP="007C2B29">
      <w:r>
        <w:t xml:space="preserve">In estimating the market risk premium, we have regard to both </w:t>
      </w:r>
      <w:r w:rsidRPr="00002A2E">
        <w:t>a</w:t>
      </w:r>
      <w:r>
        <w:t>rithmetic and geometric average historical excess returns. We set out our reasoning in our final decision for Jemena Gas Networks (JGN), and this material remains relevant.</w:t>
      </w:r>
      <w:r>
        <w:rPr>
          <w:rStyle w:val="FootnoteReference"/>
        </w:rPr>
        <w:footnoteReference w:id="877"/>
      </w:r>
      <w:r>
        <w:t xml:space="preserve"> We also note that </w:t>
      </w:r>
      <w:r w:rsidRPr="00F4301A">
        <w:t>Partington and Satchell</w:t>
      </w:r>
      <w:r>
        <w:t xml:space="preserve"> support our position to have regard to both types of average historical excess returns.</w:t>
      </w:r>
      <w:r>
        <w:rPr>
          <w:rStyle w:val="FootnoteReference"/>
        </w:rPr>
        <w:footnoteReference w:id="878"/>
      </w:r>
      <w:r>
        <w:t xml:space="preserve"> Overall, our decision is informed by the following considerations:</w:t>
      </w:r>
    </w:p>
    <w:p w:rsidR="007C2B29" w:rsidRPr="007C2B29" w:rsidRDefault="007C2B29" w:rsidP="007C2B29">
      <w:pPr>
        <w:pStyle w:val="AERbulletlistfirststyle"/>
      </w:pPr>
      <w:r w:rsidRPr="00E816D0">
        <w:t>We consider the arithmetic average of 10</w:t>
      </w:r>
      <w:r w:rsidRPr="007C2B29">
        <w:t>-yearly historical excess returns could be an unbiased estimator of a forward looking 10 year return. However, to obtain a sufficiently large dataset, historical excess returns are estimated as the arithmetic or geometric average of annual returns. Since annual historical excess returns are variable, their arithmetic average will overstate the arithmetic average of 10 year historical excess returns. Similarly, the geometric average of annual historical excess returns will understate the arithmetic average of 10 year historical excess returns.</w:t>
      </w:r>
      <w:r w:rsidRPr="007C2B29">
        <w:rPr>
          <w:rStyle w:val="FootnoteReference"/>
        </w:rPr>
        <w:footnoteReference w:id="879"/>
      </w:r>
    </w:p>
    <w:p w:rsidR="007C2B29" w:rsidRPr="007C2B29" w:rsidRDefault="007C2B29" w:rsidP="007C2B29">
      <w:pPr>
        <w:pStyle w:val="AERbulletlistfirststyle"/>
      </w:pPr>
      <w:r>
        <w:t>We have previously considered</w:t>
      </w:r>
      <w:r w:rsidRPr="007C2B29">
        <w:t xml:space="preserve"> arithmetic and geometric averages relevant when estimating a 10 year forward looking market risk premium using historical annual excess returns.</w:t>
      </w:r>
      <w:r w:rsidRPr="007C2B29">
        <w:rPr>
          <w:rStyle w:val="FootnoteReference"/>
        </w:rPr>
        <w:footnoteReference w:id="880"/>
      </w:r>
      <w:r w:rsidRPr="007C2B29">
        <w:t xml:space="preserve"> The Tribunal found no error with this approach.</w:t>
      </w:r>
      <w:r w:rsidRPr="007C2B29">
        <w:rPr>
          <w:rStyle w:val="FootnoteReference"/>
        </w:rPr>
        <w:footnoteReference w:id="881"/>
      </w:r>
    </w:p>
    <w:p w:rsidR="007C2B29" w:rsidRPr="007C2B29" w:rsidRDefault="007C2B29" w:rsidP="007C2B29">
      <w:pPr>
        <w:pStyle w:val="AERbulletlistfirststyle"/>
      </w:pPr>
      <w:r>
        <w:t xml:space="preserve">In their recent review for the Office of Gas and Electricity Markets (Ofgem), Wright and Smithers advocated using geometric average returns, adjusted </w:t>
      </w:r>
      <w:r w:rsidRPr="007C2B29">
        <w:t>for return volatility on the arithmetic average. Wright and Smithers based their reasoning on the distortions introduced by direct arithmetic averaging.</w:t>
      </w:r>
      <w:r w:rsidRPr="007C2B29">
        <w:rPr>
          <w:rStyle w:val="FootnoteReference"/>
        </w:rPr>
        <w:footnoteReference w:id="882"/>
      </w:r>
      <w:r w:rsidRPr="007C2B29">
        <w:t xml:space="preserve"> While we do not adopt this approach, this indicates that experts and other regulators consider geometric averages valuable.</w:t>
      </w:r>
    </w:p>
    <w:p w:rsidR="007C2B29" w:rsidRPr="007C2B29" w:rsidRDefault="007C2B29" w:rsidP="007C2B29">
      <w:pPr>
        <w:pStyle w:val="AERbulletlistfirststyle"/>
      </w:pPr>
      <w:r w:rsidRPr="00002A2E">
        <w:t>McKenzie</w:t>
      </w:r>
      <w:r w:rsidRPr="007C2B29">
        <w:t>, Partington, and Satchell recommended the consideration of both arithmetic and geometric averages, tempered by an understanding of their inherent biases.</w:t>
      </w:r>
      <w:r w:rsidRPr="007C2B29">
        <w:rPr>
          <w:rStyle w:val="FootnoteReference"/>
        </w:rPr>
        <w:footnoteReference w:id="883"/>
      </w:r>
    </w:p>
    <w:p w:rsidR="007C2B29" w:rsidRDefault="007C2B29" w:rsidP="007C2B29">
      <w:r>
        <w:t>In a series of reports, NERA recommended we give no weight to geometric average historical excess returns.</w:t>
      </w:r>
      <w:r>
        <w:rPr>
          <w:rStyle w:val="FootnoteReference"/>
        </w:rPr>
        <w:footnoteReference w:id="884"/>
      </w:r>
      <w:r>
        <w:t xml:space="preserve"> In June 2015, NERA submitted a further report on this issue.</w:t>
      </w:r>
      <w:r>
        <w:rPr>
          <w:rStyle w:val="FootnoteReference"/>
        </w:rPr>
        <w:footnoteReference w:id="885"/>
      </w:r>
      <w:r>
        <w:t xml:space="preserve"> In January 2016, HoustonKemp submitted a similar report to NERA that also recommended that no weight be given to geometric average historical excess returns.</w:t>
      </w:r>
      <w:r>
        <w:rPr>
          <w:rStyle w:val="FootnoteReference"/>
        </w:rPr>
        <w:footnoteReference w:id="886"/>
      </w:r>
      <w:r>
        <w:t xml:space="preserve"> </w:t>
      </w:r>
    </w:p>
    <w:p w:rsidR="007C2B29" w:rsidRDefault="007C2B29" w:rsidP="007C2B29">
      <w:r>
        <w:t xml:space="preserve">We consider NERA and </w:t>
      </w:r>
      <w:r w:rsidRPr="00447587">
        <w:t>HoustonKemp</w:t>
      </w:r>
      <w:r>
        <w:t>'s submissions take a narrow view of the issue. As Partington and Satchell stated in their October 2015 report:</w:t>
      </w:r>
      <w:r>
        <w:rPr>
          <w:rStyle w:val="FootnoteReference"/>
        </w:rPr>
        <w:footnoteReference w:id="887"/>
      </w:r>
    </w:p>
    <w:p w:rsidR="007C2B29" w:rsidRDefault="007C2B29" w:rsidP="007C2B29">
      <w:pPr>
        <w:pStyle w:val="AERquote"/>
      </w:pPr>
      <w:r w:rsidRPr="00EA060E">
        <w:t>NERA (2015, History) makes a repeated case that if we are estimating the mean for one period using data over a number of past periods (denoted by T) then they are unaware of any work that suggests the superiority of geometric returns or combinations of geometric or arithmetic returns in situations when the data are iid or correlated. We see no compelling reason why the situation described above is the only one that the AER should consider.</w:t>
      </w:r>
    </w:p>
    <w:p w:rsidR="007C2B29" w:rsidRDefault="007C2B29" w:rsidP="007C2B29">
      <w:r>
        <w:t>T</w:t>
      </w:r>
      <w:r w:rsidRPr="00EA060E">
        <w:t>here remains uncertainty over whether an arithmetic or geometric average (or some combination of the two) of historical excess returns provides a better estimate of expected excess returns.</w:t>
      </w:r>
      <w:r>
        <w:t xml:space="preserve"> The answer to NERA's concern whether geometric or arithmetic averages are better is unclear and not settled amongst academics. Both methods have limitations. This is well summarised by Partington and Satchell:</w:t>
      </w:r>
      <w:r>
        <w:rPr>
          <w:rStyle w:val="FootnoteReference"/>
        </w:rPr>
        <w:footnoteReference w:id="888"/>
      </w:r>
    </w:p>
    <w:p w:rsidR="007C2B29" w:rsidRDefault="007C2B29" w:rsidP="007C2B29">
      <w:pPr>
        <w:pStyle w:val="AERquote"/>
      </w:pPr>
      <w:r w:rsidRPr="00FD1D73">
        <w:t>So which of these estimates is a better measure of expected returns? Jacquier, Kane and Marcus (2003) claim that academics tend to use the arithmetic return and that practitioners tend to use the geometric return. A more rigorous answer is that the choice depends upon what is assumed to be the distribution of returns through time. Assuming returns over time follow independent identical distributions with a finite variance, then it is widely accepted that the arithmetic average is the appropriate estimator of expected returns. Otherwise, the geometric average has a role to play. It has long been well understood that returns do not conform to the assumption of independent identical distributions, see for example Akgiray (1989). The literature has therefore suggested a weighted sum of the arithmetic and geometric averages be used in estimating the expected return. Unfortunately, there is no generally accepted optimal weighting scheme. In our opinion the use of arithmetic averages alone is likely to result in an upward biased estimate of expected returns and the use of geometric averages alone is likely to result in a downward biased estimate.</w:t>
      </w:r>
      <w:r>
        <w:t xml:space="preserve"> </w:t>
      </w:r>
    </w:p>
    <w:p w:rsidR="007C2B29" w:rsidRDefault="007C2B29" w:rsidP="007C2B29">
      <w:r>
        <w:t>In their 2012 report, McKenzie and Partington provided numerous references to academic studies that support this view.</w:t>
      </w:r>
      <w:r>
        <w:rPr>
          <w:rStyle w:val="FootnoteReference"/>
        </w:rPr>
        <w:footnoteReference w:id="889"/>
      </w:r>
      <w:r>
        <w:t xml:space="preserve"> They also considered that unbiasedness is only one desirable property of an estimator. Another consideration is efficiency, and 'the question then becomes one of trading off bias and efficiency'.</w:t>
      </w:r>
      <w:r>
        <w:rPr>
          <w:rStyle w:val="FootnoteReference"/>
        </w:rPr>
        <w:footnoteReference w:id="890"/>
      </w:r>
      <w:r>
        <w:t xml:space="preserve"> We agree with this view. </w:t>
      </w:r>
    </w:p>
    <w:p w:rsidR="007C2B29" w:rsidRDefault="007C2B29" w:rsidP="007C2B29">
      <w:r>
        <w:t>Moreover, in their October 2015 report, Partington and Satchell demonstrate that, even in the restricted case that NERA presents, the geometric average can be a superior estimator.</w:t>
      </w:r>
      <w:r>
        <w:rPr>
          <w:rStyle w:val="FootnoteReference"/>
        </w:rPr>
        <w:footnoteReference w:id="891"/>
      </w:r>
      <w:r>
        <w:t xml:space="preserve"> </w:t>
      </w:r>
    </w:p>
    <w:p w:rsidR="007C2B29" w:rsidRDefault="007C2B29" w:rsidP="007C2B29">
      <w:r w:rsidRPr="00447587">
        <w:t xml:space="preserve">HoustonKemp </w:t>
      </w:r>
      <w:r>
        <w:t>submitted</w:t>
      </w:r>
      <w:r w:rsidRPr="00447587">
        <w:t xml:space="preserve"> that Partington and Satchell, in their October 2015 report, made an incorrect claim that if the gross return to an asset is lognormally and independently and identically distributed through time, then the arithmetic mean of a sample of gross returns to the asset will provide an upwardly biased estimator of the expected gross return to the asset over a single period while the geometric mean will, for </w:t>
      </w:r>
      <w:r>
        <w:t xml:space="preserve">a </w:t>
      </w:r>
      <w:r w:rsidRPr="00447587">
        <w:t xml:space="preserve">large </w:t>
      </w:r>
      <w:r>
        <w:t>gross return</w:t>
      </w:r>
      <w:r w:rsidRPr="00447587">
        <w:t>, provide an unbiased estimator.</w:t>
      </w:r>
      <w:r w:rsidRPr="00447587">
        <w:rPr>
          <w:rStyle w:val="FootnoteReference"/>
        </w:rPr>
        <w:footnoteReference w:id="892"/>
      </w:r>
      <w:r w:rsidRPr="00447587">
        <w:t xml:space="preserve"> </w:t>
      </w:r>
    </w:p>
    <w:p w:rsidR="007C2B29" w:rsidRDefault="007C2B29" w:rsidP="007C2B29">
      <w:r>
        <w:t xml:space="preserve">We consider that HouseKemp's 2016 report has incorrectly considered Partington and Satchell's results on </w:t>
      </w:r>
      <w:r w:rsidR="00536B64">
        <w:t>geometric</w:t>
      </w:r>
      <w:r>
        <w:t xml:space="preserve"> and </w:t>
      </w:r>
      <w:r w:rsidR="00A1557B">
        <w:t>arithmetic</w:t>
      </w:r>
      <w:r>
        <w:t xml:space="preserve"> mean returns.  This is well summarised by Partington and Satchell:</w:t>
      </w:r>
      <w:r>
        <w:rPr>
          <w:rStyle w:val="FootnoteReference"/>
        </w:rPr>
        <w:footnoteReference w:id="893"/>
      </w:r>
    </w:p>
    <w:p w:rsidR="007C2B29" w:rsidRPr="000D44B5" w:rsidRDefault="007C2B29" w:rsidP="007C2B29">
      <w:pPr>
        <w:pStyle w:val="AERquote"/>
      </w:pPr>
      <w:r>
        <w:t>"</w:t>
      </w:r>
      <w:r w:rsidRPr="000D44B5">
        <w:t>We are interested in the term exp(</w:t>
      </w:r>
      <m:oMath>
        <m:r>
          <w:rPr>
            <w:rFonts w:ascii="Cambria Math" w:hAnsi="Cambria Math"/>
          </w:rPr>
          <m:t>μ)-1</m:t>
        </m:r>
      </m:oMath>
      <w:r w:rsidRPr="000D44B5">
        <w:t xml:space="preserve">; which we call the implied arithmetic rate of return. If we knew that the true geometric rate of return is </w:t>
      </w:r>
      <m:oMath>
        <m:r>
          <w:rPr>
            <w:rFonts w:ascii="Cambria Math" w:hAnsi="Cambria Math"/>
          </w:rPr>
          <m:t>μ</m:t>
        </m:r>
      </m:oMath>
      <w:r w:rsidRPr="000D44B5">
        <w:t xml:space="preserve"> then the true arithmetic rate of return is exp(</w:t>
      </w:r>
      <m:oMath>
        <m:r>
          <w:rPr>
            <w:rFonts w:ascii="Cambria Math" w:hAnsi="Cambria Math"/>
          </w:rPr>
          <m:t>μ)-1</m:t>
        </m:r>
      </m:oMath>
      <w:r w:rsidRPr="000D44B5">
        <w:t>. This is a property of the parameters of our model and, as yet, involves no notion of expectation</w:t>
      </w:r>
      <w:r>
        <w:t>s</w:t>
      </w:r>
      <w:r w:rsidRPr="000D44B5">
        <w:t xml:space="preserve"> of estimators, contrary to any assertions by </w:t>
      </w:r>
      <w:r>
        <w:t>HoustonKemp</w:t>
      </w:r>
      <w:r w:rsidRPr="000D44B5">
        <w:t>. We then consider the extent to which estimators, based on the arithmetic mean and the geometric mean over or under estimate exp(</w:t>
      </w:r>
      <m:oMath>
        <m:r>
          <w:rPr>
            <w:rFonts w:ascii="Cambria Math" w:hAnsi="Cambria Math"/>
          </w:rPr>
          <m:t>μ)-1</m:t>
        </m:r>
      </m:oMath>
      <w:r w:rsidRPr="000D44B5">
        <w:t>.</w:t>
      </w:r>
      <w:r>
        <w:t xml:space="preserve"> </w:t>
      </w:r>
      <w:r w:rsidRPr="000D44B5">
        <w:t>We show</w:t>
      </w:r>
      <w:r>
        <w:t>ed</w:t>
      </w:r>
      <w:r w:rsidRPr="000D44B5">
        <w:t xml:space="preserve"> that the expected value of the arithmetic mean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0D44B5">
        <w:t>; independent of the sample size so it is always biased upwards relative to exp(</w:t>
      </w:r>
      <m:oMath>
        <m:r>
          <w:rPr>
            <w:rFonts w:ascii="Cambria Math" w:hAnsi="Cambria Math"/>
          </w:rPr>
          <m:t>μ)-1</m:t>
        </m:r>
      </m:oMath>
      <w:r w:rsidRPr="000D44B5">
        <w:t>.</w:t>
      </w:r>
      <w:r>
        <w:t xml:space="preserve"> </w:t>
      </w:r>
      <w:r w:rsidRPr="000D44B5">
        <w:t>We also show that the expected value of the geometric mean=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2T</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0D44B5">
        <w:t>, where T is the size of the sample. This is biased upwards relative to exp(</w:t>
      </w:r>
      <m:oMath>
        <m:r>
          <w:rPr>
            <w:rFonts w:ascii="Cambria Math" w:hAnsi="Cambria Math"/>
          </w:rPr>
          <m:t>μ)-1</m:t>
        </m:r>
      </m:oMath>
      <w:r w:rsidRPr="000D44B5">
        <w:t xml:space="preserve">; but the bias disappears as T gets large. </w:t>
      </w:r>
      <w:r>
        <w:t xml:space="preserve">HoustonKemp arrive at the same formula, </w:t>
      </w:r>
      <w:r w:rsidRPr="000D44B5">
        <w:t>see equation (23), page 36</w:t>
      </w:r>
      <w:r>
        <w:t xml:space="preserve">, but then </w:t>
      </w:r>
      <w:r w:rsidRPr="000D44B5">
        <w:t xml:space="preserve"> wrongly assume that the parameter function of interest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0D44B5">
        <w:t xml:space="preserve">. </w:t>
      </w:r>
      <w:r>
        <w:t>The report</w:t>
      </w:r>
      <w:r w:rsidRPr="000D44B5">
        <w:t xml:space="preserve"> then asserts that the bias, relative to </w:t>
      </w:r>
      <w:r>
        <w:t>the</w:t>
      </w:r>
      <w:r w:rsidRPr="000D44B5">
        <w:t xml:space="preserve"> wrongly assumed parameter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0D44B5">
        <w:t xml:space="preserve">, is increasing in T. </w:t>
      </w:r>
      <w:r>
        <w:t>The HoustonKemp</w:t>
      </w:r>
      <w:r w:rsidRPr="000D44B5">
        <w:t xml:space="preserve"> analysis is simply irrelevant.</w:t>
      </w:r>
      <w:r>
        <w:t>"</w:t>
      </w:r>
    </w:p>
    <w:p w:rsidR="007C2B29" w:rsidRDefault="007C2B29" w:rsidP="007C2B29">
      <w:r>
        <w:t>NERA has questioned the relevance of the Akgiray (1989) and the Jacquier, Kane and Marcus (2003) articles referenced by Partington and Satchell.</w:t>
      </w:r>
      <w:r>
        <w:rPr>
          <w:rStyle w:val="FootnoteReference"/>
        </w:rPr>
        <w:footnoteReference w:id="894"/>
      </w:r>
      <w:r>
        <w:t xml:space="preserve"> It considered these articles do not match how we use historical excess returns data. We consider it is the key messages of the articles that are relevant to our analysis and these are more broadly applicable than NERA suggests. If the key messages of an academic article were only relevant to those undertaking precisely the same task, their usefulness would be exceedingly limited. For example, Akgiray's use of daily stock returns does not necessarily limit the relevance of his key message about the temporal behaviour of stock returns.</w:t>
      </w:r>
    </w:p>
    <w:p w:rsidR="007C2B29" w:rsidRDefault="007C2B29" w:rsidP="007C2B29">
      <w:r>
        <w:t>SFG and Frontier Economics have also recommended</w:t>
      </w:r>
      <w:r w:rsidRPr="0014735D">
        <w:t xml:space="preserve"> </w:t>
      </w:r>
      <w:r>
        <w:t>we give no weight to geometric average historical excess returns.</w:t>
      </w:r>
      <w:r>
        <w:rPr>
          <w:rStyle w:val="FootnoteReference"/>
        </w:rPr>
        <w:footnoteReference w:id="895"/>
      </w:r>
      <w:r>
        <w:t xml:space="preserve"> This is a reiteration of its views from previous reports, and is based primarily on SFG's submission that arithmetic averages are more representative of future expectations.</w:t>
      </w:r>
      <w:r>
        <w:rPr>
          <w:rStyle w:val="FootnoteReference"/>
        </w:rPr>
        <w:footnoteReference w:id="896"/>
      </w:r>
      <w:r>
        <w:t xml:space="preserve"> We have responded to SFG's views in previous decisions</w:t>
      </w:r>
      <w:r w:rsidRPr="003F6527">
        <w:t xml:space="preserve"> </w:t>
      </w:r>
      <w:r>
        <w:t>and this material remains relevant.</w:t>
      </w:r>
      <w:r>
        <w:rPr>
          <w:rStyle w:val="FootnoteReference"/>
        </w:rPr>
        <w:footnoteReference w:id="897"/>
      </w:r>
    </w:p>
    <w:p w:rsidR="007C2B29" w:rsidRDefault="007C2B29" w:rsidP="007C2B29">
      <w:r>
        <w:t>Ultimately, we consider there are strengths and weaknesses associated with using arithmetic or geometric averages of historical excess returns to estimate the 10 year forward looking (or expected) market risk premium. We are not satisfied that NERA, HoustonKemp, SFG, or Frontier have provided sufficient evidence to support the conclusion that using arithmetic averages of historical excess returns provides a 'materially better estimate' of the market risk premium than an estimate based (solely or in part) on geometric averages.</w:t>
      </w:r>
      <w:r>
        <w:rPr>
          <w:rStyle w:val="FootnoteReference"/>
        </w:rPr>
        <w:footnoteReference w:id="898"/>
      </w:r>
      <w:r>
        <w:t xml:space="preserve"> We agree with Partington and Satchell's conclusion (a reiteration of McKenzie and Partington's 2012 conclusion) that:</w:t>
      </w:r>
      <w:r>
        <w:rPr>
          <w:rStyle w:val="FootnoteReference"/>
        </w:rPr>
        <w:footnoteReference w:id="899"/>
      </w:r>
    </w:p>
    <w:p w:rsidR="007C2B29" w:rsidRDefault="007C2B29" w:rsidP="007C2B29">
      <w:pPr>
        <w:pStyle w:val="AERquote"/>
      </w:pPr>
      <w:r w:rsidRPr="00A110CC">
        <w:t>The widespread current practice is to use unadjusted geometric and arithmetic averages. Given the current state of knowledge, we see no strong case to depart from this common practice and recommend the use of both of these metrics, tempered by an understanding of their inherent biases.</w:t>
      </w:r>
    </w:p>
    <w:p w:rsidR="007C2B29" w:rsidRDefault="007C2B29" w:rsidP="007C2B29">
      <w:pPr>
        <w:pStyle w:val="Heading8"/>
      </w:pPr>
      <w:bookmarkStart w:id="153" w:name="_Toc443923201"/>
      <w:bookmarkStart w:id="154" w:name="_Toc451945491"/>
      <w:r>
        <w:t>ASX adjustment to historical data</w:t>
      </w:r>
      <w:bookmarkEnd w:id="153"/>
      <w:bookmarkEnd w:id="154"/>
    </w:p>
    <w:p w:rsidR="007C2B29" w:rsidRDefault="007C2B29" w:rsidP="007C2B29">
      <w:pPr>
        <w:numPr>
          <w:ilvl w:val="0"/>
          <w:numId w:val="24"/>
        </w:numPr>
      </w:pPr>
      <w:r>
        <w:t>Our analysis of</w:t>
      </w:r>
      <w:r w:rsidRPr="00C2709F">
        <w:t xml:space="preserve"> historical </w:t>
      </w:r>
      <w:r>
        <w:t>stock</w:t>
      </w:r>
      <w:r w:rsidRPr="00C2709F">
        <w:t xml:space="preserve"> returns </w:t>
      </w:r>
      <w:r>
        <w:t>has to date used data and methods developed by</w:t>
      </w:r>
      <w:r w:rsidRPr="00C2709F">
        <w:t xml:space="preserve"> Brailsford et al. and updated from time to time by Handley</w:t>
      </w:r>
      <w:r>
        <w:t xml:space="preserve"> and the AER</w:t>
      </w:r>
      <w:r w:rsidRPr="00C2709F">
        <w:t>.</w:t>
      </w:r>
      <w:r w:rsidRPr="00C2709F">
        <w:rPr>
          <w:rStyle w:val="FootnoteReference"/>
        </w:rPr>
        <w:footnoteReference w:id="900"/>
      </w:r>
      <w:r w:rsidRPr="00C2709F">
        <w:t xml:space="preserve"> </w:t>
      </w:r>
      <w:r>
        <w:t>The data used by Brailsford et al. was provided to them by the ASX.</w:t>
      </w:r>
      <w:r w:rsidRPr="00D60892">
        <w:rPr>
          <w:rStyle w:val="FootnoteReference"/>
        </w:rPr>
        <w:t xml:space="preserve"> </w:t>
      </w:r>
      <w:r>
        <w:rPr>
          <w:rStyle w:val="FootnoteReference"/>
        </w:rPr>
        <w:footnoteReference w:id="901"/>
      </w:r>
      <w:r>
        <w:t xml:space="preserve"> Service providers submitted that the data set from Brailsford et al. could be improved upon by substituting an adjustment made by the ASX and embedded in the data with an alternate adjustment proposed by NERA.</w:t>
      </w:r>
      <w:r w:rsidRPr="00D60892">
        <w:rPr>
          <w:rStyle w:val="FootnoteReference"/>
        </w:rPr>
        <w:t xml:space="preserve"> </w:t>
      </w:r>
      <w:r>
        <w:rPr>
          <w:rStyle w:val="FootnoteReference"/>
        </w:rPr>
        <w:footnoteReference w:id="902"/>
      </w:r>
      <w:r>
        <w:t xml:space="preserve"> </w:t>
      </w:r>
    </w:p>
    <w:p w:rsidR="007C2B29" w:rsidRPr="0000506E" w:rsidRDefault="007C2B29" w:rsidP="007C2B29">
      <w:pPr>
        <w:numPr>
          <w:ilvl w:val="0"/>
          <w:numId w:val="24"/>
        </w:numPr>
      </w:pPr>
      <w:r>
        <w:t>This issue has been raised numerous times since our</w:t>
      </w:r>
      <w:r w:rsidRPr="0000506E">
        <w:t xml:space="preserve"> Guideline development process,</w:t>
      </w:r>
      <w:r w:rsidRPr="0000506E">
        <w:rPr>
          <w:rStyle w:val="FootnoteReference"/>
        </w:rPr>
        <w:footnoteReference w:id="903"/>
      </w:r>
      <w:r w:rsidRPr="0000506E">
        <w:t xml:space="preserve"> </w:t>
      </w:r>
      <w:r>
        <w:t xml:space="preserve">and this history </w:t>
      </w:r>
      <w:r w:rsidRPr="0000506E">
        <w:t xml:space="preserve">is set out </w:t>
      </w:r>
      <w:r>
        <w:t>in our draft decision.</w:t>
      </w:r>
      <w:r>
        <w:rPr>
          <w:rStyle w:val="FootnoteReference"/>
        </w:rPr>
        <w:footnoteReference w:id="904"/>
      </w:r>
      <w:r>
        <w:t xml:space="preserve"> </w:t>
      </w:r>
    </w:p>
    <w:p w:rsidR="007C2B29" w:rsidRPr="00C2709F" w:rsidRDefault="007C2B29" w:rsidP="007C2B29">
      <w:pPr>
        <w:numPr>
          <w:ilvl w:val="0"/>
          <w:numId w:val="24"/>
        </w:numPr>
      </w:pPr>
      <w:r>
        <w:t>Firstly</w:t>
      </w:r>
      <w:r w:rsidRPr="00C2709F">
        <w:t xml:space="preserve">, our consideration of different time (or sampling) periods, and averaging methods, in estimating the </w:t>
      </w:r>
      <w:r>
        <w:t>market risk premium</w:t>
      </w:r>
      <w:r w:rsidRPr="00C2709F">
        <w:t xml:space="preserve"> from historical excess returns reduces the materiality of NERA's submission.</w:t>
      </w:r>
      <w:r w:rsidRPr="00C2709F">
        <w:rPr>
          <w:rStyle w:val="FootnoteReference"/>
        </w:rPr>
        <w:footnoteReference w:id="905"/>
      </w:r>
      <w:r w:rsidRPr="00C2709F">
        <w:t xml:space="preserve"> </w:t>
      </w:r>
      <w:r w:rsidRPr="00C2709F">
        <w:fldChar w:fldCharType="begin"/>
      </w:r>
      <w:r w:rsidRPr="00C2709F">
        <w:instrText xml:space="preserve"> REF _Ref432620022 \h </w:instrText>
      </w:r>
      <w:r w:rsidRPr="00C2709F">
        <w:fldChar w:fldCharType="separate"/>
      </w:r>
      <w:r w:rsidR="001A023B" w:rsidRPr="00C2709F">
        <w:t xml:space="preserve">Table </w:t>
      </w:r>
      <w:r w:rsidR="001A023B">
        <w:rPr>
          <w:noProof/>
        </w:rPr>
        <w:t>3</w:t>
      </w:r>
      <w:r w:rsidR="001A023B">
        <w:noBreakHyphen/>
      </w:r>
      <w:r w:rsidR="001A023B">
        <w:rPr>
          <w:noProof/>
        </w:rPr>
        <w:t>30</w:t>
      </w:r>
      <w:r w:rsidRPr="00C2709F">
        <w:fldChar w:fldCharType="end"/>
      </w:r>
      <w:r w:rsidRPr="00C2709F">
        <w:t xml:space="preserve"> shows NERA's adjustment would only affect one of these time periods. When implemented, NERA's adjustment does not materially alter the estimates obtained from the full suite of estimation techniques. </w:t>
      </w:r>
    </w:p>
    <w:p w:rsidR="007C2B29" w:rsidRPr="00C2709F" w:rsidRDefault="007C2B29" w:rsidP="007C2B29">
      <w:pPr>
        <w:pStyle w:val="Caption"/>
        <w:rPr>
          <w:rStyle w:val="Strong"/>
        </w:rPr>
      </w:pPr>
      <w:bookmarkStart w:id="155" w:name="_Ref432620022"/>
      <w:r w:rsidRPr="00C2709F">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30</w:t>
      </w:r>
      <w:r w:rsidR="00120312">
        <w:rPr>
          <w:noProof/>
        </w:rPr>
        <w:fldChar w:fldCharType="end"/>
      </w:r>
      <w:bookmarkEnd w:id="155"/>
      <w:r w:rsidRPr="00C2709F">
        <w:t xml:space="preserve"> </w:t>
      </w:r>
      <w:r w:rsidRPr="00C2709F">
        <w:tab/>
        <w:t>Historical excess returns using NERA's adjustment (per cent)</w:t>
      </w:r>
      <w:r w:rsidRPr="00C2709F" w:rsidDel="00184676">
        <w:t xml:space="preserve"> </w:t>
      </w:r>
    </w:p>
    <w:tbl>
      <w:tblPr>
        <w:tblStyle w:val="AERtable-numbers"/>
        <w:tblW w:w="5000" w:type="pct"/>
        <w:tblLayout w:type="fixed"/>
        <w:tblLook w:val="01E0" w:firstRow="1" w:lastRow="1" w:firstColumn="1" w:lastColumn="1" w:noHBand="0" w:noVBand="0"/>
      </w:tblPr>
      <w:tblGrid>
        <w:gridCol w:w="1242"/>
        <w:gridCol w:w="3828"/>
        <w:gridCol w:w="3623"/>
      </w:tblGrid>
      <w:tr w:rsidR="007C2B29" w:rsidRPr="003663F4" w:rsidTr="006D0F5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714" w:type="pct"/>
            <w:noWrap/>
          </w:tcPr>
          <w:p w:rsidR="007C2B29" w:rsidRPr="007C2B29" w:rsidRDefault="007C2B29" w:rsidP="00BA7AE7">
            <w:pPr>
              <w:rPr>
                <w:rStyle w:val="Strong"/>
              </w:rPr>
            </w:pPr>
            <w:r w:rsidRPr="00C2709F">
              <w:rPr>
                <w:rStyle w:val="Strong"/>
              </w:rPr>
              <w:t>Sampling period</w:t>
            </w:r>
          </w:p>
        </w:tc>
        <w:tc>
          <w:tcPr>
            <w:tcW w:w="2202" w:type="pct"/>
            <w:noWrap/>
          </w:tcPr>
          <w:p w:rsidR="007C2B29" w:rsidRPr="007C2B29" w:rsidRDefault="007C2B29" w:rsidP="00BA7AE7">
            <w:pPr>
              <w:cnfStyle w:val="100000000000" w:firstRow="1" w:lastRow="0" w:firstColumn="0" w:lastColumn="0" w:oddVBand="0" w:evenVBand="0" w:oddHBand="0" w:evenHBand="0" w:firstRowFirstColumn="0" w:firstRowLastColumn="0" w:lastRowFirstColumn="0" w:lastRowLastColumn="0"/>
              <w:rPr>
                <w:rStyle w:val="Strong"/>
              </w:rPr>
            </w:pPr>
            <w:r>
              <w:rPr>
                <w:rStyle w:val="Strong"/>
              </w:rPr>
              <w:t xml:space="preserve">Excess returns </w:t>
            </w:r>
            <w:r w:rsidRPr="007C2B29">
              <w:rPr>
                <w:rStyle w:val="Strong"/>
              </w:rPr>
              <w:t>with ASX adjustment</w:t>
            </w:r>
          </w:p>
        </w:tc>
        <w:tc>
          <w:tcPr>
            <w:tcW w:w="2084" w:type="pct"/>
            <w:noWrap/>
          </w:tcPr>
          <w:p w:rsidR="007C2B29" w:rsidRPr="007C2B29" w:rsidRDefault="007C2B29" w:rsidP="00BA7AE7">
            <w:pPr>
              <w:cnfStyle w:val="100000000000" w:firstRow="1" w:lastRow="0" w:firstColumn="0" w:lastColumn="0" w:oddVBand="0" w:evenVBand="0" w:oddHBand="0" w:evenHBand="0" w:firstRowFirstColumn="0" w:firstRowLastColumn="0" w:lastRowFirstColumn="0" w:lastRowLastColumn="0"/>
              <w:rPr>
                <w:rStyle w:val="Strong"/>
              </w:rPr>
            </w:pPr>
            <w:r>
              <w:rPr>
                <w:rStyle w:val="Strong"/>
              </w:rPr>
              <w:t xml:space="preserve">Excess returns </w:t>
            </w:r>
            <w:r w:rsidRPr="007C2B29">
              <w:rPr>
                <w:rStyle w:val="Strong"/>
              </w:rPr>
              <w:t>with NERA adjustment</w:t>
            </w:r>
          </w:p>
        </w:tc>
      </w:tr>
      <w:tr w:rsidR="007C2B29" w:rsidRPr="003663F4" w:rsidTr="006D0F55">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7C2B29" w:rsidRPr="007C2B29" w:rsidRDefault="007C2B29" w:rsidP="00BA7AE7">
            <w:r w:rsidRPr="00C2709F">
              <w:t>1883–</w:t>
            </w:r>
            <w:r w:rsidRPr="007C2B29">
              <w:t>2015</w:t>
            </w:r>
          </w:p>
        </w:tc>
        <w:tc>
          <w:tcPr>
            <w:tcW w:w="2202" w:type="pct"/>
            <w:noWrap/>
          </w:tcPr>
          <w:p w:rsidR="007C2B29" w:rsidRPr="007C2B29" w:rsidRDefault="007C2B29" w:rsidP="00BA7AE7">
            <w:pPr>
              <w:cnfStyle w:val="000000000000" w:firstRow="0" w:lastRow="0" w:firstColumn="0" w:lastColumn="0" w:oddVBand="0" w:evenVBand="0" w:oddHBand="0" w:evenHBand="0" w:firstRowFirstColumn="0" w:firstRowLastColumn="0" w:lastRowFirstColumn="0" w:lastRowLastColumn="0"/>
            </w:pPr>
            <w:r>
              <w:t>6.1</w:t>
            </w:r>
          </w:p>
        </w:tc>
        <w:tc>
          <w:tcPr>
            <w:tcW w:w="2084" w:type="pct"/>
            <w:noWrap/>
          </w:tcPr>
          <w:p w:rsidR="007C2B29" w:rsidRPr="007C2B29" w:rsidRDefault="007C2B29" w:rsidP="00BA7AE7">
            <w:pPr>
              <w:cnfStyle w:val="000000000000" w:firstRow="0" w:lastRow="0" w:firstColumn="0" w:lastColumn="0" w:oddVBand="0" w:evenVBand="0" w:oddHBand="0" w:evenHBand="0" w:firstRowFirstColumn="0" w:firstRowLastColumn="0" w:lastRowFirstColumn="0" w:lastRowLastColumn="0"/>
            </w:pPr>
            <w:r>
              <w:t>6.5</w:t>
            </w:r>
          </w:p>
        </w:tc>
      </w:tr>
      <w:tr w:rsidR="007C2B29" w:rsidRPr="003663F4" w:rsidTr="006D0F5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7C2B29" w:rsidRPr="007C2B29" w:rsidRDefault="007C2B29" w:rsidP="00BA7AE7">
            <w:r w:rsidRPr="00C2709F">
              <w:t>1937–</w:t>
            </w:r>
            <w:r w:rsidRPr="007C2B29">
              <w:t>2015</w:t>
            </w:r>
          </w:p>
        </w:tc>
        <w:tc>
          <w:tcPr>
            <w:tcW w:w="2202" w:type="pct"/>
            <w:noWrap/>
          </w:tcPr>
          <w:p w:rsidR="007C2B29" w:rsidRPr="007C2B29" w:rsidRDefault="007C2B29" w:rsidP="00BA7AE7">
            <w:pPr>
              <w:cnfStyle w:val="000000010000" w:firstRow="0" w:lastRow="0" w:firstColumn="0" w:lastColumn="0" w:oddVBand="0" w:evenVBand="0" w:oddHBand="0" w:evenHBand="1" w:firstRowFirstColumn="0" w:firstRowLastColumn="0" w:lastRowFirstColumn="0" w:lastRowLastColumn="0"/>
            </w:pPr>
            <w:r>
              <w:t>5.7</w:t>
            </w:r>
          </w:p>
        </w:tc>
        <w:tc>
          <w:tcPr>
            <w:tcW w:w="2084" w:type="pct"/>
            <w:noWrap/>
          </w:tcPr>
          <w:p w:rsidR="007C2B29" w:rsidRPr="007C2B29" w:rsidRDefault="007C2B29" w:rsidP="00BA7AE7">
            <w:pPr>
              <w:cnfStyle w:val="000000010000" w:firstRow="0" w:lastRow="0" w:firstColumn="0" w:lastColumn="0" w:oddVBand="0" w:evenVBand="0" w:oddHBand="0" w:evenHBand="1" w:firstRowFirstColumn="0" w:firstRowLastColumn="0" w:lastRowFirstColumn="0" w:lastRowLastColumn="0"/>
            </w:pPr>
            <w:r>
              <w:t>5.</w:t>
            </w:r>
            <w:r w:rsidRPr="007C2B29">
              <w:t>7</w:t>
            </w:r>
          </w:p>
        </w:tc>
      </w:tr>
      <w:tr w:rsidR="007C2B29" w:rsidRPr="003663F4" w:rsidTr="006D0F55">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7C2B29" w:rsidRPr="007C2B29" w:rsidRDefault="007C2B29" w:rsidP="00BA7AE7">
            <w:r w:rsidRPr="00C2709F">
              <w:t>1958–</w:t>
            </w:r>
            <w:r w:rsidRPr="007C2B29">
              <w:t>2015</w:t>
            </w:r>
          </w:p>
        </w:tc>
        <w:tc>
          <w:tcPr>
            <w:tcW w:w="2202" w:type="pct"/>
            <w:noWrap/>
          </w:tcPr>
          <w:p w:rsidR="007C2B29" w:rsidRPr="007C2B29" w:rsidRDefault="007C2B29" w:rsidP="00BA7AE7">
            <w:pPr>
              <w:cnfStyle w:val="000000000000" w:firstRow="0" w:lastRow="0" w:firstColumn="0" w:lastColumn="0" w:oddVBand="0" w:evenVBand="0" w:oddHBand="0" w:evenHBand="0" w:firstRowFirstColumn="0" w:firstRowLastColumn="0" w:lastRowFirstColumn="0" w:lastRowLastColumn="0"/>
            </w:pPr>
            <w:r>
              <w:t>6.2</w:t>
            </w:r>
          </w:p>
        </w:tc>
        <w:tc>
          <w:tcPr>
            <w:tcW w:w="2084" w:type="pct"/>
            <w:noWrap/>
          </w:tcPr>
          <w:p w:rsidR="007C2B29" w:rsidRPr="007C2B29" w:rsidRDefault="007C2B29" w:rsidP="00BA7AE7">
            <w:pPr>
              <w:cnfStyle w:val="000000000000" w:firstRow="0" w:lastRow="0" w:firstColumn="0" w:lastColumn="0" w:oddVBand="0" w:evenVBand="0" w:oddHBand="0" w:evenHBand="0" w:firstRowFirstColumn="0" w:firstRowLastColumn="0" w:lastRowFirstColumn="0" w:lastRowLastColumn="0"/>
            </w:pPr>
            <w:r>
              <w:t>6.2</w:t>
            </w:r>
          </w:p>
        </w:tc>
      </w:tr>
      <w:tr w:rsidR="007C2B29" w:rsidRPr="003663F4" w:rsidTr="006D0F5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7C2B29" w:rsidRPr="007C2B29" w:rsidRDefault="007C2B29" w:rsidP="00BA7AE7">
            <w:r w:rsidRPr="00C2709F">
              <w:t>1980–</w:t>
            </w:r>
            <w:r w:rsidRPr="007C2B29">
              <w:t>2015</w:t>
            </w:r>
          </w:p>
        </w:tc>
        <w:tc>
          <w:tcPr>
            <w:tcW w:w="2202" w:type="pct"/>
            <w:noWrap/>
          </w:tcPr>
          <w:p w:rsidR="007C2B29" w:rsidRPr="007C2B29" w:rsidRDefault="007C2B29" w:rsidP="00BA7AE7">
            <w:pPr>
              <w:cnfStyle w:val="000000010000" w:firstRow="0" w:lastRow="0" w:firstColumn="0" w:lastColumn="0" w:oddVBand="0" w:evenVBand="0" w:oddHBand="0" w:evenHBand="1" w:firstRowFirstColumn="0" w:firstRowLastColumn="0" w:lastRowFirstColumn="0" w:lastRowLastColumn="0"/>
            </w:pPr>
            <w:r>
              <w:t>5.9</w:t>
            </w:r>
          </w:p>
        </w:tc>
        <w:tc>
          <w:tcPr>
            <w:tcW w:w="2084" w:type="pct"/>
            <w:noWrap/>
          </w:tcPr>
          <w:p w:rsidR="007C2B29" w:rsidRPr="007C2B29" w:rsidRDefault="007C2B29" w:rsidP="00BA7AE7">
            <w:pPr>
              <w:cnfStyle w:val="000000010000" w:firstRow="0" w:lastRow="0" w:firstColumn="0" w:lastColumn="0" w:oddVBand="0" w:evenVBand="0" w:oddHBand="0" w:evenHBand="1" w:firstRowFirstColumn="0" w:firstRowLastColumn="0" w:lastRowFirstColumn="0" w:lastRowLastColumn="0"/>
            </w:pPr>
            <w:r>
              <w:t>5.9</w:t>
            </w:r>
          </w:p>
        </w:tc>
      </w:tr>
      <w:tr w:rsidR="007C2B29" w:rsidRPr="003663F4" w:rsidTr="006D0F55">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7C2B29" w:rsidRPr="007C2B29" w:rsidRDefault="007C2B29" w:rsidP="00BA7AE7">
            <w:r w:rsidRPr="00C2709F">
              <w:t>1988–</w:t>
            </w:r>
            <w:r w:rsidRPr="007C2B29">
              <w:t>2015</w:t>
            </w:r>
          </w:p>
        </w:tc>
        <w:tc>
          <w:tcPr>
            <w:tcW w:w="2202" w:type="pct"/>
            <w:noWrap/>
          </w:tcPr>
          <w:p w:rsidR="007C2B29" w:rsidRPr="007C2B29" w:rsidRDefault="007C2B29" w:rsidP="00BA7AE7">
            <w:pPr>
              <w:cnfStyle w:val="000000000000" w:firstRow="0" w:lastRow="0" w:firstColumn="0" w:lastColumn="0" w:oddVBand="0" w:evenVBand="0" w:oddHBand="0" w:evenHBand="0" w:firstRowFirstColumn="0" w:firstRowLastColumn="0" w:lastRowFirstColumn="0" w:lastRowLastColumn="0"/>
            </w:pPr>
            <w:r>
              <w:t>5.2</w:t>
            </w:r>
          </w:p>
        </w:tc>
        <w:tc>
          <w:tcPr>
            <w:tcW w:w="2084" w:type="pct"/>
            <w:noWrap/>
          </w:tcPr>
          <w:p w:rsidR="007C2B29" w:rsidRPr="007C2B29" w:rsidRDefault="007C2B29" w:rsidP="00BA7AE7">
            <w:pPr>
              <w:cnfStyle w:val="000000000000" w:firstRow="0" w:lastRow="0" w:firstColumn="0" w:lastColumn="0" w:oddVBand="0" w:evenVBand="0" w:oddHBand="0" w:evenHBand="0" w:firstRowFirstColumn="0" w:firstRowLastColumn="0" w:lastRowFirstColumn="0" w:lastRowLastColumn="0"/>
            </w:pPr>
            <w:r>
              <w:t>5.2</w:t>
            </w:r>
          </w:p>
        </w:tc>
      </w:tr>
    </w:tbl>
    <w:p w:rsidR="007C2B29" w:rsidRPr="00C2709F" w:rsidRDefault="007C2B29" w:rsidP="007C2B29">
      <w:pPr>
        <w:pStyle w:val="AERtablesource"/>
      </w:pPr>
      <w:r w:rsidRPr="00C2709F">
        <w:t xml:space="preserve">Source: </w:t>
      </w:r>
      <w:r w:rsidRPr="00C2709F">
        <w:tab/>
        <w:t xml:space="preserve">AER, </w:t>
      </w:r>
      <w:r w:rsidRPr="00C2709F">
        <w:rPr>
          <w:rStyle w:val="AERtextitalic"/>
        </w:rPr>
        <w:t>Explanatory statement: Rate of return guideline (appendices)</w:t>
      </w:r>
      <w:r w:rsidRPr="00C2709F">
        <w:t>, 17 December 2013, p. 83; AER updates</w:t>
      </w:r>
    </w:p>
    <w:p w:rsidR="007C2B29" w:rsidRPr="001562D4" w:rsidRDefault="007C2B29" w:rsidP="007C2B29">
      <w:pPr>
        <w:pStyle w:val="AERtablesource"/>
      </w:pPr>
      <w:r>
        <w:t>Notes</w:t>
      </w:r>
      <w:r w:rsidRPr="00C2709F">
        <w:t xml:space="preserve">: </w:t>
      </w:r>
      <w:r w:rsidRPr="00C2709F">
        <w:tab/>
      </w:r>
      <w:r>
        <w:t>Based on arithmetic averages of historical stock returns, and a theta value of 0.6.</w:t>
      </w:r>
    </w:p>
    <w:p w:rsidR="007C2B29" w:rsidRPr="00C2709F" w:rsidRDefault="007C2B29" w:rsidP="007C2B29">
      <w:pPr>
        <w:numPr>
          <w:ilvl w:val="0"/>
          <w:numId w:val="24"/>
        </w:numPr>
      </w:pPr>
      <w:r>
        <w:t>Secondly, we consider that</w:t>
      </w:r>
      <w:r w:rsidRPr="00C2709F">
        <w:t xml:space="preserve"> NERA's</w:t>
      </w:r>
      <w:r>
        <w:t xml:space="preserve"> proposed</w:t>
      </w:r>
      <w:r w:rsidRPr="00C2709F">
        <w:t xml:space="preserve"> adjustment </w:t>
      </w:r>
      <w:r>
        <w:t>is not warranted and it is</w:t>
      </w:r>
      <w:r w:rsidRPr="00C2709F">
        <w:t xml:space="preserve"> not</w:t>
      </w:r>
      <w:r>
        <w:t xml:space="preserve"> clear that it would</w:t>
      </w:r>
      <w:r w:rsidRPr="00C2709F">
        <w:t xml:space="preserve"> lead to a material improvement in the quality of our data.</w:t>
      </w:r>
      <w:r w:rsidRPr="006C1BAA">
        <w:t xml:space="preserve"> </w:t>
      </w:r>
      <w:r w:rsidRPr="00C2709F">
        <w:t>As Handley stated:</w:t>
      </w:r>
      <w:r w:rsidRPr="00C2709F">
        <w:rPr>
          <w:rStyle w:val="FootnoteReference"/>
        </w:rPr>
        <w:footnoteReference w:id="906"/>
      </w:r>
    </w:p>
    <w:p w:rsidR="007C2B29" w:rsidRPr="00C2709F" w:rsidRDefault="007C2B29" w:rsidP="007C2B29">
      <w:pPr>
        <w:pStyle w:val="AERquote"/>
      </w:pPr>
      <w:r w:rsidRPr="00C2709F">
        <w:t xml:space="preserve">There are two main problems with the NERA analysis. First, it is unreasonable to draw a conclusion about three-hundred data points from a sample of only seven of those data points. Second and more fundamentally, NERA has not reconciled their data back to the Lamberton </w:t>
      </w:r>
      <w:r>
        <w:t xml:space="preserve">[ASX] </w:t>
      </w:r>
      <w:r w:rsidRPr="00C2709F">
        <w:t>data as illustrated below</w:t>
      </w:r>
    </w:p>
    <w:p w:rsidR="007C2B29" w:rsidRPr="00C2709F" w:rsidRDefault="007C2B29" w:rsidP="007C2B29">
      <w:pPr>
        <w:numPr>
          <w:ilvl w:val="0"/>
          <w:numId w:val="24"/>
        </w:numPr>
      </w:pPr>
      <w:r w:rsidRPr="00C2709F">
        <w:t xml:space="preserve">In their </w:t>
      </w:r>
      <w:r>
        <w:t xml:space="preserve">published </w:t>
      </w:r>
      <w:r w:rsidRPr="00C2709F">
        <w:t xml:space="preserve">study, </w:t>
      </w:r>
      <w:r>
        <w:t>Brailsford et al. found that data for the period 1882 to 1964 originally represented the unweighted average yield rather than a weighted average yield, and reflected the average yield on dividend-paying stocks only rather than all stocks.</w:t>
      </w:r>
      <w:r w:rsidRPr="00C2709F">
        <w:rPr>
          <w:rStyle w:val="FootnoteReference"/>
        </w:rPr>
        <w:footnoteReference w:id="907"/>
      </w:r>
      <w:r>
        <w:t xml:space="preserve"> </w:t>
      </w:r>
      <w:r w:rsidRPr="00C2709F">
        <w:t xml:space="preserve">Brailsford et al. extensively considered issues concerning </w:t>
      </w:r>
      <w:r>
        <w:t xml:space="preserve">the </w:t>
      </w:r>
      <w:r w:rsidRPr="00C2709F">
        <w:t>data</w:t>
      </w:r>
      <w:r>
        <w:t>, and found that the ASX had made an adjustment to account for these data issues</w:t>
      </w:r>
      <w:r w:rsidRPr="00C2709F">
        <w:t>.</w:t>
      </w:r>
      <w:r w:rsidRPr="00C2709F">
        <w:rPr>
          <w:rStyle w:val="FootnoteReference"/>
        </w:rPr>
        <w:footnoteReference w:id="908"/>
      </w:r>
      <w:r w:rsidRPr="00C2709F">
        <w:t xml:space="preserve"> </w:t>
      </w:r>
      <w:r>
        <w:t>Brailsford et al. concluded that the ASX's adjustment was reasonable after considering</w:t>
      </w:r>
      <w:r w:rsidRPr="00C2709F">
        <w:t>:</w:t>
      </w:r>
      <w:r>
        <w:t xml:space="preserve"> </w:t>
      </w:r>
    </w:p>
    <w:p w:rsidR="007C2B29" w:rsidRPr="007C2B29" w:rsidRDefault="007C2B29" w:rsidP="007C2B29">
      <w:pPr>
        <w:pStyle w:val="AERbulletlistfirststyle"/>
      </w:pPr>
      <w:r w:rsidRPr="00C2709F">
        <w:t>the views of the stock exchange itself (a credible source), as its staff determined and applied the adjustment factor to the dividend yield series</w:t>
      </w:r>
    </w:p>
    <w:p w:rsidR="007C2B29" w:rsidRPr="007C2B29" w:rsidRDefault="007C2B29" w:rsidP="007C2B29">
      <w:pPr>
        <w:pStyle w:val="AERbulletlistfirststyle"/>
      </w:pPr>
      <w:r w:rsidRPr="00C2709F">
        <w:t>US studies, which have attempted to formulate dividend yield series over roughly comparable time periods</w:t>
      </w:r>
    </w:p>
    <w:p w:rsidR="007C2B29" w:rsidRPr="007C2B29" w:rsidRDefault="007C2B29" w:rsidP="007C2B29">
      <w:pPr>
        <w:pStyle w:val="AERbulletlistfirststyle"/>
      </w:pPr>
      <w:r w:rsidRPr="00C2709F">
        <w:t>estimates of unweighted and weighted dividend yields for the UK stock market over the period 1872 to 1913</w:t>
      </w:r>
    </w:p>
    <w:p w:rsidR="007C2B29" w:rsidRPr="007C2B29" w:rsidRDefault="007C2B29" w:rsidP="007C2B29">
      <w:pPr>
        <w:pStyle w:val="AERbulletlistfirststyle"/>
      </w:pPr>
      <w:r w:rsidRPr="00C2709F">
        <w:t>a more direct test by estimating the weighted dividend yield across all stocks listed on the S</w:t>
      </w:r>
      <w:r w:rsidRPr="007C2B29">
        <w:t>ydney Stock Exchange for February 1966 (the first month of decimal currency)</w:t>
      </w:r>
    </w:p>
    <w:p w:rsidR="007C2B29" w:rsidRPr="00856B86" w:rsidRDefault="007C2B29" w:rsidP="007C2B29">
      <w:pPr>
        <w:pStyle w:val="ListParagraph"/>
        <w:numPr>
          <w:ilvl w:val="0"/>
          <w:numId w:val="24"/>
        </w:numPr>
      </w:pPr>
      <w:r>
        <w:t>We consider that</w:t>
      </w:r>
      <w:r w:rsidRPr="00C2709F">
        <w:t xml:space="preserve"> NERA's submission that its adjustment is more accurate because it uses more than one data point is </w:t>
      </w:r>
      <w:r>
        <w:t>misinforming</w:t>
      </w:r>
      <w:r w:rsidRPr="00C2709F">
        <w:t>.</w:t>
      </w:r>
      <w:r w:rsidRPr="00C2709F">
        <w:rPr>
          <w:rStyle w:val="FootnoteReference"/>
        </w:rPr>
        <w:footnoteReference w:id="909"/>
      </w:r>
      <w:r w:rsidRPr="00C2709F">
        <w:t xml:space="preserve"> Brailsford et al. uses one data point as one method (of several) to check the reasonableness of the ASX adjustment. This does not mean the ASX adjustment itself is based on one data point.</w:t>
      </w:r>
      <w:r>
        <w:t xml:space="preserve"> </w:t>
      </w:r>
      <w:r w:rsidRPr="00856B86">
        <w:t xml:space="preserve">Handley responded to this misconception multiple times. For example: </w:t>
      </w:r>
    </w:p>
    <w:p w:rsidR="007C2B29" w:rsidRPr="007C2B29" w:rsidRDefault="007C2B29" w:rsidP="007C2B29">
      <w:pPr>
        <w:pStyle w:val="AERbulletlistfirststyle"/>
      </w:pPr>
      <w:r w:rsidRPr="00856B86">
        <w:t>In his October 2014 report, Handley stated:</w:t>
      </w:r>
      <w:r w:rsidRPr="007C2B29">
        <w:rPr>
          <w:rStyle w:val="FootnoteReference"/>
        </w:rPr>
        <w:footnoteReference w:id="910"/>
      </w:r>
    </w:p>
    <w:p w:rsidR="007C2B29" w:rsidRPr="00856B86" w:rsidRDefault="007C2B29" w:rsidP="007C2B29">
      <w:pPr>
        <w:pStyle w:val="AERquote"/>
      </w:pPr>
      <w:r w:rsidRPr="00856B86">
        <w:t>Before addressing NERA’s analysis, it is appropriate to clarify a very important misconception concerning the adjustment. Contrary to the claim by SFG – and it is not clear whether this view is also shared by NERA – the adjustment was not something which BHM took upon themselves to apply to the Lamberton data. Rather, the data that the ASX provided to BHM had already had been adjusted by the ASX. In other words, the ASX had many years earlier decided in their knowledge and wisdom that some adjustment was necessary and it was the ASX who determined the amount and adjusted the data accordingly. BHM simply sought to confirm their understanding of the data series provided by the ASX by reconciling it back to original sources.</w:t>
      </w:r>
    </w:p>
    <w:p w:rsidR="007C2B29" w:rsidRPr="007C2B29" w:rsidRDefault="007C2B29" w:rsidP="007C2B29">
      <w:pPr>
        <w:pStyle w:val="AERbulletlistfirststyle"/>
      </w:pPr>
      <w:r w:rsidRPr="00856B86">
        <w:t>In his May 2015 report, Handley stated:</w:t>
      </w:r>
      <w:r w:rsidRPr="007C2B29">
        <w:rPr>
          <w:rStyle w:val="FootnoteReference"/>
        </w:rPr>
        <w:footnoteReference w:id="911"/>
      </w:r>
    </w:p>
    <w:p w:rsidR="007C2B29" w:rsidRPr="00856B86" w:rsidRDefault="007C2B29" w:rsidP="007C2B29">
      <w:pPr>
        <w:pStyle w:val="AERquote"/>
      </w:pPr>
      <w:r w:rsidRPr="00856B86">
        <w:t>The inference in the first statement that the stock and dividend data underlying the Brailsford, Handley and Maheswaran (2008) – BHM – dataset is not genuine is incorrect and troubling. The claim (by NERA) in the second statement that BHM, rather than the ASX, made the adjustment to the dividend data is incorrect.</w:t>
      </w:r>
    </w:p>
    <w:p w:rsidR="007C2B29" w:rsidRDefault="007C2B29" w:rsidP="007C2B29">
      <w:r w:rsidRPr="00C540E2">
        <w:t xml:space="preserve">HoustonKemp raise again the issues that no ASX publication uses the ASX adjustment and </w:t>
      </w:r>
      <w:r>
        <w:t xml:space="preserve">that </w:t>
      </w:r>
      <w:r w:rsidRPr="00C540E2">
        <w:t xml:space="preserve">the ASX </w:t>
      </w:r>
      <w:r>
        <w:t>has stated</w:t>
      </w:r>
      <w:r w:rsidRPr="00C540E2">
        <w:t xml:space="preserve"> that it has no opinion</w:t>
      </w:r>
      <w:r>
        <w:t xml:space="preserve"> on the adjustment</w:t>
      </w:r>
      <w:r w:rsidRPr="00C540E2">
        <w:t>. We remain satisfied that the</w:t>
      </w:r>
      <w:r>
        <w:t xml:space="preserve"> adjustment originated with the ASX, irrespective of the existence of any ASX publication using the data, and that</w:t>
      </w:r>
      <w:r w:rsidRPr="00C540E2">
        <w:t xml:space="preserve"> ASX provided the adjusted data </w:t>
      </w:r>
      <w:r>
        <w:t>to</w:t>
      </w:r>
      <w:r w:rsidRPr="00585C0A">
        <w:t xml:space="preserve"> Brailsford et al</w:t>
      </w:r>
      <w:r w:rsidRPr="00C540E2">
        <w:t>. </w:t>
      </w:r>
    </w:p>
    <w:p w:rsidR="007C2B29" w:rsidRPr="00C2709F" w:rsidRDefault="007C2B29" w:rsidP="007C2B29">
      <w:r>
        <w:t>W</w:t>
      </w:r>
      <w:r w:rsidRPr="00D02E71">
        <w:t xml:space="preserve">e also consider that NERA has not established that the overall level of its adjustment is superior to the ASX adjustment. </w:t>
      </w:r>
      <w:r>
        <w:t xml:space="preserve">In addition to examining the ASX adjustment to account for simple, unweighted yields, Brailsford et al. examined other </w:t>
      </w:r>
      <w:r w:rsidRPr="00C2709F">
        <w:t>concerns over data quality and the imprecision of the underlying series'</w:t>
      </w:r>
      <w:r>
        <w:t>,</w:t>
      </w:r>
      <w:r w:rsidRPr="00C2709F">
        <w:rPr>
          <w:rStyle w:val="FootnoteReference"/>
        </w:rPr>
        <w:footnoteReference w:id="912"/>
      </w:r>
      <w:r w:rsidRPr="00C2709F">
        <w:t xml:space="preserve"> specifically:</w:t>
      </w:r>
      <w:r w:rsidRPr="00C2709F">
        <w:rPr>
          <w:rStyle w:val="FootnoteReference"/>
        </w:rPr>
        <w:footnoteReference w:id="913"/>
      </w:r>
    </w:p>
    <w:p w:rsidR="007C2B29" w:rsidRPr="007C2B29" w:rsidRDefault="007C2B29" w:rsidP="007C2B29">
      <w:pPr>
        <w:pStyle w:val="AERbulletlistfirststyle"/>
      </w:pPr>
      <w:r w:rsidRPr="00C2709F">
        <w:t xml:space="preserve">employing hindsight in sample selection commonly imparts an upward (survivorship) bias </w:t>
      </w:r>
    </w:p>
    <w:p w:rsidR="007C2B29" w:rsidRPr="007C2B29" w:rsidRDefault="007C2B29" w:rsidP="007C2B29">
      <w:pPr>
        <w:pStyle w:val="AERbulletlistfirststyle"/>
      </w:pPr>
      <w:r w:rsidRPr="00C2709F">
        <w:t>the Commercial and Industrial price index from 1875 to 1936 does not include the financial sector and, therefore, is not strictly comparable to the All Ordinary Shares price index that followed from 1936 to 1957</w:t>
      </w:r>
    </w:p>
    <w:p w:rsidR="007C2B29" w:rsidRPr="007C2B29" w:rsidRDefault="007C2B29" w:rsidP="007C2B29">
      <w:pPr>
        <w:pStyle w:val="AERbulletlistfirststyle"/>
      </w:pPr>
      <w:r w:rsidRPr="00C2709F">
        <w:t>the Commercial and Industrial price index from 1875 to 1936 suffers from narrow coverage—there are only five stocks in the index in 1875, 12 in 1905 and 47 in 1935</w:t>
      </w:r>
    </w:p>
    <w:p w:rsidR="007C2B29" w:rsidRPr="007C2B29" w:rsidRDefault="007C2B29" w:rsidP="007C2B29">
      <w:pPr>
        <w:pStyle w:val="AERbulletlistfirststyle"/>
      </w:pPr>
      <w:r w:rsidRPr="00C2709F">
        <w:t>Australian government stock price controls were in operation from November 1941 to February 1947 and, therefore, prices over this period were not fully market determined</w:t>
      </w:r>
    </w:p>
    <w:p w:rsidR="007C2B29" w:rsidRPr="007C2B29" w:rsidRDefault="007C2B29" w:rsidP="007C2B29">
      <w:pPr>
        <w:pStyle w:val="AERbulletlistfirststyle"/>
      </w:pPr>
      <w:r w:rsidRPr="00C2709F">
        <w:t xml:space="preserve">each of Lamberton’s (1958) industry indices are value-weighted, but in forming the All Ordinary Shares index and the All Ordinary Shares (excluding Financial) index, the relevant component industry indices have been weighted according to their aggregate amount of paid up capital.. </w:t>
      </w:r>
    </w:p>
    <w:p w:rsidR="007C2B29" w:rsidRPr="00C2709F" w:rsidRDefault="007C2B29" w:rsidP="007C2B29">
      <w:r w:rsidRPr="00C2709F">
        <w:t>Brailsford et al. subsequently considered that:</w:t>
      </w:r>
      <w:r w:rsidRPr="00C2709F">
        <w:rPr>
          <w:rStyle w:val="FootnoteReference"/>
        </w:rPr>
        <w:footnoteReference w:id="914"/>
      </w:r>
    </w:p>
    <w:p w:rsidR="007C2B29" w:rsidRPr="00C2709F" w:rsidRDefault="007C2B29" w:rsidP="007C2B29">
      <w:pPr>
        <w:pStyle w:val="AERquote"/>
      </w:pPr>
      <w:r w:rsidRPr="00C2709F">
        <w:t>Although it is difficult to draw a conclusion on the extent to which the above issues impact on the observed rates of return on the equity index relative to the unobserved ‘true’ rates of return, a consequent bias leading to an overstatement of equity performance up to the mid-1950s is probable.</w:t>
      </w:r>
    </w:p>
    <w:p w:rsidR="007C2B29" w:rsidRDefault="007C2B29" w:rsidP="007C2B29">
      <w:pPr>
        <w:numPr>
          <w:ilvl w:val="0"/>
          <w:numId w:val="24"/>
        </w:numPr>
      </w:pPr>
      <w:r>
        <w:t xml:space="preserve">Given this probability of overstatement considered by Brailsford et al., it is not clear that a smaller downward adjustment to the original data would reduce bias. </w:t>
      </w:r>
    </w:p>
    <w:p w:rsidR="007C2B29" w:rsidRPr="00BA0AFD" w:rsidRDefault="007C2B29" w:rsidP="007C2B29">
      <w:pPr>
        <w:pStyle w:val="Heading7"/>
      </w:pPr>
      <w:bookmarkStart w:id="156" w:name="_Toc443923203"/>
      <w:bookmarkStart w:id="157" w:name="_Toc451945492"/>
      <w:r>
        <w:t>AER's dividend growth model</w:t>
      </w:r>
      <w:bookmarkEnd w:id="156"/>
      <w:bookmarkEnd w:id="157"/>
    </w:p>
    <w:p w:rsidR="007C2B29" w:rsidRPr="00B4711B" w:rsidRDefault="007C2B29" w:rsidP="007C2B29">
      <w:pPr>
        <w:numPr>
          <w:ilvl w:val="0"/>
          <w:numId w:val="24"/>
        </w:numPr>
      </w:pPr>
      <w:r w:rsidRPr="00B4711B">
        <w:rPr>
          <w:rStyle w:val="AERbody"/>
        </w:rPr>
        <w:t xml:space="preserve">Dividend growth models </w:t>
      </w:r>
      <w:r w:rsidRPr="00B4711B">
        <w:t xml:space="preserve">use forecast dividends of businesses to derive the return on equity by </w:t>
      </w:r>
      <w:r>
        <w:t>assuming</w:t>
      </w:r>
      <w:r w:rsidRPr="00B4711B">
        <w:t xml:space="preserve"> that the present value of these dividends is equal to the business' market value of equity.</w:t>
      </w:r>
      <w:r w:rsidRPr="00B4711B">
        <w:rPr>
          <w:rStyle w:val="FootnoteReference"/>
        </w:rPr>
        <w:footnoteReference w:id="915"/>
      </w:r>
      <w:r w:rsidRPr="00B4711B">
        <w:t xml:space="preserve"> Consistent with the rate of return guideline (Guideline), we use </w:t>
      </w:r>
      <w:r>
        <w:t>dividend growth models</w:t>
      </w:r>
      <w:r w:rsidRPr="00B4711B">
        <w:t xml:space="preserve"> to inform our estimate of the market risk premium.</w:t>
      </w:r>
      <w:r w:rsidRPr="00B4711B">
        <w:rPr>
          <w:rStyle w:val="FootnoteReference"/>
        </w:rPr>
        <w:footnoteReference w:id="916"/>
      </w:r>
      <w:r>
        <w:t xml:space="preserve"> However, we consider that limited reliance should be placed on estimates from dividend growth models. </w:t>
      </w:r>
    </w:p>
    <w:p w:rsidR="007C2B29" w:rsidRPr="00B4711B" w:rsidRDefault="007C2B29" w:rsidP="007C2B29">
      <w:pPr>
        <w:numPr>
          <w:ilvl w:val="0"/>
          <w:numId w:val="24"/>
        </w:numPr>
      </w:pPr>
      <w:r w:rsidRPr="00B4711B">
        <w:t>In this appendix we set out:</w:t>
      </w:r>
    </w:p>
    <w:p w:rsidR="007C2B29" w:rsidRPr="007C2B29" w:rsidRDefault="007C2B29" w:rsidP="007C2B29">
      <w:pPr>
        <w:pStyle w:val="AERbulletlistfirststyle"/>
      </w:pPr>
      <w:r w:rsidRPr="00B4711B">
        <w:t xml:space="preserve">Prevailing estimates of the </w:t>
      </w:r>
      <w:r w:rsidRPr="007C2B29">
        <w:t>market risk premium using our preferred construction of the dividend growth model.</w:t>
      </w:r>
    </w:p>
    <w:p w:rsidR="007C2B29" w:rsidRPr="007C2B29" w:rsidRDefault="007C2B29" w:rsidP="007C2B29">
      <w:pPr>
        <w:pStyle w:val="AERbulletlistfirststyle"/>
      </w:pPr>
      <w:r w:rsidRPr="00B4711B">
        <w:t>Sensitivity analysis surrounding our prevailing estimates.</w:t>
      </w:r>
    </w:p>
    <w:p w:rsidR="007C2B29" w:rsidRPr="007C2B29" w:rsidRDefault="007C2B29" w:rsidP="007C2B29">
      <w:pPr>
        <w:pStyle w:val="AERbulletlistfirststyle"/>
      </w:pPr>
      <w:r w:rsidRPr="00B4711B">
        <w:t xml:space="preserve">Our preferred construction of the </w:t>
      </w:r>
      <w:r w:rsidRPr="007C2B29">
        <w:t>dividend growth model.</w:t>
      </w:r>
    </w:p>
    <w:p w:rsidR="007C2B29" w:rsidRPr="007C2B29" w:rsidRDefault="007C2B29" w:rsidP="007C2B29">
      <w:pPr>
        <w:pStyle w:val="AERbulletlistfirststyle"/>
      </w:pPr>
      <w:r>
        <w:t xml:space="preserve">Limitations </w:t>
      </w:r>
      <w:r w:rsidRPr="007C2B29">
        <w:t xml:space="preserve">with the use of dividend growth models due to potential upward bias. </w:t>
      </w:r>
    </w:p>
    <w:p w:rsidR="007C2B29" w:rsidRPr="00DB0499" w:rsidRDefault="007C2B29" w:rsidP="00730CE8">
      <w:pPr>
        <w:pStyle w:val="Heading8"/>
        <w:numPr>
          <w:ilvl w:val="1"/>
          <w:numId w:val="32"/>
        </w:numPr>
      </w:pPr>
      <w:r w:rsidRPr="00B4711B">
        <w:t xml:space="preserve"> </w:t>
      </w:r>
      <w:bookmarkStart w:id="158" w:name="_Toc443923204"/>
      <w:bookmarkStart w:id="159" w:name="_Toc451945493"/>
      <w:r w:rsidRPr="00B4711B">
        <w:t>Prevailing estimates</w:t>
      </w:r>
      <w:bookmarkEnd w:id="158"/>
      <w:bookmarkEnd w:id="159"/>
      <w:r w:rsidRPr="00B4711B">
        <w:t xml:space="preserve"> </w:t>
      </w:r>
    </w:p>
    <w:p w:rsidR="007C2B29" w:rsidRPr="00B4711B" w:rsidRDefault="007C2B29" w:rsidP="007C2B29">
      <w:r w:rsidRPr="00B4711B">
        <w:t xml:space="preserve">Results in </w:t>
      </w:r>
      <w:r>
        <w:fldChar w:fldCharType="begin"/>
      </w:r>
      <w:r>
        <w:instrText xml:space="preserve"> REF _Ref445384078 \h </w:instrText>
      </w:r>
      <w:r>
        <w:fldChar w:fldCharType="separate"/>
      </w:r>
      <w:r w:rsidR="001A023B" w:rsidRPr="00C2709F">
        <w:t xml:space="preserve">Table </w:t>
      </w:r>
      <w:r w:rsidR="001A023B">
        <w:rPr>
          <w:noProof/>
        </w:rPr>
        <w:t>3</w:t>
      </w:r>
      <w:r w:rsidR="001A023B">
        <w:noBreakHyphen/>
      </w:r>
      <w:r w:rsidR="001A023B">
        <w:rPr>
          <w:noProof/>
        </w:rPr>
        <w:t>31</w:t>
      </w:r>
      <w:r>
        <w:fldChar w:fldCharType="end"/>
      </w:r>
      <w:r>
        <w:t xml:space="preserve"> </w:t>
      </w:r>
      <w:r w:rsidRPr="00B4711B">
        <w:t xml:space="preserve">show </w:t>
      </w:r>
      <w:r>
        <w:t xml:space="preserve">that, </w:t>
      </w:r>
      <w:r w:rsidRPr="00B4711B">
        <w:t xml:space="preserve">for the two month period up to </w:t>
      </w:r>
      <w:r w:rsidRPr="00B4711B">
        <w:rPr>
          <w:rStyle w:val="AERbody"/>
        </w:rPr>
        <w:t>end–</w:t>
      </w:r>
      <w:r>
        <w:t>March</w:t>
      </w:r>
      <w:r w:rsidRPr="00B4711B">
        <w:t xml:space="preserve"> 201</w:t>
      </w:r>
      <w:r>
        <w:t>6</w:t>
      </w:r>
      <w:r w:rsidRPr="00B4711B">
        <w:t>, the</w:t>
      </w:r>
      <w:r w:rsidRPr="00B4711B">
        <w:rPr>
          <w:rStyle w:val="AERbody"/>
        </w:rPr>
        <w:t xml:space="preserve"> </w:t>
      </w:r>
      <w:r>
        <w:rPr>
          <w:rStyle w:val="AERbody"/>
        </w:rPr>
        <w:t>dividend growth models</w:t>
      </w:r>
      <w:r w:rsidRPr="00B4711B">
        <w:rPr>
          <w:rStyle w:val="AERbody"/>
        </w:rPr>
        <w:t xml:space="preserve"> produce </w:t>
      </w:r>
      <w:r>
        <w:rPr>
          <w:rStyle w:val="AERbody"/>
        </w:rPr>
        <w:t>a range of market risk premium</w:t>
      </w:r>
      <w:r w:rsidRPr="00B4711B">
        <w:rPr>
          <w:rStyle w:val="AERbody"/>
        </w:rPr>
        <w:t xml:space="preserve"> </w:t>
      </w:r>
      <w:r>
        <w:rPr>
          <w:rStyle w:val="AERbody"/>
        </w:rPr>
        <w:t xml:space="preserve">estimates between </w:t>
      </w:r>
      <w:r w:rsidRPr="00B4711B">
        <w:rPr>
          <w:rStyle w:val="AERbody"/>
        </w:rPr>
        <w:t>7.</w:t>
      </w:r>
      <w:r w:rsidR="00A82001">
        <w:rPr>
          <w:rStyle w:val="AERbody"/>
        </w:rPr>
        <w:t>4</w:t>
      </w:r>
      <w:r>
        <w:rPr>
          <w:rStyle w:val="AERbody"/>
        </w:rPr>
        <w:t>8</w:t>
      </w:r>
      <w:r w:rsidRPr="00B4711B">
        <w:rPr>
          <w:rStyle w:val="AERbody"/>
        </w:rPr>
        <w:t xml:space="preserve"> to </w:t>
      </w:r>
      <w:r>
        <w:rPr>
          <w:rStyle w:val="AERbody"/>
        </w:rPr>
        <w:t>8.</w:t>
      </w:r>
      <w:r w:rsidR="00A82001">
        <w:rPr>
          <w:rStyle w:val="AERbody"/>
        </w:rPr>
        <w:t>74</w:t>
      </w:r>
      <w:r w:rsidRPr="00B4711B">
        <w:rPr>
          <w:rStyle w:val="AERbody"/>
        </w:rPr>
        <w:t xml:space="preserve"> per </w:t>
      </w:r>
      <w:r w:rsidRPr="00B4711B">
        <w:t>cent.</w:t>
      </w:r>
      <w:r w:rsidRPr="00890846">
        <w:t xml:space="preserve"> </w:t>
      </w:r>
    </w:p>
    <w:p w:rsidR="007C2B29" w:rsidRDefault="007C2B29" w:rsidP="007C2B29">
      <w:pPr>
        <w:pStyle w:val="Caption"/>
      </w:pPr>
      <w:bookmarkStart w:id="160" w:name="_Ref445384078"/>
      <w:bookmarkStart w:id="161" w:name="_Ref443651296"/>
      <w:r w:rsidRPr="00C2709F">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31</w:t>
      </w:r>
      <w:r w:rsidR="00120312">
        <w:rPr>
          <w:noProof/>
        </w:rPr>
        <w:fldChar w:fldCharType="end"/>
      </w:r>
      <w:bookmarkEnd w:id="160"/>
      <w:r w:rsidRPr="00C2709F">
        <w:t xml:space="preserve"> </w:t>
      </w:r>
      <w:r w:rsidRPr="00C2709F">
        <w:tab/>
      </w:r>
      <w:r>
        <w:t>Market risk premium estimates under dividend growth models</w:t>
      </w:r>
      <w:r w:rsidRPr="00C2709F">
        <w:t xml:space="preserve"> (per cent)</w:t>
      </w:r>
      <w:r w:rsidRPr="00C2709F" w:rsidDel="00184676">
        <w:t xml:space="preserve"> </w:t>
      </w:r>
      <w:bookmarkEnd w:id="161"/>
    </w:p>
    <w:tbl>
      <w:tblPr>
        <w:tblStyle w:val="AERtable-text0"/>
        <w:tblW w:w="0" w:type="auto"/>
        <w:tblLook w:val="04A0" w:firstRow="1" w:lastRow="0" w:firstColumn="1" w:lastColumn="0" w:noHBand="0" w:noVBand="1"/>
      </w:tblPr>
      <w:tblGrid>
        <w:gridCol w:w="2897"/>
        <w:gridCol w:w="2898"/>
        <w:gridCol w:w="2898"/>
      </w:tblGrid>
      <w:tr w:rsidR="00BA7AE7" w:rsidTr="00BA7AE7">
        <w:trPr>
          <w:cnfStyle w:val="100000000000" w:firstRow="1" w:lastRow="0" w:firstColumn="0" w:lastColumn="0" w:oddVBand="0" w:evenVBand="0" w:oddHBand="0" w:evenHBand="0" w:firstRowFirstColumn="0" w:firstRowLastColumn="0" w:lastRowFirstColumn="0" w:lastRowLastColumn="0"/>
        </w:trPr>
        <w:tc>
          <w:tcPr>
            <w:tcW w:w="2897" w:type="dxa"/>
          </w:tcPr>
          <w:p w:rsidR="00BA7AE7" w:rsidRPr="00BA7AE7" w:rsidRDefault="00BA7AE7" w:rsidP="00BA7AE7">
            <w:r w:rsidRPr="00B4711B">
              <w:t xml:space="preserve">Growth rate </w:t>
            </w:r>
          </w:p>
        </w:tc>
        <w:tc>
          <w:tcPr>
            <w:tcW w:w="2898" w:type="dxa"/>
          </w:tcPr>
          <w:p w:rsidR="00BA7AE7" w:rsidRPr="00BA7AE7" w:rsidRDefault="00BA7AE7" w:rsidP="00BA7AE7">
            <w:r w:rsidRPr="00B4711B">
              <w:t>Two stage model</w:t>
            </w:r>
          </w:p>
        </w:tc>
        <w:tc>
          <w:tcPr>
            <w:tcW w:w="2898" w:type="dxa"/>
          </w:tcPr>
          <w:p w:rsidR="00BA7AE7" w:rsidRPr="00BA7AE7" w:rsidRDefault="00BA7AE7" w:rsidP="00BA7AE7">
            <w:r w:rsidRPr="00B4711B">
              <w:t>Three stage model</w:t>
            </w:r>
          </w:p>
        </w:tc>
      </w:tr>
      <w:tr w:rsidR="00BA7AE7" w:rsidTr="00BA7AE7">
        <w:tc>
          <w:tcPr>
            <w:tcW w:w="2897" w:type="dxa"/>
          </w:tcPr>
          <w:p w:rsidR="00BA7AE7" w:rsidRPr="00BA7AE7" w:rsidRDefault="00BA7AE7" w:rsidP="00BA7AE7">
            <w:r w:rsidRPr="001F22B0">
              <w:t>3.8</w:t>
            </w:r>
          </w:p>
        </w:tc>
        <w:tc>
          <w:tcPr>
            <w:tcW w:w="2898" w:type="dxa"/>
          </w:tcPr>
          <w:p w:rsidR="00BA7AE7" w:rsidRDefault="00BA7AE7" w:rsidP="00BA7AE7">
            <w:r>
              <w:t>7.48</w:t>
            </w:r>
          </w:p>
        </w:tc>
        <w:tc>
          <w:tcPr>
            <w:tcW w:w="2898" w:type="dxa"/>
          </w:tcPr>
          <w:p w:rsidR="00BA7AE7" w:rsidRDefault="00BA7AE7" w:rsidP="00BA7AE7">
            <w:r>
              <w:t>7.74</w:t>
            </w:r>
          </w:p>
        </w:tc>
      </w:tr>
      <w:tr w:rsidR="00BA7AE7" w:rsidTr="00BA7AE7">
        <w:trPr>
          <w:cnfStyle w:val="000000010000" w:firstRow="0" w:lastRow="0" w:firstColumn="0" w:lastColumn="0" w:oddVBand="0" w:evenVBand="0" w:oddHBand="0" w:evenHBand="1" w:firstRowFirstColumn="0" w:firstRowLastColumn="0" w:lastRowFirstColumn="0" w:lastRowLastColumn="0"/>
        </w:trPr>
        <w:tc>
          <w:tcPr>
            <w:tcW w:w="2897" w:type="dxa"/>
          </w:tcPr>
          <w:p w:rsidR="00BA7AE7" w:rsidRPr="00BA7AE7" w:rsidRDefault="00BA7AE7" w:rsidP="00BA7AE7">
            <w:r w:rsidRPr="001F22B0">
              <w:t>4.6</w:t>
            </w:r>
          </w:p>
        </w:tc>
        <w:tc>
          <w:tcPr>
            <w:tcW w:w="2898" w:type="dxa"/>
          </w:tcPr>
          <w:p w:rsidR="00BA7AE7" w:rsidRDefault="00BA7AE7" w:rsidP="00BA7AE7">
            <w:r>
              <w:t>8.24</w:t>
            </w:r>
          </w:p>
        </w:tc>
        <w:tc>
          <w:tcPr>
            <w:tcW w:w="2898" w:type="dxa"/>
          </w:tcPr>
          <w:p w:rsidR="00BA7AE7" w:rsidRDefault="00BA7AE7" w:rsidP="00BA7AE7">
            <w:r>
              <w:t>8.36</w:t>
            </w:r>
          </w:p>
        </w:tc>
      </w:tr>
      <w:tr w:rsidR="00BA7AE7" w:rsidTr="00BA7AE7">
        <w:tc>
          <w:tcPr>
            <w:tcW w:w="2897" w:type="dxa"/>
          </w:tcPr>
          <w:p w:rsidR="00BA7AE7" w:rsidRPr="00BA7AE7" w:rsidRDefault="00BA7AE7" w:rsidP="00BA7AE7">
            <w:r w:rsidRPr="001F22B0">
              <w:t>5.1</w:t>
            </w:r>
          </w:p>
        </w:tc>
        <w:tc>
          <w:tcPr>
            <w:tcW w:w="2898" w:type="dxa"/>
          </w:tcPr>
          <w:p w:rsidR="00BA7AE7" w:rsidRDefault="00BA7AE7" w:rsidP="00BA7AE7">
            <w:r>
              <w:t>8.70</w:t>
            </w:r>
          </w:p>
        </w:tc>
        <w:tc>
          <w:tcPr>
            <w:tcW w:w="2898" w:type="dxa"/>
          </w:tcPr>
          <w:p w:rsidR="00BA7AE7" w:rsidRDefault="00BA7AE7" w:rsidP="00BA7AE7">
            <w:r>
              <w:t>8.74</w:t>
            </w:r>
          </w:p>
        </w:tc>
      </w:tr>
    </w:tbl>
    <w:p w:rsidR="007C2B29" w:rsidRPr="00B4711B" w:rsidRDefault="007C2B29" w:rsidP="007C2B29">
      <w:pPr>
        <w:pStyle w:val="AERtablesource"/>
      </w:pPr>
      <w:r w:rsidRPr="00B4711B">
        <w:t xml:space="preserve">Source: </w:t>
      </w:r>
      <w:r w:rsidRPr="00B4711B">
        <w:tab/>
        <w:t>Bloomberg, AER analysis.</w:t>
      </w:r>
      <w:r w:rsidRPr="00B4711B">
        <w:tab/>
      </w:r>
    </w:p>
    <w:p w:rsidR="007C2B29" w:rsidRPr="00B4711B" w:rsidRDefault="007C2B29" w:rsidP="007C2B29">
      <w:pPr>
        <w:pStyle w:val="AERtablesource"/>
      </w:pPr>
      <w:r w:rsidRPr="00B4711B">
        <w:t>Notes:</w:t>
      </w:r>
      <w:r w:rsidRPr="00B4711B">
        <w:tab/>
        <w:t xml:space="preserve">Growth rate is nominal, </w:t>
      </w:r>
      <w:r>
        <w:t>for</w:t>
      </w:r>
      <w:r w:rsidRPr="00B4711B">
        <w:t xml:space="preserve"> </w:t>
      </w:r>
      <w:r>
        <w:t xml:space="preserve">more detail on </w:t>
      </w:r>
      <w:r w:rsidRPr="00B4711B">
        <w:t>derivation of these long term dividend growth rate estimates</w:t>
      </w:r>
      <w:r>
        <w:t xml:space="preserve"> see section B.2.1 of Attachment 3 to our draft decision for ActewAGL</w:t>
      </w:r>
      <w:r w:rsidRPr="00B4711B">
        <w:t>. Market risk premium estimates are based on an assumed theta of 0.6, and a 2 month average (</w:t>
      </w:r>
      <w:r>
        <w:t>Feb</w:t>
      </w:r>
      <w:r w:rsidRPr="00B4711B">
        <w:t>-</w:t>
      </w:r>
      <w:r>
        <w:t>Mar</w:t>
      </w:r>
      <w:r w:rsidRPr="00B4711B">
        <w:t xml:space="preserve"> 2016) of analysts' dividend forecasts. </w:t>
      </w:r>
    </w:p>
    <w:p w:rsidR="007C2B29" w:rsidRPr="00B4711B" w:rsidRDefault="007C2B29" w:rsidP="00BB7AE6">
      <w:pPr>
        <w:pStyle w:val="Heading8"/>
        <w:keepNext/>
      </w:pPr>
      <w:bookmarkStart w:id="162" w:name="_Ref443651537"/>
      <w:bookmarkStart w:id="163" w:name="_Toc443923205"/>
      <w:bookmarkStart w:id="164" w:name="_Toc451945494"/>
      <w:r w:rsidRPr="00B4711B">
        <w:t>Sensitivity analysis</w:t>
      </w:r>
      <w:bookmarkEnd w:id="162"/>
      <w:bookmarkEnd w:id="163"/>
      <w:bookmarkEnd w:id="164"/>
    </w:p>
    <w:p w:rsidR="007C2B29" w:rsidRPr="00B4711B" w:rsidRDefault="007C2B29" w:rsidP="00BB7AE6">
      <w:pPr>
        <w:keepNext/>
        <w:numPr>
          <w:ilvl w:val="0"/>
          <w:numId w:val="24"/>
        </w:numPr>
      </w:pPr>
      <w:r w:rsidRPr="00B4711B">
        <w:t>We consider</w:t>
      </w:r>
      <w:r>
        <w:t xml:space="preserve"> that</w:t>
      </w:r>
      <w:r w:rsidRPr="00B4711B">
        <w:t xml:space="preserve"> </w:t>
      </w:r>
      <w:r>
        <w:t>market risk premium</w:t>
      </w:r>
      <w:r w:rsidRPr="00B4711B">
        <w:t xml:space="preserve"> </w:t>
      </w:r>
      <w:r>
        <w:t>estimates</w:t>
      </w:r>
      <w:r w:rsidRPr="00B4711B">
        <w:t xml:space="preserve"> from </w:t>
      </w:r>
      <w:r>
        <w:t>dividend growth models</w:t>
      </w:r>
      <w:r w:rsidRPr="00B4711B">
        <w:t xml:space="preserve"> </w:t>
      </w:r>
      <w:r>
        <w:t>are</w:t>
      </w:r>
      <w:r w:rsidRPr="00B4711B">
        <w:t xml:space="preserve"> very sensitive to input assumptions such as</w:t>
      </w:r>
      <w:r>
        <w:t xml:space="preserve"> the</w:t>
      </w:r>
      <w:r w:rsidRPr="00B4711B">
        <w:t>:</w:t>
      </w:r>
    </w:p>
    <w:p w:rsidR="007C2B29" w:rsidRPr="007C2B29" w:rsidRDefault="007C2B29" w:rsidP="007C2B29">
      <w:pPr>
        <w:pStyle w:val="AERbulletlistfirststyle"/>
      </w:pPr>
      <w:r>
        <w:t>L</w:t>
      </w:r>
      <w:r w:rsidRPr="007C2B29">
        <w:t xml:space="preserve">ong term dividend growth rate. </w:t>
      </w:r>
    </w:p>
    <w:p w:rsidR="007C2B29" w:rsidRPr="007C2B29" w:rsidRDefault="007C2B29" w:rsidP="007C2B29">
      <w:pPr>
        <w:pStyle w:val="AERbulletlistfirststyle"/>
      </w:pPr>
      <w:r>
        <w:t>P</w:t>
      </w:r>
      <w:r w:rsidRPr="007C2B29">
        <w:t>eriod estimates are averaged over.</w:t>
      </w:r>
    </w:p>
    <w:p w:rsidR="007C2B29" w:rsidRPr="007C2B29" w:rsidRDefault="007C2B29" w:rsidP="007C2B29">
      <w:pPr>
        <w:pStyle w:val="AERbulletlistfirststyle"/>
      </w:pPr>
      <w:r>
        <w:t>U</w:t>
      </w:r>
      <w:r w:rsidRPr="007C2B29">
        <w:t>se of analyst forecasts, which are likely to be biased.</w:t>
      </w:r>
    </w:p>
    <w:p w:rsidR="007C2B29" w:rsidRPr="00B4711B" w:rsidRDefault="007C2B29" w:rsidP="007C2B29">
      <w:r>
        <w:t>These issues are further discussed in</w:t>
      </w:r>
      <w:r w:rsidRPr="00B4711B">
        <w:t xml:space="preserve"> section</w:t>
      </w:r>
      <w:r>
        <w:t xml:space="preserve"> </w:t>
      </w:r>
      <w:r>
        <w:fldChar w:fldCharType="begin"/>
      </w:r>
      <w:r>
        <w:instrText xml:space="preserve"> REF _Ref446260197 \r \h </w:instrText>
      </w:r>
      <w:r>
        <w:fldChar w:fldCharType="separate"/>
      </w:r>
      <w:r w:rsidR="001A023B">
        <w:t>D.4</w:t>
      </w:r>
      <w:r>
        <w:fldChar w:fldCharType="end"/>
      </w:r>
      <w:r w:rsidRPr="00B4711B">
        <w:t>. In</w:t>
      </w:r>
      <w:r>
        <w:t xml:space="preserve"> the remainder of</w:t>
      </w:r>
      <w:r w:rsidRPr="00B4711B">
        <w:t xml:space="preserve"> this section, we show </w:t>
      </w:r>
      <w:r>
        <w:t>how sensitive</w:t>
      </w:r>
      <w:r w:rsidRPr="00B4711B">
        <w:t xml:space="preserve"> our </w:t>
      </w:r>
      <w:r>
        <w:t>dividend growth model is</w:t>
      </w:r>
      <w:r w:rsidRPr="00B4711B">
        <w:t xml:space="preserve"> to these factors</w:t>
      </w:r>
      <w:r>
        <w:t xml:space="preserve">. This is summarised </w:t>
      </w:r>
      <w:r w:rsidRPr="00B4711B">
        <w:t>in</w:t>
      </w:r>
      <w:r>
        <w:t xml:space="preserve"> </w:t>
      </w:r>
      <w:r>
        <w:fldChar w:fldCharType="begin"/>
      </w:r>
      <w:r>
        <w:instrText xml:space="preserve"> REF _Ref445384013 \h </w:instrText>
      </w:r>
      <w:r>
        <w:fldChar w:fldCharType="separate"/>
      </w:r>
      <w:r w:rsidR="001A023B" w:rsidRPr="00C2709F">
        <w:t xml:space="preserve">Table </w:t>
      </w:r>
      <w:r w:rsidR="001A023B">
        <w:rPr>
          <w:noProof/>
        </w:rPr>
        <w:t>3</w:t>
      </w:r>
      <w:r w:rsidR="001A023B">
        <w:noBreakHyphen/>
      </w:r>
      <w:r w:rsidR="001A023B">
        <w:rPr>
          <w:noProof/>
        </w:rPr>
        <w:t>32</w:t>
      </w:r>
      <w:r>
        <w:fldChar w:fldCharType="end"/>
      </w:r>
      <w:r w:rsidRPr="00B4711B">
        <w:t xml:space="preserve">. </w:t>
      </w:r>
    </w:p>
    <w:p w:rsidR="007C2B29" w:rsidRPr="00DB0499" w:rsidRDefault="007C2B29" w:rsidP="007C2B29">
      <w:pPr>
        <w:pStyle w:val="Caption"/>
      </w:pPr>
      <w:bookmarkStart w:id="165" w:name="_Ref445384013"/>
      <w:bookmarkStart w:id="166" w:name="_Ref443651335"/>
      <w:r w:rsidRPr="00C2709F">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32</w:t>
      </w:r>
      <w:r w:rsidR="00120312">
        <w:rPr>
          <w:noProof/>
        </w:rPr>
        <w:fldChar w:fldCharType="end"/>
      </w:r>
      <w:bookmarkEnd w:id="165"/>
      <w:r w:rsidRPr="00C2709F">
        <w:t xml:space="preserve"> </w:t>
      </w:r>
      <w:r w:rsidRPr="00C2709F">
        <w:tab/>
      </w:r>
      <w:r>
        <w:t>Sensitivities in the dividend growth model</w:t>
      </w:r>
      <w:r w:rsidRPr="00C2709F">
        <w:t xml:space="preserve"> (per cent)</w:t>
      </w:r>
      <w:r w:rsidRPr="00C2709F" w:rsidDel="00184676">
        <w:t xml:space="preserve"> </w:t>
      </w:r>
      <w:bookmarkEnd w:id="166"/>
    </w:p>
    <w:tbl>
      <w:tblPr>
        <w:tblStyle w:val="AERtable-numbers"/>
        <w:tblW w:w="5000" w:type="pct"/>
        <w:tblLook w:val="04A0" w:firstRow="1" w:lastRow="0" w:firstColumn="1" w:lastColumn="0" w:noHBand="0" w:noVBand="1"/>
      </w:tblPr>
      <w:tblGrid>
        <w:gridCol w:w="4236"/>
        <w:gridCol w:w="1866"/>
        <w:gridCol w:w="2591"/>
      </w:tblGrid>
      <w:tr w:rsidR="007C2B29" w:rsidTr="006D0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7C2B29" w:rsidRPr="007C2B29" w:rsidRDefault="007C2B29" w:rsidP="00BA7AE7">
            <w:r w:rsidRPr="00B4711B">
              <w:t>Sensitivity</w:t>
            </w:r>
          </w:p>
        </w:tc>
        <w:tc>
          <w:tcPr>
            <w:tcW w:w="1073" w:type="pct"/>
            <w:tcBorders>
              <w:top w:val="nil"/>
              <w:left w:val="nil"/>
              <w:bottom w:val="nil"/>
              <w:right w:val="nil"/>
            </w:tcBorders>
            <w:hideMark/>
          </w:tcPr>
          <w:p w:rsidR="007C2B29" w:rsidRPr="007C2B29" w:rsidRDefault="007C2B29" w:rsidP="00BA7AE7">
            <w:pPr>
              <w:cnfStyle w:val="100000000000" w:firstRow="1" w:lastRow="0" w:firstColumn="0" w:lastColumn="0" w:oddVBand="0" w:evenVBand="0" w:oddHBand="0" w:evenHBand="0" w:firstRowFirstColumn="0" w:firstRowLastColumn="0" w:lastRowFirstColumn="0" w:lastRowLastColumn="0"/>
            </w:pPr>
            <w:r w:rsidRPr="00B4711B">
              <w:t>Two stage model</w:t>
            </w:r>
          </w:p>
        </w:tc>
        <w:tc>
          <w:tcPr>
            <w:tcW w:w="1490" w:type="pct"/>
            <w:tcBorders>
              <w:top w:val="nil"/>
              <w:left w:val="nil"/>
              <w:bottom w:val="nil"/>
              <w:right w:val="nil"/>
            </w:tcBorders>
            <w:hideMark/>
          </w:tcPr>
          <w:p w:rsidR="007C2B29" w:rsidRPr="007C2B29" w:rsidRDefault="007C2B29" w:rsidP="00BA7AE7">
            <w:pPr>
              <w:cnfStyle w:val="100000000000" w:firstRow="1" w:lastRow="0" w:firstColumn="0" w:lastColumn="0" w:oddVBand="0" w:evenVBand="0" w:oddHBand="0" w:evenHBand="0" w:firstRowFirstColumn="0" w:firstRowLastColumn="0" w:lastRowFirstColumn="0" w:lastRowLastColumn="0"/>
            </w:pPr>
            <w:r w:rsidRPr="00B4711B">
              <w:t>Three stage model</w:t>
            </w:r>
          </w:p>
        </w:tc>
      </w:tr>
      <w:tr w:rsidR="001F22B0" w:rsidTr="006D0F55">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1F22B0" w:rsidRPr="001F22B0" w:rsidRDefault="001F22B0" w:rsidP="00BA7AE7">
            <w:r w:rsidRPr="001F22B0">
              <w:t>Baseline</w:t>
            </w:r>
          </w:p>
          <w:p w:rsidR="001F22B0" w:rsidRPr="001F22B0" w:rsidRDefault="001F22B0" w:rsidP="00BA7AE7">
            <w:r w:rsidRPr="001F22B0">
              <w:tab/>
              <w:t xml:space="preserve">4.6% long-term growth rate </w:t>
            </w:r>
          </w:p>
          <w:p w:rsidR="001F22B0" w:rsidRPr="001F22B0" w:rsidRDefault="001F22B0" w:rsidP="00BA7AE7">
            <w:r w:rsidRPr="001F22B0">
              <w:tab/>
              <w:t>2 month average to end March 2016</w:t>
            </w:r>
          </w:p>
          <w:p w:rsidR="001F22B0" w:rsidRPr="001F22B0" w:rsidRDefault="001F22B0" w:rsidP="00BA7AE7">
            <w:r w:rsidRPr="001F22B0">
              <w:tab/>
              <w:t>unadjusted analysts' forecasts</w:t>
            </w:r>
          </w:p>
        </w:tc>
        <w:tc>
          <w:tcPr>
            <w:tcW w:w="1073" w:type="pct"/>
            <w:tcBorders>
              <w:top w:val="nil"/>
              <w:left w:val="nil"/>
              <w:bottom w:val="single" w:sz="4" w:space="0" w:color="365F91"/>
              <w:right w:val="nil"/>
            </w:tcBorders>
          </w:tcPr>
          <w:p w:rsidR="001F22B0" w:rsidRPr="001F22B0" w:rsidRDefault="001F22B0" w:rsidP="00BA7AE7">
            <w:pPr>
              <w:cnfStyle w:val="000000000000" w:firstRow="0" w:lastRow="0" w:firstColumn="0" w:lastColumn="0" w:oddVBand="0" w:evenVBand="0" w:oddHBand="0" w:evenHBand="0" w:firstRowFirstColumn="0" w:firstRowLastColumn="0" w:lastRowFirstColumn="0" w:lastRowLastColumn="0"/>
            </w:pPr>
            <w:r w:rsidRPr="001F22B0">
              <w:t>8.24</w:t>
            </w:r>
          </w:p>
        </w:tc>
        <w:tc>
          <w:tcPr>
            <w:tcW w:w="1490" w:type="pct"/>
            <w:tcBorders>
              <w:top w:val="nil"/>
              <w:left w:val="nil"/>
              <w:bottom w:val="single" w:sz="4" w:space="0" w:color="365F91"/>
              <w:right w:val="nil"/>
            </w:tcBorders>
          </w:tcPr>
          <w:p w:rsidR="001F22B0" w:rsidRPr="001F22B0" w:rsidRDefault="001F22B0" w:rsidP="00BA7AE7">
            <w:pPr>
              <w:cnfStyle w:val="000000000000" w:firstRow="0" w:lastRow="0" w:firstColumn="0" w:lastColumn="0" w:oddVBand="0" w:evenVBand="0" w:oddHBand="0" w:evenHBand="0" w:firstRowFirstColumn="0" w:firstRowLastColumn="0" w:lastRowFirstColumn="0" w:lastRowLastColumn="0"/>
            </w:pPr>
            <w:r w:rsidRPr="001F22B0">
              <w:t>8.36</w:t>
            </w:r>
          </w:p>
        </w:tc>
      </w:tr>
      <w:tr w:rsidR="001F22B0" w:rsidTr="006D0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tcPr>
          <w:p w:rsidR="001F22B0" w:rsidRPr="001F22B0" w:rsidRDefault="001F22B0" w:rsidP="00BA7AE7">
            <w:r w:rsidRPr="001F22B0">
              <w:t>5.1% long-term growth rate</w:t>
            </w:r>
          </w:p>
        </w:tc>
        <w:tc>
          <w:tcPr>
            <w:tcW w:w="1073" w:type="pct"/>
            <w:tcBorders>
              <w:top w:val="nil"/>
              <w:left w:val="nil"/>
              <w:bottom w:val="nil"/>
              <w:right w:val="nil"/>
            </w:tcBorders>
          </w:tcPr>
          <w:p w:rsidR="001F22B0" w:rsidRPr="001F22B0" w:rsidRDefault="001F22B0" w:rsidP="00BA7AE7">
            <w:pPr>
              <w:cnfStyle w:val="000000010000" w:firstRow="0" w:lastRow="0" w:firstColumn="0" w:lastColumn="0" w:oddVBand="0" w:evenVBand="0" w:oddHBand="0" w:evenHBand="1" w:firstRowFirstColumn="0" w:firstRowLastColumn="0" w:lastRowFirstColumn="0" w:lastRowLastColumn="0"/>
            </w:pPr>
            <w:r w:rsidRPr="001F22B0">
              <w:t>8.70</w:t>
            </w:r>
          </w:p>
        </w:tc>
        <w:tc>
          <w:tcPr>
            <w:tcW w:w="1490" w:type="pct"/>
            <w:tcBorders>
              <w:top w:val="nil"/>
              <w:left w:val="nil"/>
              <w:bottom w:val="nil"/>
              <w:right w:val="nil"/>
            </w:tcBorders>
          </w:tcPr>
          <w:p w:rsidR="001F22B0" w:rsidRPr="001F22B0" w:rsidRDefault="001F22B0" w:rsidP="00BA7AE7">
            <w:pPr>
              <w:cnfStyle w:val="000000010000" w:firstRow="0" w:lastRow="0" w:firstColumn="0" w:lastColumn="0" w:oddVBand="0" w:evenVBand="0" w:oddHBand="0" w:evenHBand="1" w:firstRowFirstColumn="0" w:firstRowLastColumn="0" w:lastRowFirstColumn="0" w:lastRowLastColumn="0"/>
            </w:pPr>
            <w:r w:rsidRPr="001F22B0">
              <w:t>8.74</w:t>
            </w:r>
          </w:p>
        </w:tc>
      </w:tr>
      <w:tr w:rsidR="001F22B0" w:rsidTr="006D0F55">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1F22B0" w:rsidRPr="001F22B0" w:rsidRDefault="001F22B0" w:rsidP="00BA7AE7">
            <w:r w:rsidRPr="001F22B0">
              <w:t>3.78% long-term growth rate</w:t>
            </w:r>
          </w:p>
        </w:tc>
        <w:tc>
          <w:tcPr>
            <w:tcW w:w="1073" w:type="pct"/>
            <w:tcBorders>
              <w:top w:val="nil"/>
              <w:left w:val="nil"/>
              <w:bottom w:val="single" w:sz="4" w:space="0" w:color="365F91"/>
              <w:right w:val="nil"/>
            </w:tcBorders>
          </w:tcPr>
          <w:p w:rsidR="001F22B0" w:rsidRPr="001F22B0" w:rsidRDefault="001F22B0" w:rsidP="00BA7AE7">
            <w:pPr>
              <w:cnfStyle w:val="000000000000" w:firstRow="0" w:lastRow="0" w:firstColumn="0" w:lastColumn="0" w:oddVBand="0" w:evenVBand="0" w:oddHBand="0" w:evenHBand="0" w:firstRowFirstColumn="0" w:firstRowLastColumn="0" w:lastRowFirstColumn="0" w:lastRowLastColumn="0"/>
            </w:pPr>
            <w:r w:rsidRPr="001F22B0">
              <w:t>7.48</w:t>
            </w:r>
          </w:p>
        </w:tc>
        <w:tc>
          <w:tcPr>
            <w:tcW w:w="1490" w:type="pct"/>
            <w:tcBorders>
              <w:top w:val="nil"/>
              <w:left w:val="nil"/>
              <w:bottom w:val="single" w:sz="4" w:space="0" w:color="365F91"/>
              <w:right w:val="nil"/>
            </w:tcBorders>
          </w:tcPr>
          <w:p w:rsidR="001F22B0" w:rsidRPr="001F22B0" w:rsidRDefault="001F22B0" w:rsidP="00BA7AE7">
            <w:pPr>
              <w:cnfStyle w:val="000000000000" w:firstRow="0" w:lastRow="0" w:firstColumn="0" w:lastColumn="0" w:oddVBand="0" w:evenVBand="0" w:oddHBand="0" w:evenHBand="0" w:firstRowFirstColumn="0" w:firstRowLastColumn="0" w:lastRowFirstColumn="0" w:lastRowLastColumn="0"/>
            </w:pPr>
            <w:r w:rsidRPr="001F22B0">
              <w:t>7.74</w:t>
            </w:r>
          </w:p>
        </w:tc>
      </w:tr>
      <w:tr w:rsidR="001F22B0" w:rsidTr="006D0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Pr>
          <w:p w:rsidR="001F22B0" w:rsidRPr="001F22B0" w:rsidRDefault="001F22B0" w:rsidP="00BA7AE7">
            <w:r w:rsidRPr="001F22B0">
              <w:t>6 months to end March 2016</w:t>
            </w:r>
          </w:p>
        </w:tc>
        <w:tc>
          <w:tcPr>
            <w:tcW w:w="1073" w:type="pct"/>
          </w:tcPr>
          <w:p w:rsidR="001F22B0" w:rsidRPr="001F22B0" w:rsidRDefault="001F22B0" w:rsidP="00BA7AE7">
            <w:pPr>
              <w:cnfStyle w:val="000000010000" w:firstRow="0" w:lastRow="0" w:firstColumn="0" w:lastColumn="0" w:oddVBand="0" w:evenVBand="0" w:oddHBand="0" w:evenHBand="1" w:firstRowFirstColumn="0" w:firstRowLastColumn="0" w:lastRowFirstColumn="0" w:lastRowLastColumn="0"/>
            </w:pPr>
            <w:r w:rsidRPr="001F22B0">
              <w:t>8.36</w:t>
            </w:r>
          </w:p>
        </w:tc>
        <w:tc>
          <w:tcPr>
            <w:tcW w:w="1490" w:type="pct"/>
          </w:tcPr>
          <w:p w:rsidR="001F22B0" w:rsidRPr="001F22B0" w:rsidRDefault="001F22B0" w:rsidP="00BA7AE7">
            <w:pPr>
              <w:cnfStyle w:val="000000010000" w:firstRow="0" w:lastRow="0" w:firstColumn="0" w:lastColumn="0" w:oddVBand="0" w:evenVBand="0" w:oddHBand="0" w:evenHBand="1" w:firstRowFirstColumn="0" w:firstRowLastColumn="0" w:lastRowFirstColumn="0" w:lastRowLastColumn="0"/>
            </w:pPr>
            <w:r w:rsidRPr="001F22B0">
              <w:t>8.45</w:t>
            </w:r>
          </w:p>
        </w:tc>
      </w:tr>
      <w:tr w:rsidR="001F22B0" w:rsidTr="006D0F55">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1F22B0" w:rsidRPr="001F22B0" w:rsidRDefault="001F22B0" w:rsidP="00BA7AE7">
            <w:r w:rsidRPr="001F22B0">
              <w:t>12 months to end March 2016</w:t>
            </w:r>
          </w:p>
        </w:tc>
        <w:tc>
          <w:tcPr>
            <w:tcW w:w="1073" w:type="pct"/>
            <w:tcBorders>
              <w:top w:val="nil"/>
              <w:left w:val="nil"/>
              <w:bottom w:val="single" w:sz="4" w:space="0" w:color="365F91"/>
              <w:right w:val="nil"/>
            </w:tcBorders>
          </w:tcPr>
          <w:p w:rsidR="001F22B0" w:rsidRPr="001F22B0" w:rsidRDefault="001F22B0" w:rsidP="00BA7AE7">
            <w:pPr>
              <w:cnfStyle w:val="000000000000" w:firstRow="0" w:lastRow="0" w:firstColumn="0" w:lastColumn="0" w:oddVBand="0" w:evenVBand="0" w:oddHBand="0" w:evenHBand="0" w:firstRowFirstColumn="0" w:firstRowLastColumn="0" w:lastRowFirstColumn="0" w:lastRowLastColumn="0"/>
            </w:pPr>
            <w:r w:rsidRPr="001F22B0">
              <w:t>8.17</w:t>
            </w:r>
          </w:p>
        </w:tc>
        <w:tc>
          <w:tcPr>
            <w:tcW w:w="1490" w:type="pct"/>
            <w:tcBorders>
              <w:top w:val="nil"/>
              <w:left w:val="nil"/>
              <w:bottom w:val="single" w:sz="4" w:space="0" w:color="365F91"/>
              <w:right w:val="nil"/>
            </w:tcBorders>
          </w:tcPr>
          <w:p w:rsidR="001F22B0" w:rsidRPr="001F22B0" w:rsidRDefault="001F22B0" w:rsidP="00BA7AE7">
            <w:pPr>
              <w:cnfStyle w:val="000000000000" w:firstRow="0" w:lastRow="0" w:firstColumn="0" w:lastColumn="0" w:oddVBand="0" w:evenVBand="0" w:oddHBand="0" w:evenHBand="0" w:firstRowFirstColumn="0" w:firstRowLastColumn="0" w:lastRowFirstColumn="0" w:lastRowLastColumn="0"/>
            </w:pPr>
            <w:r w:rsidRPr="001F22B0">
              <w:t>8.24</w:t>
            </w:r>
          </w:p>
        </w:tc>
      </w:tr>
      <w:tr w:rsidR="001F22B0" w:rsidTr="006D0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hideMark/>
          </w:tcPr>
          <w:p w:rsidR="001F22B0" w:rsidRPr="001F22B0" w:rsidRDefault="001F22B0" w:rsidP="00BA7AE7">
            <w:r w:rsidRPr="001F22B0">
              <w:t>Analysts' forecast  + 10%</w:t>
            </w:r>
          </w:p>
        </w:tc>
        <w:tc>
          <w:tcPr>
            <w:tcW w:w="1073" w:type="pct"/>
          </w:tcPr>
          <w:p w:rsidR="001F22B0" w:rsidRPr="001F22B0" w:rsidRDefault="001F22B0" w:rsidP="00BA7AE7">
            <w:pPr>
              <w:cnfStyle w:val="000000010000" w:firstRow="0" w:lastRow="0" w:firstColumn="0" w:lastColumn="0" w:oddVBand="0" w:evenVBand="0" w:oddHBand="0" w:evenHBand="1" w:firstRowFirstColumn="0" w:firstRowLastColumn="0" w:lastRowFirstColumn="0" w:lastRowLastColumn="0"/>
            </w:pPr>
            <w:r w:rsidRPr="001F22B0">
              <w:t>8.87</w:t>
            </w:r>
          </w:p>
        </w:tc>
        <w:tc>
          <w:tcPr>
            <w:tcW w:w="1490" w:type="pct"/>
          </w:tcPr>
          <w:p w:rsidR="001F22B0" w:rsidRPr="001F22B0" w:rsidRDefault="001F22B0" w:rsidP="00BA7AE7">
            <w:pPr>
              <w:cnfStyle w:val="000000010000" w:firstRow="0" w:lastRow="0" w:firstColumn="0" w:lastColumn="0" w:oddVBand="0" w:evenVBand="0" w:oddHBand="0" w:evenHBand="1" w:firstRowFirstColumn="0" w:firstRowLastColumn="0" w:lastRowFirstColumn="0" w:lastRowLastColumn="0"/>
            </w:pPr>
            <w:r w:rsidRPr="001F22B0">
              <w:t>9.00</w:t>
            </w:r>
          </w:p>
        </w:tc>
      </w:tr>
      <w:tr w:rsidR="001F22B0" w:rsidTr="006D0F55">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1F22B0" w:rsidRPr="001F22B0" w:rsidRDefault="001F22B0" w:rsidP="00BA7AE7">
            <w:r w:rsidRPr="001F22B0">
              <w:t>Analysts' forecast  - 10%</w:t>
            </w:r>
          </w:p>
        </w:tc>
        <w:tc>
          <w:tcPr>
            <w:tcW w:w="1073" w:type="pct"/>
            <w:tcBorders>
              <w:top w:val="nil"/>
              <w:left w:val="nil"/>
              <w:bottom w:val="single" w:sz="4" w:space="0" w:color="365F91"/>
              <w:right w:val="nil"/>
            </w:tcBorders>
          </w:tcPr>
          <w:p w:rsidR="001F22B0" w:rsidRPr="001F22B0" w:rsidRDefault="001F22B0" w:rsidP="00BA7AE7">
            <w:pPr>
              <w:cnfStyle w:val="000000000000" w:firstRow="0" w:lastRow="0" w:firstColumn="0" w:lastColumn="0" w:oddVBand="0" w:evenVBand="0" w:oddHBand="0" w:evenHBand="0" w:firstRowFirstColumn="0" w:firstRowLastColumn="0" w:lastRowFirstColumn="0" w:lastRowLastColumn="0"/>
            </w:pPr>
            <w:r w:rsidRPr="001F22B0">
              <w:t>7.61</w:t>
            </w:r>
          </w:p>
        </w:tc>
        <w:tc>
          <w:tcPr>
            <w:tcW w:w="1490" w:type="pct"/>
            <w:tcBorders>
              <w:top w:val="nil"/>
              <w:left w:val="nil"/>
              <w:bottom w:val="single" w:sz="4" w:space="0" w:color="365F91"/>
              <w:right w:val="nil"/>
            </w:tcBorders>
          </w:tcPr>
          <w:p w:rsidR="001F22B0" w:rsidRPr="001F22B0" w:rsidRDefault="001F22B0" w:rsidP="00BA7AE7">
            <w:pPr>
              <w:cnfStyle w:val="000000000000" w:firstRow="0" w:lastRow="0" w:firstColumn="0" w:lastColumn="0" w:oddVBand="0" w:evenVBand="0" w:oddHBand="0" w:evenHBand="0" w:firstRowFirstColumn="0" w:firstRowLastColumn="0" w:lastRowFirstColumn="0" w:lastRowLastColumn="0"/>
            </w:pPr>
            <w:r w:rsidRPr="001F22B0">
              <w:t>7.72</w:t>
            </w:r>
          </w:p>
        </w:tc>
      </w:tr>
      <w:tr w:rsidR="001F22B0" w:rsidTr="006D0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hideMark/>
          </w:tcPr>
          <w:p w:rsidR="001F22B0" w:rsidRPr="001F22B0" w:rsidRDefault="001F22B0" w:rsidP="00BA7AE7">
            <w:r w:rsidRPr="001F22B0">
              <w:t>Combined - low</w:t>
            </w:r>
          </w:p>
        </w:tc>
        <w:tc>
          <w:tcPr>
            <w:tcW w:w="1073" w:type="pct"/>
          </w:tcPr>
          <w:p w:rsidR="001F22B0" w:rsidRPr="001F22B0" w:rsidRDefault="00DB39DB" w:rsidP="00BA7AE7">
            <w:pPr>
              <w:cnfStyle w:val="000000010000" w:firstRow="0" w:lastRow="0" w:firstColumn="0" w:lastColumn="0" w:oddVBand="0" w:evenVBand="0" w:oddHBand="0" w:evenHBand="1" w:firstRowFirstColumn="0" w:firstRowLastColumn="0" w:lastRowFirstColumn="0" w:lastRowLastColumn="0"/>
            </w:pPr>
            <w:r>
              <w:t>6.77</w:t>
            </w:r>
          </w:p>
        </w:tc>
        <w:tc>
          <w:tcPr>
            <w:tcW w:w="1490" w:type="pct"/>
          </w:tcPr>
          <w:p w:rsidR="001F22B0" w:rsidRPr="001F22B0" w:rsidRDefault="00DB39DB" w:rsidP="00BA7AE7">
            <w:pPr>
              <w:cnfStyle w:val="000000010000" w:firstRow="0" w:lastRow="0" w:firstColumn="0" w:lastColumn="0" w:oddVBand="0" w:evenVBand="0" w:oddHBand="0" w:evenHBand="1" w:firstRowFirstColumn="0" w:firstRowLastColumn="0" w:lastRowFirstColumn="0" w:lastRowLastColumn="0"/>
            </w:pPr>
            <w:r>
              <w:t>6.95</w:t>
            </w:r>
          </w:p>
        </w:tc>
      </w:tr>
      <w:tr w:rsidR="001F22B0" w:rsidTr="006D0F55">
        <w:tc>
          <w:tcPr>
            <w:cnfStyle w:val="001000000000" w:firstRow="0" w:lastRow="0" w:firstColumn="1" w:lastColumn="0" w:oddVBand="0" w:evenVBand="0" w:oddHBand="0" w:evenHBand="0" w:firstRowFirstColumn="0" w:firstRowLastColumn="0" w:lastRowFirstColumn="0" w:lastRowLastColumn="0"/>
            <w:tcW w:w="2436" w:type="pct"/>
            <w:hideMark/>
          </w:tcPr>
          <w:p w:rsidR="001F22B0" w:rsidRPr="001F22B0" w:rsidRDefault="001F22B0" w:rsidP="00BA7AE7">
            <w:r w:rsidRPr="001F22B0">
              <w:t>Combined - high</w:t>
            </w:r>
          </w:p>
        </w:tc>
        <w:tc>
          <w:tcPr>
            <w:tcW w:w="1073" w:type="pct"/>
          </w:tcPr>
          <w:p w:rsidR="001F22B0" w:rsidRPr="001F22B0" w:rsidRDefault="00DB39DB" w:rsidP="00BA7AE7">
            <w:pPr>
              <w:cnfStyle w:val="000000000000" w:firstRow="0" w:lastRow="0" w:firstColumn="0" w:lastColumn="0" w:oddVBand="0" w:evenVBand="0" w:oddHBand="0" w:evenHBand="0" w:firstRowFirstColumn="0" w:firstRowLastColumn="0" w:lastRowFirstColumn="0" w:lastRowLastColumn="0"/>
            </w:pPr>
            <w:r>
              <w:t>9.49</w:t>
            </w:r>
          </w:p>
        </w:tc>
        <w:tc>
          <w:tcPr>
            <w:tcW w:w="1490" w:type="pct"/>
          </w:tcPr>
          <w:p w:rsidR="001F22B0" w:rsidRPr="001F22B0" w:rsidRDefault="00DB39DB" w:rsidP="00BA7AE7">
            <w:pPr>
              <w:cnfStyle w:val="000000000000" w:firstRow="0" w:lastRow="0" w:firstColumn="0" w:lastColumn="0" w:oddVBand="0" w:evenVBand="0" w:oddHBand="0" w:evenHBand="0" w:firstRowFirstColumn="0" w:firstRowLastColumn="0" w:lastRowFirstColumn="0" w:lastRowLastColumn="0"/>
            </w:pPr>
            <w:r>
              <w:t>9.49</w:t>
            </w:r>
          </w:p>
        </w:tc>
      </w:tr>
    </w:tbl>
    <w:p w:rsidR="007C2B29" w:rsidRPr="00B4711B" w:rsidRDefault="007C2B29" w:rsidP="007C2B29">
      <w:pPr>
        <w:pStyle w:val="AERtablesource"/>
      </w:pPr>
      <w:r w:rsidRPr="00B4711B">
        <w:t xml:space="preserve">Source: </w:t>
      </w:r>
      <w:r w:rsidRPr="00B4711B">
        <w:tab/>
        <w:t>Bloomberg, AER analysis.</w:t>
      </w:r>
    </w:p>
    <w:p w:rsidR="007C2B29" w:rsidRPr="00B4711B" w:rsidRDefault="007C2B29" w:rsidP="007C2B29">
      <w:pPr>
        <w:pStyle w:val="AERtablesource"/>
      </w:pPr>
      <w:r w:rsidRPr="00B4711B">
        <w:t>Notes:</w:t>
      </w:r>
      <w:r w:rsidRPr="00B4711B">
        <w:tab/>
        <w:t>All market risk premium estimates are based on an assumed theta of 0.6.</w:t>
      </w:r>
    </w:p>
    <w:p w:rsidR="007C2B29" w:rsidRPr="00B4711B" w:rsidRDefault="007C2B29" w:rsidP="007C2B29">
      <w:pPr>
        <w:pStyle w:val="AERtablesource"/>
      </w:pPr>
      <w:r w:rsidRPr="00B4711B">
        <w:tab/>
        <w:t>Combined - low is based on 3.78% growth, 12 month averaging, analysts' forecasts - 10%.</w:t>
      </w:r>
    </w:p>
    <w:p w:rsidR="007C2B29" w:rsidRPr="00B4711B" w:rsidRDefault="007C2B29" w:rsidP="007C2B29">
      <w:pPr>
        <w:pStyle w:val="AERtablesource"/>
      </w:pPr>
      <w:r w:rsidRPr="00B4711B">
        <w:tab/>
        <w:t xml:space="preserve">Combined - high is based on 5.1% growth, </w:t>
      </w:r>
      <w:r w:rsidR="00E4087A">
        <w:t>6</w:t>
      </w:r>
      <w:r w:rsidRPr="00B4711B">
        <w:t xml:space="preserve"> month averaging, analysts' forecasts + 10%.</w:t>
      </w:r>
    </w:p>
    <w:p w:rsidR="007C2B29" w:rsidRPr="0046661C" w:rsidRDefault="007C2B29" w:rsidP="007C2B29">
      <w:pPr>
        <w:pStyle w:val="TOC1"/>
      </w:pPr>
      <w:bookmarkStart w:id="167" w:name="_Toc443923209"/>
      <w:r>
        <w:t>Long-term</w:t>
      </w:r>
      <w:r w:rsidRPr="0046661C">
        <w:t xml:space="preserve"> dividend</w:t>
      </w:r>
      <w:r>
        <w:t xml:space="preserve"> growth rate</w:t>
      </w:r>
      <w:r w:rsidRPr="0046661C">
        <w:t xml:space="preserve">  </w:t>
      </w:r>
    </w:p>
    <w:p w:rsidR="007C2B29" w:rsidRDefault="007C2B29" w:rsidP="007C2B29">
      <w:r w:rsidRPr="00B4711B">
        <w:t xml:space="preserve">We have used our point estimate growth rate (4.6 per cent) as a baseline. </w:t>
      </w:r>
      <w:r>
        <w:t>T</w:t>
      </w:r>
      <w:r w:rsidRPr="00B4711B">
        <w:t xml:space="preserve">his </w:t>
      </w:r>
      <w:r>
        <w:t xml:space="preserve">is based </w:t>
      </w:r>
      <w:r w:rsidRPr="00B4711B">
        <w:t>on the mid-point of Dr Martin Lally's (Lally's) estimates.</w:t>
      </w:r>
      <w:r>
        <w:rPr>
          <w:rStyle w:val="FootnoteReference"/>
        </w:rPr>
        <w:footnoteReference w:id="917"/>
      </w:r>
      <w:r w:rsidRPr="00B4711B">
        <w:t xml:space="preserve"> </w:t>
      </w:r>
      <w:r>
        <w:t xml:space="preserve">While </w:t>
      </w:r>
      <w:r w:rsidRPr="00B4711B">
        <w:t xml:space="preserve">the top of Lally's range </w:t>
      </w:r>
      <w:r>
        <w:t xml:space="preserve">is </w:t>
      </w:r>
      <w:r w:rsidRPr="00B4711B">
        <w:t>5.1 per cent</w:t>
      </w:r>
      <w:r>
        <w:t>,</w:t>
      </w:r>
      <w:r w:rsidRPr="00B4711B">
        <w:t xml:space="preserve"> McKenzie and Partington </w:t>
      </w:r>
      <w:r>
        <w:t xml:space="preserve">have </w:t>
      </w:r>
      <w:r w:rsidRPr="00B4711B">
        <w:t>advised that a long term dividend growth rate of 4.6 per cent is on the high side.</w:t>
      </w:r>
      <w:r>
        <w:rPr>
          <w:rStyle w:val="FootnoteReference"/>
        </w:rPr>
        <w:footnoteReference w:id="918"/>
      </w:r>
      <w:r w:rsidRPr="00B4711B">
        <w:t xml:space="preserve"> McKenzie and Partington considered</w:t>
      </w:r>
      <w:r>
        <w:t xml:space="preserve"> that</w:t>
      </w:r>
      <w:r w:rsidRPr="00B4711B">
        <w:t xml:space="preserve"> the long term dividend growth rate should be 3.73 per cent—or 3.78 per cent, excluding the most extreme values.</w:t>
      </w:r>
      <w:r>
        <w:rPr>
          <w:rStyle w:val="FootnoteReference"/>
        </w:rPr>
        <w:footnoteReference w:id="919"/>
      </w:r>
    </w:p>
    <w:p w:rsidR="007C2B29" w:rsidRPr="00B4711B" w:rsidRDefault="007C2B29" w:rsidP="007C2B29">
      <w:r w:rsidRPr="00B4711B">
        <w:t xml:space="preserve">We have not changed our approach set out in the Guideline. We do not adopt a lower long term dividend growth rate. </w:t>
      </w:r>
    </w:p>
    <w:p w:rsidR="007C2B29" w:rsidRPr="0046661C" w:rsidRDefault="007C2B29" w:rsidP="007C2B29">
      <w:pPr>
        <w:pStyle w:val="TOC1"/>
        <w:numPr>
          <w:ilvl w:val="0"/>
          <w:numId w:val="24"/>
        </w:numPr>
      </w:pPr>
      <w:r>
        <w:t>Averaging period</w:t>
      </w:r>
    </w:p>
    <w:p w:rsidR="007C2B29" w:rsidRPr="00B4711B" w:rsidRDefault="007C2B29" w:rsidP="007C2B29">
      <w:pPr>
        <w:numPr>
          <w:ilvl w:val="0"/>
          <w:numId w:val="24"/>
        </w:numPr>
      </w:pPr>
      <w:r w:rsidRPr="00B4711B">
        <w:t xml:space="preserve">We have based our </w:t>
      </w:r>
      <w:r>
        <w:t>dividend growth model</w:t>
      </w:r>
      <w:r w:rsidRPr="00B4711B">
        <w:t xml:space="preserve"> estimate on data over </w:t>
      </w:r>
      <w:r>
        <w:t xml:space="preserve">the </w:t>
      </w:r>
      <w:r w:rsidRPr="00B4711B">
        <w:t xml:space="preserve">February </w:t>
      </w:r>
      <w:r>
        <w:t xml:space="preserve">and March </w:t>
      </w:r>
      <w:r w:rsidRPr="00B4711B">
        <w:t>2016</w:t>
      </w:r>
      <w:r>
        <w:t xml:space="preserve"> period</w:t>
      </w:r>
      <w:r w:rsidRPr="00B4711B">
        <w:t>. Our approach is consistent with the Guideline</w:t>
      </w:r>
      <w:r>
        <w:t xml:space="preserve"> method</w:t>
      </w:r>
      <w:r w:rsidRPr="00B4711B">
        <w:t xml:space="preserve">. We do not average over several years because this would reduce the tracking ability of our </w:t>
      </w:r>
      <w:r>
        <w:t>dividend growth model</w:t>
      </w:r>
      <w:r w:rsidRPr="00B4711B">
        <w:t xml:space="preserve">. </w:t>
      </w:r>
    </w:p>
    <w:p w:rsidR="007C2B29" w:rsidRPr="00B4711B" w:rsidRDefault="007C2B29" w:rsidP="007C2B29">
      <w:pPr>
        <w:numPr>
          <w:ilvl w:val="0"/>
          <w:numId w:val="24"/>
        </w:numPr>
      </w:pPr>
      <w:r w:rsidRPr="00B4711B">
        <w:t>As seen in</w:t>
      </w:r>
      <w:r>
        <w:t xml:space="preserve"> </w:t>
      </w:r>
      <w:r>
        <w:fldChar w:fldCharType="begin"/>
      </w:r>
      <w:r>
        <w:instrText xml:space="preserve"> REF _Ref445384013 \h </w:instrText>
      </w:r>
      <w:r>
        <w:fldChar w:fldCharType="separate"/>
      </w:r>
      <w:r w:rsidR="001A023B" w:rsidRPr="00C2709F">
        <w:t xml:space="preserve">Table </w:t>
      </w:r>
      <w:r w:rsidR="001A023B">
        <w:rPr>
          <w:noProof/>
        </w:rPr>
        <w:t>3</w:t>
      </w:r>
      <w:r w:rsidR="001A023B">
        <w:noBreakHyphen/>
      </w:r>
      <w:r w:rsidR="001A023B">
        <w:rPr>
          <w:noProof/>
        </w:rPr>
        <w:t>32</w:t>
      </w:r>
      <w:r>
        <w:fldChar w:fldCharType="end"/>
      </w:r>
      <w:r w:rsidRPr="00B4711B">
        <w:t xml:space="preserve">, we use a two month averaging period as a baseline. We also consider a six month averaging period, which is consistent with SFG's </w:t>
      </w:r>
      <w:r>
        <w:t>dividend growth model</w:t>
      </w:r>
      <w:r w:rsidRPr="00B4711B">
        <w:t>.</w:t>
      </w:r>
      <w:r>
        <w:rPr>
          <w:rStyle w:val="FootnoteReference"/>
        </w:rPr>
        <w:footnoteReference w:id="920"/>
      </w:r>
      <w:r w:rsidRPr="00B4711B">
        <w:t xml:space="preserve"> Having regard to McKenzie and Partington's advice, we also consider a 12 month averaging period.</w:t>
      </w:r>
      <w:r>
        <w:rPr>
          <w:rStyle w:val="FootnoteReference"/>
        </w:rPr>
        <w:footnoteReference w:id="921"/>
      </w:r>
    </w:p>
    <w:p w:rsidR="007C2B29" w:rsidRPr="0046661C" w:rsidRDefault="007C2B29" w:rsidP="007C2B29">
      <w:pPr>
        <w:pStyle w:val="TOC1"/>
        <w:numPr>
          <w:ilvl w:val="0"/>
          <w:numId w:val="24"/>
        </w:numPr>
      </w:pPr>
      <w:r>
        <w:t>Biases in analyst forecasts</w:t>
      </w:r>
    </w:p>
    <w:p w:rsidR="007C2B29" w:rsidRPr="00B4711B" w:rsidRDefault="007C2B29" w:rsidP="007C2B29">
      <w:pPr>
        <w:numPr>
          <w:ilvl w:val="0"/>
          <w:numId w:val="24"/>
        </w:numPr>
      </w:pPr>
      <w:r w:rsidRPr="00B4711B">
        <w:t xml:space="preserve">McKenzie and Partington advised that </w:t>
      </w:r>
      <w:r>
        <w:t>dividend growth models</w:t>
      </w:r>
      <w:r w:rsidRPr="00B4711B">
        <w:t xml:space="preserve"> are often biased upwards because analysts tend to overestimate dividends in their forecasts.</w:t>
      </w:r>
      <w:r w:rsidRPr="00B4711B">
        <w:rPr>
          <w:rStyle w:val="FootnoteReference"/>
        </w:rPr>
        <w:footnoteReference w:id="922"/>
      </w:r>
      <w:r w:rsidRPr="00B4711B">
        <w:t xml:space="preserve"> To </w:t>
      </w:r>
      <w:r>
        <w:t>demonstrate the potential</w:t>
      </w:r>
      <w:r w:rsidRPr="00B4711B">
        <w:t xml:space="preserve"> impact, we have adjusted forecast dividends per share </w:t>
      </w:r>
      <w:r>
        <w:t xml:space="preserve">by </w:t>
      </w:r>
      <w:r w:rsidRPr="00B4711B">
        <w:t>10 per cent downwards</w:t>
      </w:r>
      <w:r>
        <w:t xml:space="preserve"> and </w:t>
      </w:r>
      <w:r w:rsidRPr="00B4711B">
        <w:t xml:space="preserve">upwards. </w:t>
      </w:r>
    </w:p>
    <w:p w:rsidR="007C2B29" w:rsidRPr="00B4711B" w:rsidRDefault="007C2B29" w:rsidP="007C2B29">
      <w:pPr>
        <w:pStyle w:val="Heading8"/>
      </w:pPr>
      <w:bookmarkStart w:id="168" w:name="_Ref448787515"/>
      <w:bookmarkStart w:id="169" w:name="_Toc451945495"/>
      <w:r w:rsidRPr="00B4711B">
        <w:t>Preferred construction of the dividend growth model</w:t>
      </w:r>
      <w:bookmarkEnd w:id="167"/>
      <w:bookmarkEnd w:id="168"/>
      <w:bookmarkEnd w:id="169"/>
    </w:p>
    <w:p w:rsidR="007C2B29" w:rsidRPr="00B4711B" w:rsidRDefault="007C2B29" w:rsidP="007C2B29">
      <w:r w:rsidRPr="00B4711B">
        <w:t xml:space="preserve">Our preferred construction of the </w:t>
      </w:r>
      <w:r>
        <w:t>dividend growth model</w:t>
      </w:r>
      <w:r w:rsidRPr="00B4711B">
        <w:t xml:space="preserve"> is consistent with that set out in the Guideline.</w:t>
      </w:r>
      <w:r w:rsidRPr="00B4711B">
        <w:rPr>
          <w:rStyle w:val="FootnoteReference"/>
        </w:rPr>
        <w:footnoteReference w:id="923"/>
      </w:r>
      <w:r w:rsidRPr="00B4711B">
        <w:t xml:space="preserve"> The following equation depicts this </w:t>
      </w:r>
      <w:r>
        <w:t>dividend growth</w:t>
      </w:r>
      <w:r w:rsidRPr="00B4711B">
        <w:t xml:space="preserve">, which we apply to estimate </w:t>
      </w:r>
      <w:r w:rsidRPr="00B4711B">
        <w:rPr>
          <w:rStyle w:val="AERtextitalic"/>
        </w:rPr>
        <w:t>k</w:t>
      </w:r>
      <w:r w:rsidRPr="00B4711B">
        <w:t>, the expected return on equity for the market portfolio:</w:t>
      </w:r>
    </w:p>
    <w:p w:rsidR="007C2B29" w:rsidRPr="00B4711B" w:rsidRDefault="007A39AA" w:rsidP="007C2B29">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7C2B29" w:rsidRPr="00B4711B" w:rsidRDefault="007C2B29" w:rsidP="007C2B29">
      <w:pPr>
        <w:pStyle w:val="AERtablesource"/>
      </w:pPr>
      <w:r w:rsidRPr="00B4711B">
        <w:t>Where:</w:t>
      </w:r>
      <w:r w:rsidRPr="00B4711B">
        <w:tab/>
        <w:t>Pc is the current price of equity, for which we use the S&amp;P/ASX 200 index as the proxy</w:t>
      </w:r>
    </w:p>
    <w:p w:rsidR="007C2B29" w:rsidRPr="00B4711B" w:rsidRDefault="007C2B29" w:rsidP="007C2B29">
      <w:pPr>
        <w:pStyle w:val="AERtablesource"/>
      </w:pPr>
      <w:r w:rsidRPr="00B4711B">
        <w:tab/>
        <w:t>E(Dc) is expected dividends per share for the current financial year</w:t>
      </w:r>
      <w:r w:rsidRPr="00B4711B">
        <w:rPr>
          <w:rStyle w:val="FootnoteReference"/>
        </w:rPr>
        <w:footnoteReference w:id="924"/>
      </w:r>
    </w:p>
    <w:p w:rsidR="007C2B29" w:rsidRPr="00B4711B" w:rsidRDefault="007C2B29" w:rsidP="007C2B29">
      <w:pPr>
        <w:pStyle w:val="AERtablesource"/>
      </w:pPr>
      <w:r w:rsidRPr="00B4711B">
        <w:tab/>
        <w:t>E(Dt) is expected dividends per share for the financial year t years after the current financial year</w:t>
      </w:r>
    </w:p>
    <w:p w:rsidR="007C2B29" w:rsidRPr="00B4711B" w:rsidRDefault="007C2B29" w:rsidP="007C2B29">
      <w:pPr>
        <w:pStyle w:val="AERtablesource"/>
      </w:pPr>
      <w:r w:rsidRPr="00B4711B">
        <w:tab/>
        <w:t>m is the fraction of the current financial year remaining, expressed as a decimal point</w:t>
      </w:r>
    </w:p>
    <w:p w:rsidR="007C2B29" w:rsidRPr="00B4711B" w:rsidRDefault="007C2B29" w:rsidP="007C2B29">
      <w:pPr>
        <w:pStyle w:val="AERtablesource"/>
      </w:pPr>
      <w:r w:rsidRPr="00B4711B">
        <w:tab/>
        <w:t>N is the time period after which dividend growth reverts to its long-term rate (for the two stage model, N = 2, for the three stage model N = 9)</w:t>
      </w:r>
    </w:p>
    <w:p w:rsidR="007C2B29" w:rsidRPr="00B4711B" w:rsidRDefault="007C2B29" w:rsidP="007C2B29">
      <w:pPr>
        <w:pStyle w:val="AERtablesource"/>
      </w:pPr>
      <w:r w:rsidRPr="00B4711B">
        <w:tab/>
        <w:t xml:space="preserve">g is the expected long term growth rate in nominal dividends per share. For this parameter, we use a range of 4.0 to 5.1 per cent, with a point estimate of 4.6 per cent. </w:t>
      </w:r>
    </w:p>
    <w:p w:rsidR="007C2B29" w:rsidRPr="00B4711B" w:rsidRDefault="007C2B29" w:rsidP="007C2B29">
      <w:pPr>
        <w:numPr>
          <w:ilvl w:val="0"/>
          <w:numId w:val="24"/>
        </w:numPr>
      </w:pPr>
      <w:r w:rsidRPr="00B4711B">
        <w:t xml:space="preserve">We adopt two versions of a simple standard </w:t>
      </w:r>
      <w:r>
        <w:t>dividend growth model</w:t>
      </w:r>
      <w:r w:rsidRPr="00B4711B">
        <w:t>:</w:t>
      </w:r>
    </w:p>
    <w:p w:rsidR="007C2B29" w:rsidRPr="007C2B29" w:rsidRDefault="007C2B29" w:rsidP="007C2B29">
      <w:pPr>
        <w:pStyle w:val="AERbulletlistfirststyle"/>
      </w:pPr>
      <w:r w:rsidRPr="00B4711B">
        <w:t xml:space="preserve">A two stage </w:t>
      </w:r>
      <w:r w:rsidRPr="007C2B29">
        <w:t>model, which assumes that dividends grow at the long term growth rate following the dividend forecast period.</w:t>
      </w:r>
    </w:p>
    <w:p w:rsidR="007C2B29" w:rsidRPr="007C2B29" w:rsidRDefault="007C2B29" w:rsidP="007C2B29">
      <w:pPr>
        <w:pStyle w:val="AERbulletlistfirststyle"/>
      </w:pPr>
      <w:r w:rsidRPr="00B4711B">
        <w:t xml:space="preserve">A three stage </w:t>
      </w:r>
      <w:r w:rsidRPr="007C2B29">
        <w:t>model, which assumes that dividend growth transitions linearly over eight years from the short term growth rate implied in the dividend forecast period to the long term growth rate.</w:t>
      </w:r>
    </w:p>
    <w:p w:rsidR="007C2B29" w:rsidRPr="00B4711B" w:rsidRDefault="007C2B29" w:rsidP="007C2B29">
      <w:r w:rsidRPr="00B4711B">
        <w:t xml:space="preserve">Our </w:t>
      </w:r>
      <w:r>
        <w:t>dividend growth models</w:t>
      </w:r>
      <w:r w:rsidRPr="00B4711B">
        <w:t xml:space="preserve"> also display the following characteristics:</w:t>
      </w:r>
    </w:p>
    <w:p w:rsidR="007C2B29" w:rsidRPr="007C2B29" w:rsidRDefault="007C2B29" w:rsidP="007C2B29">
      <w:pPr>
        <w:pStyle w:val="AERbulletlistfirststyle"/>
      </w:pPr>
      <w:r w:rsidRPr="00B4711B">
        <w:t xml:space="preserve">They use </w:t>
      </w:r>
      <w:r w:rsidRPr="007C2B29">
        <w:t>daily data of analysts’ consensus dividend forecasts for the ASX 200 index from the Bloomberg Professional Services (Bloomberg). Analyst' dividend forecasts are for the current and following two financial years. We take monthly averages the daily data.</w:t>
      </w:r>
    </w:p>
    <w:p w:rsidR="007C2B29" w:rsidRPr="007C2B29" w:rsidRDefault="007C2B29" w:rsidP="007C2B29">
      <w:pPr>
        <w:pStyle w:val="AERbulletlistfirststyle"/>
      </w:pPr>
      <w:r w:rsidRPr="00B4711B">
        <w:t xml:space="preserve">They </w:t>
      </w:r>
      <w:r w:rsidRPr="007C2B29">
        <w:t>use market prices for the ASX 200</w:t>
      </w:r>
      <w:r w:rsidRPr="007C2B29">
        <w:rPr>
          <w:rStyle w:val="FootnoteReference"/>
        </w:rPr>
        <w:footnoteReference w:id="925"/>
      </w:r>
      <w:r w:rsidRPr="007C2B29">
        <w:t>.</w:t>
      </w:r>
    </w:p>
    <w:p w:rsidR="007C2B29" w:rsidRPr="007C2B29" w:rsidRDefault="007C2B29" w:rsidP="007C2B29">
      <w:pPr>
        <w:pStyle w:val="AERbulletlistfirststyle"/>
      </w:pPr>
      <w:r w:rsidRPr="00B4711B">
        <w:t xml:space="preserve">They estimate a long term growth rate in dividends per share. We determine this by adjusting the long term growth rate in </w:t>
      </w:r>
      <w:r w:rsidRPr="007C2B29">
        <w:t>real gross domestic product (GDP) for the net creation of shares and expected inflation.</w:t>
      </w:r>
      <w:r w:rsidRPr="007C2B29">
        <w:rPr>
          <w:rStyle w:val="FootnoteReference"/>
        </w:rPr>
        <w:footnoteReference w:id="926"/>
      </w:r>
    </w:p>
    <w:p w:rsidR="007C2B29" w:rsidRPr="00B4711B" w:rsidRDefault="007C2B29" w:rsidP="007C2B29">
      <w:r>
        <w:t>We</w:t>
      </w:r>
      <w:r w:rsidRPr="00B4711B">
        <w:t xml:space="preserve"> consider our preferred construction of the </w:t>
      </w:r>
      <w:r>
        <w:t>dividend growth model to be</w:t>
      </w:r>
      <w:r w:rsidRPr="00B4711B">
        <w:t xml:space="preserve"> reasonable. </w:t>
      </w:r>
      <w:r>
        <w:t>W</w:t>
      </w:r>
      <w:r w:rsidRPr="00B4711B">
        <w:t xml:space="preserve">e developed our preferred construction of the </w:t>
      </w:r>
      <w:r>
        <w:t>model</w:t>
      </w:r>
      <w:r w:rsidRPr="00B4711B">
        <w:t xml:space="preserve"> in close consultation with stakeholders when developing the Guideline.</w:t>
      </w:r>
      <w:r w:rsidRPr="00B4711B">
        <w:rPr>
          <w:rStyle w:val="FootnoteReference"/>
        </w:rPr>
        <w:footnoteReference w:id="927"/>
      </w:r>
      <w:r w:rsidRPr="00B4711B">
        <w:t xml:space="preserve"> We have </w:t>
      </w:r>
      <w:r>
        <w:t>analysed</w:t>
      </w:r>
      <w:r w:rsidRPr="00B4711B">
        <w:t xml:space="preserve"> a variety of submissions on our construction of the </w:t>
      </w:r>
      <w:r>
        <w:t>model</w:t>
      </w:r>
      <w:r w:rsidRPr="00B4711B">
        <w:t>,</w:t>
      </w:r>
      <w:r w:rsidRPr="00B4711B">
        <w:rPr>
          <w:rStyle w:val="FootnoteReference"/>
        </w:rPr>
        <w:footnoteReference w:id="928"/>
      </w:r>
      <w:r w:rsidRPr="00B4711B">
        <w:t xml:space="preserve"> which have not persuaded us to depart.</w:t>
      </w:r>
      <w:r w:rsidRPr="00B4711B">
        <w:rPr>
          <w:rStyle w:val="FootnoteReference"/>
        </w:rPr>
        <w:footnoteReference w:id="929"/>
      </w:r>
      <w:r w:rsidRPr="00B4711B">
        <w:t xml:space="preserve"> Further, experts have critically reviewed</w:t>
      </w:r>
      <w:r w:rsidRPr="00B4711B">
        <w:rPr>
          <w:rStyle w:val="FootnoteReference"/>
        </w:rPr>
        <w:footnoteReference w:id="930"/>
      </w:r>
      <w:r>
        <w:t xml:space="preserve"> </w:t>
      </w:r>
      <w:r w:rsidRPr="00B4711B">
        <w:t xml:space="preserve">our construction of the </w:t>
      </w:r>
      <w:r>
        <w:t>dividend growth model</w:t>
      </w:r>
      <w:r w:rsidRPr="00B4711B">
        <w:t xml:space="preserve"> </w:t>
      </w:r>
      <w:r>
        <w:t xml:space="preserve">and </w:t>
      </w:r>
      <w:r w:rsidRPr="00B4711B">
        <w:t xml:space="preserve">consider </w:t>
      </w:r>
      <w:r>
        <w:t xml:space="preserve">that, overall, </w:t>
      </w:r>
      <w:r w:rsidRPr="00B4711B">
        <w:t xml:space="preserve">this advice suggests our </w:t>
      </w:r>
      <w:r>
        <w:t xml:space="preserve">model </w:t>
      </w:r>
      <w:r w:rsidRPr="00B4711B">
        <w:t>construction is reasonable.</w:t>
      </w:r>
      <w:r w:rsidRPr="00B4711B">
        <w:rPr>
          <w:rStyle w:val="FootnoteReference"/>
        </w:rPr>
        <w:footnoteReference w:id="931"/>
      </w:r>
      <w:r w:rsidRPr="00B4711B">
        <w:t xml:space="preserve"> We also have sound reasons for adopting the technical specifications of our preferred construction of the </w:t>
      </w:r>
      <w:r>
        <w:t>model</w:t>
      </w:r>
      <w:r w:rsidRPr="00B4711B">
        <w:t xml:space="preserve">. </w:t>
      </w:r>
      <w:r>
        <w:t xml:space="preserve"> A detailed discussion of the reasons for our preferred construction of the dividend growth model can be found in Appendix B to Attachment 3 of ActewAGL's draft decision.</w:t>
      </w:r>
    </w:p>
    <w:p w:rsidR="007C2B29" w:rsidRDefault="007C2B29" w:rsidP="007C2B29">
      <w:r>
        <w:t>We note that ActewAGL uses the AER's construction of the dividend growth model</w:t>
      </w:r>
      <w:r>
        <w:rPr>
          <w:rStyle w:val="FootnoteReference"/>
        </w:rPr>
        <w:footnoteReference w:id="932"/>
      </w:r>
      <w:r>
        <w:t xml:space="preserve"> in its multi-model approach to estimating its proposed market risk premium.</w:t>
      </w:r>
      <w:r>
        <w:rPr>
          <w:rStyle w:val="FootnoteReference"/>
        </w:rPr>
        <w:footnoteReference w:id="933"/>
      </w:r>
      <w:r>
        <w:t xml:space="preserve"> Service providers have in the past proposed the use of SFG's dividend growth model. </w:t>
      </w:r>
    </w:p>
    <w:p w:rsidR="007C2B29" w:rsidRPr="00B4711B" w:rsidRDefault="007C2B29" w:rsidP="007C2B29">
      <w:pPr>
        <w:pStyle w:val="Heading8"/>
      </w:pPr>
      <w:bookmarkStart w:id="170" w:name="_Ref446260197"/>
      <w:bookmarkStart w:id="171" w:name="_Toc451945496"/>
      <w:r>
        <w:t>Sources of potential upward bias</w:t>
      </w:r>
      <w:bookmarkEnd w:id="170"/>
      <w:bookmarkEnd w:id="171"/>
    </w:p>
    <w:p w:rsidR="007C2B29" w:rsidRPr="00B4711B" w:rsidRDefault="007C2B29" w:rsidP="007C2B29">
      <w:r w:rsidRPr="00B4711B">
        <w:t xml:space="preserve">Evidence we have reviewed indicates that the </w:t>
      </w:r>
      <w:r>
        <w:t>market risk premium estimates from dividend growth models are</w:t>
      </w:r>
      <w:r w:rsidRPr="00B4711B">
        <w:t xml:space="preserve"> very sensitive to input assumptions and likely to show an upward bias in current market conditions.</w:t>
      </w:r>
      <w:r w:rsidRPr="00B4711B">
        <w:rPr>
          <w:rStyle w:val="FootnoteReference"/>
        </w:rPr>
        <w:footnoteReference w:id="934"/>
      </w:r>
      <w:r w:rsidRPr="00B4711B">
        <w:t xml:space="preserve"> While we still propose to use our construction of the </w:t>
      </w:r>
      <w:r>
        <w:t>dividend growth model</w:t>
      </w:r>
      <w:r w:rsidRPr="00B4711B">
        <w:t xml:space="preserve"> to inform our </w:t>
      </w:r>
      <w:r>
        <w:t>market risk premium</w:t>
      </w:r>
      <w:r w:rsidRPr="00B4711B">
        <w:t xml:space="preserve"> estimate, we consider it important to have regard to the existence of this potential bias. We discuss below </w:t>
      </w:r>
      <w:r>
        <w:t xml:space="preserve">the </w:t>
      </w:r>
      <w:r w:rsidRPr="00B4711B">
        <w:t xml:space="preserve">factors </w:t>
      </w:r>
      <w:r>
        <w:t xml:space="preserve">that </w:t>
      </w:r>
      <w:r w:rsidRPr="00B4711B">
        <w:t xml:space="preserve">we have considered. </w:t>
      </w:r>
    </w:p>
    <w:p w:rsidR="007C2B29" w:rsidRPr="0046661C" w:rsidRDefault="007C2B29" w:rsidP="007C2B29">
      <w:pPr>
        <w:pStyle w:val="TOC1"/>
      </w:pPr>
      <w:bookmarkStart w:id="172" w:name="_Toc443923219"/>
      <w:r w:rsidRPr="0046661C">
        <w:t>Slow-changing dividends</w:t>
      </w:r>
      <w:bookmarkEnd w:id="172"/>
      <w:r w:rsidRPr="0046661C">
        <w:t xml:space="preserve">  </w:t>
      </w:r>
    </w:p>
    <w:p w:rsidR="007C2B29" w:rsidRPr="0065391F" w:rsidRDefault="007C2B29" w:rsidP="007C2B29">
      <w:r w:rsidRPr="00B4711B">
        <w:t>Dividends are a smoothed version of both free cash flow to equity and profits.</w:t>
      </w:r>
      <w:r w:rsidRPr="00B4711B">
        <w:rPr>
          <w:rStyle w:val="FootnoteReference"/>
        </w:rPr>
        <w:footnoteReference w:id="935"/>
      </w:r>
      <w:r w:rsidRPr="00B4711B">
        <w:t xml:space="preserve"> Slow-changing (or 'sticky') dividends </w:t>
      </w:r>
      <w:r w:rsidRPr="0065391F">
        <w:t>are a well-understood phenomenon in financial theory and empirically supported by survey evidence, which suggests that companies are reluctant to cut dividends and increase dividends only when maintainable high earnings per share are expected.</w:t>
      </w:r>
      <w:r w:rsidRPr="0065391F">
        <w:rPr>
          <w:rStyle w:val="FootnoteReference"/>
        </w:rPr>
        <w:footnoteReference w:id="936"/>
      </w:r>
      <w:r w:rsidRPr="0065391F">
        <w:rPr>
          <w:rStyle w:val="FootnoteReference"/>
        </w:rPr>
        <w:t xml:space="preserve"> </w:t>
      </w:r>
      <w:r w:rsidRPr="0065391F">
        <w:t>McKenzie and Partington consider that there is likely to be an asymmetry in the effects because of a greater reluctance to cut dividends than increase dividends.</w:t>
      </w:r>
      <w:r w:rsidRPr="0065391F">
        <w:rPr>
          <w:rStyle w:val="FootnoteReference"/>
        </w:rPr>
        <w:footnoteReference w:id="937"/>
      </w:r>
      <w:r w:rsidRPr="0065391F">
        <w:t xml:space="preserve"> </w:t>
      </w:r>
    </w:p>
    <w:p w:rsidR="007C2B29" w:rsidRDefault="007C2B29" w:rsidP="007C2B29">
      <w:r>
        <w:t xml:space="preserve">If investors revise downwards their earnings expectations for a firm, the share price may drop significantly with the 'sticky' dividend unchanging. Together, this will cause a higher dividend yield, giving an upwardly-biased estimate of the return on equity. The reverse occurs if expectations are for profits and free cash flow to equity to rise. </w:t>
      </w:r>
    </w:p>
    <w:p w:rsidR="007C2B29" w:rsidRDefault="007C2B29" w:rsidP="007C2B29">
      <w:r>
        <w:t>Frontier submitted that this theoretical possibility is not material in current circumstances. Frontier submitted that:</w:t>
      </w:r>
      <w:r>
        <w:rPr>
          <w:rStyle w:val="FootnoteReference"/>
        </w:rPr>
        <w:footnoteReference w:id="938"/>
      </w:r>
    </w:p>
    <w:p w:rsidR="007C2B29" w:rsidRDefault="007C2B29" w:rsidP="007C2B29">
      <w:pPr>
        <w:pStyle w:val="AERquote"/>
      </w:pPr>
      <w:r>
        <w:t xml:space="preserve">An examination of the top 20 </w:t>
      </w:r>
      <w:r w:rsidRPr="00706095">
        <w:t>firms (which collectively account for approximately half of the total</w:t>
      </w:r>
      <w:r>
        <w:t xml:space="preserve"> </w:t>
      </w:r>
      <w:r w:rsidRPr="00706095">
        <w:t>ASX market capitalisation) indicates that analysts are anticipating</w:t>
      </w:r>
      <w:r>
        <w:t xml:space="preserve"> </w:t>
      </w:r>
      <w:r w:rsidRPr="00706095">
        <w:t>increasing dividends and earnings. The market capitalisation</w:t>
      </w:r>
      <w:r>
        <w:t xml:space="preserve"> </w:t>
      </w:r>
      <w:r w:rsidRPr="00706095">
        <w:t>weighted average increase in forecasted earnings per share from</w:t>
      </w:r>
      <w:r>
        <w:t xml:space="preserve"> </w:t>
      </w:r>
      <w:r w:rsidRPr="00706095">
        <w:t>2015 to 2017 is 19%.</w:t>
      </w:r>
    </w:p>
    <w:p w:rsidR="007C2B29" w:rsidRDefault="007C2B29" w:rsidP="007C2B29">
      <w:r>
        <w:t>We note that Frontier's forecast is only to 2017, and we are not satisfied that such short-term forecasts invalidate our concerns as market prices likely reflect expectations over a longer period. We note that the</w:t>
      </w:r>
      <w:r w:rsidRPr="00B4711B">
        <w:rPr>
          <w:rStyle w:val="AERbody"/>
        </w:rPr>
        <w:t xml:space="preserve"> RBA</w:t>
      </w:r>
      <w:r>
        <w:rPr>
          <w:rStyle w:val="AERbody"/>
        </w:rPr>
        <w:t xml:space="preserve"> forecast</w:t>
      </w:r>
      <w:r w:rsidRPr="00B4711B">
        <w:rPr>
          <w:rStyle w:val="AERbody"/>
        </w:rPr>
        <w:t>s growth in earnings per share to fall in the 2015</w:t>
      </w:r>
      <w:r>
        <w:t>–</w:t>
      </w:r>
      <w:r w:rsidRPr="00B4711B">
        <w:rPr>
          <w:rStyle w:val="AERbody"/>
        </w:rPr>
        <w:t>16 and 2016</w:t>
      </w:r>
      <w:r>
        <w:t>–</w:t>
      </w:r>
      <w:r w:rsidRPr="00B4711B">
        <w:rPr>
          <w:rStyle w:val="AERbody"/>
        </w:rPr>
        <w:t>17 financial years</w:t>
      </w:r>
      <w:r>
        <w:rPr>
          <w:rStyle w:val="AERbody"/>
        </w:rPr>
        <w:t>, and we do not consider it is certain that investors expect positive growth in dividends per share post-2017</w:t>
      </w:r>
      <w:r w:rsidRPr="00B4711B">
        <w:rPr>
          <w:rStyle w:val="AERbody"/>
        </w:rPr>
        <w:t>.</w:t>
      </w:r>
      <w:r w:rsidRPr="00B4711B">
        <w:rPr>
          <w:rStyle w:val="FootnoteReference"/>
        </w:rPr>
        <w:footnoteReference w:id="939"/>
      </w:r>
      <w:r>
        <w:rPr>
          <w:rStyle w:val="AERbody"/>
        </w:rPr>
        <w:t xml:space="preserve"> </w:t>
      </w:r>
    </w:p>
    <w:p w:rsidR="007C2B29" w:rsidRPr="0046661C" w:rsidRDefault="007C2B29" w:rsidP="007C2B29">
      <w:pPr>
        <w:pStyle w:val="TOC1"/>
        <w:numPr>
          <w:ilvl w:val="0"/>
          <w:numId w:val="24"/>
        </w:numPr>
      </w:pPr>
      <w:r>
        <w:t>Biases in analyst forecasts</w:t>
      </w:r>
    </w:p>
    <w:p w:rsidR="007C2B29" w:rsidRDefault="007C2B29" w:rsidP="007C2B29">
      <w:pPr>
        <w:numPr>
          <w:ilvl w:val="0"/>
          <w:numId w:val="24"/>
        </w:numPr>
      </w:pPr>
      <w:r w:rsidRPr="00B4711B">
        <w:t>Analyst forecasts are well understood to be upward</w:t>
      </w:r>
      <w:r>
        <w:t>ly</w:t>
      </w:r>
      <w:r w:rsidRPr="00B4711B">
        <w:t xml:space="preserve"> biased.</w:t>
      </w:r>
      <w:r w:rsidRPr="00B4711B">
        <w:rPr>
          <w:rStyle w:val="FootnoteReference"/>
        </w:rPr>
        <w:footnoteReference w:id="940"/>
      </w:r>
      <w:r w:rsidRPr="00B4711B">
        <w:t xml:space="preserve"> McKenzie and Partington also consider that analysts’ forecasts are slow to adjust to changing information.</w:t>
      </w:r>
      <w:r w:rsidRPr="00B4711B">
        <w:rPr>
          <w:rStyle w:val="FootnoteReference"/>
        </w:rPr>
        <w:footnoteReference w:id="941"/>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7C2B29" w:rsidRDefault="007C2B29" w:rsidP="007C2B29">
      <w:pPr>
        <w:numPr>
          <w:ilvl w:val="0"/>
          <w:numId w:val="24"/>
        </w:numPr>
      </w:pPr>
      <w:r>
        <w:t>We note that Frontier has not provided any evidence that bias has not increased. Frontier submitted that:</w:t>
      </w:r>
      <w:r>
        <w:rPr>
          <w:rStyle w:val="FootnoteReference"/>
        </w:rPr>
        <w:footnoteReference w:id="942"/>
      </w:r>
      <w:r>
        <w:t xml:space="preserve"> </w:t>
      </w:r>
    </w:p>
    <w:p w:rsidR="007C2B29" w:rsidRPr="00C06A8A" w:rsidRDefault="007C2B29" w:rsidP="007C2B29">
      <w:pPr>
        <w:pStyle w:val="AERquote"/>
      </w:pPr>
      <w:r w:rsidRPr="00C06A8A">
        <w:t>No reason has been presented for why this effect would be</w:t>
      </w:r>
      <w:r>
        <w:t xml:space="preserve"> </w:t>
      </w:r>
      <w:r w:rsidRPr="00C06A8A">
        <w:t>stronger in the current market conditions than it was at the</w:t>
      </w:r>
      <w:r>
        <w:t xml:space="preserve"> </w:t>
      </w:r>
      <w:r w:rsidRPr="00C06A8A">
        <w:t>time of the Guideline. Thus, it does not explain why the</w:t>
      </w:r>
      <w:r>
        <w:t xml:space="preserve"> </w:t>
      </w:r>
      <w:r w:rsidRPr="00C06A8A">
        <w:t>AER has apparently reduced the weight it applies to its</w:t>
      </w:r>
      <w:r>
        <w:t xml:space="preserve"> DGM estimates over time.</w:t>
      </w:r>
    </w:p>
    <w:p w:rsidR="007C2B29" w:rsidRDefault="007C2B29" w:rsidP="007C2B29">
      <w:r>
        <w:t>We have no</w:t>
      </w:r>
      <w:r w:rsidRPr="00DE2857">
        <w:t>t changed</w:t>
      </w:r>
      <w:r>
        <w:t xml:space="preserve"> the weight we apply to the dividend growth model. Our</w:t>
      </w:r>
      <w:r w:rsidRPr="00DE2857">
        <w:t xml:space="preserve"> approach requires the application of judgment and our </w:t>
      </w:r>
      <w:r>
        <w:t>market risk premium</w:t>
      </w:r>
      <w:r w:rsidRPr="00DE2857">
        <w:t xml:space="preserve"> estimate does not mechanically update with changes to </w:t>
      </w:r>
      <w:r>
        <w:t>dividend growth model</w:t>
      </w:r>
      <w:r w:rsidRPr="00DE2857">
        <w:t xml:space="preserve"> estimates</w:t>
      </w:r>
      <w:r>
        <w:t xml:space="preserve">. </w:t>
      </w:r>
    </w:p>
    <w:p w:rsidR="007C2B29" w:rsidRPr="00B4711B" w:rsidRDefault="007C2B29" w:rsidP="007C2B29">
      <w:r>
        <w:t>Further, we do not hold a view either way about whether bias has increased or not. However, Frontier refers to a report by JP Morgan that notes that current price-to-earnings ratios</w:t>
      </w:r>
      <w:r>
        <w:rPr>
          <w:rStyle w:val="FootnoteReference"/>
        </w:rPr>
        <w:footnoteReference w:id="943"/>
      </w:r>
      <w:r>
        <w:t xml:space="preserve"> could be evidence that the prevailing </w:t>
      </w:r>
      <w:r w:rsidRPr="00C365B3">
        <w:t>market is now more sceptical of analysts’ forecasts than they have been in the past</w:t>
      </w:r>
      <w:r>
        <w:t>.</w:t>
      </w:r>
      <w:r>
        <w:rPr>
          <w:rStyle w:val="FootnoteReference"/>
        </w:rPr>
        <w:footnoteReference w:id="944"/>
      </w:r>
      <w:r w:rsidRPr="00D03E8B">
        <w:t xml:space="preserve"> </w:t>
      </w:r>
      <w:r>
        <w:t xml:space="preserve">That is, </w:t>
      </w:r>
      <w:r w:rsidRPr="00C365B3">
        <w:t>bias (or at least the market’s perception of bias) may have increased</w:t>
      </w:r>
      <w:r>
        <w:t xml:space="preserve">. </w:t>
      </w:r>
    </w:p>
    <w:p w:rsidR="007C2B29" w:rsidRPr="0046661C" w:rsidRDefault="007C2B29" w:rsidP="007C2B29">
      <w:pPr>
        <w:pStyle w:val="TOC1"/>
        <w:numPr>
          <w:ilvl w:val="0"/>
          <w:numId w:val="24"/>
        </w:numPr>
      </w:pPr>
      <w:r>
        <w:t>Dividends as a proxy for free cash flow to equity</w:t>
      </w:r>
    </w:p>
    <w:p w:rsidR="007C2B29" w:rsidRPr="0065391F" w:rsidRDefault="007C2B29" w:rsidP="007C2B29">
      <w:pPr>
        <w:rPr>
          <w:rStyle w:val="AERbody"/>
        </w:rPr>
      </w:pPr>
      <w:r w:rsidRPr="0065391F">
        <w:rPr>
          <w:rStyle w:val="AERbody"/>
        </w:rPr>
        <w:t>In a particular period, differences between the free cash flow to equity and the dividend may arise as a consequence of financing transactions (that is, borrowing or issuing new shares). Where there is significant financing of dividends and/or where substantial investment demand for funds is anticipated, there is a risk that dividend growth will slow or even turn negative for a period. This is likely to result in the dividend growth model producing upwardly biased estimates of the return of equity.</w:t>
      </w:r>
      <w:r>
        <w:rPr>
          <w:rStyle w:val="FootnoteReference"/>
        </w:rPr>
        <w:footnoteReference w:id="945"/>
      </w:r>
    </w:p>
    <w:p w:rsidR="007C2B29" w:rsidRPr="0046661C" w:rsidRDefault="007C2B29" w:rsidP="007C2B29">
      <w:pPr>
        <w:pStyle w:val="TOC1"/>
      </w:pPr>
      <w:r>
        <w:t>Low risk free rate and term structure for equity</w:t>
      </w:r>
    </w:p>
    <w:p w:rsidR="007C2B29" w:rsidRPr="0065391F" w:rsidRDefault="007C2B29" w:rsidP="007C2B29">
      <w:pPr>
        <w:rPr>
          <w:rStyle w:val="AERbody"/>
        </w:rPr>
      </w:pPr>
      <w:r w:rsidRPr="0065391F">
        <w:rPr>
          <w:rStyle w:val="AERbody"/>
        </w:rPr>
        <w:t>The risk free rate is currently relatively low.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946"/>
      </w:r>
      <w:r w:rsidRPr="0065391F">
        <w:rPr>
          <w:rStyle w:val="AERbody"/>
        </w:rPr>
        <w:t xml:space="preserve"> We consider it useful to be aware of this potential bias. This is consistent with McKenzie and Partington’s advice:</w:t>
      </w:r>
      <w:r w:rsidRPr="00F37CD8">
        <w:rPr>
          <w:rStyle w:val="FootnoteReference"/>
        </w:rPr>
        <w:footnoteReference w:id="947"/>
      </w:r>
    </w:p>
    <w:p w:rsidR="007C2B29" w:rsidRPr="00B4711B" w:rsidRDefault="007C2B29" w:rsidP="007C2B29">
      <w:pPr>
        <w:pStyle w:val="AERquote"/>
      </w:pPr>
      <w:r w:rsidRPr="00B4711B">
        <w:t>we do recommend that it be borne in mind that the existence of a term structure could materially change cost of equity estimates from the DGM.</w:t>
      </w:r>
    </w:p>
    <w:p w:rsidR="00AD0940" w:rsidRDefault="00AD0940" w:rsidP="00AD0940">
      <w:pPr>
        <w:pStyle w:val="Heading7"/>
      </w:pPr>
      <w:bookmarkStart w:id="173" w:name="_Ref451689044"/>
      <w:bookmarkStart w:id="174" w:name="_Ref451689915"/>
      <w:bookmarkStart w:id="175" w:name="_Toc451945497"/>
      <w:r>
        <w:t>Return on equity conditioning variables</w:t>
      </w:r>
      <w:bookmarkEnd w:id="173"/>
      <w:bookmarkEnd w:id="174"/>
      <w:bookmarkEnd w:id="175"/>
    </w:p>
    <w:p w:rsidR="00AD0940" w:rsidRPr="00D7763D" w:rsidRDefault="00AD0940" w:rsidP="00AD0940">
      <w:pPr>
        <w:numPr>
          <w:ilvl w:val="0"/>
          <w:numId w:val="24"/>
        </w:numPr>
      </w:pPr>
      <w:r w:rsidRPr="00D7763D">
        <w:t xml:space="preserve">Conditioning variables are </w:t>
      </w:r>
      <w:r>
        <w:t>market data</w:t>
      </w:r>
      <w:r w:rsidRPr="00D7763D">
        <w:t xml:space="preserve"> that can be used to </w:t>
      </w:r>
      <w:r>
        <w:t>inform (or 'condition') an initial estimate</w:t>
      </w:r>
      <w:r w:rsidRPr="00D7763D">
        <w:t>. We do not consider conditioning variables provide reliable estimates on their own.</w:t>
      </w:r>
      <w:r>
        <w:rPr>
          <w:rStyle w:val="FootnoteReference"/>
        </w:rPr>
        <w:footnoteReference w:id="948"/>
      </w:r>
      <w:r w:rsidRPr="00D7763D">
        <w:t xml:space="preserve"> However, this information is relevant and may be useful for indicating changes in </w:t>
      </w:r>
      <w:r>
        <w:t>prevailing</w:t>
      </w:r>
      <w:r w:rsidRPr="00D7763D">
        <w:t xml:space="preserve"> market conditions. </w:t>
      </w:r>
    </w:p>
    <w:p w:rsidR="00AD0940" w:rsidRPr="00C4668D" w:rsidRDefault="00AD0940" w:rsidP="00AD0940">
      <w:pPr>
        <w:pStyle w:val="ListParagraph"/>
        <w:numPr>
          <w:ilvl w:val="0"/>
          <w:numId w:val="24"/>
        </w:numPr>
      </w:pPr>
      <w:r w:rsidRPr="00C4668D">
        <w:t>In the Guideline we stated that we would consider three types of conditioning variables</w:t>
      </w:r>
      <w:r>
        <w:t xml:space="preserve"> to inform our estimate of the market risk premium</w:t>
      </w:r>
      <w:r w:rsidRPr="00C4668D">
        <w:t xml:space="preserve">: dividend yields, </w:t>
      </w:r>
      <w:r>
        <w:t>yield</w:t>
      </w:r>
      <w:r w:rsidRPr="00C4668D">
        <w:t xml:space="preserve"> spreads and implied volatility. Service providers have also proposed the use of price</w:t>
      </w:r>
      <w:r>
        <w:t>-to-</w:t>
      </w:r>
      <w:r w:rsidRPr="00C4668D">
        <w:t>earnings ratios, and we also consider these here.</w:t>
      </w:r>
      <w:r>
        <w:t xml:space="preserve"> In the Guideline we also stated that we would use yield spreads to inform our overall return on equity estimate.</w:t>
      </w:r>
    </w:p>
    <w:p w:rsidR="00AD0940" w:rsidRPr="00D7763D" w:rsidRDefault="00AD0940" w:rsidP="00AD0940">
      <w:r>
        <w:t>C</w:t>
      </w:r>
      <w:r w:rsidRPr="00D7763D">
        <w:t xml:space="preserve">onditioning variables </w:t>
      </w:r>
      <w:r>
        <w:t xml:space="preserve">should be considered </w:t>
      </w:r>
      <w:r w:rsidRPr="00D7763D">
        <w:t xml:space="preserve">symmetrically through time </w:t>
      </w:r>
      <w:r>
        <w:t>to</w:t>
      </w:r>
      <w:r w:rsidRPr="00D7763D">
        <w:t xml:space="preserve"> avoid bias. </w:t>
      </w:r>
      <w:r>
        <w:t>S</w:t>
      </w:r>
      <w:r w:rsidRPr="00D7763D">
        <w:t xml:space="preserve">ince the weighted average cost of capital (WACC) review in 2009, various service providers have presented this information asymmetrically. For example, in periods where the implied volatility suggested the </w:t>
      </w:r>
      <w:r>
        <w:t>market risk premium</w:t>
      </w:r>
      <w:r w:rsidRPr="00D7763D">
        <w:t xml:space="preserve"> </w:t>
      </w:r>
      <w:r>
        <w:t>may</w:t>
      </w:r>
      <w:r w:rsidRPr="00D7763D">
        <w:t xml:space="preserve"> be significantly above the long term average, service providers relied upon this evidence.</w:t>
      </w:r>
      <w:r w:rsidRPr="00D7763D">
        <w:rPr>
          <w:rStyle w:val="FootnoteReference"/>
        </w:rPr>
        <w:footnoteReference w:id="949"/>
      </w:r>
      <w:r w:rsidRPr="00D7763D">
        <w:t xml:space="preserve"> However, when implied volatility estimates fell in 2013, service providers did not propose we consider this evidence.</w:t>
      </w:r>
      <w:r w:rsidRPr="00D7763D">
        <w:rPr>
          <w:rStyle w:val="FootnoteReference"/>
        </w:rPr>
        <w:footnoteReference w:id="950"/>
      </w:r>
      <w:r w:rsidRPr="00D7763D">
        <w:t xml:space="preserve"> </w:t>
      </w:r>
    </w:p>
    <w:p w:rsidR="00AD0940" w:rsidRDefault="00AD0940" w:rsidP="00AD0940">
      <w:r w:rsidRPr="00D7763D">
        <w:t xml:space="preserve">For the reasons set out below, we consider that, overall, the conditioning variables </w:t>
      </w:r>
      <w:r>
        <w:t xml:space="preserve">appear to have </w:t>
      </w:r>
      <w:r w:rsidR="00C4677A">
        <w:t xml:space="preserve">experienced </w:t>
      </w:r>
      <w:r>
        <w:t xml:space="preserve">moderate short term movement. Consideration of the implied volatility approach, dividend yields and </w:t>
      </w:r>
      <w:r w:rsidR="00C4677A">
        <w:t>corporate</w:t>
      </w:r>
      <w:r>
        <w:t xml:space="preserve"> bond spreads show slight increases.</w:t>
      </w:r>
      <w:r>
        <w:rPr>
          <w:rStyle w:val="FootnoteReference"/>
        </w:rPr>
        <w:footnoteReference w:id="951"/>
      </w:r>
      <w:r>
        <w:t xml:space="preserve"> T</w:t>
      </w:r>
      <w:r w:rsidRPr="00866A7A">
        <w:t>he</w:t>
      </w:r>
      <w:r>
        <w:t xml:space="preserve"> state government bond spread</w:t>
      </w:r>
      <w:r w:rsidR="00C4677A">
        <w:t>s</w:t>
      </w:r>
      <w:r>
        <w:t xml:space="preserve"> and the comparison between equity and debt premiums provide no clear indication that there have been any changes to conditioning variables.</w:t>
      </w:r>
      <w:r>
        <w:rPr>
          <w:rStyle w:val="FootnoteReference"/>
        </w:rPr>
        <w:footnoteReference w:id="952"/>
      </w:r>
      <w:r>
        <w:t xml:space="preserve"> Taken together, we see no significant trend to </w:t>
      </w:r>
      <w:r w:rsidRPr="00D51EE9">
        <w:t>support any further change</w:t>
      </w:r>
      <w:r>
        <w:t>s</w:t>
      </w:r>
      <w:r w:rsidR="00C4677A">
        <w:t xml:space="preserve"> to our approach</w:t>
      </w:r>
      <w:r>
        <w:t xml:space="preserve">. </w:t>
      </w:r>
    </w:p>
    <w:p w:rsidR="00AD0940" w:rsidRPr="00D7763D" w:rsidRDefault="00AD0940" w:rsidP="00AD0940">
      <w:r>
        <w:t xml:space="preserve">Moreover, it appears that </w:t>
      </w:r>
      <w:r w:rsidRPr="00D7763D">
        <w:t xml:space="preserve">conditioning variables </w:t>
      </w:r>
      <w:r>
        <w:t xml:space="preserve">are </w:t>
      </w:r>
      <w:r w:rsidRPr="00D7763D">
        <w:t>close to their long term averages. This is particularly apparent when compared with the sharp increases in these variables seen between 2008</w:t>
      </w:r>
      <w:r w:rsidRPr="00D7763D">
        <w:softHyphen/>
        <w:t>–13, which were likely associated with the height of the Global Financial Crisis and European debt crisis. We acknowledge that implied volatility and dividend</w:t>
      </w:r>
      <w:r w:rsidR="00A1557B">
        <w:t xml:space="preserve"> yields</w:t>
      </w:r>
      <w:r w:rsidRPr="00D7763D">
        <w:t xml:space="preserve"> increased above their long term averages towards the end of the </w:t>
      </w:r>
      <w:r w:rsidR="00C4677A">
        <w:t>2015</w:t>
      </w:r>
      <w:r w:rsidRPr="00D7763D">
        <w:t xml:space="preserve">. However, we consider there is </w:t>
      </w:r>
      <w:r>
        <w:t>in</w:t>
      </w:r>
      <w:r w:rsidRPr="00D7763D">
        <w:t xml:space="preserve">sufficient evidence of a sustained trend away from their long term averages. </w:t>
      </w:r>
    </w:p>
    <w:p w:rsidR="00AD0940" w:rsidRPr="00D7763D" w:rsidRDefault="00AD0940" w:rsidP="00AD0940">
      <w:r w:rsidRPr="00D7763D">
        <w:t xml:space="preserve">It is important to note </w:t>
      </w:r>
      <w:r w:rsidR="00C4677A">
        <w:t>that we are estimating a 10-year forward-</w:t>
      </w:r>
      <w:r w:rsidRPr="00D7763D">
        <w:t xml:space="preserve">looking </w:t>
      </w:r>
      <w:r>
        <w:t>market risk premium</w:t>
      </w:r>
      <w:r w:rsidRPr="00D7763D">
        <w:t xml:space="preserve"> with regard to prevailing conditions in the market for equity funds. In this context, prevailing conditions can be considered ‘prevailing expectations’ over the relevant forward looking timeframe, which is 10 years. Therefore, we consider short term fluctuations in conditioning variables should be treated with caution. </w:t>
      </w:r>
    </w:p>
    <w:p w:rsidR="00AD0940" w:rsidRPr="00AD0940" w:rsidRDefault="00AD0940" w:rsidP="00183AFB">
      <w:pPr>
        <w:pStyle w:val="Heading8"/>
        <w:numPr>
          <w:ilvl w:val="1"/>
          <w:numId w:val="36"/>
        </w:numPr>
      </w:pPr>
      <w:bookmarkStart w:id="176" w:name="_Toc443923225"/>
      <w:bookmarkStart w:id="177" w:name="_Toc451945498"/>
      <w:r>
        <w:t>Implied volatility</w:t>
      </w:r>
      <w:bookmarkEnd w:id="176"/>
      <w:bookmarkEnd w:id="177"/>
    </w:p>
    <w:p w:rsidR="00AD0940" w:rsidRPr="00866A7A" w:rsidRDefault="00AD0940" w:rsidP="00AD0940">
      <w:pPr>
        <w:numPr>
          <w:ilvl w:val="0"/>
          <w:numId w:val="24"/>
        </w:numPr>
      </w:pPr>
      <w:r w:rsidRPr="00866A7A">
        <w:t xml:space="preserve">The implied volatility approach is based on an assumption that the </w:t>
      </w:r>
      <w:r>
        <w:t>market risk premium</w:t>
      </w:r>
      <w:r w:rsidRPr="00866A7A">
        <w:t xml:space="preserve"> is the price of risk multiplied by the volume of risk (volatility).</w:t>
      </w:r>
      <w:r w:rsidRPr="00866A7A">
        <w:rPr>
          <w:rStyle w:val="FootnoteReference"/>
        </w:rPr>
        <w:footnoteReference w:id="953"/>
      </w:r>
      <w:r w:rsidRPr="00866A7A">
        <w:t xml:space="preserve"> </w:t>
      </w:r>
      <w:r>
        <w:fldChar w:fldCharType="begin"/>
      </w:r>
      <w:r>
        <w:instrText xml:space="preserve"> REF _Ref433023909 \h </w:instrText>
      </w:r>
      <w:r>
        <w:fldChar w:fldCharType="separate"/>
      </w:r>
      <w:r w:rsidR="001A023B" w:rsidRPr="00866A7A">
        <w:t xml:space="preserve">Figure </w:t>
      </w:r>
      <w:r w:rsidR="001A023B">
        <w:rPr>
          <w:noProof/>
        </w:rPr>
        <w:t>3</w:t>
      </w:r>
      <w:r w:rsidR="001A023B">
        <w:noBreakHyphen/>
      </w:r>
      <w:r w:rsidR="001A023B">
        <w:rPr>
          <w:noProof/>
        </w:rPr>
        <w:t>7</w:t>
      </w:r>
      <w:r>
        <w:fldChar w:fldCharType="end"/>
      </w:r>
      <w:r>
        <w:t xml:space="preserve"> shows volume of risk in the market portfolio estimated using the implied volatility index.</w:t>
      </w:r>
    </w:p>
    <w:p w:rsidR="00AD0940" w:rsidRDefault="00AD0940" w:rsidP="00AD0940">
      <w:r w:rsidRPr="00866A7A">
        <w:t xml:space="preserve">Implied volatility was high during the global financial crisis and the height of the European debt crisis. However, recent implied volatility levels have </w:t>
      </w:r>
      <w:r>
        <w:t xml:space="preserve">generally </w:t>
      </w:r>
      <w:r w:rsidRPr="00866A7A">
        <w:t>been below</w:t>
      </w:r>
      <w:r>
        <w:t xml:space="preserve"> or close to</w:t>
      </w:r>
      <w:r w:rsidRPr="00866A7A">
        <w:t xml:space="preserve"> the long run average of 18.2 per cent (measured from the start of the data series in 1997).</w:t>
      </w:r>
      <w:r>
        <w:t xml:space="preserve"> We note that implied volatility levels increased</w:t>
      </w:r>
      <w:r w:rsidRPr="00026A6C">
        <w:t xml:space="preserve"> above the long run average </w:t>
      </w:r>
      <w:r>
        <w:t>in</w:t>
      </w:r>
      <w:r w:rsidRPr="00026A6C">
        <w:t xml:space="preserve"> August 2015</w:t>
      </w:r>
      <w:r>
        <w:t>, but consider it is unclear whether this is evidence of a sharp and sustained move away from the long run average.</w:t>
      </w:r>
      <w:r w:rsidRPr="00866A7A">
        <w:t xml:space="preserve"> </w:t>
      </w:r>
    </w:p>
    <w:p w:rsidR="00AD0940" w:rsidRPr="00866A7A" w:rsidRDefault="00AD0940" w:rsidP="00AD0940">
      <w:r>
        <w:fldChar w:fldCharType="begin"/>
      </w:r>
      <w:r>
        <w:instrText xml:space="preserve"> REF _Ref433023909 \h </w:instrText>
      </w:r>
      <w:r>
        <w:fldChar w:fldCharType="separate"/>
      </w:r>
      <w:r w:rsidR="001A023B" w:rsidRPr="00866A7A">
        <w:t xml:space="preserve">Figure </w:t>
      </w:r>
      <w:r w:rsidR="001A023B">
        <w:rPr>
          <w:noProof/>
        </w:rPr>
        <w:t>3</w:t>
      </w:r>
      <w:r w:rsidR="001A023B">
        <w:noBreakHyphen/>
      </w:r>
      <w:r w:rsidR="001A023B">
        <w:rPr>
          <w:noProof/>
        </w:rPr>
        <w:t>7</w:t>
      </w:r>
      <w:r>
        <w:fldChar w:fldCharType="end"/>
      </w:r>
      <w:r>
        <w:t xml:space="preserve"> </w:t>
      </w:r>
      <w:r w:rsidRPr="00866A7A">
        <w:t>shows the value of this measure of implied volatility relative to its long run average level since the start of the data series in 1997</w:t>
      </w:r>
      <w:r>
        <w:t xml:space="preserve"> to 24 March 2016</w:t>
      </w:r>
      <w:r w:rsidRPr="00866A7A">
        <w:rPr>
          <w:rStyle w:val="AERbody"/>
        </w:rPr>
        <w:t>.</w:t>
      </w:r>
      <w:r>
        <w:rPr>
          <w:rStyle w:val="AERbody"/>
        </w:rPr>
        <w:t xml:space="preserve"> </w:t>
      </w:r>
      <w:r w:rsidRPr="00866A7A">
        <w:t xml:space="preserve">On </w:t>
      </w:r>
      <w:r>
        <w:t>24 March 2016</w:t>
      </w:r>
      <w:r w:rsidRPr="00866A7A">
        <w:t xml:space="preserve">, the ASX200 implied volatility index was </w:t>
      </w:r>
      <w:r>
        <w:t>15.4</w:t>
      </w:r>
      <w:r w:rsidRPr="00866A7A">
        <w:t xml:space="preserve"> per cent. Using the same averaging period as the risk free rate, the </w:t>
      </w:r>
      <w:r>
        <w:t>volatility index</w:t>
      </w:r>
      <w:r w:rsidRPr="00866A7A">
        <w:t xml:space="preserve"> was</w:t>
      </w:r>
      <w:r>
        <w:t xml:space="preserve"> 17.6</w:t>
      </w:r>
      <w:r w:rsidRPr="00866A7A">
        <w:t xml:space="preserve"> per cent.</w:t>
      </w:r>
      <w:r w:rsidRPr="00866A7A">
        <w:rPr>
          <w:rStyle w:val="FootnoteReference"/>
        </w:rPr>
        <w:footnoteReference w:id="954"/>
      </w:r>
      <w:r w:rsidRPr="00866A7A">
        <w:t xml:space="preserve"> Over the year ending </w:t>
      </w:r>
      <w:r>
        <w:t>24 March 2016</w:t>
      </w:r>
      <w:r w:rsidRPr="00866A7A">
        <w:t xml:space="preserve">, the </w:t>
      </w:r>
      <w:r>
        <w:t>volatility index</w:t>
      </w:r>
      <w:r w:rsidRPr="00866A7A">
        <w:t xml:space="preserve"> was </w:t>
      </w:r>
      <w:r>
        <w:t>19</w:t>
      </w:r>
      <w:r w:rsidRPr="00866A7A">
        <w:t>.</w:t>
      </w:r>
      <w:r>
        <w:t>3</w:t>
      </w:r>
      <w:r w:rsidRPr="00866A7A">
        <w:t xml:space="preserve"> per cent.</w:t>
      </w:r>
      <w:r>
        <w:t xml:space="preserve"> </w:t>
      </w:r>
      <w:r>
        <w:rPr>
          <w:rStyle w:val="AERbody"/>
        </w:rPr>
        <w:t xml:space="preserve">Overall, we consider that </w:t>
      </w:r>
      <w:r>
        <w:fldChar w:fldCharType="begin"/>
      </w:r>
      <w:r>
        <w:instrText xml:space="preserve"> REF _Ref433023909 \h </w:instrText>
      </w:r>
      <w:r>
        <w:fldChar w:fldCharType="separate"/>
      </w:r>
      <w:r w:rsidR="001A023B" w:rsidRPr="00866A7A">
        <w:t xml:space="preserve">Figure </w:t>
      </w:r>
      <w:r w:rsidR="001A023B">
        <w:rPr>
          <w:noProof/>
        </w:rPr>
        <w:t>3</w:t>
      </w:r>
      <w:r w:rsidR="001A023B">
        <w:noBreakHyphen/>
      </w:r>
      <w:r w:rsidR="001A023B">
        <w:rPr>
          <w:noProof/>
        </w:rPr>
        <w:t>7</w:t>
      </w:r>
      <w:r>
        <w:fldChar w:fldCharType="end"/>
      </w:r>
      <w:r>
        <w:t xml:space="preserve"> shows implied volatility </w:t>
      </w:r>
      <w:r w:rsidR="00C4677A">
        <w:t>is around its long run average</w:t>
      </w:r>
      <w:r>
        <w:t>.</w:t>
      </w:r>
      <w:r w:rsidDel="00C41D65">
        <w:rPr>
          <w:rStyle w:val="AERbody"/>
        </w:rPr>
        <w:t xml:space="preserve"> </w:t>
      </w:r>
    </w:p>
    <w:p w:rsidR="00AD0940" w:rsidRPr="00866A7A" w:rsidRDefault="00AD0940" w:rsidP="00AD0940">
      <w:pPr>
        <w:pStyle w:val="Caption"/>
      </w:pPr>
      <w:bookmarkStart w:id="178" w:name="_Ref433023909"/>
      <w:r w:rsidRPr="00866A7A">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7</w:t>
      </w:r>
      <w:r w:rsidR="00120312">
        <w:rPr>
          <w:noProof/>
        </w:rPr>
        <w:fldChar w:fldCharType="end"/>
      </w:r>
      <w:bookmarkEnd w:id="178"/>
      <w:r w:rsidRPr="00866A7A">
        <w:tab/>
        <w:t>Implied volatility (VIX) over time</w:t>
      </w:r>
    </w:p>
    <w:p w:rsidR="00AD0940" w:rsidRPr="00866A7A" w:rsidRDefault="00270CE2" w:rsidP="00270CE2">
      <w:pPr>
        <w:numPr>
          <w:ilvl w:val="0"/>
          <w:numId w:val="24"/>
        </w:numPr>
      </w:pPr>
      <w:r w:rsidRPr="00270CE2">
        <w:rPr>
          <w:noProof/>
          <w:lang w:eastAsia="en-AU"/>
        </w:rPr>
        <w:drawing>
          <wp:inline distT="0" distB="0" distL="0" distR="0" wp14:anchorId="0F3AAFF2" wp14:editId="597C89CA">
            <wp:extent cx="5369560" cy="307276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9560" cy="3072765"/>
                    </a:xfrm>
                    <a:prstGeom prst="rect">
                      <a:avLst/>
                    </a:prstGeom>
                    <a:noFill/>
                    <a:ln>
                      <a:noFill/>
                    </a:ln>
                  </pic:spPr>
                </pic:pic>
              </a:graphicData>
            </a:graphic>
          </wp:inline>
        </w:drawing>
      </w:r>
    </w:p>
    <w:p w:rsidR="00AD0940" w:rsidRDefault="00AD0940" w:rsidP="00AD0940">
      <w:pPr>
        <w:pStyle w:val="AERtablesource"/>
      </w:pPr>
      <w:r w:rsidRPr="00866A7A">
        <w:t xml:space="preserve">Source: </w:t>
      </w:r>
      <w:r w:rsidRPr="00866A7A">
        <w:tab/>
        <w:t>ASX200 VIX volatility index, sourced via Bloomberg co</w:t>
      </w:r>
      <w:r>
        <w:t>de</w:t>
      </w:r>
      <w:r w:rsidRPr="00866A7A">
        <w:t xml:space="preserve"> AS51VIX from 2/1/2008 and </w:t>
      </w:r>
      <w:r>
        <w:t xml:space="preserve">code </w:t>
      </w:r>
      <w:r w:rsidRPr="00866A7A">
        <w:t>CITJAVIX prior to 2/1/2008.</w:t>
      </w:r>
      <w:r>
        <w:t xml:space="preserve"> </w:t>
      </w:r>
    </w:p>
    <w:p w:rsidR="00AD0940" w:rsidRDefault="00AD0940" w:rsidP="00AD0940">
      <w:pPr>
        <w:pStyle w:val="Heading8"/>
      </w:pPr>
      <w:bookmarkStart w:id="179" w:name="_Toc443923226"/>
      <w:bookmarkStart w:id="180" w:name="_Toc451945499"/>
      <w:r>
        <w:t>Dividend yields</w:t>
      </w:r>
      <w:bookmarkEnd w:id="179"/>
      <w:bookmarkEnd w:id="180"/>
    </w:p>
    <w:p w:rsidR="00AD0940" w:rsidRPr="00866A7A" w:rsidRDefault="00AD0940" w:rsidP="00AD0940">
      <w:pPr>
        <w:numPr>
          <w:ilvl w:val="0"/>
          <w:numId w:val="24"/>
        </w:numPr>
      </w:pPr>
      <w:bookmarkStart w:id="181" w:name="_Ref400009547"/>
      <w:bookmarkStart w:id="182" w:name="_Ref417224600"/>
      <w:r w:rsidRPr="00866A7A">
        <w:t xml:space="preserve">We use dividend yields as a directional indicator of the </w:t>
      </w:r>
      <w:r>
        <w:t>market risk premium</w:t>
      </w:r>
      <w:r w:rsidRPr="00866A7A">
        <w:t>.</w:t>
      </w:r>
      <w:r w:rsidRPr="00866A7A">
        <w:rPr>
          <w:rStyle w:val="FootnoteReference"/>
        </w:rPr>
        <w:footnoteReference w:id="955"/>
      </w:r>
      <w:r w:rsidRPr="00866A7A">
        <w:t xml:space="preserve"> We consider this information by comparing current dividend yields with the average dividend yield through time.</w:t>
      </w:r>
      <w:r w:rsidRPr="00866A7A">
        <w:rPr>
          <w:rStyle w:val="FootnoteReference"/>
        </w:rPr>
        <w:footnoteReference w:id="956"/>
      </w:r>
      <w:r w:rsidRPr="00866A7A">
        <w:t xml:space="preserve"> </w:t>
      </w:r>
      <w:r>
        <w:fldChar w:fldCharType="begin"/>
      </w:r>
      <w:r>
        <w:instrText xml:space="preserve"> REF _Ref433023708 \h </w:instrText>
      </w:r>
      <w:r>
        <w:fldChar w:fldCharType="separate"/>
      </w:r>
      <w:r w:rsidR="001A023B" w:rsidRPr="00866A7A">
        <w:t xml:space="preserve">Figure </w:t>
      </w:r>
      <w:r w:rsidR="001A023B">
        <w:rPr>
          <w:noProof/>
        </w:rPr>
        <w:t>3</w:t>
      </w:r>
      <w:r w:rsidR="001A023B">
        <w:noBreakHyphen/>
      </w:r>
      <w:r w:rsidR="001A023B">
        <w:rPr>
          <w:noProof/>
        </w:rPr>
        <w:t>8</w:t>
      </w:r>
      <w:r>
        <w:fldChar w:fldCharType="end"/>
      </w:r>
      <w:r>
        <w:t xml:space="preserve"> </w:t>
      </w:r>
      <w:r w:rsidRPr="00866A7A">
        <w:t>shows dividend yields against their historical average</w:t>
      </w:r>
      <w:r>
        <w:t xml:space="preserve"> up to 24 March 2016.</w:t>
      </w:r>
    </w:p>
    <w:p w:rsidR="00AD0940" w:rsidRPr="00866A7A" w:rsidRDefault="00AD0940" w:rsidP="00AD0940">
      <w:r>
        <w:fldChar w:fldCharType="begin"/>
      </w:r>
      <w:r>
        <w:instrText xml:space="preserve"> REF _Ref433023708 \h </w:instrText>
      </w:r>
      <w:r>
        <w:fldChar w:fldCharType="separate"/>
      </w:r>
      <w:r w:rsidR="001A023B" w:rsidRPr="00866A7A">
        <w:t xml:space="preserve">Figure </w:t>
      </w:r>
      <w:r w:rsidR="001A023B">
        <w:rPr>
          <w:noProof/>
        </w:rPr>
        <w:t>3</w:t>
      </w:r>
      <w:r w:rsidR="001A023B">
        <w:noBreakHyphen/>
      </w:r>
      <w:r w:rsidR="001A023B">
        <w:rPr>
          <w:noProof/>
        </w:rPr>
        <w:t>8</w:t>
      </w:r>
      <w:r>
        <w:fldChar w:fldCharType="end"/>
      </w:r>
      <w:r>
        <w:t xml:space="preserve"> </w:t>
      </w:r>
      <w:r w:rsidRPr="00866A7A">
        <w:t xml:space="preserve">shows dividend yields are </w:t>
      </w:r>
      <w:r>
        <w:t>higher than</w:t>
      </w:r>
      <w:r w:rsidRPr="00866A7A">
        <w:t xml:space="preserve"> their long term average. </w:t>
      </w:r>
      <w:r>
        <w:t>However, prior to this increase, dividend yields were close to their long term average and have been</w:t>
      </w:r>
      <w:r w:rsidRPr="00866A7A">
        <w:t xml:space="preserve"> relatively steady over the last </w:t>
      </w:r>
      <w:r>
        <w:t>two years (approximately)</w:t>
      </w:r>
      <w:r w:rsidRPr="00866A7A">
        <w:t>.</w:t>
      </w:r>
      <w:r>
        <w:t xml:space="preserve"> It is unclear whether the recent increase in dividend yields is evidence of a sharp and sustained move away from their long term average. </w:t>
      </w:r>
    </w:p>
    <w:p w:rsidR="00AD0940" w:rsidRPr="00866A7A" w:rsidRDefault="00AD0940" w:rsidP="00AD0940">
      <w:pPr>
        <w:pStyle w:val="Caption"/>
      </w:pPr>
      <w:bookmarkStart w:id="183" w:name="_Ref433023708"/>
      <w:bookmarkEnd w:id="181"/>
      <w:bookmarkEnd w:id="182"/>
      <w:r w:rsidRPr="00866A7A">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8</w:t>
      </w:r>
      <w:r w:rsidR="00120312">
        <w:rPr>
          <w:noProof/>
        </w:rPr>
        <w:fldChar w:fldCharType="end"/>
      </w:r>
      <w:bookmarkEnd w:id="183"/>
      <w:r w:rsidRPr="00866A7A">
        <w:tab/>
        <w:t>Dividend yields</w:t>
      </w:r>
    </w:p>
    <w:p w:rsidR="00AD0940" w:rsidRPr="00866A7A" w:rsidRDefault="00270CE2" w:rsidP="00270CE2">
      <w:pPr>
        <w:numPr>
          <w:ilvl w:val="0"/>
          <w:numId w:val="24"/>
        </w:numPr>
      </w:pPr>
      <w:r w:rsidRPr="00270CE2">
        <w:rPr>
          <w:noProof/>
          <w:lang w:eastAsia="en-AU"/>
        </w:rPr>
        <w:drawing>
          <wp:inline distT="0" distB="0" distL="0" distR="0" wp14:anchorId="65ACDC0B" wp14:editId="33827C05">
            <wp:extent cx="5380355" cy="322135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0355" cy="3221355"/>
                    </a:xfrm>
                    <a:prstGeom prst="rect">
                      <a:avLst/>
                    </a:prstGeom>
                    <a:noFill/>
                    <a:ln>
                      <a:noFill/>
                    </a:ln>
                  </pic:spPr>
                </pic:pic>
              </a:graphicData>
            </a:graphic>
          </wp:inline>
        </w:drawing>
      </w:r>
    </w:p>
    <w:p w:rsidR="00AD0940" w:rsidRDefault="00AD0940" w:rsidP="00AD0940">
      <w:pPr>
        <w:pStyle w:val="AERtablesource"/>
      </w:pPr>
      <w:r w:rsidRPr="00866A7A">
        <w:t>Source:</w:t>
      </w:r>
      <w:r w:rsidRPr="00866A7A">
        <w:tab/>
        <w:t>Bloomberg</w:t>
      </w:r>
      <w:r>
        <w:t xml:space="preserve"> AS51 Index</w:t>
      </w:r>
      <w:r w:rsidRPr="00866A7A">
        <w:t>, AER analysis.</w:t>
      </w:r>
    </w:p>
    <w:p w:rsidR="00AD0940" w:rsidRDefault="00AD0940" w:rsidP="003203B3">
      <w:pPr>
        <w:pStyle w:val="Heading8"/>
      </w:pPr>
      <w:bookmarkStart w:id="184" w:name="_Toc443923227"/>
      <w:bookmarkStart w:id="185" w:name="_Ref449052987"/>
      <w:bookmarkStart w:id="186" w:name="_Toc451945500"/>
      <w:r>
        <w:t>Yield spreads</w:t>
      </w:r>
      <w:bookmarkEnd w:id="184"/>
      <w:bookmarkEnd w:id="185"/>
      <w:bookmarkEnd w:id="186"/>
    </w:p>
    <w:p w:rsidR="00033144" w:rsidRPr="00033144" w:rsidRDefault="00033144" w:rsidP="00033144">
      <w:pPr>
        <w:numPr>
          <w:ilvl w:val="0"/>
          <w:numId w:val="24"/>
        </w:numPr>
      </w:pPr>
      <w:r w:rsidRPr="00033144">
        <w:t>Yield spreads are the difference between the yields on different assets, typically debt instruments. We examine two categories of yield spreads:</w:t>
      </w:r>
    </w:p>
    <w:p w:rsidR="00033144" w:rsidRPr="00033144" w:rsidRDefault="00033144" w:rsidP="00033144">
      <w:pPr>
        <w:pStyle w:val="AERbulletlistfirststyle"/>
      </w:pPr>
      <w:r w:rsidRPr="00033144">
        <w:t>Credit spreads, used to inform our market risk premium estimate.</w:t>
      </w:r>
    </w:p>
    <w:p w:rsidR="00033144" w:rsidRPr="00033144" w:rsidRDefault="00033144" w:rsidP="00033144">
      <w:pPr>
        <w:pStyle w:val="AERbulletlistfirststyle"/>
      </w:pPr>
      <w:r w:rsidRPr="00033144">
        <w:t>The spread between our equity risk premium and debt risk premium, used to inform our overall return on equity estimate.</w:t>
      </w:r>
    </w:p>
    <w:p w:rsidR="00033144" w:rsidRPr="00033144" w:rsidRDefault="00033144" w:rsidP="00033144">
      <w:pPr>
        <w:numPr>
          <w:ilvl w:val="0"/>
          <w:numId w:val="24"/>
        </w:numPr>
      </w:pPr>
      <w:r w:rsidRPr="00033144">
        <w:t>Credit spreads are the spreads between the risk free rate (the yield on Australian government securities) and the return on debt for different debt instruments. We use credit spreads as a directional indicator of the market risk premium.</w:t>
      </w:r>
      <w:r w:rsidRPr="00033144">
        <w:rPr>
          <w:rStyle w:val="FootnoteReference"/>
        </w:rPr>
        <w:footnoteReference w:id="957"/>
      </w:r>
      <w:r w:rsidRPr="00033144">
        <w:t xml:space="preserve"> We consider this information can be used to indicate changes in market conditions. That is, to indicate whether spreads are widening, stabilising or narrowing.</w:t>
      </w:r>
    </w:p>
    <w:p w:rsidR="00033144" w:rsidRPr="00033144" w:rsidRDefault="00033144" w:rsidP="00033144">
      <w:pPr>
        <w:numPr>
          <w:ilvl w:val="0"/>
          <w:numId w:val="24"/>
        </w:numPr>
      </w:pPr>
      <w:r w:rsidRPr="00033144">
        <w:fldChar w:fldCharType="begin"/>
      </w:r>
      <w:r w:rsidRPr="00033144">
        <w:instrText xml:space="preserve"> REF _Ref433023804 \h </w:instrText>
      </w:r>
      <w:r w:rsidRPr="00033144">
        <w:fldChar w:fldCharType="separate"/>
      </w:r>
      <w:r w:rsidR="001A023B" w:rsidRPr="00033144">
        <w:t xml:space="preserve">Figure </w:t>
      </w:r>
      <w:r w:rsidR="001A023B">
        <w:rPr>
          <w:noProof/>
        </w:rPr>
        <w:t>3</w:t>
      </w:r>
      <w:r w:rsidR="001A023B">
        <w:noBreakHyphen/>
      </w:r>
      <w:r w:rsidR="001A023B">
        <w:rPr>
          <w:noProof/>
        </w:rPr>
        <w:t>9</w:t>
      </w:r>
      <w:r w:rsidRPr="00033144">
        <w:fldChar w:fldCharType="end"/>
      </w:r>
      <w:r w:rsidRPr="00033144">
        <w:t xml:space="preserve"> shows credit spreads for A-rated, AA-rated, and BBB-rated corporate debt instruments over yields on Australian government securities. These credit spreads were showing a clear downward trend from approximately 2012 before widening slightly in recent times. </w:t>
      </w:r>
    </w:p>
    <w:p w:rsidR="00033144" w:rsidRPr="00033144" w:rsidRDefault="00033144" w:rsidP="00033144">
      <w:pPr>
        <w:numPr>
          <w:ilvl w:val="0"/>
          <w:numId w:val="24"/>
        </w:numPr>
      </w:pPr>
      <w:r w:rsidRPr="00033144">
        <w:t>Most credit spreads are also above their pre-2007 levels, while the swap rate spread is at or below its pre-2007 levels. In essence, lower quality debt is further from pre-2007 levels than higher quality debt. However, the credit spreads are all substantially lower than they were between 2008 and 2013.</w:t>
      </w:r>
    </w:p>
    <w:p w:rsidR="00033144" w:rsidRPr="00033144" w:rsidRDefault="00033144" w:rsidP="00033144">
      <w:pPr>
        <w:pStyle w:val="Caption"/>
        <w:rPr>
          <w:rStyle w:val="Strong"/>
        </w:rPr>
      </w:pPr>
      <w:bookmarkStart w:id="187" w:name="_Ref433023804"/>
      <w:r w:rsidRPr="00033144">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9</w:t>
      </w:r>
      <w:r w:rsidR="00120312">
        <w:rPr>
          <w:noProof/>
        </w:rPr>
        <w:fldChar w:fldCharType="end"/>
      </w:r>
      <w:bookmarkEnd w:id="187"/>
      <w:r w:rsidRPr="00033144">
        <w:tab/>
        <w:t>Australian bond spreads over government yields</w:t>
      </w:r>
    </w:p>
    <w:p w:rsidR="00033144" w:rsidRPr="00033144" w:rsidRDefault="00033144" w:rsidP="00033144">
      <w:pPr>
        <w:numPr>
          <w:ilvl w:val="0"/>
          <w:numId w:val="24"/>
        </w:numPr>
      </w:pPr>
      <w:r w:rsidRPr="00033144">
        <w:rPr>
          <w:noProof/>
          <w:lang w:eastAsia="en-AU"/>
        </w:rPr>
        <w:drawing>
          <wp:inline distT="0" distB="0" distL="0" distR="0" wp14:anchorId="359B6A3A" wp14:editId="264703D8">
            <wp:extent cx="3876675" cy="3487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 Government Bonds.PNG"/>
                    <pic:cNvPicPr/>
                  </pic:nvPicPr>
                  <pic:blipFill>
                    <a:blip r:embed="rId20">
                      <a:extLst>
                        <a:ext uri="{28A0092B-C50C-407E-A947-70E740481C1C}">
                          <a14:useLocalDpi xmlns:a14="http://schemas.microsoft.com/office/drawing/2010/main" val="0"/>
                        </a:ext>
                      </a:extLst>
                    </a:blip>
                    <a:stretch>
                      <a:fillRect/>
                    </a:stretch>
                  </pic:blipFill>
                  <pic:spPr>
                    <a:xfrm>
                      <a:off x="0" y="0"/>
                      <a:ext cx="3877216" cy="3487546"/>
                    </a:xfrm>
                    <a:prstGeom prst="rect">
                      <a:avLst/>
                    </a:prstGeom>
                  </pic:spPr>
                </pic:pic>
              </a:graphicData>
            </a:graphic>
          </wp:inline>
        </w:drawing>
      </w:r>
    </w:p>
    <w:p w:rsidR="00033144" w:rsidRPr="00033144" w:rsidRDefault="00033144" w:rsidP="00033144">
      <w:pPr>
        <w:pStyle w:val="AERtablesource"/>
        <w:rPr>
          <w:rStyle w:val="AERtexthighlight"/>
        </w:rPr>
      </w:pPr>
      <w:r w:rsidRPr="00033144">
        <w:t xml:space="preserve">Source: </w:t>
      </w:r>
      <w:r w:rsidRPr="00033144">
        <w:tab/>
      </w:r>
      <w:r w:rsidR="00E37804">
        <w:t>RBA, Chart Pack, February 2016</w:t>
      </w:r>
      <w:r w:rsidRPr="00033144">
        <w:t xml:space="preserve">. </w:t>
      </w:r>
    </w:p>
    <w:p w:rsidR="00033144" w:rsidRPr="00033144" w:rsidRDefault="00033144" w:rsidP="00033144">
      <w:pPr>
        <w:pStyle w:val="AERtablesource"/>
      </w:pPr>
      <w:r w:rsidRPr="00033144">
        <w:t>Note:</w:t>
      </w:r>
      <w:r w:rsidRPr="00033144">
        <w:tab/>
        <w:t>Swap spreads are for a 3 year maturity. Corporate bonds are a weighted average of senior bonds with remaining maturities of 1 to 5 years and include financial and non-financial corporates.</w:t>
      </w:r>
    </w:p>
    <w:p w:rsidR="00033144" w:rsidRPr="00033144" w:rsidRDefault="00033144" w:rsidP="00033144">
      <w:r w:rsidRPr="00033144">
        <w:fldChar w:fldCharType="begin"/>
      </w:r>
      <w:r w:rsidRPr="00033144">
        <w:instrText xml:space="preserve"> REF _Ref433023841 \h </w:instrText>
      </w:r>
      <w:r w:rsidRPr="00033144">
        <w:fldChar w:fldCharType="separate"/>
      </w:r>
      <w:r w:rsidR="001A023B" w:rsidRPr="00033144">
        <w:t xml:space="preserve">Figure </w:t>
      </w:r>
      <w:r w:rsidR="001A023B">
        <w:rPr>
          <w:noProof/>
        </w:rPr>
        <w:t>3</w:t>
      </w:r>
      <w:r w:rsidR="001A023B">
        <w:noBreakHyphen/>
      </w:r>
      <w:r w:rsidR="001A023B">
        <w:rPr>
          <w:noProof/>
        </w:rPr>
        <w:t>10</w:t>
      </w:r>
      <w:r w:rsidRPr="00033144">
        <w:fldChar w:fldCharType="end"/>
      </w:r>
      <w:r w:rsidRPr="00033144">
        <w:t xml:space="preserve"> shows the spread between state government debt and Australian government debt up to </w:t>
      </w:r>
      <w:r w:rsidR="00687078">
        <w:t>27 March</w:t>
      </w:r>
      <w:r w:rsidRPr="00033144">
        <w:t xml:space="preserve"> 2016. This uses maturities of three years as more data are available. </w:t>
      </w:r>
      <w:r w:rsidRPr="00033144">
        <w:fldChar w:fldCharType="begin"/>
      </w:r>
      <w:r w:rsidRPr="00033144">
        <w:instrText xml:space="preserve"> REF _Ref433023841 \h </w:instrText>
      </w:r>
      <w:r w:rsidRPr="00033144">
        <w:fldChar w:fldCharType="separate"/>
      </w:r>
      <w:r w:rsidR="001A023B" w:rsidRPr="00033144">
        <w:t xml:space="preserve">Figure </w:t>
      </w:r>
      <w:r w:rsidR="001A023B">
        <w:rPr>
          <w:noProof/>
        </w:rPr>
        <w:t>3</w:t>
      </w:r>
      <w:r w:rsidR="001A023B">
        <w:noBreakHyphen/>
      </w:r>
      <w:r w:rsidR="001A023B">
        <w:rPr>
          <w:noProof/>
        </w:rPr>
        <w:t>10</w:t>
      </w:r>
      <w:r w:rsidRPr="00033144">
        <w:fldChar w:fldCharType="end"/>
      </w:r>
      <w:r w:rsidRPr="00033144">
        <w:t xml:space="preserve"> shows that credit spreads were falling since late 2012, and are now around their pre-2007 levels with no discernible trend. </w:t>
      </w:r>
    </w:p>
    <w:p w:rsidR="00033144" w:rsidRPr="00033144" w:rsidRDefault="00033144" w:rsidP="00033144">
      <w:pPr>
        <w:pStyle w:val="Caption"/>
      </w:pPr>
      <w:bookmarkStart w:id="188" w:name="_Ref433023841"/>
      <w:r w:rsidRPr="00033144">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10</w:t>
      </w:r>
      <w:r w:rsidR="00120312">
        <w:rPr>
          <w:noProof/>
        </w:rPr>
        <w:fldChar w:fldCharType="end"/>
      </w:r>
      <w:bookmarkEnd w:id="188"/>
      <w:r w:rsidRPr="00033144">
        <w:tab/>
        <w:t>State government bond spreads over government yields</w:t>
      </w:r>
    </w:p>
    <w:p w:rsidR="00033144" w:rsidRPr="00033144" w:rsidRDefault="00270CE2" w:rsidP="00270CE2">
      <w:pPr>
        <w:numPr>
          <w:ilvl w:val="0"/>
          <w:numId w:val="24"/>
        </w:numPr>
      </w:pPr>
      <w:r w:rsidRPr="00270CE2">
        <w:rPr>
          <w:noProof/>
          <w:lang w:eastAsia="en-AU"/>
        </w:rPr>
        <w:drawing>
          <wp:inline distT="0" distB="0" distL="0" distR="0" wp14:anchorId="331BAFA9" wp14:editId="482EBCA3">
            <wp:extent cx="5369560" cy="3061970"/>
            <wp:effectExtent l="0" t="0" r="254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9560" cy="3061970"/>
                    </a:xfrm>
                    <a:prstGeom prst="rect">
                      <a:avLst/>
                    </a:prstGeom>
                    <a:noFill/>
                    <a:ln>
                      <a:noFill/>
                    </a:ln>
                  </pic:spPr>
                </pic:pic>
              </a:graphicData>
            </a:graphic>
          </wp:inline>
        </w:drawing>
      </w:r>
    </w:p>
    <w:p w:rsidR="00033144" w:rsidRPr="00033144" w:rsidRDefault="00033144" w:rsidP="00033144">
      <w:pPr>
        <w:pStyle w:val="AERtablesource"/>
      </w:pPr>
      <w:r w:rsidRPr="00033144">
        <w:t xml:space="preserve">Source: </w:t>
      </w:r>
      <w:r w:rsidRPr="00033144">
        <w:tab/>
        <w:t xml:space="preserve">AER analysis, RBA F.2 interest rate statistics. </w:t>
      </w:r>
    </w:p>
    <w:p w:rsidR="00033144" w:rsidRPr="00033144" w:rsidRDefault="00033144" w:rsidP="00033144">
      <w:pPr>
        <w:rPr>
          <w:rStyle w:val="AERbody"/>
        </w:rPr>
      </w:pPr>
      <w:r w:rsidRPr="00033144">
        <w:rPr>
          <w:rStyle w:val="AERbody"/>
        </w:rPr>
        <w:t>On the comparison between the return on equity and return on debt, we consider that prevailing debt market conditions provide support for the view that:</w:t>
      </w:r>
    </w:p>
    <w:p w:rsidR="00033144" w:rsidRPr="00033144" w:rsidRDefault="00033144" w:rsidP="00033144">
      <w:pPr>
        <w:pStyle w:val="AERbulletlistfirststyle"/>
      </w:pPr>
      <w:r w:rsidRPr="00033144">
        <w:t>our estimated return on equity is not below efficient financing costs</w:t>
      </w:r>
      <w:r w:rsidRPr="00033144">
        <w:rPr>
          <w:rStyle w:val="FootnoteReference"/>
        </w:rPr>
        <w:footnoteReference w:id="958"/>
      </w:r>
    </w:p>
    <w:p w:rsidR="00033144" w:rsidRPr="00033144" w:rsidRDefault="003203B3" w:rsidP="00033144">
      <w:pPr>
        <w:pStyle w:val="AERbulletlistfirststyle"/>
      </w:pPr>
      <w:r w:rsidRPr="003203B3">
        <w:t>ActewAGL</w:t>
      </w:r>
      <w:r>
        <w:t>'</w:t>
      </w:r>
      <w:r w:rsidR="00033144" w:rsidRPr="00033144">
        <w:t>s proposed return on equity is likely to exceed efficient financing costs.</w:t>
      </w:r>
    </w:p>
    <w:p w:rsidR="00033144" w:rsidRPr="00033144" w:rsidRDefault="00033144" w:rsidP="00033144">
      <w:pPr>
        <w:numPr>
          <w:ilvl w:val="0"/>
          <w:numId w:val="24"/>
        </w:numPr>
      </w:pPr>
      <w:r w:rsidRPr="00033144">
        <w:t xml:space="preserve">The current debt market is indicating a premium over the risk free rate of about </w:t>
      </w:r>
      <w:r w:rsidR="003203B3">
        <w:t>2.92</w:t>
      </w:r>
      <w:r w:rsidRPr="00033144">
        <w:t xml:space="preserve"> per cent.</w:t>
      </w:r>
      <w:r w:rsidRPr="00033144">
        <w:rPr>
          <w:rStyle w:val="FootnoteReference"/>
        </w:rPr>
        <w:footnoteReference w:id="959"/>
      </w:r>
      <w:r w:rsidRPr="00033144">
        <w:t xml:space="preserve"> This compares to our foundation model equity premium over the risk free rate of 4.55 per cent (given a market risk premium of 6.5 per cent and a beta of 0.7). </w:t>
      </w:r>
      <w:r w:rsidRPr="00033144">
        <w:fldChar w:fldCharType="begin"/>
      </w:r>
      <w:r w:rsidRPr="00033144">
        <w:instrText xml:space="preserve"> REF _Ref417589908 \h </w:instrText>
      </w:r>
      <w:r w:rsidRPr="00033144">
        <w:fldChar w:fldCharType="separate"/>
      </w:r>
      <w:r w:rsidR="001A023B" w:rsidRPr="00033144">
        <w:t xml:space="preserve">Figure </w:t>
      </w:r>
      <w:r w:rsidR="001A023B">
        <w:rPr>
          <w:noProof/>
        </w:rPr>
        <w:t>3</w:t>
      </w:r>
      <w:r w:rsidR="001A023B">
        <w:noBreakHyphen/>
      </w:r>
      <w:r w:rsidR="001A023B">
        <w:rPr>
          <w:noProof/>
        </w:rPr>
        <w:t>11</w:t>
      </w:r>
      <w:r w:rsidRPr="00033144">
        <w:fldChar w:fldCharType="end"/>
      </w:r>
      <w:r w:rsidRPr="00033144">
        <w:t xml:space="preserve"> shows the current and historical debt risk premium and our foundation model equity risk premium. </w:t>
      </w:r>
      <w:r w:rsidR="003203B3" w:rsidRPr="003203B3">
        <w:t>ActewAGL</w:t>
      </w:r>
      <w:r w:rsidRPr="00033144">
        <w:t xml:space="preserve"> proposed an equity risk premium of </w:t>
      </w:r>
      <w:r w:rsidR="003203B3">
        <w:t>7.14</w:t>
      </w:r>
      <w:r w:rsidRPr="00033144">
        <w:t xml:space="preserve"> per cent.</w:t>
      </w:r>
      <w:r w:rsidRPr="00033144">
        <w:rPr>
          <w:rStyle w:val="FootnoteReference"/>
        </w:rPr>
        <w:footnoteReference w:id="960"/>
      </w:r>
    </w:p>
    <w:p w:rsidR="00033144" w:rsidRDefault="00033144" w:rsidP="00033144">
      <w:pPr>
        <w:pStyle w:val="Caption"/>
      </w:pPr>
      <w:bookmarkStart w:id="189" w:name="_Ref417589908"/>
      <w:r w:rsidRPr="00033144">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11</w:t>
      </w:r>
      <w:r w:rsidR="00120312">
        <w:rPr>
          <w:noProof/>
        </w:rPr>
        <w:fldChar w:fldCharType="end"/>
      </w:r>
      <w:bookmarkEnd w:id="189"/>
      <w:r w:rsidRPr="00033144">
        <w:tab/>
        <w:t>Comparison of equity risk premium and indicative debt risk premiums</w:t>
      </w:r>
    </w:p>
    <w:p w:rsidR="003C3515" w:rsidRPr="003C3515" w:rsidRDefault="00270CE2" w:rsidP="009E61A2">
      <w:r w:rsidRPr="00270CE2">
        <w:rPr>
          <w:noProof/>
          <w:lang w:eastAsia="en-AU"/>
        </w:rPr>
        <w:drawing>
          <wp:inline distT="0" distB="0" distL="0" distR="0" wp14:anchorId="51384B96" wp14:editId="77B8AA2E">
            <wp:extent cx="5382895" cy="4578903"/>
            <wp:effectExtent l="0" t="0" r="825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2895" cy="4578903"/>
                    </a:xfrm>
                    <a:prstGeom prst="rect">
                      <a:avLst/>
                    </a:prstGeom>
                    <a:noFill/>
                    <a:ln>
                      <a:noFill/>
                    </a:ln>
                  </pic:spPr>
                </pic:pic>
              </a:graphicData>
            </a:graphic>
          </wp:inline>
        </w:drawing>
      </w:r>
    </w:p>
    <w:p w:rsidR="00033144" w:rsidRPr="00033144" w:rsidRDefault="00033144" w:rsidP="00033144">
      <w:pPr>
        <w:pStyle w:val="AERtablesource"/>
      </w:pPr>
      <w:r w:rsidRPr="00033144">
        <w:t>Source:</w:t>
      </w:r>
      <w:r w:rsidRPr="00033144">
        <w:tab/>
        <w:t>AER analysis, RBA interest rates statistics, Bloomberg data.</w:t>
      </w:r>
    </w:p>
    <w:p w:rsidR="00033144" w:rsidRPr="00033144" w:rsidRDefault="00033144" w:rsidP="00033144">
      <w:pPr>
        <w:numPr>
          <w:ilvl w:val="0"/>
          <w:numId w:val="24"/>
        </w:numPr>
      </w:pPr>
      <w:r w:rsidRPr="00033144">
        <w:t xml:space="preserve">We do not consider that the current </w:t>
      </w:r>
      <w:r w:rsidR="003203B3">
        <w:t>163</w:t>
      </w:r>
      <w:r w:rsidRPr="00033144">
        <w:t xml:space="preserve"> basis points difference between the equity risk premium allowed in this decision and debt risk premiums</w:t>
      </w:r>
      <w:r w:rsidRPr="00033144">
        <w:rPr>
          <w:rStyle w:val="FootnoteReference"/>
        </w:rPr>
        <w:footnoteReference w:id="961"/>
      </w:r>
      <w:r w:rsidRPr="00033144">
        <w:t xml:space="preserve"> to be too low, on the basis of:</w:t>
      </w:r>
    </w:p>
    <w:p w:rsidR="00033144" w:rsidRPr="00033144" w:rsidRDefault="00033144" w:rsidP="00033144">
      <w:pPr>
        <w:pStyle w:val="AERbulletlistfirststyle"/>
      </w:pPr>
      <w:r w:rsidRPr="00033144">
        <w:t>the low risk nature of a benchmark efficient entity as outlined above</w:t>
      </w:r>
    </w:p>
    <w:p w:rsidR="00033144" w:rsidRPr="00033144" w:rsidRDefault="00033144" w:rsidP="00033144">
      <w:pPr>
        <w:pStyle w:val="AERbulletlistfirststyle"/>
      </w:pPr>
      <w:r w:rsidRPr="00033144">
        <w:t>the gap between the equity risk premium and debt risk premium is likely to be wider than stated above, since it compares a promised, pre-tax return on debt to an expected, post-tax return on equity.</w:t>
      </w:r>
      <w:r w:rsidRPr="00033144">
        <w:rPr>
          <w:rStyle w:val="FootnoteReference"/>
        </w:rPr>
        <w:footnoteReference w:id="962"/>
      </w:r>
    </w:p>
    <w:p w:rsidR="00033144" w:rsidRPr="00033144" w:rsidRDefault="00033144" w:rsidP="00033144">
      <w:pPr>
        <w:rPr>
          <w:rStyle w:val="AERbody"/>
        </w:rPr>
      </w:pPr>
      <w:r w:rsidRPr="00033144">
        <w:rPr>
          <w:rStyle w:val="AERbody"/>
        </w:rPr>
        <w:t>In relation to our review of debt risk premiums relative to equity premiums in our April 2015 decisions, ActewAGL submitted:</w:t>
      </w:r>
      <w:r w:rsidRPr="00033144">
        <w:rPr>
          <w:rStyle w:val="FootnoteReference"/>
        </w:rPr>
        <w:footnoteReference w:id="963"/>
      </w:r>
    </w:p>
    <w:p w:rsidR="00033144" w:rsidRPr="00033144" w:rsidRDefault="00033144" w:rsidP="00033144">
      <w:pPr>
        <w:pStyle w:val="AERquote"/>
      </w:pPr>
      <w:r w:rsidRPr="00033144">
        <w:t>In relation to more stable market conditions, ActewAGL Distribution does not consider that the AER provides any supporting evidence that 260 basis points is a sufficient margin. Noting that the debt risk premium for a long time has been between 2 and 4 per cent indicates that the ERP of 4.55 per cent is low when compared with the last 8 years. ActewAGL Distribution also considers that the ‘flight to safety’ in relation to the decreasing CGS values are very likely to have influenced the return on debt</w:t>
      </w:r>
    </w:p>
    <w:p w:rsidR="00033144" w:rsidRPr="00033144" w:rsidRDefault="00033144" w:rsidP="00033144">
      <w:r w:rsidRPr="00033144">
        <w:t>We agree that it is difficult to derive definitive conclusions about equity premiums from data on debt premiums, which is one of the reasons why we give this material a directional role.</w:t>
      </w:r>
      <w:r w:rsidRPr="00033144">
        <w:rPr>
          <w:rStyle w:val="FootnoteReference"/>
        </w:rPr>
        <w:footnoteReference w:id="964"/>
      </w:r>
      <w:r w:rsidRPr="00033144">
        <w:t xml:space="preserve"> It is therefore unclear how ActewAGL reconciles this difficulty in extracting precision from this material with its statement that an equity risk premium of 4.55 per cent is too low. We consider that it is far from clear that a 'flight to safety' has impacted recent risk premiums. As noted by Partington, an alternative and equally plausible view is that low yields on Australian government securities may have driven investors to 'search for yield' with the result of decreasing risk premiums.</w:t>
      </w:r>
      <w:r w:rsidRPr="00033144">
        <w:rPr>
          <w:rStyle w:val="FootnoteReference"/>
        </w:rPr>
        <w:footnoteReference w:id="965"/>
      </w:r>
    </w:p>
    <w:p w:rsidR="00033144" w:rsidRPr="00033144" w:rsidRDefault="00033144" w:rsidP="00033144">
      <w:r w:rsidRPr="00033144">
        <w:t xml:space="preserve">We note that the overall directional evidence shows that debt risk premiums have increased since around mid-2015, but remain below the levels in December 2013 (when our Rate of Return Guideline was published), as shown in </w:t>
      </w:r>
      <w:r w:rsidRPr="00033144">
        <w:fldChar w:fldCharType="begin"/>
      </w:r>
      <w:r w:rsidRPr="00033144">
        <w:instrText xml:space="preserve"> REF _Ref417589908 \h </w:instrText>
      </w:r>
      <w:r w:rsidRPr="00033144">
        <w:fldChar w:fldCharType="separate"/>
      </w:r>
      <w:r w:rsidR="001A023B" w:rsidRPr="00033144">
        <w:t xml:space="preserve">Figure </w:t>
      </w:r>
      <w:r w:rsidR="001A023B">
        <w:rPr>
          <w:noProof/>
        </w:rPr>
        <w:t>3</w:t>
      </w:r>
      <w:r w:rsidR="001A023B">
        <w:noBreakHyphen/>
      </w:r>
      <w:r w:rsidR="001A023B">
        <w:rPr>
          <w:noProof/>
        </w:rPr>
        <w:t>11</w:t>
      </w:r>
      <w:r w:rsidRPr="00033144">
        <w:fldChar w:fldCharType="end"/>
      </w:r>
      <w:r w:rsidRPr="00033144">
        <w:t xml:space="preserve">. </w:t>
      </w:r>
    </w:p>
    <w:p w:rsidR="00033144" w:rsidRPr="00033144" w:rsidRDefault="00033144" w:rsidP="00033144">
      <w:r w:rsidRPr="00033144">
        <w:t xml:space="preserve">We have also examined estimates from broker reports of the spread between debt and equity risk premiums for comparable businesses (see </w:t>
      </w:r>
      <w:r w:rsidRPr="00033144">
        <w:fldChar w:fldCharType="begin"/>
      </w:r>
      <w:r w:rsidRPr="00033144">
        <w:instrText xml:space="preserve"> REF _Ref444730279 \h </w:instrText>
      </w:r>
      <w:r w:rsidRPr="00033144">
        <w:fldChar w:fldCharType="separate"/>
      </w:r>
      <w:r w:rsidR="001A023B" w:rsidRPr="00033144">
        <w:t xml:space="preserve">Figure </w:t>
      </w:r>
      <w:r w:rsidR="001A023B">
        <w:rPr>
          <w:noProof/>
        </w:rPr>
        <w:t>3</w:t>
      </w:r>
      <w:r w:rsidR="001A023B">
        <w:noBreakHyphen/>
      </w:r>
      <w:r w:rsidR="001A023B">
        <w:rPr>
          <w:noProof/>
        </w:rPr>
        <w:t>12</w:t>
      </w:r>
      <w:r w:rsidRPr="00033144">
        <w:fldChar w:fldCharType="end"/>
      </w:r>
      <w:r w:rsidRPr="00033144">
        <w:t>). However, we note that the variance</w:t>
      </w:r>
      <w:r w:rsidRPr="00033144" w:rsidDel="002521C4">
        <w:t xml:space="preserve"> </w:t>
      </w:r>
      <w:r w:rsidRPr="00033144">
        <w:t>in the most recent broker estimates has increased. We consider that this data does not provide a clear indication of brokers' views on recent movements in risk premiums.</w:t>
      </w:r>
    </w:p>
    <w:p w:rsidR="00033144" w:rsidRDefault="00033144" w:rsidP="00033144">
      <w:pPr>
        <w:pStyle w:val="Caption"/>
      </w:pPr>
      <w:bookmarkStart w:id="190" w:name="_Ref444730279"/>
      <w:r w:rsidRPr="00033144">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12</w:t>
      </w:r>
      <w:r w:rsidR="00120312">
        <w:rPr>
          <w:noProof/>
        </w:rPr>
        <w:fldChar w:fldCharType="end"/>
      </w:r>
      <w:bookmarkEnd w:id="190"/>
      <w:r w:rsidRPr="00033144">
        <w:tab/>
        <w:t>Difference between equity and debt premiums in broker reports</w:t>
      </w:r>
    </w:p>
    <w:p w:rsidR="00033144" w:rsidRPr="00033144" w:rsidRDefault="00270CE2" w:rsidP="00033144">
      <w:r w:rsidRPr="00270CE2">
        <w:rPr>
          <w:noProof/>
          <w:lang w:eastAsia="en-AU"/>
        </w:rPr>
        <w:drawing>
          <wp:inline distT="0" distB="0" distL="0" distR="0" wp14:anchorId="48F6AA73" wp14:editId="39F5DA2A">
            <wp:extent cx="5369560" cy="4284980"/>
            <wp:effectExtent l="0" t="0" r="2540"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9560" cy="4284980"/>
                    </a:xfrm>
                    <a:prstGeom prst="rect">
                      <a:avLst/>
                    </a:prstGeom>
                    <a:noFill/>
                    <a:ln>
                      <a:noFill/>
                    </a:ln>
                  </pic:spPr>
                </pic:pic>
              </a:graphicData>
            </a:graphic>
          </wp:inline>
        </w:drawing>
      </w:r>
    </w:p>
    <w:p w:rsidR="00033144" w:rsidRPr="00033144" w:rsidRDefault="00033144" w:rsidP="00033144">
      <w:pPr>
        <w:pStyle w:val="AERtablesource"/>
      </w:pPr>
      <w:r w:rsidRPr="00033144">
        <w:t>Source:</w:t>
      </w:r>
      <w:r w:rsidRPr="00033144">
        <w:tab/>
        <w:t>AER analysis of various relevant broker reports, RBA and Bloomberg data.</w:t>
      </w:r>
    </w:p>
    <w:p w:rsidR="00033144" w:rsidRPr="00033144" w:rsidRDefault="00033144" w:rsidP="00033144">
      <w:pPr>
        <w:pStyle w:val="AERtablesource"/>
      </w:pPr>
      <w:r w:rsidRPr="00033144">
        <w:t xml:space="preserve">Notes: </w:t>
      </w:r>
      <w:r w:rsidRPr="00033144">
        <w:tab/>
        <w:t xml:space="preserve">The broker estimate of the difference between equity and debt risk premium is calculated by deducting brokers' debt risk premium from their equity risk premium. </w:t>
      </w:r>
    </w:p>
    <w:p w:rsidR="00033144" w:rsidRPr="00033144" w:rsidRDefault="00033144" w:rsidP="00033144">
      <w:pPr>
        <w:pStyle w:val="AERtablesource"/>
      </w:pPr>
      <w:r w:rsidRPr="00033144">
        <w:tab/>
        <w:t xml:space="preserve">The indicative estimate is calculated by deducting an estimate of the indicative debt risk premium from the equity risk premium for this decision. The indicative debt risk premium is estimated as the yield on BBB-rated corporate bonds (a simple average of the RBA corporate bond data and Bloomberg BVAL curve) less the yield on 10-year CGS. </w:t>
      </w:r>
    </w:p>
    <w:p w:rsidR="00AD0940" w:rsidRDefault="00AD0940" w:rsidP="00AD0940"/>
    <w:p w:rsidR="00AD0940" w:rsidRDefault="00AD0940" w:rsidP="00AD0940"/>
    <w:p w:rsidR="00730CE8" w:rsidRDefault="00730CE8" w:rsidP="00730CE8">
      <w:pPr>
        <w:pStyle w:val="Heading7"/>
      </w:pPr>
      <w:bookmarkStart w:id="191" w:name="_Toc451945501"/>
      <w:r>
        <w:t>Other practitioner's return on equity estimates</w:t>
      </w:r>
      <w:bookmarkEnd w:id="191"/>
    </w:p>
    <w:p w:rsidR="00033144" w:rsidRPr="00033144" w:rsidRDefault="00033144" w:rsidP="00033144">
      <w:pPr>
        <w:numPr>
          <w:ilvl w:val="0"/>
          <w:numId w:val="24"/>
        </w:numPr>
      </w:pPr>
      <w:r w:rsidRPr="00033144">
        <w:t xml:space="preserve">Other market practitioners may, in the course of their operations, produce return on equity estimates for entities with a similar degree of risk as </w:t>
      </w:r>
      <w:r w:rsidR="003203B3" w:rsidRPr="003203B3">
        <w:t>ActewAGL</w:t>
      </w:r>
      <w:r w:rsidRPr="00033144">
        <w:t xml:space="preserve">. Other practitioners may also produce estimates of input parameters required in the Sharpe-Lintner CAPM (our foundation model). These estimates may be relevant material that can inform our return on equity estimation. </w:t>
      </w:r>
    </w:p>
    <w:p w:rsidR="00033144" w:rsidRPr="00033144" w:rsidRDefault="00033144" w:rsidP="00033144">
      <w:pPr>
        <w:numPr>
          <w:ilvl w:val="0"/>
          <w:numId w:val="24"/>
        </w:numPr>
      </w:pPr>
      <w:r w:rsidRPr="00033144">
        <w:t>Relevant estimates of other market practitioners are typically sourced from surveys, broker reports, valuation reports, and other regulators' decisions. Such estimates are discussed further in the subsections below.</w:t>
      </w:r>
    </w:p>
    <w:p w:rsidR="00033144" w:rsidRPr="00033144" w:rsidRDefault="00033144" w:rsidP="00033144">
      <w:r w:rsidRPr="00033144">
        <w:t xml:space="preserve">We have focused on return on equity estimates for companies with a similar degree of non-diversifiable risks as </w:t>
      </w:r>
      <w:r w:rsidR="003203B3" w:rsidRPr="003203B3">
        <w:t>ActewAGL</w:t>
      </w:r>
      <w:r w:rsidRPr="00033144">
        <w:t xml:space="preserve"> in providing regulated (</w:t>
      </w:r>
      <w:r w:rsidR="003203B3">
        <w:t>reference</w:t>
      </w:r>
      <w:r w:rsidRPr="00033144">
        <w:t xml:space="preserve">) services. This means that greater reliance is placed on electricity and gas network service providers over other types of businesses. Greater reliance is also placed on businesses with revenues that are substantially regulated over businesses with less regulated revenue. We take this approach as it better reflects the degree of risk of </w:t>
      </w:r>
      <w:r w:rsidR="003203B3" w:rsidRPr="003203B3">
        <w:t>ActewAGL</w:t>
      </w:r>
      <w:r w:rsidRPr="00033144">
        <w:t xml:space="preserve"> in relation to the provision of regulated services.</w:t>
      </w:r>
    </w:p>
    <w:p w:rsidR="00033144" w:rsidRPr="00033144" w:rsidRDefault="00033144" w:rsidP="00033144">
      <w:pPr>
        <w:rPr>
          <w:rStyle w:val="AERtextblue"/>
        </w:rPr>
      </w:pPr>
      <w:r w:rsidRPr="00033144">
        <w:t>We have also focused on the equity risk premium rather than the overall return on equity to isolate the business-specific risk premium from movements in the risk free rate</w:t>
      </w:r>
      <w:r w:rsidRPr="00033144">
        <w:rPr>
          <w:rStyle w:val="AERtextblue"/>
        </w:rPr>
        <w:t>.</w:t>
      </w:r>
      <w:r w:rsidRPr="00033144">
        <w:rPr>
          <w:rStyle w:val="FootnoteReference"/>
        </w:rPr>
        <w:footnoteReference w:id="966"/>
      </w:r>
    </w:p>
    <w:p w:rsidR="00730CE8" w:rsidRDefault="00183AFB" w:rsidP="00033144">
      <w:r>
        <w:t xml:space="preserve">Service providers </w:t>
      </w:r>
      <w:r w:rsidR="00033144" w:rsidRPr="00033144">
        <w:t>stated that past decisions of other regulators should not be used as direct evidence of the required return on equity, as they are, 'at best, secondary evidence of the prevailing return on equity at previous points in time' and 'use of such decisions will be circular and self-perpetuating'.</w:t>
      </w:r>
      <w:r w:rsidR="00033144" w:rsidRPr="00033144">
        <w:rPr>
          <w:rStyle w:val="FootnoteReference"/>
        </w:rPr>
        <w:footnoteReference w:id="967"/>
      </w:r>
      <w:r w:rsidR="00033144" w:rsidRPr="00033144">
        <w:t xml:space="preserve"> We note that some estimates from other market practitioners—including from survey respondents, brokers and valuers—may be affected to some extent by 'herding' behaviour.</w:t>
      </w:r>
      <w:r w:rsidR="00033144" w:rsidRPr="00033144">
        <w:rPr>
          <w:rStyle w:val="FootnoteReference"/>
        </w:rPr>
        <w:footnoteReference w:id="968"/>
      </w:r>
      <w:r w:rsidR="00033144" w:rsidRPr="00033144">
        <w:t xml:space="preserve"> We continue to consider that it is relevant for us to have some regard to these estimates, as long as we remain aware of their limitations.</w:t>
      </w:r>
    </w:p>
    <w:p w:rsidR="00730CE8" w:rsidRPr="00730CE8" w:rsidRDefault="00730CE8" w:rsidP="00730CE8">
      <w:pPr>
        <w:pStyle w:val="Heading8"/>
        <w:numPr>
          <w:ilvl w:val="1"/>
          <w:numId w:val="33"/>
        </w:numPr>
      </w:pPr>
      <w:bookmarkStart w:id="192" w:name="_Toc443923230"/>
      <w:bookmarkStart w:id="193" w:name="_Ref446272549"/>
      <w:bookmarkStart w:id="194" w:name="_Toc451945502"/>
      <w:r>
        <w:t>Prevailing estimates: surveys</w:t>
      </w:r>
      <w:bookmarkEnd w:id="192"/>
      <w:bookmarkEnd w:id="193"/>
      <w:bookmarkEnd w:id="194"/>
    </w:p>
    <w:p w:rsidR="00730CE8" w:rsidRPr="00954DE4" w:rsidRDefault="00730CE8" w:rsidP="00730CE8">
      <w:r w:rsidRPr="00C90454">
        <w:t xml:space="preserve">Survey estimates explore investor expectations about the </w:t>
      </w:r>
      <w:r>
        <w:t>market risk premium</w:t>
      </w:r>
      <w:r w:rsidRPr="00954DE4">
        <w:t>. They achieve this by directly asking investors and market practitioners what their expectations are</w:t>
      </w:r>
      <w:r>
        <w:t xml:space="preserve"> and/or what they apply in practice</w:t>
      </w:r>
      <w:r w:rsidRPr="00954DE4">
        <w:t xml:space="preserve">. We </w:t>
      </w:r>
      <w:r>
        <w:t>place</w:t>
      </w:r>
      <w:r w:rsidRPr="00954DE4">
        <w:t xml:space="preserve"> some reliance on survey estimates in estimating the </w:t>
      </w:r>
      <w:r>
        <w:t>market risk premium</w:t>
      </w:r>
      <w:r w:rsidRPr="00954DE4">
        <w:t xml:space="preserve">. </w:t>
      </w:r>
    </w:p>
    <w:p w:rsidR="00730CE8" w:rsidRPr="00954DE4" w:rsidRDefault="00730CE8" w:rsidP="00730CE8">
      <w:r>
        <w:fldChar w:fldCharType="begin"/>
      </w:r>
      <w:r>
        <w:instrText xml:space="preserve"> REF _Ref432620068 \h </w:instrText>
      </w:r>
      <w:r>
        <w:fldChar w:fldCharType="separate"/>
      </w:r>
      <w:r w:rsidR="001A023B">
        <w:t xml:space="preserve">Table </w:t>
      </w:r>
      <w:r w:rsidR="001A023B">
        <w:rPr>
          <w:noProof/>
        </w:rPr>
        <w:t>3</w:t>
      </w:r>
      <w:r w:rsidR="001A023B">
        <w:noBreakHyphen/>
      </w:r>
      <w:r w:rsidR="001A023B">
        <w:rPr>
          <w:noProof/>
        </w:rPr>
        <w:t>33</w:t>
      </w:r>
      <w:r>
        <w:fldChar w:fldCharType="end"/>
      </w:r>
      <w:r>
        <w:t xml:space="preserve"> shows that market risk premium estimates,</w:t>
      </w:r>
      <w:r w:rsidRPr="00954DE4">
        <w:t xml:space="preserve"> from surveys published since 2013</w:t>
      </w:r>
      <w:r>
        <w:t>,</w:t>
      </w:r>
      <w:r w:rsidRPr="00954DE4">
        <w:t xml:space="preserve"> cluster around 6.0 per cent.</w:t>
      </w:r>
      <w:r>
        <w:t xml:space="preserve"> The 2015 survey estimates are generally equal to or lower than their 2013 and 2014 counterparts. This provides some evidence to suggest that investor expectations of the market risk premium have not increased, and may have eased.</w:t>
      </w:r>
    </w:p>
    <w:p w:rsidR="00730CE8" w:rsidRPr="006F371E" w:rsidRDefault="00730CE8" w:rsidP="00730CE8">
      <w:pPr>
        <w:pStyle w:val="Caption"/>
      </w:pPr>
      <w:bookmarkStart w:id="195" w:name="_Ref432620068"/>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33</w:t>
      </w:r>
      <w:r w:rsidR="00120312">
        <w:rPr>
          <w:noProof/>
        </w:rPr>
        <w:fldChar w:fldCharType="end"/>
      </w:r>
      <w:bookmarkEnd w:id="195"/>
      <w:r>
        <w:tab/>
      </w:r>
      <w:r w:rsidRPr="005F2D3F">
        <w:t xml:space="preserve">Key findings </w:t>
      </w:r>
      <w:r>
        <w:t>on market risk premium</w:t>
      </w:r>
      <w:r w:rsidRPr="005F2D3F">
        <w:t xml:space="preserve"> from recent surveys</w:t>
      </w:r>
    </w:p>
    <w:tbl>
      <w:tblPr>
        <w:tblStyle w:val="AERtable-numbers"/>
        <w:tblW w:w="0" w:type="auto"/>
        <w:tblLook w:val="04A0" w:firstRow="1" w:lastRow="0" w:firstColumn="1" w:lastColumn="0" w:noHBand="0" w:noVBand="1"/>
      </w:tblPr>
      <w:tblGrid>
        <w:gridCol w:w="2603"/>
        <w:gridCol w:w="1890"/>
        <w:gridCol w:w="1457"/>
        <w:gridCol w:w="1355"/>
        <w:gridCol w:w="1388"/>
      </w:tblGrid>
      <w:tr w:rsidR="00730CE8" w:rsidRPr="00EF7FC8" w:rsidTr="006D0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730CE8" w:rsidRPr="00730CE8" w:rsidRDefault="00730CE8" w:rsidP="00BA7AE7">
            <w:r>
              <w:t>Survey</w:t>
            </w:r>
          </w:p>
        </w:tc>
        <w:tc>
          <w:tcPr>
            <w:tcW w:w="1890" w:type="dxa"/>
          </w:tcPr>
          <w:p w:rsidR="00730CE8" w:rsidRPr="00730CE8" w:rsidRDefault="00730CE8" w:rsidP="00BA7AE7">
            <w:pPr>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457" w:type="dxa"/>
          </w:tcPr>
          <w:p w:rsidR="00730CE8" w:rsidRPr="00730CE8" w:rsidRDefault="00730CE8" w:rsidP="00BA7AE7">
            <w:pPr>
              <w:cnfStyle w:val="100000000000" w:firstRow="1" w:lastRow="0" w:firstColumn="0" w:lastColumn="0" w:oddVBand="0" w:evenVBand="0" w:oddHBand="0" w:evenHBand="0" w:firstRowFirstColumn="0" w:firstRowLastColumn="0" w:lastRowFirstColumn="0" w:lastRowLastColumn="0"/>
            </w:pPr>
            <w:r w:rsidRPr="00EF7FC8">
              <w:t>Mean</w:t>
            </w:r>
            <w:r w:rsidRPr="00730CE8">
              <w:t xml:space="preserve"> (%)</w:t>
            </w:r>
          </w:p>
        </w:tc>
        <w:tc>
          <w:tcPr>
            <w:tcW w:w="1355" w:type="dxa"/>
          </w:tcPr>
          <w:p w:rsidR="00730CE8" w:rsidRPr="00730CE8" w:rsidRDefault="00730CE8" w:rsidP="00BA7AE7">
            <w:pPr>
              <w:cnfStyle w:val="100000000000" w:firstRow="1" w:lastRow="0" w:firstColumn="0" w:lastColumn="0" w:oddVBand="0" w:evenVBand="0" w:oddHBand="0" w:evenHBand="0" w:firstRowFirstColumn="0" w:firstRowLastColumn="0" w:lastRowFirstColumn="0" w:lastRowLastColumn="0"/>
            </w:pPr>
            <w:r w:rsidRPr="00EF7FC8">
              <w:t>Median</w:t>
            </w:r>
            <w:r w:rsidRPr="00730CE8">
              <w:t xml:space="preserve"> (%)</w:t>
            </w:r>
          </w:p>
        </w:tc>
        <w:tc>
          <w:tcPr>
            <w:tcW w:w="1388" w:type="dxa"/>
          </w:tcPr>
          <w:p w:rsidR="00730CE8" w:rsidRPr="00730CE8" w:rsidRDefault="00730CE8" w:rsidP="00BA7AE7">
            <w:pPr>
              <w:cnfStyle w:val="100000000000" w:firstRow="1" w:lastRow="0" w:firstColumn="0" w:lastColumn="0" w:oddVBand="0" w:evenVBand="0" w:oddHBand="0" w:evenHBand="0" w:firstRowFirstColumn="0" w:firstRowLastColumn="0" w:lastRowFirstColumn="0" w:lastRowLastColumn="0"/>
            </w:pPr>
            <w:r w:rsidRPr="00EF7FC8">
              <w:t>Mode</w:t>
            </w:r>
            <w:r w:rsidRPr="00730CE8">
              <w:t xml:space="preserve"> (%)</w:t>
            </w:r>
          </w:p>
        </w:tc>
      </w:tr>
      <w:tr w:rsidR="00730CE8" w:rsidRPr="00EF7FC8" w:rsidTr="006D0F55">
        <w:tc>
          <w:tcPr>
            <w:cnfStyle w:val="001000000000" w:firstRow="0" w:lastRow="0" w:firstColumn="1" w:lastColumn="0" w:oddVBand="0" w:evenVBand="0" w:oddHBand="0" w:evenHBand="0" w:firstRowFirstColumn="0" w:firstRowLastColumn="0" w:lastRowFirstColumn="0" w:lastRowLastColumn="0"/>
            <w:tcW w:w="2603" w:type="dxa"/>
          </w:tcPr>
          <w:p w:rsidR="00730CE8" w:rsidRPr="00730CE8" w:rsidRDefault="00730CE8" w:rsidP="00BA7AE7">
            <w:r w:rsidRPr="00EF7FC8">
              <w:t>Fernandez</w:t>
            </w:r>
            <w:r w:rsidRPr="00730CE8">
              <w:t xml:space="preserve"> et al (2013)</w:t>
            </w:r>
          </w:p>
        </w:tc>
        <w:tc>
          <w:tcPr>
            <w:tcW w:w="1890" w:type="dxa"/>
          </w:tcPr>
          <w:p w:rsidR="00730CE8" w:rsidRPr="00730CE8" w:rsidRDefault="00730CE8" w:rsidP="00BA7AE7">
            <w:pPr>
              <w:cnfStyle w:val="000000000000" w:firstRow="0" w:lastRow="0" w:firstColumn="0" w:lastColumn="0" w:oddVBand="0" w:evenVBand="0" w:oddHBand="0" w:evenHBand="0" w:firstRowFirstColumn="0" w:firstRowLastColumn="0" w:lastRowFirstColumn="0" w:lastRowLastColumn="0"/>
            </w:pPr>
            <w:r w:rsidRPr="00EF7FC8">
              <w:t>73</w:t>
            </w:r>
          </w:p>
        </w:tc>
        <w:tc>
          <w:tcPr>
            <w:tcW w:w="1457" w:type="dxa"/>
          </w:tcPr>
          <w:p w:rsidR="00730CE8" w:rsidRPr="00730CE8" w:rsidRDefault="00730CE8" w:rsidP="00BA7AE7">
            <w:pPr>
              <w:cnfStyle w:val="000000000000" w:firstRow="0" w:lastRow="0" w:firstColumn="0" w:lastColumn="0" w:oddVBand="0" w:evenVBand="0" w:oddHBand="0" w:evenHBand="0" w:firstRowFirstColumn="0" w:firstRowLastColumn="0" w:lastRowFirstColumn="0" w:lastRowLastColumn="0"/>
            </w:pPr>
            <w:r w:rsidRPr="00EF7FC8">
              <w:t>5.9</w:t>
            </w:r>
          </w:p>
        </w:tc>
        <w:tc>
          <w:tcPr>
            <w:tcW w:w="1355" w:type="dxa"/>
          </w:tcPr>
          <w:p w:rsidR="00730CE8" w:rsidRPr="00730CE8" w:rsidRDefault="00730CE8" w:rsidP="00BA7AE7">
            <w:pPr>
              <w:cnfStyle w:val="000000000000" w:firstRow="0" w:lastRow="0" w:firstColumn="0" w:lastColumn="0" w:oddVBand="0" w:evenVBand="0" w:oddHBand="0" w:evenHBand="0" w:firstRowFirstColumn="0" w:firstRowLastColumn="0" w:lastRowFirstColumn="0" w:lastRowLastColumn="0"/>
            </w:pPr>
            <w:r w:rsidRPr="00EF7FC8">
              <w:t>6.0</w:t>
            </w:r>
          </w:p>
        </w:tc>
        <w:tc>
          <w:tcPr>
            <w:tcW w:w="1388" w:type="dxa"/>
          </w:tcPr>
          <w:p w:rsidR="00730CE8" w:rsidRPr="00730CE8" w:rsidRDefault="00730CE8" w:rsidP="00BA7AE7">
            <w:pPr>
              <w:cnfStyle w:val="000000000000" w:firstRow="0" w:lastRow="0" w:firstColumn="0" w:lastColumn="0" w:oddVBand="0" w:evenVBand="0" w:oddHBand="0" w:evenHBand="0" w:firstRowFirstColumn="0" w:firstRowLastColumn="0" w:lastRowFirstColumn="0" w:lastRowLastColumn="0"/>
            </w:pPr>
            <w:r w:rsidRPr="00EF7FC8">
              <w:t>N/A</w:t>
            </w:r>
          </w:p>
        </w:tc>
      </w:tr>
      <w:tr w:rsidR="00730CE8" w:rsidRPr="00EF7FC8" w:rsidTr="006D0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730CE8" w:rsidRPr="00730CE8" w:rsidRDefault="00730CE8" w:rsidP="00BA7AE7">
            <w:r w:rsidRPr="00EF7FC8">
              <w:t>KPMG (2013)</w:t>
            </w:r>
            <w:r w:rsidRPr="00730CE8">
              <w:rPr>
                <w:rStyle w:val="AERsuperscript"/>
              </w:rPr>
              <w:t>a</w:t>
            </w:r>
          </w:p>
        </w:tc>
        <w:tc>
          <w:tcPr>
            <w:tcW w:w="1890" w:type="dxa"/>
          </w:tcPr>
          <w:p w:rsidR="00730CE8" w:rsidRPr="00730CE8" w:rsidRDefault="00730CE8" w:rsidP="00BA7AE7">
            <w:pPr>
              <w:cnfStyle w:val="000000010000" w:firstRow="0" w:lastRow="0" w:firstColumn="0" w:lastColumn="0" w:oddVBand="0" w:evenVBand="0" w:oddHBand="0" w:evenHBand="1" w:firstRowFirstColumn="0" w:firstRowLastColumn="0" w:lastRowFirstColumn="0" w:lastRowLastColumn="0"/>
            </w:pPr>
            <w:r>
              <w:t>19</w:t>
            </w:r>
          </w:p>
        </w:tc>
        <w:tc>
          <w:tcPr>
            <w:tcW w:w="1457" w:type="dxa"/>
          </w:tcPr>
          <w:p w:rsidR="00730CE8" w:rsidRPr="00730CE8" w:rsidRDefault="00730CE8" w:rsidP="00BA7AE7">
            <w:pPr>
              <w:cnfStyle w:val="000000010000" w:firstRow="0" w:lastRow="0" w:firstColumn="0" w:lastColumn="0" w:oddVBand="0" w:evenVBand="0" w:oddHBand="0" w:evenHBand="1" w:firstRowFirstColumn="0" w:firstRowLastColumn="0" w:lastRowFirstColumn="0" w:lastRowLastColumn="0"/>
            </w:pPr>
            <w:r w:rsidRPr="00EF7FC8">
              <w:t>N/A</w:t>
            </w:r>
          </w:p>
        </w:tc>
        <w:tc>
          <w:tcPr>
            <w:tcW w:w="1355" w:type="dxa"/>
          </w:tcPr>
          <w:p w:rsidR="00730CE8" w:rsidRPr="00730CE8" w:rsidRDefault="00730CE8" w:rsidP="00BA7AE7">
            <w:pPr>
              <w:cnfStyle w:val="000000010000" w:firstRow="0" w:lastRow="0" w:firstColumn="0" w:lastColumn="0" w:oddVBand="0" w:evenVBand="0" w:oddHBand="0" w:evenHBand="1" w:firstRowFirstColumn="0" w:firstRowLastColumn="0" w:lastRowFirstColumn="0" w:lastRowLastColumn="0"/>
            </w:pPr>
            <w:r w:rsidRPr="00EF7FC8">
              <w:t>6.0</w:t>
            </w:r>
          </w:p>
        </w:tc>
        <w:tc>
          <w:tcPr>
            <w:tcW w:w="1388" w:type="dxa"/>
          </w:tcPr>
          <w:p w:rsidR="00730CE8" w:rsidRPr="00730CE8" w:rsidRDefault="00730CE8" w:rsidP="00BA7AE7">
            <w:pPr>
              <w:cnfStyle w:val="000000010000" w:firstRow="0" w:lastRow="0" w:firstColumn="0" w:lastColumn="0" w:oddVBand="0" w:evenVBand="0" w:oddHBand="0" w:evenHBand="1" w:firstRowFirstColumn="0" w:firstRowLastColumn="0" w:lastRowFirstColumn="0" w:lastRowLastColumn="0"/>
            </w:pPr>
            <w:r>
              <w:t>6.0</w:t>
            </w:r>
          </w:p>
        </w:tc>
      </w:tr>
      <w:tr w:rsidR="00730CE8" w:rsidRPr="00EF7FC8" w:rsidTr="006D0F55">
        <w:tc>
          <w:tcPr>
            <w:cnfStyle w:val="001000000000" w:firstRow="0" w:lastRow="0" w:firstColumn="1" w:lastColumn="0" w:oddVBand="0" w:evenVBand="0" w:oddHBand="0" w:evenHBand="0" w:firstRowFirstColumn="0" w:firstRowLastColumn="0" w:lastRowFirstColumn="0" w:lastRowLastColumn="0"/>
            <w:tcW w:w="2603" w:type="dxa"/>
          </w:tcPr>
          <w:p w:rsidR="00730CE8" w:rsidRPr="00730CE8" w:rsidRDefault="00730CE8" w:rsidP="00BA7AE7">
            <w:r w:rsidRPr="00EF7FC8">
              <w:t>Fernandez et al (2013)</w:t>
            </w:r>
          </w:p>
        </w:tc>
        <w:tc>
          <w:tcPr>
            <w:tcW w:w="1890" w:type="dxa"/>
          </w:tcPr>
          <w:p w:rsidR="00730CE8" w:rsidRPr="00730CE8" w:rsidRDefault="00730CE8" w:rsidP="00BA7AE7">
            <w:pPr>
              <w:cnfStyle w:val="000000000000" w:firstRow="0" w:lastRow="0" w:firstColumn="0" w:lastColumn="0" w:oddVBand="0" w:evenVBand="0" w:oddHBand="0" w:evenHBand="0" w:firstRowFirstColumn="0" w:firstRowLastColumn="0" w:lastRowFirstColumn="0" w:lastRowLastColumn="0"/>
            </w:pPr>
            <w:r w:rsidRPr="00EF7FC8">
              <w:t>17</w:t>
            </w:r>
          </w:p>
        </w:tc>
        <w:tc>
          <w:tcPr>
            <w:tcW w:w="1457" w:type="dxa"/>
          </w:tcPr>
          <w:p w:rsidR="00730CE8" w:rsidRPr="00730CE8" w:rsidRDefault="00730CE8" w:rsidP="00BA7AE7">
            <w:pPr>
              <w:cnfStyle w:val="000000000000" w:firstRow="0" w:lastRow="0" w:firstColumn="0" w:lastColumn="0" w:oddVBand="0" w:evenVBand="0" w:oddHBand="0" w:evenHBand="0" w:firstRowFirstColumn="0" w:firstRowLastColumn="0" w:lastRowFirstColumn="0" w:lastRowLastColumn="0"/>
            </w:pPr>
            <w:r w:rsidRPr="00EF7FC8">
              <w:t>6.8</w:t>
            </w:r>
          </w:p>
        </w:tc>
        <w:tc>
          <w:tcPr>
            <w:tcW w:w="1355" w:type="dxa"/>
          </w:tcPr>
          <w:p w:rsidR="00730CE8" w:rsidRPr="00730CE8" w:rsidRDefault="00730CE8" w:rsidP="00BA7AE7">
            <w:pPr>
              <w:cnfStyle w:val="000000000000" w:firstRow="0" w:lastRow="0" w:firstColumn="0" w:lastColumn="0" w:oddVBand="0" w:evenVBand="0" w:oddHBand="0" w:evenHBand="0" w:firstRowFirstColumn="0" w:firstRowLastColumn="0" w:lastRowFirstColumn="0" w:lastRowLastColumn="0"/>
            </w:pPr>
            <w:r w:rsidRPr="00EF7FC8">
              <w:t>5.8</w:t>
            </w:r>
          </w:p>
        </w:tc>
        <w:tc>
          <w:tcPr>
            <w:tcW w:w="1388" w:type="dxa"/>
          </w:tcPr>
          <w:p w:rsidR="00730CE8" w:rsidRPr="00730CE8" w:rsidRDefault="00730CE8" w:rsidP="00BA7AE7">
            <w:pPr>
              <w:cnfStyle w:val="000000000000" w:firstRow="0" w:lastRow="0" w:firstColumn="0" w:lastColumn="0" w:oddVBand="0" w:evenVBand="0" w:oddHBand="0" w:evenHBand="0" w:firstRowFirstColumn="0" w:firstRowLastColumn="0" w:lastRowFirstColumn="0" w:lastRowLastColumn="0"/>
            </w:pPr>
            <w:r w:rsidRPr="00EF7FC8">
              <w:t>N/A</w:t>
            </w:r>
          </w:p>
        </w:tc>
      </w:tr>
      <w:tr w:rsidR="00730CE8" w:rsidRPr="00EF7FC8" w:rsidTr="006D0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730CE8" w:rsidRPr="00730CE8" w:rsidRDefault="00730CE8" w:rsidP="00BA7AE7">
            <w:r>
              <w:t>Asher and Hickling (2013)</w:t>
            </w:r>
          </w:p>
        </w:tc>
        <w:tc>
          <w:tcPr>
            <w:tcW w:w="1890" w:type="dxa"/>
          </w:tcPr>
          <w:p w:rsidR="00730CE8" w:rsidRPr="00730CE8" w:rsidRDefault="00730CE8" w:rsidP="00BA7AE7">
            <w:pPr>
              <w:cnfStyle w:val="000000010000" w:firstRow="0" w:lastRow="0" w:firstColumn="0" w:lastColumn="0" w:oddVBand="0" w:evenVBand="0" w:oddHBand="0" w:evenHBand="1" w:firstRowFirstColumn="0" w:firstRowLastColumn="0" w:lastRowFirstColumn="0" w:lastRowLastColumn="0"/>
            </w:pPr>
            <w:r>
              <w:t>46</w:t>
            </w:r>
          </w:p>
        </w:tc>
        <w:tc>
          <w:tcPr>
            <w:tcW w:w="1457" w:type="dxa"/>
          </w:tcPr>
          <w:p w:rsidR="00730CE8" w:rsidRPr="00730CE8" w:rsidRDefault="00730CE8" w:rsidP="00BA7AE7">
            <w:pPr>
              <w:cnfStyle w:val="000000010000" w:firstRow="0" w:lastRow="0" w:firstColumn="0" w:lastColumn="0" w:oddVBand="0" w:evenVBand="0" w:oddHBand="0" w:evenHBand="1" w:firstRowFirstColumn="0" w:firstRowLastColumn="0" w:lastRowFirstColumn="0" w:lastRowLastColumn="0"/>
            </w:pPr>
            <w:r>
              <w:t>4.8</w:t>
            </w:r>
          </w:p>
        </w:tc>
        <w:tc>
          <w:tcPr>
            <w:tcW w:w="1355" w:type="dxa"/>
          </w:tcPr>
          <w:p w:rsidR="00730CE8" w:rsidRPr="00730CE8" w:rsidRDefault="00730CE8" w:rsidP="00BA7AE7">
            <w:pPr>
              <w:cnfStyle w:val="000000010000" w:firstRow="0" w:lastRow="0" w:firstColumn="0" w:lastColumn="0" w:oddVBand="0" w:evenVBand="0" w:oddHBand="0" w:evenHBand="1" w:firstRowFirstColumn="0" w:firstRowLastColumn="0" w:lastRowFirstColumn="0" w:lastRowLastColumn="0"/>
            </w:pPr>
            <w:r>
              <w:t>5.0</w:t>
            </w:r>
          </w:p>
        </w:tc>
        <w:tc>
          <w:tcPr>
            <w:tcW w:w="1388" w:type="dxa"/>
          </w:tcPr>
          <w:p w:rsidR="00730CE8" w:rsidRPr="00730CE8" w:rsidRDefault="00730CE8" w:rsidP="00BA7AE7">
            <w:pPr>
              <w:cnfStyle w:val="000000010000" w:firstRow="0" w:lastRow="0" w:firstColumn="0" w:lastColumn="0" w:oddVBand="0" w:evenVBand="0" w:oddHBand="0" w:evenHBand="1" w:firstRowFirstColumn="0" w:firstRowLastColumn="0" w:lastRowFirstColumn="0" w:lastRowLastColumn="0"/>
            </w:pPr>
            <w:r>
              <w:t>6.0</w:t>
            </w:r>
          </w:p>
        </w:tc>
      </w:tr>
      <w:tr w:rsidR="00730CE8" w:rsidRPr="00EF7FC8" w:rsidTr="006D0F55">
        <w:tc>
          <w:tcPr>
            <w:cnfStyle w:val="001000000000" w:firstRow="0" w:lastRow="0" w:firstColumn="1" w:lastColumn="0" w:oddVBand="0" w:evenVBand="0" w:oddHBand="0" w:evenHBand="0" w:firstRowFirstColumn="0" w:firstRowLastColumn="0" w:lastRowFirstColumn="0" w:lastRowLastColumn="0"/>
            <w:tcW w:w="2603" w:type="dxa"/>
          </w:tcPr>
          <w:p w:rsidR="00730CE8" w:rsidRPr="00730CE8" w:rsidRDefault="00730CE8" w:rsidP="00BA7AE7">
            <w:r>
              <w:t xml:space="preserve">Fernandez </w:t>
            </w:r>
            <w:r w:rsidRPr="00730CE8">
              <w:t>et al (2014)</w:t>
            </w:r>
            <w:r w:rsidRPr="00730CE8">
              <w:rPr>
                <w:rStyle w:val="AERsuperscript"/>
              </w:rPr>
              <w:t xml:space="preserve"> b</w:t>
            </w:r>
          </w:p>
        </w:tc>
        <w:tc>
          <w:tcPr>
            <w:tcW w:w="1890" w:type="dxa"/>
          </w:tcPr>
          <w:p w:rsidR="00730CE8" w:rsidRPr="00730CE8" w:rsidRDefault="00730CE8" w:rsidP="00BA7AE7">
            <w:pPr>
              <w:cnfStyle w:val="000000000000" w:firstRow="0" w:lastRow="0" w:firstColumn="0" w:lastColumn="0" w:oddVBand="0" w:evenVBand="0" w:oddHBand="0" w:evenHBand="0" w:firstRowFirstColumn="0" w:firstRowLastColumn="0" w:lastRowFirstColumn="0" w:lastRowLastColumn="0"/>
            </w:pPr>
            <w:r>
              <w:t>93</w:t>
            </w:r>
          </w:p>
        </w:tc>
        <w:tc>
          <w:tcPr>
            <w:tcW w:w="1457" w:type="dxa"/>
          </w:tcPr>
          <w:p w:rsidR="00730CE8" w:rsidRPr="00730CE8" w:rsidRDefault="00730CE8" w:rsidP="00BA7AE7">
            <w:pPr>
              <w:cnfStyle w:val="000000000000" w:firstRow="0" w:lastRow="0" w:firstColumn="0" w:lastColumn="0" w:oddVBand="0" w:evenVBand="0" w:oddHBand="0" w:evenHBand="0" w:firstRowFirstColumn="0" w:firstRowLastColumn="0" w:lastRowFirstColumn="0" w:lastRowLastColumn="0"/>
            </w:pPr>
            <w:r>
              <w:t>5.9</w:t>
            </w:r>
          </w:p>
        </w:tc>
        <w:tc>
          <w:tcPr>
            <w:tcW w:w="1355" w:type="dxa"/>
          </w:tcPr>
          <w:p w:rsidR="00730CE8" w:rsidRPr="00730CE8" w:rsidRDefault="00730CE8" w:rsidP="00BA7AE7">
            <w:pPr>
              <w:cnfStyle w:val="000000000000" w:firstRow="0" w:lastRow="0" w:firstColumn="0" w:lastColumn="0" w:oddVBand="0" w:evenVBand="0" w:oddHBand="0" w:evenHBand="0" w:firstRowFirstColumn="0" w:firstRowLastColumn="0" w:lastRowFirstColumn="0" w:lastRowLastColumn="0"/>
            </w:pPr>
            <w:r>
              <w:t>6.0</w:t>
            </w:r>
          </w:p>
        </w:tc>
        <w:tc>
          <w:tcPr>
            <w:tcW w:w="1388" w:type="dxa"/>
          </w:tcPr>
          <w:p w:rsidR="00730CE8" w:rsidRPr="00730CE8" w:rsidRDefault="00730CE8" w:rsidP="00BA7AE7">
            <w:pPr>
              <w:cnfStyle w:val="000000000000" w:firstRow="0" w:lastRow="0" w:firstColumn="0" w:lastColumn="0" w:oddVBand="0" w:evenVBand="0" w:oddHBand="0" w:evenHBand="0" w:firstRowFirstColumn="0" w:firstRowLastColumn="0" w:lastRowFirstColumn="0" w:lastRowLastColumn="0"/>
            </w:pPr>
            <w:r>
              <w:t>N/A</w:t>
            </w:r>
          </w:p>
        </w:tc>
      </w:tr>
      <w:tr w:rsidR="00730CE8" w:rsidRPr="00EF7FC8" w:rsidTr="006D0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730CE8" w:rsidRPr="00730CE8" w:rsidRDefault="00730CE8" w:rsidP="00BA7AE7">
            <w:r>
              <w:t>Asher and Hickling (2015)</w:t>
            </w:r>
            <w:r w:rsidRPr="00730CE8">
              <w:rPr>
                <w:rStyle w:val="AERsuperscript"/>
              </w:rPr>
              <w:t xml:space="preserve"> c</w:t>
            </w:r>
          </w:p>
        </w:tc>
        <w:tc>
          <w:tcPr>
            <w:tcW w:w="1890" w:type="dxa"/>
          </w:tcPr>
          <w:p w:rsidR="00730CE8" w:rsidRPr="00730CE8" w:rsidRDefault="00730CE8" w:rsidP="00BA7AE7">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730CE8" w:rsidRPr="00730CE8" w:rsidRDefault="00730CE8" w:rsidP="00BA7AE7">
            <w:pPr>
              <w:cnfStyle w:val="000000010000" w:firstRow="0" w:lastRow="0" w:firstColumn="0" w:lastColumn="0" w:oddVBand="0" w:evenVBand="0" w:oddHBand="0" w:evenHBand="1" w:firstRowFirstColumn="0" w:firstRowLastColumn="0" w:lastRowFirstColumn="0" w:lastRowLastColumn="0"/>
            </w:pPr>
            <w:r>
              <w:t>4.4</w:t>
            </w:r>
          </w:p>
        </w:tc>
        <w:tc>
          <w:tcPr>
            <w:tcW w:w="1355" w:type="dxa"/>
          </w:tcPr>
          <w:p w:rsidR="00730CE8" w:rsidRPr="00730CE8" w:rsidRDefault="00730CE8" w:rsidP="00BA7AE7">
            <w:pPr>
              <w:cnfStyle w:val="000000010000" w:firstRow="0" w:lastRow="0" w:firstColumn="0" w:lastColumn="0" w:oddVBand="0" w:evenVBand="0" w:oddHBand="0" w:evenHBand="1" w:firstRowFirstColumn="0" w:firstRowLastColumn="0" w:lastRowFirstColumn="0" w:lastRowLastColumn="0"/>
            </w:pPr>
            <w:r>
              <w:t>4.6</w:t>
            </w:r>
          </w:p>
        </w:tc>
        <w:tc>
          <w:tcPr>
            <w:tcW w:w="1388" w:type="dxa"/>
          </w:tcPr>
          <w:p w:rsidR="00730CE8" w:rsidRPr="00730CE8" w:rsidRDefault="00730CE8" w:rsidP="00BA7AE7">
            <w:pPr>
              <w:cnfStyle w:val="000000010000" w:firstRow="0" w:lastRow="0" w:firstColumn="0" w:lastColumn="0" w:oddVBand="0" w:evenVBand="0" w:oddHBand="0" w:evenHBand="1" w:firstRowFirstColumn="0" w:firstRowLastColumn="0" w:lastRowFirstColumn="0" w:lastRowLastColumn="0"/>
            </w:pPr>
            <w:r>
              <w:t>6.0</w:t>
            </w:r>
          </w:p>
        </w:tc>
      </w:tr>
      <w:tr w:rsidR="00730CE8" w:rsidRPr="00EF7FC8" w:rsidTr="006D0F55">
        <w:tc>
          <w:tcPr>
            <w:cnfStyle w:val="001000000000" w:firstRow="0" w:lastRow="0" w:firstColumn="1" w:lastColumn="0" w:oddVBand="0" w:evenVBand="0" w:oddHBand="0" w:evenHBand="0" w:firstRowFirstColumn="0" w:firstRowLastColumn="0" w:lastRowFirstColumn="0" w:lastRowLastColumn="0"/>
            <w:tcW w:w="2603" w:type="dxa"/>
          </w:tcPr>
          <w:p w:rsidR="00730CE8" w:rsidRPr="00730CE8" w:rsidRDefault="00730CE8" w:rsidP="00BA7AE7">
            <w:r>
              <w:t>Fernandez et al (2015</w:t>
            </w:r>
            <w:r w:rsidRPr="00730CE8">
              <w:t>)</w:t>
            </w:r>
          </w:p>
        </w:tc>
        <w:tc>
          <w:tcPr>
            <w:tcW w:w="1890" w:type="dxa"/>
          </w:tcPr>
          <w:p w:rsidR="00730CE8" w:rsidRPr="00730CE8" w:rsidRDefault="00730CE8" w:rsidP="00BA7AE7">
            <w:pPr>
              <w:cnfStyle w:val="000000000000" w:firstRow="0" w:lastRow="0" w:firstColumn="0" w:lastColumn="0" w:oddVBand="0" w:evenVBand="0" w:oddHBand="0" w:evenHBand="0" w:firstRowFirstColumn="0" w:firstRowLastColumn="0" w:lastRowFirstColumn="0" w:lastRowLastColumn="0"/>
            </w:pPr>
            <w:r>
              <w:t>40</w:t>
            </w:r>
          </w:p>
        </w:tc>
        <w:tc>
          <w:tcPr>
            <w:tcW w:w="1457" w:type="dxa"/>
          </w:tcPr>
          <w:p w:rsidR="00730CE8" w:rsidRPr="00730CE8" w:rsidRDefault="00730CE8" w:rsidP="00BA7AE7">
            <w:pPr>
              <w:cnfStyle w:val="000000000000" w:firstRow="0" w:lastRow="0" w:firstColumn="0" w:lastColumn="0" w:oddVBand="0" w:evenVBand="0" w:oddHBand="0" w:evenHBand="0" w:firstRowFirstColumn="0" w:firstRowLastColumn="0" w:lastRowFirstColumn="0" w:lastRowLastColumn="0"/>
            </w:pPr>
            <w:r>
              <w:t>6.0</w:t>
            </w:r>
          </w:p>
        </w:tc>
        <w:tc>
          <w:tcPr>
            <w:tcW w:w="1355" w:type="dxa"/>
          </w:tcPr>
          <w:p w:rsidR="00730CE8" w:rsidRPr="00730CE8" w:rsidRDefault="00730CE8" w:rsidP="00BA7AE7">
            <w:pPr>
              <w:cnfStyle w:val="000000000000" w:firstRow="0" w:lastRow="0" w:firstColumn="0" w:lastColumn="0" w:oddVBand="0" w:evenVBand="0" w:oddHBand="0" w:evenHBand="0" w:firstRowFirstColumn="0" w:firstRowLastColumn="0" w:lastRowFirstColumn="0" w:lastRowLastColumn="0"/>
            </w:pPr>
            <w:r>
              <w:t>5.1</w:t>
            </w:r>
          </w:p>
        </w:tc>
        <w:tc>
          <w:tcPr>
            <w:tcW w:w="1388" w:type="dxa"/>
          </w:tcPr>
          <w:p w:rsidR="00730CE8" w:rsidRPr="00730CE8" w:rsidRDefault="00730CE8" w:rsidP="00BA7AE7">
            <w:pPr>
              <w:cnfStyle w:val="000000000000" w:firstRow="0" w:lastRow="0" w:firstColumn="0" w:lastColumn="0" w:oddVBand="0" w:evenVBand="0" w:oddHBand="0" w:evenHBand="0" w:firstRowFirstColumn="0" w:firstRowLastColumn="0" w:lastRowFirstColumn="0" w:lastRowLastColumn="0"/>
            </w:pPr>
            <w:r>
              <w:t>N/A</w:t>
            </w:r>
          </w:p>
        </w:tc>
      </w:tr>
      <w:tr w:rsidR="00730CE8" w:rsidRPr="00EF7FC8" w:rsidTr="006D0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730CE8" w:rsidRPr="00730CE8" w:rsidRDefault="00730CE8" w:rsidP="00BA7AE7">
            <w:r>
              <w:t>KPMG (2015)</w:t>
            </w:r>
            <w:r w:rsidRPr="00730CE8">
              <w:rPr>
                <w:rStyle w:val="AERsuperscript"/>
              </w:rPr>
              <w:t xml:space="preserve"> d</w:t>
            </w:r>
          </w:p>
        </w:tc>
        <w:tc>
          <w:tcPr>
            <w:tcW w:w="1890" w:type="dxa"/>
          </w:tcPr>
          <w:p w:rsidR="00730CE8" w:rsidRPr="00730CE8" w:rsidRDefault="00730CE8" w:rsidP="00BA7AE7">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730CE8" w:rsidRPr="00730CE8" w:rsidRDefault="00730CE8" w:rsidP="00BA7AE7">
            <w:pPr>
              <w:cnfStyle w:val="000000010000" w:firstRow="0" w:lastRow="0" w:firstColumn="0" w:lastColumn="0" w:oddVBand="0" w:evenVBand="0" w:oddHBand="0" w:evenHBand="1" w:firstRowFirstColumn="0" w:firstRowLastColumn="0" w:lastRowFirstColumn="0" w:lastRowLastColumn="0"/>
            </w:pPr>
            <w:r>
              <w:t>N/A</w:t>
            </w:r>
          </w:p>
        </w:tc>
        <w:tc>
          <w:tcPr>
            <w:tcW w:w="1355" w:type="dxa"/>
          </w:tcPr>
          <w:p w:rsidR="00730CE8" w:rsidRPr="00730CE8" w:rsidRDefault="00730CE8" w:rsidP="00BA7AE7">
            <w:pPr>
              <w:cnfStyle w:val="000000010000" w:firstRow="0" w:lastRow="0" w:firstColumn="0" w:lastColumn="0" w:oddVBand="0" w:evenVBand="0" w:oddHBand="0" w:evenHBand="1" w:firstRowFirstColumn="0" w:firstRowLastColumn="0" w:lastRowFirstColumn="0" w:lastRowLastColumn="0"/>
            </w:pPr>
            <w:r>
              <w:t>6.0</w:t>
            </w:r>
          </w:p>
        </w:tc>
        <w:tc>
          <w:tcPr>
            <w:tcW w:w="1388" w:type="dxa"/>
          </w:tcPr>
          <w:p w:rsidR="00730CE8" w:rsidRPr="00730CE8" w:rsidRDefault="00730CE8" w:rsidP="00BA7AE7">
            <w:pPr>
              <w:cnfStyle w:val="000000010000" w:firstRow="0" w:lastRow="0" w:firstColumn="0" w:lastColumn="0" w:oddVBand="0" w:evenVBand="0" w:oddHBand="0" w:evenHBand="1" w:firstRowFirstColumn="0" w:firstRowLastColumn="0" w:lastRowFirstColumn="0" w:lastRowLastColumn="0"/>
            </w:pPr>
            <w:r>
              <w:t>6.0</w:t>
            </w:r>
          </w:p>
        </w:tc>
      </w:tr>
    </w:tbl>
    <w:p w:rsidR="00730CE8" w:rsidRDefault="00730CE8" w:rsidP="00730CE8">
      <w:pPr>
        <w:pStyle w:val="AERtablesource"/>
      </w:pPr>
      <w:r>
        <w:t>Sources:  Several survey reports.</w:t>
      </w:r>
      <w:r>
        <w:rPr>
          <w:rStyle w:val="FootnoteReference"/>
        </w:rPr>
        <w:footnoteReference w:id="969"/>
      </w:r>
    </w:p>
    <w:p w:rsidR="00730CE8" w:rsidRDefault="00730CE8" w:rsidP="00730CE8">
      <w:pPr>
        <w:pStyle w:val="AERtablesource"/>
      </w:pPr>
      <w:r w:rsidRPr="003723C8">
        <w:t xml:space="preserve">Notes: </w:t>
      </w:r>
      <w:r w:rsidRPr="003723C8">
        <w:tab/>
      </w:r>
      <w:r>
        <w:t>a) While this survey had 23 market participants, 19 specified what market risk premium they used.</w:t>
      </w:r>
    </w:p>
    <w:p w:rsidR="00730CE8" w:rsidRDefault="00730CE8" w:rsidP="00730CE8">
      <w:pPr>
        <w:pStyle w:val="AERtablesource"/>
      </w:pPr>
      <w:r>
        <w:tab/>
        <w:t>b</w:t>
      </w:r>
      <w:r w:rsidRPr="003723C8">
        <w:t xml:space="preserve">) The 2014 survey did not report the response rate. AER staff obtained this information from Professor Fernandez via email </w:t>
      </w:r>
      <w:r>
        <w:t xml:space="preserve">correspondence on 22 July 2014. </w:t>
      </w:r>
    </w:p>
    <w:p w:rsidR="00730CE8" w:rsidRDefault="00730CE8" w:rsidP="00730CE8">
      <w:pPr>
        <w:pStyle w:val="AERtablesource"/>
      </w:pPr>
      <w:r>
        <w:tab/>
        <w:t xml:space="preserve">c) The response rate for this survey is lower than the response rate in previous Asher and Hickling surveys because the survey took place from 5 December 2014 to 14 December 2014, which was very close to Christmas. </w:t>
      </w:r>
      <w:r w:rsidRPr="003723C8">
        <w:t xml:space="preserve">AER staff obtained </w:t>
      </w:r>
      <w:r>
        <w:t>the mode</w:t>
      </w:r>
      <w:r w:rsidRPr="003723C8">
        <w:t xml:space="preserve"> from </w:t>
      </w:r>
      <w:r>
        <w:t xml:space="preserve">Associate </w:t>
      </w:r>
      <w:r w:rsidRPr="003723C8">
        <w:t xml:space="preserve">Professor </w:t>
      </w:r>
      <w:r>
        <w:t xml:space="preserve">Anthony Asher </w:t>
      </w:r>
      <w:r w:rsidRPr="003723C8">
        <w:t xml:space="preserve">via email </w:t>
      </w:r>
      <w:r>
        <w:t>correspondence on 17 September 2015.</w:t>
      </w:r>
    </w:p>
    <w:p w:rsidR="00730CE8" w:rsidRPr="00B74249" w:rsidRDefault="00730CE8" w:rsidP="00730CE8">
      <w:pPr>
        <w:pStyle w:val="AERtablesource"/>
      </w:pPr>
      <w:r>
        <w:tab/>
        <w:t>d) The KPMG (2015) survey had 29 market participants, but figure 24 indicates that not all the market participants gave a response for the market risk premium. However, visual inspection indicates that the response rate was approximately 27.</w:t>
      </w:r>
    </w:p>
    <w:p w:rsidR="00730CE8" w:rsidRDefault="00730CE8" w:rsidP="00730CE8">
      <w:pPr>
        <w:rPr>
          <w:rStyle w:val="AERbody"/>
        </w:rPr>
      </w:pPr>
      <w:r>
        <w:rPr>
          <w:rStyle w:val="AERbody"/>
        </w:rPr>
        <w:t>Several factors should be considered when examining survey evidence:</w:t>
      </w:r>
      <w:r>
        <w:rPr>
          <w:rStyle w:val="FootnoteReference"/>
        </w:rPr>
        <w:footnoteReference w:id="970"/>
      </w:r>
    </w:p>
    <w:p w:rsidR="00730CE8" w:rsidRPr="00730CE8" w:rsidRDefault="00730CE8" w:rsidP="00730CE8">
      <w:pPr>
        <w:pStyle w:val="AERbulletlistfirststyle"/>
      </w:pPr>
      <w:r>
        <w:t>Timing of the survey—we consider the timing of each survey is clear in all but two surveys we consider. The earliest survey we consider was published in January 2013 but its questionnaires were sent out in May and June 2012.</w:t>
      </w:r>
      <w:r w:rsidRPr="00730CE8">
        <w:rPr>
          <w:rStyle w:val="FootnoteReference"/>
        </w:rPr>
        <w:footnoteReference w:id="971"/>
      </w:r>
      <w:r w:rsidRPr="00730CE8">
        <w:t xml:space="preserve">  </w:t>
      </w:r>
    </w:p>
    <w:p w:rsidR="00730CE8" w:rsidRPr="00730CE8" w:rsidRDefault="00730CE8" w:rsidP="00730CE8">
      <w:pPr>
        <w:pStyle w:val="AERbulletlistfirststyle"/>
      </w:pPr>
      <w:r>
        <w:t>Sample of respondents—f</w:t>
      </w:r>
      <w:r w:rsidRPr="00730CE8">
        <w:t>inancial managers and analysts, expert valuers, actuaries, finance academics, investment banks, professional services firms and infrastructure funds were among the target respondents of surveys. These professionals apply the market risk premium, so we consider the surveys' target populations can make informed judgments about the market risk premium. Each survey also sets out the selection of the sample surveyed (or respondents).</w:t>
      </w:r>
      <w:r w:rsidRPr="00730CE8">
        <w:rPr>
          <w:rStyle w:val="FootnoteReference"/>
        </w:rPr>
        <w:footnoteReference w:id="972"/>
      </w:r>
    </w:p>
    <w:p w:rsidR="00730CE8" w:rsidRPr="00730CE8" w:rsidRDefault="00730CE8" w:rsidP="00730CE8">
      <w:pPr>
        <w:pStyle w:val="AERbulletlistfirststyle"/>
      </w:pPr>
      <w:r>
        <w:t xml:space="preserve">Wording of survey questionnaires—we consider the </w:t>
      </w:r>
      <w:r w:rsidRPr="00730CE8">
        <w:t>adequacy of survey wording can be subjective to judge and often relies on the quality of the authors. However, we also consider confidence in this area can be enhanced when the work is published in a refereed academic journal, or when the survey is repeated. In our sample, only the KPMG survey has not been repeated at least three times.</w:t>
      </w:r>
    </w:p>
    <w:p w:rsidR="00730CE8" w:rsidRPr="00730CE8" w:rsidRDefault="00730CE8" w:rsidP="00730CE8">
      <w:pPr>
        <w:pStyle w:val="AERbulletlistfirststyle"/>
      </w:pPr>
      <w:r>
        <w:t>Survey response rate and non-response bias—</w:t>
      </w:r>
      <w:r w:rsidRPr="00730CE8">
        <w:t>McKenzie and Partington suggested a sample size of more than 30 is sufficiently large statistically so a representative sample of 30 respondents is expected to be adequate.</w:t>
      </w:r>
      <w:r w:rsidRPr="00730CE8">
        <w:rPr>
          <w:rStyle w:val="FootnoteReference"/>
        </w:rPr>
        <w:footnoteReference w:id="973"/>
      </w:r>
      <w:r w:rsidRPr="00730CE8">
        <w:t xml:space="preserve"> </w:t>
      </w:r>
    </w:p>
    <w:p w:rsidR="00730CE8" w:rsidRDefault="00730CE8" w:rsidP="00730CE8">
      <w:r w:rsidRPr="00C563D0">
        <w:rPr>
          <w:rStyle w:val="AERbody"/>
        </w:rPr>
        <w:t xml:space="preserve">After having regard to the above factors, we consider that the survey estimates in </w:t>
      </w:r>
      <w:r>
        <w:rPr>
          <w:rStyle w:val="AERbody"/>
        </w:rPr>
        <w:fldChar w:fldCharType="begin"/>
      </w:r>
      <w:r>
        <w:rPr>
          <w:rStyle w:val="AERbody"/>
        </w:rPr>
        <w:instrText xml:space="preserve"> REF _Ref432620068 \h </w:instrText>
      </w:r>
      <w:r>
        <w:rPr>
          <w:rStyle w:val="AERbody"/>
        </w:rPr>
      </w:r>
      <w:r>
        <w:rPr>
          <w:rStyle w:val="AERbody"/>
        </w:rPr>
        <w:fldChar w:fldCharType="separate"/>
      </w:r>
      <w:r w:rsidR="001A023B">
        <w:t xml:space="preserve">Table </w:t>
      </w:r>
      <w:r w:rsidR="001A023B">
        <w:rPr>
          <w:noProof/>
        </w:rPr>
        <w:t>3</w:t>
      </w:r>
      <w:r w:rsidR="001A023B">
        <w:noBreakHyphen/>
      </w:r>
      <w:r w:rsidR="001A023B">
        <w:rPr>
          <w:noProof/>
        </w:rPr>
        <w:t>33</w:t>
      </w:r>
      <w:r>
        <w:rPr>
          <w:rStyle w:val="AERbody"/>
        </w:rPr>
        <w:fldChar w:fldCharType="end"/>
      </w:r>
      <w:r w:rsidRPr="00C563D0">
        <w:rPr>
          <w:rStyle w:val="AERbody"/>
        </w:rPr>
        <w:t xml:space="preserve"> are useful for informing our </w:t>
      </w:r>
      <w:r>
        <w:rPr>
          <w:rStyle w:val="AERbody"/>
        </w:rPr>
        <w:t>market risk premium</w:t>
      </w:r>
      <w:r w:rsidRPr="00C563D0">
        <w:rPr>
          <w:rStyle w:val="AERbody"/>
        </w:rPr>
        <w:t xml:space="preserve"> estimate.</w:t>
      </w:r>
      <w:r>
        <w:t xml:space="preserve"> We note that triangulation across surveys can reduce the limitations associated with particular survey evidence.</w:t>
      </w:r>
      <w:r>
        <w:rPr>
          <w:rStyle w:val="FootnoteReference"/>
        </w:rPr>
        <w:footnoteReference w:id="974"/>
      </w:r>
      <w:r>
        <w:t xml:space="preserve"> </w:t>
      </w:r>
    </w:p>
    <w:p w:rsidR="00730CE8" w:rsidRPr="00C852A1" w:rsidRDefault="00730CE8" w:rsidP="00730CE8">
      <w:r w:rsidRPr="00C852A1">
        <w:t xml:space="preserve">SFG submitted that survey evidence does not </w:t>
      </w:r>
      <w:r>
        <w:t>reflect expected market risk premium</w:t>
      </w:r>
      <w:r w:rsidRPr="00C852A1">
        <w:t xml:space="preserve"> because the </w:t>
      </w:r>
      <w:r>
        <w:t>respondents</w:t>
      </w:r>
      <w:r w:rsidRPr="00C852A1">
        <w:t xml:space="preserve"> are simply regurgitating historical excess returns.</w:t>
      </w:r>
      <w:r w:rsidRPr="00C852A1">
        <w:rPr>
          <w:rStyle w:val="FootnoteReference"/>
        </w:rPr>
        <w:footnoteReference w:id="975"/>
      </w:r>
      <w:r w:rsidRPr="00C852A1">
        <w:t xml:space="preserve"> We do not agree. We consider </w:t>
      </w:r>
      <w:r>
        <w:t xml:space="preserve">that the </w:t>
      </w:r>
      <w:r w:rsidRPr="00C852A1">
        <w:t xml:space="preserve">survey </w:t>
      </w:r>
      <w:r>
        <w:t xml:space="preserve">questions and responses indicate that the </w:t>
      </w:r>
      <w:r w:rsidRPr="00C852A1">
        <w:t xml:space="preserve">estimates reflect investors' expectations of the </w:t>
      </w:r>
      <w:r>
        <w:t>market risk premium</w:t>
      </w:r>
      <w:r w:rsidRPr="00C852A1">
        <w:t>. What evidence investors use to form their expectations is their choice and, in our view, does not deem these estimates irrelevant.</w:t>
      </w:r>
    </w:p>
    <w:p w:rsidR="00730CE8" w:rsidRDefault="00730CE8" w:rsidP="00730CE8">
      <w:r w:rsidRPr="00C852A1">
        <w:t xml:space="preserve">Several service providers also submitted that the surveys we use do not appear to </w:t>
      </w:r>
      <w:r>
        <w:t>comply</w:t>
      </w:r>
      <w:r w:rsidRPr="00C852A1">
        <w:t xml:space="preserve"> with the Federal Court guidelines for conducting surveys.</w:t>
      </w:r>
      <w:r w:rsidRPr="00C852A1">
        <w:rPr>
          <w:rStyle w:val="FootnoteReference"/>
        </w:rPr>
        <w:footnoteReference w:id="976"/>
      </w:r>
      <w:r w:rsidRPr="00C852A1">
        <w:t xml:space="preserve"> Market participants prepare </w:t>
      </w:r>
      <w:r>
        <w:t>survey</w:t>
      </w:r>
      <w:r w:rsidRPr="00C852A1">
        <w:t xml:space="preserve"> material for practical purposes and it would be unreasonable to expect that all material we consider would be prepared in compliance with the Federal Court guidelines. We carefully consider the merits of all of the material available to us.</w:t>
      </w:r>
    </w:p>
    <w:p w:rsidR="003203B3" w:rsidRPr="003203B3" w:rsidRDefault="003203B3" w:rsidP="003203B3">
      <w:pPr>
        <w:pStyle w:val="Heading8"/>
      </w:pPr>
      <w:bookmarkStart w:id="196" w:name="_Ref445898024"/>
      <w:bookmarkStart w:id="197" w:name="_Toc451945503"/>
      <w:r w:rsidRPr="003203B3">
        <w:t>Prevailing estimates: broker reports</w:t>
      </w:r>
      <w:bookmarkEnd w:id="196"/>
      <w:bookmarkEnd w:id="197"/>
    </w:p>
    <w:p w:rsidR="00033144" w:rsidRPr="00033144" w:rsidRDefault="00033144" w:rsidP="00033144">
      <w:pPr>
        <w:numPr>
          <w:ilvl w:val="0"/>
          <w:numId w:val="24"/>
        </w:numPr>
        <w:rPr>
          <w:rStyle w:val="AERtextblue"/>
        </w:rPr>
      </w:pPr>
      <w:r w:rsidRPr="00033144">
        <w:fldChar w:fldCharType="begin"/>
      </w:r>
      <w:r w:rsidRPr="00033144">
        <w:instrText xml:space="preserve"> REF _Ref443644282 \h </w:instrText>
      </w:r>
      <w:r w:rsidRPr="00033144">
        <w:fldChar w:fldCharType="separate"/>
      </w:r>
      <w:r w:rsidR="001A023B" w:rsidRPr="00033144">
        <w:t xml:space="preserve">Table </w:t>
      </w:r>
      <w:r w:rsidR="001A023B">
        <w:rPr>
          <w:noProof/>
        </w:rPr>
        <w:t>3</w:t>
      </w:r>
      <w:r w:rsidR="001A023B" w:rsidRPr="00033144">
        <w:noBreakHyphen/>
      </w:r>
      <w:r w:rsidR="001A023B">
        <w:rPr>
          <w:noProof/>
        </w:rPr>
        <w:t>34</w:t>
      </w:r>
      <w:r w:rsidRPr="00033144">
        <w:fldChar w:fldCharType="end"/>
      </w:r>
      <w:r w:rsidRPr="00033144">
        <w:t xml:space="preserve"> shows the estimates of return on equity and premium above the risk free rate contained in broker reports which we have examined since our </w:t>
      </w:r>
      <w:r w:rsidR="00BF089E">
        <w:t>draft</w:t>
      </w:r>
      <w:r w:rsidRPr="00033144">
        <w:t xml:space="preserve"> decision.</w:t>
      </w:r>
      <w:r w:rsidRPr="00033144">
        <w:rPr>
          <w:rStyle w:val="FootnoteReference"/>
        </w:rPr>
        <w:footnoteReference w:id="977"/>
      </w:r>
      <w:r w:rsidRPr="00033144">
        <w:t xml:space="preserve"> </w:t>
      </w:r>
    </w:p>
    <w:p w:rsidR="00033144" w:rsidRPr="00033144" w:rsidRDefault="00033144" w:rsidP="00033144">
      <w:pPr>
        <w:pStyle w:val="Caption"/>
        <w:numPr>
          <w:ilvl w:val="0"/>
          <w:numId w:val="24"/>
        </w:numPr>
      </w:pPr>
      <w:bookmarkStart w:id="198" w:name="_Ref443644282"/>
      <w:r w:rsidRPr="00033144">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Pr="00033144">
        <w:noBreakHyphen/>
      </w:r>
      <w:r w:rsidR="00120312">
        <w:fldChar w:fldCharType="begin"/>
      </w:r>
      <w:r w:rsidR="00120312">
        <w:instrText xml:space="preserve"> SEQ Table \* ARABIC \s 1 </w:instrText>
      </w:r>
      <w:r w:rsidR="00120312">
        <w:fldChar w:fldCharType="separate"/>
      </w:r>
      <w:r w:rsidR="001A023B">
        <w:rPr>
          <w:noProof/>
        </w:rPr>
        <w:t>34</w:t>
      </w:r>
      <w:r w:rsidR="00120312">
        <w:rPr>
          <w:noProof/>
        </w:rPr>
        <w:fldChar w:fldCharType="end"/>
      </w:r>
      <w:bookmarkEnd w:id="198"/>
      <w:r w:rsidRPr="00033144">
        <w:tab/>
        <w:t>Recent broker reports</w:t>
      </w:r>
    </w:p>
    <w:tbl>
      <w:tblPr>
        <w:tblStyle w:val="AERtable-numbers"/>
        <w:tblW w:w="0" w:type="auto"/>
        <w:tblLook w:val="04A0" w:firstRow="1" w:lastRow="0" w:firstColumn="1" w:lastColumn="0" w:noHBand="0" w:noVBand="1"/>
      </w:tblPr>
      <w:tblGrid>
        <w:gridCol w:w="4503"/>
        <w:gridCol w:w="1275"/>
        <w:gridCol w:w="1418"/>
        <w:gridCol w:w="1497"/>
      </w:tblGrid>
      <w:tr w:rsidR="00033144" w:rsidTr="000331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033144" w:rsidRPr="00033144" w:rsidRDefault="00033144" w:rsidP="00BA7AE7"/>
        </w:tc>
        <w:tc>
          <w:tcPr>
            <w:tcW w:w="1275" w:type="dxa"/>
          </w:tcPr>
          <w:p w:rsidR="00033144" w:rsidRPr="00033144" w:rsidRDefault="00033144" w:rsidP="00BA7AE7">
            <w:pPr>
              <w:cnfStyle w:val="100000000000" w:firstRow="1" w:lastRow="0" w:firstColumn="0" w:lastColumn="0" w:oddVBand="0" w:evenVBand="0" w:oddHBand="0" w:evenHBand="0" w:firstRowFirstColumn="0" w:firstRowLastColumn="0" w:lastRowFirstColumn="0" w:lastRowLastColumn="0"/>
            </w:pPr>
          </w:p>
        </w:tc>
        <w:tc>
          <w:tcPr>
            <w:tcW w:w="1418" w:type="dxa"/>
          </w:tcPr>
          <w:p w:rsidR="00033144" w:rsidRPr="00033144" w:rsidRDefault="00033144" w:rsidP="00BA7AE7">
            <w:pPr>
              <w:cnfStyle w:val="100000000000" w:firstRow="1" w:lastRow="0" w:firstColumn="0" w:lastColumn="0" w:oddVBand="0" w:evenVBand="0" w:oddHBand="0" w:evenHBand="0" w:firstRowFirstColumn="0" w:firstRowLastColumn="0" w:lastRowFirstColumn="0" w:lastRowLastColumn="0"/>
            </w:pPr>
            <w:r w:rsidRPr="00033144">
              <w:t>Return on equity</w:t>
            </w:r>
          </w:p>
        </w:tc>
        <w:tc>
          <w:tcPr>
            <w:tcW w:w="1497" w:type="dxa"/>
          </w:tcPr>
          <w:p w:rsidR="00033144" w:rsidRPr="00033144" w:rsidRDefault="00033144" w:rsidP="00BA7AE7">
            <w:pPr>
              <w:cnfStyle w:val="100000000000" w:firstRow="1" w:lastRow="0" w:firstColumn="0" w:lastColumn="0" w:oddVBand="0" w:evenVBand="0" w:oddHBand="0" w:evenHBand="0" w:firstRowFirstColumn="0" w:firstRowLastColumn="0" w:lastRowFirstColumn="0" w:lastRowLastColumn="0"/>
            </w:pPr>
            <w:r w:rsidRPr="00033144">
              <w:t>Equity risk premium</w:t>
            </w:r>
          </w:p>
        </w:tc>
      </w:tr>
      <w:tr w:rsidR="00033144" w:rsidTr="00033144">
        <w:tc>
          <w:tcPr>
            <w:cnfStyle w:val="001000000000" w:firstRow="0" w:lastRow="0" w:firstColumn="1" w:lastColumn="0" w:oddVBand="0" w:evenVBand="0" w:oddHBand="0" w:evenHBand="0" w:firstRowFirstColumn="0" w:firstRowLastColumn="0" w:lastRowFirstColumn="0" w:lastRowLastColumn="0"/>
            <w:tcW w:w="4503" w:type="dxa"/>
          </w:tcPr>
          <w:p w:rsidR="00033144" w:rsidRPr="00033144" w:rsidRDefault="00033144" w:rsidP="00BA7AE7">
            <w:r w:rsidRPr="00033144">
              <w:t>Broker estimate—no imputation adjustment</w:t>
            </w:r>
          </w:p>
        </w:tc>
        <w:tc>
          <w:tcPr>
            <w:tcW w:w="1275" w:type="dxa"/>
          </w:tcPr>
          <w:p w:rsidR="00033144" w:rsidRPr="00033144" w:rsidRDefault="00033144" w:rsidP="00BA7AE7">
            <w:pPr>
              <w:cnfStyle w:val="000000000000" w:firstRow="0" w:lastRow="0" w:firstColumn="0" w:lastColumn="0" w:oddVBand="0" w:evenVBand="0" w:oddHBand="0" w:evenHBand="0" w:firstRowFirstColumn="0" w:firstRowLastColumn="0" w:lastRowFirstColumn="0" w:lastRowLastColumn="0"/>
            </w:pPr>
            <w:r w:rsidRPr="00033144">
              <w:t>Minimum</w:t>
            </w:r>
          </w:p>
        </w:tc>
        <w:tc>
          <w:tcPr>
            <w:tcW w:w="1418" w:type="dxa"/>
          </w:tcPr>
          <w:p w:rsidR="00033144" w:rsidRPr="00033144" w:rsidRDefault="00033144" w:rsidP="00BA7AE7">
            <w:pPr>
              <w:cnfStyle w:val="000000000000" w:firstRow="0" w:lastRow="0" w:firstColumn="0" w:lastColumn="0" w:oddVBand="0" w:evenVBand="0" w:oddHBand="0" w:evenHBand="0" w:firstRowFirstColumn="0" w:firstRowLastColumn="0" w:lastRowFirstColumn="0" w:lastRowLastColumn="0"/>
            </w:pPr>
            <w:r w:rsidRPr="00033144">
              <w:t>6.4</w:t>
            </w:r>
          </w:p>
        </w:tc>
        <w:tc>
          <w:tcPr>
            <w:tcW w:w="1497" w:type="dxa"/>
          </w:tcPr>
          <w:p w:rsidR="00033144" w:rsidRPr="00033144" w:rsidRDefault="00033144" w:rsidP="00BA7AE7">
            <w:pPr>
              <w:cnfStyle w:val="000000000000" w:firstRow="0" w:lastRow="0" w:firstColumn="0" w:lastColumn="0" w:oddVBand="0" w:evenVBand="0" w:oddHBand="0" w:evenHBand="0" w:firstRowFirstColumn="0" w:firstRowLastColumn="0" w:lastRowFirstColumn="0" w:lastRowLastColumn="0"/>
            </w:pPr>
            <w:r w:rsidRPr="00033144">
              <w:t>3.7</w:t>
            </w:r>
          </w:p>
        </w:tc>
      </w:tr>
      <w:tr w:rsidR="00033144" w:rsidTr="00033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033144" w:rsidRPr="00033144" w:rsidRDefault="00033144" w:rsidP="00BA7AE7">
            <w:r w:rsidRPr="00033144">
              <w:t>Broker estimate—no imputation adjustment</w:t>
            </w:r>
          </w:p>
        </w:tc>
        <w:tc>
          <w:tcPr>
            <w:tcW w:w="1275" w:type="dxa"/>
          </w:tcPr>
          <w:p w:rsidR="00033144" w:rsidRPr="00033144" w:rsidRDefault="00033144" w:rsidP="00BA7AE7">
            <w:pPr>
              <w:cnfStyle w:val="000000010000" w:firstRow="0" w:lastRow="0" w:firstColumn="0" w:lastColumn="0" w:oddVBand="0" w:evenVBand="0" w:oddHBand="0" w:evenHBand="1" w:firstRowFirstColumn="0" w:firstRowLastColumn="0" w:lastRowFirstColumn="0" w:lastRowLastColumn="0"/>
            </w:pPr>
            <w:r w:rsidRPr="00033144">
              <w:t>Maximum</w:t>
            </w:r>
          </w:p>
        </w:tc>
        <w:tc>
          <w:tcPr>
            <w:tcW w:w="1418" w:type="dxa"/>
          </w:tcPr>
          <w:p w:rsidR="00033144" w:rsidRPr="00033144" w:rsidRDefault="00D66657" w:rsidP="00BA7AE7">
            <w:pPr>
              <w:cnfStyle w:val="000000010000" w:firstRow="0" w:lastRow="0" w:firstColumn="0" w:lastColumn="0" w:oddVBand="0" w:evenVBand="0" w:oddHBand="0" w:evenHBand="1" w:firstRowFirstColumn="0" w:firstRowLastColumn="0" w:lastRowFirstColumn="0" w:lastRowLastColumn="0"/>
            </w:pPr>
            <w:r>
              <w:t>11.3</w:t>
            </w:r>
          </w:p>
        </w:tc>
        <w:tc>
          <w:tcPr>
            <w:tcW w:w="1497" w:type="dxa"/>
          </w:tcPr>
          <w:p w:rsidR="00033144" w:rsidRPr="00033144" w:rsidRDefault="00033144" w:rsidP="00BA7AE7">
            <w:pPr>
              <w:cnfStyle w:val="000000010000" w:firstRow="0" w:lastRow="0" w:firstColumn="0" w:lastColumn="0" w:oddVBand="0" w:evenVBand="0" w:oddHBand="0" w:evenHBand="1" w:firstRowFirstColumn="0" w:firstRowLastColumn="0" w:lastRowFirstColumn="0" w:lastRowLastColumn="0"/>
            </w:pPr>
            <w:r w:rsidRPr="00033144">
              <w:t>6.5</w:t>
            </w:r>
          </w:p>
        </w:tc>
      </w:tr>
      <w:tr w:rsidR="00033144" w:rsidTr="00033144">
        <w:tc>
          <w:tcPr>
            <w:cnfStyle w:val="001000000000" w:firstRow="0" w:lastRow="0" w:firstColumn="1" w:lastColumn="0" w:oddVBand="0" w:evenVBand="0" w:oddHBand="0" w:evenHBand="0" w:firstRowFirstColumn="0" w:firstRowLastColumn="0" w:lastRowFirstColumn="0" w:lastRowLastColumn="0"/>
            <w:tcW w:w="4503" w:type="dxa"/>
          </w:tcPr>
          <w:p w:rsidR="00033144" w:rsidRPr="00033144" w:rsidRDefault="00033144" w:rsidP="00BA7AE7">
            <w:r w:rsidRPr="00033144">
              <w:t>Broker estimate—adjusted for imputation</w:t>
            </w:r>
          </w:p>
        </w:tc>
        <w:tc>
          <w:tcPr>
            <w:tcW w:w="1275" w:type="dxa"/>
          </w:tcPr>
          <w:p w:rsidR="00033144" w:rsidRPr="00033144" w:rsidRDefault="00033144" w:rsidP="00BA7AE7">
            <w:pPr>
              <w:cnfStyle w:val="000000000000" w:firstRow="0" w:lastRow="0" w:firstColumn="0" w:lastColumn="0" w:oddVBand="0" w:evenVBand="0" w:oddHBand="0" w:evenHBand="0" w:firstRowFirstColumn="0" w:firstRowLastColumn="0" w:lastRowFirstColumn="0" w:lastRowLastColumn="0"/>
            </w:pPr>
            <w:r w:rsidRPr="00033144">
              <w:t>Minimum</w:t>
            </w:r>
          </w:p>
        </w:tc>
        <w:tc>
          <w:tcPr>
            <w:tcW w:w="1418" w:type="dxa"/>
          </w:tcPr>
          <w:p w:rsidR="00033144" w:rsidRPr="00033144" w:rsidRDefault="00033144" w:rsidP="00BA7AE7">
            <w:pPr>
              <w:cnfStyle w:val="000000000000" w:firstRow="0" w:lastRow="0" w:firstColumn="0" w:lastColumn="0" w:oddVBand="0" w:evenVBand="0" w:oddHBand="0" w:evenHBand="0" w:firstRowFirstColumn="0" w:firstRowLastColumn="0" w:lastRowFirstColumn="0" w:lastRowLastColumn="0"/>
            </w:pPr>
            <w:r w:rsidRPr="00033144">
              <w:t>6.9</w:t>
            </w:r>
          </w:p>
        </w:tc>
        <w:tc>
          <w:tcPr>
            <w:tcW w:w="1497" w:type="dxa"/>
          </w:tcPr>
          <w:p w:rsidR="00033144" w:rsidRPr="00033144" w:rsidRDefault="00033144" w:rsidP="00BA7AE7">
            <w:pPr>
              <w:cnfStyle w:val="000000000000" w:firstRow="0" w:lastRow="0" w:firstColumn="0" w:lastColumn="0" w:oddVBand="0" w:evenVBand="0" w:oddHBand="0" w:evenHBand="0" w:firstRowFirstColumn="0" w:firstRowLastColumn="0" w:lastRowFirstColumn="0" w:lastRowLastColumn="0"/>
            </w:pPr>
            <w:r w:rsidRPr="00033144">
              <w:t>4.2</w:t>
            </w:r>
          </w:p>
        </w:tc>
      </w:tr>
      <w:tr w:rsidR="00033144" w:rsidTr="00033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033144" w:rsidRPr="00033144" w:rsidRDefault="00033144" w:rsidP="00BA7AE7">
            <w:r w:rsidRPr="00033144">
              <w:t>Broker estimate—adjusted for imputation</w:t>
            </w:r>
          </w:p>
        </w:tc>
        <w:tc>
          <w:tcPr>
            <w:tcW w:w="1275" w:type="dxa"/>
          </w:tcPr>
          <w:p w:rsidR="00033144" w:rsidRPr="00033144" w:rsidRDefault="00033144" w:rsidP="00BA7AE7">
            <w:pPr>
              <w:cnfStyle w:val="000000010000" w:firstRow="0" w:lastRow="0" w:firstColumn="0" w:lastColumn="0" w:oddVBand="0" w:evenVBand="0" w:oddHBand="0" w:evenHBand="1" w:firstRowFirstColumn="0" w:firstRowLastColumn="0" w:lastRowFirstColumn="0" w:lastRowLastColumn="0"/>
            </w:pPr>
            <w:r w:rsidRPr="00033144">
              <w:t>Maximum</w:t>
            </w:r>
          </w:p>
        </w:tc>
        <w:tc>
          <w:tcPr>
            <w:tcW w:w="1418" w:type="dxa"/>
          </w:tcPr>
          <w:p w:rsidR="00033144" w:rsidRPr="00033144" w:rsidRDefault="00D66657" w:rsidP="00BA7AE7">
            <w:pPr>
              <w:cnfStyle w:val="000000010000" w:firstRow="0" w:lastRow="0" w:firstColumn="0" w:lastColumn="0" w:oddVBand="0" w:evenVBand="0" w:oddHBand="0" w:evenHBand="1" w:firstRowFirstColumn="0" w:firstRowLastColumn="0" w:lastRowFirstColumn="0" w:lastRowLastColumn="0"/>
            </w:pPr>
            <w:r>
              <w:t>12.1</w:t>
            </w:r>
          </w:p>
        </w:tc>
        <w:tc>
          <w:tcPr>
            <w:tcW w:w="1497" w:type="dxa"/>
          </w:tcPr>
          <w:p w:rsidR="00033144" w:rsidRPr="00033144" w:rsidRDefault="00033144" w:rsidP="00BA7AE7">
            <w:pPr>
              <w:cnfStyle w:val="000000010000" w:firstRow="0" w:lastRow="0" w:firstColumn="0" w:lastColumn="0" w:oddVBand="0" w:evenVBand="0" w:oddHBand="0" w:evenHBand="1" w:firstRowFirstColumn="0" w:firstRowLastColumn="0" w:lastRowFirstColumn="0" w:lastRowLastColumn="0"/>
            </w:pPr>
            <w:r w:rsidRPr="00033144">
              <w:t>7.</w:t>
            </w:r>
            <w:r w:rsidR="00D66657">
              <w:t>1</w:t>
            </w:r>
          </w:p>
        </w:tc>
      </w:tr>
    </w:tbl>
    <w:p w:rsidR="00033144" w:rsidRPr="00033144" w:rsidRDefault="00033144" w:rsidP="00033144">
      <w:pPr>
        <w:pStyle w:val="AERtablesource"/>
        <w:numPr>
          <w:ilvl w:val="0"/>
          <w:numId w:val="24"/>
        </w:numPr>
      </w:pPr>
      <w:r w:rsidRPr="00033144">
        <w:t>Source:</w:t>
      </w:r>
      <w:r w:rsidRPr="00033144">
        <w:tab/>
        <w:t xml:space="preserve">AER analysis of broker reports, dated 7 September 2015 to </w:t>
      </w:r>
      <w:r w:rsidR="00DA4FF2">
        <w:t xml:space="preserve">24 </w:t>
      </w:r>
      <w:r w:rsidR="003203B3">
        <w:t>March</w:t>
      </w:r>
      <w:r w:rsidRPr="00033144">
        <w:t xml:space="preserve"> 2016 by Credit Suisse, JP Morgan, Morgan Stanley, and Macquarie Bank that include a valuation for AusNet Services, Spark Infrastructure, APA Group, and/or DUET Group.</w:t>
      </w:r>
    </w:p>
    <w:p w:rsidR="00033144" w:rsidRPr="00033144" w:rsidRDefault="00033144" w:rsidP="00033144">
      <w:r w:rsidRPr="00033144">
        <w:t xml:space="preserve">The equity risk premium from the AER's foundation model of 4.55 per cent is within the range of premiums recently estimated by brokers, even when these estimates are adjusted for imputation. </w:t>
      </w:r>
      <w:r w:rsidR="003203B3" w:rsidRPr="003203B3">
        <w:t xml:space="preserve"> ActewAGL</w:t>
      </w:r>
      <w:r w:rsidRPr="00033144">
        <w:t>'s proposed equity risk premium of 7.</w:t>
      </w:r>
      <w:r w:rsidR="003203B3">
        <w:t>14</w:t>
      </w:r>
      <w:r w:rsidRPr="00033144">
        <w:t xml:space="preserve"> per cent is </w:t>
      </w:r>
      <w:r w:rsidR="00E46387">
        <w:t>at the upper bound of</w:t>
      </w:r>
      <w:r w:rsidR="00E46387" w:rsidRPr="00033144">
        <w:t xml:space="preserve"> </w:t>
      </w:r>
      <w:r w:rsidRPr="00033144">
        <w:t xml:space="preserve">the range of premiums recently estimated by brokers. </w:t>
      </w:r>
    </w:p>
    <w:p w:rsidR="00033144" w:rsidRPr="00033144" w:rsidRDefault="00033144" w:rsidP="00033144">
      <w:r w:rsidRPr="00033144">
        <w:t xml:space="preserve">Directionally, as shown in </w:t>
      </w:r>
      <w:r w:rsidRPr="00033144">
        <w:fldChar w:fldCharType="begin"/>
      </w:r>
      <w:r w:rsidRPr="00033144">
        <w:instrText xml:space="preserve"> REF _Ref444708458 \h </w:instrText>
      </w:r>
      <w:r w:rsidRPr="00033144">
        <w:fldChar w:fldCharType="separate"/>
      </w:r>
      <w:r w:rsidR="001A023B" w:rsidRPr="00033144">
        <w:t xml:space="preserve">Figure </w:t>
      </w:r>
      <w:r w:rsidR="001A023B">
        <w:rPr>
          <w:noProof/>
        </w:rPr>
        <w:t>3</w:t>
      </w:r>
      <w:r w:rsidR="001A023B">
        <w:noBreakHyphen/>
      </w:r>
      <w:r w:rsidR="001A023B">
        <w:rPr>
          <w:noProof/>
        </w:rPr>
        <w:t>13</w:t>
      </w:r>
      <w:r w:rsidRPr="00033144">
        <w:fldChar w:fldCharType="end"/>
      </w:r>
      <w:r w:rsidRPr="00033144">
        <w:t xml:space="preserve">, it appears that both the lower and upper bounds of equity risk premium estimates from broker reports have risen since our review in our </w:t>
      </w:r>
      <w:r w:rsidR="00BF089E">
        <w:t>November</w:t>
      </w:r>
      <w:r w:rsidRPr="00033144">
        <w:t xml:space="preserve"> 2015 </w:t>
      </w:r>
      <w:r w:rsidR="00BF089E">
        <w:t>draft</w:t>
      </w:r>
      <w:r w:rsidRPr="00033144">
        <w:t xml:space="preserve"> decision. Our equity risk premium estimate remains, in general, below the imputation-adjusted broker estimates and above the unadjusted broker estimates. We do not consider that the directional evidence currently supports a move away from the return on equity resulting from our Guideline approach.</w:t>
      </w:r>
    </w:p>
    <w:p w:rsidR="00D66657" w:rsidRDefault="00033144" w:rsidP="00D66657">
      <w:pPr>
        <w:pStyle w:val="Caption"/>
        <w:numPr>
          <w:ilvl w:val="0"/>
          <w:numId w:val="24"/>
        </w:numPr>
      </w:pPr>
      <w:bookmarkStart w:id="199" w:name="_Ref444708458"/>
      <w:r w:rsidRPr="00033144">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13</w:t>
      </w:r>
      <w:r w:rsidR="00120312">
        <w:rPr>
          <w:noProof/>
        </w:rPr>
        <w:fldChar w:fldCharType="end"/>
      </w:r>
      <w:bookmarkEnd w:id="199"/>
      <w:r w:rsidRPr="00033144">
        <w:tab/>
        <w:t>Equity risk premium estimates from broker reports</w:t>
      </w:r>
    </w:p>
    <w:p w:rsidR="00D66657" w:rsidRPr="00D66657" w:rsidRDefault="00270CE2" w:rsidP="007E5A07">
      <w:r w:rsidRPr="00270CE2">
        <w:rPr>
          <w:noProof/>
          <w:lang w:eastAsia="en-AU"/>
        </w:rPr>
        <w:drawing>
          <wp:inline distT="0" distB="0" distL="0" distR="0" wp14:anchorId="7BEF1056" wp14:editId="1D52B22C">
            <wp:extent cx="5369560" cy="4327525"/>
            <wp:effectExtent l="0" t="0" r="254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9560" cy="4327525"/>
                    </a:xfrm>
                    <a:prstGeom prst="rect">
                      <a:avLst/>
                    </a:prstGeom>
                    <a:noFill/>
                    <a:ln>
                      <a:noFill/>
                    </a:ln>
                  </pic:spPr>
                </pic:pic>
              </a:graphicData>
            </a:graphic>
          </wp:inline>
        </w:drawing>
      </w:r>
    </w:p>
    <w:p w:rsidR="00033144" w:rsidRPr="00033144" w:rsidRDefault="00033144" w:rsidP="00033144">
      <w:pPr>
        <w:pStyle w:val="AERtablesource"/>
      </w:pPr>
      <w:r w:rsidRPr="00033144">
        <w:t>Source:</w:t>
      </w:r>
      <w:r w:rsidRPr="00033144">
        <w:tab/>
        <w:t>AER analysis of broker reports by Credit Suisse, JP Morgan, Morgan Stanley, and Macquarie Bank that include a valuation for AusNet Services, Spark Infrastructure, APA Group, and/or DUET Group.</w:t>
      </w:r>
    </w:p>
    <w:p w:rsidR="00033144" w:rsidRPr="00033144" w:rsidRDefault="00033144" w:rsidP="00033144">
      <w:pPr>
        <w:pStyle w:val="AERtablesource"/>
      </w:pPr>
      <w:bookmarkStart w:id="200" w:name="_Ref445926689"/>
      <w:r w:rsidRPr="00033144">
        <w:t>Notes:</w:t>
      </w:r>
      <w:r w:rsidRPr="00033144">
        <w:tab/>
        <w:t>Average broker ERP is the mean of estimates from all brokers and for all busine</w:t>
      </w:r>
      <w:r w:rsidR="00D5273C">
        <w:t>sses available at the time.</w:t>
      </w:r>
    </w:p>
    <w:p w:rsidR="00033144" w:rsidRPr="00033144" w:rsidRDefault="00033144" w:rsidP="00033144">
      <w:pPr>
        <w:pStyle w:val="Heading8"/>
      </w:pPr>
      <w:bookmarkStart w:id="201" w:name="_Ref451416171"/>
      <w:bookmarkStart w:id="202" w:name="_Toc451945504"/>
      <w:r w:rsidRPr="00033144">
        <w:t>Prevailing estimates: valuation reports</w:t>
      </w:r>
      <w:bookmarkEnd w:id="200"/>
      <w:bookmarkEnd w:id="201"/>
      <w:bookmarkEnd w:id="202"/>
    </w:p>
    <w:p w:rsidR="00033144" w:rsidRPr="00033144" w:rsidRDefault="00033144" w:rsidP="00033144">
      <w:pPr>
        <w:numPr>
          <w:ilvl w:val="0"/>
          <w:numId w:val="24"/>
        </w:numPr>
      </w:pPr>
      <w:r w:rsidRPr="00033144">
        <w:rPr>
          <w:rStyle w:val="AERtextblue"/>
        </w:rPr>
        <w:fldChar w:fldCharType="begin"/>
      </w:r>
      <w:r w:rsidRPr="00033144">
        <w:rPr>
          <w:rStyle w:val="AERtextblue"/>
        </w:rPr>
        <w:instrText xml:space="preserve"> REF _Ref448176907 \h </w:instrText>
      </w:r>
      <w:r w:rsidRPr="00033144">
        <w:rPr>
          <w:rStyle w:val="AERtextblue"/>
        </w:rPr>
      </w:r>
      <w:r w:rsidRPr="00033144">
        <w:rPr>
          <w:rStyle w:val="AERtextblue"/>
        </w:rPr>
        <w:fldChar w:fldCharType="separate"/>
      </w:r>
      <w:r w:rsidR="001A023B" w:rsidRPr="00033144">
        <w:t xml:space="preserve">Figure </w:t>
      </w:r>
      <w:r w:rsidR="001A023B">
        <w:rPr>
          <w:noProof/>
        </w:rPr>
        <w:t>3</w:t>
      </w:r>
      <w:r w:rsidR="001A023B">
        <w:noBreakHyphen/>
      </w:r>
      <w:r w:rsidR="001A023B">
        <w:rPr>
          <w:noProof/>
        </w:rPr>
        <w:t>14</w:t>
      </w:r>
      <w:r w:rsidRPr="00033144">
        <w:rPr>
          <w:rStyle w:val="AERtextblue"/>
        </w:rPr>
        <w:fldChar w:fldCharType="end"/>
      </w:r>
      <w:r w:rsidRPr="00033144">
        <w:rPr>
          <w:rStyle w:val="AERtextblue"/>
        </w:rPr>
        <w:t xml:space="preserve"> </w:t>
      </w:r>
      <w:r w:rsidRPr="00033144">
        <w:t xml:space="preserve">outlines the range of return on equity and equity risk premium estimates from relevant independent valuation reports. </w:t>
      </w:r>
      <w:bookmarkStart w:id="203" w:name="_Ref417589947"/>
      <w:r w:rsidRPr="00033144">
        <w:t>We consider that the number of reports is too low and the concentration of reports among only a few valuers is too high to be able to place significant reliance on the evidence from valuation reports.</w:t>
      </w:r>
      <w:r w:rsidRPr="00033144">
        <w:rPr>
          <w:rStyle w:val="FootnoteReference"/>
        </w:rPr>
        <w:footnoteReference w:id="978"/>
      </w:r>
    </w:p>
    <w:p w:rsidR="00033144" w:rsidRDefault="00033144" w:rsidP="00033144">
      <w:pPr>
        <w:pStyle w:val="Caption"/>
      </w:pPr>
      <w:bookmarkStart w:id="204" w:name="_Ref448176907"/>
      <w:r w:rsidRPr="00033144">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14</w:t>
      </w:r>
      <w:r w:rsidR="00120312">
        <w:rPr>
          <w:noProof/>
        </w:rPr>
        <w:fldChar w:fldCharType="end"/>
      </w:r>
      <w:bookmarkEnd w:id="203"/>
      <w:bookmarkEnd w:id="204"/>
      <w:r w:rsidRPr="00033144">
        <w:tab/>
        <w:t xml:space="preserve">Equity risk premium from relevant </w:t>
      </w:r>
      <w:r w:rsidR="00E37804">
        <w:t>valuation</w:t>
      </w:r>
      <w:r w:rsidRPr="00033144">
        <w:t xml:space="preserve"> reports over time</w:t>
      </w:r>
    </w:p>
    <w:p w:rsidR="00DB4B8D" w:rsidRPr="00DB4B8D" w:rsidRDefault="00270CE2" w:rsidP="00D5273C">
      <w:r w:rsidRPr="00270CE2">
        <w:rPr>
          <w:noProof/>
          <w:lang w:eastAsia="en-AU"/>
        </w:rPr>
        <w:drawing>
          <wp:inline distT="0" distB="0" distL="0" distR="0" wp14:anchorId="38EC8C8F" wp14:editId="65D90F42">
            <wp:extent cx="5369560" cy="3806190"/>
            <wp:effectExtent l="0" t="0" r="2540" b="381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9560" cy="3806190"/>
                    </a:xfrm>
                    <a:prstGeom prst="rect">
                      <a:avLst/>
                    </a:prstGeom>
                    <a:noFill/>
                    <a:ln>
                      <a:noFill/>
                    </a:ln>
                  </pic:spPr>
                </pic:pic>
              </a:graphicData>
            </a:graphic>
          </wp:inline>
        </w:drawing>
      </w:r>
    </w:p>
    <w:p w:rsidR="00033144" w:rsidRPr="00033144" w:rsidRDefault="00033144" w:rsidP="00033144">
      <w:pPr>
        <w:pStyle w:val="AERtablesource"/>
      </w:pPr>
      <w:r w:rsidRPr="00033144">
        <w:t>Source:</w:t>
      </w:r>
      <w:r w:rsidRPr="00033144">
        <w:tab/>
        <w:t xml:space="preserve">AER analysis of reports from the Thomson Reuters Connect4 database </w:t>
      </w:r>
    </w:p>
    <w:p w:rsidR="00033144" w:rsidRPr="00033144" w:rsidRDefault="00033144" w:rsidP="00033144">
      <w:pPr>
        <w:pStyle w:val="AERtablesource"/>
      </w:pPr>
      <w:r w:rsidRPr="00033144">
        <w:t>Notes:</w:t>
      </w:r>
      <w:r w:rsidRPr="00033144">
        <w:tab/>
        <w:t>We have shown the equity risk premium based on a nominal vanilla WACC, expert reports using a different WACC form have been adjusted accordingly. This equity risk premium ('Valuers estimate-high') also reflects the impact of any discretionary uplifts applied by the independent valuer.</w:t>
      </w:r>
    </w:p>
    <w:p w:rsidR="00033144" w:rsidRPr="00033144" w:rsidRDefault="00033144" w:rsidP="00033144">
      <w:pPr>
        <w:pStyle w:val="ListParagraph"/>
        <w:numPr>
          <w:ilvl w:val="0"/>
          <w:numId w:val="24"/>
        </w:numPr>
      </w:pPr>
      <w:r w:rsidRPr="00033144">
        <w:t>There have been only 18 relevant independent valuation reports spanning a period going back to 1991.</w:t>
      </w:r>
      <w:r w:rsidRPr="00033144">
        <w:rPr>
          <w:rStyle w:val="AERsuperscript"/>
        </w:rPr>
        <w:footnoteReference w:id="979"/>
      </w:r>
      <w:r w:rsidRPr="00033144">
        <w:t xml:space="preserve"> Only 12 reports included a discounted cash flow analysis with information on a return on equity estimate. These 12 reports were provided by only three independent valuation firms, with 9 of the 12 reports being provided by Grant Samuel &amp; Associates.</w:t>
      </w:r>
    </w:p>
    <w:p w:rsidR="00033144" w:rsidRPr="00033144" w:rsidRDefault="00033144" w:rsidP="00033144">
      <w:pPr>
        <w:numPr>
          <w:ilvl w:val="0"/>
          <w:numId w:val="24"/>
        </w:numPr>
      </w:pPr>
      <w:r w:rsidRPr="00033144">
        <w:t xml:space="preserve">We note that the ranges for return on equity and equity risk premium estimates contained in </w:t>
      </w:r>
      <w:r w:rsidR="00E37804">
        <w:fldChar w:fldCharType="begin"/>
      </w:r>
      <w:r w:rsidR="00E37804">
        <w:instrText xml:space="preserve"> REF _Ref448176907 \h </w:instrText>
      </w:r>
      <w:r w:rsidR="00E37804">
        <w:fldChar w:fldCharType="separate"/>
      </w:r>
      <w:r w:rsidR="001A023B" w:rsidRPr="00033144">
        <w:t xml:space="preserve">Figure </w:t>
      </w:r>
      <w:r w:rsidR="001A023B">
        <w:rPr>
          <w:noProof/>
        </w:rPr>
        <w:t>3</w:t>
      </w:r>
      <w:r w:rsidR="001A023B">
        <w:noBreakHyphen/>
      </w:r>
      <w:r w:rsidR="001A023B">
        <w:rPr>
          <w:noProof/>
        </w:rPr>
        <w:t>14</w:t>
      </w:r>
      <w:r w:rsidR="00E37804">
        <w:fldChar w:fldCharType="end"/>
      </w:r>
      <w:r w:rsidR="00E37804">
        <w:t xml:space="preserve"> </w:t>
      </w:r>
      <w:r w:rsidRPr="00033144">
        <w:t xml:space="preserve">include the final values used in the independent valuation reports and reflect any uplifts applied. However, as noted in </w:t>
      </w:r>
      <w:r w:rsidRPr="00033144">
        <w:fldChar w:fldCharType="begin"/>
      </w:r>
      <w:r w:rsidRPr="00033144">
        <w:instrText xml:space="preserve"> REF _Ref445927856 \h </w:instrText>
      </w:r>
      <w:r w:rsidRPr="00033144">
        <w:fldChar w:fldCharType="separate"/>
      </w:r>
      <w:r w:rsidR="001A023B" w:rsidRPr="00033144">
        <w:t xml:space="preserve">Table </w:t>
      </w:r>
      <w:r w:rsidR="001A023B">
        <w:rPr>
          <w:noProof/>
        </w:rPr>
        <w:t>3</w:t>
      </w:r>
      <w:r w:rsidR="001A023B" w:rsidRPr="00033144">
        <w:noBreakHyphen/>
      </w:r>
      <w:r w:rsidR="001A023B">
        <w:rPr>
          <w:noProof/>
        </w:rPr>
        <w:t>7</w:t>
      </w:r>
      <w:r w:rsidRPr="00033144">
        <w:fldChar w:fldCharType="end"/>
      </w:r>
      <w:r w:rsidRPr="00033144">
        <w:t>, we have concerns about the applicability of these uplifts to the allowed rate of return objective.</w:t>
      </w:r>
      <w:r w:rsidRPr="00033144">
        <w:rPr>
          <w:rStyle w:val="FootnoteReference"/>
        </w:rPr>
        <w:footnoteReference w:id="980"/>
      </w:r>
      <w:r w:rsidRPr="00033144">
        <w:t xml:space="preserve"> We also have concerns that the adjustment for dividend imputation may not be appropriate (see </w:t>
      </w:r>
      <w:r w:rsidRPr="00033144">
        <w:fldChar w:fldCharType="begin"/>
      </w:r>
      <w:r w:rsidRPr="00033144">
        <w:instrText xml:space="preserve"> REF _Ref445927856 \h </w:instrText>
      </w:r>
      <w:r w:rsidRPr="00033144">
        <w:fldChar w:fldCharType="separate"/>
      </w:r>
      <w:r w:rsidR="001A023B" w:rsidRPr="00033144">
        <w:t xml:space="preserve">Table </w:t>
      </w:r>
      <w:r w:rsidR="001A023B">
        <w:rPr>
          <w:noProof/>
        </w:rPr>
        <w:t>3</w:t>
      </w:r>
      <w:r w:rsidR="001A023B" w:rsidRPr="00033144">
        <w:noBreakHyphen/>
      </w:r>
      <w:r w:rsidR="001A023B">
        <w:rPr>
          <w:noProof/>
        </w:rPr>
        <w:t>7</w:t>
      </w:r>
      <w:r w:rsidRPr="00033144">
        <w:fldChar w:fldCharType="end"/>
      </w:r>
      <w:r w:rsidRPr="00033144">
        <w:t>). The risk premium appropriately reflecting dividend imputation is likely somewhere between the adjusted and unadjusted premiums, but we are unable to distil a precise estimate due to a lack of transparency in valuation reports.</w:t>
      </w:r>
    </w:p>
    <w:p w:rsidR="00033144" w:rsidRPr="00033144" w:rsidRDefault="00033144" w:rsidP="00033144">
      <w:pPr>
        <w:numPr>
          <w:ilvl w:val="0"/>
          <w:numId w:val="24"/>
        </w:numPr>
      </w:pPr>
      <w:r w:rsidRPr="00033144">
        <w:t>The most recent report for a regulated energy network business is Grant Samuel’s report for Envestra on 4 March 2014. We find that this evidence does not support a move away from our foundation model estimate of 4.55 per cent. We note that:</w:t>
      </w:r>
    </w:p>
    <w:p w:rsidR="00033144" w:rsidRPr="00033144" w:rsidRDefault="00033144" w:rsidP="00033144">
      <w:pPr>
        <w:pStyle w:val="AERbulletlistfirststyle"/>
      </w:pPr>
      <w:r w:rsidRPr="00033144">
        <w:t xml:space="preserve">Grant Samuel’s initial Sharpe-Lintner CAPM-based return on equity estimate provides an equity risk premium range of 3.6 to 4.2 per cent (without adjustment for dividend imputation, 4.1 to 4.8 per cent including our estimated adjustment for dividend imputation). </w:t>
      </w:r>
    </w:p>
    <w:p w:rsidR="00033144" w:rsidRPr="00033144" w:rsidRDefault="00033144" w:rsidP="00033144">
      <w:pPr>
        <w:pStyle w:val="AERbulletlistfirststyle"/>
      </w:pPr>
      <w:r w:rsidRPr="00033144">
        <w:t>Grant Samuel outlined four separate uplift scenarios that supported its discretionary uplift to its rate of return above the initial Sharpe-Lintner CAPM-based estimate.</w:t>
      </w:r>
      <w:r w:rsidRPr="00033144">
        <w:rPr>
          <w:rStyle w:val="FootnoteReference"/>
        </w:rPr>
        <w:footnoteReference w:id="981"/>
      </w:r>
      <w:r w:rsidRPr="00033144">
        <w:t xml:space="preserve"> Although we have concerns with the applicability of these uplifts to the allowed rate of return objective, our foundation model premium is above or within the equity risk premium range in three of the four scenarios if no adjustments are made for dividend imputation.</w:t>
      </w:r>
      <w:r w:rsidRPr="00033144">
        <w:rPr>
          <w:rStyle w:val="FootnoteReference"/>
        </w:rPr>
        <w:footnoteReference w:id="982"/>
      </w:r>
    </w:p>
    <w:p w:rsidR="00033144" w:rsidRPr="00033144" w:rsidRDefault="00033144" w:rsidP="00033144">
      <w:pPr>
        <w:pStyle w:val="ListParagraph"/>
        <w:numPr>
          <w:ilvl w:val="0"/>
          <w:numId w:val="24"/>
        </w:numPr>
        <w:rPr>
          <w:rStyle w:val="AERtextblue"/>
        </w:rPr>
      </w:pPr>
      <w:r w:rsidRPr="00033144">
        <w:t xml:space="preserve">In </w:t>
      </w:r>
      <w:r w:rsidR="00E37804">
        <w:t>response to our draft decision</w:t>
      </w:r>
      <w:r w:rsidRPr="00033144">
        <w:t xml:space="preserve">, </w:t>
      </w:r>
      <w:r w:rsidR="00E37804">
        <w:t>service providers</w:t>
      </w:r>
      <w:r w:rsidRPr="00033144">
        <w:t xml:space="preserve"> submitted that it is not clear how we arrived at our imputation-adjusted equity risk premium range.</w:t>
      </w:r>
      <w:r w:rsidRPr="00033144">
        <w:rPr>
          <w:rStyle w:val="FootnoteReference"/>
        </w:rPr>
        <w:footnoteReference w:id="983"/>
      </w:r>
      <w:r w:rsidRPr="00033144">
        <w:t xml:space="preserve"> This range was calculated using the premiums implied by the low (high) equity beta estimate given by the independent valuer for the bottom (top) of the range for each independent valuation report. </w:t>
      </w:r>
    </w:p>
    <w:p w:rsidR="00033144" w:rsidRPr="00033144" w:rsidRDefault="00033144" w:rsidP="00033144">
      <w:pPr>
        <w:pStyle w:val="Heading8"/>
      </w:pPr>
      <w:bookmarkStart w:id="205" w:name="_Ref451416189"/>
      <w:bookmarkStart w:id="206" w:name="_Toc451945505"/>
      <w:bookmarkStart w:id="207" w:name="_Toc443923234"/>
      <w:r w:rsidRPr="00033144">
        <w:t>Prevailing estimates: other regulators</w:t>
      </w:r>
      <w:bookmarkEnd w:id="205"/>
      <w:bookmarkEnd w:id="206"/>
    </w:p>
    <w:p w:rsidR="00033144" w:rsidRPr="00033144" w:rsidRDefault="00033144" w:rsidP="00033144">
      <w:pPr>
        <w:numPr>
          <w:ilvl w:val="0"/>
          <w:numId w:val="24"/>
        </w:numPr>
      </w:pPr>
      <w:r w:rsidRPr="00033144">
        <w:t xml:space="preserve">The estimates of return on equity from other regulators' decisions (dated between August 2015 and </w:t>
      </w:r>
      <w:r w:rsidR="003203B3">
        <w:t>March</w:t>
      </w:r>
      <w:r w:rsidR="003203B3" w:rsidRPr="00033144">
        <w:t xml:space="preserve"> </w:t>
      </w:r>
      <w:r w:rsidRPr="00033144">
        <w:t>2016) range from 6.</w:t>
      </w:r>
      <w:r w:rsidR="00A77612">
        <w:t>81</w:t>
      </w:r>
      <w:r w:rsidRPr="00033144">
        <w:t xml:space="preserve"> to 12.55 per cent. The premium above the risk free rate from these return on equity estimates decisions ranges from </w:t>
      </w:r>
      <w:r w:rsidR="00A77612">
        <w:t>3.9</w:t>
      </w:r>
      <w:r w:rsidRPr="00033144">
        <w:t xml:space="preserve"> to 9.</w:t>
      </w:r>
      <w:r w:rsidR="00EE7B65">
        <w:t>4</w:t>
      </w:r>
      <w:r w:rsidRPr="00033144">
        <w:t>9 per cent.</w:t>
      </w:r>
      <w:r w:rsidRPr="00033144">
        <w:rPr>
          <w:rStyle w:val="FootnoteReference"/>
        </w:rPr>
        <w:footnoteReference w:id="984"/>
      </w:r>
      <w:r w:rsidRPr="00033144">
        <w:t xml:space="preserve"> </w:t>
      </w:r>
    </w:p>
    <w:p w:rsidR="00033144" w:rsidRPr="00033144" w:rsidRDefault="00033144" w:rsidP="00033144">
      <w:pPr>
        <w:numPr>
          <w:ilvl w:val="0"/>
          <w:numId w:val="24"/>
        </w:numPr>
      </w:pPr>
      <w:r w:rsidRPr="00033144">
        <w:t>The equity risk premium from our foundation model of 4.55 per cent is within the range of premiums recently estimated by other regulators. Directionally, the range of equity risk premium estimates appears broadly consistent with those examined in our previous decisions</w:t>
      </w:r>
      <w:r w:rsidRPr="00033144">
        <w:rPr>
          <w:rStyle w:val="FootnoteReference"/>
        </w:rPr>
        <w:footnoteReference w:id="985"/>
      </w:r>
      <w:r w:rsidRPr="00033144">
        <w:t xml:space="preserve"> as shown in </w:t>
      </w:r>
      <w:r w:rsidRPr="00033144">
        <w:fldChar w:fldCharType="begin"/>
      </w:r>
      <w:r w:rsidRPr="00033144">
        <w:instrText xml:space="preserve"> REF _Ref444707385 \h </w:instrText>
      </w:r>
      <w:r w:rsidRPr="00033144">
        <w:fldChar w:fldCharType="separate"/>
      </w:r>
      <w:r w:rsidR="001A023B" w:rsidRPr="00033144">
        <w:t xml:space="preserve">Figure </w:t>
      </w:r>
      <w:r w:rsidR="001A023B">
        <w:rPr>
          <w:noProof/>
        </w:rPr>
        <w:t>3</w:t>
      </w:r>
      <w:r w:rsidR="001A023B">
        <w:noBreakHyphen/>
      </w:r>
      <w:r w:rsidR="001A023B">
        <w:rPr>
          <w:noProof/>
        </w:rPr>
        <w:t>15</w:t>
      </w:r>
      <w:r w:rsidRPr="00033144">
        <w:fldChar w:fldCharType="end"/>
      </w:r>
      <w:r w:rsidRPr="00033144">
        <w:t>.</w:t>
      </w:r>
      <w:r w:rsidRPr="00033144">
        <w:rPr>
          <w:rStyle w:val="FootnoteReference"/>
        </w:rPr>
        <w:footnoteReference w:id="986"/>
      </w:r>
      <w:r w:rsidRPr="00033144">
        <w:t xml:space="preserve"> </w:t>
      </w:r>
    </w:p>
    <w:p w:rsidR="00033144" w:rsidRDefault="00033144" w:rsidP="00033144">
      <w:pPr>
        <w:pStyle w:val="Caption"/>
        <w:numPr>
          <w:ilvl w:val="0"/>
          <w:numId w:val="24"/>
        </w:numPr>
      </w:pPr>
      <w:bookmarkStart w:id="208" w:name="_Ref444707385"/>
      <w:r w:rsidRPr="00033144">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15</w:t>
      </w:r>
      <w:r w:rsidR="00120312">
        <w:rPr>
          <w:noProof/>
        </w:rPr>
        <w:fldChar w:fldCharType="end"/>
      </w:r>
      <w:bookmarkEnd w:id="208"/>
      <w:r w:rsidRPr="00033144">
        <w:tab/>
        <w:t>Equity risk premium estimates from other regulators' decisions</w:t>
      </w:r>
    </w:p>
    <w:p w:rsidR="009E0625" w:rsidRDefault="009E0625" w:rsidP="009E0625">
      <w:r w:rsidRPr="009E0625">
        <w:rPr>
          <w:noProof/>
          <w:lang w:eastAsia="en-AU"/>
        </w:rPr>
        <mc:AlternateContent>
          <mc:Choice Requires="wps">
            <w:drawing>
              <wp:anchor distT="0" distB="0" distL="114300" distR="114300" simplePos="0" relativeHeight="251663360" behindDoc="0" locked="0" layoutInCell="1" allowOverlap="1" wp14:anchorId="05632192" wp14:editId="470BA2F9">
                <wp:simplePos x="0" y="0"/>
                <wp:positionH relativeFrom="column">
                  <wp:posOffset>3910965</wp:posOffset>
                </wp:positionH>
                <wp:positionV relativeFrom="paragraph">
                  <wp:posOffset>1713865</wp:posOffset>
                </wp:positionV>
                <wp:extent cx="2374265" cy="140398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02DD6" w:rsidRPr="00D5273C" w:rsidRDefault="00702DD6" w:rsidP="00D5273C">
                            <w:pPr>
                              <w:pStyle w:val="AERquote"/>
                              <w:rPr>
                                <w:rStyle w:val="AERsubscript"/>
                              </w:rPr>
                            </w:pPr>
                            <w:r w:rsidRPr="009E0625">
                              <w:rPr>
                                <w:rStyle w:val="AERsubscript"/>
                              </w:rPr>
                              <w:t xml:space="preserve">IPART </w:t>
                            </w:r>
                            <w:r w:rsidRPr="00D5273C">
                              <w:rPr>
                                <w:rStyle w:val="AERsubscript"/>
                              </w:rPr>
                              <w:t xml:space="preserve"> </w:t>
                            </w:r>
                            <w:r w:rsidRPr="009E0625">
                              <w:rPr>
                                <w:rStyle w:val="AERsubscript"/>
                              </w:rPr>
                              <w:t>retail gas decision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7.95pt;margin-top:134.9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" filled="f" stroked="f">
                <v:textbox style="mso-fit-shape-to-text:t">
                  <w:txbxContent>
                    <w:p w:rsidR="00702DD6" w:rsidRPr="00D5273C" w:rsidRDefault="00702DD6" w:rsidP="00D5273C">
                      <w:pPr>
                        <w:pStyle w:val="AERquote"/>
                        <w:rPr>
                          <w:rStyle w:val="AERsubscript"/>
                        </w:rPr>
                      </w:pPr>
                      <w:r w:rsidRPr="009E0625">
                        <w:rPr>
                          <w:rStyle w:val="AERsubscript"/>
                        </w:rPr>
                        <w:t xml:space="preserve">IPART </w:t>
                      </w:r>
                      <w:r w:rsidRPr="00D5273C">
                        <w:rPr>
                          <w:rStyle w:val="AERsubscript"/>
                        </w:rPr>
                        <w:t xml:space="preserve"> </w:t>
                      </w:r>
                      <w:r w:rsidRPr="009E0625">
                        <w:rPr>
                          <w:rStyle w:val="AERsubscript"/>
                        </w:rPr>
                        <w:t>retail gas decision</w:t>
                      </w:r>
                    </w:p>
                  </w:txbxContent>
                </v:textbox>
              </v:shape>
            </w:pict>
          </mc:Fallback>
        </mc:AlternateContent>
      </w:r>
      <w:r w:rsidR="00270CE2" w:rsidRPr="00270CE2">
        <w:t xml:space="preserve"> </w:t>
      </w:r>
      <w:r w:rsidR="00270CE2" w:rsidRPr="00270CE2">
        <w:rPr>
          <w:noProof/>
          <w:lang w:eastAsia="en-AU"/>
        </w:rPr>
        <w:drawing>
          <wp:inline distT="0" distB="0" distL="0" distR="0" wp14:anchorId="2478087E" wp14:editId="2BEAA20A">
            <wp:extent cx="5369560" cy="4710430"/>
            <wp:effectExtent l="0" t="0" r="254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9560" cy="4710430"/>
                    </a:xfrm>
                    <a:prstGeom prst="rect">
                      <a:avLst/>
                    </a:prstGeom>
                    <a:noFill/>
                    <a:ln>
                      <a:noFill/>
                    </a:ln>
                  </pic:spPr>
                </pic:pic>
              </a:graphicData>
            </a:graphic>
          </wp:inline>
        </w:drawing>
      </w:r>
    </w:p>
    <w:p w:rsidR="00033144" w:rsidRPr="00033144" w:rsidRDefault="00033144" w:rsidP="00033144">
      <w:r w:rsidRPr="00033144">
        <w:rPr>
          <w:noProof/>
          <w:lang w:eastAsia="en-AU"/>
        </w:rPr>
        <mc:AlternateContent>
          <mc:Choice Requires="wps">
            <w:drawing>
              <wp:anchor distT="0" distB="0" distL="114300" distR="114300" simplePos="0" relativeHeight="251661312" behindDoc="0" locked="0" layoutInCell="1" allowOverlap="1" wp14:anchorId="6357326C" wp14:editId="23363C71">
                <wp:simplePos x="0" y="0"/>
                <wp:positionH relativeFrom="column">
                  <wp:posOffset>4337050</wp:posOffset>
                </wp:positionH>
                <wp:positionV relativeFrom="paragraph">
                  <wp:posOffset>1840312</wp:posOffset>
                </wp:positionV>
                <wp:extent cx="1045845" cy="4241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424180"/>
                        </a:xfrm>
                        <a:prstGeom prst="rect">
                          <a:avLst/>
                        </a:prstGeom>
                        <a:noFill/>
                        <a:ln w="9525">
                          <a:noFill/>
                          <a:miter lim="800000"/>
                          <a:headEnd/>
                          <a:tailEnd/>
                        </a:ln>
                      </wps:spPr>
                      <wps:txbx>
                        <w:txbxContent>
                          <w:p w:rsidR="00702DD6" w:rsidRDefault="00702DD6" w:rsidP="00033144">
                            <w:pPr>
                              <w:pStyle w:val="Header"/>
                            </w:pPr>
                            <w:r>
                              <w:rPr>
                                <w:rStyle w:val="AERsubscript"/>
                              </w:rPr>
                              <w:t xml:space="preserve">IPART </w:t>
                            </w:r>
                            <w:r w:rsidRPr="00DE62A7">
                              <w:rPr>
                                <w:rStyle w:val="AERsubscript"/>
                              </w:rPr>
                              <w:t>Retail</w:t>
                            </w:r>
                            <w:r>
                              <w:t xml:space="preserve"> </w:t>
                            </w:r>
                            <w:r w:rsidRPr="00DE62A7">
                              <w:rPr>
                                <w:rStyle w:val="AERsubscript"/>
                              </w:rPr>
                              <w:t>gas</w:t>
                            </w:r>
                            <w:r>
                              <w:t xml:space="preserve"> </w:t>
                            </w:r>
                            <w:r w:rsidRPr="00DE62A7">
                              <w:rPr>
                                <w:rStyle w:val="AERsubscript"/>
                              </w:rPr>
                              <w:t>decision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1.5pt;margin-top:144.9pt;width:82.35pt;height:3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" filled="f" stroked="f">
                <v:textbox>
                  <w:txbxContent>
                    <w:p w:rsidR="00702DD6" w:rsidRDefault="00702DD6" w:rsidP="00033144">
                      <w:pPr>
                        <w:pStyle w:val="Header"/>
                      </w:pPr>
                      <w:r>
                        <w:rPr>
                          <w:rStyle w:val="AERsubscript"/>
                        </w:rPr>
                        <w:t xml:space="preserve">IPART </w:t>
                      </w:r>
                      <w:r w:rsidRPr="00DE62A7">
                        <w:rPr>
                          <w:rStyle w:val="AERsubscript"/>
                        </w:rPr>
                        <w:t>Retail</w:t>
                      </w:r>
                      <w:r>
                        <w:t xml:space="preserve"> </w:t>
                      </w:r>
                      <w:r w:rsidRPr="00DE62A7">
                        <w:rPr>
                          <w:rStyle w:val="AERsubscript"/>
                        </w:rPr>
                        <w:t>gas</w:t>
                      </w:r>
                      <w:r>
                        <w:t xml:space="preserve"> </w:t>
                      </w:r>
                      <w:r w:rsidRPr="00DE62A7">
                        <w:rPr>
                          <w:rStyle w:val="AERsubscript"/>
                        </w:rPr>
                        <w:t>decision</w:t>
                      </w:r>
                    </w:p>
                  </w:txbxContent>
                </v:textbox>
              </v:shape>
            </w:pict>
          </mc:Fallback>
        </mc:AlternateContent>
      </w:r>
      <w:r w:rsidRPr="00033144">
        <w:rPr>
          <w:noProof/>
          <w:lang w:eastAsia="en-AU"/>
        </w:rPr>
        <w:drawing>
          <wp:inline distT="0" distB="0" distL="0" distR="0" wp14:anchorId="72B98168" wp14:editId="51A66220">
            <wp:extent cx="5382895" cy="172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2895" cy="172700"/>
                    </a:xfrm>
                    <a:prstGeom prst="rect">
                      <a:avLst/>
                    </a:prstGeom>
                  </pic:spPr>
                </pic:pic>
              </a:graphicData>
            </a:graphic>
          </wp:inline>
        </w:drawing>
      </w:r>
    </w:p>
    <w:p w:rsidR="00033144" w:rsidRPr="00033144" w:rsidRDefault="00033144" w:rsidP="00033144">
      <w:r w:rsidRPr="00033144">
        <w:t xml:space="preserve">The estimates of the market risk premium from other regulators' decisions (dated between August 2015 and </w:t>
      </w:r>
      <w:r w:rsidR="00A77612">
        <w:t>March</w:t>
      </w:r>
      <w:r w:rsidR="00A77612" w:rsidRPr="00033144">
        <w:t xml:space="preserve"> </w:t>
      </w:r>
      <w:r w:rsidRPr="00033144">
        <w:t>2016) range from 6 to 7.6 per cent.</w:t>
      </w:r>
      <w:r w:rsidRPr="00033144">
        <w:rPr>
          <w:rStyle w:val="FootnoteReference"/>
        </w:rPr>
        <w:footnoteReference w:id="987"/>
      </w:r>
      <w:r w:rsidRPr="00033144">
        <w:t xml:space="preserve"> </w:t>
      </w:r>
      <w:r w:rsidRPr="00033144">
        <w:fldChar w:fldCharType="begin"/>
      </w:r>
      <w:r w:rsidRPr="00033144">
        <w:instrText xml:space="preserve"> REF _Ref449019545 \h </w:instrText>
      </w:r>
      <w:r w:rsidRPr="00033144">
        <w:fldChar w:fldCharType="separate"/>
      </w:r>
      <w:r w:rsidR="001A023B" w:rsidRPr="00033144">
        <w:t xml:space="preserve">Figure </w:t>
      </w:r>
      <w:r w:rsidR="001A023B">
        <w:rPr>
          <w:noProof/>
        </w:rPr>
        <w:t>3</w:t>
      </w:r>
      <w:r w:rsidR="001A023B">
        <w:noBreakHyphen/>
      </w:r>
      <w:r w:rsidR="001A023B">
        <w:rPr>
          <w:noProof/>
        </w:rPr>
        <w:t>16</w:t>
      </w:r>
      <w:r w:rsidRPr="00033144">
        <w:fldChar w:fldCharType="end"/>
      </w:r>
      <w:r w:rsidRPr="00033144">
        <w:t xml:space="preserve"> shows that our estimate (6.5 per cent) of the market risk premium is consistent with the range of estimates from other regulators over time.</w:t>
      </w:r>
    </w:p>
    <w:p w:rsidR="00033144" w:rsidRDefault="00033144" w:rsidP="00033144">
      <w:pPr>
        <w:pStyle w:val="Caption"/>
        <w:numPr>
          <w:ilvl w:val="0"/>
          <w:numId w:val="24"/>
        </w:numPr>
      </w:pPr>
      <w:bookmarkStart w:id="209" w:name="_Ref449019545"/>
      <w:r w:rsidRPr="00033144">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16</w:t>
      </w:r>
      <w:r w:rsidR="00120312">
        <w:rPr>
          <w:noProof/>
        </w:rPr>
        <w:fldChar w:fldCharType="end"/>
      </w:r>
      <w:bookmarkEnd w:id="209"/>
      <w:r w:rsidRPr="00033144">
        <w:tab/>
        <w:t>Market risk premium estimates from other regulators' decisions</w:t>
      </w:r>
    </w:p>
    <w:p w:rsidR="009E0625" w:rsidRPr="009E0625" w:rsidRDefault="00270CE2" w:rsidP="00D5273C">
      <w:r w:rsidRPr="00270CE2">
        <w:rPr>
          <w:noProof/>
          <w:lang w:eastAsia="en-AU"/>
        </w:rPr>
        <w:drawing>
          <wp:inline distT="0" distB="0" distL="0" distR="0" wp14:anchorId="770F3C50" wp14:editId="1E89CF56">
            <wp:extent cx="5369560" cy="4773930"/>
            <wp:effectExtent l="0" t="0" r="254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9560" cy="4773930"/>
                    </a:xfrm>
                    <a:prstGeom prst="rect">
                      <a:avLst/>
                    </a:prstGeom>
                    <a:noFill/>
                    <a:ln>
                      <a:noFill/>
                    </a:ln>
                  </pic:spPr>
                </pic:pic>
              </a:graphicData>
            </a:graphic>
          </wp:inline>
        </w:drawing>
      </w:r>
    </w:p>
    <w:p w:rsidR="00033144" w:rsidRPr="00033144" w:rsidRDefault="00033144" w:rsidP="00BB7AE6">
      <w:pPr>
        <w:pStyle w:val="Heading8"/>
        <w:keepNext/>
      </w:pPr>
      <w:bookmarkStart w:id="210" w:name="_Toc443923237"/>
      <w:bookmarkStart w:id="211" w:name="_Ref445933050"/>
      <w:bookmarkStart w:id="212" w:name="_Ref446278671"/>
      <w:bookmarkStart w:id="213" w:name="_Ref446280177"/>
      <w:bookmarkStart w:id="214" w:name="_Ref449020986"/>
      <w:bookmarkStart w:id="215" w:name="_Toc451333507"/>
      <w:bookmarkStart w:id="216" w:name="_Ref451689098"/>
      <w:bookmarkStart w:id="217" w:name="_Ref451689115"/>
      <w:bookmarkStart w:id="218" w:name="_Toc451945506"/>
      <w:bookmarkEnd w:id="207"/>
      <w:r w:rsidRPr="00033144">
        <w:t>Relationship between risk free rate and market risk premium in valuation reports</w:t>
      </w:r>
      <w:bookmarkEnd w:id="210"/>
      <w:bookmarkEnd w:id="211"/>
      <w:bookmarkEnd w:id="212"/>
      <w:bookmarkEnd w:id="213"/>
      <w:bookmarkEnd w:id="214"/>
      <w:bookmarkEnd w:id="215"/>
      <w:bookmarkEnd w:id="216"/>
      <w:bookmarkEnd w:id="217"/>
      <w:bookmarkEnd w:id="218"/>
    </w:p>
    <w:p w:rsidR="00033144" w:rsidRPr="00033144" w:rsidRDefault="00A77612" w:rsidP="00BB7AE6">
      <w:pPr>
        <w:keepNext/>
        <w:numPr>
          <w:ilvl w:val="0"/>
          <w:numId w:val="24"/>
        </w:numPr>
      </w:pPr>
      <w:r w:rsidRPr="00A77612">
        <w:t>ActewAGL</w:t>
      </w:r>
      <w:r w:rsidR="00033144" w:rsidRPr="00033144">
        <w:t xml:space="preserve"> submitted reports from Incenta Economic Consulting, NERA, and Houston Kemp that claimed that there is evidence of an inverse relationship between the risk free rate and the market risk premium in recent estimates by independent valuers. </w:t>
      </w:r>
    </w:p>
    <w:p w:rsidR="00033144" w:rsidRPr="00033144" w:rsidRDefault="00033144" w:rsidP="00033144">
      <w:pPr>
        <w:numPr>
          <w:ilvl w:val="0"/>
          <w:numId w:val="24"/>
        </w:numPr>
      </w:pPr>
      <w:r w:rsidRPr="00033144">
        <w:t xml:space="preserve">We considered the submissions by Incenta and NERA in our </w:t>
      </w:r>
      <w:r w:rsidR="00A77612">
        <w:t>draft</w:t>
      </w:r>
      <w:r w:rsidR="00A77612" w:rsidRPr="00033144">
        <w:t xml:space="preserve"> </w:t>
      </w:r>
      <w:r w:rsidRPr="00033144">
        <w:t>decision, with our overall assessment being that there is not sufficient evidence to establish the existence of such a relationship in valuers' estimates.</w:t>
      </w:r>
      <w:r w:rsidRPr="00033144">
        <w:rPr>
          <w:rStyle w:val="FootnoteReference"/>
        </w:rPr>
        <w:footnoteReference w:id="988"/>
      </w:r>
      <w:r w:rsidRPr="00033144">
        <w:t xml:space="preserve"> This is because:</w:t>
      </w:r>
    </w:p>
    <w:p w:rsidR="00033144" w:rsidRPr="00033144" w:rsidRDefault="00033144" w:rsidP="00033144">
      <w:pPr>
        <w:pStyle w:val="AERbulletlistfirststyle"/>
      </w:pPr>
      <w:r w:rsidRPr="00033144">
        <w:t>Incenta's sample is too small to support a reliable inference.</w:t>
      </w:r>
    </w:p>
    <w:p w:rsidR="00033144" w:rsidRPr="00033144" w:rsidRDefault="00033144" w:rsidP="00033144">
      <w:pPr>
        <w:pStyle w:val="AERbulletlistfirststyle"/>
      </w:pPr>
      <w:r w:rsidRPr="00033144">
        <w:t>NERA's regression results are driven by its unsupported assumption that any difference between a valuer's stated risk free rate and the prevailing yield on Commonwealth government securities is to be taken as part of their adopted market risk premium.</w:t>
      </w:r>
    </w:p>
    <w:p w:rsidR="00033144" w:rsidRPr="00033144" w:rsidRDefault="00033144" w:rsidP="00033144">
      <w:pPr>
        <w:rPr>
          <w:rStyle w:val="AERbody"/>
        </w:rPr>
      </w:pPr>
      <w:r w:rsidRPr="00033144">
        <w:t xml:space="preserve">As HoustonKemp's analysis uses the same methods to that of NERA, our criticisms of NERA's analysis in our </w:t>
      </w:r>
      <w:r w:rsidR="00BF089E">
        <w:t>draft</w:t>
      </w:r>
      <w:r w:rsidRPr="00033144">
        <w:t xml:space="preserve"> decision are equally applicable to it. </w:t>
      </w:r>
      <w:r w:rsidRPr="00033144">
        <w:rPr>
          <w:rStyle w:val="AERbody"/>
        </w:rPr>
        <w:t>These reasons were supported by Partington and Satchell.</w:t>
      </w:r>
      <w:r w:rsidRPr="00033144">
        <w:rPr>
          <w:rStyle w:val="FootnoteReference"/>
        </w:rPr>
        <w:footnoteReference w:id="989"/>
      </w:r>
      <w:r w:rsidRPr="00033144">
        <w:rPr>
          <w:rStyle w:val="AERbody"/>
        </w:rPr>
        <w:t xml:space="preserve"> We discuss our reasons for not accepting the submissions by Incenta, NERA, and Houston Kemp further in the following sections. We do not consider that there is sufficient evidence before us to depart from our original assessment.</w:t>
      </w:r>
    </w:p>
    <w:p w:rsidR="00033144" w:rsidRPr="00033144" w:rsidRDefault="00033144" w:rsidP="00033144">
      <w:pPr>
        <w:pStyle w:val="Heading9"/>
        <w:rPr>
          <w:rStyle w:val="AERbody"/>
        </w:rPr>
      </w:pPr>
      <w:r w:rsidRPr="00033144">
        <w:t>Our assessment of Incenta's submission</w:t>
      </w:r>
    </w:p>
    <w:p w:rsidR="00033144" w:rsidRPr="00033144" w:rsidRDefault="00033144" w:rsidP="00033144">
      <w:pPr>
        <w:numPr>
          <w:ilvl w:val="0"/>
          <w:numId w:val="24"/>
        </w:numPr>
      </w:pPr>
      <w:r w:rsidRPr="00033144">
        <w:rPr>
          <w:rStyle w:val="AERbody"/>
        </w:rPr>
        <w:t xml:space="preserve">We continue to consider our criticisms of Incenta's submission in our </w:t>
      </w:r>
      <w:r w:rsidR="00BF089E">
        <w:rPr>
          <w:rStyle w:val="AERbody"/>
        </w:rPr>
        <w:t>draft</w:t>
      </w:r>
      <w:r w:rsidRPr="00033144">
        <w:rPr>
          <w:rStyle w:val="AERbody"/>
        </w:rPr>
        <w:t xml:space="preserve"> decision to be justified.</w:t>
      </w:r>
      <w:r w:rsidRPr="00033144">
        <w:t xml:space="preserve"> Incenta plotted the</w:t>
      </w:r>
      <w:r w:rsidRPr="00033144" w:rsidDel="008860FD">
        <w:t xml:space="preserve"> </w:t>
      </w:r>
      <w:r w:rsidRPr="00033144">
        <w:t>equity risk premium estimates in 13 independent valuation reports for regulated infrastructure business against the prevailing risk free rate, stating that 'it would be incorrect to assume that the total risk premium is independent of the risk free rate, but rather that there is a clear inverse relationship'.</w:t>
      </w:r>
      <w:r w:rsidRPr="00033144">
        <w:rPr>
          <w:rStyle w:val="FootnoteReference"/>
        </w:rPr>
        <w:footnoteReference w:id="990"/>
      </w:r>
    </w:p>
    <w:p w:rsidR="00033144" w:rsidRPr="00033144" w:rsidRDefault="00033144" w:rsidP="00033144">
      <w:r w:rsidRPr="00033144">
        <w:t>We do not consider that Incenta's evidence supports the view that there is any clear relationship between the risk free rate and risk premiums. This is because:</w:t>
      </w:r>
    </w:p>
    <w:p w:rsidR="00033144" w:rsidRPr="00033144" w:rsidRDefault="00033144" w:rsidP="00033144">
      <w:pPr>
        <w:pStyle w:val="AERbulletlistfirststyle"/>
      </w:pPr>
      <w:r w:rsidRPr="00033144">
        <w:t>As Partington states with reference to Incenta's plot of equity risk premium estimates, 'making [a] reliable inference in a sample of 13 observations is extremely difficult' and 'the inference in the report is highly speculative at best'.</w:t>
      </w:r>
      <w:r w:rsidRPr="00033144">
        <w:rPr>
          <w:rStyle w:val="FootnoteReference"/>
        </w:rPr>
        <w:footnoteReference w:id="991"/>
      </w:r>
    </w:p>
    <w:p w:rsidR="00033144" w:rsidRPr="00033144" w:rsidRDefault="00033144" w:rsidP="00033144">
      <w:pPr>
        <w:pStyle w:val="AERbulletlistfirststyle"/>
      </w:pPr>
      <w:r w:rsidRPr="00033144">
        <w:t>It is not clear to us that any inverse correlation between the risk free rate and valuers' equity risk premium estimates is not just reflecting a positive correlation between the equity and debt risk premiums.</w:t>
      </w:r>
    </w:p>
    <w:p w:rsidR="00033144" w:rsidRPr="00033144" w:rsidRDefault="00033144" w:rsidP="00033144">
      <w:pPr>
        <w:pStyle w:val="AERbulletlistfirststyle"/>
      </w:pPr>
      <w:r w:rsidRPr="00033144">
        <w:t xml:space="preserve">We note each valuation report in Incenta's sample is for a different business. Therefore, differences in the valuers' equity beta estimates could be driving the differences in their equity risk premium estimates, as opposed to movements in the risk free rate as Incenta claims. . We compared the equity risk premium, debt risk premium and risk free rate for comparable firms in the </w:t>
      </w:r>
      <w:r w:rsidR="00A77612" w:rsidRPr="00A77612">
        <w:t>draft</w:t>
      </w:r>
      <w:r w:rsidRPr="00033144">
        <w:t xml:space="preserve"> decision.</w:t>
      </w:r>
      <w:r w:rsidRPr="00033144">
        <w:rPr>
          <w:rStyle w:val="FootnoteReference"/>
        </w:rPr>
        <w:footnoteReference w:id="992"/>
      </w:r>
      <w:r w:rsidRPr="00033144">
        <w:t xml:space="preserve"> </w:t>
      </w:r>
      <w:r w:rsidRPr="00033144">
        <w:fldChar w:fldCharType="begin"/>
      </w:r>
      <w:r w:rsidRPr="00033144">
        <w:instrText xml:space="preserve"> REF _Ref449019854 \h </w:instrText>
      </w:r>
      <w:r w:rsidRPr="00033144">
        <w:fldChar w:fldCharType="separate"/>
      </w:r>
      <w:r w:rsidR="001A023B" w:rsidRPr="00033144">
        <w:t xml:space="preserve">Figure </w:t>
      </w:r>
      <w:r w:rsidR="001A023B">
        <w:rPr>
          <w:noProof/>
        </w:rPr>
        <w:t>3</w:t>
      </w:r>
      <w:r w:rsidR="001A023B">
        <w:noBreakHyphen/>
      </w:r>
      <w:r w:rsidR="001A023B">
        <w:rPr>
          <w:noProof/>
        </w:rPr>
        <w:t>17</w:t>
      </w:r>
      <w:r w:rsidRPr="00033144">
        <w:fldChar w:fldCharType="end"/>
      </w:r>
      <w:r w:rsidRPr="00033144">
        <w:t xml:space="preserve"> shows that the market risk premium remains relatively stable which indicates that it is the choice of equity beta that is driving movement in the equity risk premium. </w:t>
      </w:r>
    </w:p>
    <w:p w:rsidR="00033144" w:rsidRPr="00033144" w:rsidRDefault="00033144" w:rsidP="00033144">
      <w:pPr>
        <w:pStyle w:val="Caption"/>
      </w:pPr>
    </w:p>
    <w:p w:rsidR="00033144" w:rsidRPr="00033144" w:rsidRDefault="00033144" w:rsidP="00033144">
      <w:pPr>
        <w:pStyle w:val="Caption"/>
      </w:pPr>
      <w:bookmarkStart w:id="219" w:name="_Ref449019854"/>
      <w:r w:rsidRPr="00033144">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17</w:t>
      </w:r>
      <w:r w:rsidR="00120312">
        <w:rPr>
          <w:noProof/>
        </w:rPr>
        <w:fldChar w:fldCharType="end"/>
      </w:r>
      <w:bookmarkEnd w:id="219"/>
      <w:r w:rsidRPr="00033144">
        <w:tab/>
        <w:t xml:space="preserve">Comparison of </w:t>
      </w:r>
      <w:r w:rsidR="009C70AF">
        <w:t>parameter estimates</w:t>
      </w:r>
      <w:r w:rsidRPr="00033144">
        <w:t xml:space="preserve"> from relevant valuation reports </w:t>
      </w:r>
    </w:p>
    <w:p w:rsidR="00033144" w:rsidRPr="00033144" w:rsidRDefault="00270CE2" w:rsidP="00033144">
      <w:r w:rsidRPr="00270CE2">
        <w:rPr>
          <w:noProof/>
          <w:lang w:eastAsia="en-AU"/>
        </w:rPr>
        <w:drawing>
          <wp:inline distT="0" distB="0" distL="0" distR="0" wp14:anchorId="034073FB" wp14:editId="5AAE12F0">
            <wp:extent cx="5369560" cy="4274185"/>
            <wp:effectExtent l="0" t="0" r="254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9560" cy="4274185"/>
                    </a:xfrm>
                    <a:prstGeom prst="rect">
                      <a:avLst/>
                    </a:prstGeom>
                    <a:noFill/>
                    <a:ln>
                      <a:noFill/>
                    </a:ln>
                  </pic:spPr>
                </pic:pic>
              </a:graphicData>
            </a:graphic>
          </wp:inline>
        </w:drawing>
      </w:r>
    </w:p>
    <w:p w:rsidR="00033144" w:rsidRPr="00033144" w:rsidRDefault="00033144" w:rsidP="00033144">
      <w:pPr>
        <w:pStyle w:val="AERtablesource"/>
      </w:pPr>
      <w:r w:rsidRPr="00033144">
        <w:t>Source:</w:t>
      </w:r>
      <w:r w:rsidRPr="00033144">
        <w:tab/>
        <w:t xml:space="preserve">AER analysis of reports from the Thomson Reuters Connect4 database </w:t>
      </w:r>
    </w:p>
    <w:p w:rsidR="00033144" w:rsidRPr="00033144" w:rsidRDefault="00033144" w:rsidP="00033144">
      <w:r w:rsidRPr="00033144">
        <w:t>Incenta also submitted that there is merit in examining directional evidence on the return on the market estimates from valuation reports.</w:t>
      </w:r>
      <w:r w:rsidRPr="00033144">
        <w:rPr>
          <w:rStyle w:val="FootnoteReference"/>
        </w:rPr>
        <w:footnoteReference w:id="993"/>
      </w:r>
      <w:r w:rsidRPr="00033144">
        <w:t xml:space="preserve"> We consider that examining the market return estimated by independent valuers facilitates the inclusion of all valuation reports (not just those reports for relevant businesses) and removes the influence of business-specific equity beta estimates. However, the market return may be less comparable to our foundation model return on equity as we would need to consider the extent to which the benchmark efficient entity is exposed to the systematic risks of the market. Partington also noted the need for caution in drawing time-trend inferences from valuation reports, stating:</w:t>
      </w:r>
      <w:r w:rsidRPr="00033144">
        <w:rPr>
          <w:rStyle w:val="FootnoteReference"/>
        </w:rPr>
        <w:footnoteReference w:id="994"/>
      </w:r>
    </w:p>
    <w:p w:rsidR="00033144" w:rsidRPr="00033144" w:rsidRDefault="00033144" w:rsidP="00033144">
      <w:pPr>
        <w:pStyle w:val="AERquote"/>
      </w:pPr>
      <w:r w:rsidRPr="00033144">
        <w:t>Variation through time, however, needs to be interpreted with caution given our comments about the size of year by year samples below and possible changes in the representativeness of the sample through time.</w:t>
      </w:r>
    </w:p>
    <w:p w:rsidR="00033144" w:rsidRPr="00033144" w:rsidRDefault="00033144" w:rsidP="00033144">
      <w:r w:rsidRPr="00033144">
        <w:t xml:space="preserve">In any case, we consider that the analysis in our </w:t>
      </w:r>
      <w:r w:rsidR="00A77612" w:rsidRPr="00A77612">
        <w:t>draft</w:t>
      </w:r>
      <w:r w:rsidRPr="00033144">
        <w:t xml:space="preserve"> decision indicated that the market return estimated by the Sharpe-Lintner CAPM using our point estimate of the market risk premium is not inconsistent with the market returns estimated in valuation reports.</w:t>
      </w:r>
      <w:r w:rsidRPr="00033144">
        <w:rPr>
          <w:rStyle w:val="FootnoteReference"/>
        </w:rPr>
        <w:footnoteReference w:id="995"/>
      </w:r>
    </w:p>
    <w:p w:rsidR="00033144" w:rsidRPr="00033144" w:rsidRDefault="00033144" w:rsidP="00033144">
      <w:pPr>
        <w:pStyle w:val="Heading9"/>
      </w:pPr>
      <w:r w:rsidRPr="00033144">
        <w:t>Regression analyses by NERA and HoustonKemp</w:t>
      </w:r>
    </w:p>
    <w:p w:rsidR="00033144" w:rsidRPr="00033144" w:rsidRDefault="00033144" w:rsidP="00033144">
      <w:r w:rsidRPr="00033144">
        <w:t>We do not consider that, on the whole, there is sufficient evidence in the submissions by NERA and HoustonKemp to establish that the return on equity estimates in recent valuation reports support either:</w:t>
      </w:r>
    </w:p>
    <w:p w:rsidR="00033144" w:rsidRPr="00033144" w:rsidRDefault="00033144" w:rsidP="00033144">
      <w:pPr>
        <w:pStyle w:val="AERbulletlistfirststyle"/>
      </w:pPr>
      <w:r w:rsidRPr="00033144">
        <w:t>the use of a risk free rate in excess of the prevailing yield on Australian government securities; or</w:t>
      </w:r>
    </w:p>
    <w:p w:rsidR="00033144" w:rsidRPr="00033144" w:rsidRDefault="00033144" w:rsidP="00033144">
      <w:pPr>
        <w:pStyle w:val="AERbulletlistfirststyle"/>
      </w:pPr>
      <w:r w:rsidRPr="00033144">
        <w:t>an increased market risk premium when the yield on Australian government securities is relatively low (that is, an negative relationship between market risk premium and yields on Australian government securities).</w:t>
      </w:r>
    </w:p>
    <w:p w:rsidR="00033144" w:rsidRPr="00033144" w:rsidRDefault="00033144" w:rsidP="00033144">
      <w:r w:rsidRPr="00033144">
        <w:t>Although we acknowledge that a number of valuation reports have used a risk free rate estimate in excess of the yield on Australian government securities, it is not clear that this is a widespread and persistent practice. As shown in Figure 4.1 of NERA's report and Figure 7 of HoustonKemp's report,</w:t>
      </w:r>
      <w:r w:rsidRPr="00033144">
        <w:rPr>
          <w:rStyle w:val="FootnoteReference"/>
        </w:rPr>
        <w:footnoteReference w:id="996"/>
      </w:r>
      <w:r w:rsidRPr="00033144">
        <w:t xml:space="preserve"> valuer's estimates of the risk free rate have generally been in line with the yield on Australian government securities up until about late 2011. After this time, a considerable number of valuation reports continued to use risk free rate estimates commensurate with Australian government security yields</w:t>
      </w:r>
      <w:r w:rsidRPr="00033144" w:rsidDel="005C404F">
        <w:t xml:space="preserve"> </w:t>
      </w:r>
      <w:r w:rsidRPr="00033144">
        <w:t>while some valuation reports used risk free rate estimates materially different from these yields.</w:t>
      </w:r>
      <w:r w:rsidRPr="00033144">
        <w:rPr>
          <w:rStyle w:val="FootnoteReference"/>
        </w:rPr>
        <w:footnoteReference w:id="997"/>
      </w:r>
      <w:r w:rsidRPr="00033144">
        <w:t xml:space="preserve"> As noted by Partington &amp; Satchell:</w:t>
      </w:r>
      <w:r w:rsidRPr="00033144">
        <w:rPr>
          <w:rStyle w:val="FootnoteReference"/>
        </w:rPr>
        <w:footnoteReference w:id="998"/>
      </w:r>
    </w:p>
    <w:p w:rsidR="00033144" w:rsidRPr="00033144" w:rsidRDefault="00033144" w:rsidP="00033144">
      <w:pPr>
        <w:pStyle w:val="AERquote"/>
      </w:pPr>
      <w:r w:rsidRPr="00033144">
        <w:t>Some of the experts clearly have a view that the risk free rate is substantially above the CGS rate, but on the basis of evidence it cannot be said that this is a consensus view.</w:t>
      </w:r>
    </w:p>
    <w:p w:rsidR="00033144" w:rsidRPr="00033144" w:rsidRDefault="00033144" w:rsidP="00033144">
      <w:r w:rsidRPr="00033144">
        <w:t>We note that HoustonKemp's observation of an uplifted risk free rate (above the CGS yield) by expert reports is largely driven by the use of a 'substantially increased risk free rate by some experts'.</w:t>
      </w:r>
      <w:r w:rsidRPr="00033144">
        <w:rPr>
          <w:rStyle w:val="FootnoteReference"/>
        </w:rPr>
        <w:footnoteReference w:id="999"/>
      </w:r>
      <w:r w:rsidRPr="00033144">
        <w:t xml:space="preserve"> </w:t>
      </w:r>
    </w:p>
    <w:p w:rsidR="00033144" w:rsidRPr="00033144" w:rsidRDefault="00033144" w:rsidP="00033144">
      <w:r w:rsidRPr="00033144">
        <w:t>Partington and Satchell noted that the concern is 'what weighting should be given to each expert firm': based on the number of reports or number of firms.</w:t>
      </w:r>
      <w:r w:rsidRPr="00033144">
        <w:rPr>
          <w:rStyle w:val="FootnoteReference"/>
        </w:rPr>
        <w:footnoteReference w:id="1000"/>
      </w:r>
      <w:r w:rsidRPr="00033144">
        <w:t xml:space="preserve"> For example, if we construct the standard error based on the number of reports rather than two observations we form an erroneous belief in the accuracy of our estimates.</w:t>
      </w:r>
      <w:r w:rsidRPr="00033144">
        <w:rPr>
          <w:rStyle w:val="FootnoteReference"/>
        </w:rPr>
        <w:footnoteReference w:id="1001"/>
      </w:r>
    </w:p>
    <w:p w:rsidR="00033144" w:rsidRPr="00033144" w:rsidRDefault="00033144" w:rsidP="00033144">
      <w:r w:rsidRPr="00033144">
        <w:t>Partington and Satchell advised that 'given the split of expert opinions on whether the risk free rate should be increased or not and given uncertainty over the appropriate weighting of observations, we consider that the case for an increase in the risk free rate is quite weak.'</w:t>
      </w:r>
      <w:r w:rsidRPr="00033144">
        <w:rPr>
          <w:rStyle w:val="FootnoteReference"/>
        </w:rPr>
        <w:footnoteReference w:id="1002"/>
      </w:r>
      <w:r w:rsidRPr="00033144">
        <w:t xml:space="preserve"> </w:t>
      </w:r>
    </w:p>
    <w:p w:rsidR="00033144" w:rsidRPr="00033144" w:rsidRDefault="00033144" w:rsidP="00033144">
      <w:r w:rsidRPr="00033144">
        <w:t>Partington and Satchell has noted that it is the difference between the valuers' risk free rate estimates and prevailing yields on Australian government securities that drive the results of NERA's regressions.</w:t>
      </w:r>
      <w:r w:rsidRPr="00033144">
        <w:rPr>
          <w:rStyle w:val="FootnoteReference"/>
        </w:rPr>
        <w:footnoteReference w:id="1003"/>
      </w:r>
      <w:r w:rsidRPr="00033144">
        <w:t xml:space="preserve"> They noted that HoustonKemp's analysis faces the same issue.</w:t>
      </w:r>
      <w:r w:rsidRPr="00033144">
        <w:rPr>
          <w:rStyle w:val="FootnoteReference"/>
        </w:rPr>
        <w:footnoteReference w:id="1004"/>
      </w:r>
      <w:r w:rsidRPr="00033144">
        <w:t xml:space="preserve"> Partington and Satchell added that HoustonKemp's observation of a negative relationship between the risk free rate and the market risk premium from its regression is 'quite weak' for the following reason:</w:t>
      </w:r>
      <w:r w:rsidRPr="00033144">
        <w:rPr>
          <w:rStyle w:val="FootnoteReference"/>
        </w:rPr>
        <w:footnoteReference w:id="1005"/>
      </w:r>
    </w:p>
    <w:p w:rsidR="00033144" w:rsidRPr="00033144" w:rsidRDefault="00033144" w:rsidP="00033144">
      <w:pPr>
        <w:pStyle w:val="AERquote"/>
      </w:pPr>
      <w:r w:rsidRPr="00033144">
        <w:t>…the relation between the government bond yield and the risk premium used in experts reports is significant in some cases, but only when the NERA or Ernst &amp; Young adjusted estimates of the market risk premium are used and the results are not significant even in these cases for the random effects models and the effect where it is significant is small. We conclude that this evidence is quite weak, the more so when the problem of biased parameters introduced by potentially incorrect weighting is considered.</w:t>
      </w:r>
    </w:p>
    <w:p w:rsidR="00033144" w:rsidRPr="00033144" w:rsidRDefault="00033144" w:rsidP="00033144">
      <w:r w:rsidRPr="00033144">
        <w:t>Partington and Satchell also advised that Houston Kemp's regression actually shows there is:</w:t>
      </w:r>
      <w:r w:rsidRPr="00033144">
        <w:rPr>
          <w:rStyle w:val="FootnoteReference"/>
        </w:rPr>
        <w:footnoteReference w:id="1006"/>
      </w:r>
      <w:r w:rsidRPr="00033144">
        <w:t xml:space="preserve"> </w:t>
      </w:r>
    </w:p>
    <w:p w:rsidR="00033144" w:rsidRPr="00033144" w:rsidRDefault="00F15D94" w:rsidP="00033144">
      <w:pPr>
        <w:pStyle w:val="AERquote"/>
      </w:pPr>
      <w:r w:rsidRPr="00F15D94">
        <w:t>no relation between the risk premium that experts use and the return on ten year bonds. What the expert reports actually show is that post 2010 about half the expert reports use a rate higher than the government bond rate as their proxy for the risk free rate. This is what drives the result in HoustonKemp's report, rather than an incre</w:t>
      </w:r>
      <w:r w:rsidR="00B72A66">
        <w:t>a</w:t>
      </w:r>
      <w:r w:rsidRPr="00F15D94">
        <w:t>se in the risk premium that the experts were using.</w:t>
      </w:r>
    </w:p>
    <w:p w:rsidR="00033144" w:rsidRPr="00033144" w:rsidRDefault="00033144" w:rsidP="00033144">
      <w:r w:rsidRPr="00033144">
        <w:t xml:space="preserve">We continue to consider, in the first instance, that a valuer's estimate of market risk premium is the valuer's best estimate of the market risk premium. It is not clear that a difference between the valuer's risk free rate estimate and prevailing yields on Australian government securities reflects an uplift to market risk premium, given that the valuer had the opportunity to directly increase its market risk premium estimate. </w:t>
      </w:r>
    </w:p>
    <w:p w:rsidR="00033144" w:rsidRPr="00033144" w:rsidRDefault="00033144" w:rsidP="00033144">
      <w:r w:rsidRPr="00033144">
        <w:t>Further, it is not clear that uplifts separately applied to an initial return on equity or rate of return estimate (in contrast to an increased risk free rate estimate) should be attributed to the market risk premium or market return. In Table 4.2 of its report,</w:t>
      </w:r>
      <w:r w:rsidRPr="00033144">
        <w:rPr>
          <w:rStyle w:val="FootnoteReference"/>
        </w:rPr>
        <w:footnoteReference w:id="1007"/>
      </w:r>
      <w:r w:rsidRPr="00033144">
        <w:t xml:space="preserve"> NERA lists the uplifts found in its sample period that it considers are attributable to market-wide factors (rather than firm-specific factors). We note that nine out of the ten uplifts in Table 4.2 are from a single valuer. It is not clear the extent to which these nine uplifts reflect an uplift to the risk free rate ('low interest rates') or market risk premium. The same issue applies to HoustonKemp's report: 13 of the 14 uplifts it considered to be due to market-wide factors were from the same valuer (Grant Samuel).</w:t>
      </w:r>
      <w:r w:rsidRPr="00033144">
        <w:rPr>
          <w:rStyle w:val="FootnoteReference"/>
        </w:rPr>
        <w:footnoteReference w:id="1008"/>
      </w:r>
      <w:r w:rsidRPr="00033144">
        <w:t xml:space="preserve"> We are not convinced that reliable inferences can be drawn from such highly-concentrated samples. As noted in </w:t>
      </w:r>
      <w:r w:rsidRPr="00033144">
        <w:fldChar w:fldCharType="begin"/>
      </w:r>
      <w:r w:rsidRPr="00033144">
        <w:instrText xml:space="preserve"> REF _Ref445927856 \h </w:instrText>
      </w:r>
      <w:r w:rsidRPr="00033144">
        <w:fldChar w:fldCharType="separate"/>
      </w:r>
      <w:r w:rsidR="001A023B" w:rsidRPr="00033144">
        <w:t xml:space="preserve">Table </w:t>
      </w:r>
      <w:r w:rsidR="001A023B">
        <w:rPr>
          <w:noProof/>
        </w:rPr>
        <w:t>3</w:t>
      </w:r>
      <w:r w:rsidR="001A023B" w:rsidRPr="00033144">
        <w:noBreakHyphen/>
      </w:r>
      <w:r w:rsidR="001A023B">
        <w:rPr>
          <w:noProof/>
        </w:rPr>
        <w:t>7</w:t>
      </w:r>
      <w:r w:rsidRPr="00033144">
        <w:fldChar w:fldCharType="end"/>
      </w:r>
      <w:r w:rsidRPr="00033144">
        <w:t>, it is not clear that uplifts to the risk free rate reflect efficient financing costs for a benchmark efficient entity.</w:t>
      </w:r>
      <w:r w:rsidRPr="00033144">
        <w:rPr>
          <w:rStyle w:val="FootnoteReference"/>
        </w:rPr>
        <w:footnoteReference w:id="1009"/>
      </w:r>
      <w:r w:rsidRPr="00033144">
        <w:t xml:space="preserve"> </w:t>
      </w:r>
    </w:p>
    <w:p w:rsidR="00033144" w:rsidRDefault="00033144" w:rsidP="00730CE8"/>
    <w:p w:rsidR="00701AAF" w:rsidRDefault="00701AAF" w:rsidP="00701AAF">
      <w:pPr>
        <w:pStyle w:val="Heading7"/>
      </w:pPr>
      <w:bookmarkStart w:id="220" w:name="_Ref451689189"/>
      <w:bookmarkStart w:id="221" w:name="_Toc451945507"/>
      <w:r>
        <w:t>Empirical estimates of equity beta</w:t>
      </w:r>
      <w:bookmarkEnd w:id="220"/>
      <w:bookmarkEnd w:id="221"/>
    </w:p>
    <w:p w:rsidR="00701AAF" w:rsidRDefault="00701AAF" w:rsidP="00701AAF">
      <w:pPr>
        <w:numPr>
          <w:ilvl w:val="0"/>
          <w:numId w:val="24"/>
        </w:numPr>
      </w:pPr>
      <w:r w:rsidRPr="003A198B">
        <w:t xml:space="preserve">The equity beta </w:t>
      </w:r>
      <w:r>
        <w:t xml:space="preserve">is a key input parameter in </w:t>
      </w:r>
      <w:r w:rsidRPr="003A198B">
        <w:t>the Sharpe–Lintn</w:t>
      </w:r>
      <w:r>
        <w:t>er capital asset pricing model (</w:t>
      </w:r>
      <w:r w:rsidRPr="003A198B">
        <w:t>CAPM</w:t>
      </w:r>
      <w:r>
        <w:t xml:space="preserve">). Equity beta measures </w:t>
      </w:r>
      <w:r w:rsidRPr="003A198B">
        <w:t>the sensitivity of an asset or business</w:t>
      </w:r>
      <w:r>
        <w:t>'s returns</w:t>
      </w:r>
      <w:r w:rsidRPr="003A198B">
        <w:t xml:space="preserve"> to movements in the </w:t>
      </w:r>
      <w:r>
        <w:t xml:space="preserve">overall </w:t>
      </w:r>
      <w:r w:rsidRPr="003A198B">
        <w:t>market</w:t>
      </w:r>
      <w:r>
        <w:t xml:space="preserve"> returns (systematic or market risk).</w:t>
      </w:r>
      <w:r>
        <w:rPr>
          <w:rStyle w:val="FootnoteReference"/>
        </w:rPr>
        <w:footnoteReference w:id="1010"/>
      </w:r>
      <w:r>
        <w:t xml:space="preserve"> </w:t>
      </w:r>
    </w:p>
    <w:p w:rsidR="00701AAF" w:rsidRDefault="00701AAF" w:rsidP="00701AAF">
      <w:pPr>
        <w:numPr>
          <w:ilvl w:val="0"/>
          <w:numId w:val="24"/>
        </w:numPr>
      </w:pPr>
      <w:r>
        <w:t xml:space="preserve">This appendix focusses on empirical estimates of equity beta. </w:t>
      </w:r>
      <w:r w:rsidRPr="00D42DD7">
        <w:t>Empirical estimates of equity beta are based on regressions that relate the returns on a set of comparator firms to the return on the market.</w:t>
      </w:r>
    </w:p>
    <w:p w:rsidR="00701AAF" w:rsidRDefault="00701AAF" w:rsidP="00701AAF">
      <w:pPr>
        <w:numPr>
          <w:ilvl w:val="0"/>
          <w:numId w:val="24"/>
        </w:numPr>
      </w:pPr>
      <w:r>
        <w:t>As discussed in section 3.4.1, empirical estimates using a comparator set of listed Australian energy network firms from Henry's 2014 report are the main determinants of our equity beta estimate for a benchmark efficient entity with a similar degree of risk as ActewAGL in providing regulated services. Henry's 2014 report is one of a number of Australian empirical studies showing a consistent pattern of equity beta estimates that is robust to the use of different econometric techniques and time periods. We have regard to these other Australian empirical studies. We consider this information supports an equity beta range of 0.4 to 0.7.</w:t>
      </w:r>
    </w:p>
    <w:p w:rsidR="00701AAF" w:rsidRDefault="00701AAF" w:rsidP="00701AAF">
      <w:pPr>
        <w:numPr>
          <w:ilvl w:val="0"/>
          <w:numId w:val="24"/>
        </w:numPr>
      </w:pPr>
      <w:r>
        <w:t>We also have regard to empirical estimates</w:t>
      </w:r>
      <w:r w:rsidRPr="00345FC0">
        <w:t xml:space="preserve"> </w:t>
      </w:r>
      <w:r>
        <w:t>of equity beta for international energy firms. However, we place only limited reliance on this evidence as we do not consider the international firms are sufficiently comparable to a benchmark efficient entity with a similar degree of risk as ActewAGL in providing regulated services. We consider this information provides some support for an equity beta point estimate towards the upper end of the range.</w:t>
      </w:r>
    </w:p>
    <w:p w:rsidR="00701AAF" w:rsidRDefault="00701AAF" w:rsidP="00701AAF">
      <w:pPr>
        <w:numPr>
          <w:ilvl w:val="0"/>
          <w:numId w:val="24"/>
        </w:numPr>
      </w:pPr>
      <w:r>
        <w:t>This appendix sets out:</w:t>
      </w:r>
    </w:p>
    <w:p w:rsidR="00701AAF" w:rsidRDefault="00701AAF" w:rsidP="00701AAF">
      <w:pPr>
        <w:pStyle w:val="AERbulletlistfirststyle"/>
        <w:rPr>
          <w:rStyle w:val="AERbody"/>
        </w:rPr>
      </w:pPr>
      <w:r>
        <w:rPr>
          <w:rStyle w:val="AERbody"/>
        </w:rPr>
        <w:t>the Australian and international empirical estimates we consider in this decision</w:t>
      </w:r>
    </w:p>
    <w:p w:rsidR="00701AAF" w:rsidRDefault="00701AAF" w:rsidP="00701AAF">
      <w:pPr>
        <w:pStyle w:val="AERbulletlistfirststyle"/>
        <w:rPr>
          <w:rStyle w:val="AERbody"/>
        </w:rPr>
      </w:pPr>
      <w:r>
        <w:rPr>
          <w:rStyle w:val="AERbody"/>
        </w:rPr>
        <w:t>the comparator set we use for our empirical analysis and our reasons for using this comparator set.</w:t>
      </w:r>
    </w:p>
    <w:p w:rsidR="00701AAF" w:rsidRPr="00701AAF" w:rsidRDefault="00701AAF" w:rsidP="00F81198">
      <w:pPr>
        <w:pStyle w:val="Heading8"/>
        <w:numPr>
          <w:ilvl w:val="1"/>
          <w:numId w:val="51"/>
        </w:numPr>
      </w:pPr>
      <w:bookmarkStart w:id="222" w:name="_Ref446255169"/>
      <w:bookmarkStart w:id="223" w:name="_Toc451945508"/>
      <w:r>
        <w:t>Australian e</w:t>
      </w:r>
      <w:r w:rsidRPr="00701AAF">
        <w:t>mpirical estimates from Henry's 2014 report</w:t>
      </w:r>
      <w:bookmarkEnd w:id="222"/>
      <w:bookmarkEnd w:id="223"/>
    </w:p>
    <w:p w:rsidR="00701AAF" w:rsidRDefault="00701AAF" w:rsidP="00701AAF">
      <w:pPr>
        <w:numPr>
          <w:ilvl w:val="0"/>
          <w:numId w:val="24"/>
        </w:numPr>
      </w:pPr>
      <w:r>
        <w:t>For our Australian empirical analysis we commissioned an expert report from Professor Olan Henry (Henry), which provided an update on his 2009 econometric analysis of equity beta.</w:t>
      </w:r>
      <w:r>
        <w:rPr>
          <w:rStyle w:val="FootnoteReference"/>
        </w:rPr>
        <w:footnoteReference w:id="1011"/>
      </w:r>
      <w:r>
        <w:t xml:space="preserve">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012"/>
      </w:r>
    </w:p>
    <w:p w:rsidR="00701AAF" w:rsidRPr="00C01E61" w:rsidRDefault="00701AAF" w:rsidP="00701AAF">
      <w:pPr>
        <w:numPr>
          <w:ilvl w:val="0"/>
          <w:numId w:val="24"/>
        </w:numPr>
      </w:pPr>
      <w:r>
        <w:t xml:space="preserve">Henry's 2014 report presented </w:t>
      </w:r>
      <w:r w:rsidRPr="00C01E61">
        <w:t xml:space="preserve">empirical </w:t>
      </w:r>
      <w:r>
        <w:t>estimates of</w:t>
      </w:r>
      <w:r w:rsidRPr="00C01E61">
        <w:t xml:space="preserve"> equity beta for our comparator set of nine Australian energy network firms</w:t>
      </w:r>
      <w:r>
        <w:t xml:space="preserve"> (see section </w:t>
      </w:r>
      <w:r>
        <w:fldChar w:fldCharType="begin"/>
      </w:r>
      <w:r>
        <w:instrText xml:space="preserve"> REF _Ref447740508 \r \h </w:instrText>
      </w:r>
      <w:r>
        <w:fldChar w:fldCharType="separate"/>
      </w:r>
      <w:r w:rsidR="001A023B">
        <w:t>G.4.1</w:t>
      </w:r>
      <w:r>
        <w:fldChar w:fldCharType="end"/>
      </w:r>
      <w:r>
        <w:t>)</w:t>
      </w:r>
      <w:r w:rsidRPr="00C01E61">
        <w:t xml:space="preserve">, using </w:t>
      </w:r>
      <w:r>
        <w:t xml:space="preserve">available </w:t>
      </w:r>
      <w:r w:rsidRPr="00C01E61">
        <w:t>data from 29 May 1992 to 28 June 2013.</w:t>
      </w:r>
      <w:r>
        <w:rPr>
          <w:rStyle w:val="FootnoteReference"/>
        </w:rPr>
        <w:footnoteReference w:id="1013"/>
      </w:r>
      <w:r w:rsidRPr="00C01E61">
        <w:t xml:space="preserve"> </w:t>
      </w:r>
      <w:r>
        <w:t>Based on our detailed discussion of methodological choices in recent decisions,</w:t>
      </w:r>
      <w:r>
        <w:rPr>
          <w:rStyle w:val="FootnoteReference"/>
        </w:rPr>
        <w:footnoteReference w:id="1014"/>
      </w:r>
      <w:r>
        <w:t xml:space="preserve"> w</w:t>
      </w:r>
      <w:r w:rsidRPr="00C01E61">
        <w:t>e consider the most useful empirical estimates:</w:t>
      </w:r>
    </w:p>
    <w:p w:rsidR="00701AAF" w:rsidRPr="00701AAF" w:rsidRDefault="00701AAF" w:rsidP="00701AAF">
      <w:pPr>
        <w:pStyle w:val="AERbulletlistfirststyle"/>
      </w:pPr>
      <w:r>
        <w:t>use the Ordinary Least Squares (OLS)</w:t>
      </w:r>
      <w:r w:rsidRPr="00701AAF">
        <w:t xml:space="preserve"> estimator (with the Least Absolute Deviation (LAD) estimator used as a robustness check for outliers in the underlying data)</w:t>
      </w:r>
    </w:p>
    <w:p w:rsidR="00701AAF" w:rsidRPr="00701AAF" w:rsidRDefault="00701AAF" w:rsidP="00701AAF">
      <w:pPr>
        <w:pStyle w:val="AERbulletlistfirststyle"/>
      </w:pPr>
      <w:r w:rsidRPr="00517D1B">
        <w:t>are measured over multiple estimation periods</w:t>
      </w:r>
      <w:r w:rsidRPr="00701AAF">
        <w:t xml:space="preserve"> </w:t>
      </w:r>
    </w:p>
    <w:p w:rsidR="00701AAF" w:rsidRPr="00701AAF" w:rsidRDefault="00701AAF" w:rsidP="00701AAF">
      <w:pPr>
        <w:pStyle w:val="AERbulletlistfirststyle"/>
      </w:pPr>
      <w:r w:rsidRPr="00517D1B">
        <w:t>use weekly return intervals (with monthly returns used as a robustness check)</w:t>
      </w:r>
    </w:p>
    <w:p w:rsidR="00701AAF" w:rsidRPr="00701AAF" w:rsidRDefault="00701AAF" w:rsidP="00701AAF">
      <w:pPr>
        <w:pStyle w:val="AERbulletlistfirststyle"/>
      </w:pPr>
      <w:r>
        <w:t>use the Brealey–Myers formula</w:t>
      </w:r>
      <w:r w:rsidRPr="00701AAF">
        <w:t xml:space="preserve"> to de- and re-lever raw</w:t>
      </w:r>
      <w:r w:rsidRPr="00701AAF">
        <w:rPr>
          <w:rStyle w:val="FootnoteReference"/>
        </w:rPr>
        <w:footnoteReference w:id="1015"/>
      </w:r>
      <w:r w:rsidRPr="00701AAF">
        <w:t xml:space="preserve"> estimates to a benchmark gearing of 60 per cent, although we consider both raw and re-levered estimates </w:t>
      </w:r>
    </w:p>
    <w:p w:rsidR="00701AAF" w:rsidRPr="00701AAF" w:rsidRDefault="00701AAF" w:rsidP="00701AAF">
      <w:pPr>
        <w:pStyle w:val="AERbulletlistfirststyle"/>
      </w:pPr>
      <w:r w:rsidRPr="00517D1B">
        <w:t>are based on averages of individual firm estimates and fixed weight portfolios (equal weighting and value weighting)</w:t>
      </w:r>
    </w:p>
    <w:p w:rsidR="00701AAF" w:rsidRPr="00701AAF" w:rsidRDefault="00701AAF" w:rsidP="00701AAF">
      <w:pPr>
        <w:pStyle w:val="AERbulletlistfirststyle"/>
      </w:pPr>
      <w:r w:rsidRPr="00517D1B">
        <w:t>do not apply a Blume or Vasicek adjustment</w:t>
      </w:r>
      <w:r w:rsidRPr="00701AAF">
        <w:t>.</w:t>
      </w:r>
      <w:r w:rsidRPr="00701AAF">
        <w:rPr>
          <w:rStyle w:val="FootnoteReference"/>
        </w:rPr>
        <w:footnoteReference w:id="1016"/>
      </w:r>
    </w:p>
    <w:p w:rsidR="00701AAF" w:rsidRPr="00D70AB3" w:rsidRDefault="00701AAF" w:rsidP="00701AAF">
      <w:pPr>
        <w:numPr>
          <w:ilvl w:val="0"/>
          <w:numId w:val="24"/>
        </w:numPr>
      </w:pPr>
      <w:r>
        <w:t>We consider the equity beta estimates presented in Henry's empirical analysis</w:t>
      </w:r>
      <w:r w:rsidRPr="00137096">
        <w:t xml:space="preserve"> </w:t>
      </w:r>
      <w:r>
        <w:t xml:space="preserve">support a range of 0.4 to 0.7. </w:t>
      </w:r>
      <w:r>
        <w:fldChar w:fldCharType="begin"/>
      </w:r>
      <w:r>
        <w:instrText xml:space="preserve"> REF _Ref446197185 \h </w:instrText>
      </w:r>
      <w:r>
        <w:fldChar w:fldCharType="separate"/>
      </w:r>
      <w:r w:rsidR="001A023B">
        <w:t xml:space="preserve">Table </w:t>
      </w:r>
      <w:r w:rsidR="001A023B">
        <w:rPr>
          <w:noProof/>
        </w:rPr>
        <w:t>3</w:t>
      </w:r>
      <w:r w:rsidR="001A023B">
        <w:noBreakHyphen/>
      </w:r>
      <w:r w:rsidR="001A023B">
        <w:rPr>
          <w:noProof/>
        </w:rPr>
        <w:t>35</w:t>
      </w:r>
      <w:r>
        <w:fldChar w:fldCharType="end"/>
      </w:r>
      <w:r>
        <w:t xml:space="preserve"> and </w:t>
      </w:r>
      <w:r>
        <w:fldChar w:fldCharType="begin"/>
      </w:r>
      <w:r>
        <w:instrText xml:space="preserve"> REF  _Ref446197176 \* Lower \h </w:instrText>
      </w:r>
      <w:r>
        <w:fldChar w:fldCharType="separate"/>
      </w:r>
      <w:r w:rsidR="001A023B">
        <w:t xml:space="preserve">table </w:t>
      </w:r>
      <w:r w:rsidR="001A023B">
        <w:rPr>
          <w:noProof/>
        </w:rPr>
        <w:t>3</w:t>
      </w:r>
      <w:r w:rsidR="001A023B">
        <w:noBreakHyphen/>
      </w:r>
      <w:r w:rsidR="001A023B">
        <w:rPr>
          <w:noProof/>
        </w:rPr>
        <w:t>36</w:t>
      </w:r>
      <w:r>
        <w:fldChar w:fldCharType="end"/>
      </w:r>
      <w:r>
        <w:t xml:space="preserve"> set out </w:t>
      </w:r>
      <w:r w:rsidRPr="00D70AB3">
        <w:t>Henry's re-levered OLS equity beta estimates for the individual comparator firms (averaged across firms) and fixed weight portfolios respectively. The results show that:</w:t>
      </w:r>
    </w:p>
    <w:p w:rsidR="00701AAF" w:rsidRPr="00701AAF" w:rsidRDefault="00701AAF" w:rsidP="00701AAF">
      <w:pPr>
        <w:pStyle w:val="AERbulletlistfirststyle"/>
      </w:pPr>
      <w:r>
        <w:t>The re-levered individual firm estimates (averaged across firms) range from 0.46 to 0.56. The corresponding raw (that is, observed market gearing level) estimates range from 0.48 to 0.50.</w:t>
      </w:r>
      <w:r w:rsidRPr="00701AAF">
        <w:rPr>
          <w:rStyle w:val="FootnoteReference"/>
        </w:rPr>
        <w:footnoteReference w:id="1017"/>
      </w:r>
      <w:r w:rsidRPr="00701AAF">
        <w:t xml:space="preserve"> </w:t>
      </w:r>
    </w:p>
    <w:p w:rsidR="00701AAF" w:rsidRPr="00701AAF" w:rsidRDefault="00701AAF" w:rsidP="00701AAF">
      <w:pPr>
        <w:pStyle w:val="AERbulletlistfirststyle"/>
      </w:pPr>
      <w:r>
        <w:t>The re-levered fixed weight portfolio estimates range from 0.39 to 0.70.</w:t>
      </w:r>
      <w:r w:rsidRPr="00701AAF">
        <w:t xml:space="preserve"> The corresponding raw estimates range from 0.42 to 0.58.</w:t>
      </w:r>
      <w:r w:rsidRPr="00701AAF">
        <w:rPr>
          <w:rStyle w:val="FootnoteReference"/>
        </w:rPr>
        <w:footnoteReference w:id="1018"/>
      </w:r>
    </w:p>
    <w:p w:rsidR="00701AAF" w:rsidRDefault="00701AAF" w:rsidP="00EA4C14">
      <w:pPr>
        <w:pStyle w:val="Caption"/>
      </w:pPr>
      <w:bookmarkStart w:id="224" w:name="_Ref446197185"/>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35</w:t>
      </w:r>
      <w:r w:rsidR="00120312">
        <w:rPr>
          <w:noProof/>
        </w:rPr>
        <w:fldChar w:fldCharType="end"/>
      </w:r>
      <w:bookmarkEnd w:id="224"/>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text0"/>
        <w:tblW w:w="0" w:type="auto"/>
        <w:tblLook w:val="04A0" w:firstRow="1" w:lastRow="0" w:firstColumn="1" w:lastColumn="0" w:noHBand="0" w:noVBand="1"/>
      </w:tblPr>
      <w:tblGrid>
        <w:gridCol w:w="2093"/>
        <w:gridCol w:w="2360"/>
        <w:gridCol w:w="2459"/>
        <w:gridCol w:w="1781"/>
      </w:tblGrid>
      <w:tr w:rsidR="00701AAF" w:rsidTr="004C5238">
        <w:trPr>
          <w:cnfStyle w:val="100000000000" w:firstRow="1" w:lastRow="0" w:firstColumn="0" w:lastColumn="0" w:oddVBand="0" w:evenVBand="0" w:oddHBand="0" w:evenHBand="0" w:firstRowFirstColumn="0" w:firstRowLastColumn="0" w:lastRowFirstColumn="0" w:lastRowLastColumn="0"/>
        </w:trPr>
        <w:tc>
          <w:tcPr>
            <w:tcW w:w="2093" w:type="dxa"/>
          </w:tcPr>
          <w:p w:rsidR="00701AAF" w:rsidRPr="00701AAF" w:rsidRDefault="00701AAF" w:rsidP="00BB7AE6">
            <w:pPr>
              <w:keepNext/>
            </w:pPr>
            <w:r>
              <w:t>Issue</w:t>
            </w:r>
          </w:p>
        </w:tc>
        <w:tc>
          <w:tcPr>
            <w:tcW w:w="2360" w:type="dxa"/>
          </w:tcPr>
          <w:p w:rsidR="00701AAF" w:rsidRPr="00701AAF" w:rsidRDefault="00701AAF" w:rsidP="00BB7AE6">
            <w:pPr>
              <w:keepNext/>
            </w:pPr>
            <w:r>
              <w:t>Longest available period</w:t>
            </w:r>
          </w:p>
        </w:tc>
        <w:tc>
          <w:tcPr>
            <w:tcW w:w="2459" w:type="dxa"/>
          </w:tcPr>
          <w:p w:rsidR="00701AAF" w:rsidRPr="00701AAF" w:rsidRDefault="00701AAF" w:rsidP="00BB7AE6">
            <w:pPr>
              <w:keepNext/>
            </w:pPr>
            <w:r>
              <w:t>2002 to 2013 (excluding GFC)</w:t>
            </w:r>
          </w:p>
        </w:tc>
        <w:tc>
          <w:tcPr>
            <w:tcW w:w="1781" w:type="dxa"/>
          </w:tcPr>
          <w:p w:rsidR="00701AAF" w:rsidRPr="00701AAF" w:rsidRDefault="00701AAF" w:rsidP="00BB7AE6">
            <w:pPr>
              <w:keepNext/>
            </w:pPr>
            <w:r>
              <w:t xml:space="preserve">Last five years </w:t>
            </w:r>
            <w:r w:rsidRPr="00701AAF">
              <w:rPr>
                <w:rStyle w:val="FootnoteReference"/>
              </w:rPr>
              <w:t>(a)</w:t>
            </w:r>
          </w:p>
        </w:tc>
      </w:tr>
      <w:tr w:rsidR="00701AAF" w:rsidTr="004C5238">
        <w:tc>
          <w:tcPr>
            <w:tcW w:w="2093" w:type="dxa"/>
          </w:tcPr>
          <w:p w:rsidR="00701AAF" w:rsidRPr="00701AAF" w:rsidRDefault="00701AAF" w:rsidP="00BB7AE6">
            <w:pPr>
              <w:keepNext/>
            </w:pPr>
            <w:r>
              <w:t>Re-levered OLS estimates</w:t>
            </w:r>
          </w:p>
        </w:tc>
        <w:tc>
          <w:tcPr>
            <w:tcW w:w="2360" w:type="dxa"/>
          </w:tcPr>
          <w:p w:rsidR="00701AAF" w:rsidRPr="00701AAF" w:rsidRDefault="00701AAF" w:rsidP="00BB7AE6">
            <w:pPr>
              <w:keepNext/>
            </w:pPr>
            <w:r>
              <w:t>0.52</w:t>
            </w:r>
          </w:p>
        </w:tc>
        <w:tc>
          <w:tcPr>
            <w:tcW w:w="2459" w:type="dxa"/>
          </w:tcPr>
          <w:p w:rsidR="00701AAF" w:rsidRPr="00701AAF" w:rsidRDefault="00701AAF" w:rsidP="00BB7AE6">
            <w:pPr>
              <w:keepNext/>
            </w:pPr>
            <w:r>
              <w:t>0.56</w:t>
            </w:r>
          </w:p>
        </w:tc>
        <w:tc>
          <w:tcPr>
            <w:tcW w:w="1781" w:type="dxa"/>
          </w:tcPr>
          <w:p w:rsidR="00701AAF" w:rsidRPr="00701AAF" w:rsidRDefault="00701AAF" w:rsidP="00BB7AE6">
            <w:pPr>
              <w:keepNext/>
            </w:pPr>
            <w:r>
              <w:t>0.46</w:t>
            </w:r>
          </w:p>
        </w:tc>
      </w:tr>
    </w:tbl>
    <w:p w:rsidR="00701AAF" w:rsidRPr="00EB6387" w:rsidRDefault="00701AAF" w:rsidP="00BB7AE6">
      <w:pPr>
        <w:pStyle w:val="AERtablesource"/>
        <w:keepNext/>
      </w:pPr>
      <w:r w:rsidRPr="00C01E61">
        <w:t>Source:</w:t>
      </w:r>
      <w:r w:rsidRPr="00C01E61">
        <w:tab/>
      </w:r>
      <w:r w:rsidRPr="00EB6387">
        <w:t xml:space="preserve">AER analysis; Henry, </w:t>
      </w:r>
      <w:r w:rsidRPr="00EB6387">
        <w:rPr>
          <w:rStyle w:val="AERtextitalic"/>
        </w:rPr>
        <w:t>Estimating β: An update</w:t>
      </w:r>
      <w:r w:rsidRPr="00EB6387">
        <w:t>, April 2014.</w:t>
      </w:r>
    </w:p>
    <w:p w:rsidR="00701AAF" w:rsidRDefault="00701AAF" w:rsidP="00BB7AE6">
      <w:pPr>
        <w:pStyle w:val="AERtablesource"/>
        <w:keepNext/>
      </w:pPr>
      <w:r w:rsidRPr="00C01E61">
        <w:t>(</w:t>
      </w:r>
      <w:r w:rsidRPr="00EB6387">
        <w:t>a)</w:t>
      </w:r>
      <w:r w:rsidRPr="00EB6387">
        <w:tab/>
        <w:t xml:space="preserve">AAN, AGL and GAS were not used for this estimation period because Henry only uses data up to 2006 or 2007 for these firms. See: Henry, </w:t>
      </w:r>
      <w:r w:rsidRPr="00EB6387">
        <w:rPr>
          <w:rStyle w:val="AERtextitalic"/>
        </w:rPr>
        <w:t>Estimating β: An update</w:t>
      </w:r>
      <w:r w:rsidRPr="00EB6387">
        <w:t>, April 2014, p. 17.</w:t>
      </w:r>
    </w:p>
    <w:p w:rsidR="00701AAF" w:rsidRDefault="00701AAF" w:rsidP="00701AAF">
      <w:pPr>
        <w:pStyle w:val="Caption"/>
      </w:pPr>
      <w:bookmarkStart w:id="225" w:name="_Ref446197176"/>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36</w:t>
      </w:r>
      <w:r w:rsidR="00120312">
        <w:rPr>
          <w:noProof/>
        </w:rPr>
        <w:fldChar w:fldCharType="end"/>
      </w:r>
      <w:bookmarkEnd w:id="225"/>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3"/>
        <w:gridCol w:w="1320"/>
        <w:gridCol w:w="1320"/>
        <w:gridCol w:w="1320"/>
        <w:gridCol w:w="1320"/>
        <w:gridCol w:w="1320"/>
      </w:tblGrid>
      <w:tr w:rsidR="00701AAF" w:rsidTr="004C5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01AAF" w:rsidRPr="009279A1" w:rsidRDefault="00701AAF" w:rsidP="00701AAF"/>
        </w:tc>
        <w:tc>
          <w:tcPr>
            <w:tcW w:w="1320" w:type="dxa"/>
          </w:tcPr>
          <w:p w:rsidR="00701AAF" w:rsidRPr="00701AAF" w:rsidRDefault="00701AAF" w:rsidP="00701AAF">
            <w:pPr>
              <w:cnfStyle w:val="100000000000" w:firstRow="1" w:lastRow="0" w:firstColumn="0" w:lastColumn="0" w:oddVBand="0" w:evenVBand="0" w:oddHBand="0" w:evenHBand="0" w:firstRowFirstColumn="0" w:firstRowLastColumn="0" w:lastRowFirstColumn="0" w:lastRowLastColumn="0"/>
            </w:pPr>
            <w:r>
              <w:t>P1</w:t>
            </w:r>
          </w:p>
        </w:tc>
        <w:tc>
          <w:tcPr>
            <w:tcW w:w="1320" w:type="dxa"/>
          </w:tcPr>
          <w:p w:rsidR="00701AAF" w:rsidRPr="00701AAF" w:rsidRDefault="00701AAF" w:rsidP="00701AAF">
            <w:pPr>
              <w:cnfStyle w:val="100000000000" w:firstRow="1" w:lastRow="0" w:firstColumn="0" w:lastColumn="0" w:oddVBand="0" w:evenVBand="0" w:oddHBand="0" w:evenHBand="0" w:firstRowFirstColumn="0" w:firstRowLastColumn="0" w:lastRowFirstColumn="0" w:lastRowLastColumn="0"/>
            </w:pPr>
            <w:r>
              <w:t>P2</w:t>
            </w:r>
          </w:p>
        </w:tc>
        <w:tc>
          <w:tcPr>
            <w:tcW w:w="1320" w:type="dxa"/>
          </w:tcPr>
          <w:p w:rsidR="00701AAF" w:rsidRPr="00701AAF" w:rsidRDefault="00701AAF" w:rsidP="00701AAF">
            <w:pPr>
              <w:cnfStyle w:val="100000000000" w:firstRow="1" w:lastRow="0" w:firstColumn="0" w:lastColumn="0" w:oddVBand="0" w:evenVBand="0" w:oddHBand="0" w:evenHBand="0" w:firstRowFirstColumn="0" w:firstRowLastColumn="0" w:lastRowFirstColumn="0" w:lastRowLastColumn="0"/>
            </w:pPr>
            <w:r>
              <w:t>P3</w:t>
            </w:r>
          </w:p>
        </w:tc>
        <w:tc>
          <w:tcPr>
            <w:tcW w:w="1320" w:type="dxa"/>
          </w:tcPr>
          <w:p w:rsidR="00701AAF" w:rsidRPr="00701AAF" w:rsidRDefault="00701AAF" w:rsidP="00701AAF">
            <w:pPr>
              <w:cnfStyle w:val="100000000000" w:firstRow="1" w:lastRow="0" w:firstColumn="0" w:lastColumn="0" w:oddVBand="0" w:evenVBand="0" w:oddHBand="0" w:evenHBand="0" w:firstRowFirstColumn="0" w:firstRowLastColumn="0" w:lastRowFirstColumn="0" w:lastRowLastColumn="0"/>
            </w:pPr>
            <w:r>
              <w:t>P4</w:t>
            </w:r>
          </w:p>
        </w:tc>
        <w:tc>
          <w:tcPr>
            <w:tcW w:w="1320" w:type="dxa"/>
          </w:tcPr>
          <w:p w:rsidR="00701AAF" w:rsidRPr="00701AAF" w:rsidRDefault="00701AAF" w:rsidP="00701AAF">
            <w:pPr>
              <w:cnfStyle w:val="100000000000" w:firstRow="1" w:lastRow="0" w:firstColumn="0" w:lastColumn="0" w:oddVBand="0" w:evenVBand="0" w:oddHBand="0" w:evenHBand="0" w:firstRowFirstColumn="0" w:firstRowLastColumn="0" w:lastRowFirstColumn="0" w:lastRowLastColumn="0"/>
            </w:pPr>
            <w:r>
              <w:t>P5</w:t>
            </w:r>
          </w:p>
        </w:tc>
      </w:tr>
      <w:tr w:rsidR="00701AAF" w:rsidTr="004C5238">
        <w:tc>
          <w:tcPr>
            <w:cnfStyle w:val="001000000000" w:firstRow="0" w:lastRow="0" w:firstColumn="1" w:lastColumn="0" w:oddVBand="0" w:evenVBand="0" w:oddHBand="0" w:evenHBand="0" w:firstRowFirstColumn="0" w:firstRowLastColumn="0" w:lastRowFirstColumn="0" w:lastRowLastColumn="0"/>
            <w:tcW w:w="2093" w:type="dxa"/>
          </w:tcPr>
          <w:p w:rsidR="00701AAF" w:rsidRPr="00701AAF" w:rsidRDefault="00701AAF" w:rsidP="00701AAF">
            <w:r>
              <w:t>Firms</w:t>
            </w:r>
          </w:p>
        </w:tc>
        <w:tc>
          <w:tcPr>
            <w:tcW w:w="1320" w:type="dxa"/>
          </w:tcPr>
          <w:p w:rsidR="00701AAF" w:rsidRPr="00701AAF" w:rsidRDefault="00701AAF" w:rsidP="00701AAF">
            <w:pPr>
              <w:cnfStyle w:val="000000000000" w:firstRow="0" w:lastRow="0" w:firstColumn="0" w:lastColumn="0" w:oddVBand="0" w:evenVBand="0" w:oddHBand="0" w:evenHBand="0" w:firstRowFirstColumn="0" w:firstRowLastColumn="0" w:lastRowFirstColumn="0" w:lastRowLastColumn="0"/>
            </w:pPr>
            <w:r>
              <w:t>APA, ENV</w:t>
            </w:r>
          </w:p>
        </w:tc>
        <w:tc>
          <w:tcPr>
            <w:tcW w:w="1320" w:type="dxa"/>
          </w:tcPr>
          <w:p w:rsidR="00701AAF" w:rsidRPr="00701AAF" w:rsidRDefault="00701AAF" w:rsidP="00701AAF">
            <w:pPr>
              <w:cnfStyle w:val="000000000000" w:firstRow="0" w:lastRow="0" w:firstColumn="0" w:lastColumn="0" w:oddVBand="0" w:evenVBand="0" w:oddHBand="0" w:evenHBand="0" w:firstRowFirstColumn="0" w:firstRowLastColumn="0" w:lastRowFirstColumn="0" w:lastRowLastColumn="0"/>
            </w:pPr>
            <w:r>
              <w:t>AAN, AGL, APA, ENV, GAS</w:t>
            </w:r>
          </w:p>
        </w:tc>
        <w:tc>
          <w:tcPr>
            <w:tcW w:w="1320" w:type="dxa"/>
          </w:tcPr>
          <w:p w:rsidR="00701AAF" w:rsidRPr="00701AAF" w:rsidRDefault="00701AAF" w:rsidP="00701AAF">
            <w:pPr>
              <w:cnfStyle w:val="000000000000" w:firstRow="0" w:lastRow="0" w:firstColumn="0" w:lastColumn="0" w:oddVBand="0" w:evenVBand="0" w:oddHBand="0" w:evenHBand="0" w:firstRowFirstColumn="0" w:firstRowLastColumn="0" w:lastRowFirstColumn="0" w:lastRowLastColumn="0"/>
            </w:pPr>
            <w:r>
              <w:t>APA, DUE, ENV, HDF, SPN</w:t>
            </w:r>
          </w:p>
        </w:tc>
        <w:tc>
          <w:tcPr>
            <w:tcW w:w="1320" w:type="dxa"/>
          </w:tcPr>
          <w:p w:rsidR="00701AAF" w:rsidRPr="00701AAF" w:rsidRDefault="00701AAF" w:rsidP="00701AAF">
            <w:pPr>
              <w:cnfStyle w:val="000000000000" w:firstRow="0" w:lastRow="0" w:firstColumn="0" w:lastColumn="0" w:oddVBand="0" w:evenVBand="0" w:oddHBand="0" w:evenHBand="0" w:firstRowFirstColumn="0" w:firstRowLastColumn="0" w:lastRowFirstColumn="0" w:lastRowLastColumn="0"/>
            </w:pPr>
            <w:r>
              <w:t>APA, DUE, ENV, HDF, SKI, SPN</w:t>
            </w:r>
          </w:p>
        </w:tc>
        <w:tc>
          <w:tcPr>
            <w:tcW w:w="1320" w:type="dxa"/>
          </w:tcPr>
          <w:p w:rsidR="00701AAF" w:rsidRPr="00701AAF" w:rsidRDefault="00701AAF" w:rsidP="00701AAF">
            <w:pPr>
              <w:cnfStyle w:val="000000000000" w:firstRow="0" w:lastRow="0" w:firstColumn="0" w:lastColumn="0" w:oddVBand="0" w:evenVBand="0" w:oddHBand="0" w:evenHBand="0" w:firstRowFirstColumn="0" w:firstRowLastColumn="0" w:lastRowFirstColumn="0" w:lastRowLastColumn="0"/>
            </w:pPr>
            <w:r>
              <w:t>APA, DUE, ENV, SKI, SPN</w:t>
            </w:r>
          </w:p>
        </w:tc>
      </w:tr>
      <w:tr w:rsidR="00701AAF" w:rsidTr="004C5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01AAF" w:rsidRPr="00701AAF" w:rsidRDefault="00701AAF" w:rsidP="00701AAF">
            <w:pPr>
              <w:rPr>
                <w:rStyle w:val="AERtextitalic"/>
              </w:rPr>
            </w:pPr>
            <w:r w:rsidRPr="00514842">
              <w:rPr>
                <w:rStyle w:val="AERtextitalic"/>
              </w:rPr>
              <w:t>Equal weighted</w:t>
            </w:r>
          </w:p>
        </w:tc>
        <w:tc>
          <w:tcPr>
            <w:tcW w:w="1320" w:type="dxa"/>
          </w:tcPr>
          <w:p w:rsidR="00701AAF" w:rsidRPr="009279A1" w:rsidRDefault="00701AAF" w:rsidP="00701AAF">
            <w:pPr>
              <w:cnfStyle w:val="000000010000" w:firstRow="0" w:lastRow="0" w:firstColumn="0" w:lastColumn="0" w:oddVBand="0" w:evenVBand="0" w:oddHBand="0" w:evenHBand="1" w:firstRowFirstColumn="0" w:firstRowLastColumn="0" w:lastRowFirstColumn="0" w:lastRowLastColumn="0"/>
            </w:pPr>
          </w:p>
        </w:tc>
        <w:tc>
          <w:tcPr>
            <w:tcW w:w="1320" w:type="dxa"/>
          </w:tcPr>
          <w:p w:rsidR="00701AAF" w:rsidRPr="009279A1" w:rsidRDefault="00701AAF" w:rsidP="00701AAF">
            <w:pPr>
              <w:cnfStyle w:val="000000010000" w:firstRow="0" w:lastRow="0" w:firstColumn="0" w:lastColumn="0" w:oddVBand="0" w:evenVBand="0" w:oddHBand="0" w:evenHBand="1" w:firstRowFirstColumn="0" w:firstRowLastColumn="0" w:lastRowFirstColumn="0" w:lastRowLastColumn="0"/>
            </w:pPr>
          </w:p>
        </w:tc>
        <w:tc>
          <w:tcPr>
            <w:tcW w:w="1320" w:type="dxa"/>
          </w:tcPr>
          <w:p w:rsidR="00701AAF" w:rsidRPr="009279A1" w:rsidRDefault="00701AAF" w:rsidP="00701AAF">
            <w:pPr>
              <w:cnfStyle w:val="000000010000" w:firstRow="0" w:lastRow="0" w:firstColumn="0" w:lastColumn="0" w:oddVBand="0" w:evenVBand="0" w:oddHBand="0" w:evenHBand="1" w:firstRowFirstColumn="0" w:firstRowLastColumn="0" w:lastRowFirstColumn="0" w:lastRowLastColumn="0"/>
            </w:pPr>
          </w:p>
        </w:tc>
        <w:tc>
          <w:tcPr>
            <w:tcW w:w="1320" w:type="dxa"/>
          </w:tcPr>
          <w:p w:rsidR="00701AAF" w:rsidRPr="009279A1" w:rsidRDefault="00701AAF" w:rsidP="00701AAF">
            <w:pPr>
              <w:cnfStyle w:val="000000010000" w:firstRow="0" w:lastRow="0" w:firstColumn="0" w:lastColumn="0" w:oddVBand="0" w:evenVBand="0" w:oddHBand="0" w:evenHBand="1" w:firstRowFirstColumn="0" w:firstRowLastColumn="0" w:lastRowFirstColumn="0" w:lastRowLastColumn="0"/>
            </w:pPr>
          </w:p>
        </w:tc>
        <w:tc>
          <w:tcPr>
            <w:tcW w:w="1320" w:type="dxa"/>
          </w:tcPr>
          <w:p w:rsidR="00701AAF" w:rsidRPr="009279A1" w:rsidRDefault="00701AAF" w:rsidP="00701AAF">
            <w:pPr>
              <w:cnfStyle w:val="000000010000" w:firstRow="0" w:lastRow="0" w:firstColumn="0" w:lastColumn="0" w:oddVBand="0" w:evenVBand="0" w:oddHBand="0" w:evenHBand="1" w:firstRowFirstColumn="0" w:firstRowLastColumn="0" w:lastRowFirstColumn="0" w:lastRowLastColumn="0"/>
            </w:pPr>
          </w:p>
        </w:tc>
      </w:tr>
      <w:tr w:rsidR="00701AAF" w:rsidTr="004C5238">
        <w:tc>
          <w:tcPr>
            <w:cnfStyle w:val="001000000000" w:firstRow="0" w:lastRow="0" w:firstColumn="1" w:lastColumn="0" w:oddVBand="0" w:evenVBand="0" w:oddHBand="0" w:evenHBand="0" w:firstRowFirstColumn="0" w:firstRowLastColumn="0" w:lastRowFirstColumn="0" w:lastRowLastColumn="0"/>
            <w:tcW w:w="2093" w:type="dxa"/>
          </w:tcPr>
          <w:p w:rsidR="00701AAF" w:rsidRPr="00701AAF" w:rsidRDefault="00701AAF" w:rsidP="00701AAF">
            <w:r w:rsidRPr="00D20501">
              <w:t xml:space="preserve">Longest available </w:t>
            </w:r>
            <w:r w:rsidRPr="00701AAF">
              <w:t>period</w:t>
            </w:r>
            <w:r w:rsidRPr="00701AAF">
              <w:rPr>
                <w:rStyle w:val="AERsuperscript"/>
              </w:rPr>
              <w:t>(a)</w:t>
            </w:r>
          </w:p>
        </w:tc>
        <w:tc>
          <w:tcPr>
            <w:tcW w:w="1320" w:type="dxa"/>
          </w:tcPr>
          <w:p w:rsidR="00701AAF" w:rsidRPr="00701AAF" w:rsidRDefault="00701AAF" w:rsidP="00701AAF">
            <w:pPr>
              <w:cnfStyle w:val="000000000000" w:firstRow="0" w:lastRow="0" w:firstColumn="0" w:lastColumn="0" w:oddVBand="0" w:evenVBand="0" w:oddHBand="0" w:evenHBand="0" w:firstRowFirstColumn="0" w:firstRowLastColumn="0" w:lastRowFirstColumn="0" w:lastRowLastColumn="0"/>
            </w:pPr>
            <w:r>
              <w:t>0.46</w:t>
            </w:r>
          </w:p>
        </w:tc>
        <w:tc>
          <w:tcPr>
            <w:tcW w:w="1320" w:type="dxa"/>
          </w:tcPr>
          <w:p w:rsidR="00701AAF" w:rsidRPr="00701AAF" w:rsidRDefault="00701AAF" w:rsidP="00701AAF">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701AAF" w:rsidRPr="00701AAF" w:rsidRDefault="00701AAF" w:rsidP="00701AAF">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701AAF" w:rsidRPr="00701AAF" w:rsidRDefault="00701AAF" w:rsidP="00701AAF">
            <w:pPr>
              <w:cnfStyle w:val="000000000000" w:firstRow="0" w:lastRow="0" w:firstColumn="0" w:lastColumn="0" w:oddVBand="0" w:evenVBand="0" w:oddHBand="0" w:evenHBand="0" w:firstRowFirstColumn="0" w:firstRowLastColumn="0" w:lastRowFirstColumn="0" w:lastRowLastColumn="0"/>
            </w:pPr>
            <w:r>
              <w:t>0.48</w:t>
            </w:r>
          </w:p>
        </w:tc>
        <w:tc>
          <w:tcPr>
            <w:tcW w:w="1320" w:type="dxa"/>
          </w:tcPr>
          <w:p w:rsidR="00701AAF" w:rsidRPr="00701AAF" w:rsidRDefault="00701AAF" w:rsidP="00701AAF">
            <w:pPr>
              <w:cnfStyle w:val="000000000000" w:firstRow="0" w:lastRow="0" w:firstColumn="0" w:lastColumn="0" w:oddVBand="0" w:evenVBand="0" w:oddHBand="0" w:evenHBand="0" w:firstRowFirstColumn="0" w:firstRowLastColumn="0" w:lastRowFirstColumn="0" w:lastRowLastColumn="0"/>
            </w:pPr>
            <w:r>
              <w:t>0.39</w:t>
            </w:r>
          </w:p>
        </w:tc>
      </w:tr>
      <w:tr w:rsidR="00701AAF" w:rsidTr="004C5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01AAF" w:rsidRPr="00701AAF" w:rsidRDefault="00701AAF" w:rsidP="00701AAF">
            <w:r>
              <w:t>Longest peri</w:t>
            </w:r>
            <w:r w:rsidRPr="00701AAF">
              <w:t>od available (excl. tech boom &amp; GFC)</w:t>
            </w:r>
          </w:p>
        </w:tc>
        <w:tc>
          <w:tcPr>
            <w:tcW w:w="1320" w:type="dxa"/>
          </w:tcPr>
          <w:p w:rsidR="00701AAF" w:rsidRPr="00701AAF" w:rsidRDefault="00701AAF" w:rsidP="00701AAF">
            <w:pPr>
              <w:cnfStyle w:val="000000010000" w:firstRow="0" w:lastRow="0" w:firstColumn="0" w:lastColumn="0" w:oddVBand="0" w:evenVBand="0" w:oddHBand="0" w:evenHBand="1" w:firstRowFirstColumn="0" w:firstRowLastColumn="0" w:lastRowFirstColumn="0" w:lastRowLastColumn="0"/>
            </w:pPr>
            <w:r>
              <w:t>0.49</w:t>
            </w:r>
          </w:p>
        </w:tc>
        <w:tc>
          <w:tcPr>
            <w:tcW w:w="1320" w:type="dxa"/>
          </w:tcPr>
          <w:p w:rsidR="00701AAF" w:rsidRPr="00701AAF" w:rsidRDefault="00701AAF" w:rsidP="00701AAF">
            <w:pPr>
              <w:cnfStyle w:val="000000010000" w:firstRow="0" w:lastRow="0" w:firstColumn="0" w:lastColumn="0" w:oddVBand="0" w:evenVBand="0" w:oddHBand="0" w:evenHBand="1" w:firstRowFirstColumn="0" w:firstRowLastColumn="0" w:lastRowFirstColumn="0" w:lastRowLastColumn="0"/>
            </w:pPr>
            <w:r>
              <w:t>0.52</w:t>
            </w:r>
          </w:p>
        </w:tc>
        <w:tc>
          <w:tcPr>
            <w:tcW w:w="1320" w:type="dxa"/>
          </w:tcPr>
          <w:p w:rsidR="00701AAF" w:rsidRPr="00701AAF" w:rsidRDefault="00701AAF" w:rsidP="00701AAF">
            <w:pPr>
              <w:cnfStyle w:val="000000010000" w:firstRow="0" w:lastRow="0" w:firstColumn="0" w:lastColumn="0" w:oddVBand="0" w:evenVBand="0" w:oddHBand="0" w:evenHBand="1" w:firstRowFirstColumn="0" w:firstRowLastColumn="0" w:lastRowFirstColumn="0" w:lastRowLastColumn="0"/>
            </w:pPr>
            <w:r>
              <w:t>0.5</w:t>
            </w:r>
          </w:p>
        </w:tc>
        <w:tc>
          <w:tcPr>
            <w:tcW w:w="1320" w:type="dxa"/>
          </w:tcPr>
          <w:p w:rsidR="00701AAF" w:rsidRPr="00701AAF" w:rsidRDefault="00701AAF" w:rsidP="00701AAF">
            <w:pPr>
              <w:cnfStyle w:val="000000010000" w:firstRow="0" w:lastRow="0" w:firstColumn="0" w:lastColumn="0" w:oddVBand="0" w:evenVBand="0" w:oddHBand="0" w:evenHBand="1" w:firstRowFirstColumn="0" w:firstRowLastColumn="0" w:lastRowFirstColumn="0" w:lastRowLastColumn="0"/>
            </w:pPr>
            <w:r>
              <w:t>0.53</w:t>
            </w:r>
          </w:p>
        </w:tc>
        <w:tc>
          <w:tcPr>
            <w:tcW w:w="1320" w:type="dxa"/>
          </w:tcPr>
          <w:p w:rsidR="00701AAF" w:rsidRPr="00701AAF" w:rsidRDefault="00701AAF" w:rsidP="00701AAF">
            <w:pPr>
              <w:cnfStyle w:val="000000010000" w:firstRow="0" w:lastRow="0" w:firstColumn="0" w:lastColumn="0" w:oddVBand="0" w:evenVBand="0" w:oddHBand="0" w:evenHBand="1" w:firstRowFirstColumn="0" w:firstRowLastColumn="0" w:lastRowFirstColumn="0" w:lastRowLastColumn="0"/>
            </w:pPr>
            <w:r>
              <w:t>0.45</w:t>
            </w:r>
          </w:p>
        </w:tc>
      </w:tr>
      <w:tr w:rsidR="00701AAF" w:rsidTr="004C5238">
        <w:tc>
          <w:tcPr>
            <w:cnfStyle w:val="001000000000" w:firstRow="0" w:lastRow="0" w:firstColumn="1" w:lastColumn="0" w:oddVBand="0" w:evenVBand="0" w:oddHBand="0" w:evenHBand="0" w:firstRowFirstColumn="0" w:firstRowLastColumn="0" w:lastRowFirstColumn="0" w:lastRowLastColumn="0"/>
            <w:tcW w:w="2093" w:type="dxa"/>
          </w:tcPr>
          <w:p w:rsidR="00701AAF" w:rsidRPr="00701AAF" w:rsidRDefault="00701AAF" w:rsidP="00701AAF">
            <w:pPr>
              <w:rPr>
                <w:rStyle w:val="AERtextitalic"/>
              </w:rPr>
            </w:pPr>
            <w:r w:rsidRPr="00514842">
              <w:rPr>
                <w:rStyle w:val="AERtextitalic"/>
              </w:rPr>
              <w:t>Value weighted</w:t>
            </w:r>
          </w:p>
        </w:tc>
        <w:tc>
          <w:tcPr>
            <w:tcW w:w="1320" w:type="dxa"/>
          </w:tcPr>
          <w:p w:rsidR="00701AAF" w:rsidRPr="009279A1" w:rsidRDefault="00701AAF" w:rsidP="00701AAF">
            <w:pPr>
              <w:cnfStyle w:val="000000000000" w:firstRow="0" w:lastRow="0" w:firstColumn="0" w:lastColumn="0" w:oddVBand="0" w:evenVBand="0" w:oddHBand="0" w:evenHBand="0" w:firstRowFirstColumn="0" w:firstRowLastColumn="0" w:lastRowFirstColumn="0" w:lastRowLastColumn="0"/>
            </w:pPr>
          </w:p>
        </w:tc>
        <w:tc>
          <w:tcPr>
            <w:tcW w:w="1320" w:type="dxa"/>
          </w:tcPr>
          <w:p w:rsidR="00701AAF" w:rsidRPr="009279A1" w:rsidRDefault="00701AAF" w:rsidP="00701AAF">
            <w:pPr>
              <w:cnfStyle w:val="000000000000" w:firstRow="0" w:lastRow="0" w:firstColumn="0" w:lastColumn="0" w:oddVBand="0" w:evenVBand="0" w:oddHBand="0" w:evenHBand="0" w:firstRowFirstColumn="0" w:firstRowLastColumn="0" w:lastRowFirstColumn="0" w:lastRowLastColumn="0"/>
            </w:pPr>
          </w:p>
        </w:tc>
        <w:tc>
          <w:tcPr>
            <w:tcW w:w="1320" w:type="dxa"/>
          </w:tcPr>
          <w:p w:rsidR="00701AAF" w:rsidRPr="009279A1" w:rsidRDefault="00701AAF" w:rsidP="00701AAF">
            <w:pPr>
              <w:cnfStyle w:val="000000000000" w:firstRow="0" w:lastRow="0" w:firstColumn="0" w:lastColumn="0" w:oddVBand="0" w:evenVBand="0" w:oddHBand="0" w:evenHBand="0" w:firstRowFirstColumn="0" w:firstRowLastColumn="0" w:lastRowFirstColumn="0" w:lastRowLastColumn="0"/>
            </w:pPr>
          </w:p>
        </w:tc>
        <w:tc>
          <w:tcPr>
            <w:tcW w:w="1320" w:type="dxa"/>
          </w:tcPr>
          <w:p w:rsidR="00701AAF" w:rsidRPr="009279A1" w:rsidRDefault="00701AAF" w:rsidP="00701AAF">
            <w:pPr>
              <w:cnfStyle w:val="000000000000" w:firstRow="0" w:lastRow="0" w:firstColumn="0" w:lastColumn="0" w:oddVBand="0" w:evenVBand="0" w:oddHBand="0" w:evenHBand="0" w:firstRowFirstColumn="0" w:firstRowLastColumn="0" w:lastRowFirstColumn="0" w:lastRowLastColumn="0"/>
            </w:pPr>
          </w:p>
        </w:tc>
        <w:tc>
          <w:tcPr>
            <w:tcW w:w="1320" w:type="dxa"/>
          </w:tcPr>
          <w:p w:rsidR="00701AAF" w:rsidRPr="009279A1" w:rsidRDefault="00701AAF" w:rsidP="00701AAF">
            <w:pPr>
              <w:cnfStyle w:val="000000000000" w:firstRow="0" w:lastRow="0" w:firstColumn="0" w:lastColumn="0" w:oddVBand="0" w:evenVBand="0" w:oddHBand="0" w:evenHBand="0" w:firstRowFirstColumn="0" w:firstRowLastColumn="0" w:lastRowFirstColumn="0" w:lastRowLastColumn="0"/>
            </w:pPr>
          </w:p>
        </w:tc>
      </w:tr>
      <w:tr w:rsidR="00701AAF" w:rsidTr="004C5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01AAF" w:rsidRPr="00701AAF" w:rsidRDefault="00701AAF" w:rsidP="00701AAF">
            <w:r w:rsidRPr="00D20501">
              <w:t>Longest available period</w:t>
            </w:r>
            <w:r w:rsidRPr="00701AAF">
              <w:rPr>
                <w:rStyle w:val="AERsuperscript"/>
              </w:rPr>
              <w:t>(a)</w:t>
            </w:r>
          </w:p>
        </w:tc>
        <w:tc>
          <w:tcPr>
            <w:tcW w:w="1320" w:type="dxa"/>
          </w:tcPr>
          <w:p w:rsidR="00701AAF" w:rsidRPr="00701AAF" w:rsidRDefault="00701AAF" w:rsidP="00701AAF">
            <w:pPr>
              <w:cnfStyle w:val="000000010000" w:firstRow="0" w:lastRow="0" w:firstColumn="0" w:lastColumn="0" w:oddVBand="0" w:evenVBand="0" w:oddHBand="0" w:evenHBand="1" w:firstRowFirstColumn="0" w:firstRowLastColumn="0" w:lastRowFirstColumn="0" w:lastRowLastColumn="0"/>
            </w:pPr>
            <w:r>
              <w:t>0.50</w:t>
            </w:r>
          </w:p>
        </w:tc>
        <w:tc>
          <w:tcPr>
            <w:tcW w:w="1320" w:type="dxa"/>
          </w:tcPr>
          <w:p w:rsidR="00701AAF" w:rsidRPr="00701AAF" w:rsidRDefault="00701AAF" w:rsidP="00701AAF">
            <w:pPr>
              <w:cnfStyle w:val="000000010000" w:firstRow="0" w:lastRow="0" w:firstColumn="0" w:lastColumn="0" w:oddVBand="0" w:evenVBand="0" w:oddHBand="0" w:evenHBand="1" w:firstRowFirstColumn="0" w:firstRowLastColumn="0" w:lastRowFirstColumn="0" w:lastRowLastColumn="0"/>
            </w:pPr>
            <w:r>
              <w:t>0.70</w:t>
            </w:r>
          </w:p>
        </w:tc>
        <w:tc>
          <w:tcPr>
            <w:tcW w:w="1320" w:type="dxa"/>
          </w:tcPr>
          <w:p w:rsidR="00701AAF" w:rsidRPr="00701AAF" w:rsidRDefault="00701AAF" w:rsidP="00701AAF">
            <w:pPr>
              <w:cnfStyle w:val="000000010000" w:firstRow="0" w:lastRow="0" w:firstColumn="0" w:lastColumn="0" w:oddVBand="0" w:evenVBand="0" w:oddHBand="0" w:evenHBand="1" w:firstRowFirstColumn="0" w:firstRowLastColumn="0" w:lastRowFirstColumn="0" w:lastRowLastColumn="0"/>
            </w:pPr>
            <w:r>
              <w:t>0.44</w:t>
            </w:r>
          </w:p>
        </w:tc>
        <w:tc>
          <w:tcPr>
            <w:tcW w:w="1320" w:type="dxa"/>
          </w:tcPr>
          <w:p w:rsidR="00701AAF" w:rsidRPr="00701AAF" w:rsidRDefault="00701AAF" w:rsidP="00701AAF">
            <w:pPr>
              <w:cnfStyle w:val="000000010000" w:firstRow="0" w:lastRow="0" w:firstColumn="0" w:lastColumn="0" w:oddVBand="0" w:evenVBand="0" w:oddHBand="0" w:evenHBand="1" w:firstRowFirstColumn="0" w:firstRowLastColumn="0" w:lastRowFirstColumn="0" w:lastRowLastColumn="0"/>
            </w:pPr>
            <w:r>
              <w:t>0.42</w:t>
            </w:r>
          </w:p>
        </w:tc>
        <w:tc>
          <w:tcPr>
            <w:tcW w:w="1320" w:type="dxa"/>
          </w:tcPr>
          <w:p w:rsidR="00701AAF" w:rsidRPr="00701AAF" w:rsidRDefault="00701AAF" w:rsidP="00701AAF">
            <w:pPr>
              <w:cnfStyle w:val="000000010000" w:firstRow="0" w:lastRow="0" w:firstColumn="0" w:lastColumn="0" w:oddVBand="0" w:evenVBand="0" w:oddHBand="0" w:evenHBand="1" w:firstRowFirstColumn="0" w:firstRowLastColumn="0" w:lastRowFirstColumn="0" w:lastRowLastColumn="0"/>
            </w:pPr>
            <w:r>
              <w:t>0.39</w:t>
            </w:r>
          </w:p>
        </w:tc>
      </w:tr>
      <w:tr w:rsidR="00701AAF" w:rsidTr="004C5238">
        <w:tc>
          <w:tcPr>
            <w:cnfStyle w:val="001000000000" w:firstRow="0" w:lastRow="0" w:firstColumn="1" w:lastColumn="0" w:oddVBand="0" w:evenVBand="0" w:oddHBand="0" w:evenHBand="0" w:firstRowFirstColumn="0" w:firstRowLastColumn="0" w:lastRowFirstColumn="0" w:lastRowLastColumn="0"/>
            <w:tcW w:w="2093" w:type="dxa"/>
          </w:tcPr>
          <w:p w:rsidR="00701AAF" w:rsidRPr="00701AAF" w:rsidRDefault="00701AAF" w:rsidP="00701AAF">
            <w:r>
              <w:t>Longest peri</w:t>
            </w:r>
            <w:r w:rsidRPr="00701AAF">
              <w:t>od available (excl. tech boom &amp; GFC)</w:t>
            </w:r>
          </w:p>
        </w:tc>
        <w:tc>
          <w:tcPr>
            <w:tcW w:w="1320" w:type="dxa"/>
          </w:tcPr>
          <w:p w:rsidR="00701AAF" w:rsidRPr="00701AAF" w:rsidRDefault="00701AAF" w:rsidP="00701AAF">
            <w:pPr>
              <w:cnfStyle w:val="000000000000" w:firstRow="0" w:lastRow="0" w:firstColumn="0" w:lastColumn="0" w:oddVBand="0" w:evenVBand="0" w:oddHBand="0" w:evenHBand="0" w:firstRowFirstColumn="0" w:firstRowLastColumn="0" w:lastRowFirstColumn="0" w:lastRowLastColumn="0"/>
            </w:pPr>
            <w:r>
              <w:t>0.54</w:t>
            </w:r>
          </w:p>
        </w:tc>
        <w:tc>
          <w:tcPr>
            <w:tcW w:w="1320" w:type="dxa"/>
          </w:tcPr>
          <w:p w:rsidR="00701AAF" w:rsidRPr="00701AAF" w:rsidRDefault="00701AAF" w:rsidP="00701AAF">
            <w:pPr>
              <w:cnfStyle w:val="000000000000" w:firstRow="0" w:lastRow="0" w:firstColumn="0" w:lastColumn="0" w:oddVBand="0" w:evenVBand="0" w:oddHBand="0" w:evenHBand="0" w:firstRowFirstColumn="0" w:firstRowLastColumn="0" w:lastRowFirstColumn="0" w:lastRowLastColumn="0"/>
            </w:pPr>
            <w:r>
              <w:t>0.70</w:t>
            </w:r>
          </w:p>
        </w:tc>
        <w:tc>
          <w:tcPr>
            <w:tcW w:w="1320" w:type="dxa"/>
          </w:tcPr>
          <w:p w:rsidR="00701AAF" w:rsidRPr="00701AAF" w:rsidRDefault="00701AAF" w:rsidP="00701AAF">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701AAF" w:rsidRPr="00701AAF" w:rsidRDefault="00701AAF" w:rsidP="00701AAF">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701AAF" w:rsidRPr="00701AAF" w:rsidRDefault="00701AAF" w:rsidP="00701AAF">
            <w:pPr>
              <w:cnfStyle w:val="000000000000" w:firstRow="0" w:lastRow="0" w:firstColumn="0" w:lastColumn="0" w:oddVBand="0" w:evenVBand="0" w:oddHBand="0" w:evenHBand="0" w:firstRowFirstColumn="0" w:firstRowLastColumn="0" w:lastRowFirstColumn="0" w:lastRowLastColumn="0"/>
            </w:pPr>
            <w:r>
              <w:t>0.48</w:t>
            </w:r>
          </w:p>
        </w:tc>
      </w:tr>
    </w:tbl>
    <w:p w:rsidR="00701AAF" w:rsidRPr="00C01E61" w:rsidRDefault="00701AAF" w:rsidP="00701AAF">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701AAF" w:rsidRPr="006460A6" w:rsidRDefault="00701AAF" w:rsidP="00701AAF">
      <w:pPr>
        <w:pStyle w:val="AERtablesource"/>
      </w:pPr>
      <w:r w:rsidRPr="006460A6">
        <w:t>Note:</w:t>
      </w:r>
      <w:r w:rsidRPr="006460A6">
        <w:tab/>
        <w:t>Henry's 2014 report also presented time varying portfolio estimates of equity beta</w:t>
      </w:r>
      <w:r>
        <w:t xml:space="preserve"> (which range from 0.39 to 0.53, see </w:t>
      </w:r>
      <w:r w:rsidRPr="006460A6">
        <w:t xml:space="preserve">Henry, </w:t>
      </w:r>
      <w:r w:rsidRPr="006460A6">
        <w:rPr>
          <w:rStyle w:val="AERtextitalic"/>
        </w:rPr>
        <w:t>Estimating β: An update</w:t>
      </w:r>
      <w:r w:rsidRPr="006460A6">
        <w:t>, April 2014, p. 56</w:t>
      </w:r>
      <w:r>
        <w:t>)</w:t>
      </w:r>
      <w:r w:rsidRPr="006460A6">
        <w:t xml:space="preserve">. We </w:t>
      </w:r>
      <w:r>
        <w:t xml:space="preserve">do not place any material </w:t>
      </w:r>
      <w:r w:rsidRPr="006460A6">
        <w:t xml:space="preserve">reliance on these estimates for reasons discussed </w:t>
      </w:r>
      <w:r>
        <w:t>in</w:t>
      </w:r>
      <w:r w:rsidRPr="006460A6">
        <w:t xml:space="preserve"> section</w:t>
      </w:r>
      <w:r>
        <w:t xml:space="preserve"> D.2.2 of Attachment 3 to ActewAGL's draft decision</w:t>
      </w:r>
      <w:r w:rsidRPr="006460A6">
        <w:t>.</w:t>
      </w:r>
    </w:p>
    <w:p w:rsidR="00701AAF" w:rsidRPr="006460A6" w:rsidRDefault="00701AAF" w:rsidP="00701AAF">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701AAF" w:rsidRDefault="00701AAF" w:rsidP="00701AAF">
      <w:pPr>
        <w:numPr>
          <w:ilvl w:val="0"/>
          <w:numId w:val="24"/>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019"/>
      </w:r>
      <w:r>
        <w:t xml:space="preserve"> The results are as follows:</w:t>
      </w:r>
      <w:r>
        <w:rPr>
          <w:rStyle w:val="FootnoteReference"/>
        </w:rPr>
        <w:footnoteReference w:id="1020"/>
      </w:r>
    </w:p>
    <w:p w:rsidR="00701AAF" w:rsidRPr="00701AAF" w:rsidRDefault="00701AAF" w:rsidP="00701AAF">
      <w:pPr>
        <w:pStyle w:val="AERbulletlistfirststyle"/>
      </w:pPr>
      <w:r w:rsidRPr="00CA72A5">
        <w:t>the re-levered LAD estimates range from 0.38 to 0.58 and the raw LAD estimates range from 0.31 to 0.60.</w:t>
      </w:r>
      <w:r w:rsidRPr="00701AAF">
        <w:rPr>
          <w:rStyle w:val="FootnoteReference"/>
        </w:rPr>
        <w:footnoteReference w:id="1021"/>
      </w:r>
    </w:p>
    <w:p w:rsidR="00701AAF" w:rsidRPr="00701AAF" w:rsidRDefault="00701AAF" w:rsidP="00701AAF">
      <w:pPr>
        <w:pStyle w:val="AERbulletlistfirststyle"/>
      </w:pPr>
      <w:r w:rsidRPr="00CA72A5">
        <w:t>the OLS estimates using monthly return intervals range from 0.37 to 0.58.</w:t>
      </w:r>
      <w:r w:rsidRPr="00701AAF">
        <w:rPr>
          <w:rStyle w:val="FootnoteReference"/>
        </w:rPr>
        <w:footnoteReference w:id="1022"/>
      </w:r>
      <w:r w:rsidRPr="00701AAF">
        <w:t xml:space="preserve"> </w:t>
      </w:r>
    </w:p>
    <w:p w:rsidR="00701AAF" w:rsidRDefault="00701AAF" w:rsidP="00701AAF">
      <w:pPr>
        <w:numPr>
          <w:ilvl w:val="0"/>
          <w:numId w:val="24"/>
        </w:numPr>
      </w:pPr>
      <w:r>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023"/>
      </w:r>
      <w:r w:rsidRPr="00CA72A5">
        <w:t xml:space="preserve"> Therefore, we are satisfied the estimates presented in Henry's </w:t>
      </w:r>
      <w:r>
        <w:t xml:space="preserve">2014 </w:t>
      </w:r>
      <w:r w:rsidRPr="00CA72A5">
        <w:t xml:space="preserve">report are reasonably stable and not significantly affected by thin trading. </w:t>
      </w:r>
      <w:r>
        <w:t>We also note Associate Professor Graham Partington stated that:</w:t>
      </w:r>
      <w:r>
        <w:rPr>
          <w:rStyle w:val="FootnoteReference"/>
        </w:rPr>
        <w:footnoteReference w:id="1024"/>
      </w:r>
    </w:p>
    <w:p w:rsidR="00701AAF" w:rsidRDefault="00701AAF" w:rsidP="00701AAF">
      <w:pPr>
        <w:pStyle w:val="AERquote"/>
      </w:pPr>
      <w:r w:rsidRPr="00FC3F67">
        <w:t xml:space="preserve">A final comment may be made with reference to a number of the reports that allege instability in the estimates of </w:t>
      </w:r>
      <w:r w:rsidRPr="00597424">
        <w:t>β</w:t>
      </w:r>
      <w:r w:rsidRPr="00FC3F67">
        <w:t xml:space="preserve">. Henry (2008, 2009, 2014) provides a range of evidence demonstrating the stability of the estimates. </w:t>
      </w:r>
    </w:p>
    <w:p w:rsidR="00701AAF" w:rsidRDefault="00701AAF" w:rsidP="00701AAF">
      <w:pPr>
        <w:numPr>
          <w:ilvl w:val="0"/>
          <w:numId w:val="24"/>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a benchmark efficient entity. This is because most of the estimates</w:t>
      </w:r>
      <w:r w:rsidRPr="009E6804">
        <w:t xml:space="preserve"> </w:t>
      </w:r>
      <w:r>
        <w:t xml:space="preserve">are clustered around 0.5, as shown in </w:t>
      </w:r>
      <w:r>
        <w:fldChar w:fldCharType="begin"/>
      </w:r>
      <w:r>
        <w:instrText xml:space="preserve"> REF  _Ref446243940 \* Lower \h </w:instrText>
      </w:r>
      <w:r>
        <w:fldChar w:fldCharType="separate"/>
      </w:r>
      <w:r w:rsidR="001A023B">
        <w:t xml:space="preserve">figure </w:t>
      </w:r>
      <w:r w:rsidR="001A023B">
        <w:rPr>
          <w:noProof/>
        </w:rPr>
        <w:t>3</w:t>
      </w:r>
      <w:r w:rsidR="001A023B">
        <w:noBreakHyphen/>
      </w:r>
      <w:r w:rsidR="001A023B">
        <w:rPr>
          <w:noProof/>
        </w:rPr>
        <w:t>18</w:t>
      </w:r>
      <w:r>
        <w:fldChar w:fldCharType="end"/>
      </w:r>
      <w:r>
        <w:t>.</w:t>
      </w:r>
    </w:p>
    <w:p w:rsidR="00701AAF" w:rsidRDefault="00701AAF" w:rsidP="00701AAF">
      <w:pPr>
        <w:pStyle w:val="Caption"/>
      </w:pPr>
      <w:bookmarkStart w:id="226" w:name="_Ref446243940"/>
      <w:r>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18</w:t>
      </w:r>
      <w:r w:rsidR="00120312">
        <w:rPr>
          <w:noProof/>
        </w:rPr>
        <w:fldChar w:fldCharType="end"/>
      </w:r>
      <w:bookmarkEnd w:id="226"/>
      <w:r>
        <w:tab/>
        <w:t>Equity beta estimates from Henry's 2014 report (average of individual firm estimates and fixed weight portfolio estimates)</w:t>
      </w:r>
    </w:p>
    <w:p w:rsidR="00701AAF" w:rsidRDefault="00701AAF" w:rsidP="00701AAF">
      <w:pPr>
        <w:numPr>
          <w:ilvl w:val="0"/>
          <w:numId w:val="24"/>
        </w:numPr>
      </w:pPr>
      <w:r w:rsidRPr="00AC3F76">
        <w:rPr>
          <w:noProof/>
          <w:lang w:eastAsia="en-AU"/>
        </w:rPr>
        <w:drawing>
          <wp:inline distT="0" distB="0" distL="0" distR="0" wp14:anchorId="36D50DDB" wp14:editId="26815052">
            <wp:extent cx="5472000" cy="329052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000" cy="3290526"/>
                    </a:xfrm>
                    <a:prstGeom prst="rect">
                      <a:avLst/>
                    </a:prstGeom>
                    <a:noFill/>
                    <a:ln>
                      <a:noFill/>
                    </a:ln>
                  </pic:spPr>
                </pic:pic>
              </a:graphicData>
            </a:graphic>
          </wp:inline>
        </w:drawing>
      </w:r>
    </w:p>
    <w:p w:rsidR="00701AAF" w:rsidRPr="00812C81" w:rsidRDefault="00701AAF" w:rsidP="00701AAF">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701AAF" w:rsidRDefault="00701AAF" w:rsidP="00701AAF">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701AAF" w:rsidRPr="00345FC0" w:rsidRDefault="00701AAF" w:rsidP="00701AAF">
      <w:pPr>
        <w:pStyle w:val="Heading8"/>
      </w:pPr>
      <w:bookmarkStart w:id="227" w:name="_Ref446255164"/>
      <w:bookmarkStart w:id="228" w:name="_Toc451945509"/>
      <w:bookmarkStart w:id="229" w:name="_Ref401311140"/>
      <w:bookmarkStart w:id="230" w:name="_Toc401315943"/>
      <w:bookmarkStart w:id="231" w:name="_Toc403990360"/>
      <w:bookmarkStart w:id="232" w:name="_Toc404643523"/>
      <w:bookmarkStart w:id="233" w:name="_Toc415561729"/>
      <w:bookmarkStart w:id="234" w:name="_Toc417396119"/>
      <w:bookmarkStart w:id="235" w:name="_Toc418006918"/>
      <w:bookmarkStart w:id="236" w:name="_Toc431206901"/>
      <w:bookmarkStart w:id="237" w:name="_Toc443584848"/>
      <w:r>
        <w:t>Australian e</w:t>
      </w:r>
      <w:r w:rsidRPr="00345FC0">
        <w:t>mpirical estimates</w:t>
      </w:r>
      <w:r>
        <w:t xml:space="preserve"> from other studies</w:t>
      </w:r>
      <w:bookmarkEnd w:id="227"/>
      <w:bookmarkEnd w:id="228"/>
    </w:p>
    <w:bookmarkEnd w:id="229"/>
    <w:bookmarkEnd w:id="230"/>
    <w:bookmarkEnd w:id="231"/>
    <w:bookmarkEnd w:id="232"/>
    <w:bookmarkEnd w:id="233"/>
    <w:bookmarkEnd w:id="234"/>
    <w:bookmarkEnd w:id="235"/>
    <w:bookmarkEnd w:id="236"/>
    <w:bookmarkEnd w:id="237"/>
    <w:p w:rsidR="00701AAF" w:rsidRDefault="00701AAF" w:rsidP="00701AAF">
      <w:pPr>
        <w:numPr>
          <w:ilvl w:val="0"/>
          <w:numId w:val="24"/>
        </w:numPr>
      </w:pPr>
      <w:r>
        <w:t xml:space="preserve">We consider the equity beta estimates presented in Henry's 2014 report are generally consistent with other empirical studies based on Australian energy network firms, as set out in </w:t>
      </w:r>
      <w:r>
        <w:fldChar w:fldCharType="begin"/>
      </w:r>
      <w:r>
        <w:instrText xml:space="preserve"> REF  _Ref446197667 \* Lower \h </w:instrText>
      </w:r>
      <w:r>
        <w:fldChar w:fldCharType="separate"/>
      </w:r>
      <w:r w:rsidR="001A023B">
        <w:t xml:space="preserve">table </w:t>
      </w:r>
      <w:r w:rsidR="001A023B">
        <w:rPr>
          <w:noProof/>
        </w:rPr>
        <w:t>3</w:t>
      </w:r>
      <w:r w:rsidR="001A023B">
        <w:noBreakHyphen/>
      </w:r>
      <w:r w:rsidR="001A023B">
        <w:rPr>
          <w:noProof/>
        </w:rPr>
        <w:t>37</w:t>
      </w:r>
      <w:r>
        <w:fldChar w:fldCharType="end"/>
      </w:r>
      <w:r>
        <w:t>. These other empirical studies use different econometric techniques and/or comparator sets to our empirical analysis, some of which are not necessarily consistent with our methodological choices.</w:t>
      </w:r>
      <w:r>
        <w:rPr>
          <w:rStyle w:val="FootnoteReference"/>
        </w:rPr>
        <w:footnoteReference w:id="1025"/>
      </w:r>
      <w:r>
        <w:t xml:space="preserve"> Nonetheless, the empirical estimates presented give us confidence that there is an extensive pattern of support for an empirical equity beta within a range of 0.4 to 0.7.</w:t>
      </w:r>
    </w:p>
    <w:p w:rsidR="00701AAF" w:rsidRDefault="00701AAF" w:rsidP="00701AAF">
      <w:pPr>
        <w:pStyle w:val="Caption"/>
      </w:pPr>
      <w:bookmarkStart w:id="238" w:name="_Ref446197667"/>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37</w:t>
      </w:r>
      <w:r w:rsidR="00120312">
        <w:rPr>
          <w:noProof/>
        </w:rPr>
        <w:fldChar w:fldCharType="end"/>
      </w:r>
      <w:bookmarkEnd w:id="238"/>
      <w:r>
        <w:tab/>
        <w:t>Equity beta estimates for Australian energy network firms</w:t>
      </w:r>
    </w:p>
    <w:tbl>
      <w:tblPr>
        <w:tblStyle w:val="AERtable-text0"/>
        <w:tblW w:w="0" w:type="auto"/>
        <w:tblLook w:val="04A0" w:firstRow="1" w:lastRow="0" w:firstColumn="1" w:lastColumn="0" w:noHBand="0" w:noVBand="1"/>
      </w:tblPr>
      <w:tblGrid>
        <w:gridCol w:w="1101"/>
        <w:gridCol w:w="850"/>
        <w:gridCol w:w="992"/>
        <w:gridCol w:w="993"/>
        <w:gridCol w:w="992"/>
        <w:gridCol w:w="3765"/>
      </w:tblGrid>
      <w:tr w:rsidR="00701AAF" w:rsidTr="00BB7AE6">
        <w:trPr>
          <w:cnfStyle w:val="100000000000" w:firstRow="1" w:lastRow="0" w:firstColumn="0" w:lastColumn="0" w:oddVBand="0" w:evenVBand="0" w:oddHBand="0" w:evenHBand="0" w:firstRowFirstColumn="0" w:firstRowLastColumn="0" w:lastRowFirstColumn="0" w:lastRowLastColumn="0"/>
          <w:tblHeader/>
        </w:trPr>
        <w:tc>
          <w:tcPr>
            <w:tcW w:w="1101" w:type="dxa"/>
          </w:tcPr>
          <w:p w:rsidR="00701AAF" w:rsidRPr="00701AAF" w:rsidRDefault="00701AAF" w:rsidP="00701AAF">
            <w:r>
              <w:t>Source</w:t>
            </w:r>
          </w:p>
        </w:tc>
        <w:tc>
          <w:tcPr>
            <w:tcW w:w="850" w:type="dxa"/>
          </w:tcPr>
          <w:p w:rsidR="00701AAF" w:rsidRPr="00701AAF" w:rsidRDefault="00701AAF" w:rsidP="00701AAF">
            <w:r>
              <w:t xml:space="preserve">Time </w:t>
            </w:r>
            <w:r w:rsidRPr="00701AAF">
              <w:t>period</w:t>
            </w:r>
          </w:p>
        </w:tc>
        <w:tc>
          <w:tcPr>
            <w:tcW w:w="992" w:type="dxa"/>
          </w:tcPr>
          <w:p w:rsidR="00701AAF" w:rsidRPr="00701AAF" w:rsidRDefault="00701AAF" w:rsidP="00701AAF">
            <w:r>
              <w:t>Individual firm averages</w:t>
            </w:r>
          </w:p>
        </w:tc>
        <w:tc>
          <w:tcPr>
            <w:tcW w:w="993" w:type="dxa"/>
          </w:tcPr>
          <w:p w:rsidR="00701AAF" w:rsidRPr="00701AAF" w:rsidRDefault="00701AAF" w:rsidP="00701AAF">
            <w:r>
              <w:t>Fixed portfolios</w:t>
            </w:r>
          </w:p>
        </w:tc>
        <w:tc>
          <w:tcPr>
            <w:tcW w:w="992" w:type="dxa"/>
          </w:tcPr>
          <w:p w:rsidR="00701AAF" w:rsidRPr="00701AAF" w:rsidRDefault="00701AAF" w:rsidP="00701AAF">
            <w:r>
              <w:t>Varying portfolios</w:t>
            </w:r>
          </w:p>
        </w:tc>
        <w:tc>
          <w:tcPr>
            <w:tcW w:w="3765" w:type="dxa"/>
          </w:tcPr>
          <w:p w:rsidR="00701AAF" w:rsidRPr="00701AAF" w:rsidRDefault="00701AAF" w:rsidP="00701AAF">
            <w:r>
              <w:t>Summary of regression permutations</w:t>
            </w:r>
          </w:p>
        </w:tc>
      </w:tr>
      <w:tr w:rsidR="00701AAF" w:rsidTr="004C5238">
        <w:tc>
          <w:tcPr>
            <w:tcW w:w="1101" w:type="dxa"/>
          </w:tcPr>
          <w:p w:rsidR="00701AAF" w:rsidRPr="00701AAF" w:rsidRDefault="00701AAF" w:rsidP="00701AAF">
            <w:r>
              <w:t>Henry 2014</w:t>
            </w:r>
          </w:p>
        </w:tc>
        <w:tc>
          <w:tcPr>
            <w:tcW w:w="850" w:type="dxa"/>
          </w:tcPr>
          <w:p w:rsidR="00701AAF" w:rsidRPr="00701AAF" w:rsidRDefault="00701AAF" w:rsidP="00701AAF">
            <w:r>
              <w:t>1992–2013</w:t>
            </w:r>
          </w:p>
        </w:tc>
        <w:tc>
          <w:tcPr>
            <w:tcW w:w="992" w:type="dxa"/>
          </w:tcPr>
          <w:p w:rsidR="00701AAF" w:rsidRPr="00701AAF" w:rsidRDefault="00701AAF" w:rsidP="00701AAF">
            <w:r>
              <w:t>0.37–0.56</w:t>
            </w:r>
          </w:p>
        </w:tc>
        <w:tc>
          <w:tcPr>
            <w:tcW w:w="993" w:type="dxa"/>
          </w:tcPr>
          <w:p w:rsidR="00701AAF" w:rsidRPr="00701AAF" w:rsidRDefault="00701AAF" w:rsidP="00701AAF">
            <w:r>
              <w:t>0.31–0.70</w:t>
            </w:r>
            <w:r w:rsidRPr="00701AAF">
              <w:rPr>
                <w:rStyle w:val="AERsuperscript"/>
              </w:rPr>
              <w:t>(b)</w:t>
            </w:r>
          </w:p>
        </w:tc>
        <w:tc>
          <w:tcPr>
            <w:tcW w:w="992" w:type="dxa"/>
          </w:tcPr>
          <w:p w:rsidR="00701AAF" w:rsidRPr="00701AAF" w:rsidRDefault="00701AAF" w:rsidP="00701AAF">
            <w:r>
              <w:t>0.39–0.53</w:t>
            </w:r>
          </w:p>
        </w:tc>
        <w:tc>
          <w:tcPr>
            <w:tcW w:w="3765" w:type="dxa"/>
          </w:tcPr>
          <w:p w:rsidR="00701AAF" w:rsidRPr="00701AAF" w:rsidRDefault="00701AAF" w:rsidP="00701AAF">
            <w:r w:rsidRPr="001F00F1">
              <w:t xml:space="preserve">weekly/monthly return intervals, multiple estimation periods, OLS/LAD regressions, value/equal weight fixed portfolios, average/median varying portfolios, </w:t>
            </w:r>
            <w:r w:rsidRPr="00701AAF">
              <w:t>raw/re-levered estimates, 9 comparators</w:t>
            </w:r>
          </w:p>
        </w:tc>
      </w:tr>
      <w:tr w:rsidR="00701AAF" w:rsidTr="004C5238">
        <w:trPr>
          <w:cnfStyle w:val="000000010000" w:firstRow="0" w:lastRow="0" w:firstColumn="0" w:lastColumn="0" w:oddVBand="0" w:evenVBand="0" w:oddHBand="0" w:evenHBand="1" w:firstRowFirstColumn="0" w:firstRowLastColumn="0" w:lastRowFirstColumn="0" w:lastRowLastColumn="0"/>
        </w:trPr>
        <w:tc>
          <w:tcPr>
            <w:tcW w:w="1101" w:type="dxa"/>
          </w:tcPr>
          <w:p w:rsidR="00701AAF" w:rsidRPr="00701AAF" w:rsidRDefault="00701AAF" w:rsidP="00701AAF">
            <w:r>
              <w:t>Grant Samuel 2014</w:t>
            </w:r>
          </w:p>
        </w:tc>
        <w:tc>
          <w:tcPr>
            <w:tcW w:w="850" w:type="dxa"/>
          </w:tcPr>
          <w:p w:rsidR="00701AAF" w:rsidRPr="00701AAF" w:rsidRDefault="00701AAF" w:rsidP="00701AAF">
            <w:r>
              <w:t>2009–2014</w:t>
            </w:r>
            <w:r w:rsidRPr="00701AAF">
              <w:rPr>
                <w:rStyle w:val="AERsuperscript"/>
              </w:rPr>
              <w:t>(c)</w:t>
            </w:r>
          </w:p>
        </w:tc>
        <w:tc>
          <w:tcPr>
            <w:tcW w:w="992" w:type="dxa"/>
          </w:tcPr>
          <w:p w:rsidR="00701AAF" w:rsidRPr="00701AAF" w:rsidRDefault="00701AAF" w:rsidP="00701AAF">
            <w:r>
              <w:t>0.42–0.64</w:t>
            </w:r>
          </w:p>
        </w:tc>
        <w:tc>
          <w:tcPr>
            <w:tcW w:w="993" w:type="dxa"/>
          </w:tcPr>
          <w:p w:rsidR="00701AAF" w:rsidRPr="00701AAF" w:rsidRDefault="00701AAF" w:rsidP="00701AAF">
            <w:r>
              <w:t>n/a</w:t>
            </w:r>
          </w:p>
        </w:tc>
        <w:tc>
          <w:tcPr>
            <w:tcW w:w="992" w:type="dxa"/>
          </w:tcPr>
          <w:p w:rsidR="00701AAF" w:rsidRPr="00701AAF" w:rsidRDefault="00701AAF" w:rsidP="00701AAF">
            <w:r>
              <w:t>n/a</w:t>
            </w:r>
          </w:p>
        </w:tc>
        <w:tc>
          <w:tcPr>
            <w:tcW w:w="3765" w:type="dxa"/>
          </w:tcPr>
          <w:p w:rsidR="00701AAF" w:rsidRPr="00701AAF" w:rsidRDefault="00701AAF" w:rsidP="00701AAF">
            <w:r w:rsidRPr="001F00F1">
              <w:t xml:space="preserve">weekly/monthly </w:t>
            </w:r>
            <w:r w:rsidRPr="00701AAF">
              <w:t>return intervals, multiple estimation periods, OLS regressions, Bloomberg adjusted betas, raw estimates, 5 comparators</w:t>
            </w:r>
          </w:p>
        </w:tc>
      </w:tr>
      <w:tr w:rsidR="00701AAF" w:rsidTr="004C5238">
        <w:tc>
          <w:tcPr>
            <w:tcW w:w="1101" w:type="dxa"/>
          </w:tcPr>
          <w:p w:rsidR="00701AAF" w:rsidRPr="00701AAF" w:rsidRDefault="00701AAF" w:rsidP="00701AAF">
            <w:r>
              <w:t>ERA 2013</w:t>
            </w:r>
          </w:p>
        </w:tc>
        <w:tc>
          <w:tcPr>
            <w:tcW w:w="850" w:type="dxa"/>
          </w:tcPr>
          <w:p w:rsidR="00701AAF" w:rsidRPr="00701AAF" w:rsidRDefault="00701AAF" w:rsidP="00701AAF">
            <w:r>
              <w:t>2002–2013</w:t>
            </w:r>
          </w:p>
        </w:tc>
        <w:tc>
          <w:tcPr>
            <w:tcW w:w="992" w:type="dxa"/>
          </w:tcPr>
          <w:p w:rsidR="00701AAF" w:rsidRPr="00701AAF" w:rsidRDefault="00701AAF" w:rsidP="00701AAF">
            <w:r>
              <w:t>0.48–0.52</w:t>
            </w:r>
          </w:p>
        </w:tc>
        <w:tc>
          <w:tcPr>
            <w:tcW w:w="993" w:type="dxa"/>
          </w:tcPr>
          <w:p w:rsidR="00701AAF" w:rsidRPr="00701AAF" w:rsidRDefault="00701AAF" w:rsidP="00701AAF">
            <w:r>
              <w:t>0.39–0.59</w:t>
            </w:r>
          </w:p>
        </w:tc>
        <w:tc>
          <w:tcPr>
            <w:tcW w:w="992" w:type="dxa"/>
          </w:tcPr>
          <w:p w:rsidR="00701AAF" w:rsidRPr="00701AAF" w:rsidRDefault="00701AAF" w:rsidP="00701AAF">
            <w:r>
              <w:t>n/a</w:t>
            </w:r>
          </w:p>
        </w:tc>
        <w:tc>
          <w:tcPr>
            <w:tcW w:w="3765" w:type="dxa"/>
          </w:tcPr>
          <w:p w:rsidR="00701AAF" w:rsidRPr="00701AAF" w:rsidRDefault="00701AAF" w:rsidP="00701AAF">
            <w:r w:rsidRPr="001F00F1">
              <w:t xml:space="preserve">weekly return intervals, OLS/LAD/MM/TS regressions, value/equal weight fixed portfolios, </w:t>
            </w:r>
            <w:r w:rsidRPr="00701AAF">
              <w:t>multiple estimation periods, re-levered estimates, 6 comparators</w:t>
            </w:r>
          </w:p>
        </w:tc>
      </w:tr>
      <w:tr w:rsidR="00701AAF" w:rsidTr="004C5238">
        <w:trPr>
          <w:cnfStyle w:val="000000010000" w:firstRow="0" w:lastRow="0" w:firstColumn="0" w:lastColumn="0" w:oddVBand="0" w:evenVBand="0" w:oddHBand="0" w:evenHBand="1" w:firstRowFirstColumn="0" w:firstRowLastColumn="0" w:lastRowFirstColumn="0" w:lastRowLastColumn="0"/>
        </w:trPr>
        <w:tc>
          <w:tcPr>
            <w:tcW w:w="1101" w:type="dxa"/>
          </w:tcPr>
          <w:p w:rsidR="00701AAF" w:rsidRPr="00701AAF" w:rsidRDefault="00701AAF" w:rsidP="00701AAF">
            <w:r>
              <w:t>SFG 2013</w:t>
            </w:r>
          </w:p>
        </w:tc>
        <w:tc>
          <w:tcPr>
            <w:tcW w:w="850" w:type="dxa"/>
          </w:tcPr>
          <w:p w:rsidR="00701AAF" w:rsidRPr="00701AAF" w:rsidRDefault="00701AAF" w:rsidP="00701AAF">
            <w:r>
              <w:t>2002–2013</w:t>
            </w:r>
          </w:p>
        </w:tc>
        <w:tc>
          <w:tcPr>
            <w:tcW w:w="992" w:type="dxa"/>
          </w:tcPr>
          <w:p w:rsidR="00701AAF" w:rsidRPr="00701AAF" w:rsidRDefault="00701AAF" w:rsidP="00701AAF">
            <w:r>
              <w:t>0.60</w:t>
            </w:r>
          </w:p>
        </w:tc>
        <w:tc>
          <w:tcPr>
            <w:tcW w:w="993" w:type="dxa"/>
          </w:tcPr>
          <w:p w:rsidR="00701AAF" w:rsidRPr="00701AAF" w:rsidRDefault="00701AAF" w:rsidP="00701AAF">
            <w:r>
              <w:t>n/a</w:t>
            </w:r>
          </w:p>
        </w:tc>
        <w:tc>
          <w:tcPr>
            <w:tcW w:w="992" w:type="dxa"/>
          </w:tcPr>
          <w:p w:rsidR="00701AAF" w:rsidRPr="00701AAF" w:rsidRDefault="00701AAF" w:rsidP="00701AAF">
            <w:r>
              <w:t>0.55</w:t>
            </w:r>
          </w:p>
        </w:tc>
        <w:tc>
          <w:tcPr>
            <w:tcW w:w="3765" w:type="dxa"/>
          </w:tcPr>
          <w:p w:rsidR="00701AAF" w:rsidRPr="00701AAF" w:rsidRDefault="00701AAF" w:rsidP="00701AAF">
            <w:r w:rsidRPr="001F00F1">
              <w:t>OLS regressions, four weekly repeat sampling, Vasicek</w:t>
            </w:r>
            <w:r w:rsidRPr="00701AAF">
              <w:t xml:space="preserve"> adjustment, re-levered estimates, 9 comparators</w:t>
            </w:r>
          </w:p>
        </w:tc>
      </w:tr>
      <w:tr w:rsidR="00701AAF" w:rsidTr="004C5238">
        <w:tc>
          <w:tcPr>
            <w:tcW w:w="1101" w:type="dxa"/>
          </w:tcPr>
          <w:p w:rsidR="00701AAF" w:rsidRPr="00701AAF" w:rsidRDefault="00701AAF" w:rsidP="00701AAF">
            <w:r>
              <w:t>ERA 2012</w:t>
            </w:r>
          </w:p>
        </w:tc>
        <w:tc>
          <w:tcPr>
            <w:tcW w:w="850" w:type="dxa"/>
          </w:tcPr>
          <w:p w:rsidR="00701AAF" w:rsidRPr="00701AAF" w:rsidRDefault="00701AAF" w:rsidP="00701AAF">
            <w:r>
              <w:t>2002–2011</w:t>
            </w:r>
          </w:p>
        </w:tc>
        <w:tc>
          <w:tcPr>
            <w:tcW w:w="992" w:type="dxa"/>
          </w:tcPr>
          <w:p w:rsidR="00701AAF" w:rsidRPr="00701AAF" w:rsidRDefault="00701AAF" w:rsidP="00701AAF">
            <w:r>
              <w:t>0.44–0.60</w:t>
            </w:r>
          </w:p>
        </w:tc>
        <w:tc>
          <w:tcPr>
            <w:tcW w:w="993" w:type="dxa"/>
          </w:tcPr>
          <w:p w:rsidR="00701AAF" w:rsidRPr="00701AAF" w:rsidRDefault="00701AAF" w:rsidP="00701AAF">
            <w:r>
              <w:t>n/a</w:t>
            </w:r>
          </w:p>
        </w:tc>
        <w:tc>
          <w:tcPr>
            <w:tcW w:w="992" w:type="dxa"/>
          </w:tcPr>
          <w:p w:rsidR="00701AAF" w:rsidRPr="00701AAF" w:rsidRDefault="00701AAF" w:rsidP="00701AAF">
            <w:r>
              <w:t>n/a</w:t>
            </w:r>
          </w:p>
        </w:tc>
        <w:tc>
          <w:tcPr>
            <w:tcW w:w="3765" w:type="dxa"/>
          </w:tcPr>
          <w:p w:rsidR="00701AAF" w:rsidRPr="00701AAF" w:rsidRDefault="00701AAF" w:rsidP="00701AAF">
            <w:r w:rsidRPr="001F00F1">
              <w:t xml:space="preserve">weekly/monthly </w:t>
            </w:r>
            <w:r w:rsidRPr="00701AAF">
              <w:t>return intervals, OLS/LAD regressions, re-levered estimates, 9 comparators</w:t>
            </w:r>
          </w:p>
        </w:tc>
      </w:tr>
      <w:tr w:rsidR="00701AAF" w:rsidTr="004C5238">
        <w:trPr>
          <w:cnfStyle w:val="000000010000" w:firstRow="0" w:lastRow="0" w:firstColumn="0" w:lastColumn="0" w:oddVBand="0" w:evenVBand="0" w:oddHBand="0" w:evenHBand="1" w:firstRowFirstColumn="0" w:firstRowLastColumn="0" w:lastRowFirstColumn="0" w:lastRowLastColumn="0"/>
        </w:trPr>
        <w:tc>
          <w:tcPr>
            <w:tcW w:w="1101" w:type="dxa"/>
          </w:tcPr>
          <w:p w:rsidR="00701AAF" w:rsidRPr="00701AAF" w:rsidRDefault="00701AAF" w:rsidP="00701AAF">
            <w:r>
              <w:t>Henry 2009</w:t>
            </w:r>
          </w:p>
        </w:tc>
        <w:tc>
          <w:tcPr>
            <w:tcW w:w="850" w:type="dxa"/>
          </w:tcPr>
          <w:p w:rsidR="00701AAF" w:rsidRPr="00701AAF" w:rsidRDefault="00701AAF" w:rsidP="00701AAF">
            <w:r>
              <w:t>2002–2008</w:t>
            </w:r>
          </w:p>
        </w:tc>
        <w:tc>
          <w:tcPr>
            <w:tcW w:w="992" w:type="dxa"/>
          </w:tcPr>
          <w:p w:rsidR="00701AAF" w:rsidRPr="00701AAF" w:rsidRDefault="00701AAF" w:rsidP="00701AAF">
            <w:r>
              <w:t>0.45–0.71</w:t>
            </w:r>
          </w:p>
        </w:tc>
        <w:tc>
          <w:tcPr>
            <w:tcW w:w="993" w:type="dxa"/>
          </w:tcPr>
          <w:p w:rsidR="00701AAF" w:rsidRPr="00701AAF" w:rsidRDefault="00701AAF" w:rsidP="00701AAF">
            <w:r>
              <w:t>0.35–0.94</w:t>
            </w:r>
            <w:r w:rsidRPr="00701AAF">
              <w:rPr>
                <w:rStyle w:val="AERsuperscript"/>
              </w:rPr>
              <w:t>(d)</w:t>
            </w:r>
          </w:p>
        </w:tc>
        <w:tc>
          <w:tcPr>
            <w:tcW w:w="992" w:type="dxa"/>
          </w:tcPr>
          <w:p w:rsidR="00701AAF" w:rsidRPr="00701AAF" w:rsidRDefault="00701AAF" w:rsidP="00701AAF">
            <w:r>
              <w:t>0.41</w:t>
            </w:r>
            <w:r>
              <w:softHyphen/>
              <w:t>–0.78</w:t>
            </w:r>
          </w:p>
        </w:tc>
        <w:tc>
          <w:tcPr>
            <w:tcW w:w="3765" w:type="dxa"/>
          </w:tcPr>
          <w:p w:rsidR="00701AAF" w:rsidRPr="00701AAF" w:rsidRDefault="00701AAF" w:rsidP="00701AAF">
            <w:r w:rsidRPr="001F00F1">
              <w:t xml:space="preserve">weekly/monthly return </w:t>
            </w:r>
            <w:r w:rsidRPr="00701AAF">
              <w:t>intervals, various estimation periods, OLS/LAD regressions, value/equal weight fixed portfolios, average/median varying portfolios, re-levered estimates, 9 comparators</w:t>
            </w:r>
          </w:p>
        </w:tc>
      </w:tr>
      <w:tr w:rsidR="00701AAF" w:rsidTr="004C5238">
        <w:tc>
          <w:tcPr>
            <w:tcW w:w="1101" w:type="dxa"/>
          </w:tcPr>
          <w:p w:rsidR="00701AAF" w:rsidRPr="00701AAF" w:rsidRDefault="00701AAF" w:rsidP="00701AAF">
            <w:r>
              <w:t>ACG 2009</w:t>
            </w:r>
          </w:p>
        </w:tc>
        <w:tc>
          <w:tcPr>
            <w:tcW w:w="850" w:type="dxa"/>
          </w:tcPr>
          <w:p w:rsidR="00701AAF" w:rsidRPr="00701AAF" w:rsidRDefault="00701AAF" w:rsidP="00701AAF">
            <w:r>
              <w:t>1990–2008</w:t>
            </w:r>
          </w:p>
        </w:tc>
        <w:tc>
          <w:tcPr>
            <w:tcW w:w="992" w:type="dxa"/>
          </w:tcPr>
          <w:p w:rsidR="00701AAF" w:rsidRPr="00701AAF" w:rsidRDefault="00701AAF" w:rsidP="00701AAF">
            <w:r>
              <w:t>0.50–0.58</w:t>
            </w:r>
          </w:p>
        </w:tc>
        <w:tc>
          <w:tcPr>
            <w:tcW w:w="993" w:type="dxa"/>
          </w:tcPr>
          <w:p w:rsidR="00701AAF" w:rsidRPr="00701AAF" w:rsidRDefault="00701AAF" w:rsidP="00701AAF">
            <w:r>
              <w:t>n/a</w:t>
            </w:r>
          </w:p>
        </w:tc>
        <w:tc>
          <w:tcPr>
            <w:tcW w:w="992" w:type="dxa"/>
          </w:tcPr>
          <w:p w:rsidR="00701AAF" w:rsidRPr="00701AAF" w:rsidRDefault="00701AAF" w:rsidP="00701AAF">
            <w:r>
              <w:t>0.69–0.91</w:t>
            </w:r>
          </w:p>
        </w:tc>
        <w:tc>
          <w:tcPr>
            <w:tcW w:w="3765" w:type="dxa"/>
          </w:tcPr>
          <w:p w:rsidR="00701AAF" w:rsidRPr="00701AAF" w:rsidRDefault="00701AAF" w:rsidP="00701AAF">
            <w:r w:rsidRPr="001F00F1">
              <w:t>monthly return intervals, OLS/LAD regressions, multiple estimation periods, raw/re-levered estimates, average/median varying portfolios, 9 comparators</w:t>
            </w:r>
          </w:p>
        </w:tc>
      </w:tr>
      <w:tr w:rsidR="00701AAF" w:rsidTr="004C5238">
        <w:trPr>
          <w:cnfStyle w:val="000000010000" w:firstRow="0" w:lastRow="0" w:firstColumn="0" w:lastColumn="0" w:oddVBand="0" w:evenVBand="0" w:oddHBand="0" w:evenHBand="1" w:firstRowFirstColumn="0" w:firstRowLastColumn="0" w:lastRowFirstColumn="0" w:lastRowLastColumn="0"/>
        </w:trPr>
        <w:tc>
          <w:tcPr>
            <w:tcW w:w="1101" w:type="dxa"/>
          </w:tcPr>
          <w:p w:rsidR="00701AAF" w:rsidRPr="00701AAF" w:rsidRDefault="00701AAF" w:rsidP="00701AAF">
            <w:r>
              <w:t>Henry 2008</w:t>
            </w:r>
          </w:p>
        </w:tc>
        <w:tc>
          <w:tcPr>
            <w:tcW w:w="850" w:type="dxa"/>
          </w:tcPr>
          <w:p w:rsidR="00701AAF" w:rsidRPr="00701AAF" w:rsidRDefault="00701AAF" w:rsidP="00701AAF">
            <w:r>
              <w:t>2002–2008</w:t>
            </w:r>
          </w:p>
        </w:tc>
        <w:tc>
          <w:tcPr>
            <w:tcW w:w="992" w:type="dxa"/>
          </w:tcPr>
          <w:p w:rsidR="00701AAF" w:rsidRPr="00701AAF" w:rsidRDefault="00701AAF" w:rsidP="00701AAF">
            <w:r>
              <w:t>0.35–0.67</w:t>
            </w:r>
          </w:p>
        </w:tc>
        <w:tc>
          <w:tcPr>
            <w:tcW w:w="993" w:type="dxa"/>
          </w:tcPr>
          <w:p w:rsidR="00701AAF" w:rsidRPr="00701AAF" w:rsidRDefault="00701AAF" w:rsidP="00701AAF">
            <w:r>
              <w:t>0.31–0.77</w:t>
            </w:r>
            <w:r w:rsidRPr="00701AAF">
              <w:rPr>
                <w:rStyle w:val="AERsuperscript"/>
              </w:rPr>
              <w:t>(e)</w:t>
            </w:r>
          </w:p>
        </w:tc>
        <w:tc>
          <w:tcPr>
            <w:tcW w:w="992" w:type="dxa"/>
          </w:tcPr>
          <w:p w:rsidR="00701AAF" w:rsidRPr="00701AAF" w:rsidRDefault="00701AAF" w:rsidP="00701AAF">
            <w:r>
              <w:t>n/a</w:t>
            </w:r>
          </w:p>
        </w:tc>
        <w:tc>
          <w:tcPr>
            <w:tcW w:w="3765" w:type="dxa"/>
          </w:tcPr>
          <w:p w:rsidR="00701AAF" w:rsidRPr="00701AAF" w:rsidRDefault="00701AAF" w:rsidP="00701AAF">
            <w:r w:rsidRPr="001F00F1">
              <w:t xml:space="preserve">daily/weekly/monthly return intervals, discrete/continuous returns, various estimation periods, OLS/LAD regressions, value/equal weight portfolios, raw/re-levered estimates, no adjustment/Vasicek/Blume, 10 comparators </w:t>
            </w:r>
          </w:p>
        </w:tc>
      </w:tr>
    </w:tbl>
    <w:p w:rsidR="00701AAF" w:rsidRPr="00EB6387" w:rsidRDefault="00701AAF" w:rsidP="00701AAF">
      <w:pPr>
        <w:pStyle w:val="AERtablesource"/>
      </w:pPr>
      <w:r w:rsidRPr="00660C1E">
        <w:t>Source:</w:t>
      </w:r>
      <w:r w:rsidRPr="00660C1E">
        <w:tab/>
        <w:t>AER analysis</w:t>
      </w:r>
      <w:r w:rsidRPr="00EB6387">
        <w:t>.</w:t>
      </w:r>
      <w:r w:rsidRPr="00EB6387">
        <w:rPr>
          <w:rStyle w:val="FootnoteReference"/>
        </w:rPr>
        <w:footnoteReference w:id="1026"/>
      </w:r>
    </w:p>
    <w:p w:rsidR="00701AAF" w:rsidRPr="00EB6387" w:rsidRDefault="00701AAF" w:rsidP="00701AAF">
      <w:pPr>
        <w:pStyle w:val="AERtablesource"/>
      </w:pPr>
      <w:r w:rsidRPr="00660C1E">
        <w:t>(a)</w:t>
      </w:r>
      <w:r w:rsidRPr="00660C1E">
        <w:tab/>
        <w:t xml:space="preserve">We place </w:t>
      </w:r>
      <w:r w:rsidRPr="00EB6387">
        <w:t xml:space="preserve">no material reliance on the estimates from time varying portfolios as they are not grounded in financial theory and are prone to measurement error. See: Henry, </w:t>
      </w:r>
      <w:r w:rsidRPr="00EB6387">
        <w:rPr>
          <w:rStyle w:val="AERtextitalic"/>
        </w:rPr>
        <w:t>Estimating β: An update</w:t>
      </w:r>
      <w:r w:rsidRPr="00EB6387">
        <w:t>, April 2014, p. 52.</w:t>
      </w:r>
    </w:p>
    <w:p w:rsidR="00701AAF" w:rsidRPr="00660C1E" w:rsidRDefault="00701AAF" w:rsidP="00701AAF">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701AAF" w:rsidRPr="00660C1E" w:rsidRDefault="00701AAF" w:rsidP="00701AAF">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701AAF" w:rsidRPr="00660C1E" w:rsidRDefault="00701AAF" w:rsidP="00701AAF">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701AAF" w:rsidRPr="00660C1E" w:rsidRDefault="00701AAF" w:rsidP="00701AAF">
      <w:pPr>
        <w:pStyle w:val="AERtablesource"/>
      </w:pPr>
      <w:r w:rsidRPr="00660C1E">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701AAF" w:rsidRDefault="00701AAF" w:rsidP="00701AAF">
      <w:pPr>
        <w:pStyle w:val="AERtablesource"/>
        <w:rPr>
          <w:rStyle w:val="AERbody"/>
        </w:rPr>
      </w:pPr>
      <w:r w:rsidRPr="00660C1E">
        <w:t>(f)</w:t>
      </w:r>
      <w:r w:rsidRPr="00660C1E">
        <w:tab/>
        <w:t>ACG did not make it clear what time period its data covered. However, it noted that equity beta estimates were only used where there were more than 20 observations.</w:t>
      </w:r>
    </w:p>
    <w:p w:rsidR="00701AAF" w:rsidRPr="00345FC0" w:rsidRDefault="00701AAF" w:rsidP="00701AAF">
      <w:pPr>
        <w:pStyle w:val="Heading8"/>
      </w:pPr>
      <w:bookmarkStart w:id="239" w:name="_Toc451945510"/>
      <w:r>
        <w:t>International e</w:t>
      </w:r>
      <w:r w:rsidRPr="00345FC0">
        <w:t>mpirical estimates</w:t>
      </w:r>
      <w:bookmarkEnd w:id="239"/>
      <w:r>
        <w:t xml:space="preserve"> </w:t>
      </w:r>
    </w:p>
    <w:p w:rsidR="00701AAF" w:rsidRDefault="00701AAF" w:rsidP="00701AAF">
      <w:r>
        <w:t xml:space="preserve">The international empirical estimates we consider in this decision are set out in </w:t>
      </w:r>
      <w:r>
        <w:fldChar w:fldCharType="begin"/>
      </w:r>
      <w:r>
        <w:instrText xml:space="preserve"> REF  _Ref446238074 \* Lower \h </w:instrText>
      </w:r>
      <w:r>
        <w:fldChar w:fldCharType="separate"/>
      </w:r>
      <w:r w:rsidR="001A023B">
        <w:t xml:space="preserve">table </w:t>
      </w:r>
      <w:r w:rsidR="001A023B">
        <w:rPr>
          <w:noProof/>
        </w:rPr>
        <w:t>3</w:t>
      </w:r>
      <w:r w:rsidR="001A023B">
        <w:noBreakHyphen/>
      </w:r>
      <w:r w:rsidR="001A023B">
        <w:rPr>
          <w:noProof/>
        </w:rPr>
        <w:t>38</w:t>
      </w:r>
      <w:r>
        <w:fldChar w:fldCharType="end"/>
      </w:r>
      <w:r>
        <w:t xml:space="preserve"> and range from 0.3 to 1.0.</w:t>
      </w:r>
      <w:r>
        <w:rPr>
          <w:rStyle w:val="FootnoteReference"/>
        </w:rPr>
        <w:footnoteReference w:id="1027"/>
      </w:r>
      <w:r>
        <w:t xml:space="preserve"> </w:t>
      </w:r>
      <w:r w:rsidRPr="00CD578C">
        <w:t>We consider this evidence provides some limited support for an equity beta point estimate towards the upper end of our empirical range.</w:t>
      </w:r>
      <w:r w:rsidRPr="003E21FD">
        <w:t xml:space="preserve"> </w:t>
      </w:r>
      <w:r>
        <w:t xml:space="preserve">We do not include these firms in our comparator set (for our primary empirical analysis) because we do not consider they are sufficiently comparable to a benchmark efficient entity with a similar degree of risk as ActewAGL in providing regulated services (see section </w:t>
      </w:r>
      <w:r>
        <w:fldChar w:fldCharType="begin"/>
      </w:r>
      <w:r>
        <w:instrText xml:space="preserve"> REF _Ref446254445 \r \h </w:instrText>
      </w:r>
      <w:r>
        <w:fldChar w:fldCharType="separate"/>
      </w:r>
      <w:r w:rsidR="001A023B">
        <w:t>G.4.3</w:t>
      </w:r>
      <w:r>
        <w:fldChar w:fldCharType="end"/>
      </w:r>
      <w:r>
        <w:t>).</w:t>
      </w:r>
    </w:p>
    <w:p w:rsidR="00701AAF" w:rsidRDefault="00701AAF" w:rsidP="00701AAF">
      <w:pPr>
        <w:pStyle w:val="Caption"/>
      </w:pPr>
      <w:bookmarkStart w:id="240" w:name="_Ref446238074"/>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38</w:t>
      </w:r>
      <w:r w:rsidR="00120312">
        <w:rPr>
          <w:noProof/>
        </w:rPr>
        <w:fldChar w:fldCharType="end"/>
      </w:r>
      <w:bookmarkEnd w:id="240"/>
      <w:r>
        <w:tab/>
        <w:t>International empirical estimates of equity beta</w:t>
      </w:r>
    </w:p>
    <w:tbl>
      <w:tblPr>
        <w:tblStyle w:val="AERtable-text0"/>
        <w:tblW w:w="0" w:type="auto"/>
        <w:tblLayout w:type="fixed"/>
        <w:tblLook w:val="04A0" w:firstRow="1" w:lastRow="0" w:firstColumn="1" w:lastColumn="0" w:noHBand="0" w:noVBand="1"/>
      </w:tblPr>
      <w:tblGrid>
        <w:gridCol w:w="1809"/>
        <w:gridCol w:w="3969"/>
        <w:gridCol w:w="1418"/>
        <w:gridCol w:w="1497"/>
      </w:tblGrid>
      <w:tr w:rsidR="00701AAF" w:rsidTr="00BB7AE6">
        <w:trPr>
          <w:cnfStyle w:val="100000000000" w:firstRow="1" w:lastRow="0" w:firstColumn="0" w:lastColumn="0" w:oddVBand="0" w:evenVBand="0" w:oddHBand="0" w:evenHBand="0" w:firstRowFirstColumn="0" w:firstRowLastColumn="0" w:lastRowFirstColumn="0" w:lastRowLastColumn="0"/>
          <w:tblHeader/>
        </w:trPr>
        <w:tc>
          <w:tcPr>
            <w:tcW w:w="1809" w:type="dxa"/>
          </w:tcPr>
          <w:p w:rsidR="00701AAF" w:rsidRPr="00701AAF" w:rsidRDefault="00701AAF" w:rsidP="00701AAF">
            <w:r>
              <w:t>Report</w:t>
            </w:r>
          </w:p>
        </w:tc>
        <w:tc>
          <w:tcPr>
            <w:tcW w:w="3969" w:type="dxa"/>
          </w:tcPr>
          <w:p w:rsidR="00701AAF" w:rsidRPr="00701AAF" w:rsidRDefault="00701AAF" w:rsidP="00701AAF">
            <w:r>
              <w:t>Details</w:t>
            </w:r>
          </w:p>
        </w:tc>
        <w:tc>
          <w:tcPr>
            <w:tcW w:w="1418" w:type="dxa"/>
          </w:tcPr>
          <w:p w:rsidR="00701AAF" w:rsidRPr="00701AAF" w:rsidRDefault="00701AAF" w:rsidP="00701AAF">
            <w:r>
              <w:t>Raw estimate</w:t>
            </w:r>
          </w:p>
        </w:tc>
        <w:tc>
          <w:tcPr>
            <w:tcW w:w="1497" w:type="dxa"/>
          </w:tcPr>
          <w:p w:rsidR="00701AAF" w:rsidRPr="00701AAF" w:rsidRDefault="00701AAF" w:rsidP="00701AAF">
            <w:r>
              <w:t xml:space="preserve">Re-levered estimate (to 60 per </w:t>
            </w:r>
            <w:r w:rsidRPr="00701AAF">
              <w:t>cent gearing)</w:t>
            </w:r>
          </w:p>
        </w:tc>
      </w:tr>
      <w:tr w:rsidR="00701AAF" w:rsidTr="004C5238">
        <w:tc>
          <w:tcPr>
            <w:tcW w:w="1809" w:type="dxa"/>
          </w:tcPr>
          <w:p w:rsidR="00701AAF" w:rsidRPr="00701AAF" w:rsidRDefault="00701AAF" w:rsidP="00701AAF">
            <w:r>
              <w:t xml:space="preserve">SFG, </w:t>
            </w:r>
            <w:r w:rsidRPr="00701AAF">
              <w:rPr>
                <w:rStyle w:val="AERtextitalic"/>
              </w:rPr>
              <w:t>Regression-based estimates of risk parameters</w:t>
            </w:r>
            <w:r w:rsidRPr="00701AAF">
              <w:t>, June 2013, pp. 15, 19</w:t>
            </w:r>
          </w:p>
          <w:p w:rsidR="00701AAF" w:rsidRPr="00701AAF" w:rsidRDefault="00701AAF" w:rsidP="00701AAF">
            <w:pPr>
              <w:rPr>
                <w:rStyle w:val="AERtextsize8"/>
              </w:rPr>
            </w:pPr>
            <w:r w:rsidRPr="00707ABA">
              <w:t xml:space="preserve">CEG, </w:t>
            </w:r>
            <w:r w:rsidRPr="00701AAF">
              <w:rPr>
                <w:rStyle w:val="AERtextitalic"/>
              </w:rPr>
              <w:t>Information on equity beta from US companies</w:t>
            </w:r>
            <w:r w:rsidRPr="00701AAF">
              <w:t>, June 2013</w:t>
            </w:r>
          </w:p>
        </w:tc>
        <w:tc>
          <w:tcPr>
            <w:tcW w:w="3969" w:type="dxa"/>
          </w:tcPr>
          <w:p w:rsidR="00701AAF" w:rsidRPr="00701AAF" w:rsidRDefault="00701AAF" w:rsidP="00701AAF">
            <w:pPr>
              <w:rPr>
                <w:rStyle w:val="AERtextsize8"/>
              </w:rPr>
            </w:pPr>
            <w:r w:rsidRPr="00707ABA">
              <w:t xml:space="preserve">The CEG report prepared as a part of the ENA submission to </w:t>
            </w:r>
            <w:r w:rsidRPr="00701AAF">
              <w:t>the Guideline process suggested a sample of 56 US–listed energy network companies to be included in our comparator set of Australian–listed energy network firms. Based on the comparator sample provided by CEG, SFG computed OLS equity beta estimates over an 11 year period from 2 January 2002 to 19 November 2012. SFG's results incorporate a Vasicek adjustment to its OLS equity beta estimates.</w:t>
            </w:r>
          </w:p>
        </w:tc>
        <w:tc>
          <w:tcPr>
            <w:tcW w:w="1418" w:type="dxa"/>
          </w:tcPr>
          <w:p w:rsidR="00701AAF" w:rsidRPr="00701AAF" w:rsidRDefault="00701AAF" w:rsidP="00701AAF">
            <w:r>
              <w:t>0.68</w:t>
            </w:r>
            <w:r w:rsidRPr="00701AAF">
              <w:t xml:space="preserve">—average of individual firm estimates (0.67 without a </w:t>
            </w:r>
            <w:r w:rsidR="00536B64" w:rsidRPr="00701AAF">
              <w:t>Vasicek</w:t>
            </w:r>
            <w:r w:rsidRPr="00701AAF">
              <w:t xml:space="preserve"> adjustment)</w:t>
            </w:r>
          </w:p>
        </w:tc>
        <w:tc>
          <w:tcPr>
            <w:tcW w:w="1497" w:type="dxa"/>
          </w:tcPr>
          <w:p w:rsidR="00701AAF" w:rsidRPr="00701AAF" w:rsidRDefault="00701AAF" w:rsidP="00701AAF">
            <w:r>
              <w:t>0.88</w:t>
            </w:r>
            <w:r w:rsidRPr="00701AAF">
              <w:t>—average of individual firm estimates</w:t>
            </w:r>
          </w:p>
          <w:p w:rsidR="00701AAF" w:rsidRPr="00701AAF" w:rsidRDefault="00701AAF" w:rsidP="00701AAF">
            <w:r>
              <w:t>0.91</w:t>
            </w:r>
            <w:r w:rsidRPr="00701AAF">
              <w:t>—average equity beta of an equal–weighted index of firm returns</w:t>
            </w:r>
            <w:r w:rsidRPr="00701AAF">
              <w:rPr>
                <w:rStyle w:val="FootnoteReference"/>
              </w:rPr>
              <w:footnoteReference w:id="1028"/>
            </w:r>
          </w:p>
        </w:tc>
      </w:tr>
      <w:tr w:rsidR="00701AAF" w:rsidTr="004C5238">
        <w:trPr>
          <w:cnfStyle w:val="000000010000" w:firstRow="0" w:lastRow="0" w:firstColumn="0" w:lastColumn="0" w:oddVBand="0" w:evenVBand="0" w:oddHBand="0" w:evenHBand="1" w:firstRowFirstColumn="0" w:firstRowLastColumn="0" w:lastRowFirstColumn="0" w:lastRowLastColumn="0"/>
        </w:trPr>
        <w:tc>
          <w:tcPr>
            <w:tcW w:w="1809" w:type="dxa"/>
          </w:tcPr>
          <w:p w:rsidR="00701AAF" w:rsidRPr="00701AAF" w:rsidRDefault="00701AAF" w:rsidP="00701AAF">
            <w:pPr>
              <w:rPr>
                <w:rStyle w:val="AERtextsize8"/>
              </w:rPr>
            </w:pPr>
            <w:r w:rsidRPr="00E518CC">
              <w:t>Damodaran,</w:t>
            </w:r>
            <w:r w:rsidRPr="00701AAF">
              <w:t xml:space="preserve"> </w:t>
            </w:r>
            <w:r w:rsidRPr="00701AAF">
              <w:rPr>
                <w:rStyle w:val="AERtextitalic"/>
              </w:rPr>
              <w:t>Updated data: The Data page</w:t>
            </w:r>
            <w:r w:rsidRPr="00701AAF">
              <w:t xml:space="preserve">, </w:t>
            </w:r>
            <w:r w:rsidRPr="00701AAF">
              <w:rPr>
                <w:rStyle w:val="AERtextitalic"/>
              </w:rPr>
              <w:t>Levered and Unlevered Betas by Industry: Download detail</w:t>
            </w:r>
            <w:r w:rsidRPr="00701AAF">
              <w:t>, Stern school of Business New York University, last updated 5 January 2016, viewed 18 March 2016</w:t>
            </w:r>
          </w:p>
        </w:tc>
        <w:tc>
          <w:tcPr>
            <w:tcW w:w="3969" w:type="dxa"/>
          </w:tcPr>
          <w:p w:rsidR="00701AAF" w:rsidRPr="00701AAF" w:rsidRDefault="00701AAF" w:rsidP="00701AAF">
            <w:pPr>
              <w:rPr>
                <w:rStyle w:val="AERtextsize8"/>
              </w:rPr>
            </w:pPr>
            <w:r w:rsidRPr="00900624">
              <w:rPr>
                <w:rStyle w:val="AERtextsize8"/>
              </w:rPr>
              <w:t xml:space="preserve">The Damodaran equity beta estimates </w:t>
            </w:r>
            <w:r w:rsidRPr="00701AAF">
              <w:rPr>
                <w:rStyle w:val="AERtextsize8"/>
              </w:rPr>
              <w:t>for US industry groups have been updated for 2015 market data. However, Damodaran has changed his industry classifications since 2013. The only industry that reports energy network firms is 'Utility (general)'. It contains electricity and gas network businesses, as well as vertically integrated businesses. Damodaran uses OLS estimation, weekly return intervals and a five year estimation period (up to 2015 year–end).</w:t>
            </w:r>
          </w:p>
        </w:tc>
        <w:tc>
          <w:tcPr>
            <w:tcW w:w="1418" w:type="dxa"/>
          </w:tcPr>
          <w:p w:rsidR="00701AAF" w:rsidRPr="00701AAF" w:rsidRDefault="00701AAF" w:rsidP="00701AAF">
            <w:pPr>
              <w:rPr>
                <w:rStyle w:val="AERtextsize8"/>
              </w:rPr>
            </w:pPr>
            <w:r>
              <w:rPr>
                <w:rStyle w:val="AERtextsize8"/>
              </w:rPr>
              <w:t>0.55</w:t>
            </w:r>
          </w:p>
        </w:tc>
        <w:tc>
          <w:tcPr>
            <w:tcW w:w="1497" w:type="dxa"/>
          </w:tcPr>
          <w:p w:rsidR="00701AAF" w:rsidRPr="00701AAF" w:rsidRDefault="00701AAF" w:rsidP="00701AAF">
            <w:pPr>
              <w:rPr>
                <w:rStyle w:val="AERtextsize8"/>
              </w:rPr>
            </w:pPr>
            <w:r>
              <w:rPr>
                <w:rStyle w:val="AERtextsize8"/>
              </w:rPr>
              <w:t>0.81</w:t>
            </w:r>
            <w:r w:rsidRPr="00701AAF">
              <w:rPr>
                <w:rStyle w:val="AERtextsize8"/>
              </w:rPr>
              <w:t>*</w:t>
            </w:r>
          </w:p>
        </w:tc>
      </w:tr>
      <w:tr w:rsidR="00701AAF" w:rsidTr="004C5238">
        <w:tc>
          <w:tcPr>
            <w:tcW w:w="1809" w:type="dxa"/>
          </w:tcPr>
          <w:p w:rsidR="00701AAF" w:rsidRPr="00701AAF" w:rsidRDefault="00701AAF" w:rsidP="00701AAF">
            <w:pPr>
              <w:rPr>
                <w:rStyle w:val="AERtextsize8"/>
              </w:rPr>
            </w:pPr>
            <w:r>
              <w:t xml:space="preserve">FTI Consulting, </w:t>
            </w:r>
            <w:r w:rsidRPr="00701AAF">
              <w:rPr>
                <w:rStyle w:val="AERtextitalic"/>
              </w:rPr>
              <w:t>Cost of capital study for the RIIO-T1 and GD1 price controls</w:t>
            </w:r>
            <w:r w:rsidRPr="00701AAF">
              <w:t>, July 2012, p. 42</w:t>
            </w:r>
          </w:p>
        </w:tc>
        <w:tc>
          <w:tcPr>
            <w:tcW w:w="3969" w:type="dxa"/>
          </w:tcPr>
          <w:p w:rsidR="00701AAF" w:rsidRPr="00701AAF" w:rsidRDefault="00701AAF" w:rsidP="00701AAF">
            <w:pPr>
              <w:rPr>
                <w:rStyle w:val="AERtextsize8"/>
              </w:rPr>
            </w:pPr>
            <w:r>
              <w:t xml:space="preserve">This </w:t>
            </w:r>
            <w:r w:rsidRPr="00701AAF">
              <w:t>report for Ofgem provided equity beta estimates for three UK–listed energy network firms. FTI Consulting used OLS estimation, daily return intervals and calculated the average daily returns for the sector as the market–capitalisation weighted average of the returns for National Grid, Scottish and Southern Energy and Scottish Power.</w:t>
            </w:r>
          </w:p>
        </w:tc>
        <w:tc>
          <w:tcPr>
            <w:tcW w:w="1418" w:type="dxa"/>
          </w:tcPr>
          <w:p w:rsidR="00701AAF" w:rsidRPr="00701AAF" w:rsidRDefault="00701AAF" w:rsidP="00701AAF">
            <w:r>
              <w:t>0.45—over 10 May 2011 to 9 May 2012</w:t>
            </w:r>
          </w:p>
          <w:p w:rsidR="00701AAF" w:rsidRPr="00701AAF" w:rsidRDefault="00701AAF" w:rsidP="00701AAF">
            <w:pPr>
              <w:rPr>
                <w:rStyle w:val="AERtextsize8"/>
              </w:rPr>
            </w:pPr>
            <w:r>
              <w:t>0.48—</w:t>
            </w:r>
            <w:r w:rsidRPr="00701AAF">
              <w:t>over 10 May 2010 to 9 May 2012</w:t>
            </w:r>
          </w:p>
        </w:tc>
        <w:tc>
          <w:tcPr>
            <w:tcW w:w="1497" w:type="dxa"/>
          </w:tcPr>
          <w:p w:rsidR="00701AAF" w:rsidRPr="00701AAF" w:rsidRDefault="00701AAF" w:rsidP="00701AAF">
            <w:pPr>
              <w:rPr>
                <w:rStyle w:val="AERtextsize8"/>
              </w:rPr>
            </w:pPr>
            <w:r>
              <w:t xml:space="preserve">We are not able to provide re-levered equity beta estimates because the report does </w:t>
            </w:r>
            <w:r w:rsidRPr="00701AAF">
              <w:t>not provide the appropriate gearing data.</w:t>
            </w:r>
          </w:p>
        </w:tc>
      </w:tr>
      <w:tr w:rsidR="00701AAF" w:rsidTr="004C5238">
        <w:trPr>
          <w:cnfStyle w:val="000000010000" w:firstRow="0" w:lastRow="0" w:firstColumn="0" w:lastColumn="0" w:oddVBand="0" w:evenVBand="0" w:oddHBand="0" w:evenHBand="1" w:firstRowFirstColumn="0" w:firstRowLastColumn="0" w:lastRowFirstColumn="0" w:lastRowLastColumn="0"/>
        </w:trPr>
        <w:tc>
          <w:tcPr>
            <w:tcW w:w="1809" w:type="dxa"/>
          </w:tcPr>
          <w:p w:rsidR="00701AAF" w:rsidRPr="00701AAF" w:rsidRDefault="00701AAF" w:rsidP="00701AAF">
            <w:pPr>
              <w:rPr>
                <w:rStyle w:val="AERtextsize8"/>
              </w:rPr>
            </w:pPr>
            <w:r>
              <w:t xml:space="preserve">Alberta Utilities Commission, </w:t>
            </w:r>
            <w:r w:rsidRPr="00701AAF">
              <w:rPr>
                <w:rStyle w:val="AERtextitalic"/>
              </w:rPr>
              <w:t>2013 Generic Cost of Capital</w:t>
            </w:r>
            <w:r w:rsidRPr="00701AAF">
              <w:t>, 23 March 2015, pp. 1, 24–26</w:t>
            </w:r>
          </w:p>
        </w:tc>
        <w:tc>
          <w:tcPr>
            <w:tcW w:w="3969" w:type="dxa"/>
          </w:tcPr>
          <w:p w:rsidR="00701AAF" w:rsidRPr="00701AAF" w:rsidRDefault="00701AAF" w:rsidP="00701AAF">
            <w:r>
              <w:t xml:space="preserve">This </w:t>
            </w:r>
            <w:r w:rsidRPr="00701AAF">
              <w:t>2013 Generic Cost of Capital report sets out the AUC's approved return on equity for several utilities for the years 2013, 2014, and 2015. The AUC considered advice from the following experts on the equity beta based on estimates of Canadian utilities:</w:t>
            </w:r>
          </w:p>
          <w:p w:rsidR="00701AAF" w:rsidRPr="00701AAF" w:rsidRDefault="00701AAF" w:rsidP="00701AAF">
            <w:pPr>
              <w:pStyle w:val="AERbulletlistfirststyle"/>
            </w:pPr>
            <w:r w:rsidRPr="00FF0D9F">
              <w:t xml:space="preserve">Dr Sean Cleary of Queens University recommended an equity beta range of 0.3 to 0.6. He calculated an average beta of 0.29 using monthly returns over the 1988–2012 period. He also calculated an average beta of 0.25 using 60 months of returns up to 20 December 2013. </w:t>
            </w:r>
          </w:p>
          <w:p w:rsidR="00701AAF" w:rsidRPr="00701AAF" w:rsidRDefault="00701AAF" w:rsidP="00701AAF">
            <w:pPr>
              <w:pStyle w:val="AERbulletlistfirststyle"/>
            </w:pPr>
            <w:r w:rsidRPr="00FF0D9F">
              <w:t xml:space="preserve">Dr Laurence Booth of the University of Toronto recommended an equity beta range of 0.45 to 0.55 for Canadian stand-alone utilities based on long run beta estimates. </w:t>
            </w:r>
          </w:p>
          <w:p w:rsidR="00701AAF" w:rsidRPr="00701AAF" w:rsidRDefault="00701AAF" w:rsidP="00701AAF">
            <w:pPr>
              <w:pStyle w:val="AERbulletlistfirststyle"/>
              <w:rPr>
                <w:rStyle w:val="AERtextsize8"/>
              </w:rPr>
            </w:pPr>
            <w:r w:rsidRPr="00FF0D9F">
              <w:t>Ms Kathleen McShane (president and senior consultant with Foster Associates Inc.) was critical of historical equity betas, but used beta estimates from Bloomberg and Value Line. These betas range from 0.65 to 0.7. These betas also incorporate an adjustment towards 1.0 (Blume or Vasicek).</w:t>
            </w:r>
          </w:p>
        </w:tc>
        <w:tc>
          <w:tcPr>
            <w:tcW w:w="1418" w:type="dxa"/>
          </w:tcPr>
          <w:p w:rsidR="00701AAF" w:rsidRPr="00701AAF" w:rsidRDefault="00701AAF" w:rsidP="00701AAF">
            <w:pPr>
              <w:rPr>
                <w:rStyle w:val="AERtextsize8"/>
              </w:rPr>
            </w:pPr>
            <w:r>
              <w:rPr>
                <w:rStyle w:val="AERtextsize8"/>
              </w:rPr>
              <w:t>0.3</w:t>
            </w:r>
            <w:r w:rsidRPr="00701AAF">
              <w:rPr>
                <w:rStyle w:val="AERtextsize8"/>
              </w:rPr>
              <w:t>–0.7</w:t>
            </w:r>
          </w:p>
        </w:tc>
        <w:tc>
          <w:tcPr>
            <w:tcW w:w="1497" w:type="dxa"/>
          </w:tcPr>
          <w:p w:rsidR="00701AAF" w:rsidRPr="00701AAF" w:rsidRDefault="00701AAF" w:rsidP="00701AAF">
            <w:pPr>
              <w:rPr>
                <w:rStyle w:val="AERtextsize8"/>
              </w:rPr>
            </w:pPr>
            <w:r>
              <w:t>This report did not specify whether the equity betas were raw or re-levered to a benchmark gearing.</w:t>
            </w:r>
          </w:p>
        </w:tc>
      </w:tr>
      <w:tr w:rsidR="00701AAF" w:rsidTr="004C5238">
        <w:tc>
          <w:tcPr>
            <w:tcW w:w="1809" w:type="dxa"/>
          </w:tcPr>
          <w:p w:rsidR="00701AAF" w:rsidRPr="00701AAF" w:rsidRDefault="00701AAF" w:rsidP="00701AAF">
            <w:pPr>
              <w:rPr>
                <w:rStyle w:val="AERtextsize8"/>
              </w:rPr>
            </w:pPr>
            <w:r>
              <w:t xml:space="preserve">PwC, </w:t>
            </w:r>
            <w:r w:rsidRPr="00701AAF">
              <w:rPr>
                <w:rStyle w:val="AERtextitalic"/>
              </w:rPr>
              <w:t>Appreciating Value New Zealand, Edition six</w:t>
            </w:r>
            <w:r w:rsidRPr="00701AAF">
              <w:t>, March 2015, p. 20 (See also: http://www.pwc.co.nz/appreciating-value/pwc-wacc-formula)</w:t>
            </w:r>
            <w:r w:rsidRPr="00701AAF">
              <w:rPr>
                <w:rStyle w:val="AERtextsize8"/>
              </w:rPr>
              <w:t xml:space="preserve"> </w:t>
            </w:r>
          </w:p>
        </w:tc>
        <w:tc>
          <w:tcPr>
            <w:tcW w:w="3969" w:type="dxa"/>
          </w:tcPr>
          <w:p w:rsidR="00701AAF" w:rsidRPr="00701AAF" w:rsidRDefault="00701AAF" w:rsidP="00701AAF">
            <w:pPr>
              <w:rPr>
                <w:rStyle w:val="AERtextsize8"/>
              </w:rPr>
            </w:pPr>
            <w:r w:rsidRPr="001738B6">
              <w:t>An annual report on the cost of capital (and equity beta) for a number of New Zealand companies classified by industry. The equity beta estimates are based on an average of monthly returns over (up to) five years</w:t>
            </w:r>
            <w:r w:rsidRPr="00701AAF">
              <w:t xml:space="preserve"> for two comparable firms (Horizon Energy Distribution Limited and Vector Limited). PwC's March 2015 report presents estimates as at 31 December 2014.</w:t>
            </w:r>
          </w:p>
        </w:tc>
        <w:tc>
          <w:tcPr>
            <w:tcW w:w="1418" w:type="dxa"/>
          </w:tcPr>
          <w:p w:rsidR="00701AAF" w:rsidRPr="00701AAF" w:rsidRDefault="00701AAF" w:rsidP="00701AAF">
            <w:pPr>
              <w:rPr>
                <w:rStyle w:val="AERtextsize8"/>
              </w:rPr>
            </w:pPr>
            <w:r w:rsidRPr="00217E7D">
              <w:t>0.6</w:t>
            </w:r>
            <w:r w:rsidRPr="00701AAF">
              <w:t>—average of individual form estimates</w:t>
            </w:r>
          </w:p>
        </w:tc>
        <w:tc>
          <w:tcPr>
            <w:tcW w:w="1497" w:type="dxa"/>
          </w:tcPr>
          <w:p w:rsidR="00701AAF" w:rsidRPr="00701AAF" w:rsidRDefault="00701AAF" w:rsidP="00701AAF">
            <w:pPr>
              <w:rPr>
                <w:rStyle w:val="AERtextsize8"/>
              </w:rPr>
            </w:pPr>
            <w:r>
              <w:t>0.8</w:t>
            </w:r>
            <w:r w:rsidRPr="00701AAF">
              <w:t>8—average of individual firm estimates*</w:t>
            </w:r>
          </w:p>
        </w:tc>
      </w:tr>
      <w:tr w:rsidR="00701AAF" w:rsidTr="004C5238">
        <w:trPr>
          <w:cnfStyle w:val="000000010000" w:firstRow="0" w:lastRow="0" w:firstColumn="0" w:lastColumn="0" w:oddVBand="0" w:evenVBand="0" w:oddHBand="0" w:evenHBand="1" w:firstRowFirstColumn="0" w:firstRowLastColumn="0" w:lastRowFirstColumn="0" w:lastRowLastColumn="0"/>
        </w:trPr>
        <w:tc>
          <w:tcPr>
            <w:tcW w:w="1809" w:type="dxa"/>
          </w:tcPr>
          <w:p w:rsidR="00701AAF" w:rsidRPr="00701AAF" w:rsidRDefault="00701AAF" w:rsidP="00701AAF">
            <w:pPr>
              <w:rPr>
                <w:rStyle w:val="AERtextsize8"/>
              </w:rPr>
            </w:pPr>
            <w:r>
              <w:t xml:space="preserve">The Brattle Group, </w:t>
            </w:r>
            <w:r w:rsidRPr="00701AAF">
              <w:rPr>
                <w:rStyle w:val="AERtextitalic"/>
              </w:rPr>
              <w:t>The WACC for the Dutch TSOs, DSOs, water companies and the Dutch pilotage organisation</w:t>
            </w:r>
            <w:r w:rsidRPr="00701AAF">
              <w:t>, March 2013, pp. 16–18</w:t>
            </w:r>
          </w:p>
        </w:tc>
        <w:tc>
          <w:tcPr>
            <w:tcW w:w="3969" w:type="dxa"/>
          </w:tcPr>
          <w:p w:rsidR="00701AAF" w:rsidRPr="00701AAF" w:rsidRDefault="00701AAF" w:rsidP="00701AAF">
            <w:pPr>
              <w:rPr>
                <w:rStyle w:val="AERtextsize8"/>
              </w:rPr>
            </w:pPr>
            <w:r>
              <w:t xml:space="preserve">This </w:t>
            </w:r>
            <w:r w:rsidRPr="00701AAF">
              <w:t>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sidRPr="00701AAF">
              <w:rPr>
                <w:rStyle w:val="FootnoteReference"/>
              </w:rPr>
              <w:footnoteReference w:id="1029"/>
            </w:r>
          </w:p>
        </w:tc>
        <w:tc>
          <w:tcPr>
            <w:tcW w:w="1418" w:type="dxa"/>
          </w:tcPr>
          <w:p w:rsidR="00701AAF" w:rsidRPr="00701AAF" w:rsidRDefault="00701AAF" w:rsidP="00701AAF">
            <w:r>
              <w:t>0.58</w:t>
            </w:r>
            <w:r w:rsidRPr="00701AAF">
              <w:t>—average of European individual firm estimates</w:t>
            </w:r>
          </w:p>
          <w:p w:rsidR="00701AAF" w:rsidRPr="00701AAF" w:rsidRDefault="00701AAF" w:rsidP="00701AAF">
            <w:r>
              <w:t>0.60</w:t>
            </w:r>
            <w:r w:rsidRPr="00701AAF">
              <w:t>—average of US individual firm estimates</w:t>
            </w:r>
          </w:p>
          <w:p w:rsidR="00701AAF" w:rsidRPr="00701AAF" w:rsidRDefault="00701AAF" w:rsidP="00701AAF">
            <w:pPr>
              <w:rPr>
                <w:rStyle w:val="AERtextsize8"/>
              </w:rPr>
            </w:pPr>
            <w:r>
              <w:t>0.5</w:t>
            </w:r>
            <w:r w:rsidRPr="00701AAF">
              <w:t>8—average of European and US individual firm estimates</w:t>
            </w:r>
          </w:p>
        </w:tc>
        <w:tc>
          <w:tcPr>
            <w:tcW w:w="1497" w:type="dxa"/>
          </w:tcPr>
          <w:p w:rsidR="00701AAF" w:rsidRPr="00701AAF" w:rsidRDefault="00701AAF" w:rsidP="00701AAF">
            <w:r>
              <w:t>0.71</w:t>
            </w:r>
            <w:r w:rsidRPr="00701AAF">
              <w:t>—average of European individual firm estimates*</w:t>
            </w:r>
          </w:p>
          <w:p w:rsidR="00701AAF" w:rsidRPr="00701AAF" w:rsidRDefault="00701AAF" w:rsidP="00701AAF">
            <w:r>
              <w:t>1.01</w:t>
            </w:r>
            <w:r w:rsidRPr="00701AAF">
              <w:t>—average of US individual firm estimates*</w:t>
            </w:r>
          </w:p>
          <w:p w:rsidR="00701AAF" w:rsidRPr="00701AAF" w:rsidRDefault="00701AAF" w:rsidP="00701AAF">
            <w:pPr>
              <w:rPr>
                <w:rStyle w:val="AERtextsize8"/>
              </w:rPr>
            </w:pPr>
            <w:r>
              <w:t>0.80</w:t>
            </w:r>
            <w:r w:rsidRPr="00701AAF">
              <w:t>—average of European and US individual firm estimates*</w:t>
            </w:r>
          </w:p>
        </w:tc>
      </w:tr>
      <w:tr w:rsidR="00701AAF" w:rsidTr="004C5238">
        <w:tc>
          <w:tcPr>
            <w:tcW w:w="1809" w:type="dxa"/>
          </w:tcPr>
          <w:p w:rsidR="00701AAF" w:rsidRPr="00900624" w:rsidRDefault="00701AAF" w:rsidP="00701AAF">
            <w:pPr>
              <w:rPr>
                <w:rStyle w:val="AERtextsize8"/>
              </w:rPr>
            </w:pPr>
          </w:p>
        </w:tc>
        <w:tc>
          <w:tcPr>
            <w:tcW w:w="3969" w:type="dxa"/>
          </w:tcPr>
          <w:p w:rsidR="00701AAF" w:rsidRDefault="00701AAF" w:rsidP="00701AAF">
            <w:pPr>
              <w:rPr>
                <w:rStyle w:val="AERtextsize8"/>
              </w:rPr>
            </w:pPr>
          </w:p>
        </w:tc>
        <w:tc>
          <w:tcPr>
            <w:tcW w:w="1418" w:type="dxa"/>
          </w:tcPr>
          <w:p w:rsidR="00701AAF" w:rsidRDefault="00701AAF" w:rsidP="00701AAF">
            <w:pPr>
              <w:rPr>
                <w:rStyle w:val="AERtextsize8"/>
              </w:rPr>
            </w:pPr>
          </w:p>
        </w:tc>
        <w:tc>
          <w:tcPr>
            <w:tcW w:w="1497" w:type="dxa"/>
          </w:tcPr>
          <w:p w:rsidR="00701AAF" w:rsidRDefault="00701AAF" w:rsidP="00701AAF">
            <w:pPr>
              <w:rPr>
                <w:rStyle w:val="AERtextsize8"/>
              </w:rPr>
            </w:pPr>
          </w:p>
        </w:tc>
      </w:tr>
    </w:tbl>
    <w:p w:rsidR="00701AAF" w:rsidRPr="0078508E" w:rsidRDefault="00701AAF" w:rsidP="00701AAF">
      <w:pPr>
        <w:pStyle w:val="AERtablesource"/>
        <w:numPr>
          <w:ilvl w:val="0"/>
          <w:numId w:val="24"/>
        </w:numPr>
      </w:pPr>
      <w:r>
        <w:t>Notes:</w:t>
      </w:r>
      <w:r>
        <w:tab/>
        <w:t>*</w:t>
      </w:r>
      <w:r>
        <w:tab/>
      </w:r>
      <w:r w:rsidRPr="0078508E">
        <w:t>We have de-levered and re-levered the</w:t>
      </w:r>
      <w:r>
        <w:t>se</w:t>
      </w:r>
      <w:r w:rsidRPr="0078508E">
        <w:t xml:space="preserve"> raw equity beta estimates</w:t>
      </w:r>
      <w:r>
        <w:t>.</w:t>
      </w:r>
    </w:p>
    <w:p w:rsidR="00701AAF" w:rsidRPr="00F87EA9" w:rsidRDefault="00701AAF" w:rsidP="00701AAF">
      <w:pPr>
        <w:pStyle w:val="Heading8"/>
      </w:pPr>
      <w:bookmarkStart w:id="241" w:name="_Ref446255536"/>
      <w:bookmarkStart w:id="242" w:name="_Toc451945511"/>
      <w:r>
        <w:t>Choice of comparator set</w:t>
      </w:r>
      <w:bookmarkEnd w:id="241"/>
      <w:bookmarkEnd w:id="242"/>
    </w:p>
    <w:p w:rsidR="00701AAF" w:rsidRDefault="00701AAF" w:rsidP="00701AAF">
      <w:pPr>
        <w:numPr>
          <w:ilvl w:val="0"/>
          <w:numId w:val="24"/>
        </w:numPr>
      </w:pPr>
      <w:r>
        <w:t>Since 2014, we have received numerous submissions from service providers (and their consultants) expressing concern over the reliability of Henry's (2014) equity beta estimates.</w:t>
      </w:r>
      <w:r>
        <w:rPr>
          <w:rStyle w:val="FootnoteReference"/>
        </w:rPr>
        <w:footnoteReference w:id="1030"/>
      </w:r>
      <w:r>
        <w:t xml:space="preserve"> These concerns flow from their view that our comparator set of Australian energy network firms is too small to produce reliable equity beta estimates. These service providers and their consultants submitted that:</w:t>
      </w:r>
    </w:p>
    <w:p w:rsidR="00701AAF" w:rsidRDefault="00701AAF" w:rsidP="00701AAF">
      <w:pPr>
        <w:pStyle w:val="AERbulletlistfirststyle"/>
      </w:pPr>
      <w:r>
        <w:t>equity beta estimates based on this comparator set are imprecise and unstable</w:t>
      </w:r>
    </w:p>
    <w:p w:rsidR="00701AAF" w:rsidRDefault="00701AAF" w:rsidP="00701AAF">
      <w:pPr>
        <w:pStyle w:val="AERbulletlistfirststyle"/>
      </w:pPr>
      <w:r>
        <w:t>the estimates could be improved by including international energy firms in the comparator set</w:t>
      </w:r>
    </w:p>
    <w:p w:rsidR="00701AAF" w:rsidRPr="00701AAF" w:rsidRDefault="00701AAF" w:rsidP="00701AAF">
      <w:pPr>
        <w:pStyle w:val="AERbulletlistfirststyle"/>
      </w:pPr>
      <w:r>
        <w:t>the estimates could be improved by including</w:t>
      </w:r>
      <w:r w:rsidRPr="00701AAF">
        <w:t xml:space="preserve"> Australian non-energy infrastructure firms in the comparator set—partly because they consider our comparator set should not be restricted to regulated energy network firms.</w:t>
      </w:r>
      <w:r w:rsidRPr="00701AAF">
        <w:rPr>
          <w:rStyle w:val="FootnoteReference"/>
        </w:rPr>
        <w:footnoteReference w:id="1031"/>
      </w:r>
    </w:p>
    <w:p w:rsidR="00701AAF" w:rsidRDefault="00701AAF" w:rsidP="00701AAF">
      <w:pPr>
        <w:numPr>
          <w:ilvl w:val="0"/>
          <w:numId w:val="24"/>
        </w:numPr>
      </w:pPr>
      <w:r>
        <w:t>We responded to many of these submissions in detail in our recent decisions.</w:t>
      </w:r>
      <w:r>
        <w:rPr>
          <w:rStyle w:val="FootnoteReference"/>
        </w:rPr>
        <w:footnoteReference w:id="1032"/>
      </w:r>
      <w:r>
        <w:t xml:space="preserve"> However, we reproduce our key conclusions in sections </w:t>
      </w:r>
      <w:r>
        <w:fldChar w:fldCharType="begin"/>
      </w:r>
      <w:r>
        <w:instrText xml:space="preserve"> REF _Ref446254453 \r \h </w:instrText>
      </w:r>
      <w:r>
        <w:fldChar w:fldCharType="separate"/>
      </w:r>
      <w:r w:rsidR="001A023B">
        <w:t>G.4.2</w:t>
      </w:r>
      <w:r>
        <w:fldChar w:fldCharType="end"/>
      </w:r>
      <w:r>
        <w:t xml:space="preserve">, </w:t>
      </w:r>
      <w:r>
        <w:fldChar w:fldCharType="begin"/>
      </w:r>
      <w:r>
        <w:instrText xml:space="preserve"> REF _Ref446254445 \r \h </w:instrText>
      </w:r>
      <w:r>
        <w:fldChar w:fldCharType="separate"/>
      </w:r>
      <w:r w:rsidR="001A023B">
        <w:t>G.4.3</w:t>
      </w:r>
      <w:r>
        <w:fldChar w:fldCharType="end"/>
      </w:r>
      <w:r>
        <w:t xml:space="preserve">, and </w:t>
      </w:r>
      <w:r>
        <w:fldChar w:fldCharType="begin"/>
      </w:r>
      <w:r>
        <w:instrText xml:space="preserve"> REF _Ref446254437 \r \h </w:instrText>
      </w:r>
      <w:r>
        <w:fldChar w:fldCharType="separate"/>
      </w:r>
      <w:r w:rsidR="001A023B">
        <w:t>G.4.4</w:t>
      </w:r>
      <w:r>
        <w:fldChar w:fldCharType="end"/>
      </w:r>
      <w:r>
        <w:t>, in response to new submissions and analysis.</w:t>
      </w:r>
    </w:p>
    <w:p w:rsidR="00701AAF" w:rsidRDefault="00701AAF" w:rsidP="00701AAF">
      <w:pPr>
        <w:numPr>
          <w:ilvl w:val="0"/>
          <w:numId w:val="24"/>
        </w:numPr>
      </w:pPr>
      <w:r>
        <w:t>Ultimately, we consider there is a trade-off between the increased statistical precision from a larger comparator set and the comparability of the firms in the comparator set to a benchmark efficient entity with a similar degree of risk as ActewAGL in providing regulated services.</w:t>
      </w:r>
      <w:r>
        <w:rPr>
          <w:rStyle w:val="FootnoteReference"/>
        </w:rPr>
        <w:footnoteReference w:id="1033"/>
      </w:r>
      <w:r>
        <w:t xml:space="preserve"> This necessarily requires a degree of regulatory judgement in determining a reasonable comparator set. We are satisfied, at this time, that our comparator set is sufficiently reflective of a benchmark efficient entity, given this trade-off. We are also satisfied, at this time, that our comparator set produces reliable equity beta estimates.</w:t>
      </w:r>
    </w:p>
    <w:p w:rsidR="00701AAF" w:rsidRPr="0006373F" w:rsidRDefault="00701AAF" w:rsidP="00701AAF">
      <w:pPr>
        <w:pStyle w:val="Heading9"/>
      </w:pPr>
      <w:bookmarkStart w:id="243" w:name="_Ref447740508"/>
      <w:r w:rsidRPr="0006373F">
        <w:t>Comparator set for Australian empirical analysis</w:t>
      </w:r>
      <w:bookmarkEnd w:id="243"/>
    </w:p>
    <w:p w:rsidR="00701AAF" w:rsidRPr="0048317B" w:rsidRDefault="00701AAF" w:rsidP="00701AAF">
      <w:pPr>
        <w:numPr>
          <w:ilvl w:val="0"/>
          <w:numId w:val="24"/>
        </w:numPr>
      </w:pPr>
      <w:r w:rsidRPr="0048317B">
        <w:t xml:space="preserve">We define </w:t>
      </w:r>
      <w:r>
        <w:t>a</w:t>
      </w:r>
      <w:r w:rsidRPr="0048317B">
        <w:t xml:space="preserve"> benchmark efficient entity </w:t>
      </w:r>
      <w:r>
        <w:t>with a similar degree of risk as ActewAGL in providing regulated services</w:t>
      </w:r>
      <w:r w:rsidRPr="0048317B">
        <w:t xml:space="preserve"> as 'a pure play, regulated energy network business operating within Australia'.</w:t>
      </w:r>
      <w:r>
        <w:rPr>
          <w:rStyle w:val="FootnoteReference"/>
        </w:rPr>
        <w:footnoteReference w:id="1034"/>
      </w:r>
      <w:r w:rsidRPr="0048317B">
        <w:t xml:space="preserve"> We would, ideally, use firms that share all or most of the key characteristics of th</w:t>
      </w:r>
      <w:r>
        <w:t>is</w:t>
      </w:r>
      <w:r w:rsidRPr="0048317B">
        <w:t xml:space="preserv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701AAF" w:rsidRDefault="00701AAF" w:rsidP="00701AAF">
      <w:pPr>
        <w:numPr>
          <w:ilvl w:val="0"/>
          <w:numId w:val="24"/>
        </w:numPr>
      </w:pPr>
      <w:r w:rsidRPr="0048317B">
        <w:t xml:space="preserve">In the </w:t>
      </w:r>
      <w:r>
        <w:t>G</w:t>
      </w:r>
      <w:r w:rsidRPr="0048317B">
        <w:t xml:space="preserve">uideline we identified nine firms that may be considered as reasonable comparators to </w:t>
      </w:r>
      <w:r>
        <w:t>a</w:t>
      </w:r>
      <w:r w:rsidRPr="0048317B">
        <w:t xml:space="preserve"> benchmark efficient entity</w:t>
      </w:r>
      <w:r>
        <w:t xml:space="preserve"> (as we have defined it)</w:t>
      </w:r>
      <w:r w:rsidRPr="0048317B">
        <w:t xml:space="preserve">, and these remain relevant. They are ASX listed firms that provide regulated electricity and/or gas network services </w:t>
      </w:r>
      <w:r>
        <w:t xml:space="preserve">and are </w:t>
      </w:r>
      <w:r w:rsidRPr="0048317B">
        <w:t xml:space="preserve">operating within Australia. </w:t>
      </w:r>
      <w:r>
        <w:fldChar w:fldCharType="begin"/>
      </w:r>
      <w:r>
        <w:instrText xml:space="preserve"> REF _Ref446240160 \h </w:instrText>
      </w:r>
      <w:r>
        <w:fldChar w:fldCharType="separate"/>
      </w:r>
      <w:r w:rsidR="001A023B">
        <w:t xml:space="preserve">Table </w:t>
      </w:r>
      <w:r w:rsidR="001A023B">
        <w:rPr>
          <w:noProof/>
        </w:rPr>
        <w:t>3</w:t>
      </w:r>
      <w:r w:rsidR="001A023B">
        <w:noBreakHyphen/>
      </w:r>
      <w:r w:rsidR="001A023B">
        <w:rPr>
          <w:noProof/>
        </w:rPr>
        <w:t>39</w:t>
      </w:r>
      <w:r>
        <w:fldChar w:fldCharType="end"/>
      </w:r>
      <w:r>
        <w:t xml:space="preserve"> </w:t>
      </w:r>
      <w:r w:rsidRPr="0048317B">
        <w:t>sets out the details of these nine firms.</w:t>
      </w:r>
      <w:r>
        <w:rPr>
          <w:rStyle w:val="FootnoteReference"/>
        </w:rPr>
        <w:footnoteReference w:id="1035"/>
      </w:r>
      <w:r w:rsidRPr="0048317B">
        <w:t xml:space="preserve"> </w:t>
      </w:r>
    </w:p>
    <w:p w:rsidR="00701AAF" w:rsidRDefault="00701AAF" w:rsidP="00701AAF">
      <w:pPr>
        <w:numPr>
          <w:ilvl w:val="0"/>
          <w:numId w:val="24"/>
        </w:numPr>
      </w:pPr>
      <w:r w:rsidRPr="0048317B">
        <w:t xml:space="preserve">It is important to note that three of these firms </w:t>
      </w:r>
      <w:r>
        <w:t>were</w:t>
      </w:r>
      <w:r w:rsidRPr="0048317B">
        <w:t xml:space="preserve"> no longer trading</w:t>
      </w:r>
      <w:r>
        <w:t xml:space="preserve"> by June 2013</w:t>
      </w:r>
      <w:r w:rsidRPr="0048317B">
        <w:t xml:space="preserve">. Another firm, AGL Energy Limited, has changed its operations such that it no longer closely represents </w:t>
      </w:r>
      <w:r>
        <w:t>a benchmark efficient entity</w:t>
      </w:r>
      <w:r w:rsidRPr="0048317B">
        <w:t>.</w:t>
      </w:r>
      <w:r w:rsidRPr="0048317B">
        <w:rPr>
          <w:rStyle w:val="FootnoteReference"/>
        </w:rPr>
        <w:footnoteReference w:id="1036"/>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1037"/>
      </w:r>
      <w:r w:rsidRPr="006558B8">
        <w:t xml:space="preserve"> </w:t>
      </w:r>
      <w:r>
        <w:t>We note that Envestra Ltd was delisted on 17 October 2014.</w:t>
      </w:r>
      <w:r>
        <w:rPr>
          <w:rStyle w:val="FootnoteReference"/>
        </w:rPr>
        <w:footnoteReference w:id="1038"/>
      </w:r>
      <w:r>
        <w:t xml:space="preserve"> </w:t>
      </w:r>
    </w:p>
    <w:p w:rsidR="00701AAF" w:rsidRDefault="00701AAF" w:rsidP="00701AAF">
      <w:pPr>
        <w:pStyle w:val="Caption"/>
      </w:pPr>
      <w:bookmarkStart w:id="244" w:name="_Ref446240160"/>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39</w:t>
      </w:r>
      <w:r w:rsidR="00120312">
        <w:rPr>
          <w:noProof/>
        </w:rPr>
        <w:fldChar w:fldCharType="end"/>
      </w:r>
      <w:bookmarkEnd w:id="244"/>
      <w:r>
        <w:tab/>
        <w:t>Listed</w:t>
      </w:r>
      <w:r w:rsidRPr="009F0E1B">
        <w:t xml:space="preserve"> entities providing regulated electricity and gas network services operating in Australia</w:t>
      </w:r>
    </w:p>
    <w:tbl>
      <w:tblPr>
        <w:tblStyle w:val="AERtable-text0"/>
        <w:tblW w:w="8613" w:type="dxa"/>
        <w:tblLayout w:type="fixed"/>
        <w:tblLook w:val="04A0" w:firstRow="1" w:lastRow="0" w:firstColumn="1" w:lastColumn="0" w:noHBand="0" w:noVBand="1"/>
      </w:tblPr>
      <w:tblGrid>
        <w:gridCol w:w="4077"/>
        <w:gridCol w:w="2835"/>
        <w:gridCol w:w="1701"/>
      </w:tblGrid>
      <w:tr w:rsidR="00701AAF" w:rsidTr="004C5238">
        <w:trPr>
          <w:cnfStyle w:val="100000000000" w:firstRow="1" w:lastRow="0" w:firstColumn="0" w:lastColumn="0" w:oddVBand="0" w:evenVBand="0" w:oddHBand="0" w:evenHBand="0" w:firstRowFirstColumn="0" w:firstRowLastColumn="0" w:lastRowFirstColumn="0" w:lastRowLastColumn="0"/>
        </w:trPr>
        <w:tc>
          <w:tcPr>
            <w:tcW w:w="4077" w:type="dxa"/>
          </w:tcPr>
          <w:p w:rsidR="00701AAF" w:rsidRPr="00701AAF" w:rsidRDefault="00701AAF" w:rsidP="00701AAF">
            <w:r>
              <w:t>Firm (ASX ticker)</w:t>
            </w:r>
          </w:p>
        </w:tc>
        <w:tc>
          <w:tcPr>
            <w:tcW w:w="2835" w:type="dxa"/>
          </w:tcPr>
          <w:p w:rsidR="00701AAF" w:rsidRPr="00701AAF" w:rsidRDefault="00701AAF" w:rsidP="00701AAF">
            <w:r>
              <w:t>Time / trading period</w:t>
            </w:r>
          </w:p>
        </w:tc>
        <w:tc>
          <w:tcPr>
            <w:tcW w:w="1701" w:type="dxa"/>
          </w:tcPr>
          <w:p w:rsidR="00701AAF" w:rsidRPr="00701AAF" w:rsidRDefault="00701AAF" w:rsidP="00701AAF">
            <w:r>
              <w:t>Sectors</w:t>
            </w:r>
          </w:p>
        </w:tc>
      </w:tr>
      <w:tr w:rsidR="00701AAF" w:rsidTr="004C5238">
        <w:tc>
          <w:tcPr>
            <w:tcW w:w="4077" w:type="dxa"/>
          </w:tcPr>
          <w:p w:rsidR="00701AAF" w:rsidRPr="00701AAF" w:rsidRDefault="00701AAF" w:rsidP="00701AAF">
            <w:pPr>
              <w:rPr>
                <w:rStyle w:val="AERtextsize8"/>
              </w:rPr>
            </w:pPr>
            <w:r w:rsidRPr="0047344A">
              <w:t>AGL</w:t>
            </w:r>
            <w:r w:rsidRPr="00701AAF">
              <w:t xml:space="preserve"> Energy Limited (AGK)</w:t>
            </w:r>
          </w:p>
        </w:tc>
        <w:tc>
          <w:tcPr>
            <w:tcW w:w="2835" w:type="dxa"/>
          </w:tcPr>
          <w:p w:rsidR="00701AAF" w:rsidRPr="00701AAF" w:rsidRDefault="00701AAF" w:rsidP="00701AAF">
            <w:pPr>
              <w:rPr>
                <w:rStyle w:val="AERtextsize8"/>
              </w:rPr>
            </w:pPr>
            <w:r w:rsidRPr="0047344A">
              <w:t xml:space="preserve">January 1990 – October 2006 </w:t>
            </w:r>
          </w:p>
        </w:tc>
        <w:tc>
          <w:tcPr>
            <w:tcW w:w="1701" w:type="dxa"/>
          </w:tcPr>
          <w:p w:rsidR="00701AAF" w:rsidRPr="00701AAF" w:rsidRDefault="00701AAF" w:rsidP="00701AAF">
            <w:r>
              <w:t>Electricity</w:t>
            </w:r>
            <w:r w:rsidRPr="00701AAF">
              <w:t xml:space="preserve">, Gas </w:t>
            </w:r>
          </w:p>
        </w:tc>
      </w:tr>
      <w:tr w:rsidR="00701AAF" w:rsidTr="004C5238">
        <w:trPr>
          <w:cnfStyle w:val="000000010000" w:firstRow="0" w:lastRow="0" w:firstColumn="0" w:lastColumn="0" w:oddVBand="0" w:evenVBand="0" w:oddHBand="0" w:evenHBand="1" w:firstRowFirstColumn="0" w:firstRowLastColumn="0" w:lastRowFirstColumn="0" w:lastRowLastColumn="0"/>
        </w:trPr>
        <w:tc>
          <w:tcPr>
            <w:tcW w:w="4077" w:type="dxa"/>
          </w:tcPr>
          <w:p w:rsidR="00701AAF" w:rsidRPr="00701AAF" w:rsidRDefault="00701AAF" w:rsidP="00701AAF">
            <w:pPr>
              <w:rPr>
                <w:rStyle w:val="AERtextsize8"/>
              </w:rPr>
            </w:pPr>
            <w:r w:rsidRPr="0047344A">
              <w:t>Alinta (AAN)</w:t>
            </w:r>
          </w:p>
        </w:tc>
        <w:tc>
          <w:tcPr>
            <w:tcW w:w="2835" w:type="dxa"/>
          </w:tcPr>
          <w:p w:rsidR="00701AAF" w:rsidRPr="00701AAF" w:rsidRDefault="00701AAF" w:rsidP="00701AAF">
            <w:pPr>
              <w:rPr>
                <w:rStyle w:val="AERtextsize8"/>
              </w:rPr>
            </w:pPr>
            <w:r w:rsidRPr="0047344A">
              <w:t xml:space="preserve">October 2000 – </w:t>
            </w:r>
            <w:r w:rsidRPr="00701AAF">
              <w:t>August 2007</w:t>
            </w:r>
          </w:p>
        </w:tc>
        <w:tc>
          <w:tcPr>
            <w:tcW w:w="1701" w:type="dxa"/>
          </w:tcPr>
          <w:p w:rsidR="00701AAF" w:rsidRPr="00701AAF" w:rsidRDefault="00701AAF" w:rsidP="00701AAF">
            <w:r w:rsidRPr="0047344A">
              <w:t xml:space="preserve">Gas </w:t>
            </w:r>
          </w:p>
        </w:tc>
      </w:tr>
      <w:tr w:rsidR="00701AAF" w:rsidTr="004C5238">
        <w:tc>
          <w:tcPr>
            <w:tcW w:w="4077" w:type="dxa"/>
          </w:tcPr>
          <w:p w:rsidR="00701AAF" w:rsidRPr="00701AAF" w:rsidRDefault="00701AAF" w:rsidP="00701AAF">
            <w:pPr>
              <w:rPr>
                <w:rStyle w:val="AERtextsize8"/>
              </w:rPr>
            </w:pPr>
            <w:r>
              <w:t>APA Group</w:t>
            </w:r>
            <w:r w:rsidRPr="00701AAF">
              <w:t xml:space="preserve"> (APA)</w:t>
            </w:r>
          </w:p>
        </w:tc>
        <w:tc>
          <w:tcPr>
            <w:tcW w:w="2835" w:type="dxa"/>
          </w:tcPr>
          <w:p w:rsidR="00701AAF" w:rsidRPr="00701AAF" w:rsidRDefault="00701AAF" w:rsidP="00701AAF">
            <w:pPr>
              <w:rPr>
                <w:rStyle w:val="AERtextsize8"/>
              </w:rPr>
            </w:pPr>
            <w:r w:rsidRPr="0047344A">
              <w:t xml:space="preserve">June </w:t>
            </w:r>
            <w:r w:rsidRPr="00701AAF">
              <w:t>2000 – present</w:t>
            </w:r>
          </w:p>
        </w:tc>
        <w:tc>
          <w:tcPr>
            <w:tcW w:w="1701" w:type="dxa"/>
          </w:tcPr>
          <w:p w:rsidR="00701AAF" w:rsidRPr="00701AAF" w:rsidRDefault="00701AAF" w:rsidP="00701AAF">
            <w:r>
              <w:t>Gas</w:t>
            </w:r>
            <w:r w:rsidRPr="00701AAF">
              <w:t>, Minority interest in other energy infrastructure</w:t>
            </w:r>
          </w:p>
        </w:tc>
      </w:tr>
      <w:tr w:rsidR="00701AAF" w:rsidTr="004C5238">
        <w:trPr>
          <w:cnfStyle w:val="000000010000" w:firstRow="0" w:lastRow="0" w:firstColumn="0" w:lastColumn="0" w:oddVBand="0" w:evenVBand="0" w:oddHBand="0" w:evenHBand="1" w:firstRowFirstColumn="0" w:firstRowLastColumn="0" w:lastRowFirstColumn="0" w:lastRowLastColumn="0"/>
        </w:trPr>
        <w:tc>
          <w:tcPr>
            <w:tcW w:w="4077" w:type="dxa"/>
          </w:tcPr>
          <w:p w:rsidR="00701AAF" w:rsidRPr="00701AAF" w:rsidRDefault="00701AAF" w:rsidP="00701AAF">
            <w:pPr>
              <w:rPr>
                <w:rStyle w:val="AERtextsize8"/>
              </w:rPr>
            </w:pPr>
            <w:r w:rsidRPr="0047344A">
              <w:t>DUET Group (DUE)</w:t>
            </w:r>
          </w:p>
        </w:tc>
        <w:tc>
          <w:tcPr>
            <w:tcW w:w="2835" w:type="dxa"/>
          </w:tcPr>
          <w:p w:rsidR="00701AAF" w:rsidRPr="00701AAF" w:rsidRDefault="00701AAF" w:rsidP="00701AAF">
            <w:pPr>
              <w:rPr>
                <w:rStyle w:val="AERtextsize8"/>
              </w:rPr>
            </w:pPr>
            <w:r w:rsidRPr="0047344A">
              <w:t>August 2004</w:t>
            </w:r>
            <w:r w:rsidRPr="00701AAF">
              <w:t xml:space="preserve"> – present</w:t>
            </w:r>
          </w:p>
        </w:tc>
        <w:tc>
          <w:tcPr>
            <w:tcW w:w="1701" w:type="dxa"/>
          </w:tcPr>
          <w:p w:rsidR="00701AAF" w:rsidRPr="00701AAF" w:rsidRDefault="00701AAF" w:rsidP="00701AAF">
            <w:r>
              <w:t>Electricity</w:t>
            </w:r>
            <w:r w:rsidRPr="00701AAF">
              <w:t xml:space="preserve">, Gas </w:t>
            </w:r>
          </w:p>
        </w:tc>
      </w:tr>
      <w:tr w:rsidR="00701AAF" w:rsidTr="004C5238">
        <w:tc>
          <w:tcPr>
            <w:tcW w:w="4077" w:type="dxa"/>
          </w:tcPr>
          <w:p w:rsidR="00701AAF" w:rsidRPr="00701AAF" w:rsidRDefault="00701AAF" w:rsidP="00701AAF">
            <w:pPr>
              <w:rPr>
                <w:rStyle w:val="AERtextsize8"/>
              </w:rPr>
            </w:pPr>
            <w:r w:rsidRPr="0047344A">
              <w:t>Envestra Ltd. (ENV)</w:t>
            </w:r>
          </w:p>
        </w:tc>
        <w:tc>
          <w:tcPr>
            <w:tcW w:w="2835" w:type="dxa"/>
          </w:tcPr>
          <w:p w:rsidR="00701AAF" w:rsidRPr="00701AAF" w:rsidRDefault="00701AAF" w:rsidP="00701AAF">
            <w:pPr>
              <w:rPr>
                <w:rStyle w:val="AERtextsize8"/>
              </w:rPr>
            </w:pPr>
            <w:r w:rsidRPr="0047344A">
              <w:t xml:space="preserve">August 1997 – </w:t>
            </w:r>
            <w:r w:rsidRPr="00701AAF">
              <w:t>October 2014</w:t>
            </w:r>
          </w:p>
        </w:tc>
        <w:tc>
          <w:tcPr>
            <w:tcW w:w="1701" w:type="dxa"/>
          </w:tcPr>
          <w:p w:rsidR="00701AAF" w:rsidRPr="00701AAF" w:rsidRDefault="00701AAF" w:rsidP="00701AAF">
            <w:r w:rsidRPr="0047344A">
              <w:t xml:space="preserve">Gas </w:t>
            </w:r>
          </w:p>
        </w:tc>
      </w:tr>
      <w:tr w:rsidR="00701AAF" w:rsidTr="004C5238">
        <w:trPr>
          <w:cnfStyle w:val="000000010000" w:firstRow="0" w:lastRow="0" w:firstColumn="0" w:lastColumn="0" w:oddVBand="0" w:evenVBand="0" w:oddHBand="0" w:evenHBand="1" w:firstRowFirstColumn="0" w:firstRowLastColumn="0" w:lastRowFirstColumn="0" w:lastRowLastColumn="0"/>
        </w:trPr>
        <w:tc>
          <w:tcPr>
            <w:tcW w:w="4077" w:type="dxa"/>
          </w:tcPr>
          <w:p w:rsidR="00701AAF" w:rsidRPr="00701AAF" w:rsidRDefault="00701AAF" w:rsidP="00701AAF">
            <w:pPr>
              <w:rPr>
                <w:rStyle w:val="AERtextsize8"/>
              </w:rPr>
            </w:pPr>
            <w:r w:rsidRPr="0047344A">
              <w:t>GasNet (GAS)</w:t>
            </w:r>
          </w:p>
        </w:tc>
        <w:tc>
          <w:tcPr>
            <w:tcW w:w="2835" w:type="dxa"/>
          </w:tcPr>
          <w:p w:rsidR="00701AAF" w:rsidRPr="00701AAF" w:rsidRDefault="00701AAF" w:rsidP="00701AAF">
            <w:pPr>
              <w:rPr>
                <w:rStyle w:val="AERtextsize8"/>
              </w:rPr>
            </w:pPr>
            <w:r w:rsidRPr="0047344A">
              <w:t xml:space="preserve">December 2001 – November </w:t>
            </w:r>
            <w:r w:rsidRPr="00701AAF">
              <w:t>2006</w:t>
            </w:r>
          </w:p>
        </w:tc>
        <w:tc>
          <w:tcPr>
            <w:tcW w:w="1701" w:type="dxa"/>
          </w:tcPr>
          <w:p w:rsidR="00701AAF" w:rsidRPr="00701AAF" w:rsidRDefault="00701AAF" w:rsidP="00701AAF">
            <w:r w:rsidRPr="0047344A">
              <w:t xml:space="preserve">Gas </w:t>
            </w:r>
          </w:p>
        </w:tc>
      </w:tr>
      <w:tr w:rsidR="00701AAF" w:rsidTr="004C5238">
        <w:tc>
          <w:tcPr>
            <w:tcW w:w="4077" w:type="dxa"/>
          </w:tcPr>
          <w:p w:rsidR="00701AAF" w:rsidRPr="00701AAF" w:rsidRDefault="00701AAF" w:rsidP="00701AAF">
            <w:pPr>
              <w:rPr>
                <w:rStyle w:val="AERtextsize8"/>
              </w:rPr>
            </w:pPr>
            <w:r w:rsidRPr="0047344A">
              <w:t xml:space="preserve">Hastings </w:t>
            </w:r>
            <w:r w:rsidRPr="00701AAF">
              <w:t>Diversified Utilities Fund (HDF)</w:t>
            </w:r>
          </w:p>
        </w:tc>
        <w:tc>
          <w:tcPr>
            <w:tcW w:w="2835" w:type="dxa"/>
          </w:tcPr>
          <w:p w:rsidR="00701AAF" w:rsidRPr="00701AAF" w:rsidRDefault="00701AAF" w:rsidP="00701AAF">
            <w:pPr>
              <w:rPr>
                <w:rStyle w:val="AERtextsize8"/>
              </w:rPr>
            </w:pPr>
            <w:r w:rsidRPr="0047344A">
              <w:t xml:space="preserve">December </w:t>
            </w:r>
            <w:r w:rsidRPr="00701AAF">
              <w:t>2004– November 2012</w:t>
            </w:r>
          </w:p>
        </w:tc>
        <w:tc>
          <w:tcPr>
            <w:tcW w:w="1701" w:type="dxa"/>
          </w:tcPr>
          <w:p w:rsidR="00701AAF" w:rsidRPr="00701AAF" w:rsidRDefault="00701AAF" w:rsidP="00701AAF">
            <w:r w:rsidRPr="0047344A">
              <w:t>Gas</w:t>
            </w:r>
          </w:p>
        </w:tc>
      </w:tr>
      <w:tr w:rsidR="00701AAF" w:rsidTr="004C5238">
        <w:trPr>
          <w:cnfStyle w:val="000000010000" w:firstRow="0" w:lastRow="0" w:firstColumn="0" w:lastColumn="0" w:oddVBand="0" w:evenVBand="0" w:oddHBand="0" w:evenHBand="1" w:firstRowFirstColumn="0" w:firstRowLastColumn="0" w:lastRowFirstColumn="0" w:lastRowLastColumn="0"/>
        </w:trPr>
        <w:tc>
          <w:tcPr>
            <w:tcW w:w="4077" w:type="dxa"/>
          </w:tcPr>
          <w:p w:rsidR="00701AAF" w:rsidRPr="00701AAF" w:rsidRDefault="00701AAF" w:rsidP="00701AAF">
            <w:pPr>
              <w:rPr>
                <w:rStyle w:val="AERtextsize8"/>
              </w:rPr>
            </w:pPr>
            <w:r w:rsidRPr="0047344A">
              <w:t>Spark Infrastructure Group (SKI)</w:t>
            </w:r>
          </w:p>
        </w:tc>
        <w:tc>
          <w:tcPr>
            <w:tcW w:w="2835" w:type="dxa"/>
          </w:tcPr>
          <w:p w:rsidR="00701AAF" w:rsidRPr="00701AAF" w:rsidRDefault="00701AAF" w:rsidP="00701AAF">
            <w:pPr>
              <w:rPr>
                <w:rStyle w:val="AERtextsize8"/>
              </w:rPr>
            </w:pPr>
            <w:r w:rsidRPr="0047344A">
              <w:t>March 2007</w:t>
            </w:r>
            <w:r w:rsidRPr="00701AAF">
              <w:rPr>
                <w:rStyle w:val="FootnoteReference"/>
              </w:rPr>
              <w:footnoteReference w:id="1039"/>
            </w:r>
            <w:r w:rsidRPr="00701AAF">
              <w:t xml:space="preserve"> – present</w:t>
            </w:r>
          </w:p>
        </w:tc>
        <w:tc>
          <w:tcPr>
            <w:tcW w:w="1701" w:type="dxa"/>
          </w:tcPr>
          <w:p w:rsidR="00701AAF" w:rsidRPr="00701AAF" w:rsidRDefault="00701AAF" w:rsidP="00701AAF">
            <w:r>
              <w:t>Electricity</w:t>
            </w:r>
            <w:r w:rsidRPr="00701AAF">
              <w:t xml:space="preserve">, Gas </w:t>
            </w:r>
          </w:p>
        </w:tc>
      </w:tr>
      <w:tr w:rsidR="00701AAF" w:rsidTr="004C5238">
        <w:tc>
          <w:tcPr>
            <w:tcW w:w="4077" w:type="dxa"/>
          </w:tcPr>
          <w:p w:rsidR="00701AAF" w:rsidRPr="00701AAF" w:rsidRDefault="00701AAF" w:rsidP="00701AAF">
            <w:pPr>
              <w:rPr>
                <w:rStyle w:val="AERtextsize8"/>
              </w:rPr>
            </w:pPr>
            <w:r>
              <w:t xml:space="preserve">AusNet Services (AST), formerly </w:t>
            </w:r>
            <w:r w:rsidRPr="00701AAF">
              <w:t>SP AusNet (SPN)</w:t>
            </w:r>
          </w:p>
        </w:tc>
        <w:tc>
          <w:tcPr>
            <w:tcW w:w="2835" w:type="dxa"/>
          </w:tcPr>
          <w:p w:rsidR="00701AAF" w:rsidRPr="00701AAF" w:rsidRDefault="00701AAF" w:rsidP="00701AAF">
            <w:pPr>
              <w:rPr>
                <w:rStyle w:val="AERtextsize8"/>
              </w:rPr>
            </w:pPr>
            <w:r w:rsidRPr="0047344A">
              <w:t>December 2005 – present</w:t>
            </w:r>
          </w:p>
        </w:tc>
        <w:tc>
          <w:tcPr>
            <w:tcW w:w="1701" w:type="dxa"/>
          </w:tcPr>
          <w:p w:rsidR="00701AAF" w:rsidRPr="00701AAF" w:rsidRDefault="00701AAF" w:rsidP="00701AAF">
            <w:r>
              <w:t>Electricity</w:t>
            </w:r>
            <w:r w:rsidRPr="00701AAF">
              <w:t xml:space="preserve">, Gas </w:t>
            </w:r>
          </w:p>
        </w:tc>
      </w:tr>
    </w:tbl>
    <w:p w:rsidR="00701AAF" w:rsidRPr="0048317B" w:rsidRDefault="00701AAF" w:rsidP="00701AAF">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701AAF" w:rsidRDefault="00701AAF" w:rsidP="00701AAF">
      <w:pPr>
        <w:numPr>
          <w:ilvl w:val="0"/>
          <w:numId w:val="24"/>
        </w:numPr>
      </w:pPr>
      <w:r>
        <w:t xml:space="preserve">While we consider the firms in </w:t>
      </w:r>
      <w:r>
        <w:fldChar w:fldCharType="begin"/>
      </w:r>
      <w:r>
        <w:instrText xml:space="preserve"> REF  _Ref446240160 \* Lower \h </w:instrText>
      </w:r>
      <w:r>
        <w:fldChar w:fldCharType="separate"/>
      </w:r>
      <w:r w:rsidR="001A023B">
        <w:t xml:space="preserve">table </w:t>
      </w:r>
      <w:r w:rsidR="001A023B">
        <w:rPr>
          <w:noProof/>
        </w:rPr>
        <w:t>3</w:t>
      </w:r>
      <w:r w:rsidR="001A023B">
        <w:noBreakHyphen/>
      </w:r>
      <w:r w:rsidR="001A023B">
        <w:rPr>
          <w:noProof/>
        </w:rPr>
        <w:t>39</w:t>
      </w:r>
      <w:r>
        <w:fldChar w:fldCharType="end"/>
      </w:r>
      <w:r>
        <w:t xml:space="preserve"> are reasonably comparable to a</w:t>
      </w:r>
      <w:r w:rsidRPr="009E5AA0">
        <w:t xml:space="preserve"> benchmark efficient entity</w:t>
      </w:r>
      <w:r>
        <w:t xml:space="preserve"> with a similar degree of risk as ActewAGL in providing regulated services</w:t>
      </w:r>
      <w:r w:rsidRPr="009E5AA0">
        <w:t xml:space="preserve">, they </w:t>
      </w:r>
      <w:r>
        <w:t xml:space="preserve">differ to some degree as they </w:t>
      </w:r>
      <w:r w:rsidRPr="009E5AA0">
        <w:t>provide</w:t>
      </w:r>
      <w:r>
        <w:t xml:space="preserve"> some</w:t>
      </w:r>
      <w:r w:rsidRPr="009E5AA0">
        <w:t xml:space="preserve"> non</w:t>
      </w:r>
      <w:r>
        <w:t>–</w:t>
      </w:r>
      <w:r w:rsidRPr="009E5AA0">
        <w:t>regulated electricity and/or gas services</w:t>
      </w:r>
      <w:r>
        <w:t xml:space="preserve"> and this may affect their risk profile</w:t>
      </w:r>
      <w:r w:rsidRPr="009E5AA0">
        <w:t xml:space="preserve">. </w:t>
      </w:r>
      <w:r>
        <w:t>Examples of this include:</w:t>
      </w:r>
    </w:p>
    <w:p w:rsidR="00701AAF" w:rsidRPr="00701AAF" w:rsidRDefault="00701AAF" w:rsidP="00701AAF">
      <w:pPr>
        <w:pStyle w:val="AERbulletlistfirststyle"/>
      </w:pPr>
      <w:r>
        <w:t>Approximately 21 per cent of APA Group's revenue in the 2015 financial year (excluding pass–through revenue) was subject to prices determined under full regulation. APA generates a large part of the remaining 79 per cent of its revenue from contracts which have set terms, including negotiated pricing for the life of the contract.</w:t>
      </w:r>
      <w:r w:rsidRPr="00701AAF">
        <w:rPr>
          <w:rStyle w:val="FootnoteReference"/>
        </w:rPr>
        <w:footnoteReference w:id="1040"/>
      </w:r>
    </w:p>
    <w:p w:rsidR="00701AAF" w:rsidRPr="00701AAF" w:rsidRDefault="00701AAF" w:rsidP="00701AAF">
      <w:pPr>
        <w:pStyle w:val="AERbulletlistfirststyle"/>
      </w:pPr>
      <w:r>
        <w:t>DUET</w:t>
      </w:r>
      <w:r w:rsidRPr="00701AAF">
        <w:t xml:space="preserve"> Group's assets receive limited unregulated revenue—Dampier Bunbury Pipeline (4 per cent unregulated), United Energy (8 per cent unregulated), Multinet Gas (5 per cent unregulated) in the 2015 financial year.</w:t>
      </w:r>
      <w:r w:rsidRPr="00701AAF">
        <w:rPr>
          <w:rStyle w:val="FootnoteReference"/>
        </w:rPr>
        <w:footnoteReference w:id="1041"/>
      </w:r>
    </w:p>
    <w:p w:rsidR="00701AAF" w:rsidRPr="00701AAF" w:rsidRDefault="00701AAF" w:rsidP="00701AAF">
      <w:pPr>
        <w:pStyle w:val="AERbulletlistfirststyle"/>
      </w:pPr>
      <w:r>
        <w:t>Approximately 86 per cent of AusNet Services' revenues are regulated, as at</w:t>
      </w:r>
      <w:r w:rsidRPr="00701AAF">
        <w:t xml:space="preserve"> 29 May 2015.</w:t>
      </w:r>
      <w:r w:rsidRPr="00701AAF">
        <w:rPr>
          <w:rStyle w:val="FootnoteReference"/>
        </w:rPr>
        <w:footnoteReference w:id="1042"/>
      </w:r>
    </w:p>
    <w:p w:rsidR="00701AAF" w:rsidRPr="00701AAF" w:rsidRDefault="00701AAF" w:rsidP="00701AAF">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701AAF">
        <w:rPr>
          <w:rStyle w:val="FootnoteReference"/>
        </w:rPr>
        <w:footnoteReference w:id="1043"/>
      </w:r>
      <w:r w:rsidRPr="00701AAF">
        <w:t xml:space="preserve"> </w:t>
      </w:r>
    </w:p>
    <w:p w:rsidR="00701AAF" w:rsidRPr="00701AAF" w:rsidRDefault="00701AAF" w:rsidP="00701AAF">
      <w:pPr>
        <w:pStyle w:val="AERbulletlistfirststyle"/>
      </w:pPr>
      <w:r>
        <w:t xml:space="preserve">While GasNet earned the majority of its revenue from </w:t>
      </w:r>
      <w:r w:rsidRPr="00701AAF">
        <w:t>tariffs charged on its regulated assets, a contribution to its earnings for the 2005 financial year was also provided by specialised engineering and project management services.</w:t>
      </w:r>
      <w:r w:rsidRPr="00701AAF">
        <w:rPr>
          <w:rStyle w:val="FootnoteReference"/>
        </w:rPr>
        <w:footnoteReference w:id="1044"/>
      </w:r>
    </w:p>
    <w:p w:rsidR="00701AAF" w:rsidRDefault="00701AAF" w:rsidP="00701AAF">
      <w:pPr>
        <w:numPr>
          <w:ilvl w:val="0"/>
          <w:numId w:val="24"/>
        </w:numPr>
      </w:pPr>
      <w:r w:rsidRPr="00E6101A">
        <w:t xml:space="preserve">Generally, with the exception of </w:t>
      </w:r>
      <w:r>
        <w:t>APA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t xml:space="preserve"> and reflect an entity that has a similar degree of risk in the provision of regulated services as ActewAGL</w:t>
      </w:r>
      <w:r w:rsidRPr="00E6101A">
        <w:t>.</w:t>
      </w:r>
      <w:r>
        <w:rPr>
          <w:rStyle w:val="FootnoteReference"/>
        </w:rPr>
        <w:footnoteReference w:id="1045"/>
      </w:r>
      <w:r>
        <w:t xml:space="preserve"> If unregulated activities were to have a non–minor impact on the comparator firms' equity beta estimates, we consider it would</w:t>
      </w:r>
      <w:r w:rsidRPr="00D74EDB">
        <w:t xml:space="preserve"> </w:t>
      </w:r>
      <w:r>
        <w:t>more likely overstate than understate the 'true' equity beta because unregulated activities are likely to result in greater systematic risk for the firm.</w:t>
      </w:r>
      <w:r>
        <w:rPr>
          <w:rStyle w:val="FootnoteReference"/>
        </w:rPr>
        <w:footnoteReference w:id="1046"/>
      </w:r>
    </w:p>
    <w:p w:rsidR="00701AAF" w:rsidRPr="00D332F8" w:rsidRDefault="00701AAF" w:rsidP="00701AAF">
      <w:pPr>
        <w:pStyle w:val="Heading9"/>
      </w:pPr>
      <w:bookmarkStart w:id="245" w:name="_Ref446254453"/>
      <w:r>
        <w:t>Precision and stability of Australian empirical estimates</w:t>
      </w:r>
      <w:bookmarkEnd w:id="245"/>
    </w:p>
    <w:p w:rsidR="00701AAF" w:rsidRDefault="00701AAF" w:rsidP="00701AAF">
      <w:pPr>
        <w:numPr>
          <w:ilvl w:val="0"/>
          <w:numId w:val="24"/>
        </w:numPr>
      </w:pPr>
      <w:r>
        <w:t>We do not consider our empirical equity beta estimates of listed Australian energy businesses are unreliable. The service providers' consultants appear to have taken a narrow definition of what is reliable in this context. They measure reliability by considering precision and stability of equity beta estimates over time.</w:t>
      </w:r>
      <w:r>
        <w:rPr>
          <w:rStyle w:val="FootnoteReference"/>
        </w:rPr>
        <w:footnoteReference w:id="1047"/>
      </w:r>
      <w:r>
        <w:t xml:space="preserve"> They find that these statistical properties improve as the comparator set increases.</w:t>
      </w:r>
      <w:r>
        <w:rPr>
          <w:rStyle w:val="FootnoteReference"/>
        </w:rPr>
        <w:footnoteReference w:id="1048"/>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such cases, t</w:t>
      </w:r>
      <w:r w:rsidRPr="00A97AB8">
        <w:t xml:space="preserve">he mean </w:t>
      </w:r>
      <w:r>
        <w:t xml:space="preserve">that </w:t>
      </w:r>
      <w:r w:rsidRPr="00A97AB8">
        <w:t xml:space="preserve">the estimates </w:t>
      </w:r>
      <w:r>
        <w:t>are clustered around will be less</w:t>
      </w:r>
      <w:r w:rsidRPr="00A97AB8">
        <w:t xml:space="preserve"> representative of the 'true' </w:t>
      </w:r>
      <w:r>
        <w:t xml:space="preserve">equity </w:t>
      </w:r>
      <w:r w:rsidRPr="00A97AB8">
        <w:t xml:space="preserve">beta </w:t>
      </w:r>
      <w:r>
        <w:t>(that is, biased). We do not consider this constitutes reliability. We agree with Associate Professor Graham Partington and Professor Stephen Satchell's (Partington and Satchell's) statement that, '</w:t>
      </w:r>
      <w:r w:rsidRPr="00E33D70">
        <w:t>The critical issue is how appropriate are the additional firms selected as comparators and how much improvement is obtained</w:t>
      </w:r>
      <w:r>
        <w:t>'.</w:t>
      </w:r>
      <w:r>
        <w:rPr>
          <w:rStyle w:val="FootnoteReference"/>
        </w:rPr>
        <w:footnoteReference w:id="1049"/>
      </w:r>
    </w:p>
    <w:p w:rsidR="00701AAF" w:rsidRDefault="00701AAF" w:rsidP="00701AAF">
      <w:pPr>
        <w:numPr>
          <w:ilvl w:val="0"/>
          <w:numId w:val="24"/>
        </w:numPr>
      </w:pPr>
      <w:r>
        <w:t>It is also useful to note that Henry performed a separate time series regression for each comparator firm and various portfolios of comparator firms.</w:t>
      </w:r>
      <w:r>
        <w:rPr>
          <w:rStyle w:val="FootnoteReference"/>
        </w:rPr>
        <w:footnoteReference w:id="1050"/>
      </w:r>
      <w:r>
        <w:t xml:space="preserve"> The weekly returns for each firm are regressed against the weekly returns on the market over a period of time (the estimation period).</w:t>
      </w:r>
      <w:r>
        <w:rPr>
          <w:rStyle w:val="FootnoteReference"/>
        </w:rPr>
        <w:footnoteReference w:id="1051"/>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052"/>
      </w:r>
      <w:r>
        <w:t xml:space="preserve"> In addition, we place most reliance on averages of individual firm estimates and fixed weight portfolio estimates, which cluster around 0.5 (see </w:t>
      </w:r>
      <w:r>
        <w:fldChar w:fldCharType="begin"/>
      </w:r>
      <w:r>
        <w:instrText xml:space="preserve"> REF  _Ref446243940 \* Lower \h </w:instrText>
      </w:r>
      <w:r>
        <w:fldChar w:fldCharType="separate"/>
      </w:r>
      <w:r w:rsidR="001A023B">
        <w:t xml:space="preserve">figure </w:t>
      </w:r>
      <w:r w:rsidR="001A023B">
        <w:rPr>
          <w:noProof/>
        </w:rPr>
        <w:t>3</w:t>
      </w:r>
      <w:r w:rsidR="001A023B">
        <w:noBreakHyphen/>
      </w:r>
      <w:r w:rsidR="001A023B">
        <w:rPr>
          <w:noProof/>
        </w:rPr>
        <w:t>18</w:t>
      </w:r>
      <w:r>
        <w:fldChar w:fldCharType="end"/>
      </w:r>
      <w:r>
        <w:t>). This focus on average and portfolio equity beta estimates further reduces any residual uncertainty associated with individual firm estimates.</w:t>
      </w:r>
    </w:p>
    <w:p w:rsidR="00701AAF" w:rsidRDefault="00701AAF" w:rsidP="00701AAF">
      <w:pPr>
        <w:numPr>
          <w:ilvl w:val="0"/>
          <w:numId w:val="24"/>
        </w:numPr>
      </w:pPr>
      <w:r>
        <w:t xml:space="preserve">Frontier Economics submitted graphs of 10 year rolling beta estimates with confidence interval bands to provide support for its view that </w:t>
      </w:r>
      <w:r w:rsidRPr="00176251">
        <w:t xml:space="preserve">empirical equity beta estimates </w:t>
      </w:r>
      <w:r>
        <w:t>based only on Australian energy network firms are imprecise and unstable.</w:t>
      </w:r>
      <w:r>
        <w:rPr>
          <w:rStyle w:val="FootnoteReference"/>
        </w:rPr>
        <w:footnoteReference w:id="1053"/>
      </w:r>
      <w:r>
        <w:t xml:space="preserve"> We have assessed this material and consider it is, in substance, the same evidence that has been previously submitted to us on this issue.</w:t>
      </w:r>
      <w:r>
        <w:rPr>
          <w:rStyle w:val="FootnoteReference"/>
        </w:rPr>
        <w:footnoteReference w:id="1054"/>
      </w:r>
      <w:r>
        <w:t xml:space="preserve"> Nevertheless, Partington and Satchell have analysed the graphs of 10 year rolling beta estimates.</w:t>
      </w:r>
      <w:r>
        <w:rPr>
          <w:rStyle w:val="FootnoteReference"/>
        </w:rPr>
        <w:footnoteReference w:id="1055"/>
      </w:r>
      <w:r>
        <w:t xml:space="preserve"> They conclude that:</w:t>
      </w:r>
      <w:r>
        <w:rPr>
          <w:rStyle w:val="FootnoteReference"/>
        </w:rPr>
        <w:footnoteReference w:id="1056"/>
      </w:r>
    </w:p>
    <w:p w:rsidR="00701AAF" w:rsidRDefault="00701AAF" w:rsidP="00701AAF">
      <w:pPr>
        <w:pStyle w:val="AERquote"/>
      </w:pPr>
      <w:r>
        <w:t>…</w:t>
      </w:r>
      <w:r w:rsidRPr="003B03A8">
        <w:t xml:space="preserve"> for the portfolio estimates of beta, any improvements in the precision of the estimates appear to be modest as are any improvements in stability</w:t>
      </w:r>
      <w:r>
        <w:t>.</w:t>
      </w:r>
      <w:r w:rsidRPr="002F785B">
        <w:t xml:space="preserve"> Since portfolio estimates would be our preferred way to estimate an industry beta, we conclude that the improved statistical properties are modest and come at the cost of potentially biased estimates from comparators that may be inappropriate.</w:t>
      </w:r>
    </w:p>
    <w:p w:rsidR="00701AAF" w:rsidRDefault="00701AAF" w:rsidP="00701AAF">
      <w:pPr>
        <w:pStyle w:val="AERquote"/>
      </w:pPr>
      <w:r w:rsidRPr="003B03A8">
        <w:t>.</w:t>
      </w:r>
      <w:r>
        <w:t>...</w:t>
      </w:r>
      <w:r w:rsidRPr="003B03A8">
        <w:t xml:space="preserve"> and in the time series of rolling portfolio beta estimates the US betas appear to be less stable than the Australian betas.</w:t>
      </w:r>
    </w:p>
    <w:p w:rsidR="00701AAF" w:rsidRDefault="00701AAF" w:rsidP="00701AAF">
      <w:pPr>
        <w:numPr>
          <w:ilvl w:val="0"/>
          <w:numId w:val="24"/>
        </w:numPr>
      </w:pPr>
      <w:r>
        <w:t>Frontier Economics also considered it is unsurprising that our estimates tend to cluster together because they are effectively a regurgitation of the same estimate, based on slight variations of the same dataset.</w:t>
      </w:r>
      <w:r>
        <w:rPr>
          <w:rStyle w:val="FootnoteReference"/>
        </w:rPr>
        <w:footnoteReference w:id="1057"/>
      </w:r>
      <w:r>
        <w:t xml:space="preserve"> We disagree with this view. Our estimates are based on data from a comparator set of Australian energy network firms because we consider these firms are most reflective of a benchmark efficient entity</w:t>
      </w:r>
      <w:r w:rsidRPr="00001F3E">
        <w:t xml:space="preserve"> </w:t>
      </w:r>
      <w:r>
        <w:t>with a similar degree of risk as ActewAGL in providing regulated services. It is well known that estimates can vary based on changes in the estimation method or period, or variations to the dataset (such as the construction of different portfolios). This is why empirical analyses include sensitivity and/or robustness checks based on such variations.</w:t>
      </w:r>
      <w:r>
        <w:rPr>
          <w:rStyle w:val="FootnoteReference"/>
        </w:rPr>
        <w:footnoteReference w:id="1058"/>
      </w:r>
      <w:r>
        <w:t xml:space="preserve"> Even Frontier performs regressions based on a five year estimation period as a robustness check on its estimates from a 10 year estimation period.</w:t>
      </w:r>
      <w:r>
        <w:rPr>
          <w:rStyle w:val="FootnoteReference"/>
        </w:rPr>
        <w:footnoteReference w:id="1059"/>
      </w:r>
      <w:r>
        <w:t xml:space="preserve"> We do not consider the robustness of our equity beta estimates to different estimation choices is invalidated by the fact that the estimates are based on the same underlying comparator set of firms (or a subset of these firms).</w:t>
      </w:r>
    </w:p>
    <w:p w:rsidR="00701AAF" w:rsidRDefault="00701AAF" w:rsidP="00701AAF">
      <w:r>
        <w:t xml:space="preserve">Based on the available evidence and submissions, we do not consider our Australian empirical equity beta estimates are unreliable. </w:t>
      </w:r>
      <w:r w:rsidRPr="009C1524">
        <w:t>We consider the data from our comparator set of Australian energy network firms is sufficient for us to form an equity beta estimate that will contribute to the achievement of the allowed rate of return objective.</w:t>
      </w:r>
      <w:r>
        <w:rPr>
          <w:rStyle w:val="FootnoteReference"/>
        </w:rPr>
        <w:footnoteReference w:id="1060"/>
      </w:r>
      <w:r w:rsidRPr="009C1524">
        <w:t xml:space="preserve"> This comparator set is reflective of </w:t>
      </w:r>
      <w:r>
        <w:t>a</w:t>
      </w:r>
      <w:r w:rsidRPr="009C1524">
        <w:t xml:space="preserve"> benchmark efficient entity and generates a consistent pattern of empirical equity beta estimates that is robust across econometric techniques, time periods and different combinations of comparator firms. </w:t>
      </w:r>
      <w:r w:rsidRPr="00671960">
        <w:t>This is demonstrated in</w:t>
      </w:r>
      <w:r>
        <w:t xml:space="preserve"> sections </w:t>
      </w:r>
      <w:r>
        <w:fldChar w:fldCharType="begin"/>
      </w:r>
      <w:r>
        <w:instrText xml:space="preserve"> REF _Ref446255169 \r \h </w:instrText>
      </w:r>
      <w:r>
        <w:fldChar w:fldCharType="separate"/>
      </w:r>
      <w:r w:rsidR="001A023B">
        <w:t>G.1</w:t>
      </w:r>
      <w:r>
        <w:fldChar w:fldCharType="end"/>
      </w:r>
      <w:r>
        <w:t xml:space="preserve"> and </w:t>
      </w:r>
      <w:r>
        <w:fldChar w:fldCharType="begin"/>
      </w:r>
      <w:r>
        <w:instrText xml:space="preserve"> REF _Ref446255164 \r \h </w:instrText>
      </w:r>
      <w:r>
        <w:fldChar w:fldCharType="separate"/>
      </w:r>
      <w:r w:rsidR="001A023B">
        <w:t>G.2</w:t>
      </w:r>
      <w:r>
        <w:fldChar w:fldCharType="end"/>
      </w:r>
      <w:r>
        <w:t>.</w:t>
      </w:r>
    </w:p>
    <w:p w:rsidR="00701AAF" w:rsidRPr="00D332F8" w:rsidRDefault="00701AAF" w:rsidP="00701AAF">
      <w:pPr>
        <w:pStyle w:val="Heading9"/>
      </w:pPr>
      <w:bookmarkStart w:id="246" w:name="_Ref446254445"/>
      <w:r>
        <w:t>Use of international energy firms</w:t>
      </w:r>
      <w:bookmarkEnd w:id="246"/>
    </w:p>
    <w:p w:rsidR="00701AAF" w:rsidRDefault="00701AAF" w:rsidP="00701AAF">
      <w:pPr>
        <w:numPr>
          <w:ilvl w:val="0"/>
          <w:numId w:val="24"/>
        </w:numPr>
      </w:pPr>
      <w:r w:rsidRPr="007A3B2B">
        <w:t xml:space="preserve">We </w:t>
      </w:r>
      <w:r>
        <w:t>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ActewAGL in relation to the provision of its regulated services. We do not include international energy network firms in our comparator set for empirical analysis. We consider international energy firms are not suitable comparators in this case, for the following reasons:</w:t>
      </w:r>
    </w:p>
    <w:p w:rsidR="00701AAF" w:rsidRPr="00701AAF" w:rsidRDefault="00701AAF" w:rsidP="00701AAF">
      <w:pPr>
        <w:pStyle w:val="AERbulletlistfirststyle"/>
      </w:pPr>
      <w:r>
        <w:t>They deviate from our definition of a benchmark efficient entity definition because they do not operate within Australia.</w:t>
      </w:r>
      <w:r w:rsidRPr="00701AAF">
        <w:t xml:space="preserve"> Differences in regulation of businesses, the domestic economy, geography, business cycles, weather and a number of different factors are likely to result in differences between equity beta estimates for similar businesses between countries.</w:t>
      </w:r>
      <w:r w:rsidRPr="00701AAF">
        <w:rPr>
          <w:rStyle w:val="FootnoteReference"/>
        </w:rPr>
        <w:footnoteReference w:id="1061"/>
      </w:r>
      <w:r w:rsidRPr="00701AAF">
        <w:t xml:space="preserve"> It is difficult to assign quantitative impacts to these qualitative factors.</w:t>
      </w:r>
    </w:p>
    <w:p w:rsidR="00701AAF" w:rsidRPr="00701AAF" w:rsidRDefault="00701AAF" w:rsidP="00701AAF">
      <w:pPr>
        <w:pStyle w:val="AERbulletlistfirststyle"/>
      </w:pPr>
      <w:r>
        <w:t>W</w:t>
      </w:r>
      <w:r w:rsidRPr="00701AAF">
        <w:t>e discuss equity beta estimates in the context of our foundation model, which is the domestic Sharpe-Lintner CAPM.</w:t>
      </w:r>
      <w:r w:rsidRPr="00701AAF">
        <w:rPr>
          <w:rStyle w:val="FootnoteReference"/>
        </w:rPr>
        <w:footnoteReference w:id="1062"/>
      </w:r>
      <w:r w:rsidRPr="00701AAF">
        <w:t xml:space="preserve"> This provides a strong rationale for estimating the equity beta using Australian data. If we included international energy firms in our comparator set, it may be more appropriate to use an international or global CAPM.</w:t>
      </w:r>
      <w:r w:rsidRPr="00701AAF">
        <w:rPr>
          <w:rStyle w:val="FootnoteReference"/>
        </w:rPr>
        <w:footnoteReference w:id="1063"/>
      </w:r>
      <w:r w:rsidRPr="00701AAF">
        <w:t xml:space="preserve"> </w:t>
      </w:r>
    </w:p>
    <w:p w:rsidR="00701AAF" w:rsidRPr="00701AAF" w:rsidRDefault="00701AAF" w:rsidP="00701AAF">
      <w:pPr>
        <w:pStyle w:val="AERbulletlistfirststyle"/>
      </w:pPr>
      <w:r>
        <w:t>Equity b</w:t>
      </w:r>
      <w:r w:rsidRPr="00701AAF">
        <w:t>eta estimates from international comparators are measured with respect to the market portfolio of their home market.</w:t>
      </w:r>
      <w:r w:rsidRPr="00701AAF">
        <w:rPr>
          <w:rStyle w:val="FootnoteReference"/>
        </w:rPr>
        <w:footnoteReference w:id="1064"/>
      </w:r>
      <w:r w:rsidRPr="00701AAF">
        <w:t xml:space="preserve"> This means the equity beta estimates from international comparators are not a measurement of the firm's systematic risk relative to the Australian domestic market portfolio.</w:t>
      </w:r>
      <w:r w:rsidRPr="00701AAF">
        <w:rPr>
          <w:rStyle w:val="FootnoteReference"/>
        </w:rPr>
        <w:footnoteReference w:id="1065"/>
      </w:r>
      <w:r w:rsidRPr="00701AAF">
        <w:t xml:space="preserve"> As Associate Professor John Handley (Handley) stated:</w:t>
      </w:r>
      <w:r w:rsidRPr="00701AAF">
        <w:rPr>
          <w:rStyle w:val="FootnoteReference"/>
        </w:rPr>
        <w:footnoteReference w:id="1066"/>
      </w:r>
    </w:p>
    <w:p w:rsidR="00701AAF" w:rsidRPr="006048D2" w:rsidRDefault="00701AAF" w:rsidP="00701AAF">
      <w:pPr>
        <w:pStyle w:val="AERquote"/>
      </w:pPr>
      <w:r w:rsidRPr="006C31CF">
        <w:t>In general, domestic betas and international betas measure different things and are not comparable due to potential differences in the covariance structure and level of systematic risk in the respective markets. This is purely a definitional difference.</w:t>
      </w:r>
    </w:p>
    <w:p w:rsidR="00701AAF" w:rsidRPr="00701AAF" w:rsidRDefault="00701AAF" w:rsidP="00701AAF">
      <w:pPr>
        <w:pStyle w:val="AERbulletlistfirststyle"/>
      </w:pPr>
      <w:r>
        <w:t>They may not have the same structure as Australian energy network firms. For example, a</w:t>
      </w:r>
      <w:r w:rsidRPr="00701AAF">
        <w:t xml:space="preserve"> number of US comparator businesses identified by the Competition Economists Group (CEG) are vertically integrated.</w:t>
      </w:r>
      <w:r w:rsidRPr="00701AAF">
        <w:rPr>
          <w:rStyle w:val="FootnoteReference"/>
        </w:rPr>
        <w:footnoteReference w:id="1067"/>
      </w:r>
      <w:r w:rsidRPr="00701AAF">
        <w:t xml:space="preserve"> They engage in energy generation, wholesale and retail of energy, as well as other activities distinct from energy distribution and transmission. Some of the firms even engage in telecommunications, real estate development and manufacturing activities.</w:t>
      </w:r>
      <w:r w:rsidRPr="00701AAF">
        <w:rPr>
          <w:rStyle w:val="FootnoteReference"/>
        </w:rPr>
        <w:footnoteReference w:id="1068"/>
      </w:r>
      <w:r w:rsidRPr="00701AAF">
        <w:t xml:space="preserve"> These activities are very different from our definition of a benchmark efficient entity, which is a pure play regulated energy network business (operating within Australia). As noted in the Guideline, we consider vertically integrated firms tend to have higher equity beta estimates than pure play energy network firms.</w:t>
      </w:r>
      <w:r w:rsidRPr="00701AAF">
        <w:rPr>
          <w:rStyle w:val="FootnoteReference"/>
        </w:rPr>
        <w:footnoteReference w:id="1069"/>
      </w:r>
    </w:p>
    <w:p w:rsidR="00701AAF" w:rsidRPr="00701AAF" w:rsidRDefault="00701AAF" w:rsidP="00701AAF">
      <w:pPr>
        <w:pStyle w:val="AERbulletlistfirststyle"/>
      </w:pPr>
      <w:r>
        <w:t>W</w:t>
      </w:r>
      <w:r w:rsidRPr="00701AAF">
        <w:t>e consider the available Australian data is sufficient for us to form a reasonable equity beta range that is reflective of the equity beta for a benchmark efficient entity.</w:t>
      </w:r>
    </w:p>
    <w:p w:rsidR="00701AAF" w:rsidRDefault="00701AAF" w:rsidP="00701AAF">
      <w:pPr>
        <w:numPr>
          <w:ilvl w:val="0"/>
          <w:numId w:val="24"/>
        </w:numPr>
      </w:pPr>
      <w:r>
        <w:t>These factors are discussed in more detail in the Guideline and 2009 WACC review.</w:t>
      </w:r>
      <w:r>
        <w:rPr>
          <w:rStyle w:val="FootnoteReference"/>
        </w:rPr>
        <w:footnoteReference w:id="1070"/>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material submitted by the relevant service providers present us with such evidence. </w:t>
      </w:r>
    </w:p>
    <w:p w:rsidR="00701AAF" w:rsidRPr="00F241AB" w:rsidRDefault="00701AAF" w:rsidP="00701AAF">
      <w:pPr>
        <w:numPr>
          <w:ilvl w:val="0"/>
          <w:numId w:val="24"/>
        </w:numPr>
      </w:pPr>
      <w:r>
        <w:t>The service providers' consultants appear to recognise</w:t>
      </w:r>
      <w:r w:rsidRPr="00AA15E3">
        <w:t xml:space="preserve"> </w:t>
      </w:r>
      <w:r>
        <w:t>international energy network firms are less comparable to a benchmark efficient entity than Australian energy network firms. However, they also consider our comparator set of Australian energy network firms is too small and produces unreliable equity beta estimates.</w:t>
      </w:r>
      <w:r>
        <w:rPr>
          <w:rStyle w:val="FootnoteReference"/>
        </w:rPr>
        <w:footnoteReference w:id="1071"/>
      </w:r>
      <w:r>
        <w:t xml:space="preserve"> In analysing these competing considerations, the service providers and their consultants concluded that</w:t>
      </w:r>
      <w:r w:rsidRPr="00FE01B4">
        <w:t xml:space="preserve"> </w:t>
      </w:r>
      <w:r>
        <w:t>the 56 US energy firms identified by CEG during the Guideline process are sufficiently comparable to</w:t>
      </w:r>
      <w:r w:rsidRPr="00296D0B">
        <w:t xml:space="preserve"> </w:t>
      </w:r>
      <w:r>
        <w:t>a benchmark efficient entity. Therefore, they should be included in our comparator set for empirical analysis, albeit with less weight than the domestic comparators.</w:t>
      </w:r>
      <w:r w:rsidRPr="00F241AB">
        <w:rPr>
          <w:rStyle w:val="FootnoteReference"/>
        </w:rPr>
        <w:footnoteReference w:id="1072"/>
      </w:r>
    </w:p>
    <w:p w:rsidR="00701AAF" w:rsidRDefault="00701AAF" w:rsidP="00701AAF">
      <w:pPr>
        <w:numPr>
          <w:ilvl w:val="0"/>
          <w:numId w:val="24"/>
        </w:numPr>
      </w:pPr>
      <w:r>
        <w:t>W</w:t>
      </w:r>
      <w:r w:rsidRPr="00F241AB">
        <w:t xml:space="preserve">e do not consider </w:t>
      </w:r>
      <w:r>
        <w:t>the service providers currently under assessment have</w:t>
      </w:r>
      <w:r w:rsidRPr="00F241AB">
        <w:t xml:space="preserve"> provided satisfactory evidence that the suggested sample of 56 US energy firms are sufficiently comparable to </w:t>
      </w:r>
      <w:r>
        <w:t>a</w:t>
      </w:r>
      <w:r w:rsidRPr="00F241AB">
        <w:t xml:space="preserve"> benchmark efficient entity</w:t>
      </w:r>
      <w:r w:rsidRPr="00E07D19">
        <w:t xml:space="preserve"> </w:t>
      </w:r>
      <w:r>
        <w:t>with a similar degree of risk as ActewAGL in providing regulated services</w:t>
      </w:r>
      <w:r w:rsidRPr="00F241AB">
        <w:t>.</w:t>
      </w:r>
      <w:r>
        <w:rPr>
          <w:rStyle w:val="FootnoteReference"/>
        </w:rPr>
        <w:footnoteReference w:id="1073"/>
      </w:r>
      <w:r w:rsidRPr="00F241AB">
        <w:t xml:space="preserve"> Handley supports this </w:t>
      </w:r>
      <w:r>
        <w:t>view</w:t>
      </w:r>
      <w:r w:rsidRPr="00F241AB">
        <w:t>.</w:t>
      </w:r>
      <w:r w:rsidRPr="00F241AB">
        <w:rPr>
          <w:rStyle w:val="FootnoteReference"/>
        </w:rPr>
        <w:footnoteReference w:id="1074"/>
      </w:r>
      <w:r>
        <w:t xml:space="preserve"> We provided detailed reasoning for this view in our recent decisions, which we do not reproduce in this decision but which remains applicable.</w:t>
      </w:r>
      <w:r>
        <w:rPr>
          <w:rStyle w:val="FootnoteReference"/>
        </w:rPr>
        <w:footnoteReference w:id="1075"/>
      </w:r>
      <w:r>
        <w:t xml:space="preserve"> However, Partington and Satchell have assessed Frontier </w:t>
      </w:r>
      <w:r w:rsidR="00536B64">
        <w:t>Economics'</w:t>
      </w:r>
      <w:r>
        <w:t xml:space="preserve"> most recent (2016) report on the issue, and conclude that:</w:t>
      </w:r>
      <w:r>
        <w:rPr>
          <w:rStyle w:val="FootnoteReference"/>
        </w:rPr>
        <w:footnoteReference w:id="1076"/>
      </w:r>
    </w:p>
    <w:p w:rsidR="00701AAF" w:rsidRDefault="00701AAF" w:rsidP="00701AAF">
      <w:pPr>
        <w:pStyle w:val="AERquote"/>
      </w:pPr>
      <w:r>
        <w:t>…</w:t>
      </w:r>
      <w:r w:rsidRPr="002F785B">
        <w:t xml:space="preserve"> the case that the samples ar</w:t>
      </w:r>
      <w:r>
        <w:t>e homogeneous has not been made…</w:t>
      </w:r>
      <w:r w:rsidRPr="002F785B">
        <w:t>Indeed on the basis of Frontier’s analysis of the means for weekly betas the US comparators are inappropriate</w:t>
      </w:r>
    </w:p>
    <w:p w:rsidR="00701AAF" w:rsidRDefault="00701AAF" w:rsidP="00701AAF">
      <w:pPr>
        <w:pStyle w:val="AERquote"/>
      </w:pPr>
      <w:r>
        <w:t>…</w:t>
      </w:r>
      <w:r w:rsidRPr="001233AC">
        <w:t>Furthermore, the use of 24% by weight of Australian data and 76% by weight of US data to compute an Australian beta seems intuitively inappropriate.</w:t>
      </w:r>
    </w:p>
    <w:p w:rsidR="00701AAF" w:rsidRPr="004C2E1A" w:rsidRDefault="00701AAF" w:rsidP="00701AAF">
      <w:pPr>
        <w:pStyle w:val="AERquote"/>
      </w:pPr>
      <w:r>
        <w:t>…</w:t>
      </w:r>
      <w:r w:rsidRPr="002F785B">
        <w:t>The notion that Beta is a measure independent of the index used, and hence can be aggregated across different countries troubles us. The usual way this would be addressed is to build a global CAPM and compute betas with respect to a world portfolio, or regard the USA and Australia as a single region and define a new market portfolio based on the capitalisation weighted aggregate of the two markets.</w:t>
      </w:r>
    </w:p>
    <w:p w:rsidR="00701AAF" w:rsidRDefault="00701AAF" w:rsidP="00701AAF">
      <w:pPr>
        <w:numPr>
          <w:ilvl w:val="0"/>
          <w:numId w:val="24"/>
        </w:numPr>
      </w:pPr>
      <w:r>
        <w:t>We also received submissions in 2015 from other stakeholders that do not support the inclusion of international energy firms in our domestic comparator set. For example, Origin supported our decision to use a comparator set of Australian energy network firms.</w:t>
      </w:r>
      <w:r>
        <w:rPr>
          <w:rStyle w:val="FootnoteReference"/>
        </w:rPr>
        <w:footnoteReference w:id="1077"/>
      </w:r>
      <w:r>
        <w:t xml:space="preserve"> It considered </w:t>
      </w:r>
      <w:r w:rsidRPr="005855BA">
        <w:t>international comparators should not be used</w:t>
      </w:r>
      <w:r>
        <w:t xml:space="preserve"> as primary determinants of risk</w:t>
      </w:r>
      <w:r w:rsidRPr="005855BA">
        <w:t xml:space="preserve"> to the extent that the risks faced by these firms are not directly comparable to Australian conditions.</w:t>
      </w:r>
      <w:r>
        <w:t xml:space="preserve"> The Consumer Challenge Panel also disagreed with the inclusion of 56 US energy firms in our Australian comparator set.</w:t>
      </w:r>
      <w:r>
        <w:rPr>
          <w:rStyle w:val="FootnoteReference"/>
        </w:rPr>
        <w:footnoteReference w:id="1078"/>
      </w:r>
      <w:r>
        <w:t xml:space="preserve"> </w:t>
      </w:r>
    </w:p>
    <w:p w:rsidR="00701AAF" w:rsidRDefault="00701AAF" w:rsidP="00701AAF">
      <w:pPr>
        <w:numPr>
          <w:ilvl w:val="0"/>
          <w:numId w:val="24"/>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 xml:space="preserve">in informing the equity beta point estimate from within the range derived using Australian empirical estimates.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701AAF" w:rsidRPr="00D332F8" w:rsidRDefault="00701AAF" w:rsidP="00701AAF">
      <w:pPr>
        <w:pStyle w:val="Heading9"/>
      </w:pPr>
      <w:bookmarkStart w:id="247" w:name="_Ref446254437"/>
      <w:r>
        <w:t>Use of non-energy infrastructure firms</w:t>
      </w:r>
      <w:bookmarkEnd w:id="247"/>
    </w:p>
    <w:p w:rsidR="00701AAF" w:rsidRDefault="00701AAF" w:rsidP="00701AAF">
      <w:pPr>
        <w:numPr>
          <w:ilvl w:val="0"/>
          <w:numId w:val="24"/>
        </w:numPr>
      </w:pPr>
      <w:r>
        <w:t>In its 2016 report, Frontier Economics (previously SFG) submitted that we should include Australian non-energy infrastructure firms in our comparator set in addition to Australian energy firms.</w:t>
      </w:r>
      <w:r>
        <w:rPr>
          <w:rStyle w:val="FootnoteReference"/>
        </w:rPr>
        <w:footnoteReference w:id="1079"/>
      </w:r>
      <w:r>
        <w:t xml:space="preserve"> Frontier Economics examined equity beta estimates for nine Australian energy network firms, seven Australian non-energy infrastructure firms</w:t>
      </w:r>
      <w:r>
        <w:rPr>
          <w:rStyle w:val="FootnoteReference"/>
        </w:rPr>
        <w:footnoteReference w:id="1080"/>
      </w:r>
      <w:r>
        <w:t xml:space="preserve"> and 56 US energy firms. It concluded that the expanded comparator set has better statistical properties (precision and stability) than our comparator set based on Australian energy network firms.</w:t>
      </w:r>
      <w:r>
        <w:rPr>
          <w:rStyle w:val="FootnoteReference"/>
        </w:rPr>
        <w:footnoteReference w:id="1081"/>
      </w:r>
    </w:p>
    <w:p w:rsidR="00701AAF" w:rsidRDefault="00701AAF" w:rsidP="00701AAF">
      <w:pPr>
        <w:numPr>
          <w:ilvl w:val="0"/>
          <w:numId w:val="24"/>
        </w:numPr>
      </w:pPr>
      <w:r w:rsidRPr="007A3B2B">
        <w:t xml:space="preserve">We </w:t>
      </w:r>
      <w:r>
        <w:t>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ActewAGL in relation to the provision of its regulated services. We do not include non-energy infrastructure firms in our comparator set for empirical analysis. We consider these firms are not suitable comparators in this case, for the following reasons:</w:t>
      </w:r>
    </w:p>
    <w:p w:rsidR="00701AAF" w:rsidRPr="00701AAF" w:rsidRDefault="00701AAF" w:rsidP="00701AAF">
      <w:pPr>
        <w:pStyle w:val="AERbulletlistfirststyle"/>
      </w:pPr>
      <w:r>
        <w:t xml:space="preserve">The allowed rate of return objective requires us to consider the efficient financing costs of a benchmark efficient entity with a similar degree of risk as ActewAGL </w:t>
      </w:r>
      <w:r w:rsidRPr="00701AAF">
        <w:t xml:space="preserve">in the provision of regulated </w:t>
      </w:r>
      <w:r w:rsidR="00C21AC6">
        <w:t>gas</w:t>
      </w:r>
      <w:r w:rsidRPr="00701AAF">
        <w:t xml:space="preserve"> network services. These firms do not provide </w:t>
      </w:r>
      <w:r>
        <w:t>gas pipeline</w:t>
      </w:r>
      <w:r w:rsidRPr="00701AAF">
        <w:t xml:space="preserve">, or more generally energy network, services.  </w:t>
      </w:r>
    </w:p>
    <w:p w:rsidR="00701AAF" w:rsidRPr="00701AAF" w:rsidRDefault="00701AAF" w:rsidP="00701AAF">
      <w:pPr>
        <w:pStyle w:val="AERbulletlistfirststyle"/>
      </w:pPr>
      <w:r>
        <w:t>D</w:t>
      </w:r>
      <w:r w:rsidRPr="00701AAF">
        <w:t>ifferences in regulation (including minimal or no regulation), industry structure and consumer demand for non-energy infrastructure firms are likely to result in different risk profiles relative to energy network firms regulated under the rules and law.</w:t>
      </w:r>
      <w:r w:rsidRPr="00701AAF">
        <w:rPr>
          <w:rStyle w:val="FootnoteReference"/>
        </w:rPr>
        <w:footnoteReference w:id="1082"/>
      </w:r>
      <w:r w:rsidRPr="00701AAF">
        <w:t xml:space="preserve"> For example, a number of Australian non-energy infrastructure firms are unregulated or are partly regulated under different regulatory regimes.</w:t>
      </w:r>
      <w:r w:rsidRPr="00701AAF">
        <w:rPr>
          <w:rStyle w:val="FootnoteReference"/>
        </w:rPr>
        <w:footnoteReference w:id="1083"/>
      </w:r>
      <w:r w:rsidRPr="00701AAF">
        <w:t xml:space="preserve"> We explain why we consider unregulated businesses are likely to have a very different risk profile to regulated firms in section 3.3.3. Also, a number of Australian non-energy infrastructure firms provide a range of different services in addition to management of and access to the monopoly infrastructure,</w:t>
      </w:r>
      <w:r w:rsidRPr="00701AAF">
        <w:rPr>
          <w:rStyle w:val="FootnoteReference"/>
        </w:rPr>
        <w:footnoteReference w:id="1084"/>
      </w:r>
      <w:r w:rsidRPr="00701AAF">
        <w:t xml:space="preserve"> which are likely to influence their overall risk profile. </w:t>
      </w:r>
    </w:p>
    <w:p w:rsidR="00701AAF" w:rsidRPr="00701AAF" w:rsidRDefault="00701AAF" w:rsidP="00701AAF">
      <w:pPr>
        <w:pStyle w:val="AERbulletlistfirststyle"/>
      </w:pPr>
      <w:r>
        <w:t>W</w:t>
      </w:r>
      <w:r w:rsidRPr="00701AAF">
        <w:t>e consider the available data for Australian energy network firms are sufficient for us to form a reasonable equity beta range that is reflective of the equity beta for a benchmark efficient entity.</w:t>
      </w:r>
    </w:p>
    <w:p w:rsidR="00701AAF" w:rsidRDefault="00701AAF" w:rsidP="00701AAF">
      <w:pPr>
        <w:numPr>
          <w:ilvl w:val="0"/>
          <w:numId w:val="24"/>
        </w:numPr>
      </w:pPr>
      <w:r>
        <w:t xml:space="preserve">As discussed at the start of section </w:t>
      </w:r>
      <w:r>
        <w:fldChar w:fldCharType="begin"/>
      </w:r>
      <w:r>
        <w:instrText xml:space="preserve"> REF _Ref446254453 \r \h </w:instrText>
      </w:r>
      <w:r>
        <w:fldChar w:fldCharType="separate"/>
      </w:r>
      <w:r w:rsidR="001A023B">
        <w:t>G.4.2</w:t>
      </w:r>
      <w:r>
        <w:fldChar w:fldCharType="end"/>
      </w:r>
      <w:r>
        <w:t xml:space="preserve">, our view is that while increased statistical precision and/or stability is desirable, it is not preferable if the resulting estimates are substantially less reflective of the 'true' equity beta for a benchmark efficient entity with a similar degree of risk as ActewAGL in providing regulated services. </w:t>
      </w:r>
    </w:p>
    <w:p w:rsidR="00701AAF" w:rsidRDefault="00701AAF" w:rsidP="00701AAF">
      <w:pPr>
        <w:numPr>
          <w:ilvl w:val="0"/>
          <w:numId w:val="24"/>
        </w:numPr>
      </w:pPr>
      <w:r>
        <w:t xml:space="preserve">Frontier Economics performed two statistical tests (the </w:t>
      </w:r>
      <w:r w:rsidRPr="00606073">
        <w:t>Kolmogorov-Smirnov</w:t>
      </w:r>
      <w:r>
        <w:t xml:space="preserve"> test and a t-test)</w:t>
      </w:r>
      <w:r>
        <w:rPr>
          <w:rStyle w:val="FootnoteReference"/>
        </w:rPr>
        <w:footnoteReference w:id="1085"/>
      </w:r>
      <w:r>
        <w:t xml:space="preserve"> to infer that the three comparator sets are drawn from the same population.</w:t>
      </w:r>
      <w:r>
        <w:rPr>
          <w:rStyle w:val="FootnoteReference"/>
        </w:rPr>
        <w:footnoteReference w:id="1086"/>
      </w:r>
      <w:r>
        <w:t xml:space="preserve"> However, we do not consider these tests show that the comparator sets are drawn from the same underlying population. Partington and Satchell consider both tests have been incorrectly applied. They advise:</w:t>
      </w:r>
      <w:r>
        <w:rPr>
          <w:rStyle w:val="FootnoteReference"/>
        </w:rPr>
        <w:footnoteReference w:id="1087"/>
      </w:r>
    </w:p>
    <w:p w:rsidR="00701AAF" w:rsidRPr="00D32280" w:rsidRDefault="00701AAF" w:rsidP="00701AAF">
      <w:pPr>
        <w:pStyle w:val="AERquote"/>
      </w:pPr>
      <w:r w:rsidRPr="00D32280">
        <w:t>Frontier(2016a) use the Kolmogorov-Smirnov (KS) test which compares two distribution functions, but Frontier’s analysis is based on estimated parameters being used as the parameters of the distribution functions. It is known that the critical values of the KS test assume no unknown parameters; that is, they are based on the two empirical distribution functions, and will, consequently, be wrong for the problem being considered by Frontier. Generally, Monte Carlo analysis is necessary.</w:t>
      </w:r>
    </w:p>
    <w:p w:rsidR="00701AAF" w:rsidRDefault="00701AAF" w:rsidP="00701AAF">
      <w:pPr>
        <w:numPr>
          <w:ilvl w:val="0"/>
          <w:numId w:val="24"/>
        </w:numPr>
      </w:pPr>
      <w:r>
        <w:t xml:space="preserve">Partington and Satchell also consider there are test specification issues with Frontier Economics' application of the t-test (that is, it may lead to upward bias) and that small sample </w:t>
      </w:r>
      <w:r w:rsidRPr="00146680">
        <w:t>sizes were used for the tests</w:t>
      </w:r>
      <w:r>
        <w:t>. They consider:</w:t>
      </w:r>
      <w:r>
        <w:rPr>
          <w:rStyle w:val="FootnoteReference"/>
        </w:rPr>
        <w:footnoteReference w:id="1088"/>
      </w:r>
    </w:p>
    <w:p w:rsidR="00701AAF" w:rsidRPr="006048D2" w:rsidRDefault="00701AAF" w:rsidP="00701AAF">
      <w:pPr>
        <w:pStyle w:val="AERquote"/>
      </w:pPr>
      <w:r w:rsidRPr="00146680">
        <w:t>Inappropriate application, or low power, of the tests, is likely to explain why despite the appearance of quite different distributions of beta for the AER sample and other listed Australian Infrastructure firms (see Frontier 2016a, Figure 4 reproduced below) the statistical tests fail to reject the null hypothesis of no difference between the beta estimates for the two groups.</w:t>
      </w:r>
    </w:p>
    <w:p w:rsidR="00701AAF" w:rsidRDefault="00701AAF" w:rsidP="00701AAF">
      <w:pPr>
        <w:numPr>
          <w:ilvl w:val="0"/>
          <w:numId w:val="24"/>
        </w:numPr>
      </w:pPr>
      <w:r>
        <w:t xml:space="preserve">Finally, Partington and Satchell show </w:t>
      </w:r>
      <w:r w:rsidRPr="00ED0870">
        <w:t>Frontier</w:t>
      </w:r>
      <w:r>
        <w:t xml:space="preserve"> Economics</w:t>
      </w:r>
      <w:r w:rsidRPr="00ED0870">
        <w:t xml:space="preserve"> misinterpret the results of their own analysis comparing the weekly </w:t>
      </w:r>
      <w:r>
        <w:t xml:space="preserve">equity beta estimates </w:t>
      </w:r>
      <w:r w:rsidRPr="00ED0870">
        <w:t xml:space="preserve">for the US and Australian </w:t>
      </w:r>
      <w:r>
        <w:t>comparator sets</w:t>
      </w:r>
      <w:r w:rsidRPr="00ED0870">
        <w:t>.</w:t>
      </w:r>
      <w:r>
        <w:rPr>
          <w:rStyle w:val="FootnoteReference"/>
        </w:rPr>
        <w:footnoteReference w:id="1089"/>
      </w:r>
      <w:r w:rsidRPr="00ED0870">
        <w:t xml:space="preserve"> Frontier</w:t>
      </w:r>
      <w:r>
        <w:t xml:space="preserve"> Economics</w:t>
      </w:r>
      <w:r w:rsidRPr="00ED0870">
        <w:t xml:space="preserve"> </w:t>
      </w:r>
      <w:r>
        <w:t>conclude</w:t>
      </w:r>
      <w:r w:rsidRPr="00ED0870">
        <w:t xml:space="preserve"> the result is borderline</w:t>
      </w:r>
      <w:r>
        <w:t xml:space="preserve"> when, based on tis reported statistics, the null hypothesis is rejected</w:t>
      </w:r>
      <w:r w:rsidRPr="00ED0870">
        <w:t>.</w:t>
      </w:r>
      <w:r>
        <w:rPr>
          <w:rStyle w:val="FootnoteReference"/>
        </w:rPr>
        <w:footnoteReference w:id="1090"/>
      </w:r>
      <w:r w:rsidRPr="00ED0870">
        <w:t xml:space="preserve"> </w:t>
      </w:r>
    </w:p>
    <w:p w:rsidR="00701AAF" w:rsidRDefault="00701AAF" w:rsidP="00701AAF">
      <w:pPr>
        <w:numPr>
          <w:ilvl w:val="0"/>
          <w:numId w:val="24"/>
        </w:numPr>
      </w:pPr>
      <w:r>
        <w:t xml:space="preserve">Moreover, CEG and SFG provided analysis on the comparability of 56 US energy firms to a (domestic) benchmark efficient entity. We analysed this material and explained in detail why we consider international energy firms are not reasonably comparable to a benchmark efficient entity with a similar degree of risk as ActewAGL in providing regulated services (see section </w:t>
      </w:r>
      <w:r>
        <w:fldChar w:fldCharType="begin"/>
      </w:r>
      <w:r>
        <w:instrText xml:space="preserve"> REF _Ref446254445 \r \h </w:instrText>
      </w:r>
      <w:r>
        <w:fldChar w:fldCharType="separate"/>
      </w:r>
      <w:r w:rsidR="001A023B">
        <w:t>G.4.3</w:t>
      </w:r>
      <w:r>
        <w:fldChar w:fldCharType="end"/>
      </w:r>
      <w:r>
        <w:t xml:space="preserve">). However, we have received little analysis (outside of the above statistical tests) on the comparability of the seven Australian non-energy infrastructure firms used in Frontier Economics' report to a benchmark efficient entity with a similar degree of risk as </w:t>
      </w:r>
      <w:r w:rsidR="00536B64">
        <w:t>ActewAGL</w:t>
      </w:r>
      <w:r>
        <w:t xml:space="preserve"> in providing regulated services. Frontier Economics simply chose the listed firms that were identified as 'infrastructure firms' in the Osiris database, with a sufficient history of available stock returns data and with a majority of operations within Australia.</w:t>
      </w:r>
      <w:r>
        <w:rPr>
          <w:rStyle w:val="FootnoteReference"/>
        </w:rPr>
        <w:footnoteReference w:id="1091"/>
      </w:r>
      <w:r>
        <w:t xml:space="preserve"> </w:t>
      </w:r>
    </w:p>
    <w:p w:rsidR="00701AAF" w:rsidRDefault="00701AAF" w:rsidP="00701AAF">
      <w:pPr>
        <w:numPr>
          <w:ilvl w:val="0"/>
          <w:numId w:val="24"/>
        </w:numPr>
      </w:pPr>
      <w:r>
        <w:t xml:space="preserve">We disagree with the suggestion by several service providers that a benchmark efficient entity should be defined as an unregulated entity operating in a workably competitive market (see </w:t>
      </w:r>
      <w:r>
        <w:fldChar w:fldCharType="begin"/>
      </w:r>
      <w:r>
        <w:instrText xml:space="preserve"> REF  _Ref446189883 \* Lower \h </w:instrText>
      </w:r>
      <w:r>
        <w:fldChar w:fldCharType="separate"/>
      </w:r>
      <w:r w:rsidR="001A023B">
        <w:t xml:space="preserve">table </w:t>
      </w:r>
      <w:r w:rsidR="001A023B">
        <w:rPr>
          <w:noProof/>
        </w:rPr>
        <w:t>3</w:t>
      </w:r>
      <w:r w:rsidR="001A023B">
        <w:noBreakHyphen/>
      </w:r>
      <w:r w:rsidR="001A023B">
        <w:rPr>
          <w:noProof/>
        </w:rPr>
        <w:t>6</w:t>
      </w:r>
      <w:r>
        <w:fldChar w:fldCharType="end"/>
      </w:r>
      <w:r>
        <w:t>). However, we note in any case that we do not consider there is persuasive evidence that these entities are reasonable comparators for a benchmark efficient entity with similar degree of risk to ActewAGL in the provision of its regulated services.</w:t>
      </w:r>
    </w:p>
    <w:p w:rsidR="00701AAF" w:rsidRPr="00C01E61" w:rsidRDefault="00701AAF" w:rsidP="00701AAF">
      <w:pPr>
        <w:numPr>
          <w:ilvl w:val="0"/>
          <w:numId w:val="24"/>
        </w:numPr>
      </w:pPr>
      <w:r>
        <w:t>We note that Frontier Economics, despite recommending the use of non-energy infrastructure comparators, proposed its original equity beta estimate of 0.82, which does not include non-energy infrastructure comparators.</w:t>
      </w:r>
      <w:r>
        <w:rPr>
          <w:rStyle w:val="FootnoteReference"/>
        </w:rPr>
        <w:footnoteReference w:id="1092"/>
      </w:r>
      <w:r>
        <w:t xml:space="preserve"> We also note that, currently, the use of non-energy infrastructure firms in our comparator set may be immaterial. The average equity beta estimates from Frontier Economics' analysis of non-energy infrastructure firms range from 0.58 to 0.91,</w:t>
      </w:r>
      <w:r>
        <w:rPr>
          <w:rStyle w:val="FootnoteReference"/>
        </w:rPr>
        <w:footnoteReference w:id="1093"/>
      </w:r>
      <w:r>
        <w:t xml:space="preserve"> which is consistent with our final equity beta estimate of 0.7.</w:t>
      </w:r>
    </w:p>
    <w:p w:rsidR="00701AAF" w:rsidRDefault="00701AAF" w:rsidP="00701AAF"/>
    <w:p w:rsidR="00643E3A" w:rsidRDefault="00643E3A" w:rsidP="00643E3A">
      <w:pPr>
        <w:pStyle w:val="Heading7"/>
      </w:pPr>
      <w:bookmarkStart w:id="248" w:name="_Ref451326927"/>
      <w:bookmarkStart w:id="249" w:name="_Ref451326987"/>
      <w:bookmarkStart w:id="250" w:name="_Ref451328167"/>
      <w:bookmarkStart w:id="251" w:name="_Ref451328190"/>
      <w:bookmarkStart w:id="252" w:name="_Ref451328229"/>
      <w:bookmarkStart w:id="253" w:name="_Toc451945512"/>
      <w:r>
        <w:t>Return on debt approach</w:t>
      </w:r>
      <w:bookmarkEnd w:id="248"/>
      <w:bookmarkEnd w:id="249"/>
      <w:bookmarkEnd w:id="250"/>
      <w:bookmarkEnd w:id="251"/>
      <w:bookmarkEnd w:id="252"/>
      <w:bookmarkEnd w:id="253"/>
    </w:p>
    <w:p w:rsidR="00BB7CBA" w:rsidRDefault="00BB7CBA" w:rsidP="00BB7CBA">
      <w:r>
        <w:t>We transition all of the return on debt</w:t>
      </w:r>
      <w:r>
        <w:rPr>
          <w:rStyle w:val="FootnoteReference"/>
        </w:rPr>
        <w:footnoteReference w:id="1094"/>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This appendix explains why, if we move to a trailing average approach, doing so requires a full transition to achieve the allowed rate of return objective (ARORO). It also explains why we consider the on-the-day approach should apply if there is no transition between the current approach and the trailing average. </w:t>
      </w:r>
      <w:r w:rsidR="00A1557B">
        <w:t>In this appendix, a 'regulatory period' means a regulatory control period or an access arrangement period</w:t>
      </w:r>
      <w:r w:rsidR="00270CE2">
        <w:t>.</w:t>
      </w:r>
    </w:p>
    <w:p w:rsidR="00BB7CBA" w:rsidRDefault="00BB7CBA" w:rsidP="00BB7CBA">
      <w:r>
        <w:t>In setting out our reasons for this view, this appendix is structured as follows:</w:t>
      </w:r>
    </w:p>
    <w:p w:rsidR="00BB7CBA" w:rsidRPr="00BB7CBA" w:rsidRDefault="00BB7CBA" w:rsidP="00BB7CBA">
      <w:pPr>
        <w:pStyle w:val="AERbulletlistfirststyle"/>
      </w:pPr>
      <w:r>
        <w:t xml:space="preserve">Section </w:t>
      </w:r>
      <w:r w:rsidRPr="00BB7CBA">
        <w:fldChar w:fldCharType="begin"/>
      </w:r>
      <w:r w:rsidRPr="00BB7CBA">
        <w:instrText xml:space="preserve"> REF _Ref447803792 \r \h </w:instrText>
      </w:r>
      <w:r w:rsidRPr="00BB7CBA">
        <w:fldChar w:fldCharType="separate"/>
      </w:r>
      <w:r w:rsidR="001A023B">
        <w:t>H.1</w:t>
      </w:r>
      <w:r w:rsidRPr="00BB7CBA">
        <w:fldChar w:fldCharType="end"/>
      </w:r>
      <w:r w:rsidRPr="00BB7CBA">
        <w:t xml:space="preserve"> establishes how we interpret the ARORO. This is with a particular focus on defining efficient financing costs (section </w:t>
      </w:r>
      <w:r w:rsidRPr="00BB7CBA">
        <w:fldChar w:fldCharType="begin"/>
      </w:r>
      <w:r w:rsidRPr="00BB7CBA">
        <w:instrText xml:space="preserve"> REF _Ref446405872 \r \h </w:instrText>
      </w:r>
      <w:r w:rsidRPr="00BB7CBA">
        <w:fldChar w:fldCharType="separate"/>
      </w:r>
      <w:r w:rsidR="001A023B">
        <w:t>H.1.1</w:t>
      </w:r>
      <w:r w:rsidRPr="00BB7CBA">
        <w:fldChar w:fldCharType="end"/>
      </w:r>
      <w:r w:rsidRPr="00BB7CBA">
        <w:t xml:space="preserve">) and how the concept of a benchmark efficient entity interacts with the ARORO (section </w:t>
      </w:r>
      <w:r w:rsidRPr="00BB7CBA">
        <w:fldChar w:fldCharType="begin"/>
      </w:r>
      <w:r w:rsidRPr="00BB7CBA">
        <w:instrText xml:space="preserve"> REF _Ref447803806 \r \h </w:instrText>
      </w:r>
      <w:r w:rsidRPr="00BB7CBA">
        <w:fldChar w:fldCharType="separate"/>
      </w:r>
      <w:r w:rsidR="001A023B">
        <w:t>H.1.2</w:t>
      </w:r>
      <w:r w:rsidRPr="00BB7CBA">
        <w:fldChar w:fldCharType="end"/>
      </w:r>
      <w:r w:rsidRPr="00BB7CBA">
        <w:t>).</w:t>
      </w:r>
    </w:p>
    <w:p w:rsidR="00BB7CBA" w:rsidRPr="00BB7CBA" w:rsidRDefault="00BB7CBA" w:rsidP="00BB7CBA">
      <w:pPr>
        <w:pStyle w:val="AERbulletlistfirststyle"/>
      </w:pPr>
      <w:r>
        <w:t>S</w:t>
      </w:r>
      <w:r w:rsidRPr="00BB7CBA">
        <w:t xml:space="preserve">ection </w:t>
      </w:r>
      <w:r w:rsidRPr="00BB7CBA">
        <w:fldChar w:fldCharType="begin"/>
      </w:r>
      <w:r w:rsidRPr="00BB7CBA">
        <w:instrText xml:space="preserve"> REF _Ref444778432 \r \h </w:instrText>
      </w:r>
      <w:r w:rsidRPr="00BB7CBA">
        <w:fldChar w:fldCharType="separate"/>
      </w:r>
      <w:r w:rsidR="001A023B">
        <w:t>H.2</w:t>
      </w:r>
      <w:r w:rsidRPr="00BB7CBA">
        <w:fldChar w:fldCharType="end"/>
      </w:r>
      <w:r w:rsidRPr="00BB7CBA">
        <w:t xml:space="preserve"> sets out what is required for us to form an allowed return on debt that contributes to the achievement of the ARORO. This includes: </w:t>
      </w:r>
    </w:p>
    <w:p w:rsidR="00BB7CBA" w:rsidRDefault="00BB7CBA" w:rsidP="00BB7CBA">
      <w:pPr>
        <w:pStyle w:val="AERbulletlistsecondstyle"/>
      </w:pPr>
      <w:r>
        <w:t xml:space="preserve">section </w:t>
      </w:r>
      <w:r>
        <w:fldChar w:fldCharType="begin"/>
      </w:r>
      <w:r>
        <w:instrText xml:space="preserve"> REF _Ref446603900 \r \h  \* MERGEFORMAT </w:instrText>
      </w:r>
      <w:r>
        <w:fldChar w:fldCharType="separate"/>
      </w:r>
      <w:r w:rsidR="001A023B">
        <w:t>H.2.1</w:t>
      </w:r>
      <w:r>
        <w:fldChar w:fldCharType="end"/>
      </w:r>
      <w:r>
        <w:t>—the need to provide ex-ante compensation for efficient financing costs (ex-ante efficient compensation) as opposed to providing compensation for historically incurred costs</w:t>
      </w:r>
    </w:p>
    <w:p w:rsidR="00BB7CBA" w:rsidRDefault="00BB7CBA" w:rsidP="00BB7CBA">
      <w:pPr>
        <w:pStyle w:val="AERbulletlistsecondstyle"/>
      </w:pPr>
      <w:r>
        <w:t xml:space="preserve">section </w:t>
      </w:r>
      <w:r>
        <w:fldChar w:fldCharType="begin"/>
      </w:r>
      <w:r>
        <w:instrText xml:space="preserve"> REF _Ref447803918 \r \h </w:instrText>
      </w:r>
      <w:r>
        <w:fldChar w:fldCharType="separate"/>
      </w:r>
      <w:r w:rsidR="001A023B">
        <w:t>H.2.2</w:t>
      </w:r>
      <w:r>
        <w:fldChar w:fldCharType="end"/>
      </w:r>
      <w:r>
        <w:t xml:space="preserve">—why we consider our approach is consistent with the </w:t>
      </w:r>
      <w:r w:rsidRPr="000E6F19">
        <w:t>National Electricity Law /National Gas Law</w:t>
      </w:r>
      <w:r>
        <w:t xml:space="preserve"> (NEL/NGL) </w:t>
      </w:r>
    </w:p>
    <w:p w:rsidR="00BB7CBA" w:rsidRDefault="00BB7CBA" w:rsidP="00BB7CBA">
      <w:pPr>
        <w:pStyle w:val="AERbulletlistsecondstyle"/>
      </w:pPr>
      <w:r>
        <w:t xml:space="preserve">section </w:t>
      </w:r>
      <w:r>
        <w:fldChar w:fldCharType="begin"/>
      </w:r>
      <w:r>
        <w:instrText xml:space="preserve"> REF _Ref447803924 \r \h </w:instrText>
      </w:r>
      <w:r>
        <w:fldChar w:fldCharType="separate"/>
      </w:r>
      <w:r w:rsidR="001A023B">
        <w:t>H.2.3</w:t>
      </w:r>
      <w:r>
        <w:fldChar w:fldCharType="end"/>
      </w:r>
      <w:r>
        <w:t>—why we consider a revenue-neutral transition (in a present value sense) is required if there is a change in the methodology (or approach) for estimating the allowed return on debt (assuming that both methodologies can achieve the ARORO but produce different estimates at a given point in time</w:t>
      </w:r>
      <w:r w:rsidR="00801720">
        <w:t>)</w:t>
      </w:r>
      <w:r>
        <w:t>.</w:t>
      </w:r>
    </w:p>
    <w:p w:rsidR="00BB7CBA" w:rsidRPr="00BB7CBA" w:rsidRDefault="00BB7CBA" w:rsidP="00BB7CBA">
      <w:pPr>
        <w:pStyle w:val="AERbulletlistfirststyle"/>
      </w:pPr>
      <w:r>
        <w:t xml:space="preserve">Section </w:t>
      </w:r>
      <w:r w:rsidRPr="00BB7CBA">
        <w:fldChar w:fldCharType="begin"/>
      </w:r>
      <w:r w:rsidRPr="00BB7CBA">
        <w:instrText xml:space="preserve"> REF _Ref444767739 \r \h </w:instrText>
      </w:r>
      <w:r w:rsidRPr="00BB7CBA">
        <w:fldChar w:fldCharType="separate"/>
      </w:r>
      <w:r w:rsidR="001A023B">
        <w:t>H.3</w:t>
      </w:r>
      <w:r w:rsidRPr="00BB7CBA">
        <w:fldChar w:fldCharType="end"/>
      </w:r>
      <w:r w:rsidRPr="00BB7CBA">
        <w:t xml:space="preserve"> analyses the on-the-day and trailing average approaches to establish the extent these approaches can contribute to the achievement of the ARORO.</w:t>
      </w:r>
    </w:p>
    <w:p w:rsidR="00BB7CBA" w:rsidRPr="00BB7CBA" w:rsidRDefault="00BB7CBA" w:rsidP="00BB7CBA">
      <w:pPr>
        <w:pStyle w:val="AERbulletlistfirststyle"/>
      </w:pPr>
      <w:r>
        <w:t xml:space="preserve">Section </w:t>
      </w:r>
      <w:r w:rsidRPr="00BB7CBA">
        <w:fldChar w:fldCharType="begin"/>
      </w:r>
      <w:r w:rsidRPr="00BB7CBA">
        <w:instrText xml:space="preserve"> REF _Ref447538284 \r \h </w:instrText>
      </w:r>
      <w:r w:rsidRPr="00BB7CBA">
        <w:fldChar w:fldCharType="separate"/>
      </w:r>
      <w:r w:rsidR="001A023B">
        <w:t>H.4</w:t>
      </w:r>
      <w:r w:rsidRPr="00BB7CBA">
        <w:fldChar w:fldCharType="end"/>
      </w:r>
      <w:r w:rsidRPr="00BB7CBA">
        <w:t xml:space="preserve"> establishes why a full transition can contribute to the achievement of the ARORO when moving from an on-the-day to a trailing average approach.</w:t>
      </w:r>
    </w:p>
    <w:p w:rsidR="00BB7CBA" w:rsidRPr="00BB7CBA" w:rsidRDefault="00BB7CBA" w:rsidP="00BB7CBA">
      <w:pPr>
        <w:pStyle w:val="AERbulletlistfirststyle"/>
      </w:pPr>
      <w:r>
        <w:t xml:space="preserve">Section </w:t>
      </w:r>
      <w:r w:rsidRPr="00BB7CBA">
        <w:fldChar w:fldCharType="begin"/>
      </w:r>
      <w:r w:rsidRPr="00BB7CBA">
        <w:instrText xml:space="preserve"> REF _Ref447266532 \r \h </w:instrText>
      </w:r>
      <w:r w:rsidRPr="00BB7CBA">
        <w:fldChar w:fldCharType="separate"/>
      </w:r>
      <w:r w:rsidR="001A023B">
        <w:t>H.5</w:t>
      </w:r>
      <w:r w:rsidRPr="00BB7CBA">
        <w:fldChar w:fldCharType="end"/>
      </w:r>
      <w:r w:rsidRPr="00BB7CBA">
        <w:t xml:space="preserve"> explains why an immediate (or hybrid) transition will not achieve the ARORO given current interest rates relative to historical interest rates. This includes: </w:t>
      </w:r>
    </w:p>
    <w:p w:rsidR="00BB7CBA" w:rsidRDefault="00BB7CBA" w:rsidP="00BB7CBA">
      <w:pPr>
        <w:pStyle w:val="AERbulletlistsecondstyle"/>
      </w:pPr>
      <w:r>
        <w:t xml:space="preserve">section </w:t>
      </w:r>
      <w:r>
        <w:fldChar w:fldCharType="begin"/>
      </w:r>
      <w:r>
        <w:instrText xml:space="preserve"> REF _Ref447886159 \r \h  \* MERGEFORMAT </w:instrText>
      </w:r>
      <w:r>
        <w:fldChar w:fldCharType="separate"/>
      </w:r>
      <w:r w:rsidR="001A023B">
        <w:t>H.5.1</w:t>
      </w:r>
      <w:r>
        <w:fldChar w:fldCharType="end"/>
      </w:r>
      <w:r>
        <w:t xml:space="preserve">—a mathematical explanation. </w:t>
      </w:r>
    </w:p>
    <w:p w:rsidR="00BB7CBA" w:rsidRDefault="00BB7CBA" w:rsidP="00BB7CBA">
      <w:pPr>
        <w:pStyle w:val="AERbulletlistsecondstyle"/>
      </w:pPr>
      <w:r>
        <w:t xml:space="preserve">section </w:t>
      </w:r>
      <w:r w:rsidRPr="002951E2">
        <w:fldChar w:fldCharType="begin"/>
      </w:r>
      <w:r w:rsidRPr="002951E2">
        <w:instrText xml:space="preserve"> REF _Ref447886226 \r \h </w:instrText>
      </w:r>
      <w:r>
        <w:instrText xml:space="preserve"> \* MERGEFORMAT </w:instrText>
      </w:r>
      <w:r w:rsidRPr="002951E2">
        <w:fldChar w:fldCharType="separate"/>
      </w:r>
      <w:r w:rsidR="001A023B">
        <w:t>H.5.2</w:t>
      </w:r>
      <w:r w:rsidRPr="002951E2">
        <w:fldChar w:fldCharType="end"/>
      </w:r>
      <w:r>
        <w:t>—a further discussion responding to some issues raised in the service providers' revised proposals.</w:t>
      </w:r>
      <w:r>
        <w:rPr>
          <w:rStyle w:val="FootnoteReference"/>
        </w:rPr>
        <w:footnoteReference w:id="1095"/>
      </w:r>
      <w:r w:rsidRPr="00D65D03">
        <w:t xml:space="preserve"> </w:t>
      </w:r>
      <w:r>
        <w:fldChar w:fldCharType="begin"/>
      </w:r>
      <w:r>
        <w:instrText xml:space="preserve"> REF _Ref447807493 \h  \* MERGEFORMAT </w:instrText>
      </w:r>
      <w:r>
        <w:fldChar w:fldCharType="separate"/>
      </w:r>
      <w:r w:rsidR="001A023B">
        <w:t>Table 3</w:t>
      </w:r>
      <w:r w:rsidR="001A023B">
        <w:noBreakHyphen/>
        <w:t>41</w:t>
      </w:r>
      <w:r>
        <w:fldChar w:fldCharType="end"/>
      </w:r>
      <w:r>
        <w:t xml:space="preserve"> responds to arguments supporting an immediate transition to a trailing average. Then, we explain why we disagree with CEG's report recommending that if we apply a hybrid transition, we should assume a benchmark efficient entity would have hedged one third of the base rate (noting this argument becomes redundant as we do not apply a hybrid transition).</w:t>
      </w:r>
      <w:r>
        <w:rPr>
          <w:rStyle w:val="FootnoteReference"/>
        </w:rPr>
        <w:footnoteReference w:id="1096"/>
      </w:r>
    </w:p>
    <w:p w:rsidR="00BB7CBA" w:rsidRDefault="00BB7CBA" w:rsidP="00BB7CBA">
      <w:pPr>
        <w:pStyle w:val="ListContinue"/>
      </w:pPr>
      <w:r>
        <w:t xml:space="preserve">This section also explains why, to achieve the ARORO, the on-the-day approach should continue if there is no revenue-neutral transition from the current on the day approach. </w:t>
      </w:r>
    </w:p>
    <w:p w:rsidR="00BB7CBA" w:rsidRDefault="00BB7CBA" w:rsidP="00BB7CBA">
      <w:pPr>
        <w:pStyle w:val="Heading8"/>
        <w:numPr>
          <w:ilvl w:val="1"/>
          <w:numId w:val="49"/>
        </w:numPr>
      </w:pPr>
      <w:bookmarkStart w:id="254" w:name="_Ref447803792"/>
      <w:bookmarkStart w:id="255" w:name="_Toc451945513"/>
      <w:r>
        <w:t>Interpretation of the ARORO</w:t>
      </w:r>
      <w:bookmarkEnd w:id="254"/>
      <w:bookmarkEnd w:id="255"/>
    </w:p>
    <w:p w:rsidR="00BB7CBA" w:rsidRDefault="00BB7CBA" w:rsidP="00BB7CBA">
      <w:r>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similar degree of risk as that which applies to the </w:t>
      </w:r>
      <w:r>
        <w:t>service p</w:t>
      </w:r>
      <w:r w:rsidRPr="00580692">
        <w:t>rovider in respect of the provision of standard control</w:t>
      </w:r>
      <w:r>
        <w:t>, prescribed transmission or reference</w:t>
      </w:r>
      <w:r w:rsidRPr="00580692">
        <w:t xml:space="preserve"> services</w:t>
      </w:r>
      <w:r>
        <w:t xml:space="preserve"> (regulated services).</w:t>
      </w:r>
      <w:r>
        <w:rPr>
          <w:rStyle w:val="FootnoteReference"/>
        </w:rPr>
        <w:footnoteReference w:id="1097"/>
      </w:r>
      <w:r>
        <w:t xml:space="preserve"> Given this, applying the ARORO requires an understanding of:</w:t>
      </w:r>
    </w:p>
    <w:p w:rsidR="00BB7CBA" w:rsidRDefault="00BB7CBA" w:rsidP="00BB7CBA">
      <w:pPr>
        <w:pStyle w:val="AERbulletlistfirststyle"/>
      </w:pPr>
      <w:r>
        <w:t>efficient financing costs</w:t>
      </w:r>
    </w:p>
    <w:p w:rsidR="00BB7CBA" w:rsidRPr="00BB7CBA" w:rsidRDefault="00BB7CBA" w:rsidP="00BB7CBA">
      <w:pPr>
        <w:pStyle w:val="AERbulletlistfirststyle"/>
      </w:pPr>
      <w:r>
        <w:t>the</w:t>
      </w:r>
      <w:r w:rsidRPr="00BB7CBA">
        <w:t xml:space="preserve"> degree of risk that applies to a benchmark efficient service provider in respect of the provision of regulated services.</w:t>
      </w:r>
    </w:p>
    <w:p w:rsidR="00BB7CBA" w:rsidRDefault="00BB7CBA" w:rsidP="00BB7CBA">
      <w:r>
        <w:t>We elaborate on these components of the ARORO in the following sections.</w:t>
      </w:r>
    </w:p>
    <w:p w:rsidR="00BB7CBA" w:rsidRDefault="00BB7CBA" w:rsidP="00BB7CBA">
      <w:pPr>
        <w:pStyle w:val="Heading9"/>
      </w:pPr>
      <w:bookmarkStart w:id="256" w:name="_Ref446405872"/>
      <w:r>
        <w:t>Efficient financing costs</w:t>
      </w:r>
      <w:bookmarkEnd w:id="256"/>
      <w:r>
        <w:t xml:space="preserve"> </w:t>
      </w:r>
    </w:p>
    <w:p w:rsidR="00BB7CBA" w:rsidRPr="006757DF" w:rsidRDefault="00BB7CBA" w:rsidP="00BB7CBA">
      <w:pPr>
        <w:numPr>
          <w:ilvl w:val="0"/>
          <w:numId w:val="24"/>
        </w:numPr>
      </w:pPr>
      <w:r w:rsidRPr="00362018">
        <w:t xml:space="preserve">The ARORO </w:t>
      </w:r>
      <w:r>
        <w:t>provides for</w:t>
      </w:r>
      <w:r w:rsidRPr="00362018">
        <w:t xml:space="preserve"> a rate of return commensurate with the efficient financing costs of a benchmark efficient entity with a similar degree of risk as that which applies to the service provider in respect of the provision </w:t>
      </w:r>
      <w:r>
        <w:t xml:space="preserve">of </w:t>
      </w:r>
      <w:r w:rsidRPr="00362018">
        <w:t xml:space="preserve">regulated services. </w:t>
      </w:r>
      <w:r>
        <w:t>Given this, it is important to understand efficient financing costs.</w:t>
      </w:r>
      <w:r w:rsidRPr="00C35758">
        <w:rPr>
          <w:rStyle w:val="FootnoteReference"/>
        </w:rPr>
        <w:t xml:space="preserve"> </w:t>
      </w:r>
    </w:p>
    <w:p w:rsidR="00BB7CBA" w:rsidRDefault="00BB7CBA" w:rsidP="00BB7CBA">
      <w:pPr>
        <w:numPr>
          <w:ilvl w:val="0"/>
          <w:numId w:val="24"/>
        </w:numPr>
      </w:pPr>
      <w:r>
        <w:t xml:space="preserve">Economists typically think of efficiency in three dimensions: productive, allocative and dynamic. </w:t>
      </w:r>
      <w:r>
        <w:fldChar w:fldCharType="begin"/>
      </w:r>
      <w:r>
        <w:instrText xml:space="preserve"> REF _Ref447803361 \h </w:instrText>
      </w:r>
      <w:r>
        <w:fldChar w:fldCharType="separate"/>
      </w:r>
      <w:r w:rsidR="001A023B">
        <w:t xml:space="preserve">Table </w:t>
      </w:r>
      <w:r w:rsidR="001A023B">
        <w:rPr>
          <w:noProof/>
        </w:rPr>
        <w:t>3</w:t>
      </w:r>
      <w:r w:rsidR="001A023B">
        <w:noBreakHyphen/>
      </w:r>
      <w:r w:rsidR="001A023B">
        <w:rPr>
          <w:noProof/>
        </w:rPr>
        <w:t>40</w:t>
      </w:r>
      <w:r>
        <w:fldChar w:fldCharType="end"/>
      </w:r>
      <w:r>
        <w:t xml:space="preserve"> sets out how this applies in the context of debt financing.</w:t>
      </w:r>
    </w:p>
    <w:p w:rsidR="00EA4C14" w:rsidRDefault="00EA4C14" w:rsidP="00BB7AE6"/>
    <w:p w:rsidR="00EA4C14" w:rsidRDefault="00EA4C14" w:rsidP="00BB7AE6"/>
    <w:p w:rsidR="00BB7CBA" w:rsidRDefault="00BB7CBA" w:rsidP="00BB7CBA">
      <w:pPr>
        <w:pStyle w:val="Caption"/>
      </w:pPr>
      <w:bookmarkStart w:id="257" w:name="_Ref447803361"/>
      <w:r>
        <w:t xml:space="preserve">Table </w:t>
      </w:r>
      <w:r w:rsidRPr="00BB7CBA">
        <w:fldChar w:fldCharType="begin"/>
      </w:r>
      <w:r>
        <w:instrText xml:space="preserve"> STYLEREF 1 \s </w:instrText>
      </w:r>
      <w:r w:rsidRPr="00BB7CBA">
        <w:fldChar w:fldCharType="separate"/>
      </w:r>
      <w:r w:rsidR="001A023B">
        <w:rPr>
          <w:noProof/>
        </w:rPr>
        <w:t>3</w:t>
      </w:r>
      <w:r w:rsidRPr="00BB7CBA">
        <w:fldChar w:fldCharType="end"/>
      </w:r>
      <w:r>
        <w:noBreakHyphen/>
      </w:r>
      <w:r w:rsidRPr="00BB7CBA">
        <w:fldChar w:fldCharType="begin"/>
      </w:r>
      <w:r>
        <w:instrText xml:space="preserve"> SEQ Table \* ARABIC \s 1 </w:instrText>
      </w:r>
      <w:r w:rsidRPr="00BB7CBA">
        <w:fldChar w:fldCharType="separate"/>
      </w:r>
      <w:r w:rsidR="001A023B">
        <w:rPr>
          <w:noProof/>
        </w:rPr>
        <w:t>40</w:t>
      </w:r>
      <w:r w:rsidRPr="00BB7CBA">
        <w:fldChar w:fldCharType="end"/>
      </w:r>
      <w:bookmarkEnd w:id="257"/>
      <w:r>
        <w:tab/>
        <w:t>Application of economic efficiency to debt financing</w:t>
      </w:r>
    </w:p>
    <w:tbl>
      <w:tblPr>
        <w:tblStyle w:val="AERtable-text0"/>
        <w:tblW w:w="5000" w:type="pct"/>
        <w:tblLook w:val="04A0" w:firstRow="1" w:lastRow="0" w:firstColumn="1" w:lastColumn="0" w:noHBand="0" w:noVBand="1"/>
      </w:tblPr>
      <w:tblGrid>
        <w:gridCol w:w="1382"/>
        <w:gridCol w:w="4114"/>
        <w:gridCol w:w="3197"/>
      </w:tblGrid>
      <w:tr w:rsidR="00BB7CBA" w:rsidRPr="00B814E2" w:rsidTr="00166FC9">
        <w:trPr>
          <w:cnfStyle w:val="100000000000" w:firstRow="1" w:lastRow="0" w:firstColumn="0" w:lastColumn="0" w:oddVBand="0" w:evenVBand="0" w:oddHBand="0" w:evenHBand="0" w:firstRowFirstColumn="0" w:firstRowLastColumn="0" w:lastRowFirstColumn="0" w:lastRowLastColumn="0"/>
        </w:trPr>
        <w:tc>
          <w:tcPr>
            <w:tcW w:w="795" w:type="pct"/>
          </w:tcPr>
          <w:p w:rsidR="00BB7CBA" w:rsidRPr="00BB7CBA" w:rsidRDefault="00BB7CBA" w:rsidP="00BA7AE7">
            <w:r w:rsidRPr="00B814E2">
              <w:t>Dimension of efficiency</w:t>
            </w:r>
          </w:p>
        </w:tc>
        <w:tc>
          <w:tcPr>
            <w:tcW w:w="2366" w:type="pct"/>
          </w:tcPr>
          <w:p w:rsidR="00BB7CBA" w:rsidRPr="00BB7CBA" w:rsidRDefault="00BB7CBA" w:rsidP="00BA7AE7">
            <w:r w:rsidRPr="00B814E2">
              <w:t>Economic meaning</w:t>
            </w:r>
            <w:r w:rsidRPr="00BB7CBA">
              <w:rPr>
                <w:rStyle w:val="AERsuperscript"/>
              </w:rPr>
              <w:footnoteReference w:id="1098"/>
            </w:r>
          </w:p>
        </w:tc>
        <w:tc>
          <w:tcPr>
            <w:tcW w:w="1839" w:type="pct"/>
          </w:tcPr>
          <w:p w:rsidR="00BB7CBA" w:rsidRPr="00BB7CBA" w:rsidRDefault="00BB7CBA" w:rsidP="00BA7AE7">
            <w:r w:rsidRPr="00B814E2">
              <w:t>Application to debt financing</w:t>
            </w:r>
            <w:r w:rsidRPr="00BB7CBA">
              <w:rPr>
                <w:rStyle w:val="AERsuperscript"/>
              </w:rPr>
              <w:footnoteReference w:id="1099"/>
            </w:r>
          </w:p>
        </w:tc>
      </w:tr>
      <w:tr w:rsidR="00BB7CBA" w:rsidRPr="00B814E2" w:rsidTr="00166FC9">
        <w:tc>
          <w:tcPr>
            <w:tcW w:w="795" w:type="pct"/>
          </w:tcPr>
          <w:p w:rsidR="00BB7CBA" w:rsidRPr="009F5FA6" w:rsidRDefault="00BB7CBA" w:rsidP="00BA7AE7">
            <w:r w:rsidRPr="009F5FA6">
              <w:t>Productive efficiency</w:t>
            </w:r>
          </w:p>
        </w:tc>
        <w:tc>
          <w:tcPr>
            <w:tcW w:w="2366" w:type="pct"/>
          </w:tcPr>
          <w:p w:rsidR="00BB7CBA" w:rsidRPr="009F5FA6" w:rsidRDefault="00BB7CBA" w:rsidP="00BA7AE7">
            <w:r w:rsidRPr="009F5FA6">
              <w:t>Achieved when output is produced at minimum cost. This occurs where no more output can be produced given the resources available, that is, the economy is on its production possibility frontier. Productive efficiency incorporates technical efficiency. This refers to the extent that it is technically feasible to reduce any input without decreasing the output or increasing any other input.</w:t>
            </w:r>
          </w:p>
        </w:tc>
        <w:tc>
          <w:tcPr>
            <w:tcW w:w="1839" w:type="pct"/>
          </w:tcPr>
          <w:p w:rsidR="00BB7CBA" w:rsidRPr="009F5FA6" w:rsidRDefault="00BB7CBA" w:rsidP="00BA7AE7">
            <w:r w:rsidRPr="009F5FA6">
              <w:t>Refers to least cost financing (that is, the lowest required return on debt) subject to any constraints, such as risk</w:t>
            </w:r>
            <w:r w:rsidR="00BA7AE7">
              <w:t xml:space="preserve">. For </w:t>
            </w:r>
            <w:r w:rsidR="00BA7AE7" w:rsidRPr="00BA7AE7">
              <w:t>our determinations to be productively efficient we need to incentivise service providers to seek the lowest cost financing (all else being equal).</w:t>
            </w:r>
            <w:r w:rsidRPr="009F5FA6">
              <w:rPr>
                <w:rStyle w:val="AERbody"/>
                <w:sz w:val="20"/>
              </w:rPr>
              <w:t xml:space="preserve"> </w:t>
            </w:r>
          </w:p>
        </w:tc>
      </w:tr>
      <w:tr w:rsidR="00BA7AE7" w:rsidRPr="00B814E2" w:rsidTr="00166FC9">
        <w:trPr>
          <w:cnfStyle w:val="000000010000" w:firstRow="0" w:lastRow="0" w:firstColumn="0" w:lastColumn="0" w:oddVBand="0" w:evenVBand="0" w:oddHBand="0" w:evenHBand="1" w:firstRowFirstColumn="0" w:firstRowLastColumn="0" w:lastRowFirstColumn="0" w:lastRowLastColumn="0"/>
        </w:trPr>
        <w:tc>
          <w:tcPr>
            <w:tcW w:w="795" w:type="pct"/>
          </w:tcPr>
          <w:p w:rsidR="00BA7AE7" w:rsidRPr="00BA7AE7" w:rsidRDefault="00BA7AE7" w:rsidP="00BA7AE7">
            <w:r w:rsidRPr="009F5FA6">
              <w:t>Allocative efficiency</w:t>
            </w:r>
          </w:p>
        </w:tc>
        <w:tc>
          <w:tcPr>
            <w:tcW w:w="2366" w:type="pct"/>
          </w:tcPr>
          <w:p w:rsidR="00BA7AE7" w:rsidRPr="00BA7AE7" w:rsidRDefault="00BA7AE7" w:rsidP="00BA7AE7">
            <w:r w:rsidRPr="009F5FA6">
              <w:t>Achieved when the community gets the greatest return (or utility) from its scarce resources.</w:t>
            </w:r>
          </w:p>
        </w:tc>
        <w:tc>
          <w:tcPr>
            <w:tcW w:w="1839" w:type="pct"/>
          </w:tcPr>
          <w:p w:rsidR="00BA7AE7" w:rsidRPr="00BA7AE7" w:rsidRDefault="00BA7AE7" w:rsidP="00BA7AE7">
            <w:r>
              <w:t xml:space="preserve">Allocative </w:t>
            </w:r>
            <w:r w:rsidRPr="00BA7AE7">
              <w:t>efficiency can be achieved by setting an allowed return consistent with the expected return in the competitive capital market (determined by demand and supply) for an investment of similar degree of risk as a service provider supplying regulated services</w:t>
            </w:r>
            <w:r>
              <w:t>.</w:t>
            </w:r>
          </w:p>
        </w:tc>
      </w:tr>
      <w:tr w:rsidR="00BA7AE7" w:rsidRPr="00B814E2" w:rsidTr="00166FC9">
        <w:tc>
          <w:tcPr>
            <w:tcW w:w="795" w:type="pct"/>
          </w:tcPr>
          <w:p w:rsidR="00BA7AE7" w:rsidRPr="00BA7AE7" w:rsidRDefault="00BA7AE7" w:rsidP="00BA7AE7">
            <w:r w:rsidRPr="009F5FA6">
              <w:t>Dynamic efficiency</w:t>
            </w:r>
          </w:p>
        </w:tc>
        <w:tc>
          <w:tcPr>
            <w:tcW w:w="2366" w:type="pct"/>
          </w:tcPr>
          <w:p w:rsidR="00BA7AE7" w:rsidRPr="00BA7AE7" w:rsidRDefault="00BA7AE7" w:rsidP="00BA7AE7">
            <w:r w:rsidRPr="009F5FA6">
              <w:t>Refers to the allocation of resources over time, including allocations designed to improve economic efficiency and to generate more resources. This can mean finding better products and better ways of producing goods and services.</w:t>
            </w:r>
          </w:p>
        </w:tc>
        <w:tc>
          <w:tcPr>
            <w:tcW w:w="1839" w:type="pct"/>
          </w:tcPr>
          <w:p w:rsidR="00BA7AE7" w:rsidRPr="00BA7AE7" w:rsidRDefault="00BA7AE7" w:rsidP="00BA7AE7">
            <w:r w:rsidRPr="009F5FA6">
              <w:t>Refers to the existence of appropriate investment incentives</w:t>
            </w:r>
            <w:r w:rsidRPr="00BA7AE7">
              <w:t xml:space="preserve">. We can encourage dynamic efficiency by setting an allowance that does not distort investment decisions. Dynamic efficiency is advanced through incentive regulation rather than cost of service regulation that compensates a service provider for its actual costs no matter how inefficient. </w:t>
            </w:r>
          </w:p>
        </w:tc>
      </w:tr>
    </w:tbl>
    <w:p w:rsidR="00BB7CBA" w:rsidRDefault="00BB7CBA" w:rsidP="00BB7CBA">
      <w:pPr>
        <w:pStyle w:val="AERtablesource"/>
      </w:pPr>
      <w:r>
        <w:t>Source:</w:t>
      </w:r>
      <w:r>
        <w:tab/>
        <w:t xml:space="preserve">AER analysis; Productivity Commission, </w:t>
      </w:r>
      <w:r w:rsidRPr="00B814E2">
        <w:rPr>
          <w:rStyle w:val="AERtextitalic"/>
        </w:rPr>
        <w:t>On efficiency and effectiveness: Some definitions</w:t>
      </w:r>
      <w:r>
        <w:t xml:space="preserve">, May 2013; AER, </w:t>
      </w:r>
      <w:r w:rsidRPr="006757DF">
        <w:rPr>
          <w:rStyle w:val="AERtextitalic"/>
        </w:rPr>
        <w:t>Better regulation: Rate of return guidelines consultation paper</w:t>
      </w:r>
      <w:r>
        <w:t>, May 2013.</w:t>
      </w:r>
    </w:p>
    <w:p w:rsidR="00BB7CBA" w:rsidRDefault="00BB7CBA" w:rsidP="00BB7CBA">
      <w:pPr>
        <w:numPr>
          <w:ilvl w:val="0"/>
          <w:numId w:val="24"/>
        </w:numPr>
      </w:pPr>
      <w:r>
        <w:t xml:space="preserve">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debt financing costs are reflected in the prevailing cost of debt observed in capital markets</w:t>
      </w:r>
      <w:r w:rsidRPr="00EE36F1">
        <w:t xml:space="preserve"> </w:t>
      </w:r>
      <w:r>
        <w:t>for an investment with a similar degree of risk as that which applies to a service provider in respect of the provision of regulated services.</w:t>
      </w:r>
      <w:r>
        <w:rPr>
          <w:rStyle w:val="FootnoteReference"/>
        </w:rPr>
        <w:footnoteReference w:id="1100"/>
      </w:r>
      <w:r>
        <w:t xml:space="preserve"> </w:t>
      </w:r>
      <w:r w:rsidRPr="00EE36F1">
        <w:t>As Alfred Kahn stated:</w:t>
      </w:r>
      <w:r>
        <w:rPr>
          <w:rStyle w:val="FootnoteReference"/>
        </w:rPr>
        <w:footnoteReference w:id="1101"/>
      </w:r>
    </w:p>
    <w:p w:rsidR="00BB7CBA" w:rsidRDefault="00BB7CBA" w:rsidP="00BB7CBA">
      <w:pPr>
        <w:pStyle w:val="AERquote"/>
      </w:pPr>
      <w:r w:rsidRPr="00EE36F1">
        <w:t>The public utility company competes with all other companies in the economy for the various inputs of its production process—for labour, materials, and capital. To the extent that these are supplied in open markets (instead of, for example, under negotiated bids), in principle there ought to be readily available objective measures of the prices of these inputs that have to be incorporated in the cost of service. This is clearly true of the capital input: 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p>
    <w:p w:rsidR="00BB7CBA" w:rsidRDefault="00BB7CBA" w:rsidP="00BB7CBA">
      <w:pPr>
        <w:numPr>
          <w:ilvl w:val="0"/>
          <w:numId w:val="24"/>
        </w:numPr>
      </w:pPr>
      <w:r>
        <w:t>Similarly, Associate Professor Graham Partington and Professor Stephen Satchell (Partington and Satchell) interpret efficient financing costs as the opportunity cost of capital, which is a market rate of return for assets with a given level of risk.</w:t>
      </w:r>
      <w:r>
        <w:rPr>
          <w:rStyle w:val="FootnoteReference"/>
        </w:rPr>
        <w:footnoteReference w:id="1102"/>
      </w:r>
      <w:r>
        <w:t xml:space="preserve"> They advise the opportunity cost of debt is generally measured using the (appropriately benchmarked) yield to maturity.</w:t>
      </w:r>
      <w:r>
        <w:rPr>
          <w:rStyle w:val="FootnoteReference"/>
        </w:rPr>
        <w:footnoteReference w:id="1103"/>
      </w:r>
      <w:r>
        <w:t xml:space="preserve"> They also consider our use of a benchmark BBB+ credit rating and ten year term is appropriate.</w:t>
      </w:r>
      <w:r>
        <w:rPr>
          <w:rStyle w:val="FootnoteReference"/>
        </w:rPr>
        <w:footnoteReference w:id="1104"/>
      </w:r>
    </w:p>
    <w:p w:rsidR="00BB7CBA" w:rsidRDefault="00BB7CBA" w:rsidP="00BB7CBA">
      <w:pPr>
        <w:numPr>
          <w:ilvl w:val="0"/>
          <w:numId w:val="24"/>
        </w:numPr>
      </w:pPr>
      <w:r>
        <w:t xml:space="preserve">We consider that productive, allocative and dynamic efficiency are advanced by employing a return on debt that reflects prevailing rates in the market for funds. This will also promote the long term interests of consumers in line with the </w:t>
      </w:r>
      <w:r w:rsidRPr="00C917D3">
        <w:t xml:space="preserve">National Electricity Objective / National Gas Objective </w:t>
      </w:r>
      <w:r>
        <w:t>(NEO/NGO).</w:t>
      </w:r>
      <w:r w:rsidRPr="00E64F99">
        <w:rPr>
          <w:rStyle w:val="FootnoteReference"/>
        </w:rPr>
        <w:footnoteReference w:id="1105"/>
      </w:r>
      <w:r>
        <w:t xml:space="preserve"> </w:t>
      </w:r>
    </w:p>
    <w:p w:rsidR="00BB7CBA" w:rsidRDefault="00BB7CBA" w:rsidP="00BB7CBA">
      <w:pPr>
        <w:pStyle w:val="Heading9"/>
      </w:pPr>
      <w:bookmarkStart w:id="258" w:name="_Ref447803806"/>
      <w:r>
        <w:t>Benchmark efficient entity</w:t>
      </w:r>
      <w:bookmarkEnd w:id="258"/>
    </w:p>
    <w:p w:rsidR="00BB7CBA" w:rsidRDefault="00BB7CBA" w:rsidP="00BB7CBA">
      <w:r w:rsidRPr="004B76DC">
        <w:t xml:space="preserve">We consider a benchmark efficient entity would be 'a pure play, regulated energy network business operating within Australia'. This </w:t>
      </w:r>
      <w:r>
        <w:t>has been adopted in:</w:t>
      </w:r>
    </w:p>
    <w:p w:rsidR="00BB7CBA" w:rsidRPr="00BB7CBA" w:rsidRDefault="00BB7CBA" w:rsidP="00BB7CBA">
      <w:pPr>
        <w:pStyle w:val="AERbulletlistfirststyle"/>
      </w:pPr>
      <w:r>
        <w:t xml:space="preserve">The </w:t>
      </w:r>
      <w:r w:rsidRPr="00BB7CBA">
        <w:t>rate of return guidelines published in December 2013 (the Guideline).</w:t>
      </w:r>
      <w:r w:rsidRPr="00BB7CBA">
        <w:rPr>
          <w:rStyle w:val="FootnoteReference"/>
        </w:rPr>
        <w:footnoteReference w:id="1106"/>
      </w:r>
      <w:r w:rsidRPr="00BB7CBA">
        <w:t xml:space="preserve"> It is worth noting that while some service providers raised concerns with this during the Guideline development process, none objected to a notion that' a benchmark efficient entity' as referenced in the ARORO, would be an entity providing regulated services.</w:t>
      </w:r>
      <w:r w:rsidRPr="00BB7CBA">
        <w:rPr>
          <w:rStyle w:val="FootnoteReference"/>
        </w:rPr>
        <w:footnoteReference w:id="1107"/>
      </w:r>
      <w:r w:rsidRPr="00BB7CBA">
        <w:t xml:space="preserve"> To the contrary, stakeholders recognised that price and revenue caps had particular roles in mitigating risk as well as other features of the regulatory framework such as maintenance of the regulatory asset base.</w:t>
      </w:r>
      <w:r w:rsidRPr="00BB7CBA">
        <w:rPr>
          <w:rStyle w:val="FootnoteReference"/>
        </w:rPr>
        <w:footnoteReference w:id="1108"/>
      </w:r>
    </w:p>
    <w:p w:rsidR="00BB7CBA" w:rsidRPr="00BB7CBA" w:rsidRDefault="00BB7CBA" w:rsidP="00BB7CBA">
      <w:pPr>
        <w:pStyle w:val="AERbulletlistfirststyle"/>
      </w:pPr>
      <w:r>
        <w:t xml:space="preserve">Our previous 2009 </w:t>
      </w:r>
      <w:r w:rsidRPr="00BB7CBA">
        <w:t>weighted average cost of capital (WACC) review.</w:t>
      </w:r>
      <w:r w:rsidRPr="00BB7CBA">
        <w:rPr>
          <w:rStyle w:val="FootnoteReference"/>
        </w:rPr>
        <w:footnoteReference w:id="1109"/>
      </w:r>
      <w:r w:rsidRPr="00BB7CBA">
        <w:t xml:space="preserve"> </w:t>
      </w:r>
    </w:p>
    <w:p w:rsidR="00BB7CBA" w:rsidRPr="00BB7CBA" w:rsidRDefault="00BB7CBA" w:rsidP="00BB7CBA">
      <w:pPr>
        <w:pStyle w:val="AERbulletlistfirststyle"/>
      </w:pPr>
      <w:r>
        <w:t>Our rate of return decisions following the publication of the Guideline.</w:t>
      </w:r>
      <w:r w:rsidRPr="00BB7CBA">
        <w:rPr>
          <w:rStyle w:val="FootnoteReference"/>
        </w:rPr>
        <w:footnoteReference w:id="1110"/>
      </w:r>
    </w:p>
    <w:p w:rsidR="00BB7CBA" w:rsidRPr="00BB7CBA" w:rsidRDefault="00BB7CBA" w:rsidP="00BA7AE7">
      <w:r w:rsidRPr="009D1BB8">
        <w:t xml:space="preserve">We have devoted considerable time to </w:t>
      </w:r>
      <w:r w:rsidRPr="00BB7CBA">
        <w:t>considering the characteristics of a benchmark efficient entity in the Guideline and this decision, We consider a 'benchmark' is a reference point or standard against which performance of achievements can be assessed.</w:t>
      </w:r>
      <w:r w:rsidRPr="00BB7CBA">
        <w:rPr>
          <w:rStyle w:val="FootnoteReference"/>
        </w:rPr>
        <w:footnoteReference w:id="1111"/>
      </w:r>
      <w:r w:rsidRPr="00BB7CBA">
        <w:t xml:space="preserve"> For a benchmark to be useful, it must 'fairly and accurately represent the key attributes of the market segment or financial instrument in question’.</w:t>
      </w:r>
      <w:r w:rsidRPr="00BB7CBA">
        <w:rPr>
          <w:rStyle w:val="FootnoteReference"/>
        </w:rPr>
        <w:footnoteReference w:id="1112"/>
      </w:r>
      <w:r w:rsidRPr="00BB7CBA">
        <w:t xml:space="preserve"> As the AEMC recognised (underline added for emphasis):</w:t>
      </w:r>
      <w:r w:rsidRPr="00BB7CBA">
        <w:rPr>
          <w:rStyle w:val="FootnoteReference"/>
        </w:rPr>
        <w:footnoteReference w:id="1113"/>
      </w:r>
    </w:p>
    <w:p w:rsidR="00BB7CBA" w:rsidRDefault="00BB7CBA" w:rsidP="00BB7CBA">
      <w:pPr>
        <w:pStyle w:val="AERquote"/>
      </w:pPr>
      <w:r w:rsidRPr="009D1BB8">
        <w:t xml:space="preserve">In order to meet the NEO and the NGO, this [allowed rate of return] objective reflected the need for the rate of return to "correspond to" the efficient financing costs of a benchmark efficient entity, this entity being one </w:t>
      </w:r>
      <w:r w:rsidRPr="009D1BB8">
        <w:rPr>
          <w:rStyle w:val="AERtextunderline"/>
        </w:rPr>
        <w:t>with similar circumstances and degree of risk to the service provider</w:t>
      </w:r>
      <w:r>
        <w:t>.</w:t>
      </w:r>
    </w:p>
    <w:p w:rsidR="00BB7CBA" w:rsidRDefault="00BB7CBA" w:rsidP="00BB7CBA">
      <w:r>
        <w:t xml:space="preserve">It is important to note that a debate has now arisen, since the submission of proposals in the matters under consideration, as to whether </w:t>
      </w:r>
      <w:r w:rsidRPr="00E64F99">
        <w:t>a benchmark efficient entity would be unregulated</w:t>
      </w:r>
      <w:r>
        <w:t>. In their recent revised proposals, service providers submitted that</w:t>
      </w:r>
      <w:r w:rsidRPr="004B76DC">
        <w:t xml:space="preserve"> a benchmark efficient entity with a similar degree of risk in respect of the provision of regulated services must be an unregulated business.</w:t>
      </w:r>
      <w:r w:rsidRPr="004B76DC">
        <w:rPr>
          <w:rStyle w:val="FootnoteReference"/>
        </w:rPr>
        <w:footnoteReference w:id="1114"/>
      </w:r>
      <w:r w:rsidRPr="004B76DC">
        <w:t xml:space="preserve"> </w:t>
      </w:r>
      <w:r>
        <w:t xml:space="preserve"> This follow</w:t>
      </w:r>
      <w:r w:rsidR="00801720">
        <w:t>ed</w:t>
      </w:r>
      <w:r>
        <w:t xml:space="preserve"> the </w:t>
      </w:r>
      <w:r w:rsidR="00801720">
        <w:t xml:space="preserve">Tribunal hearing </w:t>
      </w:r>
      <w:r>
        <w:t>in an application for review of revenue determinations by Networks NSW</w:t>
      </w:r>
      <w:r w:rsidR="00A12B56">
        <w:t>,</w:t>
      </w:r>
      <w:r>
        <w:t xml:space="preserve"> and ActewAGL </w:t>
      </w:r>
      <w:r w:rsidR="00801720">
        <w:t xml:space="preserve">which resulted in the Tribunal recently forming the view </w:t>
      </w:r>
      <w:r>
        <w:t>that a benchmark efficient entity referred to in the ARORO is likely not a regulated entity.</w:t>
      </w:r>
      <w:r>
        <w:rPr>
          <w:rStyle w:val="FootnoteReference"/>
        </w:rPr>
        <w:footnoteReference w:id="1115"/>
      </w:r>
      <w:r w:rsidRPr="00A157BA">
        <w:t xml:space="preserve"> </w:t>
      </w:r>
    </w:p>
    <w:p w:rsidR="00BB7CBA" w:rsidRDefault="00BB7CBA" w:rsidP="00BB7CBA">
      <w:r>
        <w:t>We did not consider this issue prior to the Tribunal's decision because it had not been raised substantively by any service provider.</w:t>
      </w:r>
      <w:r>
        <w:rPr>
          <w:rStyle w:val="FootnoteReference"/>
        </w:rPr>
        <w:footnoteReference w:id="1116"/>
      </w:r>
      <w:r>
        <w:t xml:space="preserve"> Consequently, the Tribunal did not have our fully formed view and reasoning before it when it considered this issue. We consider </w:t>
      </w:r>
      <w:r w:rsidRPr="00A157BA">
        <w:t xml:space="preserve">the </w:t>
      </w:r>
      <w:r>
        <w:t xml:space="preserve">Tribunal may have come to its position because </w:t>
      </w:r>
      <w:r w:rsidRPr="00A157BA">
        <w:t xml:space="preserve">it did not have </w:t>
      </w:r>
      <w:r>
        <w:t>our</w:t>
      </w:r>
      <w:r w:rsidRPr="00A157BA">
        <w:t xml:space="preserve"> fully formed argument</w:t>
      </w:r>
      <w:r>
        <w:t>s</w:t>
      </w:r>
      <w:r w:rsidRPr="00A157BA">
        <w:t xml:space="preserve"> before it. </w:t>
      </w:r>
      <w:r>
        <w:t>We intend to reconsider this issue fully when we undertake the remittal of the ACT and NSW DNSPs and JGN decisions. We base our analysis in this decision on the brief material submitted by ActewAGL and other service providers with coincident decisions.</w:t>
      </w:r>
    </w:p>
    <w:p w:rsidR="00BB7CBA" w:rsidRDefault="00BB7CBA" w:rsidP="00BB7CBA">
      <w:r>
        <w:t>After considering the material submitted by ActewAGL and others we maintain our view that the characteristic 'regulated' should be retained</w:t>
      </w:r>
      <w:r w:rsidRPr="004B76DC">
        <w:t xml:space="preserve"> for a benchmark efficient entity when carrying out our analyses.</w:t>
      </w:r>
      <w:r>
        <w:t xml:space="preserve"> For our analysis, see 'elements of the ARORO' under section 3.3.3 of attachment three. </w:t>
      </w:r>
    </w:p>
    <w:p w:rsidR="00BB7CBA" w:rsidRDefault="00BB7CBA" w:rsidP="00BB7CBA">
      <w:r>
        <w:t>With respect to the current decision before us, the proposal that a benchmark efficient entity would be unregulated was only raised in the revised proposals. This was a complete change in approach. Further, we do not consider that the material submitted with the revised proposals fully explores the implications of an unregulated benchmark efficient entity for all aspects of our decision on the allowed rate of return. While we consider our assessment in this final decision (given the information before us) is robust, we note that we have limited time to assess this new material or consult on this with stakeholders more broadly.</w:t>
      </w:r>
    </w:p>
    <w:p w:rsidR="00BB7CBA" w:rsidRDefault="00BB7CBA" w:rsidP="00BB7CBA">
      <w:r>
        <w:t>Regulation has a fundamental impact on the risk characteristics of a service provider in the provision of regulated services. Regulation provides a range of risk mitigation treatments that are unavailable to firms in competitive markets such as a revenue cap (or price cap), preservation of capital in a regulated asset base, pass through arrangements and shipwreck clauses.</w:t>
      </w:r>
      <w:r>
        <w:rPr>
          <w:rStyle w:val="FootnoteReference"/>
        </w:rPr>
        <w:footnoteReference w:id="1117"/>
      </w:r>
    </w:p>
    <w:p w:rsidR="00BB7CBA" w:rsidRDefault="00BB7CBA" w:rsidP="00BB7CBA">
      <w:r>
        <w:t xml:space="preserve">Nevertheless, even if a benchmark efficient entity was necessarily unregulated, we do not consider this would affect our conclusions. Our approach to the cost of debt would be applicable to an unregulated firm </w:t>
      </w:r>
      <w:r w:rsidRPr="007C426B">
        <w:t>if it had a similar degree of risk to the service provider in providing regulated services</w:t>
      </w:r>
      <w:r>
        <w:t xml:space="preserve">. Further, irrespective of whether a firm is regulated or not, efficient financing costs reflect the current (or prevailing) forward looking costs observed in capital markets. </w:t>
      </w:r>
    </w:p>
    <w:p w:rsidR="00BB7CBA" w:rsidRDefault="00BB7CBA" w:rsidP="00BB7CBA">
      <w:pPr>
        <w:pStyle w:val="Heading8"/>
      </w:pPr>
      <w:bookmarkStart w:id="259" w:name="_Ref444778432"/>
      <w:bookmarkStart w:id="260" w:name="_Toc451945514"/>
      <w:r>
        <w:t>Requirements under the ARORO</w:t>
      </w:r>
      <w:bookmarkEnd w:id="259"/>
      <w:bookmarkEnd w:id="260"/>
    </w:p>
    <w:p w:rsidR="00BB7CBA" w:rsidRDefault="00BB7CBA" w:rsidP="00BB7CBA">
      <w:r>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similar degree of risk as that which applies to the </w:t>
      </w:r>
      <w:r>
        <w:t>service p</w:t>
      </w:r>
      <w:r w:rsidRPr="00580692">
        <w:t xml:space="preserve">rovider in respect of the provision of </w:t>
      </w:r>
      <w:r>
        <w:t>regulated services.</w:t>
      </w:r>
      <w:r>
        <w:rPr>
          <w:rStyle w:val="FootnoteReference"/>
        </w:rPr>
        <w:footnoteReference w:id="1118"/>
      </w:r>
      <w:r>
        <w:t xml:space="preserve"> We consider this </w:t>
      </w:r>
      <w:r w:rsidRPr="00F21B32">
        <w:t>require</w:t>
      </w:r>
      <w:r>
        <w:t>s</w:t>
      </w:r>
      <w:r w:rsidRPr="00F21B32">
        <w:t xml:space="preserve"> </w:t>
      </w:r>
      <w:r>
        <w:t>us</w:t>
      </w:r>
      <w:r w:rsidRPr="00F21B32">
        <w:t xml:space="preserve"> to set an allowed rate of return that </w:t>
      </w:r>
      <w:r>
        <w:t>appropriately</w:t>
      </w:r>
      <w:r w:rsidRPr="00F21B32">
        <w:t xml:space="preserve"> compensates investors on their capital investments (in an ex-ante sense) and aims to minimise the long run cost of capital (all else </w:t>
      </w:r>
      <w:r>
        <w:t xml:space="preserve">being </w:t>
      </w:r>
      <w:r w:rsidRPr="00F21B32">
        <w:t>equal).</w:t>
      </w:r>
      <w:r w:rsidRPr="00F21B32">
        <w:rPr>
          <w:rStyle w:val="FootnoteReference"/>
        </w:rPr>
        <w:footnoteReference w:id="1119"/>
      </w:r>
      <w:r w:rsidRPr="00F21B32">
        <w:t xml:space="preserve"> By </w:t>
      </w:r>
      <w:r>
        <w:t xml:space="preserve">appropriate </w:t>
      </w:r>
      <w:r w:rsidRPr="00F21B32">
        <w:t xml:space="preserve">compensation we mean that the ex-ante return should be commensurate with the </w:t>
      </w:r>
      <w:r w:rsidRPr="00C917D3">
        <w:rPr>
          <w:rStyle w:val="AERtextunderline"/>
        </w:rPr>
        <w:t>expected</w:t>
      </w:r>
      <w:r w:rsidRPr="00F21B32">
        <w:t xml:space="preserve">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rsidRPr="00F21B32">
        <w:rPr>
          <w:rStyle w:val="FootnoteReference"/>
        </w:rPr>
        <w:footnoteReference w:id="1120"/>
      </w:r>
      <w:r w:rsidRPr="00F21B32">
        <w:t xml:space="preserve"> We consider </w:t>
      </w:r>
      <w:r>
        <w:t>this</w:t>
      </w:r>
      <w:r w:rsidRPr="00F21B32">
        <w:t xml:space="preserve"> is the efficient return </w:t>
      </w:r>
      <w:r>
        <w:t>expected</w:t>
      </w:r>
      <w:r w:rsidRPr="00F21B32">
        <w:t xml:space="preserve"> in a competitive capital market</w:t>
      </w:r>
      <w:r>
        <w:t>, consistent with models underpinning financial theory on efficient markets</w:t>
      </w:r>
      <w:r w:rsidRPr="00F21B32">
        <w:t>.</w:t>
      </w:r>
      <w:r w:rsidRPr="00F21B32">
        <w:rPr>
          <w:rStyle w:val="FootnoteReference"/>
        </w:rPr>
        <w:footnoteReference w:id="1121"/>
      </w:r>
    </w:p>
    <w:p w:rsidR="00BB7CBA" w:rsidRDefault="00BB7CBA" w:rsidP="00BB7CBA">
      <w:r>
        <w:t>We elaborate on this in the following sections by setting out why and how a rate of return that meets the ARORO must:</w:t>
      </w:r>
    </w:p>
    <w:p w:rsidR="00BB7CBA" w:rsidRPr="00BB7CBA" w:rsidRDefault="00BB7CBA" w:rsidP="00BB7CBA">
      <w:pPr>
        <w:pStyle w:val="AERbulletlistfirststyle"/>
      </w:pPr>
      <w:r>
        <w:t>p</w:t>
      </w:r>
      <w:r w:rsidRPr="00BB7CBA">
        <w:t xml:space="preserve">rovide for ex-ante efficient compensation </w:t>
      </w:r>
    </w:p>
    <w:p w:rsidR="00BB7CBA" w:rsidRPr="00BB7CBA" w:rsidRDefault="00BB7CBA" w:rsidP="00BB7CBA">
      <w:pPr>
        <w:pStyle w:val="AERbulletlistfirststyle"/>
      </w:pPr>
      <w:r>
        <w:t xml:space="preserve">be </w:t>
      </w:r>
      <w:r w:rsidRPr="00BB7CBA">
        <w:t>consistent with the NEL/NGL</w:t>
      </w:r>
    </w:p>
    <w:p w:rsidR="00BB7CBA" w:rsidRPr="00BB7CBA" w:rsidRDefault="00BB7CBA" w:rsidP="00BB7CBA">
      <w:pPr>
        <w:pStyle w:val="AERbulletlistfirststyle"/>
      </w:pPr>
      <w:r>
        <w:t xml:space="preserve">require </w:t>
      </w:r>
      <w:r w:rsidRPr="00BB7CBA">
        <w:t>a revenue-neutral transition if there is a change in the methodology used to estimate the allowed return on debt (assuming that both methodologies can meet the ARORO but produce different estimates across time).</w:t>
      </w:r>
    </w:p>
    <w:p w:rsidR="00BB7CBA" w:rsidRPr="00F21B32" w:rsidRDefault="00BB7CBA" w:rsidP="00BB7CBA">
      <w:pPr>
        <w:pStyle w:val="Heading9"/>
      </w:pPr>
      <w:bookmarkStart w:id="261" w:name="_Ref446603900"/>
      <w:r>
        <w:t xml:space="preserve">Ex-ante </w:t>
      </w:r>
      <w:r w:rsidRPr="00D25CF7">
        <w:t>efficient</w:t>
      </w:r>
      <w:r>
        <w:t xml:space="preserve"> compensation</w:t>
      </w:r>
      <w:bookmarkEnd w:id="261"/>
    </w:p>
    <w:p w:rsidR="00BB7CBA" w:rsidRDefault="00BB7CBA" w:rsidP="00BB7CBA">
      <w:r>
        <w:t xml:space="preserve">We consider a rate of return that meets the ARORO must provide ex-ante compensation for efficient financing costs (we refer to this as ex-ante efficient compensation). </w:t>
      </w:r>
    </w:p>
    <w:p w:rsidR="00BB7CBA" w:rsidRDefault="00BB7CBA" w:rsidP="00BB7CBA">
      <w:r>
        <w:t>We consider ex-ante efficient compensation should result in the ex-ante allowed return on capital cash flows having a present value equal to the present value of the ex-ante efficient cost of capital cash flows required to finance the regulatory asset base (RAB). This means we must set, ex-ante, an allowed</w:t>
      </w:r>
      <w:r w:rsidRPr="00E2186B">
        <w:t xml:space="preserve"> rate of return for </w:t>
      </w:r>
      <w:r>
        <w:t>a</w:t>
      </w:r>
      <w:r w:rsidRPr="00E2186B">
        <w:t xml:space="preserve"> benchmark efficient entity such that the return on its investment</w:t>
      </w:r>
      <w:r>
        <w:t xml:space="preserve"> (in its RAB) equals its efficient cost.</w:t>
      </w:r>
      <w:r>
        <w:rPr>
          <w:rStyle w:val="FootnoteReference"/>
        </w:rPr>
        <w:footnoteReference w:id="1122"/>
      </w:r>
      <w:r>
        <w:t xml:space="preserve"> This is a zero net present value (NPV) investment condition,</w:t>
      </w:r>
      <w:r>
        <w:rPr>
          <w:rStyle w:val="FootnoteReference"/>
        </w:rPr>
        <w:footnoteReference w:id="1123"/>
      </w:r>
      <w:r>
        <w:t xml:space="preserve"> which is a forward looking concept that shows a benchmark efficient entity</w:t>
      </w:r>
      <w:r w:rsidRPr="00CF4DC4">
        <w:t xml:space="preserve"> </w:t>
      </w:r>
      <w:r>
        <w:t>is provided with a reasonable opportunity to recover at least efficient financing costs over the life of its investment (in its RAB). Partington and Satchell described it as follows:</w:t>
      </w:r>
      <w:r>
        <w:rPr>
          <w:rStyle w:val="FootnoteReference"/>
        </w:rPr>
        <w:footnoteReference w:id="1124"/>
      </w:r>
      <w:r>
        <w:t xml:space="preserve"> </w:t>
      </w:r>
    </w:p>
    <w:p w:rsidR="00BB7CBA" w:rsidRDefault="00BB7CBA" w:rsidP="00BB7CBA">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BB7CBA" w:rsidRDefault="00BB7CBA" w:rsidP="00BB7CBA">
      <w:r>
        <w:t xml:space="preserve">As discussed in section </w:t>
      </w:r>
      <w:r w:rsidR="009F5FA6">
        <w:fldChar w:fldCharType="begin"/>
      </w:r>
      <w:r w:rsidR="009F5FA6">
        <w:instrText xml:space="preserve"> REF _Ref451543983 \r \h </w:instrText>
      </w:r>
      <w:r w:rsidR="009F5FA6">
        <w:fldChar w:fldCharType="separate"/>
      </w:r>
      <w:r w:rsidR="001A023B">
        <w:t>3.3.3</w:t>
      </w:r>
      <w:r w:rsidR="009F5FA6">
        <w:fldChar w:fldCharType="end"/>
      </w:r>
      <w:r>
        <w:t xml:space="preserve"> and </w:t>
      </w:r>
      <w:r>
        <w:fldChar w:fldCharType="begin"/>
      </w:r>
      <w:r>
        <w:instrText xml:space="preserve"> REF _Ref446405872 \r \h </w:instrText>
      </w:r>
      <w:r>
        <w:fldChar w:fldCharType="separate"/>
      </w:r>
      <w:r w:rsidR="001A023B">
        <w:t>H.1.1</w:t>
      </w:r>
      <w:r>
        <w:fldChar w:fldCharType="end"/>
      </w:r>
      <w:r>
        <w:t xml:space="preserve">, we consider efficient financing costs, for debt and equity, should be based on (appropriately benchmarked) prevailing market rates. This reflects the current opportunity cost of capital for investments of similar risk to </w:t>
      </w:r>
      <w:r w:rsidRPr="00F21B32">
        <w:t xml:space="preserve">a benchmark efficient entity in the position of </w:t>
      </w:r>
      <w:r>
        <w:t>a</w:t>
      </w:r>
      <w:r w:rsidRPr="00F21B32">
        <w:t xml:space="preserve"> </w:t>
      </w:r>
      <w:r>
        <w:t>service provider</w:t>
      </w:r>
      <w:r w:rsidRPr="00F21B32">
        <w:t xml:space="preserve"> supplying </w:t>
      </w:r>
      <w:r>
        <w:t>regulated</w:t>
      </w:r>
      <w:r w:rsidRPr="00F21B32">
        <w:t xml:space="preserve"> services</w:t>
      </w:r>
      <w:r>
        <w:t>.</w:t>
      </w:r>
      <w:r>
        <w:rPr>
          <w:rStyle w:val="FootnoteReference"/>
        </w:rPr>
        <w:footnoteReference w:id="1125"/>
      </w:r>
      <w:r>
        <w:t xml:space="preserve"> The opportunity cost of capital is the rate used to discount firms' expected future cash flows in NPV calculations.</w:t>
      </w:r>
      <w:r>
        <w:rPr>
          <w:rStyle w:val="FootnoteReference"/>
        </w:rPr>
        <w:footnoteReference w:id="1126"/>
      </w:r>
    </w:p>
    <w:p w:rsidR="00BB7CBA" w:rsidRDefault="00BB7CBA" w:rsidP="00BB7CBA">
      <w:r>
        <w:t>Under the ex-ante regulatory regime, we reset the allowed rate of return (through the returns on debt and equity) at the commencement of each regulatory period (or annually for the allowed return on debt if we use a trailing average).</w:t>
      </w:r>
      <w:r w:rsidRPr="007627B2">
        <w:t xml:space="preserve"> </w:t>
      </w:r>
      <w:r>
        <w:t>If the allowed rate of return is reset to reflect the prevailing market cost of capital, it provides ex-ante efficient compensation over each reset period.</w:t>
      </w:r>
      <w:r>
        <w:rPr>
          <w:rStyle w:val="FootnoteReference"/>
        </w:rPr>
        <w:footnoteReference w:id="1127"/>
      </w:r>
      <w:r>
        <w:t xml:space="preserve"> </w:t>
      </w:r>
    </w:p>
    <w:p w:rsidR="00BB7CBA" w:rsidRDefault="00BB7CBA" w:rsidP="00BB7CBA">
      <w:r>
        <w:t xml:space="preserve">As shown in section </w:t>
      </w:r>
      <w:r>
        <w:fldChar w:fldCharType="begin"/>
      </w:r>
      <w:r>
        <w:instrText xml:space="preserve"> REF _Ref444767739 \r \h </w:instrText>
      </w:r>
      <w:r>
        <w:fldChar w:fldCharType="separate"/>
      </w:r>
      <w:r w:rsidR="001A023B">
        <w:t>H.3</w:t>
      </w:r>
      <w:r>
        <w:fldChar w:fldCharType="end"/>
      </w:r>
      <w:r>
        <w:t>, the on-the-day approach resets the allowed return on debt to reflect the prevailing market cost of debt at the commencement of each regulatory period. Therefore, it provides ex-ante efficient compensation on debt capital over each regulatory period and over the life of the investment (that is, over the term of the RAB).</w:t>
      </w:r>
      <w:r>
        <w:rPr>
          <w:rStyle w:val="FootnoteReference"/>
        </w:rPr>
        <w:footnoteReference w:id="1128"/>
      </w:r>
      <w:r>
        <w:t xml:space="preserve"> The trailing average approach resets one tenth of the allowed return on debt to reflect the prevailing market cost of debt at the commencement of each regulatory year. As such, it provides ex-ante efficient compensation on debt capital only over the term of the RAB if a full transition is applied.</w:t>
      </w:r>
      <w:r>
        <w:rPr>
          <w:rStyle w:val="FootnoteReference"/>
        </w:rPr>
        <w:footnoteReference w:id="1129"/>
      </w:r>
    </w:p>
    <w:p w:rsidR="00BB7CBA" w:rsidRDefault="00BB7CBA" w:rsidP="00BB7CBA">
      <w:r>
        <w:t xml:space="preserve">The concept of ex-ante efficient compensation can be likened to the valuation of a coupon paying security with interest payments that are either fixed at issuance or reset periodically. Similarly, the regulatory regime allows the regulator to set (ex-ante) a series of fixed cash inflows (revenues) for a service provider that is reset periodically. The basic pricing formula for a debt security (for example, a bond) at time </w:t>
      </w:r>
      <m:oMath>
        <m:r>
          <w:rPr>
            <w:rFonts w:ascii="Cambria Math" w:hAnsi="Cambria Math"/>
          </w:rPr>
          <m:t>t=0</m:t>
        </m:r>
      </m:oMath>
      <w:r>
        <w:t xml:space="preserve"> is as follows:</w:t>
      </w:r>
      <w:r>
        <w:rPr>
          <w:rStyle w:val="FootnoteReference"/>
        </w:rPr>
        <w:footnoteReference w:id="1130"/>
      </w:r>
    </w:p>
    <w:p w:rsidR="00BB7CBA" w:rsidRDefault="007A39AA" w:rsidP="00BB7CBA">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d>
                    <m:dPr>
                      <m:ctrlPr>
                        <w:rPr>
                          <w:rFonts w:ascii="Cambria Math" w:hAnsi="Cambria Math"/>
                          <w:i/>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oMath>
      </m:oMathPara>
    </w:p>
    <w:p w:rsidR="00BB7CBA" w:rsidRDefault="00BB7CBA" w:rsidP="00BB7CBA">
      <w:pPr>
        <w:pStyle w:val="AERbodytextnospace"/>
      </w:pPr>
    </w:p>
    <w:p w:rsidR="00BB7CBA" w:rsidRDefault="00BB7CBA" w:rsidP="00BB7CBA">
      <w:pPr>
        <w:pStyle w:val="AERbodytextnospace"/>
      </w:pPr>
      <w:r>
        <w:t xml:space="preserve">where: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is the price of the bond at time 0 </w:t>
      </w:r>
    </w:p>
    <w:p w:rsidR="00BB7CBA" w:rsidRDefault="00BB7CBA" w:rsidP="00BB7CBA">
      <w:pPr>
        <w:pStyle w:val="AERbodytextnospace"/>
      </w:pPr>
      <w:r>
        <w:tab/>
      </w:r>
      <w:r>
        <w:tab/>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675B9E">
        <w:t xml:space="preserve"> is the coupon </w:t>
      </w:r>
      <w:r>
        <w:t>(or interest) payment at time t—</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T</m:t>
            </m:r>
          </m:sub>
        </m:sSub>
      </m:oMath>
    </w:p>
    <w:p w:rsidR="00BB7CBA" w:rsidRPr="00675B9E" w:rsidRDefault="00BB7CBA" w:rsidP="00BB7CBA">
      <w:pPr>
        <w:pStyle w:val="AERbodytextnospace"/>
      </w:pPr>
      <w:r>
        <w:tab/>
      </w:r>
      <w:r>
        <w:tab/>
      </w:r>
      <m:oMath>
        <m:r>
          <w:rPr>
            <w:rFonts w:ascii="Cambria Math" w:hAnsi="Cambria Math"/>
          </w:rPr>
          <m:t>c</m:t>
        </m:r>
      </m:oMath>
      <w:r>
        <w:t xml:space="preserve"> is the coupon rate </w:t>
      </w:r>
    </w:p>
    <w:p w:rsidR="00BB7CBA" w:rsidRPr="00675B9E" w:rsidRDefault="00BB7CBA" w:rsidP="00BB7CBA">
      <w:pPr>
        <w:pStyle w:val="AERbodytextnospace"/>
      </w:pPr>
      <w:r>
        <w:tab/>
      </w:r>
      <w:r>
        <w:tab/>
      </w: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Pr="00675B9E">
        <w:t xml:space="preserve"> is the required rate of return</w:t>
      </w:r>
      <w:r>
        <w:t xml:space="preserve"> or cost of capital</w:t>
      </w:r>
      <w:r w:rsidRPr="00675B9E">
        <w:t xml:space="preserve"> (based on market rates)</w:t>
      </w:r>
      <w:r>
        <w:t xml:space="preserve"> at time 0</w:t>
      </w:r>
      <w:r w:rsidRPr="00675B9E">
        <w:t xml:space="preserve"> </w:t>
      </w:r>
    </w:p>
    <w:p w:rsidR="00BB7CBA" w:rsidRPr="00675B9E" w:rsidRDefault="00BB7CBA" w:rsidP="00BB7CBA">
      <w:pPr>
        <w:pStyle w:val="AERbodytextnospace"/>
      </w:pPr>
      <w:r>
        <w:tab/>
      </w:r>
      <w:r>
        <w:tab/>
      </w:r>
      <m:oMath>
        <m:sSub>
          <m:sSubPr>
            <m:ctrlPr>
              <w:rPr>
                <w:rFonts w:ascii="Cambria Math" w:hAnsi="Cambria Math"/>
              </w:rPr>
            </m:ctrlPr>
          </m:sSubPr>
          <m:e>
            <m:r>
              <w:rPr>
                <w:rFonts w:ascii="Cambria Math" w:hAnsi="Cambria Math"/>
              </w:rPr>
              <m:t>P</m:t>
            </m:r>
          </m:e>
          <m:sub>
            <m:r>
              <w:rPr>
                <w:rFonts w:ascii="Cambria Math" w:hAnsi="Cambria Math"/>
              </w:rPr>
              <m:t>T</m:t>
            </m:r>
          </m:sub>
        </m:sSub>
      </m:oMath>
      <w:r w:rsidRPr="00675B9E">
        <w:t xml:space="preserve"> is the face </w:t>
      </w:r>
      <w:r>
        <w:t xml:space="preserve">(or par) </w:t>
      </w:r>
      <w:r w:rsidRPr="00675B9E">
        <w:t>value of the bond (or principal repayment) at maturity.</w:t>
      </w:r>
    </w:p>
    <w:p w:rsidR="00BB7CBA" w:rsidRDefault="00BB7CBA" w:rsidP="00BB7CBA">
      <w:r>
        <w:t xml:space="preserve">The above formula shows that </w:t>
      </w:r>
      <w:r w:rsidRPr="00A104B1">
        <w:t xml:space="preserve">for </w:t>
      </w:r>
      <w:r>
        <w:t>a</w:t>
      </w:r>
      <w:r w:rsidRPr="00A104B1">
        <w:t xml:space="preserve"> bond</w:t>
      </w:r>
      <w:r>
        <w:t>'s price</w:t>
      </w:r>
      <w:r w:rsidRPr="00A104B1">
        <w:t xml:space="preserve"> to equal its face (or par) value</w:t>
      </w:r>
      <w:r>
        <w:t>,</w:t>
      </w:r>
      <w:r w:rsidRPr="00A104B1">
        <w:t xml:space="preserve"> </w:t>
      </w:r>
      <w:r>
        <w:t>at any time 0, the coupon rate (which is akin to the allowed rate of return) must be set (or reset) to equal the prevailing cost of capital.</w:t>
      </w:r>
      <w:r>
        <w:rPr>
          <w:rStyle w:val="FootnoteReference"/>
        </w:rPr>
        <w:footnoteReference w:id="1131"/>
      </w:r>
      <w:r>
        <w:t xml:space="preserve"> If the coupon rate is set (or reset) to a value above (below)</w:t>
      </w:r>
      <w:r w:rsidRPr="00407A1E">
        <w:t xml:space="preserve"> </w:t>
      </w:r>
      <w:r>
        <w:t>the prevailing cost of capital, the price of the bond would trade above (below) its face value. This means the investor that paid the face value would be ex-ante over (under) compensated relative to other investments of similar risk.</w:t>
      </w:r>
    </w:p>
    <w:p w:rsidR="00BB7CBA" w:rsidRPr="00F243E1" w:rsidRDefault="00BB7CBA" w:rsidP="00BB7CBA">
      <w:pPr>
        <w:pStyle w:val="HeadingBoldBlue"/>
      </w:pPr>
      <w:r w:rsidRPr="00F243E1">
        <w:t>Compensation for historically incurred costs</w:t>
      </w:r>
    </w:p>
    <w:p w:rsidR="00BB7CBA" w:rsidRDefault="00BB7CBA" w:rsidP="00BB7CBA">
      <w:r w:rsidRPr="00F21B32">
        <w:t xml:space="preserve">We do not interpret the ARORO to require </w:t>
      </w:r>
      <w:r>
        <w:t>us</w:t>
      </w:r>
      <w:r w:rsidRPr="00F21B32">
        <w:t xml:space="preserve"> to compensate </w:t>
      </w:r>
      <w:r>
        <w:t>a benchmark efficient entity</w:t>
      </w:r>
      <w:r w:rsidRPr="00F21B32">
        <w:t xml:space="preserve"> for historically incurred </w:t>
      </w:r>
      <w:r>
        <w:t xml:space="preserve">financing </w:t>
      </w:r>
      <w:r w:rsidRPr="00F21B32">
        <w:t>costs where this will lead to compensation</w:t>
      </w:r>
      <w:r w:rsidRPr="007E79D1">
        <w:t xml:space="preserve"> </w:t>
      </w:r>
      <w:r>
        <w:t>that would not be ex-ante</w:t>
      </w:r>
      <w:r w:rsidRPr="007E79D1">
        <w:t xml:space="preserve"> </w:t>
      </w:r>
      <w:r>
        <w:t>efficient</w:t>
      </w:r>
      <w:r w:rsidRPr="00F21B32">
        <w:t>.</w:t>
      </w:r>
    </w:p>
    <w:p w:rsidR="00BB7CBA" w:rsidRDefault="00BB7CBA" w:rsidP="00BB7CBA">
      <w:r w:rsidRPr="007E018E">
        <w:t xml:space="preserve">We consider </w:t>
      </w:r>
      <w:r>
        <w:t xml:space="preserve">setting an allowed rate of return that provides </w:t>
      </w:r>
      <w:r w:rsidRPr="007E018E">
        <w:t xml:space="preserve">ex-ante efficient compensation gives </w:t>
      </w:r>
      <w:r>
        <w:t>a benchmark eff</w:t>
      </w:r>
      <w:r w:rsidRPr="007E018E">
        <w:t xml:space="preserve">icient entity a reasonable opportunity to recover </w:t>
      </w:r>
      <w:r>
        <w:t>at least</w:t>
      </w:r>
      <w:r w:rsidRPr="007E018E">
        <w:t xml:space="preserve"> efficient </w:t>
      </w:r>
      <w:r>
        <w:t xml:space="preserve">financing </w:t>
      </w:r>
      <w:r w:rsidRPr="00F243E1">
        <w:t>costs.</w:t>
      </w:r>
      <w:r>
        <w:t xml:space="preserve"> This sets a </w:t>
      </w:r>
      <w:r w:rsidRPr="008D38BD">
        <w:rPr>
          <w:rStyle w:val="AERtextunderline"/>
        </w:rPr>
        <w:t>forward looking</w:t>
      </w:r>
      <w:r>
        <w:t xml:space="preserve"> return on investment based on investor expectations, and does not provide compensation for actual (historical) cost outcomes that can only be identified ex-post. As such, we consider ex-post movement in interest rates (after the allowed rate of return has been set for a regulatory period) do not affect the principle of ex-ante efficient compensation as long as the ex-ante rate of return appropriately reflects the risk of the investment in the RAB.</w:t>
      </w:r>
      <w:r>
        <w:rPr>
          <w:rStyle w:val="FootnoteReference"/>
        </w:rPr>
        <w:footnoteReference w:id="1132"/>
      </w:r>
      <w:r w:rsidRPr="00B73697">
        <w:t xml:space="preserve"> </w:t>
      </w:r>
      <w:r>
        <w:t>Partington and Satchell agree with this view.</w:t>
      </w:r>
      <w:r>
        <w:rPr>
          <w:rStyle w:val="FootnoteReference"/>
        </w:rPr>
        <w:footnoteReference w:id="1133"/>
      </w:r>
      <w:r>
        <w:t xml:space="preserve"> The timeline below shows how we consider ex-post movements in interest rates (and historical costs) relate to ex-ante efficient compensation.</w:t>
      </w:r>
    </w:p>
    <w:p w:rsidR="00343764" w:rsidRDefault="00343764" w:rsidP="00BB7CBA">
      <w:r w:rsidRPr="00343764">
        <w:rPr>
          <w:noProof/>
          <w:lang w:eastAsia="en-AU"/>
        </w:rPr>
        <mc:AlternateContent>
          <mc:Choice Requires="wpg">
            <w:drawing>
              <wp:inline distT="0" distB="0" distL="0" distR="0" wp14:anchorId="2E460F08" wp14:editId="50BB67EB">
                <wp:extent cx="5086350" cy="2524125"/>
                <wp:effectExtent l="38100" t="0" r="0" b="0"/>
                <wp:docPr id="7" name="Group 7"/>
                <wp:cNvGraphicFramePr/>
                <a:graphic xmlns:a="http://schemas.openxmlformats.org/drawingml/2006/main">
                  <a:graphicData uri="http://schemas.microsoft.com/office/word/2010/wordprocessingGroup">
                    <wpg:wgp>
                      <wpg:cNvGrpSpPr/>
                      <wpg:grpSpPr>
                        <a:xfrm>
                          <a:off x="0" y="0"/>
                          <a:ext cx="5086350" cy="2524125"/>
                          <a:chOff x="0" y="0"/>
                          <a:chExt cx="4411384" cy="2203376"/>
                        </a:xfrm>
                      </wpg:grpSpPr>
                      <wpg:grpSp>
                        <wpg:cNvPr id="12" name="Group 12"/>
                        <wpg:cNvGrpSpPr/>
                        <wpg:grpSpPr>
                          <a:xfrm>
                            <a:off x="0" y="0"/>
                            <a:ext cx="4411384" cy="2203376"/>
                            <a:chOff x="0" y="0"/>
                            <a:chExt cx="4411384" cy="2203376"/>
                          </a:xfrm>
                        </wpg:grpSpPr>
                        <wpg:grpSp>
                          <wpg:cNvPr id="14" name="Group 14"/>
                          <wpg:cNvGrpSpPr/>
                          <wpg:grpSpPr>
                            <a:xfrm>
                              <a:off x="0" y="0"/>
                              <a:ext cx="4411384" cy="2203376"/>
                              <a:chOff x="0" y="1"/>
                              <a:chExt cx="4411384" cy="2203376"/>
                            </a:xfrm>
                          </wpg:grpSpPr>
                          <wps:wsp>
                            <wps:cNvPr id="18" name="Text Box 18"/>
                            <wps:cNvSpPr txBox="1"/>
                            <wps:spPr>
                              <a:xfrm>
                                <a:off x="1524000" y="1"/>
                                <a:ext cx="1209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DD6" w:rsidRDefault="00702DD6" w:rsidP="00343764">
                                  <w:pPr>
                                    <w:pStyle w:val="AERbodytextnospaceleftalign"/>
                                  </w:pPr>
                                  <w:r>
                                    <w:t>reset date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 name="Group 19"/>
                            <wpg:cNvGrpSpPr/>
                            <wpg:grpSpPr>
                              <a:xfrm>
                                <a:off x="0" y="257175"/>
                                <a:ext cx="4019550" cy="492442"/>
                                <a:chOff x="0" y="0"/>
                                <a:chExt cx="4019550" cy="492442"/>
                              </a:xfrm>
                            </wpg:grpSpPr>
                            <wps:wsp>
                              <wps:cNvPr id="21" name="Straight Arrow Connector 21"/>
                              <wps:cNvCnPr/>
                              <wps:spPr>
                                <a:xfrm>
                                  <a:off x="0" y="66675"/>
                                  <a:ext cx="40195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2" name="Oval 22"/>
                              <wps:cNvSpPr/>
                              <wps:spPr>
                                <a:xfrm>
                                  <a:off x="1847850" y="0"/>
                                  <a:ext cx="104775" cy="1333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ight Brace 24"/>
                              <wps:cNvSpPr/>
                              <wps:spPr>
                                <a:xfrm rot="5400000">
                                  <a:off x="828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ight Brace 25"/>
                              <wps:cNvSpPr/>
                              <wps:spPr>
                                <a:xfrm rot="5400000">
                                  <a:off x="2733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8" name="Text Box 288"/>
                            <wps:cNvSpPr txBox="1"/>
                            <wps:spPr>
                              <a:xfrm>
                                <a:off x="57149" y="733425"/>
                                <a:ext cx="1790701" cy="1229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DD6" w:rsidRDefault="00702DD6" w:rsidP="00343764">
                                  <w:pPr>
                                    <w:pStyle w:val="AERbodytextnospaceleftalign"/>
                                  </w:pPr>
                                  <w:r>
                                    <w:t>Historically incurred costs:</w:t>
                                  </w:r>
                                </w:p>
                                <w:p w:rsidR="00702DD6" w:rsidRDefault="00702DD6" w:rsidP="00343764">
                                  <w:pPr>
                                    <w:pStyle w:val="AERbodytextnospaceleftalign"/>
                                  </w:pPr>
                                  <w:r>
                                    <w:t>—incorporating these into the rate of return at date x does not lead to ex-ante efficient compensation for the reset period (x to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2031046" y="742669"/>
                                <a:ext cx="2380338" cy="1460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DD6" w:rsidRDefault="00702DD6" w:rsidP="00343764">
                                  <w:pPr>
                                    <w:pStyle w:val="AERbodytextnospaceleftalign"/>
                                  </w:pPr>
                                  <w:r>
                                    <w:t>Ex-post movement in interest rates:</w:t>
                                  </w:r>
                                </w:p>
                                <w:p w:rsidR="00702DD6" w:rsidRDefault="00702DD6" w:rsidP="00343764">
                                  <w:pPr>
                                    <w:pStyle w:val="AERbodytextnospaceleftalign"/>
                                  </w:pPr>
                                  <w:r>
                                    <w:t>—unknown at date x, but the associated risks are priced into the forward looking rate of return at date x</w:t>
                                  </w:r>
                                </w:p>
                                <w:p w:rsidR="00702DD6" w:rsidRDefault="00702DD6" w:rsidP="00343764">
                                  <w:pPr>
                                    <w:pStyle w:val="AERbodytextnospaceleftalign"/>
                                  </w:pPr>
                                  <w:r>
                                    <w:t>—known at date x+1, but any impact on costs incurred over this period is historical and should not be incorporated into the forward looking rate of return at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7" name="Text Box 297"/>
                          <wps:cNvSpPr txBox="1"/>
                          <wps:spPr>
                            <a:xfrm>
                              <a:off x="3276600" y="0"/>
                              <a:ext cx="10001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DD6" w:rsidRDefault="00702DD6" w:rsidP="00343764">
                                <w:pPr>
                                  <w:pStyle w:val="AERbodytextnospaceleftalign"/>
                                </w:pPr>
                                <w:r>
                                  <w:t>reset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8" name="Oval 298"/>
                        <wps:cNvSpPr/>
                        <wps:spPr>
                          <a:xfrm>
                            <a:off x="3743325" y="257175"/>
                            <a:ext cx="104775" cy="13271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7" o:spid="_x0000_s1028" style="width:400.5pt;height:198.75pt;mso-position-horizontal-relative:char;mso-position-vertical-relative:line" coordsize="44113,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">
                <v:group id="Group 12" o:spid="_x0000_s1029" style="position:absolute;width:44113;height:22033"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4" o:spid="_x0000_s1030" style="position:absolute;width:44113;height:22033" coordorigin=""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18" o:spid="_x0000_s1031" type="#_x0000_t202" style="position:absolute;left:1524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702DD6" w:rsidRDefault="00702DD6" w:rsidP="00343764">
                            <w:pPr>
                              <w:pStyle w:val="AERbodytextnospaceleftalign"/>
                            </w:pPr>
                            <w:r>
                              <w:t>reset date x</w:t>
                            </w:r>
                          </w:p>
                        </w:txbxContent>
                      </v:textbox>
                    </v:shape>
                    <v:group id="Group 19" o:spid="_x0000_s1032" style="position:absolute;top:2571;width:40195;height:4925" coordsize="40195,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32" coordsize="21600,21600" o:spt="32" o:oned="t" path="m,l21600,21600e" filled="f">
                        <v:path arrowok="t" fillok="f" o:connecttype="none"/>
                        <o:lock v:ext="edit" shapetype="t"/>
                      </v:shapetype>
                      <v:shape id="Straight Arrow Connector 21" o:spid="_x0000_s1033" type="#_x0000_t32" style="position:absolute;top:666;width:40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1RmMMAAADbAAAADwAAAGRycy9kb3ducmV2LnhtbESPT4vCMBTE74LfITzBi9i0HkSqqSwL&#10;/jm5rPXg8dG8bcs2L6VJbf32ZkHY4zAzv2F2+9E04kGdqy0rSKIYBHFhdc2lglt+WG5AOI+ssbFM&#10;Cp7kYJ9NJztMtR34mx5XX4oAYZeigsr7NpXSFRUZdJFtiYP3YzuDPsiulLrDIcBNI1dxvJYGaw4L&#10;Fbb0WVHxe+2NAieT2zAkX8dzubjkvT8t6HLvlZrPxo8tCE+j/w+/22etYJXA35fwA2T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tUZjDAAAA2wAAAA8AAAAAAAAAAAAA&#10;AAAAoQIAAGRycy9kb3ducmV2LnhtbFBLBQYAAAAABAAEAPkAAACRAwAAAAA=&#10;" strokecolor="#06648a [3040]">
                        <v:stroke startarrow="open" endarrow="open"/>
                      </v:shape>
                      <v:oval id="Oval 22" o:spid="_x0000_s1034" style="position:absolute;left:18478;width:104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cYcIA&#10;AADbAAAADwAAAGRycy9kb3ducmV2LnhtbESPQYvCMBSE7wv+h/AEb2tqD2q7RhFBUPFiK3h927xt&#10;uzYvpYla/71ZWPA4zMw3zGLVm0bcqXO1ZQWTcQSCuLC65lLBOd9+zkE4j6yxsUwKnuRgtRx8LDDV&#10;9sEnume+FAHCLkUFlfdtKqUrKjLoxrYlDt6P7Qz6ILtS6g4fAW4aGUfRVBqsOSxU2NKmouKa3YyC&#10;8nR1hxiT4vc7mWX7ps6PySVXajTs118gPPX+Hf5v77SCOIa/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5xhwgAAANsAAAAPAAAAAAAAAAAAAAAAAJgCAABkcnMvZG93&#10;bnJldi54bWxQSwUGAAAAAAQABAD1AAAAhwMAAAAA&#10;" fillcolor="white [3201]" strokecolor="#076a92 [3200]"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4" o:spid="_x0000_s1035" type="#_x0000_t88" style="position:absolute;left:828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qvcUA&#10;AADbAAAADwAAAGRycy9kb3ducmV2LnhtbESPT4vCMBTE78J+h/AW9qapoiLVKO6i4iIe/HPx9mie&#10;bbV5KU22Vj/9RhA8DjPzG2Yya0whaqpcbllBtxOBIE6szjlVcDws2yMQziNrLCyTgjs5mE0/WhOM&#10;tb3xjuq9T0WAsItRQeZ9GUvpkowMuo4tiYN3tpVBH2SVSl3hLcBNIXtRNJQGcw4LGZb0k1Fy3f8Z&#10;BXV/dd1eFsXh/r1bn1ZH/dgMfi9KfX028zEIT41/h1/ttVbQ68PzS/gB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iq9xQAAANsAAAAPAAAAAAAAAAAAAAAAAJgCAABkcnMv&#10;ZG93bnJldi54bWxQSwUGAAAAAAQABAD1AAAAigMAAAAA&#10;" adj="269" strokecolor="#06648a [3040]"/>
                      <v:shape id="Right Brace 25" o:spid="_x0000_s1036" type="#_x0000_t88" style="position:absolute;left:2733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PJscA&#10;AADbAAAADwAAAGRycy9kb3ducmV2LnhtbESPT2vCQBTE7wW/w/IEb3XTYKREV6nSSkrpwT+X3h7Z&#10;ZxLNvg3ZbRL76bsFocdhZn7DLNeDqUVHrassK3iaRiCIc6srLhScjm+PzyCcR9ZYWyYFN3KwXo0e&#10;lphq2/OeuoMvRICwS1FB6X2TSunykgy6qW2Ig3e2rUEfZFtI3WIf4KaWcRTNpcGKw0KJDW1Lyq+H&#10;b6Ogm+2un5fX+njb7LOv3Un/fCTvF6Um4+FlAcLT4P/D93amFcQJ/H0JP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KjybHAAAA2wAAAA8AAAAAAAAAAAAAAAAAmAIAAGRy&#10;cy9kb3ducmV2LnhtbFBLBQYAAAAABAAEAPUAAACMAwAAAAA=&#10;" adj="269" strokecolor="#06648a [3040]"/>
                    </v:group>
                    <v:shape id="Text Box 288" o:spid="_x0000_s1037" type="#_x0000_t202" style="position:absolute;left:571;top:7334;width:17907;height:1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702DD6" w:rsidRDefault="00702DD6" w:rsidP="00343764">
                            <w:pPr>
                              <w:pStyle w:val="AERbodytextnospaceleftalign"/>
                            </w:pPr>
                            <w:r>
                              <w:t>Historically incurred costs:</w:t>
                            </w:r>
                          </w:p>
                          <w:p w:rsidR="00702DD6" w:rsidRDefault="00702DD6" w:rsidP="00343764">
                            <w:pPr>
                              <w:pStyle w:val="AERbodytextnospaceleftalign"/>
                            </w:pPr>
                            <w:r>
                              <w:t>—incorporating these into the rate of return at date x does not lead to ex-ante efficient compensation for the reset period (x to x+1)</w:t>
                            </w:r>
                          </w:p>
                        </w:txbxContent>
                      </v:textbox>
                    </v:shape>
                    <v:shape id="Text Box 293" o:spid="_x0000_s1038" type="#_x0000_t202" style="position:absolute;left:20310;top:7426;width:23803;height:1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gj8cA&#10;AADcAAAADwAAAGRycy9kb3ducmV2LnhtbESPzWvCQBTE7wX/h+UJ3urGl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YI/HAAAA3AAAAA8AAAAAAAAAAAAAAAAAmAIAAGRy&#10;cy9kb3ducmV2LnhtbFBLBQYAAAAABAAEAPUAAACMAwAAAAA=&#10;" filled="f" stroked="f" strokeweight=".5pt">
                      <v:textbox>
                        <w:txbxContent>
                          <w:p w:rsidR="00702DD6" w:rsidRDefault="00702DD6" w:rsidP="00343764">
                            <w:pPr>
                              <w:pStyle w:val="AERbodytextnospaceleftalign"/>
                            </w:pPr>
                            <w:r>
                              <w:t>Ex-post movement in interest rates:</w:t>
                            </w:r>
                          </w:p>
                          <w:p w:rsidR="00702DD6" w:rsidRDefault="00702DD6" w:rsidP="00343764">
                            <w:pPr>
                              <w:pStyle w:val="AERbodytextnospaceleftalign"/>
                            </w:pPr>
                            <w:r>
                              <w:t>—unknown at date x, but the associated risks are priced into the forward looking rate of return at date x</w:t>
                            </w:r>
                          </w:p>
                          <w:p w:rsidR="00702DD6" w:rsidRDefault="00702DD6" w:rsidP="00343764">
                            <w:pPr>
                              <w:pStyle w:val="AERbodytextnospaceleftalign"/>
                            </w:pPr>
                            <w:r>
                              <w:t>—known at date x+1, but any impact on costs incurred over this period is historical and should not be incorporated into the forward looking rate of return at date x+1</w:t>
                            </w:r>
                          </w:p>
                        </w:txbxContent>
                      </v:textbox>
                    </v:shape>
                  </v:group>
                  <v:shape id="Text Box 297" o:spid="_x0000_s1039" type="#_x0000_t202" style="position:absolute;left:32766;width:1000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mjMcA&#10;AADcAAAADwAAAGRycy9kb3ducmV2LnhtbESPzWvCQBTE7wX/h+UJ3urGQFuNWUUC0lLswY+Lt2f2&#10;5QOzb2N21dS/vlso9DjMzG+YdNmbRtyoc7VlBZNxBII4t7rmUsFhv36egnAeWWNjmRR8k4PlYvCU&#10;YqLtnbd02/lSBAi7BBVU3reJlC6vyKAb25Y4eIXtDPogu1LqDu8BbhoZR9GrNFhzWKiwpayi/Ly7&#10;GgWf2foLt6fYTB9N9r4pVu3lcHxRajTsV3MQnnr/H/5rf2gF8ewN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SZozHAAAA3AAAAA8AAAAAAAAAAAAAAAAAmAIAAGRy&#10;cy9kb3ducmV2LnhtbFBLBQYAAAAABAAEAPUAAACMAwAAAAA=&#10;" filled="f" stroked="f" strokeweight=".5pt">
                    <v:textbox>
                      <w:txbxContent>
                        <w:p w:rsidR="00702DD6" w:rsidRDefault="00702DD6" w:rsidP="00343764">
                          <w:pPr>
                            <w:pStyle w:val="AERbodytextnospaceleftalign"/>
                          </w:pPr>
                          <w:r>
                            <w:t>reset date x+1</w:t>
                          </w:r>
                        </w:p>
                      </w:txbxContent>
                    </v:textbox>
                  </v:shape>
                </v:group>
                <v:oval id="Oval 298" o:spid="_x0000_s1040" style="position:absolute;left:37433;top:2571;width:1048;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rTcEA&#10;AADcAAAADwAAAGRycy9kb3ducmV2LnhtbERPTYvCMBC9L/gfwgh726b2sNpqFBEW1sWLreB1bMa2&#10;2kxKE7X7781B8Ph434vVYFpxp941lhVMohgEcWl1w5WCQ/HzNQPhPLLG1jIp+CcHq+XoY4GZtg/e&#10;0z33lQgh7DJUUHvfZVK6siaDLrIdceDOtjfoA+wrqXt8hHDTyiSOv6XBhkNDjR1taiqv+c0oqPZX&#10;95dgWl5O6TTftk2xS4+FUp/jYT0H4Wnwb/HL/asVJGlYG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AK03BAAAA3AAAAA8AAAAAAAAAAAAAAAAAmAIAAGRycy9kb3du&#10;cmV2LnhtbFBLBQYAAAAABAAEAPUAAACGAwAAAAA=&#10;" fillcolor="white [3201]" strokecolor="#076a92 [3200]" strokeweight="2pt"/>
                <w10:anchorlock/>
              </v:group>
            </w:pict>
          </mc:Fallback>
        </mc:AlternateContent>
      </w:r>
    </w:p>
    <w:p w:rsidR="00BB7CBA" w:rsidRDefault="00BB7CBA" w:rsidP="00BB7CBA">
      <w:r>
        <w:t>If, at reset date x+1, we set an allowed rate of return that provides compensation for a service provider's actual (historical) cost outcomes from the previous period, we would</w:t>
      </w:r>
      <w:r w:rsidRPr="00F82FB2">
        <w:t xml:space="preserve"> </w:t>
      </w:r>
      <w:r>
        <w:t xml:space="preserve">effectively remove realised gains or losses from risk it had previously borne. </w:t>
      </w:r>
      <w:r w:rsidRPr="00F21B32">
        <w:t>The regulatory regime is an ex-ante regime that is not intended to remove all</w:t>
      </w:r>
      <w:r>
        <w:t xml:space="preserve"> </w:t>
      </w:r>
      <w:r w:rsidRPr="00F21B32">
        <w:t xml:space="preserve">risk from </w:t>
      </w:r>
      <w:r>
        <w:t>service providers and their capital investors</w:t>
      </w:r>
      <w:r w:rsidRPr="00F21B32">
        <w:t xml:space="preserve">. </w:t>
      </w:r>
      <w:r>
        <w:t xml:space="preserve">We set a </w:t>
      </w:r>
      <w:r w:rsidRPr="008D38BD">
        <w:t>forward looking</w:t>
      </w:r>
      <w:r>
        <w:t xml:space="preserve"> allowed rate of return that compensates investors with a risk premium over the risk free rate for the compensable risk of their investment. The risk premiums we set (on both debt and equity) are based on appropriate benchmark returns from capital markets. If we removed all risks facing capital investors then the appropriate return would theoretically be the risk free rate. </w:t>
      </w:r>
    </w:p>
    <w:p w:rsidR="00BB7CBA" w:rsidRDefault="00BB7CBA" w:rsidP="00BB7CBA">
      <w:r>
        <w:t xml:space="preserve">Critically, if an investor, at date x+1, looks back and sees it made a  gain (or loss) in relation to an investment it made at date x, this does not mean the investor is incorrectly over (or under) compensated. The gain (or loss) is due to the realisation of risk that was associated with the investment when it was made at date x. Likewise, service providers (and their investors) are not incorrectly compensated because they (at date x+1, looking back) have made a loss (or gain) due to ex-post movements in interest rates impacting the value of their liabilities differently to their regulated revenue set at date x. Again, the gain (or loss) is due to an ex-post realisation of risk, risk for which investors received ex-ante compensation for bearing. This is accepted risk, which is a critical part of the choice to make a risky investment. </w:t>
      </w:r>
    </w:p>
    <w:p w:rsidR="00BB7CBA" w:rsidRDefault="00BB7CBA" w:rsidP="00BB7CBA">
      <w:r>
        <w:t>In an investment context there is no need to compensate investors for gains or losses resulting from a realisation of risk for which they have been ex ante efficiently compensated for bearing. In our regulatory context, investors have invested in the service providers we regulate under the knowledge they would bear the interest rate risk associated with the on-the-day methodology. In addition, the way we benchmark the allowed rate of return (in particular, the return on equity) provides compensation for bearing this risk (see below). On this basis, we consider no further compensation for the gains or losses associated with ex-post movements in interest rates is required or appropriate.</w:t>
      </w:r>
      <w:r>
        <w:rPr>
          <w:rStyle w:val="FootnoteReference"/>
        </w:rPr>
        <w:footnoteReference w:id="1134"/>
      </w:r>
      <w:r>
        <w:t xml:space="preserve"> </w:t>
      </w:r>
    </w:p>
    <w:p w:rsidR="00BB7CBA" w:rsidRDefault="00BB7CBA" w:rsidP="00BB7CBA">
      <w:pPr>
        <w:pStyle w:val="HeadingBoldItalic"/>
      </w:pPr>
      <w:r>
        <w:t>Desirability of minimising mismatch</w:t>
      </w:r>
    </w:p>
    <w:p w:rsidR="00BB7CBA" w:rsidRDefault="00BB7CBA" w:rsidP="00BB7CBA">
      <w:r w:rsidRPr="00F21B32">
        <w:t>In determi</w:t>
      </w:r>
      <w:r>
        <w:t xml:space="preserve">ning the allowed return on debt, we are required to </w:t>
      </w:r>
      <w:r w:rsidRPr="00F21B32">
        <w:t>have regard to the</w:t>
      </w:r>
      <w:r>
        <w:t xml:space="preserve"> '</w:t>
      </w:r>
      <w:r w:rsidRPr="00F21B32">
        <w:t>mismatch</w:t>
      </w:r>
      <w:r>
        <w:t>'</w:t>
      </w:r>
      <w:r w:rsidRPr="00F21B32">
        <w:t xml:space="preserve"> between </w:t>
      </w:r>
      <w:r>
        <w:t>a benchmark eff</w:t>
      </w:r>
      <w:r w:rsidRPr="00F21B32">
        <w:t xml:space="preserve">icient </w:t>
      </w:r>
      <w:r>
        <w:t>entity's</w:t>
      </w:r>
      <w:r w:rsidRPr="00F21B32">
        <w:t xml:space="preserve"> actual debt cost</w:t>
      </w:r>
      <w:r>
        <w:t xml:space="preserve"> outcomes (or cash outflows)</w:t>
      </w:r>
      <w:r w:rsidRPr="00F21B32">
        <w:t xml:space="preserve"> and the </w:t>
      </w:r>
      <w:r>
        <w:t xml:space="preserve">return on </w:t>
      </w:r>
      <w:r w:rsidRPr="00F21B32">
        <w:t>debt allowance</w:t>
      </w:r>
      <w:r>
        <w:t>.</w:t>
      </w:r>
      <w:r>
        <w:rPr>
          <w:rStyle w:val="FootnoteReference"/>
        </w:rPr>
        <w:footnoteReference w:id="1135"/>
      </w:r>
      <w:r>
        <w:t xml:space="preserve"> However, we do not consider that this </w:t>
      </w:r>
      <w:r w:rsidRPr="00F21B32">
        <w:t>permit</w:t>
      </w:r>
      <w:r>
        <w:t>s</w:t>
      </w:r>
      <w:r w:rsidRPr="00F21B32">
        <w:t xml:space="preserve"> </w:t>
      </w:r>
      <w:r>
        <w:t>us</w:t>
      </w:r>
      <w:r w:rsidRPr="00F21B32">
        <w:t xml:space="preserve"> to set a rate of return that will not meet the ARORO or will not achieve the NEO/NGO.</w:t>
      </w:r>
    </w:p>
    <w:p w:rsidR="00BB7CBA" w:rsidRDefault="00BB7CBA" w:rsidP="00BB7CBA">
      <w:r>
        <w:t xml:space="preserve">Rather, some mismatch between the </w:t>
      </w:r>
      <w:r w:rsidRPr="00F21B32">
        <w:t>actual (cash) debt costs and the regulated debt allowance</w:t>
      </w:r>
      <w:r>
        <w:t xml:space="preserve"> is an intrinsic part of incentive regulation</w:t>
      </w:r>
      <w:r w:rsidRPr="00BB7CBA">
        <w:t>―</w:t>
      </w:r>
      <w:r>
        <w:t>whether the allowance is set using a trailing average approach or otherwise. This is because a mismatch can only be identified ex-post and we set an ex-ante fixed regulatory allowance based on forecast efficient costs. This allowance is not revised ex-post for a service provider's actual (historical) costs (see above).</w:t>
      </w:r>
      <w:r>
        <w:rPr>
          <w:rStyle w:val="FootnoteReference"/>
        </w:rPr>
        <w:footnoteReference w:id="1136"/>
      </w:r>
      <w:r>
        <w:t xml:space="preserve"> SFG recognised this in its report for the Australian Energy Market Commission (AEMC). Here, SFG</w:t>
      </w:r>
      <w:r w:rsidRPr="00F21B32">
        <w:t xml:space="preserve"> </w:t>
      </w:r>
      <w:r>
        <w:t>considered a mismatch between</w:t>
      </w:r>
      <w:r w:rsidRPr="00F21B32">
        <w:t xml:space="preserve"> a firm</w:t>
      </w:r>
      <w:r>
        <w:t>'</w:t>
      </w:r>
      <w:r w:rsidRPr="00F21B32">
        <w:t xml:space="preserve">s debt service payments </w:t>
      </w:r>
      <w:r>
        <w:t>and</w:t>
      </w:r>
      <w:r w:rsidRPr="00F21B32">
        <w:t xml:space="preserve"> the regulatory allowance</w:t>
      </w:r>
      <w:r>
        <w:t xml:space="preserve"> could arise for a number of reasons, including:</w:t>
      </w:r>
      <w:r w:rsidRPr="000666D4">
        <w:rPr>
          <w:rStyle w:val="FootnoteReference"/>
        </w:rPr>
        <w:footnoteReference w:id="1137"/>
      </w:r>
    </w:p>
    <w:p w:rsidR="00BB7CBA" w:rsidRPr="00BB7CBA" w:rsidRDefault="00BB7CBA" w:rsidP="00BB7CBA">
      <w:pPr>
        <w:pStyle w:val="AERbulletlistfirststyle"/>
      </w:pPr>
      <w:r w:rsidRPr="00F21B32">
        <w:t>‘because the cost of capital is, in fact, variable over time’</w:t>
      </w:r>
      <w:r w:rsidRPr="00BB7CBA">
        <w:t xml:space="preserve"> rather than because there is problem with the measurement</w:t>
      </w:r>
    </w:p>
    <w:p w:rsidR="00BB7CBA" w:rsidRPr="00BB7CBA" w:rsidRDefault="00BB7CBA" w:rsidP="00BB7CBA">
      <w:pPr>
        <w:pStyle w:val="AERbulletlistfirststyle"/>
      </w:pPr>
      <w:r>
        <w:t xml:space="preserve">because </w:t>
      </w:r>
      <w:r w:rsidRPr="00BB7CBA">
        <w:t>'there may be a difference between the rate at which the business can borrow and the regulatory benchmark'.</w:t>
      </w:r>
    </w:p>
    <w:p w:rsidR="00BB7CBA" w:rsidRDefault="00BB7CBA" w:rsidP="00BB7CBA">
      <w:r>
        <w:t>We consider</w:t>
      </w:r>
      <w:r w:rsidRPr="00F21B32">
        <w:t xml:space="preserve"> a</w:t>
      </w:r>
      <w:r>
        <w:t xml:space="preserve"> service provider's ex-post</w:t>
      </w:r>
      <w:r w:rsidRPr="00F21B32">
        <w:t xml:space="preserve"> mismatch does not (of itself) i</w:t>
      </w:r>
      <w:r>
        <w:t xml:space="preserve">mply the regulator is setting a </w:t>
      </w:r>
      <w:r w:rsidRPr="00F21B32">
        <w:t xml:space="preserve">rate of return that will not </w:t>
      </w:r>
      <w:r>
        <w:t xml:space="preserve">appropriately </w:t>
      </w:r>
      <w:r w:rsidRPr="00F21B32">
        <w:t xml:space="preserve">compensate a </w:t>
      </w:r>
      <w:r>
        <w:t>benchmark efficient entity</w:t>
      </w:r>
      <w:r w:rsidRPr="00F21B32">
        <w:t xml:space="preserve"> for its efficient cost of debt finance. </w:t>
      </w:r>
      <w:r>
        <w:t>A mismatch does not mean the present value of the ex-ante allowed return on debt (or return on capital) cash flows will not equal the present value of a benchmark efficient entity's ex-ante efficient debt financing costs (or overall capital financing costs). Rather, we consider it is the risk of a mismatch occurring that is relevant to ex-ante regulation. This risk is a form of interest rate risk.</w:t>
      </w:r>
    </w:p>
    <w:p w:rsidR="00BB7CBA" w:rsidRDefault="00BB7CBA" w:rsidP="00BB7CBA">
      <w:r>
        <w:t xml:space="preserve">In section </w:t>
      </w:r>
      <w:r>
        <w:fldChar w:fldCharType="begin"/>
      </w:r>
      <w:r>
        <w:instrText xml:space="preserve"> REF _Ref444773920 \r \h </w:instrText>
      </w:r>
      <w:r>
        <w:fldChar w:fldCharType="separate"/>
      </w:r>
      <w:r w:rsidR="001A023B">
        <w:t>H.3.3</w:t>
      </w:r>
      <w:r>
        <w:fldChar w:fldCharType="end"/>
      </w:r>
      <w:r>
        <w:t>, we show (through present value relationships) that both an on-the-day and trailing average approach (with a full transition) should, in principle, provide the same ex-ante compensation for a benchmark efficient entity's efficient financing costs over the term of the RAB. We consider these present value relationships show both approaches can provide a benchmark efficient entity with ex-ante efficient compensation and meet the ARORO. There is no ex-ante over- or under-compensation overall (that is, over the term of the RAB), regardless of a benchmark efficient entity's actual (ex-post) cost outcomes.</w:t>
      </w:r>
    </w:p>
    <w:p w:rsidR="00BB7CBA" w:rsidRDefault="00BB7CBA" w:rsidP="00BB7CBA">
      <w:r>
        <w:t>We consider ex-ante systematic over- or under-compensation can only occur if the interest rate risk arising from an expected mismatch affects a benchmark efficient entity's cost of capital and the allowed rate of return does not reflect this. However, we benchmark the allowed rate of return (which requires consistently benchmarking the return on debt, return on equity and gearing)</w:t>
      </w:r>
      <w:r>
        <w:rPr>
          <w:rStyle w:val="FootnoteReference"/>
        </w:rPr>
        <w:footnoteReference w:id="1138"/>
      </w:r>
      <w:r>
        <w:t xml:space="preserve"> on observed data from service providers comparable to a benchmark efficient entity operating under an on-the-day approach (where the risk of mismatch is likely more material).</w:t>
      </w:r>
      <w:r>
        <w:rPr>
          <w:rStyle w:val="FootnoteReference"/>
        </w:rPr>
        <w:footnoteReference w:id="1139"/>
      </w:r>
      <w:r>
        <w:t xml:space="preserve"> Therefore, the allowed rate of return should be commensurate with the efficient financing costs of a benchmark efficient entity with a similar degree of risk as a regulated service provider operating under this approach.</w:t>
      </w:r>
      <w:r w:rsidRPr="00FB1598">
        <w:t xml:space="preserve"> </w:t>
      </w:r>
      <w:r>
        <w:t>To the extent a benchmark efficient entity's investors expect that moving to a  trailing average approach would reduce the  risk they require compensation for, our allowed return on debt will likely be generous to service providers.</w:t>
      </w:r>
      <w:r>
        <w:rPr>
          <w:rStyle w:val="FootnoteReference"/>
        </w:rPr>
        <w:footnoteReference w:id="1140"/>
      </w:r>
      <w:r>
        <w:t xml:space="preserve"> In particular, our estimate of systematic risk (beta) includes historical data, which will capture the systematic risk that a benchmark efficient entity would have been exposed to under the on-the-day approach.</w:t>
      </w:r>
    </w:p>
    <w:p w:rsidR="00BB7CBA" w:rsidRDefault="00BB7CBA" w:rsidP="00BB7CBA">
      <w:r>
        <w:t xml:space="preserve">We also note that Partington and Satchell consider mismatch between a service provider's </w:t>
      </w:r>
      <w:r w:rsidRPr="00F21B32">
        <w:t xml:space="preserve">actual </w:t>
      </w:r>
      <w:r>
        <w:t>incurred cost of debt and allowed return on debt is a consequence of its particular debt financing choices. They do not consider this affects a benchmark efficient entity's opportunity to earn the efficient return on its RAB.</w:t>
      </w:r>
      <w:r>
        <w:rPr>
          <w:rStyle w:val="FootnoteReference"/>
        </w:rPr>
        <w:footnoteReference w:id="1141"/>
      </w:r>
      <w:r>
        <w:t xml:space="preserve"> </w:t>
      </w:r>
    </w:p>
    <w:p w:rsidR="00BB7CBA" w:rsidRDefault="00BB7CBA" w:rsidP="00BB7CBA">
      <w:r>
        <w:t>Moreover, the desirability of minimising (ex-post) debt cash flow mismatch is not the only type of interest rate mismatch risk we consider relevant. The rules require us to have regard to the desirability of minimising this type of mismatch for a benchmark efficient entity. However, there can also be a mismatch between the allowed return on debt and the prevailing cost of debt for a benchmark efficient entity at the time at which the allowed rate of return is reset. We consider this can affect the ability of a return on debt approach to provide ex-ante efficient compensation, and can also result in investment distortions.</w:t>
      </w:r>
      <w:r>
        <w:rPr>
          <w:rStyle w:val="FootnoteReference"/>
        </w:rPr>
        <w:footnoteReference w:id="1142"/>
      </w:r>
      <w:r w:rsidRPr="008C3695">
        <w:t xml:space="preserve"> </w:t>
      </w:r>
      <w:r>
        <w:t xml:space="preserve">To the extent that this type of mismatch results in compensation that is not ex-ante efficient, we consider this would not meet the ARORO. </w:t>
      </w:r>
    </w:p>
    <w:p w:rsidR="00BB7CBA" w:rsidRDefault="00BB7CBA" w:rsidP="00BB7CBA">
      <w:r>
        <w:t xml:space="preserve">While a trailing average approach is expected to reduce the former type of mismatch relative to an on-the-day approach, an on-the-day approach is expected to reduce the latter type of mismatch relative to a trailing average approach. </w:t>
      </w:r>
    </w:p>
    <w:p w:rsidR="00BB7CBA" w:rsidRPr="00F21B32" w:rsidRDefault="00BB7CBA" w:rsidP="00BB7CBA">
      <w:pPr>
        <w:pStyle w:val="Heading9"/>
      </w:pPr>
      <w:bookmarkStart w:id="262" w:name="_Ref447803918"/>
      <w:r>
        <w:t>Consistency with the NEL/NGL</w:t>
      </w:r>
      <w:bookmarkEnd w:id="262"/>
    </w:p>
    <w:p w:rsidR="00BB7CBA" w:rsidRPr="00F21B32" w:rsidRDefault="00BB7CBA" w:rsidP="00BB7CBA">
      <w:r w:rsidRPr="00F21B32">
        <w:t xml:space="preserve">We consider </w:t>
      </w:r>
      <w:r>
        <w:t>an allowed rate of</w:t>
      </w:r>
      <w:r w:rsidRPr="00F21B32">
        <w:t xml:space="preserve"> return that </w:t>
      </w:r>
      <w:r>
        <w:t xml:space="preserve">meets the ARORO </w:t>
      </w:r>
      <w:r w:rsidRPr="00F21B32">
        <w:t>should</w:t>
      </w:r>
      <w:r>
        <w:t xml:space="preserve"> </w:t>
      </w:r>
      <w:r w:rsidRPr="00F21B32">
        <w:t>lead to economically efficient investment</w:t>
      </w:r>
      <w:r>
        <w:t>, provision of</w:t>
      </w:r>
      <w:r w:rsidRPr="00F21B32">
        <w:t xml:space="preserve"> and use of infrastructure</w:t>
      </w:r>
      <w:r>
        <w:t>, consistent with the</w:t>
      </w:r>
      <w:r w:rsidRPr="00494BE4">
        <w:t xml:space="preserve"> </w:t>
      </w:r>
      <w:r>
        <w:t>NEL/NGL</w:t>
      </w:r>
      <w:r w:rsidRPr="00F21B32">
        <w:t>.</w:t>
      </w:r>
      <w:r>
        <w:rPr>
          <w:rStyle w:val="FootnoteReference"/>
        </w:rPr>
        <w:footnoteReference w:id="1143"/>
      </w:r>
      <w:r w:rsidRPr="00F21B32">
        <w:t xml:space="preserve"> </w:t>
      </w:r>
      <w:r>
        <w:t>This allowed rate of return should also provide</w:t>
      </w:r>
      <w:r w:rsidRPr="00F21B32">
        <w:t xml:space="preserve"> </w:t>
      </w:r>
      <w:r>
        <w:t>service providers</w:t>
      </w:r>
      <w:r w:rsidRPr="00F21B32">
        <w:t xml:space="preserve"> with a </w:t>
      </w:r>
      <w:r w:rsidRPr="00E26732">
        <w:rPr>
          <w:rStyle w:val="AERtextunderline"/>
        </w:rPr>
        <w:t>reasonable opportunity</w:t>
      </w:r>
      <w:r w:rsidRPr="00F21B32">
        <w:t xml:space="preserve"> to recover</w:t>
      </w:r>
      <w:r>
        <w:t xml:space="preserve"> their</w:t>
      </w:r>
      <w:r w:rsidRPr="00F21B32">
        <w:t xml:space="preserve"> efficient costs. We consider </w:t>
      </w:r>
      <w:r>
        <w:t>our</w:t>
      </w:r>
      <w:r w:rsidRPr="00F21B32">
        <w:t xml:space="preserve"> interpretation of the ARORO is consistent with the wording in the</w:t>
      </w:r>
      <w:r>
        <w:t xml:space="preserve"> NEO/NGO in the</w:t>
      </w:r>
      <w:r w:rsidRPr="00F21B32">
        <w:t xml:space="preserve"> NE</w:t>
      </w:r>
      <w:r>
        <w:t>L</w:t>
      </w:r>
      <w:r w:rsidRPr="00F21B32">
        <w:t xml:space="preserve">/NGL. Our view appears consistent with the views of the AEMC </w:t>
      </w:r>
      <w:r>
        <w:t>when</w:t>
      </w:r>
      <w:r w:rsidRPr="00F21B32">
        <w:t xml:space="preserve"> </w:t>
      </w:r>
      <w:r>
        <w:t>it</w:t>
      </w:r>
      <w:r w:rsidRPr="00F21B32">
        <w:t xml:space="preserve"> stated:</w:t>
      </w:r>
      <w:r w:rsidRPr="00BE4F1A">
        <w:rPr>
          <w:rStyle w:val="FootnoteReference"/>
        </w:rPr>
        <w:footnoteReference w:id="1144"/>
      </w:r>
    </w:p>
    <w:p w:rsidR="00BB7CBA" w:rsidRPr="00F21B32" w:rsidRDefault="00BB7CBA" w:rsidP="00BB7CBA">
      <w:pPr>
        <w:pStyle w:val="AERquote"/>
      </w:pPr>
      <w:r w:rsidRPr="00F21B32">
        <w:t>If the rate of return estimate is set to the efficient required return, there will be no incentive for under- or over- investment. Such incentives for inefficient investment become more pronounced when the rate of return estimate differs from the efficien</w:t>
      </w:r>
      <w:r>
        <w:t>t required return.</w:t>
      </w:r>
    </w:p>
    <w:p w:rsidR="00BB7CBA" w:rsidRDefault="00BB7CBA" w:rsidP="00BB7CBA">
      <w:r w:rsidRPr="00F21B32">
        <w:t xml:space="preserve">The concept that </w:t>
      </w:r>
      <w:r>
        <w:t xml:space="preserve">a reasonable </w:t>
      </w:r>
      <w:r w:rsidRPr="00F21B32">
        <w:t>return</w:t>
      </w:r>
      <w:r>
        <w:t xml:space="preserve"> to investment</w:t>
      </w:r>
      <w:r w:rsidRPr="00F21B32">
        <w:t xml:space="preserve"> is important to achieving efficient </w:t>
      </w:r>
      <w:r>
        <w:t xml:space="preserve">regulatory </w:t>
      </w:r>
      <w:r w:rsidRPr="00F21B32">
        <w:t>investment appears common sense. Setting too high (or low) an expected return relative to the expected return on alternate equivalent risk investments would be expected to lead to distorted over (</w:t>
      </w:r>
      <w:r>
        <w:t xml:space="preserve">or </w:t>
      </w:r>
      <w:r w:rsidRPr="00F21B32">
        <w:t xml:space="preserve">under) investment </w:t>
      </w:r>
      <w:r>
        <w:t>in regulated assets</w:t>
      </w:r>
      <w:r w:rsidRPr="00F21B32">
        <w:t xml:space="preserve"> (all else </w:t>
      </w:r>
      <w:r>
        <w:t xml:space="preserve">being </w:t>
      </w:r>
      <w:r w:rsidRPr="00F21B32">
        <w:t>equal). The aim of setting a</w:t>
      </w:r>
      <w:r>
        <w:t xml:space="preserve">n </w:t>
      </w:r>
      <w:r w:rsidRPr="00F21B32">
        <w:t>expected return to achieve efficient investment also appears broadly accepted in regulatory literature.</w:t>
      </w:r>
      <w:r w:rsidRPr="00F21B32">
        <w:rPr>
          <w:rStyle w:val="FootnoteReference"/>
        </w:rPr>
        <w:footnoteReference w:id="1145"/>
      </w:r>
      <w:r>
        <w:t xml:space="preserve"> This is also consistent with advice from the </w:t>
      </w:r>
      <w:r w:rsidRPr="001C4431">
        <w:t>Consumer Challenge Panel Sub Panel 3</w:t>
      </w:r>
      <w:r>
        <w:t xml:space="preserve"> (CCP3) that stated:</w:t>
      </w:r>
      <w:r>
        <w:rPr>
          <w:rStyle w:val="FootnoteReference"/>
        </w:rPr>
        <w:footnoteReference w:id="1146"/>
      </w:r>
    </w:p>
    <w:p w:rsidR="00BB7CBA" w:rsidRDefault="00BB7CBA" w:rsidP="00BB7CBA">
      <w:pPr>
        <w:pStyle w:val="AERquote"/>
      </w:pPr>
      <w:r w:rsidRPr="00E905B1">
        <w:t>The AER must have regard to the impact of their RoR decision on capex incentives. Given that the DNSPs’ revised proposal is significan</w:t>
      </w:r>
      <w:r w:rsidRPr="001A2620">
        <w:t xml:space="preserve">tly above current costs of capital for BBB/BBB+ rated companies, there will be perverse incentives to overinvest in the network. </w:t>
      </w:r>
    </w:p>
    <w:p w:rsidR="00BB7CBA" w:rsidRDefault="00BB7CBA" w:rsidP="00BB7CBA">
      <w:r>
        <w:t>Similarly, Partington and Satchell consider the rule requirements are consistent with the zero NPV investment condition, stating:</w:t>
      </w:r>
      <w:r>
        <w:rPr>
          <w:rStyle w:val="FootnoteReference"/>
        </w:rPr>
        <w:footnoteReference w:id="1147"/>
      </w:r>
    </w:p>
    <w:p w:rsidR="00BB7CBA" w:rsidRPr="001A2620" w:rsidRDefault="00BB7CBA" w:rsidP="00BB7CBA">
      <w:pPr>
        <w:pStyle w:val="AERquote"/>
      </w:pPr>
      <w:r w:rsidRPr="00770BC0">
        <w:t>The national electricity and gas objectives are to achieve efficient investment and efficient operation in the long term interest of consumers, while the revenue and pricing principles allow for the recovery, by the regulated businesses, of efficient costs including a return on capital and having regard for the cos</w:t>
      </w:r>
      <w:r>
        <w:t>ts and risks of overinvestment.</w:t>
      </w:r>
      <w:r w:rsidRPr="00770BC0">
        <w:t xml:space="preserve"> There is very clear criterion that can be applied to meet these requirements. That criterion is that investment in regulated assets should be a zero NPV activity.</w:t>
      </w:r>
      <w:r w:rsidRPr="00770BC0" w:rsidDel="00770BC0">
        <w:t xml:space="preserve"> </w:t>
      </w:r>
    </w:p>
    <w:p w:rsidR="00BB7CBA" w:rsidRDefault="00BB7CBA" w:rsidP="00BB7CBA">
      <w:pPr>
        <w:pStyle w:val="Heading9"/>
      </w:pPr>
      <w:bookmarkStart w:id="263" w:name="_Ref447803924"/>
      <w:r>
        <w:t>Requirement for a revenue-neutral transition if there is a regime change</w:t>
      </w:r>
      <w:bookmarkEnd w:id="263"/>
    </w:p>
    <w:p w:rsidR="00BB7CBA" w:rsidRPr="00F21B32" w:rsidRDefault="00BB7CBA" w:rsidP="00BB7CBA">
      <w:r w:rsidRPr="00F21B32">
        <w:t xml:space="preserve">We consider that both an on-the-day </w:t>
      </w:r>
      <w:r>
        <w:t>methodology</w:t>
      </w:r>
      <w:r w:rsidRPr="00F21B32">
        <w:t xml:space="preserve"> to setting the cost of debt and a trailing average </w:t>
      </w:r>
      <w:r>
        <w:t xml:space="preserve">methodology </w:t>
      </w:r>
      <w:r w:rsidRPr="00F21B32">
        <w:t>can meet the ARORO</w:t>
      </w:r>
      <w:r>
        <w:t xml:space="preserve">. However, </w:t>
      </w:r>
      <w:r w:rsidRPr="00F21B32">
        <w:t>in moving between different approaches</w:t>
      </w:r>
      <w:r>
        <w:t>,</w:t>
      </w:r>
      <w:r w:rsidRPr="00F21B32">
        <w:t xml:space="preserve"> a transition that </w:t>
      </w:r>
      <w:r>
        <w:t>is revenue-neutral in a present value sense</w:t>
      </w:r>
      <w:r w:rsidRPr="00F21B32">
        <w:t xml:space="preserve"> will meet the ARORO. Section</w:t>
      </w:r>
      <w:r>
        <w:t xml:space="preserve"> </w:t>
      </w:r>
      <w:r>
        <w:fldChar w:fldCharType="begin"/>
      </w:r>
      <w:r>
        <w:instrText xml:space="preserve"> REF _Ref444767739 \r \h </w:instrText>
      </w:r>
      <w:r>
        <w:fldChar w:fldCharType="separate"/>
      </w:r>
      <w:r w:rsidR="001A023B">
        <w:t>H.3</w:t>
      </w:r>
      <w:r>
        <w:fldChar w:fldCharType="end"/>
      </w:r>
      <w:r>
        <w:t xml:space="preserve"> further discusses t</w:t>
      </w:r>
      <w:r w:rsidRPr="00F21B32">
        <w:t xml:space="preserve">he position that either approach can result in </w:t>
      </w:r>
      <w:r>
        <w:t xml:space="preserve">a reasonable </w:t>
      </w:r>
      <w:r w:rsidRPr="00F21B32">
        <w:t xml:space="preserve">return </w:t>
      </w:r>
      <w:r>
        <w:t xml:space="preserve">on capital </w:t>
      </w:r>
      <w:r w:rsidRPr="00F21B32">
        <w:t>(and therefore could meet the ARORO)</w:t>
      </w:r>
      <w:r>
        <w:t xml:space="preserve">. This position also </w:t>
      </w:r>
      <w:r w:rsidRPr="00F21B32">
        <w:t>appears consistent with SFG</w:t>
      </w:r>
      <w:r>
        <w:t xml:space="preserve">'s </w:t>
      </w:r>
      <w:r w:rsidRPr="00F21B32">
        <w:t xml:space="preserve">view </w:t>
      </w:r>
      <w:r>
        <w:t xml:space="preserve">that </w:t>
      </w:r>
      <w:r w:rsidRPr="00F21B32">
        <w:t>the AEMC</w:t>
      </w:r>
      <w:r>
        <w:t xml:space="preserve"> noted</w:t>
      </w:r>
      <w:r w:rsidRPr="00F21B32">
        <w:t xml:space="preserve"> in its final rule determination where </w:t>
      </w:r>
      <w:r>
        <w:t xml:space="preserve">it </w:t>
      </w:r>
      <w:r w:rsidRPr="00F21B32">
        <w:t>stated:</w:t>
      </w:r>
      <w:r w:rsidRPr="00F21B32">
        <w:rPr>
          <w:rStyle w:val="FootnoteReference"/>
        </w:rPr>
        <w:footnoteReference w:id="1148"/>
      </w:r>
    </w:p>
    <w:p w:rsidR="00BB7CBA" w:rsidRPr="00F21B32" w:rsidRDefault="00BB7CBA" w:rsidP="00BB7CBA">
      <w:pPr>
        <w:pStyle w:val="AERquote"/>
      </w:pPr>
      <w:r w:rsidRPr="00F21B32">
        <w:t>In its report, 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 SFG observed that averaging</w:t>
      </w:r>
      <w:r>
        <w:t xml:space="preserve"> approaches will by definition</w:t>
      </w:r>
      <w:r w:rsidRPr="00F21B32">
        <w:t xml:space="preserve"> result in smoother estimates of the return on debt over time.</w:t>
      </w:r>
    </w:p>
    <w:p w:rsidR="00BB7CBA" w:rsidRPr="00F21B32" w:rsidRDefault="00BB7CBA" w:rsidP="00BB7CBA">
      <w:r w:rsidRPr="00F21B32">
        <w:t>We note that when undertaking the rule change in 2012 the AEMC added in clause 6.5.3(k)(4) that states</w:t>
      </w:r>
      <w:r>
        <w:t xml:space="preserve"> (emphasis added)</w:t>
      </w:r>
      <w:r w:rsidRPr="00F21B32">
        <w:t>:</w:t>
      </w:r>
    </w:p>
    <w:p w:rsidR="00BB7CBA" w:rsidRPr="00F21B32" w:rsidRDefault="00BB7CBA" w:rsidP="00BB7CBA">
      <w:pPr>
        <w:pStyle w:val="AERquote"/>
      </w:pPr>
      <w:r w:rsidRPr="00F21B32">
        <w:t xml:space="preserve">(k) In estimating the return on debt under paragraph (h), regard must </w:t>
      </w:r>
      <w:r>
        <w:t>be had to the following factors…</w:t>
      </w:r>
    </w:p>
    <w:p w:rsidR="00BB7CBA" w:rsidRPr="00F21B32" w:rsidRDefault="00BB7CBA" w:rsidP="00BB7CBA">
      <w:pPr>
        <w:pStyle w:val="AERquote"/>
      </w:pPr>
      <w:r w:rsidRPr="00F21B32">
        <w:t xml:space="preserve">(4)  any impacts (including in relation to the costs of servicing debt across regulatory control periods) on a benchmark efficient entity referred to in the allowed rate of return objective that could arise </w:t>
      </w:r>
      <w:r w:rsidRPr="00E26732">
        <w:rPr>
          <w:rStyle w:val="AERtextboldunderline"/>
        </w:rPr>
        <w:t>as a result of changing the methodology</w:t>
      </w:r>
      <w:r w:rsidRPr="00F21B32">
        <w:t xml:space="preserve"> that is used to estimate the return on debt from one regulatory control period to the next.</w:t>
      </w:r>
    </w:p>
    <w:p w:rsidR="00BB7CBA" w:rsidRPr="00F21B32" w:rsidRDefault="00BB7CBA" w:rsidP="00BB7CBA">
      <w:r w:rsidRPr="00F21B32">
        <w:t xml:space="preserve">This clause is explicit in requiring </w:t>
      </w:r>
      <w:r>
        <w:t>us</w:t>
      </w:r>
      <w:r w:rsidRPr="00F21B32">
        <w:t xml:space="preserve"> to have regard to any impacts</w:t>
      </w:r>
      <w:r w:rsidRPr="00793E5F">
        <w:t xml:space="preserve"> </w:t>
      </w:r>
      <w:r>
        <w:t>on a benchmark efficient entity</w:t>
      </w:r>
      <w:r w:rsidRPr="00F21B32">
        <w:t xml:space="preserve"> </w:t>
      </w:r>
      <w:r>
        <w:t xml:space="preserve">that could arise </w:t>
      </w:r>
      <w:r w:rsidRPr="00F21B32">
        <w:t xml:space="preserve">as a result of a change of methodology. This would include having regard to any material </w:t>
      </w:r>
      <w:r>
        <w:t>changes in</w:t>
      </w:r>
      <w:r w:rsidRPr="00E817C9">
        <w:t xml:space="preserve"> the present value of a benchmark efficient entity's </w:t>
      </w:r>
      <w:r>
        <w:t>regulated revenue</w:t>
      </w:r>
      <w:r w:rsidRPr="00E817C9">
        <w:t xml:space="preserve"> purely due to changing the debt estimation methodology</w:t>
      </w:r>
      <w:r w:rsidRPr="00F21B32">
        <w:t xml:space="preserve">. </w:t>
      </w:r>
      <w:r>
        <w:t xml:space="preserve">If such changes increased a </w:t>
      </w:r>
      <w:r w:rsidRPr="00E817C9">
        <w:t xml:space="preserve">benchmark efficient entity's </w:t>
      </w:r>
      <w:r>
        <w:t>value, then this would benefit its equity holders at the expense of consumers. Conversely, if such changes de</w:t>
      </w:r>
      <w:r w:rsidRPr="00E817C9">
        <w:t xml:space="preserve">creased a benchmark efficient entity's value, then this </w:t>
      </w:r>
      <w:r>
        <w:t xml:space="preserve">would cost its equity holders but provide a short term financial benefit to consumers (which may not be a long-term benefit to the extent this results in underinvestment).  As such, this methodological change </w:t>
      </w:r>
      <w:r w:rsidRPr="00F21B32">
        <w:t>may also have a material negative impact on the confidence in the predictability of the regulatory regime.</w:t>
      </w:r>
      <w:r>
        <w:rPr>
          <w:rStyle w:val="FootnoteReference"/>
        </w:rPr>
        <w:footnoteReference w:id="1149"/>
      </w:r>
      <w:r>
        <w:t xml:space="preserve"> </w:t>
      </w:r>
      <w:r w:rsidRPr="00F21B32">
        <w:t>We consider the AEMC</w:t>
      </w:r>
      <w:r>
        <w:t>'s</w:t>
      </w:r>
      <w:r w:rsidRPr="00F21B32">
        <w:t xml:space="preserve"> guidance on the intent of this clause is consistent with our approach</w:t>
      </w:r>
      <w:r>
        <w:t xml:space="preserve"> (emphasis added)</w:t>
      </w:r>
      <w:r w:rsidRPr="00F21B32">
        <w:t>:</w:t>
      </w:r>
      <w:r w:rsidRPr="00F21B32">
        <w:rPr>
          <w:rStyle w:val="FootnoteReference"/>
        </w:rPr>
        <w:footnoteReference w:id="1150"/>
      </w:r>
    </w:p>
    <w:p w:rsidR="00BB7CBA" w:rsidRPr="00F21B32" w:rsidRDefault="00BB7CBA" w:rsidP="00BB7CBA">
      <w:pPr>
        <w:pStyle w:val="AERquote"/>
      </w:pPr>
      <w:r w:rsidRPr="00F21B32">
        <w:t xml:space="preserve">The purpose of the fourth factor is for the regulator to have regard to </w:t>
      </w:r>
      <w:r w:rsidRPr="00E26732">
        <w:rPr>
          <w:rStyle w:val="AERtextboldunderline"/>
        </w:rPr>
        <w:t>impacts of changes in the methodology</w:t>
      </w:r>
      <w:r w:rsidRPr="00F21B32">
        <w:t xml:space="preserve">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BB7CBA" w:rsidRDefault="00BB7CBA" w:rsidP="00BB7CBA">
      <w:r>
        <w:t>W</w:t>
      </w:r>
      <w:r w:rsidRPr="00F21B32">
        <w:t xml:space="preserve">e have taken this factor into account and consider our transitional approach </w:t>
      </w:r>
      <w:r>
        <w:t xml:space="preserve">is </w:t>
      </w:r>
      <w:r w:rsidRPr="00F21B32">
        <w:t>consistent</w:t>
      </w:r>
      <w:r>
        <w:t xml:space="preserve"> with the intent of this factor. Nevertheless,</w:t>
      </w:r>
      <w:r w:rsidRPr="00F21B32">
        <w:t xml:space="preserve"> we consider that irrespective of this factor</w:t>
      </w:r>
      <w:r>
        <w:t>,</w:t>
      </w:r>
      <w:r w:rsidRPr="00F21B32">
        <w:t xml:space="preserve"> our tran</w:t>
      </w:r>
      <w:r>
        <w:t>sition approach meets the r</w:t>
      </w:r>
      <w:r w:rsidRPr="00F21B32">
        <w:t xml:space="preserve">equirements of the </w:t>
      </w:r>
      <w:r>
        <w:t>ARORO, NEO/NGO</w:t>
      </w:r>
      <w:r w:rsidRPr="00F21B32">
        <w:t xml:space="preserve"> and </w:t>
      </w:r>
      <w:r>
        <w:t>RPPs. Partington and Satchell and the CCP3 formed a similar view that the full transition to a trailing average in the Guideline would better satisfy the ARORO than the service providers' revised proposals.</w:t>
      </w:r>
      <w:r>
        <w:rPr>
          <w:rStyle w:val="FootnoteReference"/>
        </w:rPr>
        <w:footnoteReference w:id="1151"/>
      </w:r>
      <w:r>
        <w:t xml:space="preserve"> </w:t>
      </w:r>
      <w:r w:rsidRPr="00F21B32">
        <w:t>We also consider that an immediate</w:t>
      </w:r>
      <w:r>
        <w:t xml:space="preserve"> (or hybrid)</w:t>
      </w:r>
      <w:r w:rsidRPr="00F21B32">
        <w:t xml:space="preserve"> </w:t>
      </w:r>
      <w:r>
        <w:t>transition</w:t>
      </w:r>
      <w:r w:rsidRPr="00F21B32">
        <w:t xml:space="preserve"> to a trailing average would </w:t>
      </w:r>
      <w:r>
        <w:t>result in a</w:t>
      </w:r>
      <w:r w:rsidRPr="00F21B32">
        <w:t xml:space="preserve"> material and unexpected change</w:t>
      </w:r>
      <w:r>
        <w:t xml:space="preserve"> in the present value of a benchmark efficient entity</w:t>
      </w:r>
      <w:r w:rsidRPr="00F21B32">
        <w:t xml:space="preserve"> relative to </w:t>
      </w:r>
      <w:r>
        <w:t xml:space="preserve">a value consistent with </w:t>
      </w:r>
      <w:r w:rsidRPr="00F21B32">
        <w:t xml:space="preserve">investor expectations formed under the on-the-day </w:t>
      </w:r>
      <w:r>
        <w:t>regime</w:t>
      </w:r>
      <w:r w:rsidRPr="00F21B32">
        <w:t>. If this occurred it would likely increase expected regulatory</w:t>
      </w:r>
      <w:r>
        <w:t xml:space="preserve"> uncertainty</w:t>
      </w:r>
      <w:r w:rsidRPr="00F21B32">
        <w:t xml:space="preserve"> going forward. We consider this may both undermine confidence in the predictability of the regulatory arrangements and not minimise efficient financing costs (all else</w:t>
      </w:r>
      <w:r>
        <w:t xml:space="preserve"> being</w:t>
      </w:r>
      <w:r w:rsidRPr="00F21B32">
        <w:t xml:space="preserve"> equal).</w:t>
      </w:r>
      <w:r>
        <w:rPr>
          <w:rStyle w:val="FootnoteReference"/>
        </w:rPr>
        <w:footnoteReference w:id="1152"/>
      </w:r>
      <w:r w:rsidRPr="00F21B32">
        <w:t xml:space="preserve"> For these reasons, </w:t>
      </w:r>
      <w:r>
        <w:t>we</w:t>
      </w:r>
      <w:r w:rsidRPr="00F21B32">
        <w:t xml:space="preserve"> consider a lack of transition to limit </w:t>
      </w:r>
      <w:r>
        <w:t xml:space="preserve">uncertainty of regulatory changes affecting the value of the benchmark efficient entity </w:t>
      </w:r>
      <w:r w:rsidRPr="00F21B32">
        <w:t>is unlikely to be consistent with achieving the NEO/NGO and the RPP</w:t>
      </w:r>
      <w:r>
        <w:t>s</w:t>
      </w:r>
      <w:r w:rsidRPr="00F21B32">
        <w:t>.</w:t>
      </w:r>
    </w:p>
    <w:p w:rsidR="00BB7CBA" w:rsidRPr="00F21B32" w:rsidRDefault="00BB7CBA" w:rsidP="00BB7CBA">
      <w:r>
        <w:t xml:space="preserve">Similarly, </w:t>
      </w:r>
      <w:r w:rsidRPr="00F21B32">
        <w:t xml:space="preserve">SFG </w:t>
      </w:r>
      <w:r>
        <w:t>advised the AEMC that</w:t>
      </w:r>
      <w:r w:rsidRPr="00F21B32">
        <w:t xml:space="preserve"> a transition may be </w:t>
      </w:r>
      <w:r>
        <w:t>required</w:t>
      </w:r>
      <w:r w:rsidRPr="00F21B32">
        <w:t xml:space="preserve"> to limit </w:t>
      </w:r>
      <w:r>
        <w:t>'</w:t>
      </w:r>
      <w:r w:rsidRPr="00F21B32">
        <w:t>regulatory risk</w:t>
      </w:r>
      <w:r>
        <w:t>' and to avoid being in</w:t>
      </w:r>
      <w:r w:rsidRPr="00F21B32">
        <w:t>consistent with the NEO and RPP</w:t>
      </w:r>
      <w:r>
        <w:t>s.</w:t>
      </w:r>
      <w:r w:rsidRPr="00F21B32">
        <w:rPr>
          <w:rStyle w:val="FootnoteReference"/>
        </w:rPr>
        <w:footnoteReference w:id="1153"/>
      </w:r>
      <w:r>
        <w:t xml:space="preserve"> </w:t>
      </w:r>
      <w:r w:rsidRPr="00F21B32">
        <w:t xml:space="preserve">SFG also </w:t>
      </w:r>
      <w:r>
        <w:t>considered</w:t>
      </w:r>
      <w:r w:rsidRPr="00F21B32">
        <w:t xml:space="preserve"> that</w:t>
      </w:r>
      <w:r>
        <w:t xml:space="preserve"> </w:t>
      </w:r>
      <w:r w:rsidRPr="00F21B32">
        <w:t>the</w:t>
      </w:r>
      <w:r>
        <w:t xml:space="preserve"> transition</w:t>
      </w:r>
      <w:r w:rsidRPr="00F21B32">
        <w:t xml:space="preserve"> </w:t>
      </w:r>
      <w:r>
        <w:t>we</w:t>
      </w:r>
      <w:r w:rsidRPr="00F21B32">
        <w:t xml:space="preserve"> proposed (the QTC method) would be an appropriate means of transitioning from the</w:t>
      </w:r>
      <w:r>
        <w:t xml:space="preserve"> current rules (that used an on-the-</w:t>
      </w:r>
      <w:r w:rsidRPr="00F21B32">
        <w:t>day methodology) to the use of a historical average cost of debt approach.</w:t>
      </w:r>
      <w:r w:rsidRPr="00F21B32">
        <w:rPr>
          <w:rStyle w:val="FootnoteReference"/>
        </w:rPr>
        <w:footnoteReference w:id="1154"/>
      </w:r>
      <w:r w:rsidRPr="00F21B32">
        <w:t xml:space="preserve"> The desirability for predictability was also commented on by an Expert Panel on Energy Access pricing for the Ministerial Council on Energy in 2006 who noted [emphasis added]:</w:t>
      </w:r>
      <w:r w:rsidRPr="00F21B32">
        <w:rPr>
          <w:rStyle w:val="FootnoteReference"/>
        </w:rPr>
        <w:footnoteReference w:id="1155"/>
      </w:r>
    </w:p>
    <w:p w:rsidR="00BB7CBA" w:rsidRPr="00F21B32" w:rsidRDefault="00BB7CBA" w:rsidP="00BB7CBA">
      <w:pPr>
        <w:pStyle w:val="AERquote"/>
      </w:pPr>
      <w:r w:rsidRPr="00F21B32">
        <w:t xml:space="preserve">Regulatory (and hence investor and user) risk can greatly be reduced if decisions are made in a timely and predictable manner. Timeliness in access decisions (including any merits and judicial review process) is important for both reducing the costs of the regime and minimising uncertainty associated </w:t>
      </w:r>
      <w:r>
        <w:t>with the outcome of the review</w:t>
      </w:r>
      <w:r w:rsidRPr="00F21B32">
        <w:t>…</w:t>
      </w:r>
    </w:p>
    <w:p w:rsidR="00BB7CBA" w:rsidRPr="00F21B32" w:rsidRDefault="00BB7CBA" w:rsidP="00BB7CBA">
      <w:pPr>
        <w:pStyle w:val="AERquote"/>
      </w:pPr>
      <w:r w:rsidRPr="00AA5640">
        <w:rPr>
          <w:rStyle w:val="Strong"/>
        </w:rPr>
        <w:t>Equally important is the predictability of those decisions</w:t>
      </w:r>
      <w:r w:rsidRPr="00F21B32">
        <w:t xml:space="preserve"> – that is the development of an approach that gives energy users and investors in transmission and distribution infrastructure confidence that access and pricing outcomes will be guided by known principles that are </w:t>
      </w:r>
      <w:r>
        <w:t>applied in a consistent manner.</w:t>
      </w:r>
    </w:p>
    <w:p w:rsidR="00BB7CBA" w:rsidRDefault="00BB7CBA" w:rsidP="00BB7CBA">
      <w:r w:rsidRPr="00F21B32">
        <w:t>We consider our approach is consistent with the desire for predictability in regulatory decisions by using a transition to avoid</w:t>
      </w:r>
      <w:r>
        <w:t xml:space="preserve"> material wealth</w:t>
      </w:r>
      <w:r w:rsidRPr="00F21B32">
        <w:t xml:space="preserve"> impacts from the change in methodology.</w:t>
      </w:r>
      <w:r>
        <w:t xml:space="preserve"> HoustonKemp also provided support for a transition when it advised the Essential Services Commission of SA (ESCOSA):</w:t>
      </w:r>
      <w:r>
        <w:rPr>
          <w:rStyle w:val="FootnoteReference"/>
        </w:rPr>
        <w:footnoteReference w:id="1156"/>
      </w:r>
    </w:p>
    <w:p w:rsidR="00BB7CBA" w:rsidRPr="00F21B32" w:rsidRDefault="00BB7CBA" w:rsidP="00BB7CBA">
      <w:pPr>
        <w:pStyle w:val="AERquote"/>
      </w:pPr>
      <w:r w:rsidRPr="0097594A">
        <w:t>Consistent with regulatory best practice, a regulatory authority should seek to avoid imposing windfall gains</w:t>
      </w:r>
      <w:r>
        <w:t xml:space="preserve"> </w:t>
      </w:r>
      <w:r w:rsidRPr="0097594A">
        <w:t>or losses as a result of regulatory changes. A regulatory change that imposes windfall gains or losses will be</w:t>
      </w:r>
      <w:r>
        <w:t xml:space="preserve"> </w:t>
      </w:r>
      <w:r w:rsidRPr="0097594A">
        <w:t>to the detriment of regulatory certainty and will likely increase the perceived level of regulatory risk, and so</w:t>
      </w:r>
      <w:r>
        <w:t xml:space="preserve"> </w:t>
      </w:r>
      <w:r w:rsidRPr="0097594A">
        <w:t>the cost of capital.</w:t>
      </w:r>
    </w:p>
    <w:p w:rsidR="00BB7CBA" w:rsidRPr="00F21B32" w:rsidRDefault="00BB7CBA" w:rsidP="00BB7CBA">
      <w:r w:rsidRPr="00F21B32">
        <w:t xml:space="preserve">A transition </w:t>
      </w:r>
      <w:r>
        <w:t xml:space="preserve">is </w:t>
      </w:r>
      <w:r w:rsidRPr="00F21B32">
        <w:t xml:space="preserve">also </w:t>
      </w:r>
      <w:r>
        <w:t>likely to</w:t>
      </w:r>
      <w:r w:rsidRPr="00F21B32">
        <w:t xml:space="preserve"> be important </w:t>
      </w:r>
      <w:r>
        <w:t>for</w:t>
      </w:r>
      <w:r w:rsidRPr="00F21B32">
        <w:t xml:space="preserve"> maintaining the incentives on </w:t>
      </w:r>
      <w:r>
        <w:t>service providers</w:t>
      </w:r>
      <w:r w:rsidRPr="00F21B32">
        <w:t xml:space="preserve"> to adopt efficient financing practices under the regulatory regime</w:t>
      </w:r>
      <w:r>
        <w:t xml:space="preserve">. We consider this </w:t>
      </w:r>
      <w:r w:rsidRPr="00F21B32">
        <w:t>is consistent with the R</w:t>
      </w:r>
      <w:r>
        <w:t xml:space="preserve">evenue and </w:t>
      </w:r>
      <w:r w:rsidRPr="00F21B32">
        <w:t>P</w:t>
      </w:r>
      <w:r>
        <w:t xml:space="preserve">ricing </w:t>
      </w:r>
      <w:r w:rsidRPr="00F21B32">
        <w:t>P</w:t>
      </w:r>
      <w:r>
        <w:t>rinciples,</w:t>
      </w:r>
      <w:r w:rsidRPr="00F21B32">
        <w:t xml:space="preserve"> which </w:t>
      </w:r>
      <w:r>
        <w:t>indicate</w:t>
      </w:r>
      <w:r w:rsidRPr="00F21B32">
        <w:t xml:space="preserve"> regulated firms </w:t>
      </w:r>
      <w:r>
        <w:t>should</w:t>
      </w:r>
      <w:r w:rsidRPr="00F21B32">
        <w:t xml:space="preserve"> be provided with a range of incentives including incentives that should promote the efficient provision of electricity network</w:t>
      </w:r>
      <w:r>
        <w:t>/pipeline</w:t>
      </w:r>
      <w:r w:rsidRPr="00F21B32">
        <w:t xml:space="preserve"> services.</w:t>
      </w:r>
      <w:r w:rsidRPr="00F21B32">
        <w:rPr>
          <w:rStyle w:val="FootnoteReference"/>
        </w:rPr>
        <w:footnoteReference w:id="1157"/>
      </w:r>
      <w:r w:rsidRPr="00F21B32">
        <w:t xml:space="preserve"> </w:t>
      </w:r>
      <w:r>
        <w:t xml:space="preserve">These principles show our regime is intended to be an incentive base regime as opposed to a cost of service regime. </w:t>
      </w:r>
      <w:r w:rsidRPr="00F21B32">
        <w:t>To promote efficiency incentives</w:t>
      </w:r>
      <w:r>
        <w:t>,</w:t>
      </w:r>
      <w:r w:rsidRPr="00F21B32">
        <w:t xml:space="preserve"> we consider regulated firms should be required to </w:t>
      </w:r>
      <w:r>
        <w:t>bear the consequences of their chosen financing approach</w:t>
      </w:r>
      <w:r w:rsidRPr="00F21B32">
        <w:t xml:space="preserve"> from the prior re</w:t>
      </w:r>
      <w:r>
        <w:t>gulatory period where returns w</w:t>
      </w:r>
      <w:r w:rsidRPr="00F21B32">
        <w:t xml:space="preserve">ere set under the on-the-day methodology and any financing decisions they made over this period were made in the expectation this methodology would continue. </w:t>
      </w:r>
      <w:r>
        <w:t xml:space="preserve">It </w:t>
      </w:r>
      <w:r w:rsidRPr="00F21B32">
        <w:t xml:space="preserve">could significantly undermine </w:t>
      </w:r>
      <w:r>
        <w:t>service providers'</w:t>
      </w:r>
      <w:r w:rsidRPr="00F21B32">
        <w:t xml:space="preserve"> incentives to manage financial risk</w:t>
      </w:r>
      <w:r>
        <w:t xml:space="preserve"> efficiently </w:t>
      </w:r>
      <w:r w:rsidRPr="00F21B32">
        <w:t>if</w:t>
      </w:r>
      <w:r>
        <w:t xml:space="preserve"> we provide an allowed return on debt in this decision that results in regulated firms not bearing the consequences of their chosen financing practices. This is because service providers were </w:t>
      </w:r>
      <w:r w:rsidRPr="00F21B32">
        <w:t xml:space="preserve">required to bear and manage </w:t>
      </w:r>
      <w:r>
        <w:t xml:space="preserve">this </w:t>
      </w:r>
      <w:r w:rsidRPr="00F21B32">
        <w:t>risk.</w:t>
      </w:r>
      <w:r>
        <w:rPr>
          <w:rStyle w:val="FootnoteReference"/>
        </w:rPr>
        <w:footnoteReference w:id="1158"/>
      </w:r>
    </w:p>
    <w:p w:rsidR="00BB7CBA" w:rsidRDefault="00BB7CBA" w:rsidP="00BB7CBA">
      <w:pPr>
        <w:pStyle w:val="Heading8"/>
      </w:pPr>
      <w:bookmarkStart w:id="264" w:name="_Ref444767739"/>
      <w:bookmarkStart w:id="265" w:name="_Toc451945515"/>
      <w:r>
        <w:t>On-the-day and trailing average approaches</w:t>
      </w:r>
      <w:bookmarkEnd w:id="264"/>
      <w:bookmarkEnd w:id="265"/>
    </w:p>
    <w:p w:rsidR="00BB7CBA" w:rsidRPr="00BB7CBA" w:rsidRDefault="00BB7CBA" w:rsidP="00BA7AE7">
      <w:r>
        <w:t xml:space="preserve">In this section, we analyse the on-the-day and trailing average approaches to establish </w:t>
      </w:r>
      <w:r w:rsidRPr="00BB7CBA">
        <w:t>whether these approaches can contribute to the achievement of the ARORO. We also explain that, while we consider both approaches would be open to us; we would expect either approach to produce different estimates at given points in time.</w:t>
      </w:r>
    </w:p>
    <w:p w:rsidR="00BB7CBA" w:rsidRPr="00BB7CBA" w:rsidRDefault="00BB7CBA" w:rsidP="00BA7AE7">
      <w:r>
        <w:t xml:space="preserve">From establishing this, we </w:t>
      </w:r>
      <w:r w:rsidRPr="00BB7CBA">
        <w:t>can demonstrate that in changing approaches from the on-the-day to the trailing average approach (or vice versa); a revenue neutral transition (in present value terms) is required to contribute to the achievement of the ARORO.</w:t>
      </w:r>
    </w:p>
    <w:p w:rsidR="00BB7CBA" w:rsidRPr="00501A2B" w:rsidRDefault="00BB7CBA" w:rsidP="00BB7CBA">
      <w:pPr>
        <w:pStyle w:val="Heading9"/>
      </w:pPr>
      <w:bookmarkStart w:id="266" w:name="_Ref445131744"/>
      <w:r>
        <w:t>On-the-day approach</w:t>
      </w:r>
      <w:bookmarkEnd w:id="266"/>
    </w:p>
    <w:p w:rsidR="00BB7CBA" w:rsidRDefault="00BB7CBA" w:rsidP="00BB7CBA">
      <w:r>
        <w:t xml:space="preserve">The </w:t>
      </w:r>
      <w:r w:rsidRPr="00E2186B">
        <w:t>o</w:t>
      </w:r>
      <w:r>
        <w:t>n-the-</w:t>
      </w:r>
      <w:r w:rsidRPr="00E2186B">
        <w:t xml:space="preserve">day approach estimates the </w:t>
      </w:r>
      <w:r>
        <w:t xml:space="preserve">allowed </w:t>
      </w:r>
      <w:r w:rsidRPr="00E2186B">
        <w:t xml:space="preserve">return on debt </w:t>
      </w:r>
      <w:r>
        <w:t>for</w:t>
      </w:r>
      <w:r w:rsidRPr="00E2186B">
        <w:t xml:space="preserve"> a service provider as the prevailing </w:t>
      </w:r>
      <w:r>
        <w:t>cost of</w:t>
      </w:r>
      <w:r w:rsidRPr="00E2186B">
        <w:t xml:space="preserve"> debt as close as possible to the start of the regulatory period.</w:t>
      </w:r>
      <w:r>
        <w:rPr>
          <w:rStyle w:val="FootnoteReference"/>
        </w:rPr>
        <w:footnoteReference w:id="1159"/>
      </w:r>
      <w:r w:rsidRPr="00E2186B">
        <w:t xml:space="preserve"> The on-the-day approach is the longstanding return on debt approach adopted by us and </w:t>
      </w:r>
      <w:r>
        <w:t xml:space="preserve">generally by </w:t>
      </w:r>
      <w:r w:rsidRPr="00E2186B">
        <w:t>other regulators in Australia.</w:t>
      </w:r>
      <w:r>
        <w:rPr>
          <w:rStyle w:val="FootnoteReference"/>
        </w:rPr>
        <w:footnoteReference w:id="1160"/>
      </w:r>
      <w:r w:rsidRPr="00E2186B">
        <w:t xml:space="preserve"> While the </w:t>
      </w:r>
      <w:r>
        <w:t>NER/NGR</w:t>
      </w:r>
      <w:r w:rsidRPr="00E2186B">
        <w:t xml:space="preserve"> no longer mandate </w:t>
      </w:r>
      <w:r>
        <w:t>that we adopt this approach, they still make it</w:t>
      </w:r>
      <w:r w:rsidRPr="00E2186B">
        <w:t xml:space="preserve"> available to us.</w:t>
      </w:r>
      <w:r>
        <w:rPr>
          <w:rStyle w:val="FootnoteReference"/>
        </w:rPr>
        <w:footnoteReference w:id="1161"/>
      </w:r>
      <w:r>
        <w:t xml:space="preserve"> Prior to the rules changes in 2012, the on-the-day approach was used to not only set the return on debt but was used to set the overall allowed rate of return. Post the rule changes, the on-the-day approach will continue to be used to set the allowed return on equity as this remains mandated by the rules.</w:t>
      </w:r>
      <w:r>
        <w:rPr>
          <w:rStyle w:val="FootnoteReference"/>
        </w:rPr>
        <w:footnoteReference w:id="1162"/>
      </w:r>
    </w:p>
    <w:p w:rsidR="00BB7CBA" w:rsidRPr="00BB7CBA" w:rsidRDefault="00BB7CBA" w:rsidP="00BA7AE7">
      <w:r>
        <w:t xml:space="preserve">We consider </w:t>
      </w:r>
      <w:r w:rsidRPr="00BB7CBA">
        <w:t xml:space="preserve">the on-the-day approach can estimate an allowed rate of return commensurate with the efficient financing costs of a benchmark efficient entity with a similar degree of risk as a service provider in the provision of regulated services. This is because the on-the-day approach provides service providers with a reasonable opportunity to recover at least efficient costs over the term of the RAB </w:t>
      </w:r>
      <w:r w:rsidRPr="00BB7CBA">
        <w:rPr>
          <w:rStyle w:val="AERtextunderline"/>
        </w:rPr>
        <w:t>and</w:t>
      </w:r>
      <w:r w:rsidRPr="00BB7CBA">
        <w:t xml:space="preserve"> over each regulatory period (see section </w:t>
      </w:r>
      <w:r w:rsidRPr="00BB7CBA">
        <w:fldChar w:fldCharType="begin"/>
      </w:r>
      <w:r w:rsidRPr="00BB7CBA">
        <w:instrText xml:space="preserve"> REF _Ref444773920 \r \h </w:instrText>
      </w:r>
      <w:r w:rsidRPr="00BB7CBA">
        <w:fldChar w:fldCharType="separate"/>
      </w:r>
      <w:r w:rsidR="001A023B">
        <w:t>H.3.3</w:t>
      </w:r>
      <w:r w:rsidRPr="00BB7CBA">
        <w:fldChar w:fldCharType="end"/>
      </w:r>
      <w:r w:rsidRPr="00BB7CBA">
        <w:t>). Ex-ante efficient compensation holds for each regulatory period under this approach because the entire allowed rate of return is reset to reflect the prevailing market cost of capital at the commencement of each regulatory period. In this way, the allowed revenue under the on-the-day approach can be likened to a form of long term floating rate security where the interest (or coupon) rate is reset to reflect prevailing market rates at the start of each regulatory period. Any compensable risk from the resetting process under the on-the-day approach is largely born by equity holders of the regulated firms. As SFG advised the AEMC, 'any mis-match between the cash inflows and cash outflows in relation to the return on debt will flow through to the equity holders'.</w:t>
      </w:r>
      <w:r w:rsidRPr="00BB7CBA">
        <w:rPr>
          <w:rStyle w:val="FootnoteReference"/>
        </w:rPr>
        <w:footnoteReference w:id="1163"/>
      </w:r>
    </w:p>
    <w:p w:rsidR="00BB7CBA" w:rsidRDefault="00BB7CBA" w:rsidP="00BB7CBA">
      <w:r>
        <w:t xml:space="preserve">While we have chosen to move towards a trailing average approach (section </w:t>
      </w:r>
      <w:r>
        <w:fldChar w:fldCharType="begin"/>
      </w:r>
      <w:r>
        <w:instrText xml:space="preserve"> REF _Ref444774464 \r \h </w:instrText>
      </w:r>
      <w:r>
        <w:fldChar w:fldCharType="separate"/>
      </w:r>
      <w:r w:rsidR="001A023B">
        <w:t>H.3.2</w:t>
      </w:r>
      <w:r>
        <w:fldChar w:fldCharType="end"/>
      </w:r>
      <w:r>
        <w:t xml:space="preserve"> explains why we consider a trailing average approach is open to us), this does not imply that the on-the-day approach provides an 'incorrect' outcome or an outcome inconsistent with the ARORO. Rather, we consider the on-the-day approach has advantages, including:</w:t>
      </w:r>
    </w:p>
    <w:p w:rsidR="00BB7CBA" w:rsidRPr="00BB7CBA" w:rsidRDefault="00BB7CBA" w:rsidP="00BB7CBA">
      <w:pPr>
        <w:pStyle w:val="AERbulletlistfirststyle"/>
      </w:pPr>
      <w:r>
        <w:t>It is consistent with the prevailing</w:t>
      </w:r>
      <w:r w:rsidRPr="00BB7CBA">
        <w:t xml:space="preserve"> market cost of debt as close as possible to the commencement of the regulatory period. As such, it is commensurate with efficient financing costs at the commencement of the regulatory period and can promote efficient investment decisions. It is also internally consistent with how we estimate other components of the allowed rate of return and other building block components.</w:t>
      </w:r>
    </w:p>
    <w:p w:rsidR="00BB7CBA" w:rsidRPr="00BB7CBA" w:rsidRDefault="00BB7CBA" w:rsidP="00BB7CBA">
      <w:pPr>
        <w:pStyle w:val="AERbulletlistfirststyle"/>
      </w:pPr>
      <w:r>
        <w:t xml:space="preserve">It leads to an estimate that </w:t>
      </w:r>
      <w:r w:rsidRPr="00BB7CBA">
        <w:t>is likely to more closely imitate the outcomes of a competitive market near the start of the regulatory period than a trailing average approach.</w:t>
      </w:r>
    </w:p>
    <w:p w:rsidR="00BB7CBA" w:rsidRPr="002527B0" w:rsidRDefault="00BB7CBA" w:rsidP="00BB7CBA">
      <w:pPr>
        <w:pStyle w:val="HeadingBoldBlue"/>
      </w:pPr>
      <w:bookmarkStart w:id="267" w:name="_Ref445121562"/>
      <w:r>
        <w:t>C</w:t>
      </w:r>
      <w:r w:rsidRPr="002527B0">
        <w:t xml:space="preserve">onsistent with prevailing </w:t>
      </w:r>
      <w:r>
        <w:t xml:space="preserve">market </w:t>
      </w:r>
      <w:r w:rsidRPr="002527B0">
        <w:t>cost of debt</w:t>
      </w:r>
      <w:bookmarkEnd w:id="267"/>
    </w:p>
    <w:p w:rsidR="00BB7CBA" w:rsidRDefault="00BB7CBA" w:rsidP="00BB7CBA">
      <w:r>
        <w:t xml:space="preserve">As discussed in section </w:t>
      </w:r>
      <w:r>
        <w:fldChar w:fldCharType="begin"/>
      </w:r>
      <w:r>
        <w:instrText xml:space="preserve"> REF _Ref446405872 \r \h </w:instrText>
      </w:r>
      <w:r>
        <w:fldChar w:fldCharType="separate"/>
      </w:r>
      <w:r w:rsidR="001A023B">
        <w:t>H.1.1</w:t>
      </w:r>
      <w:r>
        <w:fldChar w:fldCharType="end"/>
      </w:r>
      <w:r>
        <w:t xml:space="preserve"> and </w:t>
      </w:r>
      <w:r>
        <w:fldChar w:fldCharType="begin"/>
      </w:r>
      <w:r>
        <w:instrText xml:space="preserve"> REF _Ref446603900 \r \h </w:instrText>
      </w:r>
      <w:r>
        <w:fldChar w:fldCharType="separate"/>
      </w:r>
      <w:r w:rsidR="001A023B">
        <w:t>H.2.1</w:t>
      </w:r>
      <w:r>
        <w:fldChar w:fldCharType="end"/>
      </w:r>
      <w:r>
        <w:t>, we consider efficient financing costs, for debt and equity, should be based on (appropriately benchmarked) prevailing market rates.</w:t>
      </w:r>
      <w:r w:rsidRPr="005D54D1">
        <w:t xml:space="preserve"> </w:t>
      </w:r>
      <w:r>
        <w:t xml:space="preserve">As shown mathematically in section </w:t>
      </w:r>
      <w:r>
        <w:fldChar w:fldCharType="begin"/>
      </w:r>
      <w:r>
        <w:instrText xml:space="preserve"> REF _Ref444767739 \r \h </w:instrText>
      </w:r>
      <w:r>
        <w:fldChar w:fldCharType="separate"/>
      </w:r>
      <w:r w:rsidR="001A023B">
        <w:t>H.3</w:t>
      </w:r>
      <w:r>
        <w:fldChar w:fldCharType="end"/>
      </w:r>
      <w:r>
        <w:t>, the on-the-day approach resets the entire allowed rate of return (which includes the return on debt) to reflect, as closely as possible, the prevailing market cost of capital (which includes the cost of debt) at the commencement of each regulatory period.</w:t>
      </w:r>
    </w:p>
    <w:p w:rsidR="00BB7CBA" w:rsidRDefault="00BB7CBA" w:rsidP="00BB7CBA">
      <w:r>
        <w:t xml:space="preserve">We consider an allowed return on debt that reflects the prevailing market cost of debt promotes efficient investment decisions. </w:t>
      </w:r>
      <w:r w:rsidRPr="00E2186B">
        <w:t>When firms make investment decisions, they estimate the cost of capital based on prevailing market rates. This is important because the cost of capital is based on investors’ expectations of future returns.</w:t>
      </w:r>
      <w:r>
        <w:rPr>
          <w:rStyle w:val="FootnoteReference"/>
        </w:rPr>
        <w:footnoteReference w:id="1164"/>
      </w:r>
      <w:r>
        <w:t xml:space="preserve"> </w:t>
      </w:r>
      <w:r w:rsidRPr="00E2186B">
        <w:t>Firms then use this estimate to set a discount rate at which they discount the expected future cash flows of the proposed investment in order to determine its viability (that is</w:t>
      </w:r>
      <w:r>
        <w:t>,</w:t>
      </w:r>
      <w:r w:rsidRPr="00E2186B">
        <w:t xml:space="preserve"> whether the NPV of the expected cash flows is greater than or equal to zero).</w:t>
      </w:r>
    </w:p>
    <w:p w:rsidR="00BB7CBA" w:rsidRDefault="00BB7CBA" w:rsidP="00BB7CBA">
      <w:r>
        <w:t xml:space="preserve">As discussed in section </w:t>
      </w:r>
      <w:r>
        <w:fldChar w:fldCharType="begin"/>
      </w:r>
      <w:r>
        <w:instrText xml:space="preserve"> REF _Ref446603900 \r \h </w:instrText>
      </w:r>
      <w:r>
        <w:fldChar w:fldCharType="separate"/>
      </w:r>
      <w:r w:rsidR="001A023B">
        <w:t>H.2.1</w:t>
      </w:r>
      <w:r>
        <w:fldChar w:fldCharType="end"/>
      </w:r>
      <w:r>
        <w:t xml:space="preserve">, we consider the ARORO requires us </w:t>
      </w:r>
      <w:r w:rsidRPr="00E2186B">
        <w:t>to set a</w:t>
      </w:r>
      <w:r>
        <w:t>n allowed</w:t>
      </w:r>
      <w:r w:rsidRPr="00E2186B">
        <w:t xml:space="preserve"> rate of return for </w:t>
      </w:r>
      <w:r>
        <w:t>a</w:t>
      </w:r>
      <w:r w:rsidRPr="00E2186B">
        <w:t xml:space="preserve"> benchmark efficient entity such that the return on its investment</w:t>
      </w:r>
      <w:r>
        <w:t xml:space="preserve"> in its RAB</w:t>
      </w:r>
      <w:r w:rsidRPr="00E2186B">
        <w:t xml:space="preserve"> equals its </w:t>
      </w:r>
      <w:r>
        <w:t xml:space="preserve">efficient </w:t>
      </w:r>
      <w:r w:rsidRPr="00E2186B">
        <w:t xml:space="preserve">cost (that is, </w:t>
      </w:r>
      <w:r>
        <w:t>the zero NPV investment condition</w:t>
      </w:r>
      <w:r w:rsidRPr="00E2186B">
        <w:t xml:space="preserve">). The </w:t>
      </w:r>
      <w:r>
        <w:t xml:space="preserve">prevailing market </w:t>
      </w:r>
      <w:r w:rsidRPr="00E2186B">
        <w:t xml:space="preserve">cost of capital is the only discount rate that sets the present value of expected future cash flows equal to the </w:t>
      </w:r>
      <w:r>
        <w:t>RAB</w:t>
      </w:r>
      <w:r w:rsidRPr="00E2186B">
        <w:t>. In its 2012 report to the AEMC, SFG summarised this point by stating:</w:t>
      </w:r>
      <w:r>
        <w:rPr>
          <w:rStyle w:val="FootnoteReference"/>
        </w:rPr>
        <w:footnoteReference w:id="1165"/>
      </w:r>
    </w:p>
    <w:p w:rsidR="00BB7CBA" w:rsidRDefault="00BB7CBA" w:rsidP="00BB7CBA">
      <w:pPr>
        <w:pStyle w:val="AERquote"/>
      </w:pPr>
      <w:r w:rsidRPr="00E2186B">
        <w:t>The principle which underpins the regulatory framework in Australia is to estimate a price which equates the present value of expected cash flows to the regulated asset base. If the regulated rate of return is set at a rate other than the cost of capital this will no longer hold. Investment decisions will be distorted.</w:t>
      </w:r>
    </w:p>
    <w:p w:rsidR="00BB7CBA" w:rsidRDefault="00BB7CBA" w:rsidP="00BB7CBA">
      <w:pPr>
        <w:numPr>
          <w:ilvl w:val="0"/>
          <w:numId w:val="24"/>
        </w:numPr>
      </w:pPr>
      <w:r>
        <w:t>Similarly, Partington and Satchell (who recommend the on-the-day approach) stated:</w:t>
      </w:r>
      <w:r>
        <w:rPr>
          <w:rStyle w:val="FootnoteReference"/>
        </w:rPr>
        <w:footnoteReference w:id="1166"/>
      </w:r>
    </w:p>
    <w:p w:rsidR="00BB7CBA" w:rsidRDefault="00BB7CBA" w:rsidP="00BB7CBA">
      <w:pPr>
        <w:pStyle w:val="AERquote"/>
      </w:pPr>
      <w:r w:rsidRPr="007624AA">
        <w:t>By definition, a stream of expected cash flows that allows the current required return on the book value of capital invested, recovers the capital invested and covers other costs, will have a discounted present value that ex-ante is equal to the book value of the investment. Allowing this cash flow for a regulated business, the book value of the RAB will be equal to the market value of the RAB. To put it another way this cash flow gives rise to a zero NPV investment.</w:t>
      </w:r>
    </w:p>
    <w:p w:rsidR="00BB7CBA" w:rsidRDefault="00BB7CBA" w:rsidP="00BB7CBA">
      <w:pPr>
        <w:numPr>
          <w:ilvl w:val="0"/>
          <w:numId w:val="24"/>
        </w:numPr>
      </w:pPr>
      <w:r>
        <w:t xml:space="preserve">Therefore, we consider the on-the-day approach </w:t>
      </w:r>
      <w:r w:rsidRPr="00E2186B">
        <w:t>provides an appropriate signal for investment</w:t>
      </w:r>
      <w:r>
        <w:t xml:space="preserve"> decisions made near the commencement of the regulatory period. We consider this would promote </w:t>
      </w:r>
      <w:r w:rsidRPr="000C116C">
        <w:t>efficient investment decisions</w:t>
      </w:r>
      <w:r>
        <w:t xml:space="preserve"> that increase</w:t>
      </w:r>
      <w:r w:rsidRPr="000C116C">
        <w:t xml:space="preserve"> </w:t>
      </w:r>
      <w:r>
        <w:t>dynamic efficiency. This aligns with the AEMC's view that:</w:t>
      </w:r>
      <w:r>
        <w:rPr>
          <w:rStyle w:val="FootnoteReference"/>
        </w:rPr>
        <w:footnoteReference w:id="1167"/>
      </w:r>
    </w:p>
    <w:p w:rsidR="00BB7CBA" w:rsidRDefault="00BB7CBA" w:rsidP="00BB7CBA">
      <w:pPr>
        <w:pStyle w:val="AERquote"/>
      </w:pPr>
      <w:r>
        <w:t xml:space="preserve">[the return on debt framework] </w:t>
      </w:r>
      <w:r w:rsidRPr="001A712C">
        <w:t>should try to create an incentive for service providers to adopt efficient financing practices and minimise the risk of creating distortions in the servic</w:t>
      </w:r>
      <w:r>
        <w:t>e provider's investment decisions</w:t>
      </w:r>
      <w:r w:rsidRPr="001A712C">
        <w:t>.</w:t>
      </w:r>
    </w:p>
    <w:p w:rsidR="00BB7CBA" w:rsidRDefault="00BB7CBA" w:rsidP="00BB7CBA">
      <w:r w:rsidRPr="00E2186B">
        <w:t xml:space="preserve">If we were to set the allowed </w:t>
      </w:r>
      <w:r>
        <w:t>return on debt</w:t>
      </w:r>
      <w:r w:rsidRPr="00E2186B">
        <w:t xml:space="preserve"> in a different way</w:t>
      </w:r>
      <w:r>
        <w:t>,</w:t>
      </w:r>
      <w:r w:rsidRPr="00E2186B">
        <w:t xml:space="preserve"> it would no longer be an estimate of the cost of </w:t>
      </w:r>
      <w:r>
        <w:t>debt (and thus the cost of capital)</w:t>
      </w:r>
      <w:r w:rsidRPr="00E2186B">
        <w:t xml:space="preserve"> at</w:t>
      </w:r>
      <w:r>
        <w:t xml:space="preserve"> the time of the determination or</w:t>
      </w:r>
      <w:r w:rsidRPr="00E2186B">
        <w:t xml:space="preserve"> access arrangement. For example, under a trailing average approach, the</w:t>
      </w:r>
      <w:r>
        <w:t xml:space="preserve"> overall allowed</w:t>
      </w:r>
      <w:r w:rsidRPr="00E2186B">
        <w:t xml:space="preserve"> return on debt</w:t>
      </w:r>
      <w:r>
        <w:t xml:space="preserve"> predominately</w:t>
      </w:r>
      <w:r w:rsidRPr="00E2186B">
        <w:t xml:space="preserve"> </w:t>
      </w:r>
      <w:r>
        <w:t>compensates</w:t>
      </w:r>
      <w:r w:rsidRPr="00E2186B">
        <w:t xml:space="preserve"> for</w:t>
      </w:r>
      <w:r>
        <w:t xml:space="preserve"> historical</w:t>
      </w:r>
      <w:r w:rsidRPr="00E2186B">
        <w:t xml:space="preserve"> interest rates, rather than for the risk of providing debt finance in the future.</w:t>
      </w:r>
      <w:r>
        <w:rPr>
          <w:rStyle w:val="FootnoteReference"/>
        </w:rPr>
        <w:footnoteReference w:id="1168"/>
      </w:r>
      <w:r>
        <w:t xml:space="preserve">  Only 10 per cent of the allowed return on debt will compensate for</w:t>
      </w:r>
      <w:r w:rsidRPr="00800A09">
        <w:t xml:space="preserve"> </w:t>
      </w:r>
      <w:r w:rsidRPr="00E2186B">
        <w:t>the risk of providing debt finance in the future</w:t>
      </w:r>
      <w:r>
        <w:t xml:space="preserve"> because 10 per cent of the return on debt is updated annually </w:t>
      </w:r>
      <w:r w:rsidRPr="007D2546">
        <w:t xml:space="preserve">to reflect prevailing interest </w:t>
      </w:r>
      <w:r>
        <w:t>rates</w:t>
      </w:r>
      <w:r w:rsidRPr="007D2546">
        <w:t>.</w:t>
      </w:r>
      <w:r>
        <w:t xml:space="preserve"> As discussed in section </w:t>
      </w:r>
      <w:r>
        <w:fldChar w:fldCharType="begin"/>
      </w:r>
      <w:r>
        <w:instrText xml:space="preserve"> REF _Ref446603900 \r \h </w:instrText>
      </w:r>
      <w:r>
        <w:fldChar w:fldCharType="separate"/>
      </w:r>
      <w:r w:rsidR="001A023B">
        <w:t>H.2.1</w:t>
      </w:r>
      <w:r>
        <w:fldChar w:fldCharType="end"/>
      </w:r>
      <w:r>
        <w:t>, this results in a mismatch between the allowed return on debt and the prevailing cost of debt for a benchmark efficient entity at the time of the determination or access arrangement.</w:t>
      </w:r>
    </w:p>
    <w:p w:rsidR="00BB7CBA" w:rsidRDefault="00BB7CBA" w:rsidP="00BB7CBA">
      <w:r>
        <w:t>Moreover, estimating a forward looking return on debt at the time of the determination or access arrangement is consistent with how we determine the return on equity and other components of the building block model. For example, we determine an allowed return on equity that reflects, as closely as possible, the prevailing market cost of equity at the time of the determination or access arrangement. We also forecast the operating expenditure that will apply for each year of the upcoming regulatory period. Determining the allowed revenue for the regulatory period ex-ante, without within-period revisions, is consistent with the principles of incentive regulation.</w:t>
      </w:r>
      <w:r>
        <w:rPr>
          <w:rStyle w:val="FootnoteReference"/>
        </w:rPr>
        <w:footnoteReference w:id="1169"/>
      </w:r>
      <w:r>
        <w:t xml:space="preserve"> </w:t>
      </w:r>
    </w:p>
    <w:p w:rsidR="00BB7CBA" w:rsidRPr="002527B0" w:rsidRDefault="00BB7CBA" w:rsidP="00BB7CBA">
      <w:pPr>
        <w:pStyle w:val="HeadingBoldBlue"/>
      </w:pPr>
      <w:r>
        <w:t>Imitates the outcomes of a competitive market</w:t>
      </w:r>
    </w:p>
    <w:p w:rsidR="004F070F" w:rsidRPr="004F070F" w:rsidRDefault="00BB7CBA" w:rsidP="004F070F">
      <w:r>
        <w:t xml:space="preserve">We consider </w:t>
      </w:r>
      <w:r w:rsidR="004F070F" w:rsidRPr="004F070F">
        <w:t>an allowed return on debt that reflects the prevailing market cost of debt at the time of the determination or access arrangement (that is, an on-the-day approach) is likely to promote economic efficiency because:</w:t>
      </w:r>
    </w:p>
    <w:p w:rsidR="004F070F" w:rsidRPr="004F070F" w:rsidRDefault="004F070F" w:rsidP="004F070F">
      <w:pPr>
        <w:pStyle w:val="AERbulletlistfirststyle"/>
      </w:pPr>
      <w:r w:rsidRPr="004F070F">
        <w:t xml:space="preserve">Productive efficiency refers to least cost financing (that is, the lowest required return on debt). An allowed return on debt that reflects the </w:t>
      </w:r>
      <w:r w:rsidR="00263BB6">
        <w:t>(appropriately benchmarked) prevailing market cost of debt</w:t>
      </w:r>
      <w:r w:rsidRPr="004F070F">
        <w:t xml:space="preserve"> will likely promote productive efficiency. This is because a benchmark efficient entity faces competitive prices in the market for funds.</w:t>
      </w:r>
    </w:p>
    <w:p w:rsidR="004F070F" w:rsidRPr="004F070F" w:rsidRDefault="004F070F" w:rsidP="004F070F">
      <w:pPr>
        <w:pStyle w:val="AERbulletlistfirststyle"/>
      </w:pPr>
      <w:r w:rsidRPr="004F070F">
        <w:t xml:space="preserve">Allocative efficiency refers to the allowed return on debt reflecting investors' opportunity cost of debt for investments of similar risk. </w:t>
      </w:r>
      <w:r w:rsidR="00263BB6">
        <w:t>The prevailing market cost of debt</w:t>
      </w:r>
      <w:r w:rsidRPr="004F070F">
        <w:t xml:space="preserve"> at any given time </w:t>
      </w:r>
      <w:r w:rsidR="00263BB6">
        <w:t>is</w:t>
      </w:r>
      <w:r w:rsidR="00263BB6" w:rsidRPr="004F070F">
        <w:t xml:space="preserve"> </w:t>
      </w:r>
      <w:r w:rsidRPr="004F070F">
        <w:t>likely to reflect investors' opportunity cost. This is because the market for capital finance is competitive with many buyers and sellers.</w:t>
      </w:r>
    </w:p>
    <w:p w:rsidR="004F070F" w:rsidRPr="004F070F" w:rsidRDefault="004F070F" w:rsidP="004F070F">
      <w:pPr>
        <w:pStyle w:val="AERbulletlistfirststyle"/>
      </w:pPr>
      <w:r w:rsidRPr="004F070F">
        <w:t xml:space="preserve">Dynamic efficiency refers to the existence of appropriate investment incentives. As discussed above, a return on debt that reflects </w:t>
      </w:r>
      <w:r w:rsidR="00BE3548">
        <w:t>the prevailing market cost of debt</w:t>
      </w:r>
      <w:r w:rsidRPr="004F070F">
        <w:t xml:space="preserve"> provides an appropriate signal for new investment and promotes efficient investment decisions. </w:t>
      </w:r>
    </w:p>
    <w:p w:rsidR="00BB7CBA" w:rsidRDefault="004D579F" w:rsidP="00BB7CBA">
      <w:r>
        <w:t xml:space="preserve">Moreover, </w:t>
      </w:r>
      <w:r w:rsidR="00BB7CBA">
        <w:t>a return on debt that better reflects the prevailing market cost of debt</w:t>
      </w:r>
      <w:r w:rsidR="00BB7CBA" w:rsidRPr="00E64F99">
        <w:t xml:space="preserve"> more closely imitates the outcomes of a competitive market</w:t>
      </w:r>
      <w:r w:rsidR="00BB7CBA">
        <w:t>. This is because the current market cost of debt reflects investors' opportunity cost of debt for investments of similar risk.</w:t>
      </w:r>
      <w:r w:rsidR="004F070F" w:rsidDel="004F070F">
        <w:t xml:space="preserve"> </w:t>
      </w:r>
    </w:p>
    <w:p w:rsidR="00BB7CBA" w:rsidRPr="00E64F99" w:rsidRDefault="00BB7CBA" w:rsidP="00BB7CBA">
      <w:r>
        <w:t>The current market cost of debt</w:t>
      </w:r>
      <w:r w:rsidRPr="00E64F99">
        <w:t xml:space="preserve"> </w:t>
      </w:r>
      <w:r>
        <w:t>represents the costs that other service providers will face to enter the market. The on-the-day approach</w:t>
      </w:r>
      <w:r w:rsidRPr="00EE36F1">
        <w:t xml:space="preserve"> is</w:t>
      </w:r>
      <w:r>
        <w:t xml:space="preserve"> more</w:t>
      </w:r>
      <w:r w:rsidRPr="00EE36F1">
        <w:t xml:space="preserve"> consistent</w:t>
      </w:r>
      <w:r>
        <w:t xml:space="preserve"> than the trailing average approach</w:t>
      </w:r>
      <w:r w:rsidRPr="00EE36F1">
        <w:t xml:space="preserve"> with the theory that</w:t>
      </w:r>
      <w:r>
        <w:t xml:space="preserve"> </w:t>
      </w:r>
      <w:r w:rsidRPr="00EE36F1">
        <w:t xml:space="preserve">prices in a competitive market would be constrained by the entry, or threat of entry, of new providers. </w:t>
      </w:r>
      <w:r>
        <w:t>This is because</w:t>
      </w:r>
      <w:r w:rsidRPr="00163EC0">
        <w:t xml:space="preserve"> </w:t>
      </w:r>
      <w:r w:rsidRPr="00E64F99">
        <w:t>in a competitive market</w:t>
      </w:r>
      <w:r>
        <w:t xml:space="preserve">, </w:t>
      </w:r>
      <w:r w:rsidRPr="00E64F99">
        <w:t xml:space="preserve">prices are </w:t>
      </w:r>
      <w:r>
        <w:t>th</w:t>
      </w:r>
      <w:r w:rsidRPr="00E64F99">
        <w:t>eoretically constrained by entry or the threat of entry.</w:t>
      </w:r>
      <w:r w:rsidRPr="00E64F99">
        <w:rPr>
          <w:rStyle w:val="FootnoteReference"/>
        </w:rPr>
        <w:footnoteReference w:id="1170"/>
      </w:r>
      <w:r w:rsidRPr="00E64F99">
        <w:t xml:space="preserve"> As observed by HoustonKemp:</w:t>
      </w:r>
      <w:r w:rsidRPr="00E64F99">
        <w:rPr>
          <w:rStyle w:val="FootnoteReference"/>
        </w:rPr>
        <w:footnoteReference w:id="1171"/>
      </w:r>
    </w:p>
    <w:p w:rsidR="00BB7CBA" w:rsidRPr="00656C8A" w:rsidRDefault="00BB7CBA" w:rsidP="00BB7CBA">
      <w:pPr>
        <w:pStyle w:val="AERquote"/>
      </w:pPr>
      <w:r w:rsidRPr="002D1BB2">
        <w:t>when</w:t>
      </w:r>
      <w:r w:rsidRPr="00656C8A">
        <w:t xml:space="preserve"> economic regulation was first introduced regulators sought to imitate the outcomes of a competitive market. That is, regulators sought to set prices consistent with the theory that in a competitive market prices would be constrained by the entry, or threat of entry, of new providers. This is colloquially known as the ‘new entrant price’.</w:t>
      </w:r>
    </w:p>
    <w:p w:rsidR="00BB7CBA" w:rsidRDefault="00BB7CBA" w:rsidP="00BB7CBA">
      <w:r>
        <w:t xml:space="preserve">Similarly, </w:t>
      </w:r>
      <w:r w:rsidRPr="009E7AA9">
        <w:t xml:space="preserve">Chairmont </w:t>
      </w:r>
      <w:r>
        <w:t>captured this concept when it advised:</w:t>
      </w:r>
      <w:r>
        <w:rPr>
          <w:rStyle w:val="FootnoteReference"/>
        </w:rPr>
        <w:footnoteReference w:id="1172"/>
      </w:r>
    </w:p>
    <w:p w:rsidR="00BB7CBA" w:rsidRDefault="00BB7CBA" w:rsidP="00BB7CBA">
      <w:pPr>
        <w:pStyle w:val="AERquote"/>
      </w:pPr>
      <w:r w:rsidRPr="009E7AA9">
        <w:t>The solution should take current market rates and use those to project forward, rather than taking trailing averages as an indicator of future financing costs. The look forward approach is consistent with measuring the opportunity cost of capital and for the typical pressures, including from new entrants, faced by participants in an efficient competitive market.</w:t>
      </w:r>
    </w:p>
    <w:p w:rsidR="00BB7CBA" w:rsidRDefault="00BB7CBA" w:rsidP="00BB7CBA">
      <w:r>
        <w:t>We also note that Partington and Satchell considered the on-the-day approach is consistent with competitive market outcomes, stating:</w:t>
      </w:r>
      <w:r>
        <w:rPr>
          <w:rStyle w:val="FootnoteReference"/>
        </w:rPr>
        <w:footnoteReference w:id="1173"/>
      </w:r>
    </w:p>
    <w:p w:rsidR="00BB7CBA" w:rsidRPr="009A713A" w:rsidRDefault="00BB7CBA" w:rsidP="00BB7CBA">
      <w:pPr>
        <w:pStyle w:val="AERquote"/>
      </w:pPr>
      <w:r w:rsidRPr="00833C4C">
        <w:t>The equilibrium in a competitive market is that investments in assets are zero NPV. This implies that firms can expect to recover the current cost of capital, which in the form of the WACC includes the current cost of debt.</w:t>
      </w:r>
    </w:p>
    <w:p w:rsidR="00BB7CBA" w:rsidRDefault="00BB7CBA" w:rsidP="00BB7CBA">
      <w:pPr>
        <w:pStyle w:val="Heading9"/>
      </w:pPr>
      <w:bookmarkStart w:id="268" w:name="_Ref444774464"/>
      <w:r>
        <w:t>Trailing average approach</w:t>
      </w:r>
      <w:bookmarkEnd w:id="268"/>
    </w:p>
    <w:p w:rsidR="00BB7CBA" w:rsidRDefault="00BB7CBA" w:rsidP="00BB7CBA">
      <w:pPr>
        <w:numPr>
          <w:ilvl w:val="0"/>
          <w:numId w:val="24"/>
        </w:numPr>
      </w:pPr>
      <w:r>
        <w:t>The trailing average</w:t>
      </w:r>
      <w:r w:rsidRPr="00E2186B">
        <w:t xml:space="preserve"> approach estimates the </w:t>
      </w:r>
      <w:r>
        <w:t xml:space="preserve">allowed </w:t>
      </w:r>
      <w:r w:rsidRPr="00E2186B">
        <w:t xml:space="preserve">return on debt </w:t>
      </w:r>
      <w:r>
        <w:t>for</w:t>
      </w:r>
      <w:r w:rsidRPr="00E2186B">
        <w:t xml:space="preserve"> a service provider </w:t>
      </w:r>
      <w:r>
        <w:t>as an average of the cost of debt over 10 years (which is annually updated)</w:t>
      </w:r>
      <w:r w:rsidRPr="00E2186B">
        <w:t xml:space="preserve">. </w:t>
      </w:r>
      <w:r>
        <w:t>This approach is available to us under the</w:t>
      </w:r>
      <w:r w:rsidRPr="00E2186B">
        <w:t xml:space="preserve"> </w:t>
      </w:r>
      <w:r>
        <w:t>NER/NGR</w:t>
      </w:r>
      <w:r w:rsidRPr="00E2186B">
        <w:t>.</w:t>
      </w:r>
      <w:r>
        <w:rPr>
          <w:rStyle w:val="FootnoteReference"/>
        </w:rPr>
        <w:footnoteReference w:id="1174"/>
      </w:r>
    </w:p>
    <w:p w:rsidR="00BB7CBA" w:rsidRDefault="00BB7CBA" w:rsidP="00BB7CBA">
      <w:pPr>
        <w:numPr>
          <w:ilvl w:val="0"/>
          <w:numId w:val="24"/>
        </w:numPr>
      </w:pPr>
      <w:r>
        <w:t>We consider the trailing average approach can estimate an allowed rate of return commensurate with the efficient financing costs of a benchmark efficient entity with a similar degree of risk as a service provider in the provision of regulated services. Under the trailing average approach, ex-ante efficient compensation is unlikely to hold for each regulatory period. However, if there is a</w:t>
      </w:r>
      <w:r w:rsidR="002C7C50">
        <w:t>n appropriate (full)</w:t>
      </w:r>
      <w:r>
        <w:t xml:space="preserve"> transition, it should hold over the term of the RAB. Therefore, service providers would have a reasonable opportunity to recover at least efficient costs over the term of the RAB. We show this in section </w:t>
      </w:r>
      <w:r>
        <w:fldChar w:fldCharType="begin"/>
      </w:r>
      <w:r>
        <w:instrText xml:space="preserve"> REF _Ref444773920 \r \h </w:instrText>
      </w:r>
      <w:r>
        <w:fldChar w:fldCharType="separate"/>
      </w:r>
      <w:r w:rsidR="001A023B">
        <w:t>H.3.3</w:t>
      </w:r>
      <w:r>
        <w:fldChar w:fldCharType="end"/>
      </w:r>
      <w:r>
        <w:t>.</w:t>
      </w:r>
    </w:p>
    <w:p w:rsidR="00BB7CBA" w:rsidRDefault="00BB7CBA" w:rsidP="00BB7CBA">
      <w:r>
        <w:t>Further, the trailing average approach</w:t>
      </w:r>
      <w:r w:rsidRPr="00E64F99">
        <w:t xml:space="preserve"> may have particular benefits that an on</w:t>
      </w:r>
      <w:r>
        <w:t>-the-day approach</w:t>
      </w:r>
      <w:r w:rsidRPr="00800A09">
        <w:t xml:space="preserve"> </w:t>
      </w:r>
      <w:r>
        <w:t xml:space="preserve">cannot </w:t>
      </w:r>
      <w:r w:rsidRPr="00E64F99">
        <w:t>achieve</w:t>
      </w:r>
      <w:r>
        <w:t>. For instance, when</w:t>
      </w:r>
      <w:r w:rsidRPr="00E64F99">
        <w:t xml:space="preserve"> it advised the AEMC, SFG stated that 'if it can be demonstrated that the benefits of a regulated rate of return which is less variable over time outweigh the costs associated with investment distortions, then a trailing average should be considered'.</w:t>
      </w:r>
      <w:r w:rsidRPr="00E64F99">
        <w:rPr>
          <w:rStyle w:val="FootnoteReference"/>
        </w:rPr>
        <w:footnoteReference w:id="1175"/>
      </w:r>
      <w:r w:rsidRPr="00E64F99">
        <w:t xml:space="preserve"> </w:t>
      </w:r>
      <w:r>
        <w:t>The potential benefits mainly relate to smoother prices and a potentially reduced mismatch betwee</w:t>
      </w:r>
      <w:r w:rsidRPr="00E64F99">
        <w:t xml:space="preserve">n </w:t>
      </w:r>
      <w:r>
        <w:t xml:space="preserve">a benchmark efficient entity's actual debt cost outcomes (or cash outflows) and the allowed return on </w:t>
      </w:r>
      <w:r w:rsidRPr="00E64F99">
        <w:t xml:space="preserve">debt </w:t>
      </w:r>
      <w:r>
        <w:t xml:space="preserve">(see section </w:t>
      </w:r>
      <w:r>
        <w:fldChar w:fldCharType="begin"/>
      </w:r>
      <w:r>
        <w:instrText xml:space="preserve"> REF _Ref446603900 \r \h </w:instrText>
      </w:r>
      <w:r>
        <w:fldChar w:fldCharType="separate"/>
      </w:r>
      <w:r w:rsidR="001A023B">
        <w:t>H.2.1</w:t>
      </w:r>
      <w:r>
        <w:fldChar w:fldCharType="end"/>
      </w:r>
      <w:r>
        <w:t>), which we discuss further below.</w:t>
      </w:r>
    </w:p>
    <w:p w:rsidR="00BB7CBA" w:rsidRDefault="00BB7CBA" w:rsidP="00BB7CBA">
      <w:r>
        <w:t>However, the trailing average also has disadvantages relative to an on-the-day approach (see sections 2.1 and 3.1). Given the trade-offs, we do not consider the trailing average is clearly preferable to the continued use of the on-the-day approach. For the reasons discussed in this appendix, we consider a change in methodology (to a trailing average approach) would not contribute to the achievement of the ARORO or meet the NEO/NGO unless it was revenue-neutral (in present value terms) as this would result in incorrect ex-ante compensation.</w:t>
      </w:r>
    </w:p>
    <w:p w:rsidR="00BB7CBA" w:rsidRDefault="00BB7CBA" w:rsidP="00BB7CBA">
      <w:pPr>
        <w:pStyle w:val="HeadingBoldBlue"/>
      </w:pPr>
      <w:r>
        <w:t>Reduced mismatch</w:t>
      </w:r>
    </w:p>
    <w:p w:rsidR="00BB7CBA" w:rsidRDefault="00BB7CBA" w:rsidP="00BB7CBA">
      <w:r>
        <w:t xml:space="preserve">In section </w:t>
      </w:r>
      <w:r>
        <w:fldChar w:fldCharType="begin"/>
      </w:r>
      <w:r>
        <w:instrText xml:space="preserve"> REF _Ref446603900 \r \h </w:instrText>
      </w:r>
      <w:r>
        <w:fldChar w:fldCharType="separate"/>
      </w:r>
      <w:r w:rsidR="001A023B">
        <w:t>H.2.1</w:t>
      </w:r>
      <w:r>
        <w:fldChar w:fldCharType="end"/>
      </w:r>
      <w:r>
        <w:t>, we introduce and discuss the concept of an ex-post</w:t>
      </w:r>
      <w:r w:rsidRPr="001933FF">
        <w:t xml:space="preserve"> </w:t>
      </w:r>
      <w:r>
        <w:t>'mismatch'</w:t>
      </w:r>
      <w:r w:rsidRPr="00E07D0D">
        <w:t xml:space="preserve"> between </w:t>
      </w:r>
      <w:r>
        <w:t>a benchmark eff</w:t>
      </w:r>
      <w:r w:rsidRPr="00E07D0D">
        <w:t xml:space="preserve">icient entity's actual </w:t>
      </w:r>
      <w:r>
        <w:t>debt cost outcomes (or cash outflows) and the regulatory</w:t>
      </w:r>
      <w:r w:rsidRPr="00E07D0D">
        <w:t xml:space="preserve"> return on debt allowance in determining the allowed return on debt.</w:t>
      </w:r>
      <w:r>
        <w:t xml:space="preserve"> We consider an ex-post mismatch can occur for a number of reasons, including</w:t>
      </w:r>
      <w:r w:rsidRPr="001933FF">
        <w:t xml:space="preserve"> because </w:t>
      </w:r>
      <w:r>
        <w:t>a benchmark eff</w:t>
      </w:r>
      <w:r w:rsidRPr="001933FF">
        <w:t>icient entity does not (or cannot) engage in debt financing practices that result in debt cash outflows that match the regulatory return on debt allowance.</w:t>
      </w:r>
      <w:r>
        <w:t xml:space="preserve"> We explain this below in the context of comparing the trailing average with the on-the-day approach to estimating the return on debt.</w:t>
      </w:r>
    </w:p>
    <w:p w:rsidR="00BB7CBA" w:rsidRPr="002527B0" w:rsidRDefault="00BB7CBA" w:rsidP="00BB7CBA">
      <w:r>
        <w:t>In any given regulatory period, a benchmark efficient entity will have existing debt that was previously issued and not yet matured. It will need to pay interest on this debt during the regulatory period, and these interest payments will be based on historical interest rates that prevailed in a previous period. If we adopt an on-the-day approach, then cash outflows from existing debt would be effectively revalued at current market rates.</w:t>
      </w:r>
      <w:r>
        <w:rPr>
          <w:rStyle w:val="FootnoteReference"/>
        </w:rPr>
        <w:footnoteReference w:id="1176"/>
      </w:r>
      <w:r>
        <w:t xml:space="preserve">  Unless a benchmark efficient entity can engage in debt financing practices that align its debt cash outflows with the regulatory allowance (all else being equal), it is expected that an ex-post mismatch may result. From our observations of past financing practices, it appears that individual service providers (and a benchmark efficient entity) are unlikely to engage in financing practices that fully align its debt cash outflows with the regulatory allowance under the on-the-day approach.</w:t>
      </w:r>
    </w:p>
    <w:p w:rsidR="00BB7CBA" w:rsidRDefault="00BB7CBA" w:rsidP="00BB7CBA">
      <w:r>
        <w:t>In contrast to the on-the-day approach,</w:t>
      </w:r>
      <w:r w:rsidRPr="00A97CE8">
        <w:t xml:space="preserve"> </w:t>
      </w:r>
      <w:r>
        <w:t>a trailing average approach is expected to better account for a benchmark efficient entity's actual (cash) debt costs within a</w:t>
      </w:r>
      <w:r w:rsidRPr="00A97CE8">
        <w:t xml:space="preserve"> </w:t>
      </w:r>
      <w:r>
        <w:t xml:space="preserve">regulatory period because it provides </w:t>
      </w:r>
      <w:r w:rsidRPr="00E64F99">
        <w:t xml:space="preserve">service providers with a </w:t>
      </w:r>
      <w:r>
        <w:t>return on debt allowance</w:t>
      </w:r>
      <w:r w:rsidRPr="00E64F99">
        <w:t xml:space="preserve"> that they can more readily match each regulatory period.</w:t>
      </w:r>
      <w:r w:rsidRPr="00E64F99">
        <w:rPr>
          <w:rStyle w:val="FootnoteReference"/>
        </w:rPr>
        <w:footnoteReference w:id="1177"/>
      </w:r>
      <w:r>
        <w:t xml:space="preserve"> As such, this will likely reduce the mismatch between actual debt interest costs of regulated firms and the regulated return on debt allowance.</w:t>
      </w:r>
      <w:r w:rsidRPr="00E64F99">
        <w:rPr>
          <w:rStyle w:val="FootnoteReference"/>
        </w:rPr>
        <w:footnoteReference w:id="1178"/>
      </w:r>
      <w:r w:rsidRPr="00056E9B">
        <w:t xml:space="preserve"> </w:t>
      </w:r>
      <w:r>
        <w:t xml:space="preserve">Given that a trailing average approach reduces the risk of cash flow mismatch (a form of interest rate risk), it </w:t>
      </w:r>
      <w:r w:rsidRPr="00E64F99">
        <w:t>might better lead to productive efficiency</w:t>
      </w:r>
      <w:r>
        <w:t>. All else being equal, this reduced risk and the reduced need to enter hedging arrangements might lower</w:t>
      </w:r>
      <w:r w:rsidRPr="00E64F99">
        <w:t xml:space="preserve"> the cost of financing.</w:t>
      </w:r>
      <w:r>
        <w:rPr>
          <w:rStyle w:val="FootnoteReference"/>
        </w:rPr>
        <w:footnoteReference w:id="1179"/>
      </w:r>
      <w:r>
        <w:t xml:space="preserve"> </w:t>
      </w:r>
    </w:p>
    <w:p w:rsidR="00BB7CBA" w:rsidRDefault="00BB7CBA" w:rsidP="00BB7CBA">
      <w:r>
        <w:t xml:space="preserve">Nevertheless, it is important to note that an ex-post mismatch does not result in a benchmark efficient entity being ex-ante over- or under-compensated for its efficient debt financing costs for a regulatory period or over the life of its assets (see sections </w:t>
      </w:r>
      <w:r>
        <w:fldChar w:fldCharType="begin"/>
      </w:r>
      <w:r>
        <w:instrText xml:space="preserve"> REF _Ref446603900 \r \h </w:instrText>
      </w:r>
      <w:r>
        <w:fldChar w:fldCharType="separate"/>
      </w:r>
      <w:r w:rsidR="001A023B">
        <w:t>H.2.1</w:t>
      </w:r>
      <w:r>
        <w:fldChar w:fldCharType="end"/>
      </w:r>
      <w:r>
        <w:t xml:space="preserve"> and </w:t>
      </w:r>
      <w:r>
        <w:fldChar w:fldCharType="begin"/>
      </w:r>
      <w:r>
        <w:instrText xml:space="preserve"> REF _Ref444773920 \r \h </w:instrText>
      </w:r>
      <w:r>
        <w:fldChar w:fldCharType="separate"/>
      </w:r>
      <w:r w:rsidR="001A023B">
        <w:t>H.3.3</w:t>
      </w:r>
      <w:r>
        <w:fldChar w:fldCharType="end"/>
      </w:r>
      <w:r>
        <w:t xml:space="preserve">). </w:t>
      </w:r>
    </w:p>
    <w:p w:rsidR="00BB7CBA" w:rsidRPr="00054482" w:rsidRDefault="00BB7CBA" w:rsidP="00BB7CBA">
      <w:pPr>
        <w:pStyle w:val="Heading9"/>
      </w:pPr>
      <w:bookmarkStart w:id="269" w:name="_Ref444773920"/>
      <w:bookmarkStart w:id="270" w:name="_Ref448326736"/>
      <w:r>
        <w:t>Mathematical explanation</w:t>
      </w:r>
      <w:bookmarkEnd w:id="269"/>
      <w:bookmarkEnd w:id="270"/>
    </w:p>
    <w:p w:rsidR="00BB7CBA" w:rsidRDefault="00BB7CBA" w:rsidP="00BB7CBA">
      <w:r>
        <w:t>This section provides a mathematical explanation of the difference between the on-the-day and trailing average regimes in present value terms. While the mathematical explanation employs simplifying assumptions, this is for illustrative purposes and the principles hold true in more general situations. That is, mathematically, we demonstrate that in principle:</w:t>
      </w:r>
    </w:p>
    <w:p w:rsidR="00BB7CBA" w:rsidRPr="00BB7CBA" w:rsidRDefault="00BB7CBA" w:rsidP="00BB7CBA">
      <w:pPr>
        <w:pStyle w:val="AERbulletlistfirststyle"/>
      </w:pPr>
      <w:r>
        <w:t xml:space="preserve">The on-the-day approach provides service providers with the reasonable opportunity to recover at least efficient costs over </w:t>
      </w:r>
      <w:r w:rsidRPr="00BB7CBA">
        <w:t>each regulatory period and over the term of the RAB.</w:t>
      </w:r>
      <w:r w:rsidRPr="00BB7CBA">
        <w:rPr>
          <w:rStyle w:val="FootnoteReference"/>
        </w:rPr>
        <w:footnoteReference w:id="1180"/>
      </w:r>
    </w:p>
    <w:p w:rsidR="00BB7CBA" w:rsidRPr="00BB7CBA" w:rsidRDefault="00BB7CBA" w:rsidP="00BB7CBA">
      <w:pPr>
        <w:pStyle w:val="AERbulletlistfirststyle"/>
      </w:pPr>
      <w:r>
        <w:t xml:space="preserve">The trailing average approach provides service providers with the reasonable opportunity to recover at least efficient costs over the </w:t>
      </w:r>
      <w:r w:rsidRPr="00BB7CBA">
        <w:t>term of the RAB.</w:t>
      </w:r>
    </w:p>
    <w:p w:rsidR="00BB7CBA" w:rsidRDefault="00BB7CBA" w:rsidP="00BB7CBA">
      <w:r>
        <w:t>If switching between regimes, a full transition provides service providers with the reasonable opportunity to recover at least efficient costs over the term of the RAB. That is, the same ex-ante compensation should be achieved under: an on-the-day regime, a trailing average regime, or a switch from one regime to the other (but only if the switch is revenue neutral).</w:t>
      </w:r>
    </w:p>
    <w:p w:rsidR="00BB7CBA" w:rsidRPr="006C533F" w:rsidRDefault="00BB7CBA" w:rsidP="00BB7CBA">
      <w:r>
        <w:t>We use the following notation:</w:t>
      </w:r>
    </w:p>
    <w:p w:rsidR="00BB7CBA" w:rsidRPr="00BB7CBA" w:rsidRDefault="007A39AA" w:rsidP="00BB7CBA">
      <w:pPr>
        <w:pStyle w:val="AERbulletlistfirststyle"/>
      </w:pPr>
      <m:oMath>
        <m:sSub>
          <m:sSubPr>
            <m:ctrlPr>
              <w:rPr>
                <w:rFonts w:ascii="Cambria Math" w:hAnsi="Cambria Math"/>
              </w:rPr>
            </m:ctrlPr>
          </m:sSubPr>
          <m:e>
            <m:r>
              <w:rPr>
                <w:rFonts w:ascii="Cambria Math" w:hAnsi="Cambria Math"/>
              </w:rPr>
              <m:t>CF</m:t>
            </m:r>
          </m:e>
          <m:sub>
            <m:r>
              <w:rPr>
                <w:rFonts w:ascii="Cambria Math" w:hAnsi="Cambria Math"/>
              </w:rPr>
              <m:t>t</m:t>
            </m:r>
          </m:sub>
        </m:sSub>
      </m:oMath>
      <w:r w:rsidR="00BB7CBA" w:rsidRPr="00BB7CBA">
        <w:t xml:space="preserve"> denotes net operating cash flows for year </w:t>
      </w:r>
      <m:oMath>
        <m:r>
          <w:rPr>
            <w:rFonts w:ascii="Cambria Math" w:hAnsi="Cambria Math"/>
          </w:rPr>
          <m:t>t</m:t>
        </m:r>
        <m:r>
          <w:rPr>
            <w:rStyle w:val="FootnoteReference"/>
            <w:rFonts w:ascii="Cambria Math" w:hAnsi="Cambria Math"/>
            <w:i/>
          </w:rPr>
          <w:footnoteReference w:id="1181"/>
        </m:r>
      </m:oMath>
      <w:r w:rsidR="00BB7CBA" w:rsidRPr="00BB7CBA">
        <w:t>―that is, revenue less operating  expenditure (opex).</w:t>
      </w:r>
      <w:r w:rsidR="00BB7CBA" w:rsidRPr="00BB7CBA">
        <w:rPr>
          <w:rStyle w:val="FootnoteReference"/>
        </w:rPr>
        <w:footnoteReference w:id="1182"/>
      </w:r>
      <w:r w:rsidR="00BB7CBA" w:rsidRPr="00BB7CBA">
        <w:t xml:space="preserve"> Under our depreciation assumptions, this can be expressed as </w:t>
      </w:r>
      <m:oMath>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oMath>
      <w:r w:rsidR="00BB7CBA" w:rsidRPr="00BB7CBA">
        <w:t xml:space="preserve">, where </w:t>
      </w:r>
      <m:oMath>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r>
          <w:rPr>
            <w:rFonts w:ascii="Cambria Math" w:hAnsi="Cambria Math"/>
          </w:rPr>
          <m:t xml:space="preserve"> </m:t>
        </m:r>
      </m:oMath>
      <w:r w:rsidR="00BB7CBA" w:rsidRPr="00BB7CBA">
        <w:t xml:space="preserve">is the return on capital cash flow. </w:t>
      </w:r>
    </w:p>
    <w:p w:rsidR="00BB7CBA" w:rsidRPr="00BB7CBA" w:rsidRDefault="007A39AA" w:rsidP="00BB7CBA">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BB7CBA" w:rsidRPr="00BB7CBA">
        <w:t xml:space="preserve"> is the allowed rate of return (which is reset periodically).</w:t>
      </w:r>
      <w:r w:rsidR="00BB7CBA" w:rsidRPr="00BB7CBA">
        <w:rPr>
          <w:rStyle w:val="FootnoteReference"/>
        </w:rPr>
        <w:footnoteReference w:id="1183"/>
      </w:r>
    </w:p>
    <w:p w:rsidR="00BB7CBA" w:rsidRPr="00BB7CBA" w:rsidRDefault="007A39AA" w:rsidP="00BB7CBA">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BB7CBA" w:rsidRPr="00BB7CBA">
        <w:t xml:space="preserve"> is the closing RAB at the end of year </w:t>
      </w:r>
      <m:oMath>
        <m:r>
          <w:rPr>
            <w:rFonts w:ascii="Cambria Math" w:hAnsi="Cambria Math"/>
          </w:rPr>
          <m:t>t</m:t>
        </m:r>
      </m:oMath>
      <w:r w:rsidR="00BB7CBA" w:rsidRPr="00BB7CBA">
        <w:t xml:space="preserve"> (which equals the opening RAB at the beginning of year </w:t>
      </w:r>
      <m:oMath>
        <m:r>
          <w:rPr>
            <w:rFonts w:ascii="Cambria Math" w:hAnsi="Cambria Math"/>
          </w:rPr>
          <m:t>t+1</m:t>
        </m:r>
      </m:oMath>
      <w:r w:rsidR="00BB7CBA" w:rsidRPr="00BB7CBA">
        <w:t>).</w:t>
      </w:r>
    </w:p>
    <w:p w:rsidR="00BB7CBA" w:rsidRPr="00BB7CBA" w:rsidRDefault="007A39AA" w:rsidP="00BB7CBA">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 xml:space="preserve">i,j </m:t>
            </m:r>
          </m:sub>
        </m:sSub>
      </m:oMath>
      <w:r w:rsidR="00BB7CBA" w:rsidRPr="00BB7CBA">
        <w:t xml:space="preserve">is the ex-ante cost of capital prevailing in the market for the investment at time </w:t>
      </w:r>
      <m:oMath>
        <m:r>
          <w:rPr>
            <w:rFonts w:ascii="Cambria Math" w:hAnsi="Cambria Math"/>
          </w:rPr>
          <m:t>i</m:t>
        </m:r>
      </m:oMath>
      <w:r w:rsidR="00BB7CBA" w:rsidRPr="00BB7CBA">
        <w:t>,</w:t>
      </w:r>
      <w:r w:rsidR="00BB7CBA" w:rsidRPr="00BB7CBA">
        <w:rPr>
          <w:rStyle w:val="FootnoteReference"/>
        </w:rPr>
        <w:footnoteReference w:id="1184"/>
      </w:r>
      <w:r w:rsidR="00BB7CBA" w:rsidRPr="00BB7CBA">
        <w:t xml:space="preserve"> with a term of </w:t>
      </w:r>
      <m:oMath>
        <m:r>
          <w:rPr>
            <w:rFonts w:ascii="Cambria Math" w:hAnsi="Cambria Math"/>
          </w:rPr>
          <m:t>j</m:t>
        </m:r>
      </m:oMath>
      <w:r w:rsidR="00BB7CBA" w:rsidRPr="00BB7CBA">
        <w:t xml:space="preserve"> years—used to discount the expected cash flows.</w:t>
      </w:r>
    </w:p>
    <w:p w:rsidR="00BB7CBA" w:rsidRPr="00BB7CBA" w:rsidRDefault="00BB7CBA" w:rsidP="00BB7CBA">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BB7CBA">
        <w:t xml:space="preserve"> denotes expected value.</w:t>
      </w:r>
    </w:p>
    <w:p w:rsidR="00BB7CBA" w:rsidRPr="00BB7CBA" w:rsidRDefault="007A39AA" w:rsidP="00BB7CBA">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BB7CBA" w:rsidRPr="00BB7CBA">
        <w:t xml:space="preserve"> denotes present value, at year t (can also be referred to as market value). </w:t>
      </w:r>
    </w:p>
    <w:p w:rsidR="00BB7CBA" w:rsidRDefault="00BB7CBA" w:rsidP="00BB7CBA">
      <w:r>
        <w:t>For simplicity, we assume within-period investment equals depreciation in all periods prior to the end of the term of the RAB (year</w:t>
      </w:r>
      <m:oMath>
        <m:r>
          <w:rPr>
            <w:rFonts w:ascii="Cambria Math" w:hAnsi="Cambria Math"/>
          </w:rPr>
          <m:t xml:space="preserve"> t=T</m:t>
        </m:r>
      </m:oMath>
      <w:r>
        <w:t>),</w:t>
      </w:r>
      <w:r>
        <w:rPr>
          <w:rStyle w:val="FootnoteReference"/>
        </w:rPr>
        <w:footnoteReference w:id="1185"/>
      </w:r>
      <w:r>
        <w:t xml:space="preserve"> where all initial capital (</w:t>
      </w:r>
      <m:oMath>
        <m:sSub>
          <m:sSubPr>
            <m:ctrlPr>
              <w:rPr>
                <w:rFonts w:ascii="Cambria Math" w:hAnsi="Cambria Math"/>
              </w:rPr>
            </m:ctrlPr>
          </m:sSubPr>
          <m:e>
            <m:r>
              <w:rPr>
                <w:rFonts w:ascii="Cambria Math" w:hAnsi="Cambria Math"/>
              </w:rPr>
              <m:t>K</m:t>
            </m:r>
          </m:e>
          <m:sub>
            <m:r>
              <w:rPr>
                <w:rFonts w:ascii="Cambria Math" w:hAnsi="Cambria Math"/>
              </w:rPr>
              <m:t>0</m:t>
            </m:r>
          </m:sub>
        </m:sSub>
      </m:oMath>
      <w:r>
        <w:t xml:space="preserve">) is returned (as </w:t>
      </w:r>
      <m:oMath>
        <m:sSub>
          <m:sSubPr>
            <m:ctrlPr>
              <w:rPr>
                <w:rFonts w:ascii="Cambria Math" w:hAnsi="Cambria Math"/>
              </w:rPr>
            </m:ctrlPr>
          </m:sSubPr>
          <m:e>
            <m:r>
              <w:rPr>
                <w:rFonts w:ascii="Cambria Math" w:hAnsi="Cambria Math"/>
              </w:rPr>
              <m:t>K</m:t>
            </m:r>
          </m:e>
          <m:sub>
            <m:r>
              <w:rPr>
                <w:rFonts w:ascii="Cambria Math" w:hAnsi="Cambria Math"/>
              </w:rPr>
              <m:t>T</m:t>
            </m:r>
          </m:sub>
        </m:sSub>
      </m:oMath>
      <w:r>
        <w:t>).</w:t>
      </w:r>
      <w:r>
        <w:rPr>
          <w:rStyle w:val="FootnoteReference"/>
        </w:rPr>
        <w:footnoteReference w:id="1186"/>
      </w:r>
      <w:r>
        <w:t xml:space="preserve"> Therefore, within-period investment cancels out and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 xml:space="preserve">, where </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Pr="00617460">
        <w:t xml:space="preserve"> </w:t>
      </w:r>
      <w:r>
        <w:t>is</w:t>
      </w:r>
      <w:r w:rsidRPr="00617460">
        <w:t xml:space="preserve"> depreciation (or return of capital) </w:t>
      </w:r>
      <w:r>
        <w:t>for year</w:t>
      </w:r>
      <w:r w:rsidRPr="00617460">
        <w:t xml:space="preserve"> </w:t>
      </w:r>
      <m:oMath>
        <m:r>
          <w:rPr>
            <w:rFonts w:ascii="Cambria Math" w:hAnsi="Cambria Math"/>
          </w:rPr>
          <m:t>t</m:t>
        </m:r>
      </m:oMath>
      <w:r>
        <w:t xml:space="preserve">. </w:t>
      </w:r>
    </w:p>
    <w:p w:rsidR="00BB7CBA" w:rsidRPr="001C5C3A" w:rsidRDefault="00BB7CBA" w:rsidP="00BB7CBA">
      <w:r>
        <w:t>We note the mathemat</w:t>
      </w:r>
      <w:r w:rsidRPr="001C5C3A">
        <w:t>ical explanation</w:t>
      </w:r>
      <w:r>
        <w:t xml:space="preserve"> in this section</w:t>
      </w:r>
      <w:r w:rsidRPr="001C5C3A">
        <w:t xml:space="preserve"> is a simplification of reality. We use it to </w:t>
      </w:r>
      <w:r>
        <w:t>demonstrate the principle</w:t>
      </w:r>
      <w:r w:rsidRPr="001C5C3A">
        <w:t xml:space="preserve"> that the allowed rate of return should be set (</w:t>
      </w:r>
      <w:r>
        <w:t>and periodically</w:t>
      </w:r>
      <w:r w:rsidRPr="001C5C3A">
        <w:t xml:space="preserve"> reset) such that the ex-ante allowed return on (and of) capital cash flows </w:t>
      </w:r>
      <w:r>
        <w:t>equals the ex-ante cost of a benchmark efficient entity's investment in its RAB (in present value terms)</w:t>
      </w:r>
      <w:r w:rsidRPr="001C5C3A">
        <w:t xml:space="preserve">. This gives service providers a reasonable opportunity to recover at least efficient financing costs over the </w:t>
      </w:r>
      <w:r>
        <w:t>term of the RAB</w:t>
      </w:r>
      <w:r w:rsidRPr="001C5C3A">
        <w:t>. As Brennan (1991) stated:</w:t>
      </w:r>
      <w:r w:rsidRPr="001C5C3A">
        <w:rPr>
          <w:rStyle w:val="FootnoteReference"/>
        </w:rPr>
        <w:footnoteReference w:id="1187"/>
      </w:r>
    </w:p>
    <w:p w:rsidR="00BB7CBA" w:rsidRDefault="00BB7CBA" w:rsidP="00BB7CBA">
      <w:pPr>
        <w:pStyle w:val="AERquote"/>
      </w:pPr>
      <w:r w:rsidRPr="00B72C08">
        <w:t>With regard to investor compensation, the basic goal of regulation is to give investors an income stream just sufficient to cover the costs of their assets, and no more</w:t>
      </w:r>
    </w:p>
    <w:p w:rsidR="00BB7CBA" w:rsidRDefault="00BB7CBA" w:rsidP="00BB7CBA">
      <w:pPr>
        <w:pStyle w:val="HeadingBoldBlue"/>
      </w:pPr>
      <w:r>
        <w:t>On-the-day approach</w:t>
      </w:r>
    </w:p>
    <w:p w:rsidR="00BB7CBA" w:rsidRDefault="00BB7CBA" w:rsidP="00BB7CBA">
      <w:r>
        <w:t>For simplicity, assume the term of the risk free rate matches the regulatory period (five years) under the on-the-day approach.</w:t>
      </w:r>
      <w:r>
        <w:rPr>
          <w:rStyle w:val="FootnoteReference"/>
        </w:rPr>
        <w:footnoteReference w:id="1188"/>
      </w:r>
      <w:r>
        <w:t xml:space="preserve">  If we provide service providers with a reasonable opportunity to recover at least efficient costs over a regulatory period commencing year </w:t>
      </w:r>
      <m:oMath>
        <m:r>
          <w:rPr>
            <w:rFonts w:ascii="Cambria Math" w:hAnsi="Cambria Math"/>
          </w:rPr>
          <m:t>t</m:t>
        </m:r>
      </m:oMath>
      <w:r>
        <w:t xml:space="preserve">, then the present value of expected net operating cash flows over this period plus the closing RAB (at </w:t>
      </w:r>
      <m:oMath>
        <m:r>
          <w:rPr>
            <w:rFonts w:ascii="Cambria Math" w:hAnsi="Cambria Math"/>
          </w:rPr>
          <m:t>t+5</m:t>
        </m:r>
      </m:oMath>
      <w:r>
        <w:t xml:space="preserve">) should equal the opening RAB (at </w:t>
      </w:r>
      <m:oMath>
        <m:r>
          <w:rPr>
            <w:rFonts w:ascii="Cambria Math" w:hAnsi="Cambria Math"/>
          </w:rPr>
          <m:t>t</m:t>
        </m:r>
      </m:oMath>
      <w:r>
        <w:t xml:space="preserve">). Under our depreciation assumptions, the opening RAB (at </w:t>
      </w:r>
      <m:oMath>
        <m:r>
          <w:rPr>
            <w:rFonts w:ascii="Cambria Math" w:hAnsi="Cambria Math"/>
          </w:rPr>
          <m:t>t</m:t>
        </m:r>
      </m:oMath>
      <w:r>
        <w:t xml:space="preserve">) will equal its initial value (at </w:t>
      </w:r>
      <m:oMath>
        <m:r>
          <w:rPr>
            <w:rFonts w:ascii="Cambria Math" w:hAnsi="Cambria Math"/>
          </w:rPr>
          <m:t>t=0</m:t>
        </m:r>
      </m:oMath>
      <w:r>
        <w:t>).</w:t>
      </w:r>
    </w:p>
    <w:p w:rsidR="00BB7CBA" w:rsidRDefault="00BB7CBA" w:rsidP="00BB7CBA">
      <w:r>
        <w:t>This present value principle should hold under the on-the-day approach because we reset the allowed rate of return to reflect the (appropriately benchmarked)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1189"/>
      </w:r>
      <w:r>
        <w:t xml:space="preserve"> at the commencement of each regulatory period. We show this below: </w:t>
      </w:r>
    </w:p>
    <w:p w:rsidR="00BB7CBA" w:rsidRDefault="007A39AA" w:rsidP="00BB7CBA">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BB7CBA" w:rsidRDefault="00BB7CBA" w:rsidP="00BB7CBA">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Style w:val="FootnoteReference"/>
              <w:rFonts w:ascii="Cambria Math" w:hAnsi="Cambria Math"/>
              <w:i/>
            </w:rPr>
            <w:footnoteReference w:id="1190"/>
          </m:r>
        </m:oMath>
      </m:oMathPara>
    </w:p>
    <w:p w:rsidR="00BB7CBA" w:rsidRDefault="00BB7CBA" w:rsidP="00BB7CBA">
      <w:r>
        <w:t xml:space="preserve">where the allowed rate of return (in the cash flows) equals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oMath>
      <w:r>
        <w:t>,</w:t>
      </w:r>
      <w:r>
        <w:rPr>
          <w:rStyle w:val="FootnoteReference"/>
        </w:rPr>
        <w:footnoteReference w:id="1191"/>
      </w:r>
      <w:r>
        <w:t xml:space="preserve"> and the present value (at time </w:t>
      </w:r>
      <m:oMath>
        <m:r>
          <w:rPr>
            <w:rFonts w:ascii="Cambria Math" w:hAnsi="Cambria Math"/>
          </w:rPr>
          <m:t>t+5</m:t>
        </m:r>
      </m:oMath>
      <w:r>
        <w:t xml:space="preserve">) of expected future cash flows over the remaining term of the RAB equals the closing RAB at the end of year </w:t>
      </w:r>
      <m:oMath>
        <m:r>
          <w:rPr>
            <w:rFonts w:ascii="Cambria Math" w:hAnsi="Cambria Math"/>
          </w:rPr>
          <m:t>t+5</m:t>
        </m:r>
      </m:oMath>
      <w:r>
        <w:t xml:space="preserve"> (that is,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w:t>
      </w:r>
    </w:p>
    <w:p w:rsidR="00BB7CBA" w:rsidRDefault="00BB7CBA" w:rsidP="00BB7CBA">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00696C67">
        <w:t>,</w:t>
      </w:r>
      <w:r>
        <w:t xml:space="preserve"> </w:t>
      </w:r>
      <w:r w:rsidR="00696C67">
        <w:t>and</w:t>
      </w:r>
      <w:r>
        <w:t>:</w:t>
      </w:r>
      <w:r>
        <w:rPr>
          <w:rStyle w:val="FootnoteReference"/>
        </w:rPr>
        <w:footnoteReference w:id="1192"/>
      </w:r>
    </w:p>
    <w:p w:rsidR="00BB7CBA" w:rsidRPr="00BB7CBA" w:rsidRDefault="007A39AA" w:rsidP="00BB7CBA">
      <w:pPr>
        <w:pStyle w:val="ListContinue"/>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r>
                    <m:rPr>
                      <m:sty m:val="p"/>
                    </m:rPr>
                    <w:rPr>
                      <w:rStyle w:val="CommentReference"/>
                      <w:rFonts w:ascii="Cambria Math" w:hAnsi="Cambria Math"/>
                    </w:rPr>
                    <m:t> </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BB7CBA" w:rsidRDefault="00BB7CBA" w:rsidP="00BB7CBA">
      <w:pPr>
        <w:pStyle w:val="ListContinue"/>
      </w:pPr>
      <w:r>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r</m:t>
                </m:r>
                <m:d>
                  <m:dPr>
                    <m:ctrlPr>
                      <w:rPr>
                        <w:rFonts w:ascii="Cambria Math" w:hAnsi="Cambria Math"/>
                      </w:rPr>
                    </m:ctrlPr>
                  </m:dPr>
                  <m:e>
                    <m:r>
                      <w:rPr>
                        <w:rFonts w:ascii="Cambria Math" w:hAnsi="Cambria Math"/>
                      </w:rPr>
                      <m:t>d</m:t>
                    </m:r>
                  </m:e>
                </m:d>
              </m:e>
            </m:acc>
          </m:e>
          <m:sub>
            <m:r>
              <w:rPr>
                <w:rFonts w:ascii="Cambria Math" w:hAnsi="Cambria Math"/>
              </w:rPr>
              <m:t>t</m:t>
            </m:r>
            <m:r>
              <m:rPr>
                <m:sty m:val="p"/>
              </m:rPr>
              <w:rPr>
                <w:rFonts w:ascii="Cambria Math" w:hAnsi="Cambria Math"/>
              </w:rPr>
              <m:t>,5</m:t>
            </m:r>
          </m:sub>
        </m:sSub>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BB7CBA" w:rsidRPr="00BB7CBA" w:rsidRDefault="007A39AA" w:rsidP="00BB7CBA">
      <w:pPr>
        <w:pStyle w:val="ListContinue"/>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oMath>
      </m:oMathPara>
    </w:p>
    <w:p w:rsidR="00BB7CBA" w:rsidRDefault="00BB7CBA" w:rsidP="00BB7CBA">
      <w:r>
        <w:t xml:space="preserve">We can show </w:t>
      </w:r>
      <m:oMath>
        <m:sSub>
          <m:sSubPr>
            <m:ctrlPr>
              <w:rPr>
                <w:rFonts w:ascii="Cambria Math" w:hAnsi="Cambria Math"/>
              </w:rPr>
            </m:ctrlPr>
          </m:sSubPr>
          <m:e>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oMath>
      <w:r>
        <w:t xml:space="preserve"> through the following sequences of equalities, which collapse down to </w:t>
      </w:r>
      <m:oMath>
        <m:sSub>
          <m:sSubPr>
            <m:ctrlPr>
              <w:rPr>
                <w:rFonts w:ascii="Cambria Math" w:hAnsi="Cambria Math"/>
              </w:rPr>
            </m:ctrlPr>
          </m:sSubPr>
          <m:e>
            <m:r>
              <w:rPr>
                <w:rFonts w:ascii="Cambria Math" w:hAnsi="Cambria Math"/>
              </w:rPr>
              <m:t>PV</m:t>
            </m:r>
          </m:e>
          <m:sub>
            <m:r>
              <w:rPr>
                <w:rFonts w:ascii="Cambria Math" w:hAnsi="Cambria Math"/>
              </w:rPr>
              <m:t>t+5</m:t>
            </m:r>
          </m:sub>
        </m:sSub>
      </m:oMath>
      <w:r>
        <w:t>:</w:t>
      </w:r>
      <w:r>
        <w:rPr>
          <w:rStyle w:val="FootnoteReference"/>
        </w:rPr>
        <w:footnoteReference w:id="1193"/>
      </w:r>
    </w:p>
    <w:p w:rsidR="00BB7CBA" w:rsidRDefault="007A39AA" w:rsidP="00BB7CBA">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Style w:val="CommentReference"/>
              <w:rFonts w:ascii="Cambria Math" w:hAnsi="Cambria Math"/>
            </w:rPr>
            <m:t>=</m:t>
          </m:r>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i=t+6 </m:t>
                  </m:r>
                </m:sub>
                <m:sup>
                  <m:r>
                    <w:rPr>
                      <w:rFonts w:ascii="Cambria Math" w:hAnsi="Cambria Math"/>
                    </w:rPr>
                    <m:t>t+10</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i-5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BB7CBA" w:rsidRDefault="007A39AA" w:rsidP="00BB7CBA">
      <m:oMathPara>
        <m:oMath>
          <m:sSub>
            <m:sSubPr>
              <m:ctrlPr>
                <w:rPr>
                  <w:rFonts w:ascii="Cambria Math" w:hAnsi="Cambria Math"/>
                  <w:i/>
                </w:rPr>
              </m:ctrlPr>
            </m:sSubPr>
            <m:e>
              <m:r>
                <w:rPr>
                  <w:rFonts w:ascii="Cambria Math" w:hAnsi="Cambria Math"/>
                </w:rPr>
                <m:t>PV</m:t>
              </m:r>
            </m:e>
            <m:sub>
              <m:r>
                <w:rPr>
                  <w:rFonts w:ascii="Cambria Math" w:hAnsi="Cambria Math"/>
                </w:rPr>
                <m:t>t+10</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i=t+11 </m:t>
                  </m:r>
                </m:sub>
                <m:sup>
                  <m:r>
                    <w:rPr>
                      <w:rFonts w:ascii="Cambria Math" w:hAnsi="Cambria Math"/>
                    </w:rPr>
                    <m:t>t+15</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i-10</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BB7CBA" w:rsidRDefault="00BB7CBA" w:rsidP="00BB7CBA">
      <m:oMathPara>
        <m:oMath>
          <m:r>
            <w:rPr>
              <w:rFonts w:ascii="Cambria Math" w:hAnsi="Cambria Math"/>
            </w:rPr>
            <m:t>…</m:t>
          </m:r>
        </m:oMath>
      </m:oMathPara>
    </w:p>
    <w:p w:rsidR="00BB7CBA" w:rsidRPr="008948E5" w:rsidRDefault="007A39AA" w:rsidP="00BB7CBA">
      <w:pPr>
        <w:rPr>
          <w:rStyle w:val="CommentReference"/>
        </w:rPr>
      </w:pPr>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d>
                    <m:dPr>
                      <m:ctrlPr>
                        <w:rPr>
                          <w:rFonts w:ascii="Cambria Math" w:hAnsi="Cambria Math"/>
                        </w:rPr>
                      </m:ctrlPr>
                    </m:dPr>
                    <m:e>
                      <m:r>
                        <w:rPr>
                          <w:rFonts w:ascii="Cambria Math" w:hAnsi="Cambria Math"/>
                        </w:rPr>
                        <m:t>T-4</m:t>
                      </m:r>
                    </m:e>
                  </m:d>
                </m:sub>
                <m:sup>
                  <m: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d>
                            <m:dPr>
                              <m:ctrlPr>
                                <w:rPr>
                                  <w:rFonts w:ascii="Cambria Math" w:hAnsi="Cambria Math"/>
                                </w:rPr>
                              </m:ctrlPr>
                            </m:dPr>
                            <m:e>
                              <m:r>
                                <w:rPr>
                                  <w:rFonts w:ascii="Cambria Math" w:hAnsi="Cambria Math"/>
                                </w:rPr>
                                <m:t>T-5</m:t>
                              </m:r>
                            </m:e>
                          </m:d>
                          <m:r>
                            <w:rPr>
                              <w:rFonts w:ascii="Cambria Math" w:hAnsi="Cambria Math"/>
                            </w:rPr>
                            <m:t>,5</m:t>
                          </m:r>
                        </m:sub>
                      </m:sSub>
                      <m:sSup>
                        <m:sSupPr>
                          <m:ctrlPr>
                            <w:rPr>
                              <w:rFonts w:ascii="Cambria Math" w:hAnsi="Cambria Math"/>
                            </w:rPr>
                          </m:ctrlPr>
                        </m:sSupPr>
                        <m:e>
                          <m:r>
                            <w:rPr>
                              <w:rFonts w:ascii="Cambria Math" w:hAnsi="Cambria Math"/>
                            </w:rPr>
                            <m:t>)</m:t>
                          </m:r>
                        </m:e>
                        <m:sup>
                          <m:r>
                            <w:rPr>
                              <w:rFonts w:ascii="Cambria Math" w:hAnsi="Cambria Math"/>
                            </w:rPr>
                            <m:t>i-(T-5)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BB7CBA" w:rsidRDefault="00BB7CBA" w:rsidP="00BB7CBA">
      <w:r>
        <w:t>The above present value principle should hold</w:t>
      </w:r>
      <w:r w:rsidRPr="008948E5">
        <w:t xml:space="preserve"> under any regulatory period under the on-the-day approach, and therefore should hold over the </w:t>
      </w:r>
      <w:r>
        <w:t>term of the RAB, which would comprise of multiple regulatory periods</w:t>
      </w:r>
      <w:r w:rsidRPr="008948E5">
        <w:t>.</w:t>
      </w:r>
      <w:r>
        <w:rPr>
          <w:rStyle w:val="FootnoteReference"/>
        </w:rPr>
        <w:footnoteReference w:id="1194"/>
      </w:r>
      <w:r w:rsidRPr="008948E5">
        <w:t xml:space="preserve"> </w:t>
      </w:r>
      <w:r>
        <w:t>T</w:t>
      </w:r>
      <w:r w:rsidRPr="008948E5">
        <w:t>he allowed rate of return is reset to</w:t>
      </w:r>
      <w:r>
        <w:t xml:space="preserve"> reflect</w:t>
      </w:r>
      <w:r w:rsidRPr="008948E5">
        <w:t xml:space="preserve"> the (appropriately benchmarked) prevailing market cost of capital </w:t>
      </w:r>
      <w:r>
        <w:t>at</w:t>
      </w:r>
      <w:r w:rsidRPr="008948E5">
        <w:t xml:space="preserve"> the commencement of each regulatory period</w:t>
      </w:r>
      <w:r>
        <w:t>. Therefore,</w:t>
      </w:r>
      <w:r w:rsidRPr="008948E5">
        <w:t xml:space="preserve"> the </w:t>
      </w:r>
      <w:r>
        <w:t xml:space="preserve">present (or market) </w:t>
      </w:r>
      <w:r w:rsidRPr="008948E5">
        <w:t>value of the RAB is reset to its</w:t>
      </w:r>
      <w:r>
        <w:t xml:space="preserve"> </w:t>
      </w:r>
      <w:r w:rsidR="00F46D89">
        <w:t xml:space="preserve">statutory </w:t>
      </w:r>
      <w:r>
        <w:t>value</w:t>
      </w:r>
      <w:r w:rsidRPr="008948E5">
        <w:t xml:space="preserve"> </w:t>
      </w:r>
      <w:r>
        <w:t xml:space="preserve">(or, under our assumptions, its </w:t>
      </w:r>
      <w:r w:rsidRPr="008948E5">
        <w:t>initial</w:t>
      </w:r>
      <w:r>
        <w:t xml:space="preserve"> </w:t>
      </w:r>
      <w:r w:rsidRPr="008948E5">
        <w:t>value</w:t>
      </w:r>
      <w:r>
        <w:t xml:space="preserve"> </w:t>
      </w:r>
      <m:oMath>
        <m:sSub>
          <m:sSubPr>
            <m:ctrlPr>
              <w:rPr>
                <w:rFonts w:ascii="Cambria Math" w:hAnsi="Cambria Math"/>
              </w:rPr>
            </m:ctrlPr>
          </m:sSubPr>
          <m:e>
            <m:r>
              <w:rPr>
                <w:rFonts w:ascii="Cambria Math" w:hAnsi="Cambria Math"/>
              </w:rPr>
              <m:t>K</m:t>
            </m:r>
          </m:e>
          <m:sub>
            <m:r>
              <w:rPr>
                <w:rFonts w:ascii="Cambria Math" w:hAnsi="Cambria Math"/>
              </w:rPr>
              <m:t>0</m:t>
            </m:r>
          </m:sub>
        </m:sSub>
      </m:oMath>
      <w:r>
        <w:t>) at</w:t>
      </w:r>
      <w:r w:rsidRPr="008948E5">
        <w:t xml:space="preserve"> the commencement of each regulatory period. </w:t>
      </w:r>
      <w:r>
        <w:t>This is supported by Partington and Satchell.</w:t>
      </w:r>
      <w:r>
        <w:rPr>
          <w:rStyle w:val="FootnoteReference"/>
        </w:rPr>
        <w:footnoteReference w:id="1195"/>
      </w:r>
      <w:r>
        <w:t xml:space="preserve"> </w:t>
      </w:r>
      <w:r w:rsidRPr="008948E5">
        <w:t xml:space="preserve">To this extent, the regulatory regime under an on-the-day approach can be likened to a </w:t>
      </w:r>
      <w:r>
        <w:t>long term floating rate security</w:t>
      </w:r>
      <w:r w:rsidRPr="008948E5">
        <w:t xml:space="preserve"> where the allowed rate of return is the coupon rate, reset at the start of each regulatory period such that the </w:t>
      </w:r>
      <w:r>
        <w:t xml:space="preserve">present (or market) </w:t>
      </w:r>
      <w:r w:rsidRPr="008948E5">
        <w:t xml:space="preserve">value of the bond equals </w:t>
      </w:r>
      <w:r>
        <w:t xml:space="preserve">its </w:t>
      </w:r>
      <w:r w:rsidRPr="008948E5">
        <w:t>par</w:t>
      </w:r>
      <w:r>
        <w:t xml:space="preserve"> (or face)</w:t>
      </w:r>
      <w:r w:rsidRPr="008948E5">
        <w:t xml:space="preserve"> value</w:t>
      </w:r>
      <w:r>
        <w:t>.</w:t>
      </w:r>
      <w:r>
        <w:rPr>
          <w:rStyle w:val="FootnoteReference"/>
        </w:rPr>
        <w:footnoteReference w:id="1196"/>
      </w:r>
    </w:p>
    <w:p w:rsidR="00BB7CBA" w:rsidRDefault="00BB7CBA" w:rsidP="00BB7CBA">
      <w:r>
        <w:t xml:space="preserve">We consider this section shows the </w:t>
      </w:r>
      <w:r w:rsidRPr="008948E5">
        <w:t>on-the-day approach provides service providers with a reasonable opportunity to recover at least efficient costs.</w:t>
      </w:r>
      <w:r>
        <w:rPr>
          <w:rStyle w:val="FootnoteReference"/>
        </w:rPr>
        <w:footnoteReference w:id="1197"/>
      </w:r>
      <w:r w:rsidRPr="008948E5">
        <w:t xml:space="preserve"> </w:t>
      </w:r>
      <w:r>
        <w:t>That is, at the commencement of each regulatory period, the present value of expected future cash flows will equal the RAB</w:t>
      </w:r>
      <w:r w:rsidRPr="00A156E7">
        <w:t xml:space="preserve">. </w:t>
      </w:r>
      <w:r w:rsidRPr="008948E5">
        <w:t xml:space="preserve">We note that given the ARORO is standalone, the ARORO will be achieved if the present value of expected </w:t>
      </w:r>
      <w:r>
        <w:t xml:space="preserve">return on (and of) capital </w:t>
      </w:r>
      <w:r w:rsidRPr="008948E5">
        <w:t xml:space="preserve">cash flows equal the </w:t>
      </w:r>
      <w:r>
        <w:t xml:space="preserve">start-of-period </w:t>
      </w:r>
      <w:r w:rsidRPr="008948E5">
        <w:t>opening RAB</w:t>
      </w:r>
      <w:r>
        <w:t>.</w:t>
      </w:r>
    </w:p>
    <w:p w:rsidR="00BB7CBA" w:rsidRDefault="00BB7CBA" w:rsidP="00BB7CBA">
      <w:pPr>
        <w:pStyle w:val="HeadingBoldBlue"/>
      </w:pPr>
      <w:r>
        <w:t>Trailing average approach</w:t>
      </w:r>
    </w:p>
    <w:p w:rsidR="00BB7CBA" w:rsidRDefault="00BB7CBA" w:rsidP="00BB7CBA">
      <w:r>
        <w:t>Under the trailing average approach, the service provider would not necessarily have a reasonable opportunity to recover at least efficient costs over a regulatory period. However, the service provider would still have a reasonable opportunity to recover at least efficient costs over the term of the RAB.</w:t>
      </w:r>
    </w:p>
    <w:p w:rsidR="00BB7CBA" w:rsidRPr="00A156E7" w:rsidRDefault="00BB7CBA" w:rsidP="00BB7CBA">
      <w:r w:rsidRPr="00A156E7">
        <w:t xml:space="preserve">Assume we set the allowed rate of return based on a trailing average return on debt for a particular regulatory period (commencing year </w:t>
      </w:r>
      <m:oMath>
        <m:r>
          <w:rPr>
            <w:rFonts w:ascii="Cambria Math" w:hAnsi="Cambria Math"/>
          </w:rPr>
          <m:t>t</m:t>
        </m:r>
      </m:oMath>
      <w:r w:rsidRPr="00A156E7">
        <w:t xml:space="preserve">). </w:t>
      </w:r>
      <w:r>
        <w:t>As set out above, f</w:t>
      </w:r>
      <w:r w:rsidRPr="00A156E7">
        <w:t xml:space="preserve">or the </w:t>
      </w:r>
      <w:r>
        <w:t>present value</w:t>
      </w:r>
      <w:r w:rsidRPr="00A156E7">
        <w:t xml:space="preserve"> principle to hold over the regulatory period commencing year </w:t>
      </w:r>
      <m:oMath>
        <m:r>
          <w:rPr>
            <w:rFonts w:ascii="Cambria Math" w:hAnsi="Cambria Math"/>
          </w:rPr>
          <m:t>t</m:t>
        </m:r>
      </m:oMath>
      <w:r w:rsidRPr="00A156E7">
        <w:t xml:space="preserve">, the present value of </w:t>
      </w:r>
      <w:r>
        <w:t xml:space="preserve">expected </w:t>
      </w:r>
      <w:r w:rsidRPr="00A156E7">
        <w:t xml:space="preserve">net operating cash flows over this period </w:t>
      </w:r>
      <w:r>
        <w:t>plus the</w:t>
      </w:r>
      <w:r w:rsidRPr="00A156E7">
        <w:t xml:space="preserve"> closing RAB </w:t>
      </w:r>
      <w:r>
        <w:t xml:space="preserve">(at </w:t>
      </w:r>
      <m:oMath>
        <m:r>
          <w:rPr>
            <w:rFonts w:ascii="Cambria Math" w:hAnsi="Cambria Math"/>
          </w:rPr>
          <m:t>t+5</m:t>
        </m:r>
      </m:oMath>
      <w:r>
        <w:t xml:space="preserve">) </w:t>
      </w:r>
      <w:r w:rsidRPr="00A156E7">
        <w:t xml:space="preserve">should equate to the opening RAB </w:t>
      </w:r>
      <w:r>
        <w:t>(</w:t>
      </w:r>
      <w:r w:rsidRPr="00A156E7">
        <w:t xml:space="preserve">at </w:t>
      </w:r>
      <m:oMath>
        <m:r>
          <w:rPr>
            <w:rFonts w:ascii="Cambria Math" w:hAnsi="Cambria Math"/>
          </w:rPr>
          <m:t>t</m:t>
        </m:r>
      </m:oMath>
      <w:r>
        <w:t>)</w:t>
      </w:r>
      <w:r w:rsidRPr="00A156E7">
        <w:t xml:space="preserve">. </w:t>
      </w:r>
      <w:r>
        <w:t>Under our depreciation assumptions</w:t>
      </w:r>
      <w:r w:rsidRPr="00A156E7">
        <w:t xml:space="preserve">, this should result in the opening RAB (at </w:t>
      </w:r>
      <m:oMath>
        <m:r>
          <w:rPr>
            <w:rFonts w:ascii="Cambria Math" w:hAnsi="Cambria Math"/>
          </w:rPr>
          <m:t>t</m:t>
        </m:r>
      </m:oMath>
      <w:r w:rsidRPr="00A156E7">
        <w:t xml:space="preserve">) </w:t>
      </w:r>
      <w:r>
        <w:t xml:space="preserve">being </w:t>
      </w:r>
      <w:r w:rsidRPr="00A156E7">
        <w:t>equal</w:t>
      </w:r>
      <w:r>
        <w:t xml:space="preserve"> to</w:t>
      </w:r>
      <w:r w:rsidRPr="00A156E7">
        <w:t xml:space="preserve"> its initial value (at </w:t>
      </w:r>
      <m:oMath>
        <m:r>
          <w:rPr>
            <w:rFonts w:ascii="Cambria Math" w:hAnsi="Cambria Math"/>
          </w:rPr>
          <m:t>t=0</m:t>
        </m:r>
      </m:oMath>
      <w:r w:rsidRPr="00A156E7">
        <w:t xml:space="preserve">). </w:t>
      </w:r>
      <w:r>
        <w:t>That is, f</w:t>
      </w:r>
      <w:r w:rsidRPr="00A156E7">
        <w:t xml:space="preserve">or the </w:t>
      </w:r>
      <w:r>
        <w:t>present value</w:t>
      </w:r>
      <w:r w:rsidRPr="00A156E7">
        <w:t xml:space="preserve"> principle to hold over </w:t>
      </w:r>
      <w:r>
        <w:t>a</w:t>
      </w:r>
      <w:r w:rsidRPr="00A156E7">
        <w:t xml:space="preserve"> regulatory period commencing year </w:t>
      </w:r>
      <m:oMath>
        <m:r>
          <w:rPr>
            <w:rFonts w:ascii="Cambria Math" w:hAnsi="Cambria Math"/>
          </w:rPr>
          <m:t>t</m:t>
        </m:r>
      </m:oMath>
      <w:r w:rsidRPr="00A156E7">
        <w:t>, the following equality must hold:</w:t>
      </w:r>
    </w:p>
    <w:p w:rsidR="00BB7CBA" w:rsidRDefault="007A39AA" w:rsidP="00BB7CBA">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BB7CBA" w:rsidRDefault="00BB7CBA" w:rsidP="00BB7CBA">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oMath>
      </m:oMathPara>
    </w:p>
    <w:p w:rsidR="00BB7CBA" w:rsidRDefault="00BB7CBA" w:rsidP="00BB7CBA">
      <w:r>
        <w:t>where, under an immediate trailing average approach (under our assumptions):</w:t>
      </w:r>
      <w:r>
        <w:rPr>
          <w:rStyle w:val="FootnoteReference"/>
        </w:rPr>
        <w:footnoteReference w:id="1198"/>
      </w:r>
    </w:p>
    <w:p w:rsidR="00BB7CBA" w:rsidRPr="00BB7CBA" w:rsidRDefault="007A39AA" w:rsidP="00BB7CBA">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BB7CBA" w:rsidRPr="005C23EC" w:rsidRDefault="00BB7CBA" w:rsidP="00BB7CBA">
      <w:r w:rsidRPr="005C23EC">
        <w:tab/>
      </w:r>
      <w:r w:rsidRPr="00A156E7">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)+(0.1*</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i</m:t>
            </m:r>
            <m:r>
              <m:rPr>
                <m:sty m:val="p"/>
              </m:rPr>
              <w:rPr>
                <w:rFonts w:ascii="Cambria Math" w:hAnsi="Cambria Math"/>
              </w:rPr>
              <m:t xml:space="preserve">-10 </m:t>
            </m:r>
          </m:sub>
          <m:sup>
            <m:r>
              <w:rPr>
                <w:rFonts w:ascii="Cambria Math" w:hAnsi="Cambria Math"/>
              </w:rPr>
              <m:t>i</m:t>
            </m:r>
            <m:r>
              <m:rPr>
                <m:sty m:val="p"/>
              </m:rPr>
              <w:rPr>
                <w:rFonts w:ascii="Cambria Math" w:hAnsi="Cambria Math"/>
              </w:rPr>
              <m:t>-1</m:t>
            </m:r>
          </m:sup>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s</m:t>
                </m:r>
                <m:r>
                  <m:rPr>
                    <m:sty m:val="p"/>
                  </m:rPr>
                  <w:rPr>
                    <w:rFonts w:ascii="Cambria Math" w:hAnsi="Cambria Math"/>
                  </w:rPr>
                  <m:t>,10</m:t>
                </m:r>
              </m:sub>
            </m:sSub>
            <m:r>
              <m:rPr>
                <m:sty m:val="p"/>
              </m:rPr>
              <w:rPr>
                <w:rFonts w:ascii="Cambria Math" w:hAnsi="Cambria Math"/>
              </w:rPr>
              <m:t>]</m:t>
            </m:r>
          </m:e>
        </m:nary>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BB7CBA" w:rsidRDefault="00BB7CBA" w:rsidP="00BB7CBA">
      <w:r>
        <w:t xml:space="preserve">The above equality is unlikely to hold for any given regulatory period. The only way this can hold is if the geometric average allowed rate of return used over the period equals </w:t>
      </w:r>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1199"/>
      </w:r>
      <w:r>
        <w:t xml:space="preserve"> and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 xml:space="preserve"> (which equals </w:t>
      </w:r>
      <m:oMath>
        <m:sSub>
          <m:sSubPr>
            <m:ctrlPr>
              <w:rPr>
                <w:rFonts w:ascii="Cambria Math" w:hAnsi="Cambria Math"/>
              </w:rPr>
            </m:ctrlPr>
          </m:sSubPr>
          <m:e>
            <m:r>
              <w:rPr>
                <w:rFonts w:ascii="Cambria Math" w:hAnsi="Cambria Math"/>
              </w:rPr>
              <m:t>K</m:t>
            </m:r>
          </m:e>
          <m:sub>
            <m:r>
              <w:rPr>
                <w:rFonts w:ascii="Cambria Math" w:hAnsi="Cambria Math"/>
              </w:rPr>
              <m:t>0</m:t>
            </m:r>
          </m:sub>
        </m:sSub>
      </m:oMath>
      <w:r>
        <w:t xml:space="preserve"> under our assumptions).</w:t>
      </w:r>
      <w:r w:rsidRPr="00DE6C15">
        <w:rPr>
          <w:rStyle w:val="FootnoteReference"/>
        </w:rPr>
        <w:t xml:space="preserve"> </w:t>
      </w:r>
    </w:p>
    <w:p w:rsidR="00BB7CBA" w:rsidRDefault="00BB7CBA" w:rsidP="00BB7CBA">
      <w:r>
        <w:t>Despite this, we can show the service provider would have a reasonable opportunity to recover at least efficient costs over the term of the RAB. We previously observed that the on-the-day approach can be likened to a long term floating rate security where the coupon rate is reset to reflect the prevailing market cost of capital at the start of each regulatory period. Similarly, we can interpret the trailing average approach as 10 long term floating rate securities each covering a 10 per cent 'investment portion' in the RAB where the coupon rate is reset to reflect the prevailing market cost of (debt) capital every 10 years.</w:t>
      </w:r>
    </w:p>
    <w:p w:rsidR="00BB7CBA" w:rsidRDefault="00BB7CBA" w:rsidP="00BB7CBA">
      <w:r>
        <w:t>There are three different components to the trailing average approach: the transition in, the full staggered portfolio, and the transition out at the end of the investment horizon (or end of the term of the RAB).</w:t>
      </w:r>
      <w:r w:rsidRPr="00185A5F">
        <w:t xml:space="preserve"> </w:t>
      </w:r>
      <w:r>
        <w:t>We show these below.</w:t>
      </w:r>
    </w:p>
    <w:p w:rsidR="00BB7CBA" w:rsidRDefault="00BB7CBA" w:rsidP="00BB7CBA">
      <w:r>
        <w:t>T</w:t>
      </w:r>
      <w:r w:rsidRPr="00185A5F">
        <w:t>he allowed return on equity continues to be reset to reflect the prevailing market cost of equity at the commencement of each regulatory period</w:t>
      </w:r>
      <w:r>
        <w:t>. Therefore,</w:t>
      </w:r>
      <w:r w:rsidRPr="00185A5F">
        <w:t xml:space="preserve"> we can </w:t>
      </w:r>
      <w:r>
        <w:t>reasonably assume</w:t>
      </w:r>
      <w:r w:rsidRPr="00185A5F">
        <w:t xml:space="preserve"> the present value of </w:t>
      </w:r>
      <w:r>
        <w:t xml:space="preserve">expected </w:t>
      </w:r>
      <w:r w:rsidRPr="00185A5F">
        <w:t xml:space="preserve">return on equity cash flows equals the </w:t>
      </w:r>
      <w:r>
        <w:t xml:space="preserve">equity financed component of the </w:t>
      </w:r>
      <w:r w:rsidRPr="00185A5F">
        <w:t>RAB each regulatory period</w:t>
      </w:r>
      <w:r>
        <w:t>, although Partington and Satchell note there are likely to be complications associated with leverage</w:t>
      </w:r>
      <w:r w:rsidRPr="00185A5F">
        <w:t>.</w:t>
      </w:r>
      <w:r>
        <w:rPr>
          <w:rStyle w:val="FootnoteReference"/>
        </w:rPr>
        <w:footnoteReference w:id="1200"/>
      </w:r>
      <w:r w:rsidRPr="00185A5F">
        <w:t xml:space="preserve"> </w:t>
      </w:r>
      <w:r>
        <w:t>Because of this</w:t>
      </w:r>
      <w:r w:rsidRPr="00185A5F">
        <w:t>, in the following sections we focus on the return on debt cash flows and assume, for simplicity, the RAB is 100</w:t>
      </w:r>
      <w:r>
        <w:t xml:space="preserve"> per cent</w:t>
      </w:r>
      <w:r w:rsidRPr="00185A5F">
        <w:t xml:space="preserve"> debt financed.</w:t>
      </w:r>
    </w:p>
    <w:p w:rsidR="00BB7CBA" w:rsidRDefault="00BB7CBA" w:rsidP="00BB7CBA">
      <w:pPr>
        <w:pStyle w:val="HeadingBoldItalic"/>
      </w:pPr>
      <w:r>
        <w:t>Transition into the staggered portfolio</w:t>
      </w:r>
    </w:p>
    <w:p w:rsidR="00BB7CBA" w:rsidRDefault="00BB7CBA" w:rsidP="00BB7CBA">
      <w:pPr>
        <w:rPr>
          <w:rStyle w:val="AERbody"/>
        </w:rPr>
      </w:pPr>
      <w:r>
        <w:rPr>
          <w:rStyle w:val="AERbody"/>
        </w:rPr>
        <w:t>On the first year of a trailing average, a business would either:</w:t>
      </w:r>
    </w:p>
    <w:p w:rsidR="00BB7CBA" w:rsidRDefault="00BB7CBA" w:rsidP="00BB7CBA">
      <w:pPr>
        <w:pStyle w:val="AERbulletlistfirststyle"/>
        <w:rPr>
          <w:rStyle w:val="AERbody"/>
        </w:rPr>
      </w:pPr>
      <w:r>
        <w:rPr>
          <w:rStyle w:val="AERbody"/>
        </w:rPr>
        <w:t>Raise an equal-weighted portfolio of 1, 2, 3 ... 9, 10 year debt. Each year 10 per cent of this would expire and the business would replace this with 10 year debt.</w:t>
      </w:r>
    </w:p>
    <w:p w:rsidR="00BB7CBA" w:rsidRDefault="00BB7CBA" w:rsidP="00BB7CBA">
      <w:pPr>
        <w:pStyle w:val="AERbulletlistfirststyle"/>
        <w:rPr>
          <w:rStyle w:val="AERbody"/>
        </w:rPr>
      </w:pPr>
      <w:r>
        <w:rPr>
          <w:rStyle w:val="AERbody"/>
        </w:rPr>
        <w:t>Raise 10 year debt. Each year it would refinance 10 per cent of this and replace this with more 10 year debt.</w:t>
      </w:r>
    </w:p>
    <w:p w:rsidR="00BB7CBA" w:rsidRPr="006C533F" w:rsidRDefault="00BB7CBA" w:rsidP="00BB7CBA">
      <w:pPr>
        <w:rPr>
          <w:rStyle w:val="AERbody"/>
        </w:rPr>
      </w:pPr>
      <w:r>
        <w:rPr>
          <w:rStyle w:val="AERbody"/>
        </w:rPr>
        <w:t xml:space="preserve">We have calculated the return on debt allowance assuming </w:t>
      </w:r>
      <w:r w:rsidRPr="006C533F">
        <w:rPr>
          <w:rStyle w:val="AERbody"/>
        </w:rPr>
        <w:t xml:space="preserve">the latter option. Since we </w:t>
      </w:r>
      <w:r>
        <w:rPr>
          <w:rStyle w:val="AERbody"/>
        </w:rPr>
        <w:t xml:space="preserve">expect this would be the higher </w:t>
      </w:r>
      <w:r w:rsidRPr="006C533F">
        <w:rPr>
          <w:rStyle w:val="AERbody"/>
        </w:rPr>
        <w:t>cost option</w:t>
      </w:r>
      <w:r>
        <w:rPr>
          <w:rStyle w:val="AERbody"/>
        </w:rPr>
        <w:t xml:space="preserve"> given </w:t>
      </w:r>
      <w:r w:rsidRPr="00185A5F">
        <w:rPr>
          <w:rStyle w:val="AERbody"/>
        </w:rPr>
        <w:t>interest rates on longer-term debt securities are often higher than those on shorter-term debt securities</w:t>
      </w:r>
      <w:r w:rsidRPr="006C533F">
        <w:rPr>
          <w:rStyle w:val="AERbody"/>
        </w:rPr>
        <w:t>, our debt allowance should be conservative in</w:t>
      </w:r>
      <w:r>
        <w:rPr>
          <w:rStyle w:val="AERbody"/>
        </w:rPr>
        <w:t xml:space="preserve"> the service providers' favour.</w:t>
      </w:r>
    </w:p>
    <w:p w:rsidR="00BB7CBA" w:rsidRPr="006C533F" w:rsidRDefault="00BB7CBA" w:rsidP="00BB7CBA">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 xml:space="preserve">a reasonable opportunity to recover at least efficient costs for its initial investment at </w:t>
      </w:r>
      <m:oMath>
        <m:r>
          <w:rPr>
            <w:rFonts w:ascii="Cambria Math" w:hAnsi="Cambria Math"/>
          </w:rPr>
          <m:t>t=0</m:t>
        </m:r>
      </m:oMath>
      <w:r w:rsidRPr="006C533F">
        <w:t xml:space="preserve"> as this would allow the following equality to hold:</w:t>
      </w:r>
      <w:r>
        <w:rPr>
          <w:rStyle w:val="FootnoteReference"/>
        </w:rPr>
        <w:footnoteReference w:id="1201"/>
      </w:r>
    </w:p>
    <w:p w:rsidR="00BB7CBA" w:rsidRDefault="007A39AA" w:rsidP="00BB7CBA">
      <m:oMath>
        <m:sSub>
          <m:sSubPr>
            <m:ctrlPr>
              <w:rPr>
                <w:rFonts w:ascii="Cambria Math" w:hAnsi="Cambria Math"/>
              </w:rPr>
            </m:ctrlPr>
          </m:sSubPr>
          <m:e>
            <m:r>
              <w:rPr>
                <w:rFonts w:ascii="Cambria Math" w:hAnsi="Cambria Math"/>
              </w:rPr>
              <m:t>PV</m:t>
            </m:r>
          </m:e>
          <m:sub>
            <m:r>
              <w:rPr>
                <w:rFonts w:ascii="Cambria Math" w:hAnsi="Cambria Math"/>
              </w:rPr>
              <m:t>0</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CF</m:t>
                    </m:r>
                  </m:e>
                  <m:sub>
                    <m:r>
                      <w:rPr>
                        <w:rFonts w:ascii="Cambria Math" w:hAnsi="Cambria Math"/>
                      </w:rPr>
                      <m:t>1</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0.9*</m:t>
                </m:r>
                <m:sSub>
                  <m:sSubPr>
                    <m:ctrlPr>
                      <w:rPr>
                        <w:rFonts w:ascii="Cambria Math" w:hAnsi="Cambria Math"/>
                      </w:rPr>
                    </m:ctrlPr>
                  </m:sSubPr>
                  <m:e>
                    <m:r>
                      <w:rPr>
                        <w:rFonts w:ascii="Cambria Math" w:hAnsi="Cambria Math"/>
                      </w:rPr>
                      <m:t>CF</m:t>
                    </m:r>
                  </m:e>
                  <m:sub>
                    <m:r>
                      <w:rPr>
                        <w:rFonts w:ascii="Cambria Math" w:hAnsi="Cambria Math"/>
                      </w:rPr>
                      <m:t>2</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0.2*</m:t>
                </m:r>
                <m:sSub>
                  <m:sSubPr>
                    <m:ctrlPr>
                      <w:rPr>
                        <w:rFonts w:ascii="Cambria Math" w:hAnsi="Cambria Math"/>
                      </w:rPr>
                    </m:ctrlPr>
                  </m:sSubPr>
                  <m:e>
                    <m:r>
                      <w:rPr>
                        <w:rFonts w:ascii="Cambria Math" w:hAnsi="Cambria Math"/>
                      </w:rPr>
                      <m:t>CF</m:t>
                    </m:r>
                  </m:e>
                  <m:sub>
                    <m:r>
                      <w:rPr>
                        <w:rFonts w:ascii="Cambria Math" w:hAnsi="Cambria Math"/>
                      </w:rPr>
                      <m:t>9</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Style w:val="FootnoteReference"/>
            <w:rFonts w:ascii="Cambria Math" w:hAnsi="Cambria Math"/>
            <w:i/>
          </w:rPr>
          <w:footnoteReference w:id="1202"/>
        </m:r>
      </m:oMath>
      <w:r w:rsidR="00BB7CBA">
        <w:t xml:space="preserve"> </w:t>
      </w:r>
    </w:p>
    <w:p w:rsidR="00BB7CBA" w:rsidRDefault="00BB7CBA" w:rsidP="00BB7CBA">
      <w:r>
        <w:t>where, under our assumptions:</w:t>
      </w:r>
      <w:r>
        <w:rPr>
          <w:rStyle w:val="FootnoteReference"/>
        </w:rPr>
        <w:footnoteReference w:id="1203"/>
      </w:r>
    </w:p>
    <w:p w:rsidR="00BB7CBA" w:rsidRPr="00BB7CBA" w:rsidRDefault="007A39AA" w:rsidP="00BB7CBA">
      <w:pPr>
        <w:pStyle w:val="ListContinue2"/>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BB7CBA" w:rsidRDefault="00BB7CBA" w:rsidP="00BB7CBA">
      <w:pPr>
        <w:pStyle w:val="ListContinue2"/>
      </w:pPr>
      <w:r w:rsidRPr="00185A5F">
        <w:tab/>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11-</m:t>
            </m:r>
            <m:r>
              <w:rPr>
                <w:rFonts w:ascii="Cambria Math" w:hAnsi="Cambria Math"/>
              </w:rPr>
              <m:t>i</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r>
              <m:rPr>
                <m:sty m:val="p"/>
              </m:rPr>
              <w:rPr>
                <w:rFonts w:ascii="Cambria Math" w:hAnsi="Cambria Math"/>
              </w:rPr>
              <m:t xml:space="preserve"> </m:t>
            </m:r>
          </m:sub>
          <m:sup>
            <m:r>
              <m:rPr>
                <m:sty m:val="p"/>
              </m:rPr>
              <w:rPr>
                <w:rFonts w:ascii="Cambria Math" w:hAnsi="Cambria Math"/>
              </w:rPr>
              <m:t>10</m:t>
            </m:r>
          </m:sup>
          <m:e>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0,</m:t>
                </m:r>
                <m:r>
                  <w:rPr>
                    <w:rFonts w:ascii="Cambria Math" w:hAnsi="Cambria Math"/>
                  </w:rPr>
                  <m:t>j</m:t>
                </m:r>
              </m:sub>
            </m:sSub>
            <m:r>
              <m:rPr>
                <m:sty m:val="p"/>
              </m:rPr>
              <w:rPr>
                <w:rFonts w:ascii="Cambria Math" w:hAnsi="Cambria Math"/>
              </w:rPr>
              <m:t>]</m:t>
            </m:r>
          </m:e>
        </m:nary>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 2, 3,…, 10</m:t>
        </m:r>
      </m:oMath>
    </w:p>
    <w:p w:rsidR="00BB7CBA" w:rsidRPr="00166E6F" w:rsidRDefault="00BB7CBA" w:rsidP="00BB7CBA">
      <w:pPr>
        <w:pStyle w:val="ListContinue2"/>
      </w:pPr>
      <m:oMath>
        <m:r>
          <w:rPr>
            <w:rFonts w:ascii="Cambria Math" w:hAnsi="Cambria Math"/>
          </w:rPr>
          <m:t>0.1*</m:t>
        </m:r>
        <m:d>
          <m:dPr>
            <m:ctrlPr>
              <w:rPr>
                <w:rFonts w:ascii="Cambria Math" w:hAnsi="Cambria Math"/>
              </w:rPr>
            </m:ctrlPr>
          </m:dPr>
          <m:e>
            <m:nary>
              <m:naryPr>
                <m:chr m:val="∑"/>
                <m:limLoc m:val="subSup"/>
                <m:ctrlPr>
                  <w:rPr>
                    <w:rFonts w:ascii="Cambria Math" w:hAnsi="Cambria Math"/>
                  </w:rPr>
                </m:ctrlPr>
              </m:naryPr>
              <m:sub>
                <m:r>
                  <w:rPr>
                    <w:rFonts w:ascii="Cambria Math" w:hAnsi="Cambria Math"/>
                  </w:rPr>
                  <m:t>i=1</m:t>
                </m:r>
              </m:sub>
              <m:sup>
                <m:r>
                  <w:rPr>
                    <w:rFonts w:ascii="Cambria Math" w:hAnsi="Cambria Math"/>
                  </w:rPr>
                  <m:t>10</m:t>
                </m:r>
              </m:sup>
              <m:e>
                <m:sSub>
                  <m:sSubPr>
                    <m:ctrlPr>
                      <w:rPr>
                        <w:rFonts w:ascii="Cambria Math" w:hAnsi="Cambria Math"/>
                      </w:rPr>
                    </m:ctrlPr>
                  </m:sSubPr>
                  <m:e>
                    <m:r>
                      <w:rPr>
                        <w:rFonts w:ascii="Cambria Math" w:hAnsi="Cambria Math"/>
                      </w:rPr>
                      <m:t>K</m:t>
                    </m:r>
                  </m:e>
                  <m:sub>
                    <m:r>
                      <w:rPr>
                        <w:rFonts w:ascii="Cambria Math" w:hAnsi="Cambria Math"/>
                      </w:rPr>
                      <m:t>i</m:t>
                    </m:r>
                  </m:sub>
                </m:sSub>
              </m:e>
            </m:nary>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BB7CBA" w:rsidRDefault="00BB7CBA" w:rsidP="00BB7CBA">
      <w:r>
        <w:t>As demonstrated under 'On-the-day approach', this equality holds because, for each one-tenth portion of the RAB:</w:t>
      </w:r>
    </w:p>
    <w:p w:rsidR="00BB7CBA" w:rsidRPr="00BB7CBA" w:rsidRDefault="00BB7CBA" w:rsidP="00BB7CBA">
      <w:pPr>
        <w:pStyle w:val="AERbulletlistfirststyle"/>
      </w:pPr>
      <w:r>
        <w:t>the expected net operating cash flows</w:t>
      </w:r>
      <w:r w:rsidRPr="00BB7CBA">
        <w:t xml:space="preserve"> are, effectively, based on an allowed rate of return that reflects prevailing market rates at year </w:t>
      </w:r>
      <m:oMath>
        <m:r>
          <w:rPr>
            <w:rFonts w:ascii="Cambria Math" w:hAnsi="Cambria Math"/>
          </w:rPr>
          <m:t>t=0</m:t>
        </m:r>
      </m:oMath>
      <w:r w:rsidRPr="00BB7CBA">
        <w:t>, with the expectation that the allowed rate of return will be periodically reset to prevailing market rates</w:t>
      </w:r>
    </w:p>
    <w:p w:rsidR="00BB7CBA" w:rsidRPr="00BB7CBA" w:rsidRDefault="00BB7CBA" w:rsidP="00BB7CBA">
      <w:pPr>
        <w:pStyle w:val="AERbulletlistfirststyle"/>
      </w:pPr>
      <w:r>
        <w:t>the present</w:t>
      </w:r>
      <w:r w:rsidRPr="00BB7CBA">
        <w:t xml:space="preserve"> (or market) value of the closing RAB (portion) at the end of each 'reset period' equals its </w:t>
      </w:r>
      <w:r w:rsidR="00F46D89">
        <w:t>statutory</w:t>
      </w:r>
      <w:r w:rsidR="00F46D89" w:rsidRPr="00BB7CBA">
        <w:t xml:space="preserve"> </w:t>
      </w:r>
      <w:r w:rsidRPr="00BB7CBA">
        <w:t>value.</w:t>
      </w:r>
    </w:p>
    <w:p w:rsidR="00BB7CBA" w:rsidRDefault="00BB7CBA" w:rsidP="00BB7CBA">
      <w:r>
        <w:t xml:space="preserve">For example, at </w:t>
      </w:r>
      <m:oMath>
        <m:r>
          <w:rPr>
            <w:rFonts w:ascii="Cambria Math" w:hAnsi="Cambria Math"/>
          </w:rPr>
          <m:t>t=0</m:t>
        </m:r>
      </m:oMath>
      <w:r>
        <w:t xml:space="preserve">, portion one of the initial RAB is financed through debt with a term of one year. The present value of expected net operating cash flows generated from portion one of the RAB plus portion one of the closing RAB at </w:t>
      </w:r>
      <m:oMath>
        <m:r>
          <w:rPr>
            <w:rFonts w:ascii="Cambria Math" w:hAnsi="Cambria Math"/>
          </w:rPr>
          <m:t>t=1</m:t>
        </m:r>
      </m:oMath>
      <w:r w:rsidR="00696C67">
        <w:t>,</w:t>
      </w:r>
      <w:r>
        <w:t xml:space="preserve"> should equal portion one of the opening RAB at</w:t>
      </w:r>
      <w:r w:rsidRPr="00864ABE">
        <w:t xml:space="preserve"> </w:t>
      </w:r>
      <m:oMath>
        <m:r>
          <w:rPr>
            <w:rFonts w:ascii="Cambria Math" w:hAnsi="Cambria Math"/>
          </w:rPr>
          <m:t>t=0</m:t>
        </m:r>
      </m:oMath>
      <w:r>
        <w:t xml:space="preserve">. This is because it is expected that, at </w:t>
      </w:r>
      <m:oMath>
        <m:r>
          <w:rPr>
            <w:rFonts w:ascii="Cambria Math" w:hAnsi="Cambria Math"/>
          </w:rPr>
          <m:t>t=1</m:t>
        </m:r>
      </m:oMath>
      <w:r>
        <w:t>, we reset the allowed rate of return on portion one of the RAB to reflect the prevailing market cost of capital, and continue resetting every ten years (see equalities under 'The staggered portfolio'</w:t>
      </w:r>
      <w:r w:rsidRPr="00CF688D">
        <w:t xml:space="preserve"> and </w:t>
      </w:r>
      <w:r>
        <w:t xml:space="preserve">'End of the term of the RAB' </w:t>
      </w:r>
      <w:r w:rsidRPr="00CF688D">
        <w:t>below)</w:t>
      </w:r>
      <w:r>
        <w:t xml:space="preserve">. </w:t>
      </w:r>
    </w:p>
    <w:p w:rsidR="00BB7CBA" w:rsidRDefault="00BB7CBA" w:rsidP="00BB7CBA">
      <w:r>
        <w:t xml:space="preserve">Similarly, at </w:t>
      </w:r>
      <m:oMath>
        <m:r>
          <w:rPr>
            <w:rFonts w:ascii="Cambria Math" w:hAnsi="Cambria Math"/>
          </w:rPr>
          <m:t>t=0</m:t>
        </m:r>
      </m:oMath>
      <w:r w:rsidRPr="00864ABE">
        <w:t xml:space="preserve">, portion </w:t>
      </w:r>
      <w:r>
        <w:t>two</w:t>
      </w:r>
      <w:r w:rsidRPr="00864ABE">
        <w:t xml:space="preserve"> of the initial RAB is financed through debt with a term of </w:t>
      </w:r>
      <w:r>
        <w:t>two</w:t>
      </w:r>
      <w:r w:rsidRPr="00864ABE">
        <w:t xml:space="preserve"> year</w:t>
      </w:r>
      <w:r>
        <w:t>s, and the present value relationship holds for portion two over the two year period. The same logic applies to portions three to ten.</w:t>
      </w:r>
    </w:p>
    <w:p w:rsidR="00BB7CBA" w:rsidRDefault="00BB7CBA" w:rsidP="00BB7CBA">
      <w:r>
        <w:t>What this shows, is that at the beginning of the transition into a trailing average approach, the present value of expected future cash flows should equal the RAB (all else equal)</w:t>
      </w:r>
      <w:r w:rsidRPr="00CF688D">
        <w:t>.</w:t>
      </w:r>
    </w:p>
    <w:p w:rsidR="00BB7CBA" w:rsidRDefault="00BB7CBA" w:rsidP="00BB7CBA">
      <w:pPr>
        <w:pStyle w:val="HeadingBoldItalic"/>
      </w:pPr>
      <w:r>
        <w:t>The staggered portfolio</w:t>
      </w:r>
    </w:p>
    <w:p w:rsidR="00BB7CBA" w:rsidRDefault="00BB7CBA" w:rsidP="00BB7CBA">
      <w:r>
        <w:t>A noted previously, the trailing average regime can be likened to 10 long term floating rate securities covering a 10 per cent 'investment portion' in the RAB where they receive the net operating cash flows generated from these investment portions. We refer to these portions</w:t>
      </w:r>
      <w:r>
        <w:rPr>
          <w:rStyle w:val="FootnoteReference"/>
        </w:rPr>
        <w:footnoteReference w:id="1204"/>
      </w:r>
      <w:r>
        <w:t xml:space="preserve"> as </w:t>
      </w:r>
      <m:oMath>
        <m:r>
          <w:rPr>
            <w:rFonts w:ascii="Cambria Math" w:hAnsi="Cambria Math"/>
          </w:rPr>
          <m:t>p1</m:t>
        </m:r>
      </m:oMath>
      <w:r>
        <w:t xml:space="preserve"> to </w:t>
      </w:r>
      <m:oMath>
        <m:r>
          <w:rPr>
            <w:rFonts w:ascii="Cambria Math" w:hAnsi="Cambria Math"/>
          </w:rPr>
          <m:t>p10</m:t>
        </m:r>
      </m:oMath>
      <w:r>
        <w:t xml:space="preserve">. From </w:t>
      </w:r>
      <m:oMath>
        <m:r>
          <w:rPr>
            <w:rFonts w:ascii="Cambria Math" w:hAnsi="Cambria Math"/>
          </w:rPr>
          <m:t>t=1</m:t>
        </m:r>
      </m:oMath>
      <w:r>
        <w:t xml:space="preserve"> to </w:t>
      </w:r>
      <m:oMath>
        <m:r>
          <w:rPr>
            <w:rFonts w:ascii="Cambria Math" w:hAnsi="Cambria Math"/>
          </w:rPr>
          <m:t>t=10</m:t>
        </m:r>
      </m:oMath>
      <w:r>
        <w:t>, the present value relationships can be presented as:</w:t>
      </w:r>
    </w:p>
    <w:p w:rsidR="00BB7CBA" w:rsidRPr="00B818B4" w:rsidRDefault="007A39AA" w:rsidP="00BB7CBA">
      <m:oMath>
        <m:sSub>
          <m:sSubPr>
            <m:ctrlPr>
              <w:rPr>
                <w:rFonts w:ascii="Cambria Math" w:hAnsi="Cambria Math"/>
              </w:rPr>
            </m:ctrlPr>
          </m:sSubPr>
          <m:e>
            <m:r>
              <w:rPr>
                <w:rFonts w:ascii="Cambria Math" w:hAnsi="Cambria Math"/>
              </w:rPr>
              <m:t>PV[p1]</m:t>
            </m:r>
          </m:e>
          <m:sub>
            <m:r>
              <w:rPr>
                <w:rFonts w:ascii="Cambria Math" w:hAnsi="Cambria Math"/>
              </w:rPr>
              <m: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e>
                    </m:d>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0</m:t>
            </m:r>
          </m:sub>
        </m:sSub>
        <m:r>
          <w:rPr>
            <w:rStyle w:val="FootnoteReference"/>
            <w:rFonts w:ascii="Cambria Math" w:hAnsi="Cambria Math"/>
            <w:i/>
          </w:rPr>
          <w:footnoteReference w:id="1205"/>
        </m:r>
      </m:oMath>
      <w:r w:rsidR="00BB7CBA">
        <w:t xml:space="preserve"> </w:t>
      </w:r>
    </w:p>
    <w:p w:rsidR="00BB7CBA" w:rsidRPr="00B818B4" w:rsidRDefault="007A39AA" w:rsidP="00BB7CBA">
      <m:oMath>
        <m:sSub>
          <m:sSubPr>
            <m:ctrlPr>
              <w:rPr>
                <w:rFonts w:ascii="Cambria Math" w:hAnsi="Cambria Math"/>
              </w:rPr>
            </m:ctrlPr>
          </m:sSubPr>
          <m:e>
            <m:r>
              <w:rPr>
                <w:rFonts w:ascii="Cambria Math" w:hAnsi="Cambria Math"/>
              </w:rPr>
              <m:t>PV[p2]</m:t>
            </m:r>
          </m:e>
          <m:sub>
            <m:r>
              <w:rPr>
                <w:rFonts w:ascii="Cambria Math" w:hAnsi="Cambria Math"/>
              </w:rPr>
              <m:t>2</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oMath>
      <w:r w:rsidR="00BB7CBA">
        <w:t xml:space="preserve"> </w:t>
      </w:r>
    </w:p>
    <w:p w:rsidR="00BB7CBA" w:rsidRDefault="00BB7CBA" w:rsidP="00BB7CBA">
      <w:r w:rsidRPr="00FC64E0">
        <w:t>…</w:t>
      </w:r>
    </w:p>
    <w:p w:rsidR="00BB7CBA" w:rsidRPr="00C726C9" w:rsidRDefault="007A39AA" w:rsidP="00BB7CBA">
      <w:pPr>
        <w:rPr>
          <w:rStyle w:val="AERtextsize10"/>
        </w:rPr>
      </w:pPr>
      <m:oMath>
        <m:sSub>
          <m:sSubPr>
            <m:ctrlPr>
              <w:rPr>
                <w:rStyle w:val="AERtextsize10"/>
                <w:rFonts w:ascii="Cambria Math" w:hAnsi="Cambria Math"/>
              </w:rPr>
            </m:ctrlPr>
          </m:sSubPr>
          <m:e>
            <m:r>
              <w:rPr>
                <w:rStyle w:val="AERtextsize10"/>
                <w:rFonts w:ascii="Cambria Math" w:hAnsi="Cambria Math"/>
              </w:rPr>
              <m:t>PV[p10]</m:t>
            </m:r>
          </m:e>
          <m:sub>
            <m:r>
              <w:rPr>
                <w:rStyle w:val="AERtextsize10"/>
                <w:rFonts w:ascii="Cambria Math" w:hAnsi="Cambria Math"/>
              </w:rPr>
              <m: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11</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12</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r>
              <w:rPr>
                <w:rStyle w:val="AERtextsize10"/>
                <w:rFonts w:ascii="Cambria Math" w:hAnsi="Cambria Math"/>
              </w:rPr>
              <m:t>+</m:t>
            </m:r>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e>
        </m:d>
        <m:r>
          <w:rPr>
            <w:rStyle w:val="AERtextsize10"/>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oMath>
      <w:r w:rsidR="00BB7CBA" w:rsidRPr="00C726C9">
        <w:rPr>
          <w:rStyle w:val="AERtextsize10"/>
        </w:rPr>
        <w:t xml:space="preserve"> </w:t>
      </w:r>
    </w:p>
    <w:p w:rsidR="00BB7CBA" w:rsidRDefault="00BB7CBA" w:rsidP="00BB7CBA">
      <w:r>
        <w:t>where the expected net operating cash flow generated each year from portions 1 to 10 of the RAB is based on the portion of the allowed rate of return that reflects the prevailing market cost of capital at time 1 to 10 respectively;</w:t>
      </w:r>
      <w:r>
        <w:rPr>
          <w:rStyle w:val="FootnoteReference"/>
        </w:rPr>
        <w:footnoteReference w:id="1206"/>
      </w:r>
      <w:r>
        <w:t xml:space="preserve"> that is:</w:t>
      </w:r>
      <w:r>
        <w:rPr>
          <w:rStyle w:val="FootnoteReference"/>
        </w:rPr>
        <w:footnoteReference w:id="1207"/>
      </w:r>
      <w:r>
        <w:t xml:space="preserve">  </w:t>
      </w:r>
    </w:p>
    <w:p w:rsidR="00BB7CBA" w:rsidRDefault="00BB7CBA" w:rsidP="00BB7CBA">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for t=1,…,10 and i=2,…,20</m:t>
        </m:r>
      </m:oMath>
      <w:r>
        <w:t xml:space="preserve"> </w:t>
      </w:r>
    </w:p>
    <w:p w:rsidR="00BB7CBA" w:rsidRDefault="00BB7CBA" w:rsidP="00BB7CBA">
      <w:r>
        <w:t xml:space="preserve">and, under our assumptions,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t>.</w:t>
      </w:r>
    </w:p>
    <w:p w:rsidR="00BB7CBA" w:rsidRDefault="00BB7CBA" w:rsidP="00BB7CBA">
      <w:r>
        <w:t>As demonstrated under 'On-the-day approach', the above equalities hold because, for each portion of the RAB:</w:t>
      </w:r>
    </w:p>
    <w:p w:rsidR="00BB7CBA" w:rsidRPr="00BB7CBA" w:rsidRDefault="00BB7CBA" w:rsidP="00BB7CBA">
      <w:pPr>
        <w:pStyle w:val="AERbulletlistfirststyle"/>
      </w:pPr>
      <w:r>
        <w:t>the expected net operating cash flows</w:t>
      </w:r>
      <w:r w:rsidRPr="00BB7CBA">
        <w:t xml:space="preserve"> are, effectively, based on an allowed rate of return that reflects prevailing market rates at year </w:t>
      </w:r>
      <m:oMath>
        <m:r>
          <w:rPr>
            <w:rFonts w:ascii="Cambria Math" w:hAnsi="Cambria Math"/>
          </w:rPr>
          <m:t>t=1…10</m:t>
        </m:r>
      </m:oMath>
      <w:r w:rsidRPr="00BB7CBA">
        <w:t xml:space="preserve"> respectively, with the expectation that the allowed rate of return will be reset to prevailing market rates every ten years</w:t>
      </w:r>
    </w:p>
    <w:p w:rsidR="00BB7CBA" w:rsidRPr="00BB7CBA" w:rsidRDefault="00BB7CBA" w:rsidP="00BB7CBA">
      <w:pPr>
        <w:pStyle w:val="AERbulletlistfirststyle"/>
      </w:pPr>
      <w:r>
        <w:t>the present (or market) value of the closing RAB (portion) at the end of each 'reset period' eq</w:t>
      </w:r>
      <w:r w:rsidRPr="00BB7CBA">
        <w:t xml:space="preserve">uals its </w:t>
      </w:r>
      <w:r w:rsidR="00F46D89">
        <w:t>statutory</w:t>
      </w:r>
      <w:r w:rsidR="00F46D89" w:rsidRPr="00BB7CBA">
        <w:t xml:space="preserve"> </w:t>
      </w:r>
      <w:r w:rsidRPr="00BB7CBA">
        <w:t>value.</w:t>
      </w:r>
    </w:p>
    <w:p w:rsidR="00BB7CBA" w:rsidRDefault="00BB7CBA" w:rsidP="00BB7CBA">
      <w:r>
        <w:t>In this way, the staggered portfolio can be seen as ten on-the-day approaches on ten portions of the RAB. Therefore, for each portion of the RAB, the present value of expected net operating cash flows over the ten year 'reset period' plus the closing RAB (portion) at</w:t>
      </w:r>
      <w:r w:rsidRPr="00864ABE">
        <w:t xml:space="preserve"> </w:t>
      </w:r>
      <m:oMath>
        <m:r>
          <w:rPr>
            <w:rFonts w:ascii="Cambria Math" w:hAnsi="Cambria Math"/>
          </w:rPr>
          <m:t>t+10</m:t>
        </m:r>
      </m:oMath>
      <w:r>
        <w:t xml:space="preserve"> should equal the opening RAB (portion) at</w:t>
      </w:r>
      <w:r w:rsidRPr="00864ABE">
        <w:t xml:space="preserve"> </w:t>
      </w:r>
      <m:oMath>
        <m:r>
          <w:rPr>
            <w:rFonts w:ascii="Cambria Math" w:hAnsi="Cambria Math"/>
          </w:rPr>
          <m:t>t</m:t>
        </m:r>
      </m:oMath>
      <w:r>
        <w:t>.</w:t>
      </w:r>
    </w:p>
    <w:p w:rsidR="00BB7CBA" w:rsidRDefault="00BB7CBA" w:rsidP="00BB7CBA">
      <w:r>
        <w:t>We also note that while Partington and Satchell recommend the on-the-day approach, they acknowledge '</w:t>
      </w:r>
      <w:r w:rsidRPr="000C25A3">
        <w:t>since the trailing average approach resets one tenth of the cost of debt to the market rate each year, the compensation is correctly set for one tenth of the debt each year</w:t>
      </w:r>
      <w:r>
        <w:t>'</w:t>
      </w:r>
      <w:r w:rsidRPr="000C25A3">
        <w:t>.</w:t>
      </w:r>
      <w:r>
        <w:rPr>
          <w:rStyle w:val="FootnoteReference"/>
        </w:rPr>
        <w:footnoteReference w:id="1208"/>
      </w:r>
    </w:p>
    <w:p w:rsidR="00BB7CBA" w:rsidRDefault="00BB7CBA" w:rsidP="00BB7CBA">
      <w:pPr>
        <w:pStyle w:val="HeadingBoldItalic"/>
      </w:pPr>
      <w:r>
        <w:t>End of the term of the RAB</w:t>
      </w:r>
    </w:p>
    <w:p w:rsidR="00BB7CBA" w:rsidRDefault="00BB7CBA" w:rsidP="00BB7CBA">
      <w:r>
        <w:t xml:space="preserve">Nearing the end of the term of the RAB, the business must wind up its debt fund, which can be likened to 10 long term floating rate securities covering a 10 per cent 'investment portion' in the RAB. At </w:t>
      </w:r>
      <m:oMath>
        <m:r>
          <w:rPr>
            <w:rFonts w:ascii="Cambria Math" w:hAnsi="Cambria Math"/>
          </w:rPr>
          <m:t>t=T-10</m:t>
        </m:r>
      </m:oMath>
      <w:r>
        <w:t>, the business could either:</w:t>
      </w:r>
      <w:r>
        <w:rPr>
          <w:rStyle w:val="FootnoteReference"/>
        </w:rPr>
        <w:footnoteReference w:id="1209"/>
      </w:r>
    </w:p>
    <w:p w:rsidR="00BB7CBA" w:rsidRPr="00BB7CBA" w:rsidRDefault="00BB7CBA" w:rsidP="00BB7CBA">
      <w:pPr>
        <w:pStyle w:val="AERbulletlistfirststyle"/>
        <w:rPr>
          <w:rStyle w:val="AERbody"/>
        </w:rPr>
      </w:pPr>
      <w:r>
        <w:rPr>
          <w:rStyle w:val="AERbody"/>
        </w:rPr>
        <w:t xml:space="preserve">Raise 9, 8 … 2, 1 year debt on a staggered basis. All its debt would thus expire in year T and it would repay the entire </w:t>
      </w:r>
      <w:r w:rsidRPr="00BB7CBA">
        <w:rPr>
          <w:rStyle w:val="AERbody"/>
        </w:rPr>
        <w:t>initial value of the RAB back to its investors.</w:t>
      </w:r>
    </w:p>
    <w:p w:rsidR="00BB7CBA" w:rsidRPr="00BB7CBA" w:rsidRDefault="00BB7CBA" w:rsidP="00BB7CBA">
      <w:pPr>
        <w:pStyle w:val="AERbulletlistfirststyle"/>
        <w:rPr>
          <w:rStyle w:val="AERbody"/>
        </w:rPr>
      </w:pPr>
      <w:r>
        <w:rPr>
          <w:rStyle w:val="AERbody"/>
        </w:rPr>
        <w:t>Allow its staggered portfolio to gradually e</w:t>
      </w:r>
      <w:r w:rsidRPr="00BB7CBA">
        <w:rPr>
          <w:rStyle w:val="AERbody"/>
        </w:rPr>
        <w:t xml:space="preserve">xpire, repaying 10 per cent of the initial value of the RAB to investors each year. </w:t>
      </w:r>
    </w:p>
    <w:p w:rsidR="00BB7CBA" w:rsidRDefault="00BB7CBA" w:rsidP="00BB7CBA">
      <w:r>
        <w:t xml:space="preserve">This means our return on debt allowance would have to allow for a transition out of the staggered portfolio. </w:t>
      </w:r>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a reasonable opportunity to recover at least efficient costs as this wo</w:t>
      </w:r>
      <w:r>
        <w:t>uld allow the following equalities</w:t>
      </w:r>
      <w:r w:rsidRPr="006C533F">
        <w:t xml:space="preserve"> to hold</w:t>
      </w:r>
      <w:r>
        <w:t xml:space="preserve"> (from </w:t>
      </w:r>
      <m:oMath>
        <m:r>
          <w:rPr>
            <w:rFonts w:ascii="Cambria Math" w:hAnsi="Cambria Math"/>
          </w:rPr>
          <m:t>t=T-10</m:t>
        </m:r>
      </m:oMath>
      <w:r>
        <w:t xml:space="preserve"> to </w:t>
      </w:r>
      <m:oMath>
        <m:r>
          <w:rPr>
            <w:rFonts w:ascii="Cambria Math" w:hAnsi="Cambria Math"/>
          </w:rPr>
          <m:t>t=T-1</m:t>
        </m:r>
      </m:oMath>
      <w:r>
        <w:t>)</w:t>
      </w:r>
      <w:r w:rsidRPr="006C533F">
        <w:t>:</w:t>
      </w:r>
    </w:p>
    <w:p w:rsidR="00BB7CBA" w:rsidRPr="00275DE0" w:rsidRDefault="007A39AA" w:rsidP="00BB7CBA">
      <w:pPr>
        <w:rPr>
          <w:rStyle w:val="AERtextsize10"/>
        </w:rPr>
      </w:pPr>
      <m:oMath>
        <m:sSub>
          <m:sSubPr>
            <m:ctrlPr>
              <w:rPr>
                <w:rStyle w:val="AERtextsize10"/>
                <w:rFonts w:ascii="Cambria Math" w:hAnsi="Cambria Math"/>
              </w:rPr>
            </m:ctrlPr>
          </m:sSubPr>
          <m:e>
            <m:r>
              <w:rPr>
                <w:rStyle w:val="AERtextsize10"/>
                <w:rFonts w:ascii="Cambria Math" w:hAnsi="Cambria Math"/>
              </w:rPr>
              <m:t>PV[p1]</m:t>
            </m:r>
          </m:e>
          <m:sub>
            <m:r>
              <w:rPr>
                <w:rStyle w:val="AERtextsize10"/>
                <w:rFonts w:ascii="Cambria Math" w:hAnsi="Cambria Math"/>
              </w:rPr>
              <m:t>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0.1*CF</m:t>
                    </m:r>
                  </m:e>
                  <m:sub>
                    <m:r>
                      <w:rPr>
                        <w:rStyle w:val="AERtextsize10"/>
                        <w:rFonts w:ascii="Cambria Math" w:hAnsi="Cambria Math"/>
                      </w:rPr>
                      <m:t>(T-9)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(T-8)</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m:t>
                    </m:r>
                    <m:d>
                      <m:dPr>
                        <m:ctrlPr>
                          <w:rPr>
                            <w:rStyle w:val="AERtextsize10"/>
                            <w:rFonts w:ascii="Cambria Math" w:hAnsi="Cambria Math"/>
                          </w:rPr>
                        </m:ctrlPr>
                      </m:dPr>
                      <m:e>
                        <m:r>
                          <w:rPr>
                            <w:rStyle w:val="AERtextsize10"/>
                            <w:rFonts w:ascii="Cambria Math" w:hAnsi="Cambria Math"/>
                          </w:rPr>
                          <m:t>T-1</m:t>
                        </m:r>
                      </m:e>
                    </m:d>
                  </m:sub>
                </m:sSub>
              </m:num>
              <m:den>
                <m:d>
                  <m:dPr>
                    <m:ctrlPr>
                      <w:rPr>
                        <w:rStyle w:val="AERtextsize10"/>
                        <w:rFonts w:ascii="Cambria Math" w:hAnsi="Cambria Math"/>
                      </w:rPr>
                    </m:ctrlPr>
                  </m:dPr>
                  <m:e>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e>
                </m:d>
                <m:r>
                  <m:rPr>
                    <m:sty m:val="p"/>
                  </m:rPr>
                  <w:rPr>
                    <w:rStyle w:val="AERtextsize10"/>
                    <w:rFonts w:ascii="Cambria Math" w:hAnsi="Cambria Math"/>
                  </w:rPr>
                  <m:t>8</m:t>
                </m:r>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m:t>
                    </m:r>
                  </m:sub>
                </m:sSub>
                <m:r>
                  <w:rPr>
                    <w:rStyle w:val="AERtextsize10"/>
                    <w:rFonts w:ascii="Cambria Math" w:hAnsi="Cambria Math"/>
                  </w:rPr>
                  <m:t>+</m:t>
                </m:r>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T</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e>
        </m:d>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T-11</m:t>
            </m:r>
          </m:sub>
        </m:sSub>
        <m:r>
          <w:rPr>
            <w:rStyle w:val="FootnoteReference"/>
            <w:rFonts w:ascii="Cambria Math" w:hAnsi="Cambria Math"/>
            <w:i/>
          </w:rPr>
          <w:footnoteReference w:id="1210"/>
        </m:r>
      </m:oMath>
      <w:r w:rsidR="00BB7CBA" w:rsidRPr="007E3981">
        <w:rPr>
          <w:rStyle w:val="AERtextsize10"/>
        </w:rPr>
        <w:t xml:space="preserve"> </w:t>
      </w:r>
    </w:p>
    <w:p w:rsidR="00BB7CBA" w:rsidRPr="00FC64E0" w:rsidRDefault="007A39AA" w:rsidP="00BB7CBA">
      <m:oMath>
        <m:sSub>
          <m:sSubPr>
            <m:ctrlPr>
              <w:rPr>
                <w:rFonts w:ascii="Cambria Math" w:hAnsi="Cambria Math"/>
              </w:rPr>
            </m:ctrlPr>
          </m:sSubPr>
          <m:e>
            <m:r>
              <w:rPr>
                <w:rFonts w:ascii="Cambria Math" w:hAnsi="Cambria Math"/>
              </w:rPr>
              <m:t>PV[p2]</m:t>
            </m:r>
          </m:e>
          <m:sub>
            <m:r>
              <w:rPr>
                <w:rFonts w:ascii="Cambria Math" w:hAnsi="Cambria Math"/>
              </w:rPr>
              <m:t>T-9</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(T-8)</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(T-7)</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r>
                  <m:rPr>
                    <m:sty m:val="p"/>
                  </m:rPr>
                  <w:rPr>
                    <w:rFonts w:ascii="Cambria Math" w:hAnsi="Cambria Math"/>
                  </w:rPr>
                  <m:t>)7</m:t>
                </m:r>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8</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T-10</m:t>
            </m:r>
          </m:sub>
        </m:sSub>
      </m:oMath>
      <w:r w:rsidR="00BB7CBA">
        <w:t xml:space="preserve"> </w:t>
      </w:r>
    </w:p>
    <w:p w:rsidR="00BB7CBA" w:rsidRDefault="00BB7CBA" w:rsidP="00BB7CBA">
      <w:r>
        <w:t>…</w:t>
      </w:r>
    </w:p>
    <w:p w:rsidR="00BB7CBA" w:rsidRPr="00FC64E0" w:rsidRDefault="007A39AA" w:rsidP="00BB7CBA">
      <m:oMath>
        <m:sSub>
          <m:sSubPr>
            <m:ctrlPr>
              <w:rPr>
                <w:rFonts w:ascii="Cambria Math" w:hAnsi="Cambria Math"/>
              </w:rPr>
            </m:ctrlPr>
          </m:sSubPr>
          <m:e>
            <m:r>
              <w:rPr>
                <w:rFonts w:ascii="Cambria Math" w:hAnsi="Cambria Math"/>
              </w:rPr>
              <m:t>PV[p10]</m:t>
            </m:r>
          </m:e>
          <m:sub>
            <m:r>
              <w:rPr>
                <w:rFonts w:ascii="Cambria Math" w:hAnsi="Cambria Math"/>
              </w:rPr>
              <m:t>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(T-1),1</m:t>
                    </m:r>
                  </m:sub>
                </m:sSub>
                <m:sSup>
                  <m:sSupPr>
                    <m:ctrlPr>
                      <w:rPr>
                        <w:rFonts w:ascii="Cambria Math" w:hAnsi="Cambria Math"/>
                      </w:rPr>
                    </m:ctrlPr>
                  </m:sSupPr>
                  <m:e>
                    <m:r>
                      <w:rPr>
                        <w:rFonts w:ascii="Cambria Math" w:hAnsi="Cambria Math"/>
                      </w:rPr>
                      <m:t>)</m:t>
                    </m:r>
                  </m:e>
                  <m:sup>
                    <m:r>
                      <w:rPr>
                        <w:rFonts w:ascii="Cambria Math" w:hAnsi="Cambria Math"/>
                      </w:rPr>
                      <m:t>1</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T-2</m:t>
            </m:r>
          </m:sub>
        </m:sSub>
      </m:oMath>
      <w:r w:rsidR="00BB7CBA">
        <w:t xml:space="preserve"> </w:t>
      </w:r>
    </w:p>
    <w:p w:rsidR="00BB7CBA" w:rsidRDefault="00BB7CBA" w:rsidP="00BB7CBA">
      <w:r>
        <w:t>where the proportion of net operating cash flow generated from each portion of the RAB each year equals the interest payment on that tranche of debt; that is:</w:t>
      </w:r>
      <w:r>
        <w:rPr>
          <w:rStyle w:val="FootnoteReference"/>
        </w:rPr>
        <w:footnoteReference w:id="1211"/>
      </w:r>
      <w:r>
        <w:t xml:space="preserve">  </w:t>
      </w:r>
    </w:p>
    <w:p w:rsidR="00BB7CBA" w:rsidRDefault="00BB7CBA" w:rsidP="00BB7CBA">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xml:space="preserve">,  for t=T-10,…,T-1 and i=T-9,…,T </m:t>
        </m:r>
      </m:oMath>
      <w:r>
        <w:t xml:space="preserve">  </w:t>
      </w:r>
    </w:p>
    <w:p w:rsidR="00BB7CBA" w:rsidRDefault="00BB7CBA" w:rsidP="00BB7CBA">
      <w:r>
        <w:t xml:space="preserve">and, under our assumptions, </w:t>
      </w:r>
      <m:oMath>
        <m:sSub>
          <m:sSubPr>
            <m:ctrlPr>
              <w:rPr>
                <w:rFonts w:ascii="Cambria Math" w:hAnsi="Cambria Math"/>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BB7CBA" w:rsidRDefault="00BB7CBA" w:rsidP="00BB7CBA">
      <w:r>
        <w:t>As shown in the above sections, the above equalities hold because, for each portion of the RAB:</w:t>
      </w:r>
    </w:p>
    <w:p w:rsidR="00BB7CBA" w:rsidRPr="00BB7CBA" w:rsidRDefault="00BB7CBA" w:rsidP="00BB7CBA">
      <w:pPr>
        <w:pStyle w:val="AERbulletlistfirststyle"/>
      </w:pPr>
      <w:r>
        <w:t>the expected net operating cash flows</w:t>
      </w:r>
      <w:r w:rsidRPr="00BB7CBA">
        <w:t xml:space="preserve"> are, effectively, based on an allowed rate of return that reflects prevailing market rates at year </w:t>
      </w:r>
      <m:oMath>
        <m:r>
          <w:rPr>
            <w:rFonts w:ascii="Cambria Math" w:hAnsi="Cambria Math"/>
          </w:rPr>
          <m:t>t=T-10…T-1</m:t>
        </m:r>
      </m:oMath>
      <w:r w:rsidRPr="00BB7CBA">
        <w:t xml:space="preserve"> respectively</w:t>
      </w:r>
    </w:p>
    <w:p w:rsidR="00BB7CBA" w:rsidRDefault="00BB7CBA" w:rsidP="00BB7CBA">
      <w:pPr>
        <w:pStyle w:val="AERbulletlistfirststyle"/>
      </w:pPr>
      <w:r>
        <w:t xml:space="preserve">the present (or market) value of the closing RAB (portion) at the end of each period equals its </w:t>
      </w:r>
      <w:r w:rsidR="00F46D89">
        <w:t xml:space="preserve">statutory </w:t>
      </w:r>
      <w:r>
        <w:t>value.</w:t>
      </w:r>
    </w:p>
    <w:p w:rsidR="00BB7CBA" w:rsidRDefault="00BB7CBA" w:rsidP="00BB7CBA">
      <w:r>
        <w:t>Given these equalities hold, the service provider would expect to have a reasonable opportunity to recover at least efficient costs for each of its investment portions. Since this applies to all stages of the trailing average approach, the service provider would expect to have a reasonable opportunity to recover at least efficient costs</w:t>
      </w:r>
      <w:r w:rsidRPr="00306141">
        <w:t xml:space="preserve"> </w:t>
      </w:r>
      <w:r>
        <w:t>over the entire term of the RAB.</w:t>
      </w:r>
    </w:p>
    <w:p w:rsidR="00BB7CBA" w:rsidRDefault="00BB7CBA" w:rsidP="00BB7CBA">
      <w:r>
        <w:t>The sections above show that the key distinction between an on-the-day and a trailing average approach is:</w:t>
      </w:r>
    </w:p>
    <w:p w:rsidR="00BB7CBA" w:rsidRPr="00BB7CBA" w:rsidRDefault="00BB7CBA" w:rsidP="00BB7CBA">
      <w:pPr>
        <w:pStyle w:val="AERbulletlistfirststyle"/>
      </w:pPr>
      <w:r>
        <w:t>t</w:t>
      </w:r>
      <w:r w:rsidRPr="00BB7CBA">
        <w:t xml:space="preserve">he on-the-day approach results in the entire allowed rate of return being reset to reflect prevailing market (or efficient) rates near the commencement of the regulatory period </w:t>
      </w:r>
    </w:p>
    <w:p w:rsidR="00BB7CBA" w:rsidRPr="00BB7CBA" w:rsidRDefault="00BB7CBA" w:rsidP="00BB7CBA">
      <w:pPr>
        <w:pStyle w:val="AERbulletlistfirststyle"/>
      </w:pPr>
      <w:r>
        <w:t>t</w:t>
      </w:r>
      <w:r w:rsidRPr="00BB7CBA">
        <w:t xml:space="preserve">he trailing average approach results in one tenth of the allowed rate of return being reset to reflect prevailing market (or efficient) rates each year. </w:t>
      </w:r>
    </w:p>
    <w:p w:rsidR="00BB7CBA" w:rsidRPr="008A42CE" w:rsidRDefault="00BB7CBA" w:rsidP="00BB7CBA">
      <w:pPr>
        <w:rPr>
          <w:rStyle w:val="AERbody"/>
        </w:rPr>
      </w:pPr>
      <w:r w:rsidRPr="008A42CE">
        <w:rPr>
          <w:rStyle w:val="AERbody"/>
        </w:rPr>
        <w:t xml:space="preserve">However, both approaches </w:t>
      </w:r>
      <w:r>
        <w:rPr>
          <w:rStyle w:val="AERbody"/>
        </w:rPr>
        <w:t xml:space="preserve">to setting the allowed rate of return, </w:t>
      </w:r>
      <w:r w:rsidRPr="008A42CE">
        <w:rPr>
          <w:rStyle w:val="AERbody"/>
        </w:rPr>
        <w:t xml:space="preserve">if appropriately implemented </w:t>
      </w:r>
      <w:r>
        <w:rPr>
          <w:rStyle w:val="AERbody"/>
        </w:rPr>
        <w:t xml:space="preserve">(in a forward looking manner) should </w:t>
      </w:r>
      <w:r w:rsidRPr="001D0F47">
        <w:rPr>
          <w:rStyle w:val="AERbody"/>
        </w:rPr>
        <w:t xml:space="preserve">result in </w:t>
      </w:r>
      <w:r>
        <w:rPr>
          <w:rStyle w:val="AERbody"/>
        </w:rPr>
        <w:t>the same</w:t>
      </w:r>
      <w:r w:rsidRPr="008A42CE">
        <w:rPr>
          <w:rStyle w:val="AERbody"/>
        </w:rPr>
        <w:t xml:space="preserve"> </w:t>
      </w:r>
      <w:r>
        <w:t>ex-ante compensation for a benchmark efficient entity's ex-ante efficient financing costs over the term of the RAB</w:t>
      </w:r>
      <w:r>
        <w:rPr>
          <w:rStyle w:val="AERbody"/>
        </w:rPr>
        <w:t>.</w:t>
      </w:r>
    </w:p>
    <w:p w:rsidR="00BB7CBA" w:rsidRDefault="00BB7CBA" w:rsidP="00BB7CBA">
      <w:pPr>
        <w:pStyle w:val="Heading8"/>
      </w:pPr>
      <w:bookmarkStart w:id="271" w:name="_Ref447538284"/>
      <w:bookmarkStart w:id="272" w:name="_Toc451945516"/>
      <w:r>
        <w:t>A full transition satisfies the ARORO</w:t>
      </w:r>
      <w:bookmarkEnd w:id="271"/>
      <w:bookmarkEnd w:id="272"/>
    </w:p>
    <w:p w:rsidR="00BB7CBA" w:rsidRPr="00BB7CBA" w:rsidRDefault="00BB7CBA" w:rsidP="00BA7AE7">
      <w:r>
        <w:t xml:space="preserve">If moving from </w:t>
      </w:r>
      <w:r w:rsidRPr="00BB7CBA">
        <w:t>the on-the-day to the trailing average approach, we consider a full transition is required to meet the ARORO and the objectives of the NEL/NGL. A full transition is revenue neutral in a present value sense.</w:t>
      </w:r>
      <w:r w:rsidRPr="00BB7CBA">
        <w:rPr>
          <w:rStyle w:val="FootnoteReference"/>
        </w:rPr>
        <w:footnoteReference w:id="1212"/>
      </w:r>
      <w:r w:rsidRPr="00BB7CBA">
        <w:t xml:space="preserve"> Assuming the on-the-day or trailing average approach would contribute to the achievement of the ARORO, a revenue neutral transition will also contribute to the achievement of the ARORO.</w:t>
      </w:r>
    </w:p>
    <w:p w:rsidR="00BB7CBA" w:rsidRDefault="00BB7CBA" w:rsidP="00BB7CBA">
      <w:r>
        <w:t xml:space="preserve">As shown in section </w:t>
      </w:r>
      <w:r>
        <w:fldChar w:fldCharType="begin"/>
      </w:r>
      <w:r>
        <w:instrText xml:space="preserve"> REF _Ref444773920 \r \h </w:instrText>
      </w:r>
      <w:r>
        <w:fldChar w:fldCharType="separate"/>
      </w:r>
      <w:r w:rsidR="001A023B">
        <w:t>H.3.3</w:t>
      </w:r>
      <w:r>
        <w:fldChar w:fldCharType="end"/>
      </w:r>
      <w:r>
        <w:t>, ex-ante efficient compensation can hold</w:t>
      </w:r>
      <w:r w:rsidRPr="0050083B">
        <w:t xml:space="preserve"> </w:t>
      </w:r>
      <w:r>
        <w:t>under either the on-the-day approach or the trailing average approach (if a transition is applied). As such, both approaches are capable of being approximately equivalent over the term of the RAB (which will be multiple regulatory periods).</w:t>
      </w:r>
    </w:p>
    <w:p w:rsidR="00BB7CBA" w:rsidRDefault="00BB7CBA" w:rsidP="00BB7CBA">
      <w:r>
        <w:t>For this reason, setting the return on debt allowance under the assumption that the service provider does not instantly have a trailing average debt portfolio, but rather has to develop, it should neither have a positive or negative affect on the service provider. Rather, we expect this would be NPV neutral.</w:t>
      </w:r>
    </w:p>
    <w:p w:rsidR="00BB7CBA" w:rsidRDefault="00BB7CBA" w:rsidP="00BB7CBA">
      <w:r>
        <w:t xml:space="preserve">We show in section </w:t>
      </w:r>
      <w:r>
        <w:fldChar w:fldCharType="begin"/>
      </w:r>
      <w:r>
        <w:instrText xml:space="preserve"> REF _Ref444773920 \r \h </w:instrText>
      </w:r>
      <w:r>
        <w:fldChar w:fldCharType="separate"/>
      </w:r>
      <w:r w:rsidR="001A023B">
        <w:t>H.3.3</w:t>
      </w:r>
      <w:r>
        <w:fldChar w:fldCharType="end"/>
      </w:r>
      <w:r>
        <w:t xml:space="preserve"> that under the trailing average approach, service providers expect to have a reasonable opportunity to recover at least efficient financing costs over the term of the RAB. However, for any given regulatory period, the present value of expected net operating cash flows over the regulatory period plus the closing RAB will not necessarily equal the opening RAB. That is, at the start of any given regulatory </w:t>
      </w:r>
      <w:r w:rsidRPr="0050083B">
        <w:t>period</w:t>
      </w:r>
      <w:r>
        <w:t>, the present value</w:t>
      </w:r>
      <w:r w:rsidRPr="0050083B">
        <w:t xml:space="preserve"> of </w:t>
      </w:r>
      <w:r>
        <w:t xml:space="preserve">expected </w:t>
      </w:r>
      <w:r w:rsidRPr="0050083B">
        <w:t xml:space="preserve">future cash flows will unlikely equal the RAB because </w:t>
      </w:r>
      <w:r>
        <w:t xml:space="preserve">the </w:t>
      </w:r>
      <w:r w:rsidRPr="0050083B">
        <w:t xml:space="preserve">cash flows based on historical interest rates will either be </w:t>
      </w:r>
      <w:r>
        <w:t>higher</w:t>
      </w:r>
      <w:r w:rsidRPr="0050083B">
        <w:t xml:space="preserve"> or too low (relative to the </w:t>
      </w:r>
      <w:r>
        <w:t>prevailing cost of debt in the market). Given this, switching between regimes without a full transition would not satisfy the requirement to</w:t>
      </w:r>
      <w:r w:rsidRPr="00E2587B">
        <w:t xml:space="preserve"> </w:t>
      </w:r>
      <w:r>
        <w:t>provide service providers with a reasonable opportunity to recover at least efficient costs over either the regulatory period or over the term of the RAB.</w:t>
      </w:r>
    </w:p>
    <w:p w:rsidR="00BB7CBA" w:rsidRPr="00414466" w:rsidRDefault="00BB7CBA" w:rsidP="00BB7CBA">
      <w:pPr>
        <w:pStyle w:val="Heading8"/>
      </w:pPr>
      <w:bookmarkStart w:id="273" w:name="_Ref447266532"/>
      <w:bookmarkStart w:id="274" w:name="_Toc451945517"/>
      <w:r w:rsidRPr="00414466">
        <w:t>An immediate (or hybrid) transition will not satisfy the ARORO</w:t>
      </w:r>
      <w:bookmarkEnd w:id="273"/>
      <w:bookmarkEnd w:id="274"/>
    </w:p>
    <w:p w:rsidR="00BB7CBA" w:rsidRDefault="00BB7CBA" w:rsidP="00BB7CBA">
      <w:r>
        <w:t>We consider a full transition to a trailing average will</w:t>
      </w:r>
      <w:r w:rsidRPr="00F21B32">
        <w:t xml:space="preserve"> result in an ex-ante </w:t>
      </w:r>
      <w:r>
        <w:t>reasonable</w:t>
      </w:r>
      <w:r w:rsidRPr="00F21B32">
        <w:t xml:space="preserve"> return </w:t>
      </w:r>
      <w:r>
        <w:t xml:space="preserve">and would contribute to the achievement of the ARORO (see section </w:t>
      </w:r>
      <w:r>
        <w:fldChar w:fldCharType="begin"/>
      </w:r>
      <w:r>
        <w:instrText xml:space="preserve"> REF _Ref447538284 \r \h </w:instrText>
      </w:r>
      <w:r>
        <w:fldChar w:fldCharType="separate"/>
      </w:r>
      <w:r w:rsidR="001A023B">
        <w:t>H.4</w:t>
      </w:r>
      <w:r>
        <w:fldChar w:fldCharType="end"/>
      </w:r>
      <w:r>
        <w:t>).</w:t>
      </w:r>
      <w:r w:rsidRPr="00F21B32">
        <w:t xml:space="preserve"> </w:t>
      </w:r>
      <w:r>
        <w:t>Conversely, we do not consider that an immediate (or hybrid) transition to a trailing average will</w:t>
      </w:r>
      <w:r w:rsidRPr="00F21B32">
        <w:t xml:space="preserve"> result in an ex-ante </w:t>
      </w:r>
      <w:r>
        <w:t>reasonable</w:t>
      </w:r>
      <w:r w:rsidRPr="00F21B32">
        <w:t xml:space="preserve"> return </w:t>
      </w:r>
      <w:r>
        <w:t xml:space="preserve">and would contribute to the achievement of the ARORO. This is because these approaches are not revenue neutral (in a present value sense). Rather, because these approaches would not be revenue-neutral, these would result in ex-ante overcompensation if moving from a high to a low interest rate environment. Conversely, these would result in ex-ante undercompensation if moving from a low to a high interest rate environment. We show the difference between our approach and the service providers' proposed approach mathematically in section </w:t>
      </w:r>
      <w:r>
        <w:fldChar w:fldCharType="begin"/>
      </w:r>
      <w:r>
        <w:instrText xml:space="preserve"> REF _Ref447886159 \r \h </w:instrText>
      </w:r>
      <w:r>
        <w:fldChar w:fldCharType="separate"/>
      </w:r>
      <w:r w:rsidR="001A023B">
        <w:t>H.5.1</w:t>
      </w:r>
      <w:r>
        <w:fldChar w:fldCharType="end"/>
      </w:r>
      <w:r>
        <w:t xml:space="preserve">. </w:t>
      </w:r>
    </w:p>
    <w:p w:rsidR="00BB7CBA" w:rsidRDefault="00BB7CBA" w:rsidP="00BB7CBA">
      <w:r>
        <w:t>It is also worth noting that while</w:t>
      </w:r>
      <w:r w:rsidRPr="00F21B32">
        <w:t xml:space="preserve"> </w:t>
      </w:r>
      <w:r>
        <w:t>stakeholders</w:t>
      </w:r>
      <w:r w:rsidRPr="00F21B32">
        <w:t xml:space="preserve"> </w:t>
      </w:r>
      <w:r>
        <w:t>generally supported</w:t>
      </w:r>
      <w:r w:rsidRPr="00F21B32">
        <w:t xml:space="preserve"> </w:t>
      </w:r>
      <w:r>
        <w:t xml:space="preserve">moving to a trailing average </w:t>
      </w:r>
      <w:r w:rsidRPr="00F21B32">
        <w:t xml:space="preserve">approach </w:t>
      </w:r>
      <w:r>
        <w:t xml:space="preserve">when we developed the Guideline, the </w:t>
      </w:r>
      <w:r w:rsidRPr="00F21B32">
        <w:t>trailing average cannot be consider</w:t>
      </w:r>
      <w:r>
        <w:t>ed</w:t>
      </w:r>
      <w:r w:rsidRPr="00F21B32">
        <w:t xml:space="preserve"> in isola</w:t>
      </w:r>
      <w:r>
        <w:t xml:space="preserve">tion of the </w:t>
      </w:r>
      <w:r w:rsidRPr="00F21B32">
        <w:t xml:space="preserve">transition </w:t>
      </w:r>
      <w:r>
        <w:t>set out in the</w:t>
      </w:r>
      <w:r w:rsidRPr="00F21B32">
        <w:t xml:space="preserve"> Guideline.</w:t>
      </w:r>
      <w:r>
        <w:rPr>
          <w:rStyle w:val="FootnoteReference"/>
        </w:rPr>
        <w:footnoteReference w:id="1213"/>
      </w:r>
      <w:r>
        <w:t xml:space="preserve"> This is supported by the CCP3 in advising:</w:t>
      </w:r>
      <w:r>
        <w:rPr>
          <w:rStyle w:val="FootnoteReference"/>
        </w:rPr>
        <w:footnoteReference w:id="1214"/>
      </w:r>
    </w:p>
    <w:p w:rsidR="00BB7CBA" w:rsidRPr="006C2193" w:rsidRDefault="00BB7CBA" w:rsidP="00BB7CBA">
      <w:pPr>
        <w:pStyle w:val="AERquote"/>
      </w:pPr>
      <w:r w:rsidRPr="00E70879">
        <w:t>consumer acceptance for the 10</w:t>
      </w:r>
      <w:r w:rsidRPr="00BB7CBA">
        <w:rPr>
          <w:rFonts w:ascii="Cambria Math" w:hAnsi="Cambria Math" w:cs="Cambria Math"/>
        </w:rPr>
        <w:t>‐</w:t>
      </w:r>
      <w:r w:rsidRPr="00E70879">
        <w:t xml:space="preserve">year trailing average cost of debt (rather than </w:t>
      </w:r>
      <w:r w:rsidRPr="003E0036">
        <w:t>continuation of the “on</w:t>
      </w:r>
      <w:r w:rsidRPr="00BB7CBA">
        <w:rPr>
          <w:rFonts w:ascii="Cambria Math" w:hAnsi="Cambria Math" w:cs="Cambria Math"/>
        </w:rPr>
        <w:t>‐</w:t>
      </w:r>
      <w:r w:rsidRPr="0019710C">
        <w:t>the</w:t>
      </w:r>
      <w:r w:rsidRPr="00BB7CBA">
        <w:rPr>
          <w:rFonts w:ascii="Cambria Math" w:hAnsi="Cambria Math" w:cs="Cambria Math"/>
        </w:rPr>
        <w:t>‐</w:t>
      </w:r>
      <w:r w:rsidRPr="0019710C">
        <w:t>day” or a 5</w:t>
      </w:r>
      <w:r w:rsidRPr="00BB7CBA">
        <w:rPr>
          <w:rFonts w:ascii="Cambria Math" w:hAnsi="Cambria Math" w:cs="Cambria Math"/>
        </w:rPr>
        <w:t>‐</w:t>
      </w:r>
      <w:r w:rsidRPr="0019710C">
        <w:t>year trailing average aligned with the regulatory</w:t>
      </w:r>
      <w:r w:rsidRPr="006C2193">
        <w:t xml:space="preserve"> period) during the Better Regulation process was, arguably, contingent on the AER having an effective transition process that would prevent windfall gains or losses by either consumers or the businesses. The DNSPs’ revised proposals for transition violate this implicit understanding that has underpinned the consumers’ support of the 10</w:t>
      </w:r>
      <w:r w:rsidRPr="00BB7CBA">
        <w:rPr>
          <w:rFonts w:ascii="Cambria Math" w:hAnsi="Cambria Math" w:cs="Cambria Math"/>
        </w:rPr>
        <w:t>‐</w:t>
      </w:r>
      <w:r w:rsidRPr="006C2193">
        <w:t>year rolling average approach.</w:t>
      </w:r>
    </w:p>
    <w:p w:rsidR="00BB7CBA" w:rsidRDefault="00BB7CBA" w:rsidP="00BB7CBA">
      <w:r>
        <w:t>For this reason, the CCP3 also advised that, '</w:t>
      </w:r>
      <w:r w:rsidRPr="00187AA5">
        <w:t>the significant impact on consumers of the DNSPs’ proposed</w:t>
      </w:r>
      <w:r>
        <w:t xml:space="preserve"> </w:t>
      </w:r>
      <w:r w:rsidRPr="00187AA5">
        <w:t>departure from the RoR Guideline risks a collapse in consumer confidence in the</w:t>
      </w:r>
      <w:r>
        <w:t xml:space="preserve"> </w:t>
      </w:r>
      <w:r w:rsidRPr="00187AA5">
        <w:t>regulatory process</w:t>
      </w:r>
      <w:r>
        <w:t>'</w:t>
      </w:r>
      <w:r w:rsidRPr="00187AA5">
        <w:t>.</w:t>
      </w:r>
      <w:r>
        <w:rPr>
          <w:rStyle w:val="FootnoteReference"/>
        </w:rPr>
        <w:footnoteReference w:id="1215"/>
      </w:r>
      <w:r>
        <w:t xml:space="preserve"> </w:t>
      </w:r>
    </w:p>
    <w:p w:rsidR="00BB7CBA" w:rsidRDefault="00BB7CBA" w:rsidP="00BB7CBA">
      <w:r>
        <w:t>Moreover, Partington and Satchell advise that, given a move to the trailing average approach, our full transition is preferable to an immediate (or hybrid) transition.</w:t>
      </w:r>
      <w:r>
        <w:rPr>
          <w:rStyle w:val="FootnoteReference"/>
        </w:rPr>
        <w:footnoteReference w:id="1216"/>
      </w:r>
      <w:r>
        <w:t xml:space="preserve"> They also state that:</w:t>
      </w:r>
      <w:r>
        <w:rPr>
          <w:rStyle w:val="FootnoteReference"/>
        </w:rPr>
        <w:footnoteReference w:id="1217"/>
      </w:r>
    </w:p>
    <w:p w:rsidR="00BB7CBA" w:rsidRDefault="00BB7CBA" w:rsidP="00BB7CBA">
      <w:pPr>
        <w:pStyle w:val="AERquote"/>
      </w:pPr>
      <w:r>
        <w:t>…</w:t>
      </w:r>
      <w:r w:rsidRPr="001D4F64">
        <w:t>it is appropriate in the present case, of significant divergence between the trailing average and the current cost of debt, that a transition should be made to the trailing average rather than immediately moving to full implementation.</w:t>
      </w:r>
    </w:p>
    <w:p w:rsidR="00BB7CBA" w:rsidRDefault="00BB7CBA" w:rsidP="00BB7CBA">
      <w:r>
        <w:t xml:space="preserve">Consequently, we consider the on-the-day approach should continue in the absence of a full transition to the trailing average approach. This is because the on-the-day approach produces a return on debt estimate that, in conjunction with the return on equity, satisfies the ARORO. As shown in section </w:t>
      </w:r>
      <w:r>
        <w:fldChar w:fldCharType="begin"/>
      </w:r>
      <w:r>
        <w:instrText xml:space="preserve"> REF _Ref448326736 \r \h </w:instrText>
      </w:r>
      <w:r>
        <w:fldChar w:fldCharType="separate"/>
      </w:r>
      <w:r w:rsidR="001A023B">
        <w:t>H.3.3</w:t>
      </w:r>
      <w:r>
        <w:fldChar w:fldCharType="end"/>
      </w:r>
      <w:r>
        <w:t xml:space="preserve">, the on-the-day approach provides ex-ante efficient compensation for a benchmark efficient entity's efficient cost of financing over each regulatory period and over the term of the RAB. </w:t>
      </w:r>
    </w:p>
    <w:p w:rsidR="00BB7CBA" w:rsidRDefault="00BB7CBA" w:rsidP="00BB7CBA">
      <w:pPr>
        <w:pStyle w:val="Heading9"/>
      </w:pPr>
      <w:bookmarkStart w:id="275" w:name="_Ref447886159"/>
      <w:bookmarkStart w:id="276" w:name="_Ref451538254"/>
      <w:r>
        <w:t>Mathematical explanation</w:t>
      </w:r>
      <w:bookmarkEnd w:id="275"/>
      <w:bookmarkEnd w:id="276"/>
    </w:p>
    <w:p w:rsidR="00BB7CBA" w:rsidRPr="00275DE0" w:rsidRDefault="00BB7CBA" w:rsidP="00BB7CBA">
      <w:r w:rsidRPr="00275DE0">
        <w:t>This section demonstrates the difference (in present value terms) between our full transition and the service providers' immediate transition to the trailing average approach. We use the following notation:</w:t>
      </w:r>
    </w:p>
    <w:p w:rsidR="00BB7CBA" w:rsidRPr="00BB7CBA" w:rsidRDefault="007A39AA" w:rsidP="00BB7CBA">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BB7CBA" w:rsidRPr="00BB7CBA">
        <w:t xml:space="preserve"> denotes present value, at year t </w:t>
      </w:r>
    </w:p>
    <w:p w:rsidR="00BB7CBA" w:rsidRPr="00BB7CBA" w:rsidRDefault="00BB7CBA" w:rsidP="00BB7CBA">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BB7CBA">
        <w:t xml:space="preserve"> denotes expected value</w:t>
      </w:r>
    </w:p>
    <w:p w:rsidR="00BB7CBA" w:rsidRPr="00BB7CBA" w:rsidRDefault="007A39AA" w:rsidP="00BB7CBA">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BB7CBA" w:rsidRPr="00BB7CBA">
        <w:t xml:space="preserve"> is the closing RAB at the end of year </w:t>
      </w:r>
      <m:oMath>
        <m:r>
          <w:rPr>
            <w:rFonts w:ascii="Cambria Math" w:hAnsi="Cambria Math"/>
          </w:rPr>
          <m:t>t</m:t>
        </m:r>
      </m:oMath>
      <w:r w:rsidR="00BB7CBA" w:rsidRPr="00BB7CBA">
        <w:t xml:space="preserve"> (which equals the opening RAB at the beginning of year </w:t>
      </w:r>
      <m:oMath>
        <m:r>
          <w:rPr>
            <w:rFonts w:ascii="Cambria Math" w:hAnsi="Cambria Math"/>
          </w:rPr>
          <m:t>t+1</m:t>
        </m:r>
      </m:oMath>
      <w:r w:rsidR="00BB7CBA" w:rsidRPr="00BB7CBA">
        <w:t>).</w:t>
      </w:r>
    </w:p>
    <w:p w:rsidR="00BB7CBA" w:rsidRDefault="00BB7CBA" w:rsidP="00BB7CBA">
      <w:pPr>
        <w:pStyle w:val="AERbulletlistfirststyle"/>
      </w:pPr>
      <w:r>
        <w:t>0.6 is the proportion of the RAB that is debt financed</w:t>
      </w:r>
    </w:p>
    <w:p w:rsidR="00BB7CBA" w:rsidRPr="00BB7CBA" w:rsidRDefault="007A39AA" w:rsidP="00BB7CBA">
      <w:pPr>
        <w:pStyle w:val="AERbulletlistfirststyle"/>
      </w:pPr>
      <m:oMath>
        <m:sSub>
          <m:sSubPr>
            <m:ctrlPr>
              <w:rPr>
                <w:rFonts w:ascii="Cambria Math" w:hAnsi="Cambria Math"/>
              </w:rPr>
            </m:ctrlPr>
          </m:sSubPr>
          <m:e>
            <m:r>
              <w:rPr>
                <w:rFonts w:ascii="Cambria Math" w:hAnsi="Cambria Math"/>
              </w:rPr>
              <m:t>rd</m:t>
            </m:r>
          </m:e>
          <m:sub>
            <m:r>
              <w:rPr>
                <w:rFonts w:ascii="Cambria Math" w:hAnsi="Cambria Math"/>
              </w:rPr>
              <m:t xml:space="preserve">t </m:t>
            </m:r>
          </m:sub>
        </m:sSub>
      </m:oMath>
      <w:r w:rsidR="00BB7CBA" w:rsidRPr="00BB7CBA">
        <w:t xml:space="preserve"> </w:t>
      </w:r>
      <w:r w:rsidR="0059122E">
        <w:t>are</w:t>
      </w:r>
      <w:r w:rsidR="0059122E" w:rsidRPr="00D56F4E">
        <w:t xml:space="preserve"> </w:t>
      </w:r>
      <w:r w:rsidR="0059122E">
        <w:t xml:space="preserve">the </w:t>
      </w:r>
      <w:r w:rsidR="0059122E" w:rsidRPr="00D56F4E">
        <w:t>estimate</w:t>
      </w:r>
      <w:r w:rsidR="0059122E">
        <w:t>s</w:t>
      </w:r>
      <w:r w:rsidR="0059122E" w:rsidRPr="00D56F4E">
        <w:t xml:space="preserve"> of the </w:t>
      </w:r>
      <w:r w:rsidR="0059122E">
        <w:t>return on</w:t>
      </w:r>
      <w:r w:rsidR="0059122E" w:rsidRPr="00D56F4E">
        <w:t xml:space="preserve"> debt used to calculate the return on capital cash flow</w:t>
      </w:r>
      <w:r w:rsidR="0059122E">
        <w:t>s</w:t>
      </w:r>
    </w:p>
    <w:p w:rsidR="00BB7CBA" w:rsidRPr="00BB7CBA" w:rsidRDefault="007A39AA" w:rsidP="00BB7CBA">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t,j</m:t>
            </m:r>
          </m:sub>
        </m:sSub>
      </m:oMath>
      <w:r w:rsidR="00BB7CBA" w:rsidRPr="00BB7CBA">
        <w:t xml:space="preserve"> is the (spot) discount rate at year </w:t>
      </w:r>
      <m:oMath>
        <m:r>
          <w:rPr>
            <w:rFonts w:ascii="Cambria Math" w:hAnsi="Cambria Math"/>
          </w:rPr>
          <m:t>t</m:t>
        </m:r>
      </m:oMath>
      <w:r w:rsidR="00BB7CBA" w:rsidRPr="00BB7CBA">
        <w:t xml:space="preserve"> for a term of </w:t>
      </w:r>
      <m:oMath>
        <m:r>
          <w:rPr>
            <w:rFonts w:ascii="Cambria Math" w:hAnsi="Cambria Math"/>
          </w:rPr>
          <m:t>j</m:t>
        </m:r>
      </m:oMath>
      <w:r w:rsidR="00BB7CBA" w:rsidRPr="00BB7CBA">
        <w:t xml:space="preserve"> years.</w:t>
      </w:r>
    </w:p>
    <w:p w:rsidR="00BB7CBA" w:rsidRPr="00622F41" w:rsidRDefault="00BB7CBA" w:rsidP="00BB7CBA">
      <w:r w:rsidRPr="00622F41">
        <w:t xml:space="preserve">The present value of </w:t>
      </w:r>
      <w:r>
        <w:t>our</w:t>
      </w:r>
      <w:r w:rsidRPr="00622F41">
        <w:t xml:space="preserve"> proposed return on debt allowance </w:t>
      </w:r>
      <w:r w:rsidR="002C7C50">
        <w:t xml:space="preserve">over the next ten years </w:t>
      </w:r>
      <w:r w:rsidRPr="00622F41">
        <w:t>(under a full transition)</w:t>
      </w:r>
      <w:r>
        <w:t xml:space="preserve"> a</w:t>
      </w:r>
      <w:r w:rsidR="00C73DEC">
        <w:t>t</w:t>
      </w:r>
      <w:r>
        <w:t xml:space="preserve"> time </w:t>
      </w:r>
      <m:oMath>
        <m:r>
          <w:rPr>
            <w:rFonts w:ascii="Cambria Math" w:hAnsi="Cambria Math"/>
          </w:rPr>
          <m:t>t=0</m:t>
        </m:r>
      </m:oMath>
      <w:r w:rsidRPr="00622F41">
        <w:t xml:space="preserve"> is as follows:</w:t>
      </w:r>
      <w:r w:rsidR="002C7C50">
        <w:rPr>
          <w:rStyle w:val="FootnoteReference"/>
        </w:rPr>
        <w:footnoteReference w:id="1218"/>
      </w:r>
    </w:p>
    <w:p w:rsidR="00BB7CBA" w:rsidRDefault="007A39AA" w:rsidP="00BB7CBA">
      <m:oMath>
        <m:sSub>
          <m:sSubPr>
            <m:ctrlPr>
              <w:rPr>
                <w:rFonts w:ascii="Cambria Math" w:hAnsi="Cambria Math"/>
                <w:i/>
              </w:rPr>
            </m:ctrlPr>
          </m:sSubPr>
          <m:e>
            <m:r>
              <w:rPr>
                <w:rFonts w:ascii="Cambria Math" w:hAnsi="Cambria Math"/>
              </w:rPr>
              <m:t>PV[AER]</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×0.6×</m:t>
            </m:r>
            <m:sSub>
              <m:sSubPr>
                <m:ctrlPr>
                  <w:rPr>
                    <w:rFonts w:ascii="Cambria Math" w:hAnsi="Cambria Math"/>
                  </w:rPr>
                </m:ctrlPr>
              </m:sSubPr>
              <m:e>
                <m:r>
                  <w:rPr>
                    <w:rFonts w:ascii="Cambria Math" w:hAnsi="Cambria Math"/>
                  </w:rPr>
                  <m:t>K</m:t>
                </m:r>
              </m:e>
              <m:sub>
                <m:r>
                  <w:rPr>
                    <w:rFonts w:ascii="Cambria Math" w:hAnsi="Cambria Math"/>
                  </w:rPr>
                  <m:t>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BB7CBA" w:rsidRPr="00BB7CBA">
        <w:t xml:space="preserve"> </w:t>
      </w:r>
    </w:p>
    <w:p w:rsidR="00BB7CBA" w:rsidRDefault="00BB7CBA" w:rsidP="00BB7CB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×0.9</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]×0.1)×0.6×E[K</m:t>
                </m:r>
              </m:e>
              <m:sub>
                <m:r>
                  <w:rPr>
                    <w:rFonts w:ascii="Cambria Math" w:hAnsi="Cambria Math"/>
                  </w:rPr>
                  <m:t>1</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BB7CBA" w:rsidRPr="00622F41" w:rsidRDefault="00BB7CBA" w:rsidP="00BB7CB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×0.8</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]×0.1+E[</m:t>
                </m:r>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]×0.1)×0.6×E[K</m:t>
                </m:r>
              </m:e>
              <m:sub>
                <m:r>
                  <w:rPr>
                    <w:rFonts w:ascii="Cambria Math" w:hAnsi="Cambria Math"/>
                  </w:rPr>
                  <m:t>2</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ParaPr>
          <m:jc m:val="left"/>
        </m:oMathParaPr>
        <m:oMath>
          <m:r>
            <w:rPr>
              <w:rFonts w:ascii="Cambria Math" w:hAnsi="Cambria Math"/>
            </w:rPr>
            <m:t>+…</m:t>
          </m:r>
          <m:r>
            <m:rPr>
              <m:sty m:val="p"/>
            </m:rPr>
            <w:rPr>
              <w:rFonts w:ascii="Cambria Math" w:hAnsi="Cambria Math"/>
            </w:rPr>
            <w:br/>
          </m:r>
        </m:oMath>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BB7CBA">
        <w:t xml:space="preserve"> </w:t>
      </w:r>
      <w:r w:rsidRPr="00BB7CBA">
        <w:br/>
      </w:r>
      <w:r w:rsidRPr="00622F41">
        <w:t xml:space="preserve">The present value of the service providers' proposed return on debt allowance </w:t>
      </w:r>
      <w:r w:rsidR="00C73DEC">
        <w:t xml:space="preserve">over the next ten years </w:t>
      </w:r>
      <w:r w:rsidRPr="00622F41">
        <w:t>(under an immediate transition</w:t>
      </w:r>
      <w:r w:rsidR="00C73DEC">
        <w:t xml:space="preserve">) at time </w:t>
      </w:r>
      <m:oMath>
        <m:r>
          <w:rPr>
            <w:rFonts w:ascii="Cambria Math" w:hAnsi="Cambria Math"/>
          </w:rPr>
          <m:t>t=0</m:t>
        </m:r>
      </m:oMath>
      <w:r w:rsidR="00C73DEC" w:rsidRPr="00622F41">
        <w:t xml:space="preserve"> </w:t>
      </w:r>
      <w:r w:rsidRPr="00622F41">
        <w:t xml:space="preserve"> is as follows:</w:t>
      </w:r>
    </w:p>
    <w:p w:rsidR="00BB7CBA" w:rsidRDefault="007A39AA" w:rsidP="00BB7CBA">
      <m:oMath>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BB7CBA" w:rsidRPr="00BB7CBA">
        <w:t xml:space="preserve"> </w:t>
      </w:r>
    </w:p>
    <w:p w:rsidR="00BB7CBA" w:rsidRDefault="00BB7CBA" w:rsidP="00BB7CB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E[</m:t>
                </m:r>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BB7CBA" w:rsidRDefault="00BB7CBA" w:rsidP="00BB7CB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]+E[rd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t xml:space="preserve"> </w:t>
      </w:r>
    </w:p>
    <w:p w:rsidR="00BB7CBA" w:rsidRPr="00622F41" w:rsidRDefault="00BB7CBA" w:rsidP="00BB7CBA">
      <m:oMath>
        <m:r>
          <w:rPr>
            <w:rFonts w:ascii="Cambria Math" w:hAnsi="Cambria Math"/>
          </w:rPr>
          <m:t>+</m:t>
        </m:r>
        <m:r>
          <m:rPr>
            <m:sty m:val="p"/>
          </m:rPr>
          <w:rPr>
            <w:rFonts w:ascii="Cambria Math" w:hAnsi="Cambria Math"/>
          </w:rPr>
          <m:t>…</m:t>
        </m:r>
      </m:oMath>
      <w:r>
        <w:t xml:space="preserve"> </w:t>
      </w:r>
      <w:r w:rsidRPr="00622F41">
        <w:br/>
      </w:r>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+E[</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t xml:space="preserve"> </w:t>
      </w:r>
    </w:p>
    <w:p w:rsidR="00BB7CBA" w:rsidRDefault="00BB7CBA" w:rsidP="00BB7CBA">
      <w:r w:rsidRPr="00622F41">
        <w:t xml:space="preserve">Subtracting the present value of </w:t>
      </w:r>
      <w:r>
        <w:t>our</w:t>
      </w:r>
      <w:r w:rsidRPr="00622F41">
        <w:t xml:space="preserve"> return on debt allowance </w:t>
      </w:r>
      <w:r w:rsidR="00C73DEC">
        <w:t xml:space="preserve">over the next ten years </w:t>
      </w:r>
      <w:r w:rsidRPr="00622F41">
        <w:t xml:space="preserve">from the present value of the service providers' proposed return on debt allowance </w:t>
      </w:r>
      <w:r w:rsidR="00C73DEC">
        <w:t xml:space="preserve">over the next ten years </w:t>
      </w:r>
      <w:r w:rsidRPr="00622F41">
        <w:t>gives the following difference in present value terms:</w:t>
      </w:r>
    </w:p>
    <w:p w:rsidR="00BB7CBA" w:rsidRPr="00622F41" w:rsidRDefault="007A39AA" w:rsidP="00BB7CBA">
      <m:oMath>
        <m:sSub>
          <m:sSubPr>
            <m:ctrlPr>
              <w:rPr>
                <w:rFonts w:ascii="Cambria Math" w:hAnsi="Cambria Math"/>
              </w:rPr>
            </m:ctrlPr>
          </m:sSubPr>
          <m:e>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-PV[AER]</m:t>
            </m:r>
          </m:e>
          <m:sub>
            <m:r>
              <w:rPr>
                <w:rFonts w:ascii="Cambria Math" w:hAnsi="Cambria Math"/>
              </w:rPr>
              <m:t>0</m:t>
            </m:r>
          </m:sub>
        </m:sSub>
      </m:oMath>
      <w:r w:rsidR="00BB7CBA">
        <w:t xml:space="preserve"> </w:t>
      </w:r>
    </w:p>
    <w:p w:rsidR="00BB7CBA" w:rsidRDefault="00BB7CBA" w:rsidP="00BB7CB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m:t>
                            </m:r>
                            <m:sSub>
                              <m:sSubPr>
                                <m:ctrlPr>
                                  <w:rPr>
                                    <w:rFonts w:ascii="Cambria Math" w:hAnsi="Cambria Math"/>
                                  </w:rPr>
                                </m:ctrlPr>
                              </m:sSubPr>
                              <m:e>
                                <m:r>
                                  <w:rPr>
                                    <w:rFonts w:ascii="Cambria Math" w:hAnsi="Cambria Math"/>
                                  </w:rPr>
                                  <m:t>0.9×rd</m:t>
                                </m:r>
                              </m:e>
                              <m:sub>
                                <m:r>
                                  <w:rPr>
                                    <w:rFonts w:ascii="Cambria Math" w:hAnsi="Cambria Math"/>
                                  </w:rPr>
                                  <m:t>0</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0, 1</m:t>
                        </m:r>
                      </m:sub>
                    </m:sSub>
                  </m:e>
                </m:d>
              </m:e>
              <m:sup>
                <m:r>
                  <w:rPr>
                    <w:rFonts w:ascii="Cambria Math" w:hAnsi="Cambria Math"/>
                  </w:rPr>
                  <m:t>1</m:t>
                </m:r>
              </m:sup>
            </m:sSup>
          </m:den>
        </m:f>
      </m:oMath>
      <w:r w:rsidRPr="00BB7CBA">
        <w:t xml:space="preserve"> </w:t>
      </w:r>
    </w:p>
    <w:p w:rsidR="00BB7CBA" w:rsidRPr="00622F41" w:rsidRDefault="00BB7CBA" w:rsidP="00BB7CB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0.8×rd</m:t>
                                </m:r>
                              </m:e>
                              <m:sub>
                                <m:r>
                                  <w:rPr>
                                    <w:rFonts w:ascii="Cambria Math" w:hAnsi="Cambria Math"/>
                                  </w:rPr>
                                  <m:t>0</m:t>
                                </m:r>
                              </m:sub>
                            </m:sSub>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t xml:space="preserve"> </w:t>
      </w:r>
    </w:p>
    <w:p w:rsidR="00BB7CBA" w:rsidRDefault="00BB7CBA" w:rsidP="00BB7CB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0.7×rd</m:t>
                                </m:r>
                              </m:e>
                              <m:sub>
                                <m:r>
                                  <w:rPr>
                                    <w:rFonts w:ascii="Cambria Math" w:hAnsi="Cambria Math"/>
                                  </w:rPr>
                                  <m:t>0</m:t>
                                </m:r>
                              </m:sub>
                            </m:sSub>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
          <m:r>
            <m:rPr>
              <m:sty m:val="p"/>
            </m:rPr>
            <w:rPr>
              <w:rFonts w:ascii="Cambria Math" w:hAnsi="Cambria Math"/>
            </w:rPr>
            <w:br/>
          </m:r>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0.6×rd</m:t>
                                  </m:r>
                                </m:e>
                                <m:sub>
                                  <m:r>
                                    <w:rPr>
                                      <w:rFonts w:ascii="Cambria Math" w:hAnsi="Cambria Math"/>
                                    </w:rPr>
                                    <m:t>0</m:t>
                                  </m:r>
                                </m:sub>
                              </m:sSub>
                              <m:r>
                                <w:rPr>
                                  <w:rFonts w:ascii="Cambria Math" w:hAnsi="Cambria Math"/>
                                </w:rPr>
                                <m:t>)×0.6×E[K</m:t>
                              </m:r>
                            </m:e>
                            <m:sub>
                              <m:r>
                                <w:rPr>
                                  <w:rFonts w:ascii="Cambria Math" w:hAnsi="Cambria Math"/>
                                </w:rPr>
                                <m:t>3</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0,4</m:t>
                          </m:r>
                        </m:sub>
                      </m:sSub>
                    </m:e>
                  </m:d>
                </m:e>
                <m:sup>
                  <m:r>
                    <w:rPr>
                      <w:rFonts w:ascii="Cambria Math" w:hAnsi="Cambria Math"/>
                    </w:rPr>
                    <m:t>4</m:t>
                  </m:r>
                </m:sup>
              </m:sSup>
            </m:den>
          </m:f>
        </m:oMath>
      </m:oMathPara>
      <w:r w:rsidRPr="00BB7CBA">
        <w:t xml:space="preserve"> </w:t>
      </w:r>
    </w:p>
    <w:p w:rsidR="00BB7CBA" w:rsidRDefault="00BB7CBA" w:rsidP="00BB7CB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)-0.5×rd</m:t>
                        </m:r>
                      </m:e>
                      <m:sub>
                        <m:r>
                          <w:rPr>
                            <w:rFonts w:ascii="Cambria Math" w:hAnsi="Cambria Math"/>
                          </w:rPr>
                          <m:t>0</m:t>
                        </m:r>
                      </m:sub>
                    </m:sSub>
                  </m:e>
                </m:d>
                <m:r>
                  <w:rPr>
                    <w:rFonts w:ascii="Cambria Math" w:hAnsi="Cambria Math"/>
                  </w:rPr>
                  <m:t>×0.6×E[K</m:t>
                </m:r>
              </m:e>
              <m:sub>
                <m:r>
                  <w:rPr>
                    <w:rFonts w:ascii="Cambria Math" w:hAnsi="Cambria Math"/>
                  </w:rPr>
                  <m:t>4</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0,5</m:t>
                        </m:r>
                      </m:sub>
                    </m:sSub>
                  </m:e>
                </m:d>
              </m:e>
              <m:sup>
                <m:r>
                  <w:rPr>
                    <w:rFonts w:ascii="Cambria Math" w:hAnsi="Cambria Math"/>
                  </w:rPr>
                  <m:t>5</m:t>
                </m:r>
              </m:sup>
            </m:sSup>
          </m:den>
        </m:f>
      </m:oMath>
      <w:r w:rsidRPr="00BB7CBA">
        <w:t xml:space="preserve"> </w:t>
      </w:r>
    </w:p>
    <w:p w:rsidR="00BB7CBA" w:rsidRDefault="00BB7CBA" w:rsidP="00BB7CB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)-0.4×rd</m:t>
                        </m:r>
                      </m:e>
                      <m:sub>
                        <m:r>
                          <w:rPr>
                            <w:rFonts w:ascii="Cambria Math" w:hAnsi="Cambria Math"/>
                          </w:rPr>
                          <m:t>0</m:t>
                        </m:r>
                      </m:sub>
                    </m:sSub>
                  </m:e>
                </m:d>
                <m:r>
                  <w:rPr>
                    <w:rFonts w:ascii="Cambria Math" w:hAnsi="Cambria Math"/>
                  </w:rPr>
                  <m:t>×0.6×E[K</m:t>
                </m:r>
              </m:e>
              <m:sub>
                <m:r>
                  <w:rPr>
                    <w:rFonts w:ascii="Cambria Math" w:hAnsi="Cambria Math"/>
                  </w:rPr>
                  <m:t>5</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0,6</m:t>
                        </m:r>
                      </m:sub>
                    </m:sSub>
                  </m:e>
                </m:d>
              </m:e>
              <m:sup>
                <m:r>
                  <w:rPr>
                    <w:rFonts w:ascii="Cambria Math" w:hAnsi="Cambria Math"/>
                  </w:rPr>
                  <m:t>6</m:t>
                </m:r>
              </m:sup>
            </m:sSup>
          </m:den>
        </m:f>
      </m:oMath>
      <w:r w:rsidRPr="00BB7CBA">
        <w:t xml:space="preserve"> </w:t>
      </w:r>
    </w:p>
    <w:p w:rsidR="00BB7CBA" w:rsidRDefault="00BB7CBA" w:rsidP="00BB7CB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)-0.3×rd</m:t>
                        </m:r>
                      </m:e>
                      <m:sub>
                        <m:r>
                          <w:rPr>
                            <w:rFonts w:ascii="Cambria Math" w:hAnsi="Cambria Math"/>
                          </w:rPr>
                          <m:t>0</m:t>
                        </m:r>
                      </m:sub>
                    </m:sSub>
                  </m:e>
                </m:d>
                <m:r>
                  <w:rPr>
                    <w:rFonts w:ascii="Cambria Math" w:hAnsi="Cambria Math"/>
                  </w:rPr>
                  <m:t>×0.6×E[K</m:t>
                </m:r>
              </m:e>
              <m:sub>
                <m:r>
                  <w:rPr>
                    <w:rFonts w:ascii="Cambria Math" w:hAnsi="Cambria Math"/>
                  </w:rPr>
                  <m:t>6</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0,7</m:t>
                        </m:r>
                      </m:sub>
                    </m:sSub>
                  </m:e>
                </m:d>
              </m:e>
              <m:sup>
                <m:r>
                  <w:rPr>
                    <w:rFonts w:ascii="Cambria Math" w:hAnsi="Cambria Math"/>
                  </w:rPr>
                  <m:t>7</m:t>
                </m:r>
              </m:sup>
            </m:sSup>
          </m:den>
        </m:f>
      </m:oMath>
      <w:r w:rsidRPr="00BB7CBA">
        <w:t xml:space="preserve"> </w:t>
      </w:r>
    </w:p>
    <w:p w:rsidR="00BB7CBA" w:rsidRDefault="00BB7CBA" w:rsidP="00BB7CB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)-0.2×rd</m:t>
                        </m:r>
                      </m:e>
                      <m:sub>
                        <m:r>
                          <w:rPr>
                            <w:rFonts w:ascii="Cambria Math" w:hAnsi="Cambria Math"/>
                          </w:rPr>
                          <m:t>0</m:t>
                        </m:r>
                      </m:sub>
                    </m:sSub>
                  </m:e>
                </m:d>
                <m:r>
                  <w:rPr>
                    <w:rFonts w:ascii="Cambria Math" w:hAnsi="Cambria Math"/>
                  </w:rPr>
                  <m:t>×0.6×E[K</m:t>
                </m:r>
              </m:e>
              <m:sub>
                <m:r>
                  <w:rPr>
                    <w:rFonts w:ascii="Cambria Math" w:hAnsi="Cambria Math"/>
                  </w:rPr>
                  <m:t>7</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0,8</m:t>
                        </m:r>
                      </m:sub>
                    </m:sSub>
                  </m:e>
                </m:d>
              </m:e>
              <m:sup>
                <m:r>
                  <w:rPr>
                    <w:rFonts w:ascii="Cambria Math" w:hAnsi="Cambria Math"/>
                  </w:rPr>
                  <m:t>8</m:t>
                </m:r>
              </m:sup>
            </m:sSup>
          </m:den>
        </m:f>
      </m:oMath>
      <w:r>
        <w:t xml:space="preserve"> </w:t>
      </w:r>
    </w:p>
    <w:p w:rsidR="00BB7CBA" w:rsidRDefault="00BB7CBA" w:rsidP="00BB7CB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sSub>
                      <m:sSubPr>
                        <m:ctrlPr>
                          <w:rPr>
                            <w:rFonts w:ascii="Cambria Math" w:hAnsi="Cambria Math"/>
                          </w:rPr>
                        </m:ctrlPr>
                      </m:sSubPr>
                      <m:e>
                        <m:r>
                          <w:rPr>
                            <w:rFonts w:ascii="Cambria Math" w:hAnsi="Cambria Math"/>
                          </w:rPr>
                          <m:t>)-0.1×rd</m:t>
                        </m:r>
                      </m:e>
                      <m:sub>
                        <m:r>
                          <w:rPr>
                            <w:rFonts w:ascii="Cambria Math" w:hAnsi="Cambria Math"/>
                          </w:rPr>
                          <m:t>0</m:t>
                        </m:r>
                      </m:sub>
                    </m:sSub>
                  </m:e>
                </m:d>
                <m:r>
                  <w:rPr>
                    <w:rFonts w:ascii="Cambria Math" w:hAnsi="Cambria Math"/>
                  </w:rPr>
                  <m:t>×0.6×E[K</m:t>
                </m:r>
              </m:e>
              <m:sub>
                <m:r>
                  <w:rPr>
                    <w:rFonts w:ascii="Cambria Math" w:hAnsi="Cambria Math"/>
                  </w:rPr>
                  <m:t>8</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e>
                </m:d>
              </m:e>
              <m:sup>
                <m:r>
                  <w:rPr>
                    <w:rFonts w:ascii="Cambria Math" w:hAnsi="Cambria Math"/>
                  </w:rPr>
                  <m:t>9</m:t>
                </m:r>
              </m:sup>
            </m:sSup>
          </m:den>
        </m:f>
      </m:oMath>
      <w:r w:rsidRPr="00BB7CBA">
        <w:t xml:space="preserve"> </w:t>
      </w:r>
    </w:p>
    <w:p w:rsidR="00BB7CBA" w:rsidRDefault="00BB7CBA" w:rsidP="00BB7CBA">
      <m:oMath>
        <m:r>
          <w:rPr>
            <w:rFonts w:ascii="Cambria Math" w:hAnsi="Cambria Math"/>
          </w:rPr>
          <m:t>+0</m:t>
        </m:r>
      </m:oMath>
      <w:r>
        <w:t xml:space="preserve"> </w:t>
      </w:r>
    </w:p>
    <w:p w:rsidR="00BB7CBA" w:rsidRPr="00374BCA" w:rsidRDefault="00BB7CBA" w:rsidP="00BB7CBA">
      <w:r>
        <w:t>We can conclude s</w:t>
      </w:r>
      <w:r w:rsidRPr="00374BCA">
        <w:t>everal things from the</w:t>
      </w:r>
      <w:r>
        <w:t xml:space="preserve"> above</w:t>
      </w:r>
      <w:r w:rsidRPr="00374BCA">
        <w:t xml:space="preserve"> calculation in relation to the expected </w:t>
      </w:r>
      <w:r>
        <w:t>return on debt</w:t>
      </w:r>
      <w:r w:rsidRPr="00374BCA">
        <w:t xml:space="preserve"> allowance:</w:t>
      </w:r>
    </w:p>
    <w:p w:rsidR="00BB7CBA" w:rsidRPr="00BB7CBA" w:rsidRDefault="00BB7CBA" w:rsidP="00BB7CBA">
      <w:pPr>
        <w:pStyle w:val="AERbulletlistfirststyle"/>
      </w:pPr>
      <w:r w:rsidRPr="00374BCA">
        <w:t>Assuming you use the same data series, term and</w:t>
      </w:r>
      <w:r w:rsidRPr="00BB7CBA">
        <w:t xml:space="preserve"> credit rating, the difference between our proposed return on debt allowance and the service providers' proposed return on debt allowance is a fixed amount in each of the first nine years.</w:t>
      </w:r>
      <w:r w:rsidRPr="00BB7CBA">
        <w:rPr>
          <w:rStyle w:val="FootnoteReference"/>
        </w:rPr>
        <w:footnoteReference w:id="1219"/>
      </w:r>
    </w:p>
    <w:p w:rsidR="00BB7CBA" w:rsidRPr="00BB7CBA" w:rsidRDefault="00BB7CBA" w:rsidP="00BB7CBA">
      <w:pPr>
        <w:pStyle w:val="AERbulletlistfirststyle"/>
      </w:pPr>
      <w:r w:rsidRPr="00374BCA">
        <w:t xml:space="preserve">Assuming you use the same data series, term and credit rating, there is no difference between </w:t>
      </w:r>
      <w:r w:rsidRPr="00BB7CBA">
        <w:t>our proposed return on debt allowance and the service providers' proposed return on debt allowance from year ten onwards.</w:t>
      </w:r>
    </w:p>
    <w:p w:rsidR="00BB7CBA" w:rsidRPr="00BB7CBA" w:rsidRDefault="00BB7CBA" w:rsidP="00BB7CBA">
      <w:pPr>
        <w:pStyle w:val="AERbulletlistfirststyle"/>
      </w:pPr>
      <w:r w:rsidRPr="00374BCA">
        <w:t xml:space="preserve">The present value of the difference in </w:t>
      </w:r>
      <w:r w:rsidRPr="00BB7CBA">
        <w:t>our proposed return on debt allowance and the service providers' proposed return on debt allowance for each of the next nine years can be calculated today.</w:t>
      </w:r>
      <w:r w:rsidRPr="00BB7CBA">
        <w:rPr>
          <w:rStyle w:val="FootnoteReference"/>
        </w:rPr>
        <w:footnoteReference w:id="1220"/>
      </w:r>
      <w:r w:rsidRPr="00BB7CBA">
        <w:t xml:space="preserve"> This total present value is a sum of the difference in values for each of the </w:t>
      </w:r>
      <w:r w:rsidR="00C73DEC">
        <w:t xml:space="preserve">next </w:t>
      </w:r>
      <w:r w:rsidRPr="00BB7CBA">
        <w:t>nine years (as shown above).</w:t>
      </w:r>
    </w:p>
    <w:p w:rsidR="00BB7CBA" w:rsidRPr="00BB7CBA" w:rsidRDefault="00BB7CBA" w:rsidP="00BB7CBA">
      <w:pPr>
        <w:pStyle w:val="AERbulletlistfirststyle"/>
      </w:pPr>
      <w:r w:rsidRPr="00374BCA">
        <w:t xml:space="preserve">Given that current interest rates are well below average historical rates over the last </w:t>
      </w:r>
      <w:r w:rsidRPr="00BB7CBA">
        <w:t xml:space="preserve">nine years, the service providers' proposed return on debt allowance will have a materially higher present value than our proposed return on debt allowance (over both the upcoming regulatory period and the next </w:t>
      </w:r>
      <w:r w:rsidR="00C73DEC">
        <w:t>nine</w:t>
      </w:r>
      <w:r w:rsidRPr="00BB7CBA">
        <w:t xml:space="preserve"> years). For the reasons discussed earlier, this is inconsistent with the zero NPV investment condition and will not meet the ARORO or NEO/NGO. It is worth noting that current interest rates could have similarly moved above historical rates and this would have required a transition to avoid undercompensating a benchmark efficient entity.</w:t>
      </w:r>
    </w:p>
    <w:p w:rsidR="00BB7CBA" w:rsidRPr="00374BCA" w:rsidRDefault="00BB7CBA" w:rsidP="00BB7CBA">
      <w:r w:rsidRPr="00374BCA">
        <w:t xml:space="preserve">We note that </w:t>
      </w:r>
      <w:r>
        <w:t xml:space="preserve">although the service providers have proposed an immediate transition, many have also proposed a partial hybrid transition as a second preference to their proposals (explained in section </w:t>
      </w:r>
      <w:r>
        <w:fldChar w:fldCharType="begin"/>
      </w:r>
      <w:r>
        <w:instrText xml:space="preserve"> REF _Ref447886226 \r \h </w:instrText>
      </w:r>
      <w:r>
        <w:fldChar w:fldCharType="separate"/>
      </w:r>
      <w:r w:rsidR="001A023B">
        <w:t>H.5.2</w:t>
      </w:r>
      <w:r>
        <w:fldChar w:fldCharType="end"/>
      </w:r>
      <w:r>
        <w:t>).</w:t>
      </w:r>
      <w:r>
        <w:rPr>
          <w:rStyle w:val="FootnoteReference"/>
        </w:rPr>
        <w:footnoteReference w:id="1221"/>
      </w:r>
      <w:r>
        <w:t xml:space="preserve"> U</w:t>
      </w:r>
      <w:r w:rsidRPr="00374BCA">
        <w:t>nder the</w:t>
      </w:r>
      <w:r>
        <w:t>se</w:t>
      </w:r>
      <w:r w:rsidRPr="00374BCA">
        <w:t xml:space="preserve"> proposed alternative approaches the above propositions also hold (</w:t>
      </w:r>
      <w:r>
        <w:t>that is,</w:t>
      </w:r>
      <w:r w:rsidRPr="00374BCA">
        <w:t xml:space="preserve"> the difference in each year will be a fixed amount that can be quantified and valued), although the difference in each of the next nine years between </w:t>
      </w:r>
      <w:r>
        <w:t>our</w:t>
      </w:r>
      <w:r w:rsidRPr="00374BCA">
        <w:t xml:space="preserve"> approach and the </w:t>
      </w:r>
      <w:r>
        <w:t>service provider</w:t>
      </w:r>
      <w:r w:rsidRPr="00374BCA">
        <w:t>s</w:t>
      </w:r>
      <w:r>
        <w:t>'</w:t>
      </w:r>
      <w:r w:rsidRPr="00374BCA">
        <w:t xml:space="preserve"> proposed approach will differ depending on the approach proposed.</w:t>
      </w:r>
    </w:p>
    <w:p w:rsidR="00BB7CBA" w:rsidRDefault="00BB7CBA" w:rsidP="00BB7CBA">
      <w:r>
        <w:t>I</w:t>
      </w:r>
      <w:r w:rsidRPr="00374BCA">
        <w:t xml:space="preserve">n relation to the </w:t>
      </w:r>
      <w:r>
        <w:t>risk associated with</w:t>
      </w:r>
      <w:r w:rsidRPr="00374BCA">
        <w:t xml:space="preserve"> the alternative return on debt allowances, </w:t>
      </w:r>
      <w:r>
        <w:t xml:space="preserve">the </w:t>
      </w:r>
      <w:r w:rsidR="00C73DEC">
        <w:t xml:space="preserve">key interest rate </w:t>
      </w:r>
      <w:r>
        <w:t xml:space="preserve">risk associated with the </w:t>
      </w:r>
      <w:r w:rsidR="00C73DEC">
        <w:t xml:space="preserve">allowed return on debt </w:t>
      </w:r>
      <w:r>
        <w:t xml:space="preserve">cash flow streams in each future year </w:t>
      </w:r>
      <w:r w:rsidR="00C73DEC">
        <w:t xml:space="preserve">appears to </w:t>
      </w:r>
      <w:r>
        <w:t xml:space="preserve">come from rolling future interest rates into the trailing average. As all proposed allowances roll the same future interest rates in at a rate of 1/10 per year, the risk associated with the uncertainty from these rates should be the same across transition approaches. This implies that any mismatch risk associated with future interest rate uncertainty might be expected to be the same </w:t>
      </w:r>
      <w:r w:rsidR="00C73DEC">
        <w:t xml:space="preserve">or similar </w:t>
      </w:r>
      <w:r>
        <w:t>under all transition approaches.</w:t>
      </w:r>
      <w:r>
        <w:rPr>
          <w:rStyle w:val="FootnoteReference"/>
        </w:rPr>
        <w:footnoteReference w:id="1222"/>
      </w:r>
      <w:r>
        <w:t xml:space="preserve"> </w:t>
      </w:r>
    </w:p>
    <w:p w:rsidR="00BB7CBA" w:rsidRDefault="00BB7CBA" w:rsidP="00BB7CBA">
      <w:r>
        <w:t xml:space="preserve">This above analysis implies the key difference between our proposed return on debt allowance and the service providers' alternatives </w:t>
      </w:r>
      <w:r w:rsidR="00C73DEC">
        <w:t>appears to be</w:t>
      </w:r>
      <w:r>
        <w:t xml:space="preserve"> fixed changes in the present value of a benchmark efficient entity from the change in methodology. This change in value would represent a transfer between a benchmark efficient entity's shareholders and consumers, which would vary in quantum depending on the particular transition proposed. Partington and Satchell support this view, stating:</w:t>
      </w:r>
      <w:r>
        <w:rPr>
          <w:rStyle w:val="FootnoteReference"/>
        </w:rPr>
        <w:footnoteReference w:id="1223"/>
      </w:r>
    </w:p>
    <w:p w:rsidR="00BB7CBA" w:rsidRDefault="00BB7CBA" w:rsidP="00BB7CBA">
      <w:pPr>
        <w:pStyle w:val="AERquote"/>
      </w:pPr>
      <w:r w:rsidRPr="004951FD">
        <w:t>It is also clear that the change to a trailing average if fully implemented immediately has substantial wealth effects. Substantial wealth transfers, whether to or from the regulated businesses, simply as a consequence of a relatively sudden regulatory change is undesirable.</w:t>
      </w:r>
    </w:p>
    <w:p w:rsidR="00BB7CBA" w:rsidRPr="00374BCA" w:rsidRDefault="00BB7CBA" w:rsidP="00BB7CBA">
      <w:pPr>
        <w:pStyle w:val="Heading9"/>
      </w:pPr>
      <w:bookmarkStart w:id="277" w:name="_Ref447886226"/>
      <w:r>
        <w:t>Revised regulatory proposals</w:t>
      </w:r>
      <w:bookmarkEnd w:id="277"/>
      <w:r w:rsidRPr="00374BCA">
        <w:t xml:space="preserve"> </w:t>
      </w:r>
    </w:p>
    <w:p w:rsidR="00BB7CBA" w:rsidRDefault="00BB7CBA" w:rsidP="00BB7CBA">
      <w:r>
        <w:t>Initially, the service providers currently under assessment proposed a 'hybrid transition'. This combined a 10 year transition of the base rate</w:t>
      </w:r>
      <w:r w:rsidRPr="007D2546">
        <w:t xml:space="preserve"> into a trailing average approach with a backwards looking trailing average </w:t>
      </w:r>
      <w:r>
        <w:t xml:space="preserve">DRP. </w:t>
      </w:r>
    </w:p>
    <w:p w:rsidR="00BB7CBA" w:rsidRDefault="00BB7CBA" w:rsidP="00BB7CBA">
      <w:r>
        <w:t>In their revised regulatory proposals, these services providers have changed their preferences towards immediately adopting</w:t>
      </w:r>
      <w:r w:rsidRPr="007D2546">
        <w:t xml:space="preserve"> a backwards looking trailing average approach.</w:t>
      </w:r>
      <w:r>
        <w:t xml:space="preserve"> However, they generally also submitted a second preference for a hybrid transition under partial hedging.</w:t>
      </w:r>
      <w:r w:rsidRPr="00032CB4">
        <w:rPr>
          <w:rStyle w:val="FootnoteReference"/>
        </w:rPr>
        <w:footnoteReference w:id="1224"/>
      </w:r>
      <w:r>
        <w:t xml:space="preserve"> The hybrid transition under partial hedging entails assuming</w:t>
      </w:r>
      <w:r w:rsidRPr="00032CB4">
        <w:t xml:space="preserve"> a benchmark efficient entity hedged </w:t>
      </w:r>
      <w:r>
        <w:t>one third</w:t>
      </w:r>
      <w:r w:rsidRPr="00032CB4">
        <w:t xml:space="preserve"> of the base rate </w:t>
      </w:r>
      <w:r>
        <w:t>and only transitioning this component of the return on debt</w:t>
      </w:r>
      <w:r w:rsidRPr="00032CB4">
        <w:t>.</w:t>
      </w:r>
      <w:r w:rsidRPr="00032CB4">
        <w:rPr>
          <w:rStyle w:val="FootnoteReference"/>
        </w:rPr>
        <w:footnoteReference w:id="1225"/>
      </w:r>
      <w:r>
        <w:t xml:space="preserve"> We do not agree with the reasons provided for adopting either of these preferences, which we respond to separately in the following sections.</w:t>
      </w:r>
    </w:p>
    <w:p w:rsidR="00BB7CBA" w:rsidRDefault="00BB7CBA" w:rsidP="00BB7CBA">
      <w:r>
        <w:t>It is also worth noting that this change in service providers' positions results in a notable increase in the allowed return on debt. The CCP3 submits that following this new position, service providers are now proposing a higher effective DRP than what they would have incurred during the Global Financial Crisis.</w:t>
      </w:r>
      <w:r>
        <w:rPr>
          <w:rStyle w:val="FootnoteReference"/>
        </w:rPr>
        <w:footnoteReference w:id="1226"/>
      </w:r>
      <w:r>
        <w:t xml:space="preserve"> It subsequently advises:</w:t>
      </w:r>
      <w:r>
        <w:rPr>
          <w:rStyle w:val="FootnoteReference"/>
        </w:rPr>
        <w:footnoteReference w:id="1227"/>
      </w:r>
    </w:p>
    <w:p w:rsidR="00BB7CBA" w:rsidRDefault="00BB7CBA" w:rsidP="00BB7CBA">
      <w:pPr>
        <w:pStyle w:val="AERquote"/>
      </w:pPr>
      <w:r w:rsidRPr="00BA615F">
        <w:t>CCP3 does not consider that the DNSPs’ revised RoD proposals for 2016</w:t>
      </w:r>
      <w:r w:rsidRPr="00BB7CBA">
        <w:rPr>
          <w:rFonts w:ascii="Cambria Math" w:hAnsi="Cambria Math" w:cs="Cambria Math"/>
        </w:rPr>
        <w:t>‐</w:t>
      </w:r>
      <w:r>
        <w:t xml:space="preserve">20 reflect a </w:t>
      </w:r>
      <w:r w:rsidRPr="00BA615F">
        <w:t xml:space="preserve">reasonable expectation of their current overall efficient </w:t>
      </w:r>
      <w:r>
        <w:t xml:space="preserve">debt portfolio costs; nor do the </w:t>
      </w:r>
      <w:r w:rsidRPr="00BA615F">
        <w:t>RoD proposals reflect</w:t>
      </w:r>
      <w:r>
        <w:t xml:space="preserve"> expected future debt costs.</w:t>
      </w:r>
    </w:p>
    <w:p w:rsidR="00BB7CBA" w:rsidRPr="008B2981" w:rsidRDefault="00BB7CBA" w:rsidP="00BB7CBA">
      <w:pPr>
        <w:pStyle w:val="HeadingBoldBlue"/>
      </w:pPr>
      <w:r w:rsidRPr="008B2981">
        <w:t>Proposals for immediately adopting a trailing average</w:t>
      </w:r>
    </w:p>
    <w:p w:rsidR="00BB7CBA" w:rsidRDefault="00BB7CBA" w:rsidP="00BB7CBA">
      <w:r>
        <w:t xml:space="preserve">Service providers submitted a range of (often interrelated) reasons for supporting the change in preference seen in their revised proposals towards immediately transitioning to a trailing average. We do not agree with the logic driving this change in preference, which </w:t>
      </w:r>
      <w:r>
        <w:fldChar w:fldCharType="begin"/>
      </w:r>
      <w:r>
        <w:instrText xml:space="preserve"> REF  _Ref447807493 \* Lower \h </w:instrText>
      </w:r>
      <w:r>
        <w:fldChar w:fldCharType="separate"/>
      </w:r>
      <w:r w:rsidR="001A023B">
        <w:t xml:space="preserve">table </w:t>
      </w:r>
      <w:r w:rsidR="001A023B">
        <w:rPr>
          <w:noProof/>
        </w:rPr>
        <w:t>3</w:t>
      </w:r>
      <w:r w:rsidR="001A023B">
        <w:noBreakHyphen/>
      </w:r>
      <w:r w:rsidR="001A023B">
        <w:rPr>
          <w:noProof/>
        </w:rPr>
        <w:t>41</w:t>
      </w:r>
      <w:r>
        <w:fldChar w:fldCharType="end"/>
      </w:r>
      <w:r>
        <w:t xml:space="preserve"> addresses. </w:t>
      </w:r>
    </w:p>
    <w:p w:rsidR="00BB7CBA" w:rsidRDefault="00BB7CBA" w:rsidP="00BB7CBA">
      <w:pPr>
        <w:pStyle w:val="Caption"/>
      </w:pPr>
      <w:bookmarkStart w:id="278" w:name="_Ref447807493"/>
      <w:r>
        <w:t xml:space="preserve">Table </w:t>
      </w:r>
      <w:r w:rsidRPr="00BB7CBA">
        <w:fldChar w:fldCharType="begin"/>
      </w:r>
      <w:r>
        <w:instrText xml:space="preserve"> STYLEREF 1 \s </w:instrText>
      </w:r>
      <w:r w:rsidRPr="00BB7CBA">
        <w:fldChar w:fldCharType="separate"/>
      </w:r>
      <w:r w:rsidR="001A023B">
        <w:rPr>
          <w:noProof/>
        </w:rPr>
        <w:t>3</w:t>
      </w:r>
      <w:r w:rsidRPr="00BB7CBA">
        <w:fldChar w:fldCharType="end"/>
      </w:r>
      <w:r>
        <w:noBreakHyphen/>
      </w:r>
      <w:r w:rsidRPr="00BB7CBA">
        <w:fldChar w:fldCharType="begin"/>
      </w:r>
      <w:r>
        <w:instrText xml:space="preserve"> SEQ Table \* ARABIC \s 1 </w:instrText>
      </w:r>
      <w:r w:rsidRPr="00BB7CBA">
        <w:fldChar w:fldCharType="separate"/>
      </w:r>
      <w:r w:rsidR="001A023B">
        <w:rPr>
          <w:noProof/>
        </w:rPr>
        <w:t>41</w:t>
      </w:r>
      <w:r w:rsidRPr="00BB7CBA">
        <w:fldChar w:fldCharType="end"/>
      </w:r>
      <w:bookmarkEnd w:id="278"/>
      <w:r>
        <w:t xml:space="preserve"> </w:t>
      </w:r>
      <w:r>
        <w:tab/>
        <w:t>AER view of reasons in revised regulatory proposals</w:t>
      </w:r>
    </w:p>
    <w:tbl>
      <w:tblPr>
        <w:tblStyle w:val="AERtable-text0"/>
        <w:tblW w:w="0" w:type="auto"/>
        <w:tblLook w:val="04A0" w:firstRow="1" w:lastRow="0" w:firstColumn="1" w:lastColumn="0" w:noHBand="0" w:noVBand="1"/>
      </w:tblPr>
      <w:tblGrid>
        <w:gridCol w:w="2802"/>
        <w:gridCol w:w="5891"/>
      </w:tblGrid>
      <w:tr w:rsidR="00BB7CBA" w:rsidTr="00BB7AE6">
        <w:trPr>
          <w:cnfStyle w:val="100000000000" w:firstRow="1" w:lastRow="0" w:firstColumn="0" w:lastColumn="0" w:oddVBand="0" w:evenVBand="0" w:oddHBand="0" w:evenHBand="0" w:firstRowFirstColumn="0" w:firstRowLastColumn="0" w:lastRowFirstColumn="0" w:lastRowLastColumn="0"/>
          <w:tblHeader/>
        </w:trPr>
        <w:tc>
          <w:tcPr>
            <w:tcW w:w="2802" w:type="dxa"/>
          </w:tcPr>
          <w:p w:rsidR="00BB7CBA" w:rsidRPr="00BB7CBA" w:rsidRDefault="00BB7CBA" w:rsidP="00BB7CBA">
            <w:r>
              <w:t>Reason provided in revised regulatory proposals</w:t>
            </w:r>
          </w:p>
        </w:tc>
        <w:tc>
          <w:tcPr>
            <w:tcW w:w="5891" w:type="dxa"/>
          </w:tcPr>
          <w:p w:rsidR="00BB7CBA" w:rsidRPr="00BB7CBA" w:rsidRDefault="00BB7CBA" w:rsidP="00BB7CBA">
            <w:r>
              <w:t>AER view</w:t>
            </w:r>
          </w:p>
        </w:tc>
      </w:tr>
      <w:tr w:rsidR="00BB7CBA" w:rsidTr="00166FC9">
        <w:tc>
          <w:tcPr>
            <w:tcW w:w="2802" w:type="dxa"/>
          </w:tcPr>
          <w:p w:rsidR="00BB7CBA" w:rsidRPr="00BB7CBA" w:rsidRDefault="00BB7CBA" w:rsidP="00BB7CBA">
            <w:r>
              <w:t>A</w:t>
            </w:r>
            <w:r w:rsidRPr="00BB7CBA">
              <w:t xml:space="preserve">n immediate (or hybrid) transition is consistent with a historically-based definition of efficient financing costs. </w:t>
            </w:r>
          </w:p>
        </w:tc>
        <w:tc>
          <w:tcPr>
            <w:tcW w:w="5891" w:type="dxa"/>
          </w:tcPr>
          <w:p w:rsidR="00BB7CBA" w:rsidRPr="00BB7CBA" w:rsidRDefault="00BB7CBA" w:rsidP="00BB7CBA">
            <w:r>
              <w:t>We do not consider 'efficient financing costs' in the ARORO refers to historical costs, requiring compensation for losses</w:t>
            </w:r>
            <w:r w:rsidRPr="00BB7CBA">
              <w:t xml:space="preserve"> (or gains) from unhedged mismatch with the previous regulatory allowance. Rather, achieving the ARORO requires a benchmark efficient entity be ex-ante appropriately compensated in present value terms and for the allowance to lead to efficient compensation (see section </w:t>
            </w:r>
            <w:r w:rsidRPr="00BB7CBA">
              <w:fldChar w:fldCharType="begin"/>
            </w:r>
            <w:r w:rsidRPr="00BB7CBA">
              <w:instrText xml:space="preserve"> REF _Ref446603900 \r \h </w:instrText>
            </w:r>
            <w:r w:rsidRPr="00BB7CBA">
              <w:fldChar w:fldCharType="separate"/>
            </w:r>
            <w:r w:rsidR="001A023B">
              <w:t>H.2.1</w:t>
            </w:r>
            <w:r w:rsidRPr="00BB7CBA">
              <w:fldChar w:fldCharType="end"/>
            </w:r>
            <w:r w:rsidRPr="00BB7CBA">
              <w:t xml:space="preserve">). If provided with ex-ante efficient compensation, then a benchmark efficient entity has a reasonable opportunity to recover its efficient debt financing costs. </w:t>
            </w:r>
          </w:p>
          <w:p w:rsidR="00BB7CBA" w:rsidRPr="00BB7CBA" w:rsidRDefault="00BB7CBA" w:rsidP="00BB7CBA">
            <w:r>
              <w:t>The</w:t>
            </w:r>
            <w:r w:rsidRPr="00BB7CBA">
              <w:t xml:space="preserve"> on-the-day rate is an appropriate measure of 'efficient financing costs' and reflects the prevailing cost of debt in the capital market near the commencement of the regulatory period. This is consistent with the cost of capital being a forward-looking opportunity cost (see section </w:t>
            </w:r>
            <w:r w:rsidRPr="00BB7CBA">
              <w:fldChar w:fldCharType="begin"/>
            </w:r>
            <w:r w:rsidRPr="00BB7CBA">
              <w:instrText xml:space="preserve"> REF _Ref446405872 \r \h </w:instrText>
            </w:r>
            <w:r w:rsidRPr="00BB7CBA">
              <w:fldChar w:fldCharType="separate"/>
            </w:r>
            <w:r w:rsidR="001A023B">
              <w:t>H.1.1</w:t>
            </w:r>
            <w:r w:rsidRPr="00BB7CBA">
              <w:fldChar w:fldCharType="end"/>
            </w:r>
            <w:r w:rsidRPr="00BB7CBA">
              <w:t>).</w:t>
            </w:r>
            <w:r w:rsidRPr="00BB7CBA">
              <w:rPr>
                <w:rStyle w:val="FootnoteReference"/>
              </w:rPr>
              <w:footnoteReference w:id="1228"/>
            </w:r>
          </w:p>
          <w:p w:rsidR="00BB7CBA" w:rsidRPr="00BB7CBA" w:rsidRDefault="00BB7CBA" w:rsidP="00BB7CBA">
            <w:r>
              <w:t>The</w:t>
            </w:r>
            <w:r w:rsidRPr="00BB7CBA">
              <w:t xml:space="preserve"> trailing average approach can also reflect prevailing market rates because one-tenth of the historical average is updated each year to reflect prevailing market rates (see section </w:t>
            </w:r>
            <w:r w:rsidRPr="00BB7CBA">
              <w:fldChar w:fldCharType="begin"/>
            </w:r>
            <w:r w:rsidRPr="00BB7CBA">
              <w:instrText xml:space="preserve"> REF _Ref444773920 \r \h </w:instrText>
            </w:r>
            <w:r w:rsidRPr="00BB7CBA">
              <w:fldChar w:fldCharType="separate"/>
            </w:r>
            <w:r w:rsidR="001A023B">
              <w:t>H.3.3</w:t>
            </w:r>
            <w:r w:rsidRPr="00BB7CBA">
              <w:fldChar w:fldCharType="end"/>
            </w:r>
            <w:r w:rsidRPr="00BB7CBA">
              <w:t>). However, it is important to transition into this approach in a forward-looking manner using efficient prevailing market rates (as our full transition does). Without this, we would be providing an allowance based on historical costs, which unless by chance, will differ from prevailing (or current) market rates and is therefore not reflective of efficient costs.</w:t>
            </w:r>
          </w:p>
        </w:tc>
      </w:tr>
      <w:tr w:rsidR="00BB7CBA" w:rsidTr="00166FC9">
        <w:trPr>
          <w:cnfStyle w:val="000000010000" w:firstRow="0" w:lastRow="0" w:firstColumn="0" w:lastColumn="0" w:oddVBand="0" w:evenVBand="0" w:oddHBand="0" w:evenHBand="1" w:firstRowFirstColumn="0" w:firstRowLastColumn="0" w:lastRowFirstColumn="0" w:lastRowLastColumn="0"/>
        </w:trPr>
        <w:tc>
          <w:tcPr>
            <w:tcW w:w="2802" w:type="dxa"/>
          </w:tcPr>
          <w:p w:rsidR="00BB7CBA" w:rsidRPr="00BB7CBA" w:rsidRDefault="00BB7CBA" w:rsidP="00BB7CBA">
            <w:r>
              <w:t>I</w:t>
            </w:r>
            <w:r w:rsidRPr="00BB7CBA">
              <w:t>mmediately implementing a trailing average (in whole or part) would reduce the ex-post 'mismatch' between the allowed return on debt cash flows and a benchmark efficient entity's actual (historical) debt costs (or cash outflows).</w:t>
            </w:r>
            <w:r w:rsidRPr="00BB7CBA">
              <w:rPr>
                <w:rStyle w:val="FootnoteReference"/>
              </w:rPr>
              <w:footnoteReference w:id="1229"/>
            </w:r>
            <w:r w:rsidRPr="00BB7CBA">
              <w:t xml:space="preserve"> </w:t>
            </w:r>
          </w:p>
        </w:tc>
        <w:tc>
          <w:tcPr>
            <w:tcW w:w="5891" w:type="dxa"/>
          </w:tcPr>
          <w:p w:rsidR="00BB7CBA" w:rsidRPr="00BB7CBA" w:rsidRDefault="00BB7CBA" w:rsidP="00BB7CBA">
            <w:r>
              <w:t xml:space="preserve">As discussed in </w:t>
            </w:r>
            <w:r w:rsidRPr="00BB7CBA">
              <w:t xml:space="preserve">section </w:t>
            </w:r>
            <w:r w:rsidRPr="00BB7CBA">
              <w:fldChar w:fldCharType="begin"/>
            </w:r>
            <w:r w:rsidRPr="00BB7CBA">
              <w:instrText xml:space="preserve"> REF _Ref446603900 \r \h </w:instrText>
            </w:r>
            <w:r w:rsidRPr="00BB7CBA">
              <w:fldChar w:fldCharType="separate"/>
            </w:r>
            <w:r w:rsidR="001A023B">
              <w:t>H.2.1</w:t>
            </w:r>
            <w:r w:rsidRPr="00BB7CBA">
              <w:fldChar w:fldCharType="end"/>
            </w:r>
            <w:r w:rsidRPr="00BB7CBA">
              <w:t>, some mismatch between the allowed return on debt cash flows and a benchmark efficient entity's actual (historical) debt costs is expected under an ex-ante regime and this is consistent with the ARORO. However, we do not consider that removing the realisations of mismatch risk ex-post would meet the requirement to appropriately compensate a benchmark efficient entity (ex-ante) for its efficient financing costs. This is particularly because we ex-ante compensate a benchmark efficient entity for bearing this risk.</w:t>
            </w:r>
            <w:r w:rsidRPr="00BB7CBA">
              <w:rPr>
                <w:rStyle w:val="FootnoteReference"/>
              </w:rPr>
              <w:footnoteReference w:id="1230"/>
            </w:r>
          </w:p>
          <w:p w:rsidR="00BB7CBA" w:rsidRPr="00BB7CBA" w:rsidRDefault="00BB7CBA" w:rsidP="00BB7CBA">
            <w:r>
              <w:t xml:space="preserve">We consider that </w:t>
            </w:r>
            <w:r w:rsidRPr="00BB7CBA">
              <w:t>under ex-ante regulation, we are required to have regard to the desirability of reducing the risk of a mismatch (going forward).</w:t>
            </w:r>
            <w:r w:rsidRPr="00BB7CBA">
              <w:rPr>
                <w:rStyle w:val="FootnoteReference"/>
              </w:rPr>
              <w:footnoteReference w:id="1231"/>
            </w:r>
            <w:r w:rsidRPr="00BB7CBA">
              <w:t xml:space="preserve"> In contrast to what service providers suggest, we are not required to remove a mismatch that has eventuated (ex-post). Ex-post mismatch reflects the realisation of interest rate risk that has already occurred and cannot be hedged.</w:t>
            </w:r>
            <w:r w:rsidRPr="00BB7CBA">
              <w:rPr>
                <w:rStyle w:val="FootnoteReference"/>
              </w:rPr>
              <w:footnoteReference w:id="1232"/>
            </w:r>
            <w:r w:rsidRPr="00BB7CBA">
              <w:t xml:space="preserve"> The equity value of the service providers we regulate should already reflect the value of any losses (or gains) from interest rate movements.</w:t>
            </w:r>
            <w:r w:rsidRPr="00BB7CBA">
              <w:rPr>
                <w:rStyle w:val="FootnoteReference"/>
              </w:rPr>
              <w:footnoteReference w:id="1233"/>
            </w:r>
          </w:p>
          <w:p w:rsidR="00BB7CBA" w:rsidRPr="00BB7CBA" w:rsidRDefault="00BB7CBA" w:rsidP="00BB7CBA">
            <w:r w:rsidRPr="006E1707">
              <w:t xml:space="preserve">We consider the desirability of reducing mismatch risk is only applicable to new debt. </w:t>
            </w:r>
            <w:r w:rsidRPr="00BB7CBA">
              <w:t xml:space="preserve">All proposed approaches (immediate, hybrid and full transition) have 10 per cent of the allowed return on debt reset each year (see section </w:t>
            </w:r>
            <w:r w:rsidRPr="00BB7CBA">
              <w:fldChar w:fldCharType="begin"/>
            </w:r>
            <w:r w:rsidRPr="00BB7CBA">
              <w:instrText xml:space="preserve"> REF _Ref447886159 \r \h </w:instrText>
            </w:r>
            <w:r w:rsidRPr="00BB7CBA">
              <w:fldChar w:fldCharType="separate"/>
            </w:r>
            <w:r w:rsidR="001A023B">
              <w:t>H.5.1</w:t>
            </w:r>
            <w:r w:rsidRPr="00BB7CBA">
              <w:fldChar w:fldCharType="end"/>
            </w:r>
            <w:r w:rsidRPr="00BB7CBA">
              <w:t>). Therefore, all proposed approaches should have the same exposure to future interest rate risk and result in the same level of genuine mismatch risk from changes in future interest rates.</w:t>
            </w:r>
          </w:p>
        </w:tc>
      </w:tr>
      <w:tr w:rsidR="00BB7CBA" w:rsidTr="00166FC9">
        <w:tc>
          <w:tcPr>
            <w:tcW w:w="2802" w:type="dxa"/>
          </w:tcPr>
          <w:p w:rsidR="00BB7CBA" w:rsidRPr="00BB7CBA" w:rsidRDefault="00BB7CBA" w:rsidP="00BB7CBA">
            <w:r>
              <w:t>An immediate transition to a trailing average is consistent with outcomes in a workably competitive market because unregulated infrastructure businesses tend to hold staggered debt portfolios.</w:t>
            </w:r>
            <w:r w:rsidRPr="00BB7CBA">
              <w:t xml:space="preserve"> That is, because the intent of legislation is to replicate a workably competitive market, an immediate transition is necessary to replicate the (ex-post) cost outcomes that one would expect absent regulation.</w:t>
            </w:r>
            <w:r w:rsidRPr="00BB7CBA">
              <w:rPr>
                <w:rStyle w:val="FootnoteReference"/>
              </w:rPr>
              <w:footnoteReference w:id="1234"/>
            </w:r>
          </w:p>
        </w:tc>
        <w:tc>
          <w:tcPr>
            <w:tcW w:w="5891" w:type="dxa"/>
          </w:tcPr>
          <w:p w:rsidR="00BB7CBA" w:rsidRPr="00BB7CBA" w:rsidRDefault="00BB7CBA" w:rsidP="00BB7CBA">
            <w:r>
              <w:t>Given the</w:t>
            </w:r>
            <w:r w:rsidRPr="00BB7CBA">
              <w:t xml:space="preserve"> current market (and efficient) cost of debt is below the average market cost of debt over the past ten years, service providers' proposed transition paths would not achieve ex ante efficient compensation in present value terms, based on prevailing efficient market rates. We do not consider this is consistent with any outcome that might be expected in a workably competitive market in general. In workably competitive markets, the costs of new entrants often set prices irrespective of incumbent firms' sunk costs, and the equilibrium is that investments in assets are zero NPV (see section </w:t>
            </w:r>
            <w:r w:rsidRPr="00BB7CBA">
              <w:fldChar w:fldCharType="begin"/>
            </w:r>
            <w:r w:rsidRPr="00BB7CBA">
              <w:instrText xml:space="preserve"> REF _Ref445131744 \r \h </w:instrText>
            </w:r>
            <w:r w:rsidRPr="00BB7CBA">
              <w:fldChar w:fldCharType="separate"/>
            </w:r>
            <w:r w:rsidR="001A023B">
              <w:t>H.3.1</w:t>
            </w:r>
            <w:r w:rsidRPr="00BB7CBA">
              <w:fldChar w:fldCharType="end"/>
            </w:r>
            <w:r w:rsidRPr="00BB7CBA">
              <w:t xml:space="preserve">). </w:t>
            </w:r>
          </w:p>
          <w:p w:rsidR="00BB7CBA" w:rsidRPr="00BB7CBA" w:rsidRDefault="00BB7CBA" w:rsidP="00BB7CBA">
            <w:r w:rsidRPr="00B71027">
              <w:t xml:space="preserve">Also, we consider </w:t>
            </w:r>
            <w:r w:rsidRPr="00BB7CBA">
              <w:t>the outcome that the regulated firms are currently seeking is only possible due to their monopoly position in providing essential services (which would not exist in a workably competitive market). Firms have limited bargaining power in a workably competitive market. As such, we do not consider that consumers in a workably competitive market would freely enter into a bargain that would result in an immediate transition. In the current market, this would constitute a change of methodology that materially increases the firm's value at the expense of its consumers.</w:t>
            </w:r>
          </w:p>
        </w:tc>
      </w:tr>
      <w:tr w:rsidR="00BB7CBA" w:rsidTr="00166FC9">
        <w:trPr>
          <w:cnfStyle w:val="000000010000" w:firstRow="0" w:lastRow="0" w:firstColumn="0" w:lastColumn="0" w:oddVBand="0" w:evenVBand="0" w:oddHBand="0" w:evenHBand="1" w:firstRowFirstColumn="0" w:firstRowLastColumn="0" w:lastRowFirstColumn="0" w:lastRowLastColumn="0"/>
        </w:trPr>
        <w:tc>
          <w:tcPr>
            <w:tcW w:w="2802" w:type="dxa"/>
          </w:tcPr>
          <w:p w:rsidR="00BB7CBA" w:rsidRPr="00BB7CBA" w:rsidRDefault="00BB7CBA" w:rsidP="00BB7CBA">
            <w:r>
              <w:t>CEG advised that i</w:t>
            </w:r>
            <w:r w:rsidRPr="00BB7CBA">
              <w:t>ncentives created by the on-the-day regime may not have resulted in efficient financing practices and may not be commensurate with 'efficient financing costs' referenced in the ARORO.</w:t>
            </w:r>
            <w:r w:rsidRPr="00BB7CBA">
              <w:rPr>
                <w:rStyle w:val="FootnoteReference"/>
              </w:rPr>
              <w:footnoteReference w:id="1235"/>
            </w:r>
            <w:r w:rsidRPr="00BB7CBA">
              <w:t xml:space="preserve"> </w:t>
            </w:r>
          </w:p>
          <w:p w:rsidR="00BB7CBA" w:rsidRDefault="00BB7CBA" w:rsidP="00BB7CBA"/>
        </w:tc>
        <w:tc>
          <w:tcPr>
            <w:tcW w:w="5891" w:type="dxa"/>
          </w:tcPr>
          <w:p w:rsidR="00BB7CBA" w:rsidRPr="00BB7CBA" w:rsidRDefault="00BB7CBA" w:rsidP="00BB7CBA">
            <w:r w:rsidRPr="002E1E42">
              <w:t xml:space="preserve">We observe that CEG did not </w:t>
            </w:r>
            <w:r w:rsidRPr="00BB7CBA">
              <w:t xml:space="preserve">indicate what it considered 'efficient financing costs' meant in the context of the ARORO. As explained in section </w:t>
            </w:r>
            <w:r w:rsidRPr="00BB7CBA">
              <w:fldChar w:fldCharType="begin"/>
            </w:r>
            <w:r w:rsidRPr="00BB7CBA">
              <w:instrText xml:space="preserve"> REF _Ref444778432 \r \h  \* MERGEFORMAT </w:instrText>
            </w:r>
            <w:r w:rsidRPr="00BB7CBA">
              <w:fldChar w:fldCharType="separate"/>
            </w:r>
            <w:r w:rsidR="001A023B">
              <w:t>H.2</w:t>
            </w:r>
            <w:r w:rsidRPr="00BB7CBA">
              <w:fldChar w:fldCharType="end"/>
            </w:r>
            <w:r w:rsidRPr="00BB7CBA">
              <w:t>, we consider efficient financing costs in the context of the ARORO mean we must provide a benchmark efficient entity with ex ante efficient compensation in present value terms, based on prevailing efficient market rates. We consider our transition approach achieves this. Further, we consider an interpretation of the ARORO that leads to materially higher (or lower) compensation (in present value terms) is inconsistent with achieving efficient investment and the objectives of the NEL/NGL.</w:t>
            </w:r>
          </w:p>
        </w:tc>
      </w:tr>
      <w:tr w:rsidR="00BB7CBA" w:rsidTr="00166FC9">
        <w:tc>
          <w:tcPr>
            <w:tcW w:w="2802" w:type="dxa"/>
          </w:tcPr>
          <w:p w:rsidR="00BB7CBA" w:rsidRPr="00BB7CBA" w:rsidRDefault="00BB7CBA" w:rsidP="00BB7CBA">
            <w:r>
              <w:t xml:space="preserve">The AER should define a benchmark efficient entity as </w:t>
            </w:r>
            <w:r w:rsidRPr="00BB7CBA">
              <w:t>unregulated rather than regulated.</w:t>
            </w:r>
            <w:r w:rsidRPr="00BB7CBA">
              <w:rPr>
                <w:rStyle w:val="FootnoteReference"/>
              </w:rPr>
              <w:footnoteReference w:id="1236"/>
            </w:r>
          </w:p>
          <w:p w:rsidR="00BB7CBA" w:rsidRPr="00BB7CBA" w:rsidRDefault="00BB7CBA" w:rsidP="00BB7CBA">
            <w:r>
              <w:t xml:space="preserve">An unregulated benchmark efficient entity is consistent with the intent of the law to </w:t>
            </w:r>
            <w:r w:rsidRPr="00BB7CBA">
              <w:t xml:space="preserve">replicate workably competitive market outcomes. </w:t>
            </w:r>
          </w:p>
        </w:tc>
        <w:tc>
          <w:tcPr>
            <w:tcW w:w="5891" w:type="dxa"/>
          </w:tcPr>
          <w:p w:rsidR="00BB7CBA" w:rsidRPr="00BB7CBA" w:rsidRDefault="00BB7CBA" w:rsidP="00BB7CBA">
            <w:r>
              <w:t>Section 3.3 of the rate of return attachment discusses why we consider that defining a benchmark efficient entity as regulated is required to give effect to the rules and the NEL/NGL.</w:t>
            </w:r>
          </w:p>
          <w:p w:rsidR="00BB7CBA" w:rsidRPr="00BB7CBA" w:rsidRDefault="00BB7CBA" w:rsidP="00BB7CBA">
            <w:r>
              <w:t>S</w:t>
            </w:r>
            <w:r w:rsidRPr="00BB7CBA">
              <w:t>eeking to replicate the outcomes of a workably competitive market does not require defining a benchmark efficient entity as unregulated. Rather, it requires that we replicate the efficiency outcomes that we would expect under a workably competitive market (and the resul</w:t>
            </w:r>
            <w:r w:rsidR="00BA7AE7">
              <w:t>ting prices and service levels)</w:t>
            </w:r>
            <w:r w:rsidRPr="00BB7CBA">
              <w:t>.</w:t>
            </w:r>
            <w:r w:rsidRPr="00BB7CBA">
              <w:rPr>
                <w:rStyle w:val="FootnoteReference"/>
              </w:rPr>
              <w:footnoteReference w:id="1237"/>
            </w:r>
          </w:p>
          <w:p w:rsidR="00BB7CBA" w:rsidRPr="00BB7CBA" w:rsidRDefault="00BB7CBA" w:rsidP="00BB7CBA">
            <w:r>
              <w:t>We consider our approach preferable for achieving efficiency outcomes expected in a workably competitive market</w:t>
            </w:r>
            <w:r w:rsidRPr="00BB7CBA">
              <w:t>. We consider our approach will promote productive efficiency because it is not expected to over- or under-compensate a benchmark efficient entity for its efficient cost of debt capital. This should also reduce regulatory uncertainty. We consider our approach will promote dynamic efficiency as we have designed our full transition so that methodological changes do not affect the value of the investment. This allows the investment to be appropriately valued to avoid directing excessive or insufficient resources towards network investment. Similarly, this promotes allocative efficiency by avoiding greater or fewer consumer resources being directed towards network investment than what consumers are willing to pay (thus maximises social welfare and allocative efficiency).</w:t>
            </w:r>
          </w:p>
        </w:tc>
      </w:tr>
      <w:tr w:rsidR="00BB7CBA" w:rsidTr="00166FC9">
        <w:trPr>
          <w:cnfStyle w:val="000000010000" w:firstRow="0" w:lastRow="0" w:firstColumn="0" w:lastColumn="0" w:oddVBand="0" w:evenVBand="0" w:oddHBand="0" w:evenHBand="1" w:firstRowFirstColumn="0" w:firstRowLastColumn="0" w:lastRowFirstColumn="0" w:lastRowLastColumn="0"/>
        </w:trPr>
        <w:tc>
          <w:tcPr>
            <w:tcW w:w="2802" w:type="dxa"/>
          </w:tcPr>
          <w:p w:rsidR="00BB7CBA" w:rsidRPr="00BB7CBA" w:rsidRDefault="00BB7CBA" w:rsidP="00BB7CBA">
            <w:r w:rsidRPr="00327CCF">
              <w:t>Efficient financing costs are properly identified by reference to financing practices that would be adopted in workably competitive markets</w:t>
            </w:r>
            <w:r w:rsidRPr="00BB7CBA">
              <w:t>.</w:t>
            </w:r>
            <w:r w:rsidRPr="00BB7CBA">
              <w:rPr>
                <w:rStyle w:val="FootnoteReference"/>
              </w:rPr>
              <w:footnoteReference w:id="1238"/>
            </w:r>
          </w:p>
        </w:tc>
        <w:tc>
          <w:tcPr>
            <w:tcW w:w="5891" w:type="dxa"/>
          </w:tcPr>
          <w:p w:rsidR="00BB7CBA" w:rsidRPr="00BB7CBA" w:rsidRDefault="00BB7CBA" w:rsidP="00BB7CBA">
            <w:r w:rsidRPr="00327CCF">
              <w:t xml:space="preserve">We do not consider a benchmark efficient entity's </w:t>
            </w:r>
            <w:r w:rsidR="00626B5D">
              <w:t xml:space="preserve">past </w:t>
            </w:r>
            <w:r w:rsidRPr="00327CCF">
              <w:t>financing practices determine its efficient financing costs</w:t>
            </w:r>
            <w:r w:rsidR="00626B5D">
              <w:t xml:space="preserve"> (although </w:t>
            </w:r>
            <w:r w:rsidR="00DE3CBD">
              <w:t>we note</w:t>
            </w:r>
            <w:r w:rsidR="00626B5D">
              <w:t xml:space="preserve"> we benchmark current </w:t>
            </w:r>
            <w:r w:rsidR="0026394E">
              <w:t>gearing,</w:t>
            </w:r>
            <w:r w:rsidR="00626B5D">
              <w:t xml:space="preserve"> credit rating  and debt term</w:t>
            </w:r>
            <w:r w:rsidR="00E35076">
              <w:t xml:space="preserve"> at issuance</w:t>
            </w:r>
            <w:r w:rsidR="00626B5D">
              <w:t xml:space="preserve"> in determining</w:t>
            </w:r>
            <w:r w:rsidR="00DE3CBD">
              <w:t xml:space="preserve"> a</w:t>
            </w:r>
            <w:r w:rsidR="00626B5D">
              <w:t xml:space="preserve"> </w:t>
            </w:r>
            <w:r w:rsidR="00DE3CBD" w:rsidRPr="00DE3CBD">
              <w:t xml:space="preserve">benchmark efficient entity's </w:t>
            </w:r>
            <w:r w:rsidR="00626B5D">
              <w:t xml:space="preserve">ex ante efficient </w:t>
            </w:r>
            <w:r w:rsidR="0026394E">
              <w:t xml:space="preserve">allowed </w:t>
            </w:r>
            <w:r w:rsidR="00536B64">
              <w:t>return</w:t>
            </w:r>
            <w:r w:rsidR="0026394E">
              <w:t xml:space="preserve"> on debt</w:t>
            </w:r>
            <w:r w:rsidR="00626B5D">
              <w:t>)</w:t>
            </w:r>
            <w:r w:rsidRPr="00327CCF">
              <w:t>. Rather, we consider achieving the ARORO requires a benchmark efficient entity be ex-ante appropriately compensated for its efficient financing costs in present value terms, where efficient financing costs are based on prevailing market rates</w:t>
            </w:r>
            <w:r w:rsidRPr="00BB7CBA">
              <w:t xml:space="preserve"> (see section </w:t>
            </w:r>
            <w:r w:rsidRPr="00BB7CBA">
              <w:fldChar w:fldCharType="begin"/>
            </w:r>
            <w:r w:rsidRPr="00BB7CBA">
              <w:instrText xml:space="preserve"> REF _Ref446603900 \r \h </w:instrText>
            </w:r>
            <w:r w:rsidRPr="00BB7CBA">
              <w:fldChar w:fldCharType="separate"/>
            </w:r>
            <w:r w:rsidR="001A023B">
              <w:t>H.2.1</w:t>
            </w:r>
            <w:r w:rsidRPr="00BB7CBA">
              <w:fldChar w:fldCharType="end"/>
            </w:r>
            <w:r w:rsidRPr="00BB7CBA">
              <w:t>). However, we consider what may be a reasonable benchmark efficient financing practice (under a given regulatory approach) in having regard to the likelihood of an ex-post mismatch between a benchmark efficient entity's actual debt costs and the regulatory debt allowance (as the rules require). We discuss this in more detail below under 'Proposals for a hybrid approach based on partial hedging'.</w:t>
            </w:r>
          </w:p>
          <w:p w:rsidR="00BB7CBA" w:rsidRPr="00BB7CBA" w:rsidRDefault="00BB7CBA" w:rsidP="00BB7CBA">
            <w:r>
              <w:t xml:space="preserve">We note that Partington and Satchell also advise against </w:t>
            </w:r>
            <w:r w:rsidRPr="00BB7CBA">
              <w:t>interpreting the efficient financing costs as relating to some assumed financing strategy. They state a number of reasons to support their view, including that what constitutes a benchmark efficient financing practice is ambiguous.</w:t>
            </w:r>
            <w:r w:rsidRPr="00BB7CBA">
              <w:rPr>
                <w:rStyle w:val="FootnoteReference"/>
              </w:rPr>
              <w:footnoteReference w:id="1239"/>
            </w:r>
          </w:p>
        </w:tc>
      </w:tr>
    </w:tbl>
    <w:p w:rsidR="00BB7CBA" w:rsidRPr="00032CB4" w:rsidRDefault="00BB7CBA" w:rsidP="00BB7CBA">
      <w:pPr>
        <w:pStyle w:val="AERtablesource"/>
      </w:pPr>
      <w:r>
        <w:t>Source:</w:t>
      </w:r>
      <w:r>
        <w:tab/>
        <w:t>AER analysis, service providers' revised proposals and supporting material.</w:t>
      </w:r>
    </w:p>
    <w:p w:rsidR="00BB7CBA" w:rsidRPr="008B2981" w:rsidRDefault="00BB7CBA" w:rsidP="00BB7CBA">
      <w:pPr>
        <w:pStyle w:val="HeadingBoldBlue"/>
      </w:pPr>
      <w:r w:rsidRPr="008B2981">
        <w:t>Proposals for a hybrid approach based on</w:t>
      </w:r>
      <w:r>
        <w:t xml:space="preserve"> partial</w:t>
      </w:r>
      <w:r w:rsidRPr="008B2981">
        <w:t xml:space="preserve"> hedging </w:t>
      </w:r>
    </w:p>
    <w:p w:rsidR="00BB7CBA" w:rsidRDefault="00BB7CBA" w:rsidP="00BB7CBA">
      <w:r>
        <w:t>Several service providers submitted that if we do not accept their first preference to adopt an immediate transition, we</w:t>
      </w:r>
      <w:r w:rsidRPr="00FA259F">
        <w:t xml:space="preserve"> should apply a hybrid transition based on the assumption that a benchmark efficient entity would only hedge one third of the base rate.</w:t>
      </w:r>
      <w:r>
        <w:rPr>
          <w:rStyle w:val="FootnoteReference"/>
        </w:rPr>
        <w:footnoteReference w:id="1240"/>
      </w:r>
      <w:r>
        <w:t xml:space="preserve"> In expressing this preference, these service providers assume it would have been optimal for a benchmark efficient entity to hedge one third (rather than 100 per cent) of the base rate under the on-the-day approach.</w:t>
      </w:r>
      <w:r>
        <w:rPr>
          <w:rStyle w:val="FootnoteReference"/>
        </w:rPr>
        <w:footnoteReference w:id="1241"/>
      </w:r>
    </w:p>
    <w:p w:rsidR="00BB7CBA" w:rsidRDefault="00BB7CBA" w:rsidP="00BB7CBA">
      <w:r>
        <w:t>Under</w:t>
      </w:r>
      <w:r w:rsidRPr="003F0287">
        <w:t xml:space="preserve"> the on-the-day regime, there are multiple ways that service providers could finance their debt whilst still having a reasonable opportunity to recover at least efficient costs over the life of their assets. While hedging interest rate risk should not change a service provider's ability to recover at least efficient costs ex-ante, it affects its ability to recover its actual </w:t>
      </w:r>
      <w:r>
        <w:t>(</w:t>
      </w:r>
      <w:r w:rsidRPr="003F0287">
        <w:t>historic</w:t>
      </w:r>
      <w:r>
        <w:t>al)</w:t>
      </w:r>
      <w:r w:rsidRPr="003F0287">
        <w:t xml:space="preserve"> cost over any given regulatory period. We do not base our reasons for a </w:t>
      </w:r>
      <w:r>
        <w:t>full</w:t>
      </w:r>
      <w:r w:rsidRPr="003F0287">
        <w:t xml:space="preserve"> transition on actual (historical) debt costs or </w:t>
      </w:r>
      <w:r>
        <w:t xml:space="preserve">debt financing (or </w:t>
      </w:r>
      <w:r w:rsidRPr="003F0287">
        <w:t>hedging</w:t>
      </w:r>
      <w:r>
        <w:t>)</w:t>
      </w:r>
      <w:r w:rsidRPr="003F0287">
        <w:t xml:space="preserve"> practices</w:t>
      </w:r>
      <w:r>
        <w:t xml:space="preserve"> because we are operating under an ex-ante regulatory regime rather than a cost of service model (see </w:t>
      </w:r>
      <w:r>
        <w:fldChar w:fldCharType="begin"/>
      </w:r>
      <w:r>
        <w:instrText xml:space="preserve"> REF  _Ref447807493 \* Lower \h </w:instrText>
      </w:r>
      <w:r>
        <w:fldChar w:fldCharType="separate"/>
      </w:r>
      <w:r w:rsidR="001A023B">
        <w:t xml:space="preserve">table </w:t>
      </w:r>
      <w:r w:rsidR="001A023B">
        <w:rPr>
          <w:noProof/>
        </w:rPr>
        <w:t>3</w:t>
      </w:r>
      <w:r w:rsidR="001A023B">
        <w:noBreakHyphen/>
      </w:r>
      <w:r w:rsidR="001A023B">
        <w:rPr>
          <w:noProof/>
        </w:rPr>
        <w:t>41</w:t>
      </w:r>
      <w:r>
        <w:fldChar w:fldCharType="end"/>
      </w:r>
      <w:r>
        <w:t xml:space="preserve"> above)</w:t>
      </w:r>
      <w:r w:rsidRPr="003F0287">
        <w:t>.</w:t>
      </w:r>
    </w:p>
    <w:p w:rsidR="00BB7CBA" w:rsidRPr="003F0287" w:rsidRDefault="00BB7CBA" w:rsidP="00BB7CBA">
      <w:r>
        <w:t>Nevertheless, we reviewed the service providers' submissions and CEG's 2016 report in detail.</w:t>
      </w:r>
      <w:r w:rsidRPr="003F0287">
        <w:t xml:space="preserve"> We are not satisfied it is reasonable to assume (in isolation) the benchmark efficient financing strategy under the on-the-day approach involved hedging only one third of the base rate.</w:t>
      </w:r>
    </w:p>
    <w:p w:rsidR="00BB7CBA" w:rsidRDefault="00BB7CBA" w:rsidP="00BB7CBA">
      <w:r>
        <w:t>First, o</w:t>
      </w:r>
      <w:r w:rsidRPr="003F0287">
        <w:t>bserved practices of regulated energy network firms appear more consistent wit</w:t>
      </w:r>
      <w:r>
        <w:t>h a benchmark assumption of 100 per cent</w:t>
      </w:r>
      <w:r w:rsidRPr="003F0287">
        <w:t xml:space="preserve"> </w:t>
      </w:r>
      <w:r>
        <w:t>hedging than one third hedging (</w:t>
      </w:r>
      <w:r w:rsidRPr="003F0287">
        <w:t>of the base rate). For example, in the 2009 WACC review, we observed that Treasurers' statements and Macquarie Research indicated that typically businesses hedged the base interest rate risk for nearly 100 per cent of their debt portfolios at the time of the regulatory reset.</w:t>
      </w:r>
      <w:r w:rsidRPr="003F0287">
        <w:rPr>
          <w:rStyle w:val="FootnoteReference"/>
        </w:rPr>
        <w:footnoteReference w:id="1242"/>
      </w:r>
      <w:r w:rsidRPr="003F0287">
        <w:t xml:space="preserve"> More recently, we collected return on debt data from a number of regulated energy network service providers. This data corroborated our findings from the 2009 WACC review.</w:t>
      </w:r>
      <w:r w:rsidRPr="003F0287">
        <w:rPr>
          <w:rStyle w:val="FootnoteReference"/>
        </w:rPr>
        <w:footnoteReference w:id="1243"/>
      </w:r>
      <w:r w:rsidRPr="003F0287">
        <w:t xml:space="preserve"> Recent annual reports</w:t>
      </w:r>
      <w:r>
        <w:t xml:space="preserve"> also</w:t>
      </w:r>
      <w:r w:rsidRPr="003F0287">
        <w:t xml:space="preserve"> show similar findings.</w:t>
      </w:r>
      <w:r w:rsidRPr="003F0287">
        <w:rPr>
          <w:rStyle w:val="FootnoteReference"/>
        </w:rPr>
        <w:footnoteReference w:id="1244"/>
      </w:r>
      <w:r w:rsidRPr="003F0287">
        <w:t xml:space="preserve"> </w:t>
      </w:r>
    </w:p>
    <w:p w:rsidR="00BB7CBA" w:rsidRDefault="00BB7CBA" w:rsidP="00BB7CBA">
      <w:r>
        <w:t>Second, we consider p</w:t>
      </w:r>
      <w:r w:rsidRPr="009B427E">
        <w:t xml:space="preserve">roposals to depart from specific aspects of </w:t>
      </w:r>
      <w:r>
        <w:t>our preferred benchmark efficient financing practices s</w:t>
      </w:r>
      <w:r w:rsidRPr="009B427E">
        <w:t>hould not be viewed in isolation.</w:t>
      </w:r>
      <w:r>
        <w:t xml:space="preserve"> CEG has assessed in isolation a more complex hedging strategy (of one third of the base rate) without regard to the other simplifications associated with our preferred benchmark efficient financing practice under the on-the-day approach. We are not satisfied that CEG's analysis shows our benchmark efficient financing practice under the on-the-day approach as a whole is unreasonable. CEG has not analysed the other simplifications we have employed in forming our view, and has not demonstrated that a more complex benchmark efficient financing practice (overall) leads to a materially preferable outcome. On the other hand, in forming its view that our proposed benchmark efficient financing practice is appropriate, Chairmont assessed a range of variations to this financing practice, including variations in hedging, term, and timing and type of debt issuance.</w:t>
      </w:r>
      <w:r>
        <w:rPr>
          <w:rStyle w:val="FootnoteReference"/>
        </w:rPr>
        <w:footnoteReference w:id="1245"/>
      </w:r>
    </w:p>
    <w:p w:rsidR="00BB7CBA" w:rsidRDefault="00BB7CBA" w:rsidP="00BB7CBA">
      <w:r>
        <w:t>Third, we responded to submissions supporting an optimal hedging ratio of less than one third (including CEG's June 2015 report) in our recent decisions, based on advice from Lally and Chairmont.</w:t>
      </w:r>
      <w:r>
        <w:rPr>
          <w:rStyle w:val="FootnoteReference"/>
        </w:rPr>
        <w:footnoteReference w:id="1246"/>
      </w:r>
      <w:r>
        <w:t xml:space="preserve"> CEG has responded to Lally and Chairmont's advice in its most recent (2016) report. However, our reasons for a gradual transition in this decision are not based on the actual debt financing and/or hedging practices of service providers (efficient or not). Further, we consider the reasoning provided above is sufficient to show that 100 per cent hedging (of the base rate) is a reasonable benchmark. Therefore, we have not commissioned further advice from them in response to CEG's 2016 report. </w:t>
      </w:r>
    </w:p>
    <w:p w:rsidR="00BB7CBA" w:rsidRDefault="00BB7CBA" w:rsidP="00BB7CBA">
      <w:r>
        <w:t xml:space="preserve">Further, we do not consider an on-the-day approach would require compensation for swap transaction costs. Several service providers currently under assessment proposed to add an allowance for swap </w:t>
      </w:r>
      <w:r w:rsidRPr="00B873D6">
        <w:t xml:space="preserve">transaction costs </w:t>
      </w:r>
      <w:r>
        <w:t>to their return on debt each year if a hybrid transition (full or partial) is used.</w:t>
      </w:r>
      <w:r>
        <w:rPr>
          <w:rStyle w:val="FootnoteReference"/>
        </w:rPr>
        <w:footnoteReference w:id="1247"/>
      </w:r>
      <w:r>
        <w:t xml:space="preserve"> This is in line with CEG's advice (or references to Chairmont).</w:t>
      </w:r>
      <w:r>
        <w:rPr>
          <w:rStyle w:val="FootnoteReference"/>
        </w:rPr>
        <w:footnoteReference w:id="1248"/>
      </w:r>
      <w:r>
        <w:t xml:space="preserve"> We note that service providers request this allowance if we apply a hybrid transition to a trailing average.</w:t>
      </w:r>
      <w:r>
        <w:rPr>
          <w:rStyle w:val="FootnoteReference"/>
        </w:rPr>
        <w:footnoteReference w:id="1249"/>
      </w:r>
      <w:r>
        <w:t xml:space="preserve"> We maintain our view from our recent decisions.</w:t>
      </w:r>
      <w:r>
        <w:rPr>
          <w:rStyle w:val="FootnoteReference"/>
        </w:rPr>
        <w:footnoteReference w:id="1250"/>
      </w:r>
      <w:r>
        <w:t xml:space="preserve"> That is:</w:t>
      </w:r>
    </w:p>
    <w:p w:rsidR="00BB7CBA" w:rsidRPr="00BB7CBA" w:rsidRDefault="00BB7CBA" w:rsidP="00BB7CBA">
      <w:pPr>
        <w:pStyle w:val="AERbulletlistfirststyle"/>
      </w:pPr>
      <w:r>
        <w:t xml:space="preserve">We </w:t>
      </w:r>
      <w:r w:rsidRPr="00BB7CBA">
        <w:t>are not satisfied that customers should pay for the service providers' reduction in interest rate risk that results from hedging. CEG disputed our reference to a NERA report supporting this view because it considered the reference is only relevant under the old rules. CEG considered the current rules require a benchmark efficient entity to be compensated for the costs associated with its debt financing strategy.</w:t>
      </w:r>
      <w:r w:rsidRPr="00BB7CBA">
        <w:rPr>
          <w:rStyle w:val="FootnoteReference"/>
        </w:rPr>
        <w:footnoteReference w:id="1251"/>
      </w:r>
      <w:r w:rsidRPr="00BB7CBA">
        <w:t xml:space="preserve"> We disagree. We consider a rate of return that meets the ARORO must provide for ex-ante efficient compensation (see section </w:t>
      </w:r>
      <w:r w:rsidRPr="00BB7CBA">
        <w:fldChar w:fldCharType="begin"/>
      </w:r>
      <w:r w:rsidRPr="00BB7CBA">
        <w:instrText xml:space="preserve"> REF _Ref444778432 \r \h </w:instrText>
      </w:r>
      <w:r w:rsidRPr="00BB7CBA">
        <w:fldChar w:fldCharType="separate"/>
      </w:r>
      <w:r w:rsidR="001A023B">
        <w:t>H.2</w:t>
      </w:r>
      <w:r w:rsidRPr="00BB7CBA">
        <w:fldChar w:fldCharType="end"/>
      </w:r>
      <w:r w:rsidRPr="00BB7CBA">
        <w:t>), and this view does not invalidate our reference to the NERA report.</w:t>
      </w:r>
    </w:p>
    <w:p w:rsidR="00BB7CBA" w:rsidRPr="00BB7CBA" w:rsidRDefault="00BB7CBA" w:rsidP="00BB7CBA">
      <w:pPr>
        <w:pStyle w:val="AERbulletlistfirststyle"/>
      </w:pPr>
      <w:r>
        <w:t>Similarly, Partington and Satchell do not consider the transaction costs of hedging to be part of the efficient financing costs of a benchmark efficient entity that should be compensated for through the return on debt allowance. They consider hedging is a choice and firms will rationally choose to</w:t>
      </w:r>
      <w:r w:rsidRPr="00BB7CBA">
        <w:t xml:space="preserve"> hedge when the benefits outweigh the costs, stating that this 'suggests the costs are covered by the value enhancement that results'.</w:t>
      </w:r>
      <w:r w:rsidRPr="00BB7CBA">
        <w:rPr>
          <w:rStyle w:val="FootnoteReference"/>
        </w:rPr>
        <w:footnoteReference w:id="1252"/>
      </w:r>
    </w:p>
    <w:p w:rsidR="00643E3A" w:rsidRDefault="00BB7CBA" w:rsidP="00BB7CBA">
      <w:pPr>
        <w:pStyle w:val="AERbulletlistfirststyle"/>
      </w:pPr>
      <w:r>
        <w:t xml:space="preserve">We agree with </w:t>
      </w:r>
      <w:r w:rsidRPr="001F445F">
        <w:t>Lally</w:t>
      </w:r>
      <w:r>
        <w:t>'s</w:t>
      </w:r>
      <w:r w:rsidRPr="001F445F">
        <w:t xml:space="preserve"> </w:t>
      </w:r>
      <w:r>
        <w:t>advice</w:t>
      </w:r>
      <w:r w:rsidRPr="001F445F">
        <w:t xml:space="preserve"> </w:t>
      </w:r>
      <w:r>
        <w:t xml:space="preserve">that </w:t>
      </w:r>
      <w:r w:rsidRPr="001F445F">
        <w:t xml:space="preserve">hedging would have been self-funding because the saving in converting 10 year debt into </w:t>
      </w:r>
      <w:r>
        <w:t>five</w:t>
      </w:r>
      <w:r w:rsidRPr="001F445F">
        <w:t xml:space="preserve"> year debt would have offset the cost of the hedge.</w:t>
      </w:r>
      <w:r>
        <w:t xml:space="preserve"> Moreover, there is wide support for the view that interest rates on longer-term debt securities are often higher than those on shorter-term debt securities.</w:t>
      </w:r>
      <w:r>
        <w:rPr>
          <w:rStyle w:val="FootnoteReference"/>
        </w:rPr>
        <w:footnoteReference w:id="1253"/>
      </w:r>
      <w:r>
        <w:t xml:space="preserve"> Therefore, even if we are incorrect in assuming hedging costs do not need compensation, we have effectively provided an allowance for these costs by using a ten year term on the base rate.</w:t>
      </w:r>
    </w:p>
    <w:p w:rsidR="00643E3A" w:rsidRDefault="00643E3A" w:rsidP="00643E3A">
      <w:pPr>
        <w:pStyle w:val="Heading7"/>
      </w:pPr>
      <w:bookmarkStart w:id="279" w:name="_Ref451328082"/>
      <w:bookmarkStart w:id="280" w:name="_Toc451945518"/>
      <w:r>
        <w:t>Return on debt implementation</w:t>
      </w:r>
      <w:bookmarkEnd w:id="279"/>
      <w:bookmarkEnd w:id="280"/>
    </w:p>
    <w:p w:rsidR="00F861B4" w:rsidRDefault="00F861B4" w:rsidP="00F861B4">
      <w:r>
        <w:t>This section sets out our detailed analysis of the key issues raised by stakeholders relating to the implementation of the return on debt approach. The analysis is set out in the following sections:</w:t>
      </w:r>
    </w:p>
    <w:p w:rsidR="00F861B4" w:rsidRPr="00F861B4" w:rsidRDefault="00F861B4" w:rsidP="00F861B4">
      <w:pPr>
        <w:pStyle w:val="AERbulletlistfirststyle"/>
      </w:pPr>
      <w:r>
        <w:t>the Thomson Reuters curve</w:t>
      </w:r>
    </w:p>
    <w:p w:rsidR="00F861B4" w:rsidRPr="00F861B4" w:rsidRDefault="00F861B4" w:rsidP="00F861B4">
      <w:pPr>
        <w:pStyle w:val="AERbulletlistfirststyle"/>
      </w:pPr>
      <w:r>
        <w:t>new criticisms of the BVAL curve</w:t>
      </w:r>
    </w:p>
    <w:p w:rsidR="00F861B4" w:rsidRDefault="00F861B4" w:rsidP="00F861B4">
      <w:pPr>
        <w:pStyle w:val="AERbulletlistsecondstyle"/>
      </w:pPr>
      <w:r>
        <w:t>comparative movement of yield estimates</w:t>
      </w:r>
    </w:p>
    <w:p w:rsidR="00F861B4" w:rsidRDefault="00F861B4" w:rsidP="00F861B4">
      <w:pPr>
        <w:pStyle w:val="AERbulletlistsecondstyle"/>
      </w:pPr>
      <w:r>
        <w:t>the Asciano bond</w:t>
      </w:r>
    </w:p>
    <w:p w:rsidR="00F861B4" w:rsidRDefault="00F861B4" w:rsidP="00F861B4">
      <w:pPr>
        <w:pStyle w:val="AERbulletlistsecondstyle"/>
      </w:pPr>
      <w:r>
        <w:t>CEG's analysis of sample size</w:t>
      </w:r>
    </w:p>
    <w:p w:rsidR="00F861B4" w:rsidRPr="00A47C51" w:rsidRDefault="00F861B4" w:rsidP="00F861B4">
      <w:pPr>
        <w:pStyle w:val="AERbulletlistsecondstyle"/>
      </w:pPr>
      <w:r>
        <w:t>CEG's analysis of foreign bonds</w:t>
      </w:r>
    </w:p>
    <w:p w:rsidR="00F861B4" w:rsidRPr="00F861B4" w:rsidRDefault="00F861B4" w:rsidP="00F861B4">
      <w:pPr>
        <w:pStyle w:val="AERbulletlistfirststyle"/>
      </w:pPr>
      <w:r>
        <w:t>other issues</w:t>
      </w:r>
    </w:p>
    <w:p w:rsidR="00F861B4" w:rsidRDefault="00F861B4" w:rsidP="00F861B4">
      <w:pPr>
        <w:pStyle w:val="AERbulletlistsecondstyle"/>
      </w:pPr>
      <w:r>
        <w:t>CEG's new criteria and weightings</w:t>
      </w:r>
    </w:p>
    <w:p w:rsidR="00F861B4" w:rsidRDefault="00F861B4" w:rsidP="00F861B4">
      <w:pPr>
        <w:pStyle w:val="AERbulletlistsecondstyle"/>
      </w:pPr>
      <w:r>
        <w:t>analysis of mean squared error (MSE).</w:t>
      </w:r>
    </w:p>
    <w:p w:rsidR="00F861B4" w:rsidRPr="00F861B4" w:rsidRDefault="00F861B4" w:rsidP="00F861B4">
      <w:pPr>
        <w:pStyle w:val="AERbulletlistfirststyle"/>
      </w:pPr>
      <w:r>
        <w:t>a</w:t>
      </w:r>
      <w:r w:rsidRPr="00F861B4">
        <w:t>veraging periods</w:t>
      </w:r>
    </w:p>
    <w:p w:rsidR="00A32947" w:rsidRPr="00A32947" w:rsidRDefault="00A32947" w:rsidP="00A32947">
      <w:r w:rsidRPr="00A32947">
        <w:t xml:space="preserve">Overall, we consider that much of this analysis indicates the shortcomings of annual testing or re-evaluation of the choice of data series at each decision stage. Much of the new analysis submitted prior to this decision is based on ex-post analysis of the performance of yield curves over a short averaging period. In contrast, we require service providers to specify averaging periods ahead of time because this avoids the introduction of bias into the analysis that can arise where the outcome of the choice is already known. Especially where this analysis is highly qualitative, we are not satisfied that this process can be automatically implemented by application of a formula. </w:t>
      </w:r>
    </w:p>
    <w:p w:rsidR="00A32947" w:rsidRPr="00A32947" w:rsidRDefault="00A32947" w:rsidP="00A32947">
      <w:r w:rsidRPr="00A32947">
        <w:t>Importantly, we must be satisfied that the approach that we adopt will continue to contribute to estimates which achieve the allowed rate of return objective for each annual update over the five year regulatory period. For this reason, we consider it is most critical that the approach we adopt is reasonable and fit for purpose over an extended period. At any points in time, it is possible that one curve or the other will better reflect the costs of the benchmark entity. However, for the reasons set out in this and previous decisions, we are not satisfied that there is a robust means to quantitatively identify which of the curves this is using the information currently before us. For this reason, our detailed analysis and expert advice focused on the underlying characteristics of the curve, their fitness for purpose, and their representativeness of the benchmark efficient entity. Having done so, we remain satisfied that a simple average of the BVAL and RBA curves will contribute to an estimate that achieves the allowed rate of return objective.</w:t>
      </w:r>
    </w:p>
    <w:p w:rsidR="00A32947" w:rsidRPr="00A32947" w:rsidRDefault="00A32947" w:rsidP="00BB7AE6">
      <w:pPr>
        <w:pStyle w:val="Heading8"/>
        <w:keepNext/>
        <w:numPr>
          <w:ilvl w:val="1"/>
          <w:numId w:val="34"/>
        </w:numPr>
      </w:pPr>
      <w:bookmarkStart w:id="281" w:name="_Toc449624775"/>
      <w:bookmarkStart w:id="282" w:name="_Toc451945519"/>
      <w:r w:rsidRPr="00A32947">
        <w:t>The Thomson Reuters curve</w:t>
      </w:r>
      <w:bookmarkEnd w:id="281"/>
      <w:bookmarkEnd w:id="282"/>
    </w:p>
    <w:p w:rsidR="00A32947" w:rsidRPr="00A32947" w:rsidRDefault="00A32947" w:rsidP="00BB7AE6">
      <w:pPr>
        <w:keepNext/>
      </w:pPr>
      <w:r w:rsidRPr="00A32947">
        <w:t>Our final decision is not to adopt the Thomson Reuters Curve for the following reasons:</w:t>
      </w:r>
    </w:p>
    <w:p w:rsidR="00A32947" w:rsidRPr="00A32947" w:rsidRDefault="00A32947" w:rsidP="00BB7AE6">
      <w:pPr>
        <w:pStyle w:val="AERbulletlistfirststyle"/>
        <w:keepNext/>
      </w:pPr>
      <w:r w:rsidRPr="00A32947">
        <w:t>The Thomson Reuters curve was proposed for the first time in this revised proposal. This results in two distinct problems:</w:t>
      </w:r>
    </w:p>
    <w:p w:rsidR="00A32947" w:rsidRPr="00A32947" w:rsidRDefault="00A32947" w:rsidP="00A32947">
      <w:pPr>
        <w:pStyle w:val="AERbulletlistsecondstyle"/>
      </w:pPr>
      <w:r w:rsidRPr="00A32947">
        <w:t>we have insufficient time to properly assess and consult on the Reuters curve. We discuss this in attachment 3.</w:t>
      </w:r>
    </w:p>
    <w:p w:rsidR="00A32947" w:rsidRPr="00A32947" w:rsidRDefault="00A32947" w:rsidP="00A32947">
      <w:pPr>
        <w:pStyle w:val="AERbulletlistsecondstyle"/>
      </w:pPr>
      <w:r w:rsidRPr="00A32947">
        <w:t>at the time the service providers departed from their initial proposals, their averaging periods had either elapsed, were underway, or were about to commence. We are therefore not satisfied that the proposal is unbiased.</w:t>
      </w:r>
    </w:p>
    <w:p w:rsidR="00A32947" w:rsidRPr="00A32947" w:rsidRDefault="00A32947" w:rsidP="00A32947">
      <w:pPr>
        <w:pStyle w:val="AERbulletlistfirststyle"/>
      </w:pPr>
      <w:r w:rsidRPr="00A32947">
        <w:t>From the limited assessment of the Thomson Reuters curve that we have been able to undertake in the time available, both the underlying characteristics and outcomes of the bond appear to be immaterially different from the existing combination. Therefore, even if the Thomson Reuters curve is fit for purpose, we are not persuaded that an approach which does not include this curve would fail to achieve the allowed rate of return objective.  In these circumstances, we do not consider the information that has been submitted to us demonstrates that use of the Reuters curve would lead to a materially preferable NEO decision.</w:t>
      </w:r>
    </w:p>
    <w:p w:rsidR="00A32947" w:rsidRPr="00A32947" w:rsidRDefault="00A32947" w:rsidP="00A32947">
      <w:r w:rsidRPr="00A32947">
        <w:t xml:space="preserve">Nonetheless, we are open to further consideration of the Thomson Reuters curve in future determinations following a proper period of consultation. </w:t>
      </w:r>
    </w:p>
    <w:p w:rsidR="00A32947" w:rsidRPr="00A32947" w:rsidRDefault="00A32947" w:rsidP="00A32947">
      <w:pPr>
        <w:pStyle w:val="Heading9"/>
      </w:pPr>
      <w:bookmarkStart w:id="283" w:name="_Toc449624776"/>
      <w:r w:rsidRPr="00A32947">
        <w:t>Timing of proposal</w:t>
      </w:r>
      <w:bookmarkEnd w:id="283"/>
    </w:p>
    <w:p w:rsidR="00A32947" w:rsidRPr="00A32947" w:rsidRDefault="00A32947" w:rsidP="00A32947">
      <w:r w:rsidRPr="00A32947">
        <w:t>The Thomson Reuters curve was submitted for consideration for the first time in the revised proposals. This left minimal time to run a robust process of analysis and consultation on the Thomson Reuters curve prior to publication of the final decisions. The process of assessing the Bloomberg and RBA curves took several stages of consultation between April 2014 until their use in a final decision in April 2015.</w:t>
      </w:r>
      <w:r w:rsidRPr="00A32947">
        <w:rPr>
          <w:rStyle w:val="FootnoteReference"/>
        </w:rPr>
        <w:footnoteReference w:id="1254"/>
      </w:r>
      <w:r w:rsidRPr="00A32947">
        <w:t xml:space="preserve"> This multi-stage process allowed detailed analysis from third party experts, as well as submissions from all affected stakeholders. In contrast, the service providers' proposal to adopt the Reuters curve allows significantly less time for analysis and consultation.</w:t>
      </w:r>
      <w:r w:rsidRPr="00A32947">
        <w:rPr>
          <w:rStyle w:val="FootnoteReference"/>
        </w:rPr>
        <w:footnoteReference w:id="1255"/>
      </w:r>
      <w:r w:rsidRPr="00A32947">
        <w:t xml:space="preserve"> Due to the uncertainty involved in ‘locking in’ a curve to generate estimates annually over the 5 year regulatory period, this consultation and analysis is critical in satisfying ourselves that the approach will achieve the rate of return objective. This notwithstanding, we have corresponded with Thompson Reuters and have assessed the curve to the fullest extent possible.</w:t>
      </w:r>
    </w:p>
    <w:p w:rsidR="00A32947" w:rsidRPr="00A32947" w:rsidRDefault="00A32947" w:rsidP="00A32947">
      <w:r w:rsidRPr="00A32947">
        <w:t>In addition, of the service providers that proposed to adopt the Reuters curve, their nominated averaging periods had either elapsed, commenced, or were scheduled to commence shortly after the submission of the revised proposal. This can give rise to bias. It is for this reason that we only accept averaging periods specified ahead of time.</w:t>
      </w:r>
    </w:p>
    <w:p w:rsidR="00A32947" w:rsidRPr="00A32947" w:rsidRDefault="00A32947" w:rsidP="00A32947">
      <w:r w:rsidRPr="00A32947">
        <w:t xml:space="preserve">In their initial proposals, all of the Victorian distribution service providers proposed to adopt a combination of the RBA and BVAL curves in some form.  For the service providers now proposing to include the Thomson Reuters curve in estimates, </w:t>
      </w:r>
      <w:r w:rsidR="00E54EAE">
        <w:fldChar w:fldCharType="begin"/>
      </w:r>
      <w:r w:rsidR="00E54EAE">
        <w:instrText xml:space="preserve"> REF _Ref444852894 \h </w:instrText>
      </w:r>
      <w:r w:rsidR="00E54EAE">
        <w:fldChar w:fldCharType="separate"/>
      </w:r>
      <w:r w:rsidR="001A023B" w:rsidRPr="00A32947">
        <w:t xml:space="preserve">Figure </w:t>
      </w:r>
      <w:r w:rsidR="001A023B">
        <w:rPr>
          <w:noProof/>
        </w:rPr>
        <w:t>3</w:t>
      </w:r>
      <w:r w:rsidR="001A023B">
        <w:noBreakHyphen/>
      </w:r>
      <w:r w:rsidR="001A023B">
        <w:rPr>
          <w:noProof/>
        </w:rPr>
        <w:t>19</w:t>
      </w:r>
      <w:r w:rsidR="00E54EAE">
        <w:fldChar w:fldCharType="end"/>
      </w:r>
      <w:r w:rsidRPr="00A32947">
        <w:t xml:space="preserve">illustrates the timing of proposals and averaging periods compared to the results produced by the curve options. </w:t>
      </w:r>
    </w:p>
    <w:p w:rsidR="00A32947" w:rsidRPr="00A32947" w:rsidRDefault="00A32947" w:rsidP="00A32947">
      <w:pPr>
        <w:pStyle w:val="Caption"/>
      </w:pPr>
      <w:bookmarkStart w:id="284" w:name="_Ref444852894"/>
      <w:r w:rsidRPr="00A32947">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19</w:t>
      </w:r>
      <w:r w:rsidR="00120312">
        <w:rPr>
          <w:noProof/>
        </w:rPr>
        <w:fldChar w:fldCharType="end"/>
      </w:r>
      <w:bookmarkEnd w:id="284"/>
      <w:r w:rsidRPr="00A32947">
        <w:tab/>
        <w:t>Thomson Reuters compared to the AER's approach</w:t>
      </w:r>
    </w:p>
    <w:p w:rsidR="00A32947" w:rsidRPr="00A32947" w:rsidRDefault="00A32947" w:rsidP="00A32947">
      <w:r w:rsidRPr="00A32947">
        <w:rPr>
          <w:noProof/>
          <w:lang w:eastAsia="en-AU"/>
        </w:rPr>
        <w:drawing>
          <wp:inline distT="0" distB="0" distL="0" distR="0" wp14:anchorId="4D78AFAC" wp14:editId="29F82670">
            <wp:extent cx="5401310" cy="406019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1310" cy="4060190"/>
                    </a:xfrm>
                    <a:prstGeom prst="rect">
                      <a:avLst/>
                    </a:prstGeom>
                    <a:noFill/>
                  </pic:spPr>
                </pic:pic>
              </a:graphicData>
            </a:graphic>
          </wp:inline>
        </w:drawing>
      </w:r>
    </w:p>
    <w:p w:rsidR="00A32947" w:rsidRPr="00A32947" w:rsidRDefault="00A32947" w:rsidP="00A32947">
      <w:pPr>
        <w:pStyle w:val="AERtablesource"/>
      </w:pPr>
      <w:r w:rsidRPr="00A32947">
        <w:t>Source:</w:t>
      </w:r>
      <w:r w:rsidRPr="00A32947">
        <w:tab/>
        <w:t>CEG, AER analysis</w:t>
      </w:r>
    </w:p>
    <w:p w:rsidR="00A32947" w:rsidRPr="00A32947" w:rsidRDefault="00A32947" w:rsidP="00A32947">
      <w:pPr>
        <w:pStyle w:val="AERtablesource"/>
      </w:pPr>
      <w:r w:rsidRPr="00A32947">
        <w:t>Note:</w:t>
      </w:r>
      <w:r w:rsidRPr="00A32947">
        <w:tab/>
        <w:t>The vertical line indicates the date on which revised proposals were submitted.</w:t>
      </w:r>
    </w:p>
    <w:p w:rsidR="00A32947" w:rsidRPr="00A32947" w:rsidRDefault="00A32947" w:rsidP="00A32947">
      <w:r w:rsidRPr="00A32947">
        <w:t xml:space="preserve">When the revised proposals were submitted, the Thomson Reuters curve had recently diverged from the AER combination to produce materially higher results. At this time, the service providers could have either calculated precisely or had reasonable expectations that including the Reuters curve in addition to or instead of the BVAL and RBA curves would result in higher revenue over their averaging periods. However, from its initial publication (May 2015) until October 2015, and since mid-January 2016, the Reuters curve has tracked very closely with the AER combination. </w:t>
      </w:r>
    </w:p>
    <w:p w:rsidR="00A32947" w:rsidRPr="00A32947" w:rsidRDefault="00A32947" w:rsidP="00A32947">
      <w:r w:rsidRPr="00A32947">
        <w:t>In contrast, service providers would have had little or no incentive to depart from their initial proposals if the Thomson Reuters curve had generated lower results than the existing combination. As at April 2015, CEG recommended adopting an average of the RBA and BVAL curves extrapolated using the AER method for the historical period from 2005–06 to 2013–14.</w:t>
      </w:r>
      <w:r w:rsidRPr="00A32947">
        <w:rPr>
          <w:rStyle w:val="FootnoteReference"/>
        </w:rPr>
        <w:footnoteReference w:id="1256"/>
      </w:r>
    </w:p>
    <w:p w:rsidR="00A32947" w:rsidRPr="00A32947" w:rsidRDefault="00A32947" w:rsidP="00A32947">
      <w:r w:rsidRPr="00A32947">
        <w:t>Overall, we consider that using ex-post assessments of results in the service provider's actual averaging periods is likely to result in upwardly-biased decision making. We are not satisfied that a decision made on this basis would contribute to achievement of the allowed rate of return objective, or that it would appropriately reflect the revenue and pricing principles.</w:t>
      </w:r>
    </w:p>
    <w:p w:rsidR="00A32947" w:rsidRPr="00A32947" w:rsidRDefault="00A32947" w:rsidP="00A32947">
      <w:pPr>
        <w:pStyle w:val="Heading9"/>
      </w:pPr>
      <w:bookmarkStart w:id="285" w:name="_Toc449624777"/>
      <w:r w:rsidRPr="00A32947">
        <w:t>Limited assessment of the Thomson Reuters curve</w:t>
      </w:r>
      <w:bookmarkEnd w:id="285"/>
    </w:p>
    <w:p w:rsidR="00A32947" w:rsidRPr="00A32947" w:rsidRDefault="00A32947" w:rsidP="00A32947">
      <w:r w:rsidRPr="00A32947">
        <w:t>We have not reached a definitive view on whether use of the Thomson Reuters curve would contribute to an estimate that achieves the allowed rate of return objective. However, based on our analysis, we consider the impact of including or excluding the Thomson Reuters curve appears to be of limited materiality except over a historical period of two months. Our analysis is set out in the following sections:</w:t>
      </w:r>
    </w:p>
    <w:p w:rsidR="00A32947" w:rsidRPr="00A32947" w:rsidRDefault="00A32947" w:rsidP="00A32947">
      <w:pPr>
        <w:pStyle w:val="AERbulletlistfirststyle"/>
      </w:pPr>
      <w:r w:rsidRPr="00A32947">
        <w:t>comparison of yield curve characteristics</w:t>
      </w:r>
    </w:p>
    <w:p w:rsidR="00A32947" w:rsidRPr="00A32947" w:rsidRDefault="00A32947" w:rsidP="00A32947">
      <w:pPr>
        <w:pStyle w:val="AERbulletlistfirststyle"/>
      </w:pPr>
      <w:r w:rsidRPr="00A32947">
        <w:t>comparison of outcomes</w:t>
      </w:r>
    </w:p>
    <w:p w:rsidR="00A32947" w:rsidRPr="00A32947" w:rsidRDefault="00A32947" w:rsidP="00A32947">
      <w:pPr>
        <w:pStyle w:val="HeadingBoldBlue"/>
      </w:pPr>
      <w:r w:rsidRPr="00A32947">
        <w:t>Comparison of yield curve characteristics</w:t>
      </w:r>
    </w:p>
    <w:p w:rsidR="00EC3019" w:rsidRPr="00EC3019" w:rsidRDefault="00EC3019" w:rsidP="00EC3019">
      <w:r w:rsidRPr="00EC3019">
        <w:t>To assist in our assessment of the Thomson Reuters curve, we sought further information from Thomson Reuters,</w:t>
      </w:r>
      <w:r w:rsidRPr="00EC3019">
        <w:rPr>
          <w:rStyle w:val="FootnoteReference"/>
        </w:rPr>
        <w:footnoteReference w:id="1257"/>
      </w:r>
      <w:r w:rsidRPr="00EC3019">
        <w:t xml:space="preserve"> and from CEG.</w:t>
      </w:r>
      <w:r w:rsidRPr="00EC3019">
        <w:rPr>
          <w:rStyle w:val="FootnoteReference"/>
        </w:rPr>
        <w:footnoteReference w:id="1258"/>
      </w:r>
      <w:r w:rsidRPr="00EC3019">
        <w:t xml:space="preserve"> Thomson Reuters advised that some data filtering aspects of the bond selection criteria are discretionary and therefore proprietary. However, they indicated that:</w:t>
      </w:r>
    </w:p>
    <w:p w:rsidR="00A32947" w:rsidRPr="00A32947" w:rsidRDefault="00A32947" w:rsidP="00A32947">
      <w:pPr>
        <w:pStyle w:val="AERbulletlistfirststyle"/>
      </w:pPr>
      <w:r w:rsidRPr="00A32947">
        <w:t>the curve fitting methodology is a 'basis spline' model</w:t>
      </w:r>
      <w:r w:rsidR="00EC3019">
        <w:t>.</w:t>
      </w:r>
      <w:r w:rsidRPr="00A32947">
        <w:t xml:space="preserve"> </w:t>
      </w:r>
    </w:p>
    <w:p w:rsidR="00A32947" w:rsidRPr="00A32947" w:rsidRDefault="00A32947" w:rsidP="00A32947">
      <w:pPr>
        <w:pStyle w:val="AERbulletlistfirststyle"/>
      </w:pPr>
      <w:r w:rsidRPr="00A32947">
        <w:t>the bond selection criteria includes the following characteristics:</w:t>
      </w:r>
    </w:p>
    <w:p w:rsidR="00A32947" w:rsidRPr="00A32947" w:rsidRDefault="00A32947" w:rsidP="00A32947">
      <w:pPr>
        <w:pStyle w:val="AERbulletlistsecondstyle"/>
      </w:pPr>
      <w:r w:rsidRPr="00A32947">
        <w:t>only fixed-rate (ie no floating) senior unsecured bonds</w:t>
      </w:r>
    </w:p>
    <w:p w:rsidR="00A32947" w:rsidRPr="00A32947" w:rsidRDefault="00A32947" w:rsidP="00A32947">
      <w:pPr>
        <w:pStyle w:val="AERbulletlistsecondstyle"/>
      </w:pPr>
      <w:r w:rsidRPr="00A32947">
        <w:t>no bonds with embedded options</w:t>
      </w:r>
    </w:p>
    <w:p w:rsidR="00A32947" w:rsidRPr="00A32947" w:rsidRDefault="00A32947" w:rsidP="00A32947">
      <w:pPr>
        <w:pStyle w:val="AERbulletlistsecondstyle"/>
      </w:pPr>
      <w:r w:rsidRPr="00A32947">
        <w:t>Thomson Reuters specifically avoids including bonds issued in other markets because it requires strong assumptions to generate meaningful comparative pricing data.</w:t>
      </w:r>
    </w:p>
    <w:p w:rsidR="00A32947" w:rsidRPr="00A32947" w:rsidRDefault="00A32947" w:rsidP="00A32947">
      <w:pPr>
        <w:pStyle w:val="AERbulletlistsecondstyle"/>
      </w:pPr>
      <w:r w:rsidRPr="00A32947">
        <w:t>Thomson Reuters removes outliers from the bond universe based on a fairly straightforward standard deviation style filter in comparison to the universe of bonds in term/rating ‘buckets’.</w:t>
      </w:r>
    </w:p>
    <w:p w:rsidR="00A32947" w:rsidRPr="00A32947" w:rsidRDefault="00A32947" w:rsidP="00A32947">
      <w:pPr>
        <w:pStyle w:val="AERbulletlistsecondstyle"/>
      </w:pPr>
      <w:r w:rsidRPr="00A32947">
        <w:fldChar w:fldCharType="begin"/>
      </w:r>
      <w:r w:rsidRPr="00A32947">
        <w:instrText xml:space="preserve"> REF _Ref450900503 \h </w:instrText>
      </w:r>
      <w:r w:rsidRPr="00A32947">
        <w:fldChar w:fldCharType="separate"/>
      </w:r>
      <w:r w:rsidR="001A023B" w:rsidRPr="00A32947">
        <w:t xml:space="preserve">Table </w:t>
      </w:r>
      <w:r w:rsidR="001A023B">
        <w:rPr>
          <w:noProof/>
        </w:rPr>
        <w:t>3</w:t>
      </w:r>
      <w:r w:rsidR="001A023B">
        <w:noBreakHyphen/>
      </w:r>
      <w:r w:rsidR="001A023B">
        <w:rPr>
          <w:noProof/>
        </w:rPr>
        <w:t>42</w:t>
      </w:r>
      <w:r w:rsidRPr="00A32947">
        <w:fldChar w:fldCharType="end"/>
      </w:r>
      <w:r w:rsidRPr="00A32947">
        <w:t>, below, sets out the comparable characteristics in the three data series. Overall, we note that BVAL and Thomson Reuters have both chosen to exclude bonds with embedded options and bonds issued in other currencies. This appears to enhance the data quality and comparability of bonds within the sample at the expense of sample size. For the reasons set out in this and previous decisions, we are not persuaded that either the RBA or the BVAL selection criteria are clearly superior. However, the Thomson Reuters bond selection criteria appear to be only incrementally different from the BVAL selection criteria.</w:t>
      </w:r>
    </w:p>
    <w:p w:rsidR="00A32947" w:rsidRPr="00A32947" w:rsidRDefault="00A32947" w:rsidP="00A32947">
      <w:pPr>
        <w:pStyle w:val="Caption"/>
      </w:pPr>
      <w:bookmarkStart w:id="286" w:name="_Ref450900503"/>
      <w:r w:rsidRPr="00A32947">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42</w:t>
      </w:r>
      <w:r w:rsidR="00120312">
        <w:rPr>
          <w:noProof/>
        </w:rPr>
        <w:fldChar w:fldCharType="end"/>
      </w:r>
      <w:bookmarkEnd w:id="286"/>
      <w:r w:rsidRPr="00A32947">
        <w:tab/>
        <w:t>Comparison of known bond selection criteria</w:t>
      </w:r>
    </w:p>
    <w:tbl>
      <w:tblPr>
        <w:tblStyle w:val="AERtable-text1"/>
        <w:tblW w:w="0" w:type="auto"/>
        <w:tblInd w:w="0" w:type="dxa"/>
        <w:tblLook w:val="04A0" w:firstRow="1" w:lastRow="0" w:firstColumn="1" w:lastColumn="0" w:noHBand="0" w:noVBand="1"/>
      </w:tblPr>
      <w:tblGrid>
        <w:gridCol w:w="2173"/>
        <w:gridCol w:w="2173"/>
        <w:gridCol w:w="2173"/>
        <w:gridCol w:w="2174"/>
      </w:tblGrid>
      <w:tr w:rsidR="00A32947" w:rsidTr="007505A3">
        <w:trPr>
          <w:cnfStyle w:val="100000000000" w:firstRow="1" w:lastRow="0" w:firstColumn="0" w:lastColumn="0" w:oddVBand="0" w:evenVBand="0" w:oddHBand="0" w:evenHBand="0" w:firstRowFirstColumn="0" w:firstRowLastColumn="0" w:lastRowFirstColumn="0" w:lastRowLastColumn="0"/>
        </w:trPr>
        <w:tc>
          <w:tcPr>
            <w:tcW w:w="2173" w:type="dxa"/>
          </w:tcPr>
          <w:p w:rsidR="00A32947" w:rsidRPr="00A32947" w:rsidRDefault="00A32947" w:rsidP="00A32947">
            <w:r w:rsidRPr="00A32947">
              <w:t>Criteria</w:t>
            </w:r>
          </w:p>
        </w:tc>
        <w:tc>
          <w:tcPr>
            <w:tcW w:w="2173" w:type="dxa"/>
          </w:tcPr>
          <w:p w:rsidR="00A32947" w:rsidRPr="00A32947" w:rsidRDefault="00A32947" w:rsidP="00A32947">
            <w:r w:rsidRPr="00A32947">
              <w:t>RBA</w:t>
            </w:r>
          </w:p>
        </w:tc>
        <w:tc>
          <w:tcPr>
            <w:tcW w:w="2173" w:type="dxa"/>
          </w:tcPr>
          <w:p w:rsidR="00A32947" w:rsidRPr="00A32947" w:rsidRDefault="00A32947" w:rsidP="00A32947">
            <w:r w:rsidRPr="00A32947">
              <w:t>BVAL</w:t>
            </w:r>
          </w:p>
        </w:tc>
        <w:tc>
          <w:tcPr>
            <w:tcW w:w="2174" w:type="dxa"/>
          </w:tcPr>
          <w:p w:rsidR="00A32947" w:rsidRPr="00A32947" w:rsidRDefault="00A32947" w:rsidP="00A32947">
            <w:r w:rsidRPr="00A32947">
              <w:t>Thomson Reuters</w:t>
            </w:r>
          </w:p>
        </w:tc>
      </w:tr>
      <w:tr w:rsidR="00A32947" w:rsidTr="007505A3">
        <w:tc>
          <w:tcPr>
            <w:tcW w:w="2173" w:type="dxa"/>
          </w:tcPr>
          <w:p w:rsidR="00A32947" w:rsidRPr="00A32947" w:rsidRDefault="00A32947" w:rsidP="00A32947">
            <w:r w:rsidRPr="00A32947">
              <w:t>Size of issue/quality of pricing data</w:t>
            </w:r>
          </w:p>
        </w:tc>
        <w:tc>
          <w:tcPr>
            <w:tcW w:w="2173" w:type="dxa"/>
          </w:tcPr>
          <w:p w:rsidR="00A32947" w:rsidRPr="00A32947" w:rsidRDefault="00A32947" w:rsidP="00A32947">
            <w:r w:rsidRPr="00A32947">
              <w:t>At least A$100 million (or equivalent) and at least one year remaining term to maturity</w:t>
            </w:r>
          </w:p>
        </w:tc>
        <w:tc>
          <w:tcPr>
            <w:tcW w:w="2173" w:type="dxa"/>
          </w:tcPr>
          <w:p w:rsidR="00A32947" w:rsidRPr="00A32947" w:rsidRDefault="00A32947" w:rsidP="00A32947">
            <w:r w:rsidRPr="00A32947">
              <w:t>BVAL score of 6 or higher , and at least two months remaining term to maturity</w:t>
            </w:r>
          </w:p>
        </w:tc>
        <w:tc>
          <w:tcPr>
            <w:tcW w:w="2174" w:type="dxa"/>
          </w:tcPr>
          <w:p w:rsidR="00A32947" w:rsidRPr="00A32947" w:rsidRDefault="00A32947" w:rsidP="00A32947">
            <w:r w:rsidRPr="00A32947">
              <w:t xml:space="preserve">Simple outlier-style filter, in addition to other discretionary filtering. </w:t>
            </w:r>
          </w:p>
        </w:tc>
      </w:tr>
      <w:tr w:rsidR="00A32947" w:rsidTr="007505A3">
        <w:trPr>
          <w:cnfStyle w:val="000000010000" w:firstRow="0" w:lastRow="0" w:firstColumn="0" w:lastColumn="0" w:oddVBand="0" w:evenVBand="0" w:oddHBand="0" w:evenHBand="1" w:firstRowFirstColumn="0" w:firstRowLastColumn="0" w:lastRowFirstColumn="0" w:lastRowLastColumn="0"/>
        </w:trPr>
        <w:tc>
          <w:tcPr>
            <w:tcW w:w="2173" w:type="dxa"/>
          </w:tcPr>
          <w:p w:rsidR="00A32947" w:rsidRPr="00A32947" w:rsidRDefault="00A32947" w:rsidP="00A32947">
            <w:r w:rsidRPr="00A32947">
              <w:t>Secured/unsecured</w:t>
            </w:r>
          </w:p>
        </w:tc>
        <w:tc>
          <w:tcPr>
            <w:tcW w:w="2173" w:type="dxa"/>
          </w:tcPr>
          <w:p w:rsidR="00A32947" w:rsidRPr="00A32947" w:rsidRDefault="00A32947" w:rsidP="00A32947">
            <w:r w:rsidRPr="00A32947">
              <w:t>Both secured and unsecured bonds</w:t>
            </w:r>
          </w:p>
        </w:tc>
        <w:tc>
          <w:tcPr>
            <w:tcW w:w="2173" w:type="dxa"/>
          </w:tcPr>
          <w:p w:rsidR="00A32947" w:rsidRPr="00A32947" w:rsidRDefault="00A32947" w:rsidP="00A32947">
            <w:r w:rsidRPr="00A32947">
              <w:t>Unsecured senior bonds only</w:t>
            </w:r>
          </w:p>
        </w:tc>
        <w:tc>
          <w:tcPr>
            <w:tcW w:w="2174" w:type="dxa"/>
          </w:tcPr>
          <w:p w:rsidR="00A32947" w:rsidRPr="00A32947" w:rsidRDefault="00A32947" w:rsidP="00A32947">
            <w:r w:rsidRPr="00A32947">
              <w:t>Unsecured senior bonds only</w:t>
            </w:r>
          </w:p>
        </w:tc>
      </w:tr>
      <w:tr w:rsidR="00A32947" w:rsidTr="007505A3">
        <w:tc>
          <w:tcPr>
            <w:tcW w:w="2173" w:type="dxa"/>
          </w:tcPr>
          <w:p w:rsidR="00A32947" w:rsidRPr="00A32947" w:rsidRDefault="00A32947" w:rsidP="00A32947">
            <w:r w:rsidRPr="00A32947">
              <w:t>Embedded options</w:t>
            </w:r>
          </w:p>
        </w:tc>
        <w:tc>
          <w:tcPr>
            <w:tcW w:w="2173" w:type="dxa"/>
          </w:tcPr>
          <w:p w:rsidR="00A32947" w:rsidRPr="00A32947" w:rsidRDefault="00A32947" w:rsidP="00A32947">
            <w:r w:rsidRPr="00A32947">
              <w:t>Includes bonds with embedded options</w:t>
            </w:r>
          </w:p>
        </w:tc>
        <w:tc>
          <w:tcPr>
            <w:tcW w:w="2173" w:type="dxa"/>
          </w:tcPr>
          <w:p w:rsidR="00A32947" w:rsidRPr="00A32947" w:rsidRDefault="00A32947" w:rsidP="00A32947">
            <w:r w:rsidRPr="00A32947">
              <w:t>Excludes bonds with embedded options</w:t>
            </w:r>
          </w:p>
        </w:tc>
        <w:tc>
          <w:tcPr>
            <w:tcW w:w="2174" w:type="dxa"/>
          </w:tcPr>
          <w:p w:rsidR="00A32947" w:rsidRPr="00A32947" w:rsidRDefault="00A32947" w:rsidP="00A32947">
            <w:r w:rsidRPr="00A32947">
              <w:t>Excludes bonds with embedded options</w:t>
            </w:r>
          </w:p>
        </w:tc>
      </w:tr>
      <w:tr w:rsidR="00A32947" w:rsidTr="007505A3">
        <w:trPr>
          <w:cnfStyle w:val="000000010000" w:firstRow="0" w:lastRow="0" w:firstColumn="0" w:lastColumn="0" w:oddVBand="0" w:evenVBand="0" w:oddHBand="0" w:evenHBand="1" w:firstRowFirstColumn="0" w:firstRowLastColumn="0" w:lastRowFirstColumn="0" w:lastRowLastColumn="0"/>
        </w:trPr>
        <w:tc>
          <w:tcPr>
            <w:tcW w:w="2173" w:type="dxa"/>
          </w:tcPr>
          <w:p w:rsidR="00A32947" w:rsidRPr="00A32947" w:rsidRDefault="00A32947" w:rsidP="00A32947">
            <w:r w:rsidRPr="00A32947">
              <w:t>Currency of issue</w:t>
            </w:r>
          </w:p>
        </w:tc>
        <w:tc>
          <w:tcPr>
            <w:tcW w:w="2173" w:type="dxa"/>
          </w:tcPr>
          <w:p w:rsidR="00A32947" w:rsidRPr="00A32947" w:rsidRDefault="00A32947" w:rsidP="00A32947">
            <w:r w:rsidRPr="00A32947">
              <w:t>AUD, EU, USD</w:t>
            </w:r>
          </w:p>
        </w:tc>
        <w:tc>
          <w:tcPr>
            <w:tcW w:w="2173" w:type="dxa"/>
          </w:tcPr>
          <w:p w:rsidR="00A32947" w:rsidRPr="00A32947" w:rsidRDefault="00A32947" w:rsidP="00A32947">
            <w:r w:rsidRPr="00A32947">
              <w:t>AUD only</w:t>
            </w:r>
          </w:p>
        </w:tc>
        <w:tc>
          <w:tcPr>
            <w:tcW w:w="2174" w:type="dxa"/>
          </w:tcPr>
          <w:p w:rsidR="00A32947" w:rsidRPr="00A32947" w:rsidRDefault="00A32947" w:rsidP="00A32947">
            <w:r w:rsidRPr="00A32947">
              <w:t>AUD only</w:t>
            </w:r>
          </w:p>
        </w:tc>
      </w:tr>
    </w:tbl>
    <w:p w:rsidR="00A32947" w:rsidRPr="00A32947" w:rsidRDefault="00A32947" w:rsidP="00A32947">
      <w:pPr>
        <w:pStyle w:val="AERtablesource"/>
      </w:pPr>
      <w:r w:rsidRPr="00A32947">
        <w:t>Source:</w:t>
      </w:r>
      <w:r w:rsidRPr="00A32947">
        <w:tab/>
        <w:t>RBA, BVAL, Thomson Reuters.</w:t>
      </w:r>
    </w:p>
    <w:p w:rsidR="00A32947" w:rsidRPr="00A32947" w:rsidRDefault="00A32947" w:rsidP="00A32947">
      <w:pPr>
        <w:pStyle w:val="HeadingBoldBlue"/>
      </w:pPr>
      <w:r w:rsidRPr="00A32947">
        <w:t>Comparison of outcomes</w:t>
      </w:r>
    </w:p>
    <w:p w:rsidR="00A32947" w:rsidRDefault="00A32947" w:rsidP="00A32947">
      <w:r w:rsidRPr="00A32947">
        <w:t xml:space="preserve">Since publication of the 10 year Thomson Reuters yield estimate, it appears to produce results that are comparable to the existing combination, except for a temporary and material divergence over November and December 2015. This is illustrated in </w:t>
      </w:r>
      <w:r w:rsidR="002512D4">
        <w:fldChar w:fldCharType="begin"/>
      </w:r>
      <w:r w:rsidR="002512D4">
        <w:instrText xml:space="preserve"> REF _Ref451605882 \h </w:instrText>
      </w:r>
      <w:r w:rsidR="002512D4">
        <w:fldChar w:fldCharType="separate"/>
      </w:r>
      <w:r w:rsidR="001A023B">
        <w:t xml:space="preserve">Figure </w:t>
      </w:r>
      <w:r w:rsidR="001A023B">
        <w:rPr>
          <w:noProof/>
        </w:rPr>
        <w:t>3</w:t>
      </w:r>
      <w:r w:rsidR="001A023B">
        <w:noBreakHyphen/>
      </w:r>
      <w:r w:rsidR="001A023B">
        <w:rPr>
          <w:noProof/>
        </w:rPr>
        <w:t>20</w:t>
      </w:r>
      <w:r w:rsidR="002512D4">
        <w:fldChar w:fldCharType="end"/>
      </w:r>
      <w:r w:rsidR="002512D4">
        <w:t>.</w:t>
      </w:r>
    </w:p>
    <w:p w:rsidR="002512D4" w:rsidRPr="00A32947" w:rsidRDefault="002512D4" w:rsidP="002512D4">
      <w:pPr>
        <w:pStyle w:val="Caption"/>
      </w:pPr>
      <w:bookmarkStart w:id="287" w:name="_Ref451605882"/>
      <w:r>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noBreakHyphen/>
      </w:r>
      <w:r w:rsidR="00120312">
        <w:fldChar w:fldCharType="begin"/>
      </w:r>
      <w:r w:rsidR="00120312">
        <w:instrText xml:space="preserve"> SEQ Figure \* ARABIC \s 1 </w:instrText>
      </w:r>
      <w:r w:rsidR="00120312">
        <w:fldChar w:fldCharType="separate"/>
      </w:r>
      <w:r w:rsidR="001A023B">
        <w:rPr>
          <w:noProof/>
        </w:rPr>
        <w:t>20</w:t>
      </w:r>
      <w:r w:rsidR="00120312">
        <w:rPr>
          <w:noProof/>
        </w:rPr>
        <w:fldChar w:fldCharType="end"/>
      </w:r>
      <w:bookmarkEnd w:id="287"/>
      <w:r>
        <w:tab/>
      </w:r>
      <w:r w:rsidRPr="002512D4">
        <w:t>Comparison of Thomson Reuters 10 year estimate against the AER approach</w:t>
      </w:r>
    </w:p>
    <w:p w:rsidR="00A32947" w:rsidRPr="00A32947" w:rsidRDefault="00A32947" w:rsidP="00A32947">
      <w:r w:rsidRPr="00A32947">
        <w:rPr>
          <w:noProof/>
          <w:lang w:eastAsia="en-AU"/>
        </w:rPr>
        <w:drawing>
          <wp:inline distT="0" distB="0" distL="0" distR="0" wp14:anchorId="4543AF5A" wp14:editId="50AAF23A">
            <wp:extent cx="5401310" cy="3596640"/>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inline>
        </w:drawing>
      </w:r>
    </w:p>
    <w:p w:rsidR="00A32947" w:rsidRPr="00A32947" w:rsidRDefault="00A32947" w:rsidP="00A32947">
      <w:pPr>
        <w:pStyle w:val="AERtablesource"/>
      </w:pPr>
      <w:r w:rsidRPr="00A32947">
        <w:t>Source:</w:t>
      </w:r>
      <w:r w:rsidRPr="00A32947">
        <w:tab/>
        <w:t>AER analysis, RBA, Bloomberg, Thompson Reuters.</w:t>
      </w:r>
    </w:p>
    <w:p w:rsidR="00A32947" w:rsidRPr="00A32947" w:rsidRDefault="00A32947" w:rsidP="00A32947">
      <w:r w:rsidRPr="00A32947">
        <w:t xml:space="preserve">As at November 2016 the Thomson Reuters curve rose above the existing curves. However, from May 2015 until that time, and since February 2016, it has produced results that are very close to the existing combination. This does not imply these curves will continue to produce similar results. Further, we consider that analysis of the yield curve's underlying characteristics is the most informative means of evaluating the curves. </w:t>
      </w:r>
    </w:p>
    <w:p w:rsidR="00A32947" w:rsidRPr="00A32947" w:rsidRDefault="00A32947" w:rsidP="00A32947">
      <w:r w:rsidRPr="00A32947">
        <w:t>Nonetheless, CEG has relied on comparative analysis of yields in support of adopting the Thomson Reuters curve.</w:t>
      </w:r>
      <w:r w:rsidRPr="00A32947">
        <w:rPr>
          <w:rStyle w:val="FootnoteReference"/>
        </w:rPr>
        <w:footnoteReference w:id="1259"/>
      </w:r>
      <w:r w:rsidRPr="00A32947">
        <w:t xml:space="preserve"> To the extent that a comparison of outcomes is informative, we are not satisfied that there is sufficient evidence the addition of a third curve would, in expectation, have any more than incremental impact on the outcomes of our current approach. </w:t>
      </w:r>
      <w:r w:rsidRPr="00A32947">
        <w:fldChar w:fldCharType="begin"/>
      </w:r>
      <w:r w:rsidRPr="00A32947">
        <w:instrText xml:space="preserve"> REF _Ref450900734 \h </w:instrText>
      </w:r>
      <w:r w:rsidRPr="00A32947">
        <w:fldChar w:fldCharType="separate"/>
      </w:r>
      <w:r w:rsidR="001A023B" w:rsidRPr="00A32947">
        <w:t xml:space="preserve">Table </w:t>
      </w:r>
      <w:r w:rsidR="001A023B">
        <w:rPr>
          <w:noProof/>
        </w:rPr>
        <w:t>3</w:t>
      </w:r>
      <w:r w:rsidR="001A023B">
        <w:noBreakHyphen/>
      </w:r>
      <w:r w:rsidR="001A023B">
        <w:rPr>
          <w:noProof/>
        </w:rPr>
        <w:t>43</w:t>
      </w:r>
      <w:r w:rsidRPr="00A32947">
        <w:fldChar w:fldCharType="end"/>
      </w:r>
      <w:r w:rsidRPr="00A32947">
        <w:t xml:space="preserve"> illustrates that over the full period for which the Thomson Reuters 10 year estimate has been published, the difference between the Thomson Reuters curve and the existing combination is 9 basis points. Excluding the two month divergence within an eleven month sample, the difference is only 2 basis points. </w:t>
      </w:r>
    </w:p>
    <w:p w:rsidR="00A32947" w:rsidRPr="00A32947" w:rsidRDefault="00A32947" w:rsidP="00A32947">
      <w:pPr>
        <w:pStyle w:val="Caption"/>
      </w:pPr>
      <w:bookmarkStart w:id="288" w:name="_Ref450900734"/>
      <w:r w:rsidRPr="00A32947">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43</w:t>
      </w:r>
      <w:r w:rsidR="00120312">
        <w:rPr>
          <w:noProof/>
        </w:rPr>
        <w:fldChar w:fldCharType="end"/>
      </w:r>
      <w:bookmarkEnd w:id="288"/>
      <w:r w:rsidRPr="00A32947">
        <w:tab/>
        <w:t>Comparison of Thomson Reuters 10 year estimate against the AER approach</w:t>
      </w:r>
    </w:p>
    <w:tbl>
      <w:tblPr>
        <w:tblStyle w:val="AERtable-numbers"/>
        <w:tblW w:w="0" w:type="auto"/>
        <w:tblLook w:val="04A0" w:firstRow="1" w:lastRow="0" w:firstColumn="1" w:lastColumn="0" w:noHBand="0" w:noVBand="1"/>
      </w:tblPr>
      <w:tblGrid>
        <w:gridCol w:w="2339"/>
        <w:gridCol w:w="2118"/>
        <w:gridCol w:w="2118"/>
        <w:gridCol w:w="2118"/>
      </w:tblGrid>
      <w:tr w:rsidR="00A32947" w:rsidTr="00750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rsidR="00A32947" w:rsidRPr="00A32947" w:rsidRDefault="00A32947" w:rsidP="00A32947">
            <w:r w:rsidRPr="00A32947">
              <w:t>Time period</w:t>
            </w:r>
          </w:p>
        </w:tc>
        <w:tc>
          <w:tcPr>
            <w:tcW w:w="2118" w:type="dxa"/>
          </w:tcPr>
          <w:p w:rsidR="00A32947" w:rsidRPr="00A32947" w:rsidRDefault="00A32947" w:rsidP="00A32947">
            <w:pPr>
              <w:cnfStyle w:val="100000000000" w:firstRow="1" w:lastRow="0" w:firstColumn="0" w:lastColumn="0" w:oddVBand="0" w:evenVBand="0" w:oddHBand="0" w:evenHBand="0" w:firstRowFirstColumn="0" w:firstRowLastColumn="0" w:lastRowFirstColumn="0" w:lastRowLastColumn="0"/>
            </w:pPr>
            <w:r w:rsidRPr="00A32947">
              <w:t>AER approach (BVAL and RBA)</w:t>
            </w:r>
          </w:p>
        </w:tc>
        <w:tc>
          <w:tcPr>
            <w:tcW w:w="2118" w:type="dxa"/>
          </w:tcPr>
          <w:p w:rsidR="00A32947" w:rsidRPr="00A32947" w:rsidRDefault="00A32947" w:rsidP="00A32947">
            <w:pPr>
              <w:cnfStyle w:val="100000000000" w:firstRow="1" w:lastRow="0" w:firstColumn="0" w:lastColumn="0" w:oddVBand="0" w:evenVBand="0" w:oddHBand="0" w:evenHBand="0" w:firstRowFirstColumn="0" w:firstRowLastColumn="0" w:lastRowFirstColumn="0" w:lastRowLastColumn="0"/>
            </w:pPr>
            <w:r w:rsidRPr="00A32947">
              <w:t>Reuters curve</w:t>
            </w:r>
          </w:p>
        </w:tc>
        <w:tc>
          <w:tcPr>
            <w:tcW w:w="2118" w:type="dxa"/>
          </w:tcPr>
          <w:p w:rsidR="00A32947" w:rsidRPr="00A32947" w:rsidRDefault="00A32947" w:rsidP="00A32947">
            <w:pPr>
              <w:cnfStyle w:val="100000000000" w:firstRow="1" w:lastRow="0" w:firstColumn="0" w:lastColumn="0" w:oddVBand="0" w:evenVBand="0" w:oddHBand="0" w:evenHBand="0" w:firstRowFirstColumn="0" w:firstRowLastColumn="0" w:lastRowFirstColumn="0" w:lastRowLastColumn="0"/>
            </w:pPr>
            <w:r w:rsidRPr="00A32947">
              <w:t>Difference</w:t>
            </w:r>
          </w:p>
        </w:tc>
      </w:tr>
      <w:tr w:rsidR="00A32947" w:rsidTr="007505A3">
        <w:tc>
          <w:tcPr>
            <w:cnfStyle w:val="001000000000" w:firstRow="0" w:lastRow="0" w:firstColumn="1" w:lastColumn="0" w:oddVBand="0" w:evenVBand="0" w:oddHBand="0" w:evenHBand="0" w:firstRowFirstColumn="0" w:firstRowLastColumn="0" w:lastRowFirstColumn="0" w:lastRowLastColumn="0"/>
            <w:tcW w:w="2339" w:type="dxa"/>
          </w:tcPr>
          <w:p w:rsidR="00A32947" w:rsidRPr="00A32947" w:rsidRDefault="00A32947" w:rsidP="00A32947">
            <w:r w:rsidRPr="00A32947">
              <w:t>Since Reuters publication</w:t>
            </w:r>
          </w:p>
        </w:tc>
        <w:tc>
          <w:tcPr>
            <w:tcW w:w="2118" w:type="dxa"/>
          </w:tcPr>
          <w:p w:rsidR="00A32947" w:rsidRPr="00A32947" w:rsidRDefault="00A32947" w:rsidP="00A32947">
            <w:pPr>
              <w:cnfStyle w:val="000000000000" w:firstRow="0" w:lastRow="0" w:firstColumn="0" w:lastColumn="0" w:oddVBand="0" w:evenVBand="0" w:oddHBand="0" w:evenHBand="0" w:firstRowFirstColumn="0" w:firstRowLastColumn="0" w:lastRowFirstColumn="0" w:lastRowLastColumn="0"/>
            </w:pPr>
            <w:r w:rsidRPr="00A32947">
              <w:t>5.39</w:t>
            </w:r>
          </w:p>
        </w:tc>
        <w:tc>
          <w:tcPr>
            <w:tcW w:w="2118" w:type="dxa"/>
          </w:tcPr>
          <w:p w:rsidR="00A32947" w:rsidRPr="00A32947" w:rsidRDefault="00A32947" w:rsidP="00A32947">
            <w:pPr>
              <w:cnfStyle w:val="000000000000" w:firstRow="0" w:lastRow="0" w:firstColumn="0" w:lastColumn="0" w:oddVBand="0" w:evenVBand="0" w:oddHBand="0" w:evenHBand="0" w:firstRowFirstColumn="0" w:firstRowLastColumn="0" w:lastRowFirstColumn="0" w:lastRowLastColumn="0"/>
            </w:pPr>
            <w:r w:rsidRPr="00A32947">
              <w:t>5.48</w:t>
            </w:r>
          </w:p>
        </w:tc>
        <w:tc>
          <w:tcPr>
            <w:tcW w:w="2118" w:type="dxa"/>
          </w:tcPr>
          <w:p w:rsidR="00A32947" w:rsidRPr="00A32947" w:rsidRDefault="00A32947" w:rsidP="00A32947">
            <w:pPr>
              <w:cnfStyle w:val="000000000000" w:firstRow="0" w:lastRow="0" w:firstColumn="0" w:lastColumn="0" w:oddVBand="0" w:evenVBand="0" w:oddHBand="0" w:evenHBand="0" w:firstRowFirstColumn="0" w:firstRowLastColumn="0" w:lastRowFirstColumn="0" w:lastRowLastColumn="0"/>
            </w:pPr>
            <w:r w:rsidRPr="00A32947">
              <w:t>9 basis points</w:t>
            </w:r>
          </w:p>
        </w:tc>
      </w:tr>
      <w:tr w:rsidR="00A32947" w:rsidTr="007505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rsidR="00A32947" w:rsidRPr="00A32947" w:rsidRDefault="00A32947" w:rsidP="00A32947">
            <w:r w:rsidRPr="00A32947">
              <w:t>Excluding November and December 2015</w:t>
            </w:r>
          </w:p>
        </w:tc>
        <w:tc>
          <w:tcPr>
            <w:tcW w:w="2118" w:type="dxa"/>
          </w:tcPr>
          <w:p w:rsidR="00A32947" w:rsidRPr="00A32947" w:rsidRDefault="00A32947" w:rsidP="00A32947">
            <w:pPr>
              <w:cnfStyle w:val="000000010000" w:firstRow="0" w:lastRow="0" w:firstColumn="0" w:lastColumn="0" w:oddVBand="0" w:evenVBand="0" w:oddHBand="0" w:evenHBand="1" w:firstRowFirstColumn="0" w:firstRowLastColumn="0" w:lastRowFirstColumn="0" w:lastRowLastColumn="0"/>
            </w:pPr>
            <w:r w:rsidRPr="00A32947">
              <w:t>5.31</w:t>
            </w:r>
          </w:p>
        </w:tc>
        <w:tc>
          <w:tcPr>
            <w:tcW w:w="2118" w:type="dxa"/>
          </w:tcPr>
          <w:p w:rsidR="00A32947" w:rsidRPr="00A32947" w:rsidRDefault="00A32947" w:rsidP="00A32947">
            <w:pPr>
              <w:cnfStyle w:val="000000010000" w:firstRow="0" w:lastRow="0" w:firstColumn="0" w:lastColumn="0" w:oddVBand="0" w:evenVBand="0" w:oddHBand="0" w:evenHBand="1" w:firstRowFirstColumn="0" w:firstRowLastColumn="0" w:lastRowFirstColumn="0" w:lastRowLastColumn="0"/>
            </w:pPr>
            <w:r w:rsidRPr="00A32947">
              <w:t>5.34</w:t>
            </w:r>
          </w:p>
        </w:tc>
        <w:tc>
          <w:tcPr>
            <w:tcW w:w="2118" w:type="dxa"/>
          </w:tcPr>
          <w:p w:rsidR="00A32947" w:rsidRPr="00A32947" w:rsidRDefault="00A32947" w:rsidP="00A32947">
            <w:pPr>
              <w:cnfStyle w:val="000000010000" w:firstRow="0" w:lastRow="0" w:firstColumn="0" w:lastColumn="0" w:oddVBand="0" w:evenVBand="0" w:oddHBand="0" w:evenHBand="1" w:firstRowFirstColumn="0" w:firstRowLastColumn="0" w:lastRowFirstColumn="0" w:lastRowLastColumn="0"/>
            </w:pPr>
            <w:r w:rsidRPr="00A32947">
              <w:t>2 basis points</w:t>
            </w:r>
          </w:p>
        </w:tc>
      </w:tr>
      <w:tr w:rsidR="00A32947" w:rsidTr="007505A3">
        <w:tc>
          <w:tcPr>
            <w:cnfStyle w:val="001000000000" w:firstRow="0" w:lastRow="0" w:firstColumn="1" w:lastColumn="0" w:oddVBand="0" w:evenVBand="0" w:oddHBand="0" w:evenHBand="0" w:firstRowFirstColumn="0" w:firstRowLastColumn="0" w:lastRowFirstColumn="0" w:lastRowLastColumn="0"/>
            <w:tcW w:w="2339" w:type="dxa"/>
          </w:tcPr>
          <w:p w:rsidR="00A32947" w:rsidRPr="00A32947" w:rsidRDefault="00A32947" w:rsidP="00A32947">
            <w:r w:rsidRPr="00A32947">
              <w:t>Only November and December 2015</w:t>
            </w:r>
          </w:p>
        </w:tc>
        <w:tc>
          <w:tcPr>
            <w:tcW w:w="2118" w:type="dxa"/>
          </w:tcPr>
          <w:p w:rsidR="00A32947" w:rsidRPr="00A32947" w:rsidRDefault="00A32947" w:rsidP="00A32947">
            <w:pPr>
              <w:cnfStyle w:val="000000000000" w:firstRow="0" w:lastRow="0" w:firstColumn="0" w:lastColumn="0" w:oddVBand="0" w:evenVBand="0" w:oddHBand="0" w:evenHBand="0" w:firstRowFirstColumn="0" w:firstRowLastColumn="0" w:lastRowFirstColumn="0" w:lastRowLastColumn="0"/>
            </w:pPr>
            <w:r w:rsidRPr="00A32947">
              <w:t>5.57</w:t>
            </w:r>
          </w:p>
        </w:tc>
        <w:tc>
          <w:tcPr>
            <w:tcW w:w="2118" w:type="dxa"/>
          </w:tcPr>
          <w:p w:rsidR="00A32947" w:rsidRPr="00A32947" w:rsidRDefault="00A32947" w:rsidP="00A32947">
            <w:pPr>
              <w:cnfStyle w:val="000000000000" w:firstRow="0" w:lastRow="0" w:firstColumn="0" w:lastColumn="0" w:oddVBand="0" w:evenVBand="0" w:oddHBand="0" w:evenHBand="0" w:firstRowFirstColumn="0" w:firstRowLastColumn="0" w:lastRowFirstColumn="0" w:lastRowLastColumn="0"/>
            </w:pPr>
            <w:r w:rsidRPr="00A32947">
              <w:t>5.85</w:t>
            </w:r>
          </w:p>
        </w:tc>
        <w:tc>
          <w:tcPr>
            <w:tcW w:w="2118" w:type="dxa"/>
          </w:tcPr>
          <w:p w:rsidR="00A32947" w:rsidRPr="00A32947" w:rsidRDefault="00A32947" w:rsidP="00A32947">
            <w:pPr>
              <w:cnfStyle w:val="000000000000" w:firstRow="0" w:lastRow="0" w:firstColumn="0" w:lastColumn="0" w:oddVBand="0" w:evenVBand="0" w:oddHBand="0" w:evenHBand="0" w:firstRowFirstColumn="0" w:firstRowLastColumn="0" w:lastRowFirstColumn="0" w:lastRowLastColumn="0"/>
            </w:pPr>
            <w:r w:rsidRPr="00A32947">
              <w:t>27 basis points</w:t>
            </w:r>
          </w:p>
        </w:tc>
      </w:tr>
    </w:tbl>
    <w:p w:rsidR="00A32947" w:rsidRPr="00A32947" w:rsidRDefault="00A32947" w:rsidP="00A32947">
      <w:pPr>
        <w:pStyle w:val="AERtablesource"/>
      </w:pPr>
      <w:r w:rsidRPr="00A32947">
        <w:t>Source:</w:t>
      </w:r>
      <w:r w:rsidRPr="00A32947">
        <w:tab/>
        <w:t>AER analysis, RBA, Bloomberg, Thompson Reuters.</w:t>
      </w:r>
    </w:p>
    <w:p w:rsidR="00A32947" w:rsidRPr="00A32947" w:rsidRDefault="00A32947" w:rsidP="00A32947">
      <w:pPr>
        <w:pStyle w:val="Heading8"/>
      </w:pPr>
      <w:bookmarkStart w:id="289" w:name="_Toc449624778"/>
      <w:bookmarkStart w:id="290" w:name="_Ref450660756"/>
      <w:bookmarkStart w:id="291" w:name="_Toc451945520"/>
      <w:r w:rsidRPr="00A32947">
        <w:t>Criticisms of the BVAL curve</w:t>
      </w:r>
      <w:bookmarkEnd w:id="289"/>
      <w:bookmarkEnd w:id="290"/>
      <w:bookmarkEnd w:id="291"/>
    </w:p>
    <w:p w:rsidR="00A32947" w:rsidRPr="00A32947" w:rsidRDefault="00A32947" w:rsidP="00A32947">
      <w:r w:rsidRPr="00A32947">
        <w:t>Some service providers made updated criticisms of the BVAL curve. Most of these criticisms drew upon new analysis by CEG.</w:t>
      </w:r>
      <w:r w:rsidRPr="00A32947">
        <w:rPr>
          <w:rStyle w:val="FootnoteReference"/>
        </w:rPr>
        <w:footnoteReference w:id="1260"/>
      </w:r>
      <w:r w:rsidRPr="00A32947">
        <w:t xml:space="preserve"> In a new report, and in two memoranda submitted after the revised proposals,</w:t>
      </w:r>
      <w:r w:rsidRPr="00A32947">
        <w:rPr>
          <w:rStyle w:val="FootnoteReference"/>
        </w:rPr>
        <w:footnoteReference w:id="1261"/>
      </w:r>
      <w:r w:rsidRPr="00A32947">
        <w:t xml:space="preserve"> CEG submitted that:</w:t>
      </w:r>
    </w:p>
    <w:p w:rsidR="00A32947" w:rsidRPr="00A32947" w:rsidRDefault="00A32947" w:rsidP="00A32947">
      <w:pPr>
        <w:pStyle w:val="AERbulletlistfirststyle"/>
      </w:pPr>
      <w:r w:rsidRPr="00A32947">
        <w:t>the Bloomberg curve appears to be influenced at the 10 year term exclusively by the Asciano bond</w:t>
      </w:r>
    </w:p>
    <w:p w:rsidR="00A32947" w:rsidRPr="00A32947" w:rsidRDefault="00A32947" w:rsidP="00A32947">
      <w:pPr>
        <w:pStyle w:val="AERbulletlistfirststyle"/>
      </w:pPr>
      <w:r w:rsidRPr="00A32947">
        <w:t>There are market specific factors influencing the Asciano bond which imply it is not reflective of the typical BBB bond</w:t>
      </w:r>
    </w:p>
    <w:p w:rsidR="00A32947" w:rsidRPr="00A32947" w:rsidRDefault="00A32947" w:rsidP="00A32947">
      <w:pPr>
        <w:pStyle w:val="AERbulletlistfirststyle"/>
      </w:pPr>
      <w:r w:rsidRPr="00A32947">
        <w:t>The BVAL curve does not include foreign bonds and is therefore not representative of the benchmark efficient firm given the tendency of Australian firms to issue longer term debt in overseas markets</w:t>
      </w:r>
    </w:p>
    <w:p w:rsidR="00A32947" w:rsidRPr="00A32947" w:rsidRDefault="00A32947" w:rsidP="00A32947">
      <w:pPr>
        <w:pStyle w:val="AERbulletlistfirststyle"/>
      </w:pPr>
      <w:r w:rsidRPr="00A32947">
        <w:t>The BVAL bond sample is smaller than the RBA bond sample.</w:t>
      </w:r>
    </w:p>
    <w:p w:rsidR="00A32947" w:rsidRPr="00A32947" w:rsidRDefault="00A32947" w:rsidP="00A32947">
      <w:r w:rsidRPr="00A32947">
        <w:t xml:space="preserve">We remain satisfied that the BVAL curve is fit-for-purpose and will contribute to an estimate that satisfies the allowed rate of return objective. Further, we are not persuaded that there is evidence suggesting that a simple average of the BVAL and RBA curves would not contribute to an estimate that achieves the allowed rate of return objective. Broadly, we consider that most of the analysis submitted by AusNet Services and CEG supports a conclusion that the BVAL curve and the RBA curve may at points in time produce divergent results. However, this does not indicate that either the RBA curve or the BVAL curve produces an estimate that is more reflective of the benchmark efficient entity. </w:t>
      </w:r>
    </w:p>
    <w:p w:rsidR="00A32947" w:rsidRPr="00A32947" w:rsidRDefault="00A32947" w:rsidP="00A32947">
      <w:r w:rsidRPr="00A32947">
        <w:t>In decisions since publication of the guideline, we have concluded that at various points in time, it is likely that one curve or the other is more likely to produce an estimate that is more reflective of the costs faced by the benchmark efficient entity.</w:t>
      </w:r>
      <w:r w:rsidRPr="00A32947">
        <w:rPr>
          <w:rStyle w:val="FootnoteReference"/>
        </w:rPr>
        <w:footnoteReference w:id="1262"/>
      </w:r>
      <w:r w:rsidRPr="00A32947">
        <w:t xml:space="preserve"> However, we have undertaken extensive analysis on the RBA and BVAL curves, have consulted widely on the technical characteristics of curves, and have had regard to independent expert advice. Based on this process, we are not satisfied that either is clearly superior. Further, the approach we adopt must produce annual estimates each year over the five year period that will achieve the allowed rate of return objective. We have therefore adopted an approach that we are satisfied will contribute to estimates that will, across the regulatory period, achieve the allowed rate of return objective. In contrast, we consider that AusNet and CEG's proposal to adopt different approaches based on ad-hoc analysis of the curves over short periods will introduce bias and uncertainty into the approach for estimating the return on debt. We consider this bias will prevent achievement of the allowed rate of return objective.</w:t>
      </w:r>
    </w:p>
    <w:p w:rsidR="00A32947" w:rsidRPr="00A32947" w:rsidRDefault="00A32947" w:rsidP="00A32947">
      <w:r w:rsidRPr="00A32947">
        <w:t>In addition, even if we were not to adopt the BVAL 10 year estimate, our final decision would be to adopt the BVAL 7 year estimate extrapolated as per the methodology set out in our contingencies. We are not satisfied that any information submitted by stakeholders raises material new concerns with the BVAL's 7 year estimate that were not considered in previous decisions. Therefore, we maintain our conclusion that in the absence of a BVAL 10 year estimate, the 7 year estimate extrapolated to 10 years would contribute to an estimate that achieves the allowed rate of return objective.</w:t>
      </w:r>
    </w:p>
    <w:p w:rsidR="00144385" w:rsidRPr="00144385" w:rsidRDefault="00144385" w:rsidP="00144385">
      <w:r w:rsidRPr="00144385">
        <w:t>Finally, we note that as of October 2015 the RBA made retrospective changes to its yield curve.</w:t>
      </w:r>
      <w:r w:rsidRPr="00144385">
        <w:rPr>
          <w:rStyle w:val="FootnoteReference"/>
        </w:rPr>
        <w:footnoteReference w:id="1263"/>
      </w:r>
      <w:r w:rsidRPr="00144385">
        <w:t xml:space="preserve"> These changes resulted in retrospective changes to bond samples as well as changes to yield and spread estimates. AER staff corresponded with RBA staff about the causes and impact of these retrospective changes and remain satisfied that the combination of RBA and BVAL curves will contribute to an estimate which achieves the allowed rate of return objective.</w:t>
      </w:r>
      <w:r w:rsidRPr="00144385">
        <w:rPr>
          <w:rStyle w:val="FootnoteReference"/>
        </w:rPr>
        <w:footnoteReference w:id="1264"/>
      </w:r>
      <w:r w:rsidRPr="00144385">
        <w:t xml:space="preserve"> Nonetheless, we note that none of the service providers appear to have engaged in the revised proposals or subsequent submissions with the potential risks and implications of material retrospective changes made to the RBA curve.</w:t>
      </w:r>
    </w:p>
    <w:p w:rsidR="00A32947" w:rsidRPr="00A32947" w:rsidRDefault="00A32947" w:rsidP="00A32947">
      <w:r w:rsidRPr="00A32947">
        <w:t>In this section, we have addressed the following substantially new issues raised by the service providers and their consultants:</w:t>
      </w:r>
    </w:p>
    <w:p w:rsidR="00A32947" w:rsidRPr="00A32947" w:rsidRDefault="00A32947" w:rsidP="00A32947">
      <w:pPr>
        <w:pStyle w:val="AERbulletlistfirststyle"/>
      </w:pPr>
      <w:r w:rsidRPr="00A32947">
        <w:t>the comparative movement of the yield estimates between the RBA and BVAL curves</w:t>
      </w:r>
    </w:p>
    <w:p w:rsidR="00A32947" w:rsidRPr="00A32947" w:rsidRDefault="00A32947" w:rsidP="00A32947">
      <w:pPr>
        <w:pStyle w:val="AERbulletlistfirststyle"/>
      </w:pPr>
      <w:r w:rsidRPr="00A32947">
        <w:t>the incremental impact of the Asciano bond on the implied DRPs in the Bloomberg curve</w:t>
      </w:r>
    </w:p>
    <w:p w:rsidR="00A32947" w:rsidRPr="00A32947" w:rsidRDefault="00A32947" w:rsidP="00A32947">
      <w:pPr>
        <w:pStyle w:val="AERbulletlistfirststyle"/>
      </w:pPr>
      <w:r w:rsidRPr="00A32947">
        <w:t>CEG's analysis of sample size</w:t>
      </w:r>
    </w:p>
    <w:p w:rsidR="00A32947" w:rsidRPr="00A32947" w:rsidRDefault="00A32947" w:rsidP="00A32947">
      <w:pPr>
        <w:pStyle w:val="AERbulletlistfirststyle"/>
      </w:pPr>
      <w:r w:rsidRPr="00A32947">
        <w:t xml:space="preserve">CEG's analysis of foreign bonds </w:t>
      </w:r>
    </w:p>
    <w:p w:rsidR="00A32947" w:rsidRPr="00A32947" w:rsidRDefault="00A32947" w:rsidP="00A32947">
      <w:pPr>
        <w:pStyle w:val="HeadingBoldBlue"/>
        <w:rPr>
          <w:rStyle w:val="AERtextitalic"/>
        </w:rPr>
      </w:pPr>
      <w:r w:rsidRPr="00A32947">
        <w:rPr>
          <w:rStyle w:val="AERtextitalic"/>
        </w:rPr>
        <w:t>Comparative movement of yield estimates</w:t>
      </w:r>
    </w:p>
    <w:p w:rsidR="00A32947" w:rsidRPr="00A32947" w:rsidRDefault="00A32947" w:rsidP="00A32947">
      <w:r w:rsidRPr="00A32947">
        <w:t>In its reports and memoranda, CEG has used comparative movements of yield estimates to compare and critique the BVAL curve compared to the RBA and Reuters curves.</w:t>
      </w:r>
      <w:r w:rsidRPr="00A32947">
        <w:rPr>
          <w:rStyle w:val="FootnoteReference"/>
        </w:rPr>
        <w:footnoteReference w:id="1265"/>
      </w:r>
      <w:r w:rsidRPr="00A32947">
        <w:t xml:space="preserve"> We are not satisfied that this type of analysis can robustly demonstrate that either curve clearly better reflects the costs faced by a benchmark efficient entity. More generally, we are not persuaded that time-series or cross-sectional comparisons between curve outputs are reliable or consistent ways to determine which curve produces a result that is most consistent with benchmark efficient costs. This is because the published yield curves are the best available source of information on costs of debt in prevailing market circumstances. </w:t>
      </w:r>
    </w:p>
    <w:p w:rsidR="00A32947" w:rsidRPr="00A32947" w:rsidRDefault="00A32947" w:rsidP="00A32947">
      <w:r w:rsidRPr="00A32947">
        <w:t>Different market experts may come to different views about the best approaches to estimating yield curves. For example, Bloomberg, the RBA and Thompson Reuters appear all to adopt distinct bond selection criteria and distinct curve fitting methodologies. We have assessed the RBA and BVAL curves through a detailed analysis of their underlying technical characteristics, including analysis from expert consultants.</w:t>
      </w:r>
      <w:r w:rsidRPr="00A32947">
        <w:rPr>
          <w:rStyle w:val="FootnoteReference"/>
        </w:rPr>
        <w:footnoteReference w:id="1266"/>
      </w:r>
      <w:r w:rsidRPr="00A32947">
        <w:t xml:space="preserve"> Our analysis and expert advice supported a conclusion that both curves had strengths and weaknesses, but that neither was clearly superior. Therefore, we do not agree that it is robust or informative to compare the outputs of the two curves against each other. </w:t>
      </w:r>
    </w:p>
    <w:p w:rsidR="00A32947" w:rsidRPr="00A32947" w:rsidRDefault="00A32947" w:rsidP="00A32947">
      <w:r w:rsidRPr="00A32947">
        <w:t xml:space="preserve">Nonetheless, to the extent that these comparisons are informative, we are not persuaded that a comparison of the Bloomberg and RBA curves suggest anomalous performance of either curve. </w:t>
      </w:r>
      <w:r w:rsidRPr="00A32947">
        <w:fldChar w:fldCharType="begin"/>
      </w:r>
      <w:r w:rsidRPr="00A32947">
        <w:instrText xml:space="preserve"> REF _Ref448326341 \h </w:instrText>
      </w:r>
      <w:r w:rsidRPr="00A32947">
        <w:fldChar w:fldCharType="separate"/>
      </w:r>
      <w:r w:rsidR="001A023B" w:rsidRPr="00A32947">
        <w:t xml:space="preserve">Figure </w:t>
      </w:r>
      <w:r w:rsidR="001A023B">
        <w:rPr>
          <w:noProof/>
        </w:rPr>
        <w:t>3</w:t>
      </w:r>
      <w:r w:rsidR="001A023B">
        <w:noBreakHyphen/>
      </w:r>
      <w:r w:rsidR="001A023B">
        <w:rPr>
          <w:noProof/>
        </w:rPr>
        <w:t>21</w:t>
      </w:r>
      <w:r w:rsidRPr="00A32947">
        <w:fldChar w:fldCharType="end"/>
      </w:r>
      <w:r w:rsidRPr="00A32947">
        <w:t xml:space="preserve"> illustrates the comparative movement of the curves since publication of the AER's guideline. While the curves produce materially different results at specific points in time, they appear to have consistently reflected the same underlying debt market movements</w:t>
      </w:r>
    </w:p>
    <w:p w:rsidR="00A32947" w:rsidRPr="00A32947" w:rsidRDefault="00A32947" w:rsidP="00A32947">
      <w:pPr>
        <w:pStyle w:val="Caption"/>
      </w:pPr>
      <w:bookmarkStart w:id="292" w:name="_Ref448326341"/>
      <w:r w:rsidRPr="00A32947">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21</w:t>
      </w:r>
      <w:r w:rsidR="00120312">
        <w:rPr>
          <w:noProof/>
        </w:rPr>
        <w:fldChar w:fldCharType="end"/>
      </w:r>
      <w:bookmarkEnd w:id="292"/>
      <w:r w:rsidRPr="00A32947">
        <w:tab/>
        <w:t xml:space="preserve">Comparison of RBA and BVAL yields </w:t>
      </w:r>
    </w:p>
    <w:p w:rsidR="00A32947" w:rsidRPr="00A32947" w:rsidRDefault="00A32947" w:rsidP="00A32947">
      <w:r w:rsidRPr="00A32947">
        <w:rPr>
          <w:noProof/>
          <w:lang w:eastAsia="en-AU"/>
        </w:rPr>
        <w:drawing>
          <wp:inline distT="0" distB="0" distL="0" distR="0" wp14:anchorId="5B1A2F30" wp14:editId="16911E6E">
            <wp:extent cx="5401310" cy="360299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inline>
        </w:drawing>
      </w:r>
    </w:p>
    <w:p w:rsidR="00A32947" w:rsidRPr="00A32947" w:rsidRDefault="00A32947" w:rsidP="00A32947">
      <w:pPr>
        <w:pStyle w:val="AERtablesource"/>
      </w:pPr>
      <w:r w:rsidRPr="00A32947">
        <w:t>Source:</w:t>
      </w:r>
      <w:r w:rsidRPr="00A32947">
        <w:tab/>
        <w:t>AER analysis, Bloomberg, RBA.</w:t>
      </w:r>
    </w:p>
    <w:p w:rsidR="00A32947" w:rsidRPr="00A32947" w:rsidRDefault="00A32947" w:rsidP="00A32947">
      <w:pPr>
        <w:pStyle w:val="HeadingBoldBlue"/>
        <w:rPr>
          <w:rStyle w:val="AERtextitalic"/>
        </w:rPr>
      </w:pPr>
      <w:r w:rsidRPr="00A32947">
        <w:rPr>
          <w:rStyle w:val="AERtextitalic"/>
        </w:rPr>
        <w:t>The Asciano bond</w:t>
      </w:r>
    </w:p>
    <w:p w:rsidR="00A32947" w:rsidRPr="00A32947" w:rsidRDefault="00A32947" w:rsidP="00A32947">
      <w:r w:rsidRPr="00A32947">
        <w:t>CEG and AusNet Services submit that the Asciano bond is having a disproportionate downward impact on the 10 year spread-to-swap estimate implied by the BVAL curve.</w:t>
      </w:r>
      <w:r w:rsidRPr="00A32947">
        <w:rPr>
          <w:rStyle w:val="FootnoteReference"/>
        </w:rPr>
        <w:footnoteReference w:id="1267"/>
      </w:r>
      <w:r w:rsidRPr="00A32947">
        <w:t xml:space="preserve"> Further, they submit that the movement of the Asciano bond is substantially affected by firm specific factors and therefore is not reflective of the benchmark BBB+ bond.</w:t>
      </w:r>
      <w:r w:rsidRPr="00A32947">
        <w:rPr>
          <w:rStyle w:val="FootnoteReference"/>
        </w:rPr>
        <w:footnoteReference w:id="1268"/>
      </w:r>
      <w:r w:rsidRPr="00A32947">
        <w:t xml:space="preserve"> However, this criticism of the BVAL curve relates to the lack of available bonds in the band beyond 7 years' term to maturity. We are not persuaded that this analysis submitted by AusNet Services of CEG raises material new issues that have not been considered previously in reaching the AER's approach prior to Bloomberg's publication of a 10 year BVAL estimate.</w:t>
      </w:r>
      <w:r w:rsidRPr="00A32947">
        <w:br/>
      </w:r>
      <w:r w:rsidRPr="00A32947">
        <w:br/>
        <w:t>In summary of its analysis, CEG submits that the BVAL bond selection criteria 'results in a sample containing only a single bond'.</w:t>
      </w:r>
      <w:r w:rsidRPr="00A32947">
        <w:rPr>
          <w:rStyle w:val="FootnoteReference"/>
        </w:rPr>
        <w:footnoteReference w:id="1269"/>
      </w:r>
      <w:r w:rsidRPr="00A32947">
        <w:t xml:space="preserve"> As noted in recent decisions,</w:t>
      </w:r>
      <w:r w:rsidRPr="00A32947">
        <w:rPr>
          <w:rStyle w:val="FootnoteReference"/>
        </w:rPr>
        <w:footnoteReference w:id="1270"/>
      </w:r>
      <w:r w:rsidRPr="00A32947">
        <w:t xml:space="preserve"> this is not a correct characterisation of Bloomberg's approach. In a recent report, CEG submitted that the Bloomberg estimate from beyond 7 years was exclusively informed by the CGS curve.</w:t>
      </w:r>
      <w:r w:rsidRPr="00A32947">
        <w:rPr>
          <w:rStyle w:val="FootnoteReference"/>
        </w:rPr>
        <w:footnoteReference w:id="1271"/>
      </w:r>
      <w:r w:rsidRPr="00A32947">
        <w:t xml:space="preserve"> In response, we corresponded with Bloomberg who confirmed that the yield estimate at 10 years is influenced by all of the constituent bonds within the curve, even where there are few or no constituent bonds within the 7 to 10 year band.</w:t>
      </w:r>
      <w:r w:rsidRPr="00A32947">
        <w:rPr>
          <w:rStyle w:val="FootnoteReference"/>
        </w:rPr>
        <w:footnoteReference w:id="1272"/>
      </w:r>
      <w:r w:rsidRPr="00A32947">
        <w:t xml:space="preserve"> This means that the entire bond sample within the BVAL curve is used to derive the 10 year estimate, not a single bond as CEG has submitted. While bonds closer to the 10 year term may exert a relatively greater influence on the yield estimate at points around that term, CEG's characterisation does not accurately reflect the operation of the curve.</w:t>
      </w:r>
    </w:p>
    <w:p w:rsidR="00A32947" w:rsidRPr="00A32947" w:rsidRDefault="00A32947" w:rsidP="00A32947">
      <w:r w:rsidRPr="00A32947">
        <w:t xml:space="preserve">Overall, we conclude that there appears to be a correlative relationship between the Asciano bond and the BVAL 10 year estimate. However, we are not persuaded that there is clear evidence to suggest that the 10 year BVAL estimate is not fit for purpose. In particular, we are satisfied that the 10 year BVAL spread-to-swap estimate appears to be broadly consistent with other bonds that meet the BVAL curve's bond selection criteria. In contrast, over 2016 the spread-to-swap for the 10 year RBA estimate has been below the spreads to swap at its published 3, 5 and 7 year terms. </w:t>
      </w:r>
    </w:p>
    <w:p w:rsidR="00A32947" w:rsidRPr="00A32947" w:rsidRDefault="00A32947" w:rsidP="00A32947">
      <w:r w:rsidRPr="00A32947">
        <w:t>We have assessed these new submissions in two sections:</w:t>
      </w:r>
    </w:p>
    <w:p w:rsidR="00A32947" w:rsidRPr="00A32947" w:rsidRDefault="00A32947" w:rsidP="00A32947">
      <w:pPr>
        <w:pStyle w:val="AERbulletlistfirststyle"/>
      </w:pPr>
      <w:r w:rsidRPr="00A32947">
        <w:t>how sensitive the 10 year BVAL estimate is to the Asciano bond</w:t>
      </w:r>
    </w:p>
    <w:p w:rsidR="00A32947" w:rsidRPr="00A32947" w:rsidRDefault="00A32947" w:rsidP="00A32947">
      <w:pPr>
        <w:pStyle w:val="AERbulletlistfirststyle"/>
      </w:pPr>
      <w:r w:rsidRPr="00A32947">
        <w:t>what impact this is exerting on BVAL curve estimates</w:t>
      </w:r>
    </w:p>
    <w:p w:rsidR="00A32947" w:rsidRPr="00A32947" w:rsidRDefault="00A32947" w:rsidP="00A32947">
      <w:pPr>
        <w:pStyle w:val="HeadingItalic"/>
      </w:pPr>
      <w:r w:rsidRPr="00A32947">
        <w:t>Sensitivity of the BVAL estimate to the Asciano bond</w:t>
      </w:r>
    </w:p>
    <w:p w:rsidR="00A32947" w:rsidRPr="00A32947" w:rsidRDefault="00A32947" w:rsidP="00A32947">
      <w:r w:rsidRPr="00A32947">
        <w:t>In its report submitted with the revised proposals, CEG highlighted the similar movements between the Asciano 10 year bond yield and the BVAL 10 year yield estimate.</w:t>
      </w:r>
      <w:r w:rsidRPr="00A32947">
        <w:rPr>
          <w:rStyle w:val="FootnoteReference"/>
        </w:rPr>
        <w:footnoteReference w:id="1273"/>
      </w:r>
      <w:r w:rsidRPr="00A32947">
        <w:t xml:space="preserve"> We agree that there appears to be correlation between these two yields. However, we are not persuaded that this indicates that the BVAL curve estimate is not representative of its sample more broadly. We would expect that the underlying swap curve is a key driver of yields both for individual bonds and for the BVAL 10 year estimate. Therefore, holding other things constant, it is unsurprising that there would be evidence of correlation, especially where the bond was representative of the rest of the sample underlying the yield curve. We discuss this issue in greater detail in subsequent sections. </w:t>
      </w:r>
    </w:p>
    <w:p w:rsidR="00A32947" w:rsidRPr="00A32947" w:rsidRDefault="00A32947" w:rsidP="00A32947">
      <w:r w:rsidRPr="00A32947">
        <w:t>More recently, CEG submitted regression analysis to establish a causative relationship between the 10 year Asciano spread to swap.</w:t>
      </w:r>
      <w:r w:rsidRPr="00A32947">
        <w:rPr>
          <w:rStyle w:val="FootnoteReference"/>
        </w:rPr>
        <w:footnoteReference w:id="1274"/>
      </w:r>
      <w:r w:rsidRPr="00A32947">
        <w:t xml:space="preserve"> CEG's regression analysis was submitted for the first time in a late submission,</w:t>
      </w:r>
      <w:r w:rsidRPr="00A32947">
        <w:rPr>
          <w:rStyle w:val="FootnoteReference"/>
        </w:rPr>
        <w:footnoteReference w:id="1275"/>
      </w:r>
      <w:r w:rsidRPr="00A32947">
        <w:t xml:space="preserve"> we have had limited time to assess the new analysis in detail. However, CEG has not included a variable for an underlying base rate component (either the swap curve or CEG) in its regressions. This is important, because the swap curve is a key driver of pricing: </w:t>
      </w:r>
    </w:p>
    <w:p w:rsidR="00A32947" w:rsidRPr="00A32947" w:rsidRDefault="00A32947" w:rsidP="00A32947">
      <w:pPr>
        <w:pStyle w:val="AERbulletlistfirststyle"/>
      </w:pPr>
      <w:r w:rsidRPr="00A32947">
        <w:t>Since the Asciano bond was issued, there is a strong negative correlation between the swap curve matching the Asciano bond’s term to maturity and the spread-to-swap on the Asciano bond.</w:t>
      </w:r>
      <w:r w:rsidRPr="00A32947">
        <w:rPr>
          <w:rStyle w:val="FootnoteReference"/>
        </w:rPr>
        <w:footnoteReference w:id="1276"/>
      </w:r>
      <w:r w:rsidRPr="00A32947">
        <w:t xml:space="preserve"> This suggests that, for the Asciano bond, the swap curve may be an important driver of the spread-to-swap on the Asciano bond. In turn, this might suggest that the base rate and not the spread-to-swap on the Asciano bond is a key determinant of the BVAL 10 year spread-to-swap.</w:t>
      </w:r>
    </w:p>
    <w:p w:rsidR="00A32947" w:rsidRPr="00A32947" w:rsidRDefault="00A32947" w:rsidP="00A32947">
      <w:pPr>
        <w:pStyle w:val="AERbulletlistfirststyle"/>
      </w:pPr>
      <w:r w:rsidRPr="00A32947">
        <w:t>Similarly, we mirrored CEG's approach and regressed the BVAL 10 year spread-to-swap against the swap rate. This regression produced a higher R</w:t>
      </w:r>
      <w:r w:rsidRPr="00A32947">
        <w:rPr>
          <w:rStyle w:val="AERsuperscript"/>
        </w:rPr>
        <w:t>2</w:t>
      </w:r>
      <w:r w:rsidRPr="00A32947">
        <w:t xml:space="preserve"> value (0.95) than CEG's regression (0.93). This might indicate a degree of multicollinearity within the regression, which would in turn suggest that CEG's results should be interpreted cautiously.</w:t>
      </w:r>
    </w:p>
    <w:p w:rsidR="00A32947" w:rsidRPr="00A32947" w:rsidRDefault="00A32947" w:rsidP="00A32947">
      <w:r w:rsidRPr="00A32947">
        <w:t>CEG also does not appear to have tested:</w:t>
      </w:r>
    </w:p>
    <w:p w:rsidR="00A32947" w:rsidRPr="00A32947" w:rsidRDefault="00A32947" w:rsidP="00A32947">
      <w:pPr>
        <w:pStyle w:val="AERbulletlistfirststyle"/>
      </w:pPr>
      <w:r w:rsidRPr="00A32947">
        <w:t>the impact of any variable for the base rate, either a risk free rate (CGS) or a swap rate (ADSWAP)</w:t>
      </w:r>
    </w:p>
    <w:p w:rsidR="00A32947" w:rsidRPr="00A32947" w:rsidRDefault="00A32947" w:rsidP="00A32947">
      <w:pPr>
        <w:pStyle w:val="AERbulletlistfirststyle"/>
      </w:pPr>
      <w:r w:rsidRPr="00A32947">
        <w:t>whether spreads to swap within either the RBA or BVAL samples are substantially influenced by movements in the risk free rate or swap curve</w:t>
      </w:r>
    </w:p>
    <w:p w:rsidR="00A32947" w:rsidRPr="00A32947" w:rsidRDefault="00A32947" w:rsidP="00A32947">
      <w:pPr>
        <w:pStyle w:val="AERbulletlistfirststyle"/>
      </w:pPr>
      <w:r w:rsidRPr="00A32947">
        <w:t>the consequences of these issues for the explanatory power of its submission.</w:t>
      </w:r>
    </w:p>
    <w:p w:rsidR="00A32947" w:rsidRPr="00A32947" w:rsidRDefault="00A32947" w:rsidP="00A32947">
      <w:r w:rsidRPr="00A32947">
        <w:t>In addition, CEG has not explained methodological choices and assumptions in its regression. For example, CEG has:</w:t>
      </w:r>
    </w:p>
    <w:p w:rsidR="00A32947" w:rsidRPr="00A32947" w:rsidRDefault="00A32947" w:rsidP="00A32947">
      <w:pPr>
        <w:pStyle w:val="AERbulletlistfirststyle"/>
      </w:pPr>
      <w:r w:rsidRPr="00A32947">
        <w:t>combined spreads to swaps for individual bonds into weekly averages prior to undertaking regressions—it is unclear how this improves the efficacy of the regression, but it does appear to reduce the number of observations and mask potential variation in these underlying data points</w:t>
      </w:r>
    </w:p>
    <w:p w:rsidR="00A32947" w:rsidRPr="00A32947" w:rsidRDefault="00A32947" w:rsidP="00A32947">
      <w:pPr>
        <w:pStyle w:val="AERbulletlistfirststyle"/>
      </w:pPr>
      <w:r w:rsidRPr="00A32947">
        <w:t>averaged all bond data within term-to-maturity bands—again, it is unclear how this improves the efficacy of the regression, but it does appear to reduce the number of observations and mask potential variation in these underlying data points.</w:t>
      </w:r>
    </w:p>
    <w:p w:rsidR="00A32947" w:rsidRPr="00A32947" w:rsidRDefault="00A32947" w:rsidP="00A32947">
      <w:r w:rsidRPr="00A32947">
        <w:t xml:space="preserve">Overall, we are not satisfied that CEG's regression analysis persuasively indicates that the 10 year BVAL estimate is not fit for purpose. Further, </w:t>
      </w:r>
      <w:r w:rsidR="00CD5533">
        <w:t>t</w:t>
      </w:r>
      <w:r w:rsidRPr="00A32947">
        <w:t>his analysis was submitted allowing very little time for assessment, and CEG has undertaken minimal testing and explanation of its methodological choices.</w:t>
      </w:r>
    </w:p>
    <w:p w:rsidR="00A32947" w:rsidRPr="00A32947" w:rsidRDefault="00A32947" w:rsidP="00A32947">
      <w:pPr>
        <w:pStyle w:val="HeadingItalic"/>
      </w:pPr>
      <w:r w:rsidRPr="00A32947">
        <w:t>Impact of the Asciano bond on the BVAL estimate</w:t>
      </w:r>
    </w:p>
    <w:p w:rsidR="00A32947" w:rsidRPr="00A32947" w:rsidRDefault="00A32947" w:rsidP="00A32947">
      <w:r w:rsidRPr="00A32947">
        <w:t>If the 10 year spread-to-swap estimate is disproportionately and downwardly impacted by an influential and unrepresentative bond, we would expect to see this reflected in the margin between 7 and 10 year spread-to-swap estimates. Specifically, in these circumstances we would expect to see a relatively smaller margin between the 7 and 10 year spread-to-swap estimates compared to the RBA curve, which CEG submits is not affected by this disproportionate impact.</w:t>
      </w:r>
      <w:r w:rsidRPr="00A32947">
        <w:rPr>
          <w:rStyle w:val="FootnoteReference"/>
        </w:rPr>
        <w:footnoteReference w:id="1277"/>
      </w:r>
      <w:r w:rsidRPr="00A32947">
        <w:t xml:space="preserve"> </w:t>
      </w:r>
    </w:p>
    <w:p w:rsidR="00A32947" w:rsidRPr="00A32947" w:rsidRDefault="00A32947" w:rsidP="00A32947">
      <w:pPr>
        <w:pStyle w:val="Caption"/>
      </w:pPr>
      <w:bookmarkStart w:id="293" w:name="_Ref444068389"/>
      <w:r w:rsidRPr="00A32947">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22</w:t>
      </w:r>
      <w:r w:rsidR="00120312">
        <w:rPr>
          <w:noProof/>
        </w:rPr>
        <w:fldChar w:fldCharType="end"/>
      </w:r>
      <w:bookmarkEnd w:id="293"/>
      <w:r w:rsidRPr="00A32947">
        <w:tab/>
        <w:t>Comparison of 7 to 10 year spreads to swap between the published 10 year Bloomberg estimate and the extrapolated RBA estimates</w:t>
      </w:r>
    </w:p>
    <w:p w:rsidR="00A32947" w:rsidRPr="00A32947" w:rsidRDefault="006E3C5B" w:rsidP="00A32947">
      <w:r>
        <w:rPr>
          <w:noProof/>
          <w:lang w:eastAsia="en-AU"/>
        </w:rPr>
        <w:drawing>
          <wp:inline distT="0" distB="0" distL="0" distR="0" wp14:anchorId="58491B34" wp14:editId="07A59168">
            <wp:extent cx="5047615" cy="342646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7615" cy="3426460"/>
                    </a:xfrm>
                    <a:prstGeom prst="rect">
                      <a:avLst/>
                    </a:prstGeom>
                    <a:noFill/>
                  </pic:spPr>
                </pic:pic>
              </a:graphicData>
            </a:graphic>
          </wp:inline>
        </w:drawing>
      </w:r>
    </w:p>
    <w:p w:rsidR="00A32947" w:rsidRPr="00A32947" w:rsidRDefault="00A32947" w:rsidP="00A32947">
      <w:pPr>
        <w:pStyle w:val="AERtablesource"/>
      </w:pPr>
      <w:r w:rsidRPr="00A32947">
        <w:t>Note:</w:t>
      </w:r>
      <w:r w:rsidRPr="00A32947">
        <w:tab/>
        <w:t>In this chart, we have charted the published RBA figures, rather than the interpolated figures. This is because, in comparing the performance of the underlying curves, we consider it is appropriate to do so with the fewest possible manipulations to its published form. This allows us to differentiate between spread movements caused by the inherent characteristics of the published curve, as opposed to further adjustments made in the regulatory process. When calculating the return on debt for specific averaging periods, we are required to interpolate between these month end estimates.</w:t>
      </w:r>
    </w:p>
    <w:p w:rsidR="00A32947" w:rsidRPr="00A32947" w:rsidRDefault="00A32947" w:rsidP="00A32947">
      <w:r w:rsidRPr="00A32947">
        <w:t xml:space="preserve">As set out in </w:t>
      </w:r>
      <w:r w:rsidRPr="00A32947">
        <w:fldChar w:fldCharType="begin"/>
      </w:r>
      <w:r w:rsidRPr="00A32947">
        <w:instrText xml:space="preserve"> REF _Ref444068389 \h  \* MERGEFORMAT </w:instrText>
      </w:r>
      <w:r w:rsidRPr="00A32947">
        <w:fldChar w:fldCharType="separate"/>
      </w:r>
      <w:r w:rsidR="001A023B" w:rsidRPr="00A32947">
        <w:t xml:space="preserve">Figure </w:t>
      </w:r>
      <w:r w:rsidR="001A023B">
        <w:t>3</w:t>
      </w:r>
      <w:r w:rsidR="001A023B">
        <w:noBreakHyphen/>
        <w:t>22</w:t>
      </w:r>
      <w:r w:rsidRPr="00A32947">
        <w:fldChar w:fldCharType="end"/>
      </w:r>
      <w:r w:rsidRPr="00A32947">
        <w:t>, the DRP margin between the BVAL 10 and 7 year estimates has been similar to or higher than the same margin for the RBA curve since August 2015. This may reflect a range of different factors in underlying bond market conditions at the seven year term or at shorter terms. However, we are not persuaded that there is evidence the Bloomberg 10 year spread-to-swap is artificially depressed compared to peer bonds that meet Bloomberg's bond selection criteria.</w:t>
      </w:r>
    </w:p>
    <w:p w:rsidR="00A32947" w:rsidRPr="00A32947" w:rsidRDefault="00A32947" w:rsidP="00BB7AE6">
      <w:pPr>
        <w:pStyle w:val="HeadingItalic"/>
        <w:keepNext/>
      </w:pPr>
      <w:r w:rsidRPr="00A32947">
        <w:t>Representativeness of the Asciano bond</w:t>
      </w:r>
    </w:p>
    <w:p w:rsidR="00A32947" w:rsidRPr="00A32947" w:rsidRDefault="00A32947" w:rsidP="00BB7AE6">
      <w:pPr>
        <w:keepNext/>
      </w:pPr>
      <w:r w:rsidRPr="00A32947">
        <w:t>In CEG's analysis, it compares the movement of the Asciano curve over January 2015 to bonds issued exclusively in Europe or the United States.</w:t>
      </w:r>
      <w:r w:rsidRPr="00A32947">
        <w:rPr>
          <w:rStyle w:val="FootnoteReference"/>
        </w:rPr>
        <w:footnoteReference w:id="1278"/>
      </w:r>
      <w:r w:rsidRPr="00A32947">
        <w:t xml:space="preserve"> Its analysis suggests that the Asciano bond has performed differently to the comparator bonds and that this indicates it is not representative of the benchmark entity. However, it is unsurprising that different market circumstances would divergently affect bonds issued in different markets. </w:t>
      </w:r>
    </w:p>
    <w:p w:rsidR="00A32947" w:rsidRPr="00A32947" w:rsidRDefault="00A32947" w:rsidP="00A32947">
      <w:r w:rsidRPr="00A32947">
        <w:t xml:space="preserve">To illustrate this, </w:t>
      </w:r>
      <w:r w:rsidRPr="00A32947">
        <w:fldChar w:fldCharType="begin"/>
      </w:r>
      <w:r w:rsidRPr="00A32947">
        <w:instrText xml:space="preserve"> REF _Ref447617152 \h </w:instrText>
      </w:r>
      <w:r w:rsidRPr="00A32947">
        <w:fldChar w:fldCharType="separate"/>
      </w:r>
      <w:r w:rsidR="001A023B" w:rsidRPr="00A32947">
        <w:t xml:space="preserve">Figure </w:t>
      </w:r>
      <w:r w:rsidR="001A023B">
        <w:rPr>
          <w:noProof/>
        </w:rPr>
        <w:t>3</w:t>
      </w:r>
      <w:r w:rsidR="001A023B">
        <w:noBreakHyphen/>
      </w:r>
      <w:r w:rsidR="001A023B">
        <w:rPr>
          <w:noProof/>
        </w:rPr>
        <w:t>23</w:t>
      </w:r>
      <w:r w:rsidRPr="00A32947">
        <w:fldChar w:fldCharType="end"/>
      </w:r>
      <w:r w:rsidRPr="00A32947">
        <w:t xml:space="preserve"> sets out the spreads to swap for the published RBA and BVAL estimates over Jan</w:t>
      </w:r>
      <w:r w:rsidR="00CD5533">
        <w:t>uary</w:t>
      </w:r>
      <w:r w:rsidRPr="00A32947">
        <w:t xml:space="preserve"> 2016 to March 2016.</w:t>
      </w:r>
    </w:p>
    <w:p w:rsidR="00A32947" w:rsidRPr="00A32947" w:rsidRDefault="00A32947" w:rsidP="00A32947">
      <w:pPr>
        <w:pStyle w:val="Caption"/>
      </w:pPr>
      <w:bookmarkStart w:id="294" w:name="_Ref447617152"/>
      <w:r w:rsidRPr="00A32947">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23</w:t>
      </w:r>
      <w:r w:rsidR="00120312">
        <w:rPr>
          <w:noProof/>
        </w:rPr>
        <w:fldChar w:fldCharType="end"/>
      </w:r>
      <w:bookmarkEnd w:id="294"/>
      <w:r w:rsidRPr="00A32947">
        <w:t xml:space="preserve"> Spread-to-swap profile for published curves in 2016</w:t>
      </w:r>
    </w:p>
    <w:p w:rsidR="00A32947" w:rsidRPr="00A32947" w:rsidRDefault="00A32947" w:rsidP="00A32947">
      <w:r w:rsidRPr="00A32947">
        <w:rPr>
          <w:noProof/>
          <w:lang w:eastAsia="en-AU"/>
        </w:rPr>
        <w:drawing>
          <wp:inline distT="0" distB="0" distL="0" distR="0" wp14:anchorId="7DC598F9" wp14:editId="208A7C56">
            <wp:extent cx="5218430" cy="31883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8430" cy="3188335"/>
                    </a:xfrm>
                    <a:prstGeom prst="rect">
                      <a:avLst/>
                    </a:prstGeom>
                    <a:noFill/>
                  </pic:spPr>
                </pic:pic>
              </a:graphicData>
            </a:graphic>
          </wp:inline>
        </w:drawing>
      </w:r>
    </w:p>
    <w:p w:rsidR="00A32947" w:rsidRPr="00A32947" w:rsidRDefault="00A32947" w:rsidP="00A32947">
      <w:pPr>
        <w:pStyle w:val="AERtablesource"/>
      </w:pPr>
      <w:r w:rsidRPr="00A32947">
        <w:t>Source: AER analysis, RBA</w:t>
      </w:r>
    </w:p>
    <w:p w:rsidR="00A32947" w:rsidRPr="00A32947" w:rsidRDefault="00A32947" w:rsidP="00A32947">
      <w:r w:rsidRPr="00A32947">
        <w:t>The different shapes of these spreads to swaps across the entire term spectrum suggest that significant factors other rather than simply the Asciano bond are influencing the different spreads to swap between the two curves. It is not clear which shape is more accurately reflecting debt market conditions, however:</w:t>
      </w:r>
    </w:p>
    <w:p w:rsidR="00A32947" w:rsidRPr="00A32947" w:rsidRDefault="00A32947" w:rsidP="00A32947">
      <w:pPr>
        <w:pStyle w:val="AERbulletlistfirststyle"/>
      </w:pPr>
      <w:r w:rsidRPr="00A32947">
        <w:t>the BVAL spread-to-swap curve reflects a more 'typical' upward sloping yield curve</w:t>
      </w:r>
    </w:p>
    <w:p w:rsidR="00A32947" w:rsidRPr="00A32947" w:rsidRDefault="00A32947" w:rsidP="00A32947">
      <w:pPr>
        <w:pStyle w:val="AERbulletlistfirststyle"/>
      </w:pPr>
      <w:r w:rsidRPr="00A32947">
        <w:t xml:space="preserve">the RBA curve in 2016 has consistently exhibited a higher spread-to-swap at the 3 year published estimate compared to the 10 year published estimate. </w:t>
      </w:r>
    </w:p>
    <w:p w:rsidR="00A32947" w:rsidRPr="00A32947" w:rsidRDefault="00A32947" w:rsidP="00A32947">
      <w:r w:rsidRPr="00A32947">
        <w:t>Specifically, in its most recent report,</w:t>
      </w:r>
      <w:r w:rsidRPr="00A32947">
        <w:rPr>
          <w:rStyle w:val="FootnoteReference"/>
        </w:rPr>
        <w:footnoteReference w:id="1279"/>
      </w:r>
      <w:r w:rsidRPr="00A32947">
        <w:t xml:space="preserve"> CEG cited a prior report in which it submitted the following argument for not recommending sole use of Bloomberg's prior curve (the BFVC) during the GFC:</w:t>
      </w:r>
    </w:p>
    <w:p w:rsidR="00A32947" w:rsidRPr="00A32947" w:rsidRDefault="00A32947" w:rsidP="00A32947">
      <w:pPr>
        <w:pStyle w:val="AERquote"/>
      </w:pPr>
      <w:r w:rsidRPr="00A32947">
        <w:t>It would give rise to estimates that are inconsistent with standard predictions of finance theory in that it would impose a downward sloping term structure for credit spreads (and inconsistent with a clear upward slope where there is available data);</w:t>
      </w:r>
    </w:p>
    <w:p w:rsidR="00A32947" w:rsidRPr="00A32947" w:rsidRDefault="00A32947" w:rsidP="00A32947">
      <w:r w:rsidRPr="00A32947">
        <w:t>CEG has not indicated in its recent reports that it considers this reason is no longer valid, and has directly cited this passage of text in its most recent report. However, this observation would appear equally to suggest that the RBA curve in current circumstances gives rise to estimates which are 'inconsistent with the standard predictions of finance theory'. In contrast, the BVAL curve has remained consistently upward sloping, and by this standard would appear to be more consistent with CEG's interpretation of finance theory. CEG has not addressed this issue in its report or in its 2016 memoranda, nor explained why it remains unconcerned at the consistent downward sloping observations observed in the RBA curve. In addition, we note that we do not agree that an inverted yield curve appears to be 'inconsistent with finance theory'.</w:t>
      </w:r>
    </w:p>
    <w:p w:rsidR="00A32947" w:rsidRPr="00A32947" w:rsidRDefault="00A32947" w:rsidP="00A32947">
      <w:r w:rsidRPr="00A32947">
        <w:t>AusNet Services submitted further qualitative analysis of why it considers the Asciano bond would artificially depress the BVAL estimates.</w:t>
      </w:r>
      <w:r w:rsidRPr="00A32947">
        <w:rPr>
          <w:rStyle w:val="FootnoteReference"/>
        </w:rPr>
        <w:footnoteReference w:id="1280"/>
      </w:r>
      <w:r w:rsidRPr="00A32947">
        <w:t xml:space="preserve"> Overall, we consider AusNet's analysis draws unsubstantiated qualitative conclusions about an empirical question of relative valuation. AusNet Services argues that the impact of the takeover bid for Asciano:</w:t>
      </w:r>
    </w:p>
    <w:p w:rsidR="00A32947" w:rsidRPr="00A32947" w:rsidRDefault="00A32947" w:rsidP="00A32947">
      <w:pPr>
        <w:pStyle w:val="AERbulletlistfirststyle"/>
      </w:pPr>
      <w:r w:rsidRPr="00A32947">
        <w:t>would necessarily have led to a downward impact on the yield of the Asciano bond</w:t>
      </w:r>
    </w:p>
    <w:p w:rsidR="00A32947" w:rsidRPr="00A32947" w:rsidRDefault="00A32947" w:rsidP="00A32947">
      <w:pPr>
        <w:pStyle w:val="AERbulletlistfirststyle"/>
      </w:pPr>
      <w:r w:rsidRPr="00A32947">
        <w:t>would have swamped other market impacts on the spread-to-swap of the Asciano bond, such that it was unrepresentative of its sample group.</w:t>
      </w:r>
    </w:p>
    <w:p w:rsidR="00A32947" w:rsidRPr="00A32947" w:rsidRDefault="00A32947" w:rsidP="00A32947">
      <w:r w:rsidRPr="00A32947">
        <w:t>However, we are not satisfied that there is persuasive evidence in support of these arguments. The analysis submitted by CEG and AusNet services may support a conclusion that the movements in the Asciano bond are not representative in the movements of bonds issued in European and American bond markets. However, yields on both the Reuters and BVAL curves have trended downwards since November 2015, where the RBA curve has trended upwards.</w:t>
      </w:r>
      <w:r w:rsidRPr="00A32947">
        <w:rPr>
          <w:rStyle w:val="FootnoteReference"/>
        </w:rPr>
        <w:footnoteReference w:id="1281"/>
      </w:r>
      <w:r w:rsidRPr="00A32947">
        <w:t xml:space="preserve"> As set out in our previous decisions, the BVAL bond criteria includes only AUD denominated bonds.</w:t>
      </w:r>
      <w:r w:rsidRPr="00A32947">
        <w:rPr>
          <w:rStyle w:val="FootnoteReference"/>
        </w:rPr>
        <w:footnoteReference w:id="1282"/>
      </w:r>
      <w:r w:rsidRPr="00A32947">
        <w:t xml:space="preserve"> The Reuters </w:t>
      </w:r>
      <w:r w:rsidR="00CD5533" w:rsidRPr="00A32947">
        <w:t>criteria similarly allow</w:t>
      </w:r>
      <w:r w:rsidRPr="00A32947">
        <w:t xml:space="preserve"> only AUD denominated bonds.</w:t>
      </w:r>
      <w:r w:rsidRPr="00A32947">
        <w:rPr>
          <w:rStyle w:val="FootnoteReference"/>
        </w:rPr>
        <w:footnoteReference w:id="1283"/>
      </w:r>
      <w:r w:rsidRPr="00A32947">
        <w:t xml:space="preserve"> In contrast, the RBA curve includes AUD denominated bonds, but the majority of bonds within the RBA curve are USD or EU denominated.</w:t>
      </w:r>
      <w:r w:rsidRPr="00A32947">
        <w:rPr>
          <w:rStyle w:val="FootnoteReference"/>
        </w:rPr>
        <w:footnoteReference w:id="1284"/>
      </w:r>
      <w:r w:rsidRPr="00A32947">
        <w:t xml:space="preserve"> </w:t>
      </w:r>
    </w:p>
    <w:p w:rsidR="00A32947" w:rsidRPr="00A32947" w:rsidRDefault="00A32947" w:rsidP="00A32947">
      <w:r w:rsidRPr="00A32947">
        <w:t>Further, even to the extent there is a transient downward bias, it is not clear that this would result in a worse estimate of the costs faced by a benchmark efficient entity. We consider that our implementation of the return on debt estimate includes several conservative features:</w:t>
      </w:r>
    </w:p>
    <w:p w:rsidR="00A32947" w:rsidRPr="00A32947" w:rsidRDefault="00A32947" w:rsidP="00A32947">
      <w:pPr>
        <w:pStyle w:val="AERbulletlistfirststyle"/>
      </w:pPr>
      <w:r w:rsidRPr="00A32947">
        <w:t>While we have adopted a 10 year benchmark term, this was based on a weighted average term to maturity of 8.7 years.</w:t>
      </w:r>
      <w:r w:rsidRPr="00A32947">
        <w:rPr>
          <w:rStyle w:val="FootnoteReference"/>
        </w:rPr>
        <w:footnoteReference w:id="1285"/>
      </w:r>
      <w:r w:rsidRPr="00A32947">
        <w:t xml:space="preserve"> We have extrapolated both the RBA and Bloomberg curves for consistency with our benchmark. However, this arguably introduces an upward bias into our estimate in more common circumstances where the yield curve is upward sloping.</w:t>
      </w:r>
    </w:p>
    <w:p w:rsidR="00A32947" w:rsidRPr="00A32947" w:rsidRDefault="00A32947" w:rsidP="00A32947">
      <w:pPr>
        <w:pStyle w:val="AERbulletlistfirststyle"/>
      </w:pPr>
      <w:r w:rsidRPr="00A32947">
        <w:t xml:space="preserve">While we have adopted an industry benchmark credit rating of BBB+, both the BVAL and RBA curves include BBB+, BBB and BBB– rated bonds. </w:t>
      </w:r>
    </w:p>
    <w:p w:rsidR="00A32947" w:rsidRPr="00A32947" w:rsidRDefault="00A32947" w:rsidP="00A32947">
      <w:r w:rsidRPr="00A32947">
        <w:t>Finally, even if we were not to adopt the BVAL 10 year estimate, our final decision would be to adopt the BVAL 7 year estimate extrapolated as per the methodology set out in our contingencies. We are not satisfied that any information submitted by stakeholders raises material new concerns with the BVAL's 7 year estimate that were not considered in previous decisions. Therefore, we remain satisfied that the reasons underlying our choice of approach, as upheld by the Tribunal, remain valid.</w:t>
      </w:r>
      <w:r w:rsidRPr="00A32947">
        <w:rPr>
          <w:rStyle w:val="FootnoteReference"/>
        </w:rPr>
        <w:footnoteReference w:id="1286"/>
      </w:r>
      <w:r w:rsidRPr="00A32947">
        <w:t xml:space="preserve"> To the extent that there are shortcomings in the BVAL curve beyond </w:t>
      </w:r>
      <w:r w:rsidR="00CD5533" w:rsidRPr="00A32947">
        <w:t>its</w:t>
      </w:r>
      <w:r w:rsidRPr="00A32947">
        <w:t xml:space="preserve"> 7 year published estimate, we are not persuaded it is appropriate to discard the BVAL curve altogether. We consider it would remain an important and robust source of information, and would adopt the approach that we used in decisions prior to Bloomberg's publication of a 10 year estimate.</w:t>
      </w:r>
    </w:p>
    <w:p w:rsidR="00A32947" w:rsidRPr="00A32947" w:rsidRDefault="00A32947" w:rsidP="00A32947">
      <w:r w:rsidRPr="00A32947">
        <w:t xml:space="preserve">Over AusNet Services' averaging period, the average 7–10 year extrapolation margins are as set out in </w:t>
      </w:r>
      <w:r w:rsidRPr="00A32947">
        <w:fldChar w:fldCharType="begin"/>
      </w:r>
      <w:r w:rsidRPr="00A32947">
        <w:instrText xml:space="preserve"> REF _Ref449100287 \h </w:instrText>
      </w:r>
      <w:r w:rsidRPr="00A32947">
        <w:fldChar w:fldCharType="separate"/>
      </w:r>
      <w:r w:rsidR="001A023B" w:rsidRPr="00A32947">
        <w:t xml:space="preserve">Table </w:t>
      </w:r>
      <w:r w:rsidR="001A023B">
        <w:rPr>
          <w:noProof/>
        </w:rPr>
        <w:t>3</w:t>
      </w:r>
      <w:r w:rsidR="001A023B">
        <w:noBreakHyphen/>
      </w:r>
      <w:r w:rsidR="001A023B">
        <w:rPr>
          <w:noProof/>
        </w:rPr>
        <w:t>44</w:t>
      </w:r>
      <w:r w:rsidRPr="00A32947">
        <w:fldChar w:fldCharType="end"/>
      </w:r>
      <w:r w:rsidRPr="00A32947">
        <w:t>, below.</w:t>
      </w:r>
    </w:p>
    <w:p w:rsidR="00A32947" w:rsidRPr="00A32947" w:rsidRDefault="00A32947" w:rsidP="00A32947">
      <w:pPr>
        <w:pStyle w:val="Caption"/>
      </w:pPr>
      <w:bookmarkStart w:id="295" w:name="_Ref449100287"/>
      <w:r w:rsidRPr="00A32947">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44</w:t>
      </w:r>
      <w:r w:rsidR="00120312">
        <w:rPr>
          <w:noProof/>
        </w:rPr>
        <w:fldChar w:fldCharType="end"/>
      </w:r>
      <w:bookmarkEnd w:id="295"/>
      <w:r w:rsidRPr="00A32947">
        <w:tab/>
        <w:t>Extrapolation margins—Final decision approach compared to the contingency approach</w:t>
      </w:r>
    </w:p>
    <w:tbl>
      <w:tblPr>
        <w:tblStyle w:val="AERtable-numbers"/>
        <w:tblW w:w="5000" w:type="pct"/>
        <w:tblLook w:val="04A0" w:firstRow="1" w:lastRow="0" w:firstColumn="1" w:lastColumn="0" w:noHBand="0" w:noVBand="1"/>
      </w:tblPr>
      <w:tblGrid>
        <w:gridCol w:w="2898"/>
        <w:gridCol w:w="2897"/>
        <w:gridCol w:w="2898"/>
      </w:tblGrid>
      <w:tr w:rsidR="00A32947" w:rsidTr="00750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32947" w:rsidRPr="00A32947" w:rsidRDefault="00A32947" w:rsidP="00A32947">
            <w:r w:rsidRPr="00A32947">
              <w:t>Approach</w:t>
            </w:r>
          </w:p>
        </w:tc>
        <w:tc>
          <w:tcPr>
            <w:tcW w:w="1666" w:type="pct"/>
          </w:tcPr>
          <w:p w:rsidR="00A32947" w:rsidRPr="00A32947" w:rsidRDefault="00A32947" w:rsidP="00A32947">
            <w:pPr>
              <w:cnfStyle w:val="100000000000" w:firstRow="1" w:lastRow="0" w:firstColumn="0" w:lastColumn="0" w:oddVBand="0" w:evenVBand="0" w:oddHBand="0" w:evenHBand="0" w:firstRowFirstColumn="0" w:firstRowLastColumn="0" w:lastRowFirstColumn="0" w:lastRowLastColumn="0"/>
            </w:pPr>
            <w:r w:rsidRPr="00A32947">
              <w:t>BVAL extrapolation formula</w:t>
            </w:r>
          </w:p>
        </w:tc>
        <w:tc>
          <w:tcPr>
            <w:tcW w:w="1667" w:type="pct"/>
          </w:tcPr>
          <w:p w:rsidR="00A32947" w:rsidRPr="00A32947" w:rsidRDefault="00A32947" w:rsidP="00A32947">
            <w:pPr>
              <w:cnfStyle w:val="100000000000" w:firstRow="1" w:lastRow="0" w:firstColumn="0" w:lastColumn="0" w:oddVBand="0" w:evenVBand="0" w:oddHBand="0" w:evenHBand="0" w:firstRowFirstColumn="0" w:firstRowLastColumn="0" w:lastRowFirstColumn="0" w:lastRowLastColumn="0"/>
            </w:pPr>
            <w:r w:rsidRPr="00A32947">
              <w:t>BVAL extrapolation margin</w:t>
            </w:r>
          </w:p>
        </w:tc>
      </w:tr>
      <w:tr w:rsidR="00A32947" w:rsidTr="007505A3">
        <w:tc>
          <w:tcPr>
            <w:cnfStyle w:val="001000000000" w:firstRow="0" w:lastRow="0" w:firstColumn="1" w:lastColumn="0" w:oddVBand="0" w:evenVBand="0" w:oddHBand="0" w:evenHBand="0" w:firstRowFirstColumn="0" w:firstRowLastColumn="0" w:lastRowFirstColumn="0" w:lastRowLastColumn="0"/>
            <w:tcW w:w="1666" w:type="pct"/>
          </w:tcPr>
          <w:p w:rsidR="00A32947" w:rsidRPr="00A32947" w:rsidRDefault="00A32947" w:rsidP="00A32947">
            <w:r w:rsidRPr="00A32947">
              <w:t>Final decision approach</w:t>
            </w:r>
          </w:p>
        </w:tc>
        <w:tc>
          <w:tcPr>
            <w:tcW w:w="1666" w:type="pct"/>
          </w:tcPr>
          <w:p w:rsidR="00A32947" w:rsidRPr="00A32947" w:rsidRDefault="00A32947" w:rsidP="00A32947">
            <w:pPr>
              <w:cnfStyle w:val="000000000000" w:firstRow="0" w:lastRow="0" w:firstColumn="0" w:lastColumn="0" w:oddVBand="0" w:evenVBand="0" w:oddHBand="0" w:evenHBand="0" w:firstRowFirstColumn="0" w:firstRowLastColumn="0" w:lastRowFirstColumn="0" w:lastRowLastColumn="0"/>
            </w:pPr>
            <w:r w:rsidRPr="00A32947">
              <w:t>Uses published BVAL 10 year yield estimate</w:t>
            </w:r>
          </w:p>
        </w:tc>
        <w:tc>
          <w:tcPr>
            <w:tcW w:w="1667" w:type="pct"/>
          </w:tcPr>
          <w:p w:rsidR="00A32947" w:rsidRPr="00A32947" w:rsidRDefault="00A32947" w:rsidP="00A32947">
            <w:pPr>
              <w:cnfStyle w:val="000000000000" w:firstRow="0" w:lastRow="0" w:firstColumn="0" w:lastColumn="0" w:oddVBand="0" w:evenVBand="0" w:oddHBand="0" w:evenHBand="0" w:firstRowFirstColumn="0" w:firstRowLastColumn="0" w:lastRowFirstColumn="0" w:lastRowLastColumn="0"/>
            </w:pPr>
            <w:r w:rsidRPr="00A32947">
              <w:t>+39 basis points</w:t>
            </w:r>
          </w:p>
        </w:tc>
      </w:tr>
      <w:tr w:rsidR="00A32947" w:rsidTr="007505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32947" w:rsidRPr="00A32947" w:rsidRDefault="00A32947" w:rsidP="00A32947">
            <w:r w:rsidRPr="00A32947">
              <w:t>Contingency approach— where BVAL 10 year published estimate is unavailable</w:t>
            </w:r>
          </w:p>
        </w:tc>
        <w:tc>
          <w:tcPr>
            <w:tcW w:w="1666" w:type="pct"/>
          </w:tcPr>
          <w:p w:rsidR="00A32947" w:rsidRPr="00A32947" w:rsidRDefault="00A32947" w:rsidP="00A32947">
            <w:pPr>
              <w:cnfStyle w:val="000000010000" w:firstRow="0" w:lastRow="0" w:firstColumn="0" w:lastColumn="0" w:oddVBand="0" w:evenVBand="0" w:oddHBand="0" w:evenHBand="1" w:firstRowFirstColumn="0" w:firstRowLastColumn="0" w:lastRowFirstColumn="0" w:lastRowLastColumn="0"/>
            </w:pPr>
            <w:r w:rsidRPr="00A32947">
              <w:t>BVAL 10 year yield = BVAL published 7 year yield + RBA 10 year yield – RBA 7 year yield</w:t>
            </w:r>
          </w:p>
        </w:tc>
        <w:tc>
          <w:tcPr>
            <w:tcW w:w="1667" w:type="pct"/>
          </w:tcPr>
          <w:p w:rsidR="00A32947" w:rsidRPr="00A32947" w:rsidRDefault="00A32947" w:rsidP="00A32947">
            <w:pPr>
              <w:cnfStyle w:val="000000010000" w:firstRow="0" w:lastRow="0" w:firstColumn="0" w:lastColumn="0" w:oddVBand="0" w:evenVBand="0" w:oddHBand="0" w:evenHBand="1" w:firstRowFirstColumn="0" w:firstRowLastColumn="0" w:lastRowFirstColumn="0" w:lastRowLastColumn="0"/>
            </w:pPr>
            <w:r w:rsidRPr="00A32947">
              <w:t>–16 basis points</w:t>
            </w:r>
          </w:p>
        </w:tc>
      </w:tr>
    </w:tbl>
    <w:p w:rsidR="00A32947" w:rsidRPr="00A32947" w:rsidRDefault="00A32947" w:rsidP="00A32947">
      <w:pPr>
        <w:pStyle w:val="AERtablesource"/>
      </w:pPr>
      <w:r w:rsidRPr="00A32947">
        <w:t>Source:</w:t>
      </w:r>
      <w:r w:rsidRPr="00A32947">
        <w:tab/>
        <w:t>AER, RBA, Bloomberg.</w:t>
      </w:r>
    </w:p>
    <w:p w:rsidR="00A32947" w:rsidRPr="00A32947" w:rsidRDefault="00A32947" w:rsidP="00A32947">
      <w:r w:rsidRPr="00A32947">
        <w:t>Therefore, if we were to agree with CEG and AusNet Services' criticisms of the published BVAL 10 year estimate, our next preferred approach would result in a reduction to the BVAL estimate of 55 basis points. We note that this extrapolation approach was upheld by the Tribunal after being appealed by Ausgrid, Endeavour Energy, Essential Energy and Jemena Gas Network and that no party sought to challenge those findings on appeal.</w:t>
      </w:r>
      <w:r w:rsidRPr="00A32947">
        <w:rPr>
          <w:rStyle w:val="FootnoteReference"/>
        </w:rPr>
        <w:footnoteReference w:id="1287"/>
      </w:r>
    </w:p>
    <w:p w:rsidR="00A32947" w:rsidRPr="00A32947" w:rsidRDefault="00A32947" w:rsidP="00A32947">
      <w:pPr>
        <w:pStyle w:val="HeadingBoldBlue"/>
        <w:rPr>
          <w:rStyle w:val="AERtextitalic"/>
        </w:rPr>
      </w:pPr>
      <w:r w:rsidRPr="00A32947">
        <w:rPr>
          <w:rStyle w:val="AERtextitalic"/>
        </w:rPr>
        <w:t>CEG's analysis of sample size</w:t>
      </w:r>
    </w:p>
    <w:p w:rsidR="00A32947" w:rsidRPr="00A32947" w:rsidRDefault="00A32947" w:rsidP="00A32947">
      <w:r w:rsidRPr="00A32947">
        <w:t>In its reports, CEG has criticised the relatively smaller sample size arising from the BVAL selection criteria compared to the RBA selection criteria.</w:t>
      </w:r>
      <w:r w:rsidRPr="00A32947">
        <w:rPr>
          <w:rStyle w:val="FootnoteReference"/>
        </w:rPr>
        <w:footnoteReference w:id="1288"/>
      </w:r>
      <w:r w:rsidRPr="00A32947">
        <w:t xml:space="preserve"> We agree that a large sample size is clearly preferable to a smaller sample where it is clear that the data is of as good or better quality. However:</w:t>
      </w:r>
    </w:p>
    <w:p w:rsidR="00A32947" w:rsidRPr="00A32947" w:rsidRDefault="00A32947" w:rsidP="00A32947">
      <w:pPr>
        <w:pStyle w:val="AERbulletlistfirststyle"/>
      </w:pPr>
      <w:r w:rsidRPr="00A32947">
        <w:t>where it is not clear that the data is of as good or better quality, it is a complex exercise to determine whether the benefits of a larger sample outweigh the disadvantages of lower quality data</w:t>
      </w:r>
    </w:p>
    <w:p w:rsidR="00A32947" w:rsidRPr="00A32947" w:rsidRDefault="00A32947" w:rsidP="00A32947">
      <w:pPr>
        <w:pStyle w:val="AERbulletlistfirststyle"/>
      </w:pPr>
      <w:r w:rsidRPr="00A32947">
        <w:t>a smaller sample does not imply that a curve is not fit for purpose. A larger sample of high quality data is an advantageous feature of a curve, however it needs to be considered in the context of all of the curve's other features and criteria.</w:t>
      </w:r>
    </w:p>
    <w:p w:rsidR="00A32947" w:rsidRPr="00A32947" w:rsidRDefault="00A32947" w:rsidP="00A32947">
      <w:r w:rsidRPr="00A32947">
        <w:t>Importantly, the size of the bond sample underlying a particular curve is an outcome of the bond selection criteria. Both Lally and the ACCC Regulatory Economics unit assessed the bond selection criteria and advised that while the two sets of criteria were different, neither was clearly superior.</w:t>
      </w:r>
      <w:r w:rsidRPr="00A32947">
        <w:rPr>
          <w:rStyle w:val="FootnoteReference"/>
        </w:rPr>
        <w:footnoteReference w:id="1289"/>
      </w:r>
      <w:r w:rsidRPr="00A32947">
        <w:t xml:space="preserve"> While we agree that individual estimates RBA curve is based on a larger data sample, we are not persuaded that the relatively smaller BVAL sample will not contribute to an estimate which achieves the allowed rate of return objective.</w:t>
      </w:r>
    </w:p>
    <w:p w:rsidR="00A32947" w:rsidRPr="00A32947" w:rsidRDefault="00A32947" w:rsidP="00A32947">
      <w:r w:rsidRPr="00A32947">
        <w:t>In addition, we consider CEG has not fully addressed the impact of sample size on the estimates. Where the RBA curve may include more bonds in each individual observation, the RBA only publishes estimates for one day in each month. As a consequence, we need to interpolate between month-end estimates in order to have a daily yield series. The impact of this is that, where we adopt the RBA estimate, we only have 12 data points for the spread to CGS that are used to produce a full year of estimates. In contrast, the BVAL curve is published daily, which means that we have approximately 20 times as many data points for estimating the spread-to-swap over the course of a month compared to the RBA curve.</w:t>
      </w:r>
      <w:r w:rsidRPr="00A32947">
        <w:rPr>
          <w:rStyle w:val="FootnoteReference"/>
        </w:rPr>
        <w:footnoteReference w:id="1290"/>
      </w:r>
    </w:p>
    <w:p w:rsidR="00A32947" w:rsidRPr="00A32947" w:rsidRDefault="00A32947" w:rsidP="00A32947">
      <w:r w:rsidRPr="00A32947">
        <w:t xml:space="preserve">We are broadly satisfied that linear interpolation is reasonable and is unlikely to be biased. However, service providers can and have adopted averaging periods as short as 10 business days within a month. It is plausible that linear interpolation for these short averaging periods results in an underestimate or overestimate of the daily spreads to swap. </w:t>
      </w:r>
    </w:p>
    <w:p w:rsidR="00A32947" w:rsidRPr="00A32947" w:rsidRDefault="00A32947" w:rsidP="00A32947">
      <w:pPr>
        <w:pStyle w:val="Caption"/>
      </w:pPr>
      <w:r w:rsidRPr="00A32947">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24</w:t>
      </w:r>
      <w:r w:rsidR="00120312">
        <w:rPr>
          <w:noProof/>
        </w:rPr>
        <w:fldChar w:fldCharType="end"/>
      </w:r>
      <w:r w:rsidRPr="00A32947">
        <w:tab/>
        <w:t>Illustration of monthly publication on sample size and error</w:t>
      </w:r>
    </w:p>
    <w:p w:rsidR="00A32947" w:rsidRPr="00A32947" w:rsidRDefault="00A32947" w:rsidP="00A32947">
      <w:r w:rsidRPr="00A32947">
        <w:rPr>
          <w:noProof/>
          <w:lang w:eastAsia="en-AU"/>
        </w:rPr>
        <w:drawing>
          <wp:inline distT="0" distB="0" distL="0" distR="0" wp14:anchorId="1BA75A83" wp14:editId="7E481E24">
            <wp:extent cx="5334635" cy="3243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635" cy="3243580"/>
                    </a:xfrm>
                    <a:prstGeom prst="rect">
                      <a:avLst/>
                    </a:prstGeom>
                    <a:noFill/>
                  </pic:spPr>
                </pic:pic>
              </a:graphicData>
            </a:graphic>
          </wp:inline>
        </w:drawing>
      </w:r>
    </w:p>
    <w:p w:rsidR="00A32947" w:rsidRPr="00A32947" w:rsidRDefault="00A32947" w:rsidP="00A32947">
      <w:r w:rsidRPr="00A32947">
        <w:t xml:space="preserve">In addition, the RBA's publication of data on one day a month masks any underlying daily volatility in its estimates. </w:t>
      </w:r>
    </w:p>
    <w:p w:rsidR="00A32947" w:rsidRPr="00A32947" w:rsidRDefault="00A32947" w:rsidP="00A32947">
      <w:r w:rsidRPr="00A32947">
        <w:t>In its February 2016 submission, AusNet Services criticised the BVAL curve on the basis that '[h]owever, despite the high level of volatility in financial markets, the spread implied by the BVAL 10 year curve has remained flat between December 2015 and January 2016.'</w:t>
      </w:r>
      <w:r w:rsidRPr="00A32947">
        <w:rPr>
          <w:rStyle w:val="FootnoteReference"/>
        </w:rPr>
        <w:footnoteReference w:id="1291"/>
      </w:r>
      <w:r w:rsidRPr="00A32947">
        <w:t xml:space="preserve"> We do not agree that AusNet Services' submission should inform conclusions about the underlying performance of the curve. Its conclusion depends on a qualitative comparison of the movements in a yield curve that is published by an independent third party market expert against AusNet Services' own expectations of how yields should have reacted. However, it is not reliably possible to assess the underlying volatility in the RBA curve due to its publication of substantially fewer estimates. We therefore are not satisfied that this is a reasonable basis on which to reach a conclusion about which of the RBA or BVAL curves is more likely to result in an estimate which contributes to achievement of the allowed rate of return objective.  </w:t>
      </w:r>
    </w:p>
    <w:p w:rsidR="00A32947" w:rsidRPr="00A32947" w:rsidRDefault="00A32947" w:rsidP="00A32947">
      <w:pPr>
        <w:pStyle w:val="HeadingBoldBlue"/>
        <w:rPr>
          <w:rStyle w:val="AERtextitalic"/>
        </w:rPr>
      </w:pPr>
      <w:r w:rsidRPr="00A32947">
        <w:rPr>
          <w:rStyle w:val="AERtextitalic"/>
        </w:rPr>
        <w:t>CEG's analysis of foreign bonds</w:t>
      </w:r>
    </w:p>
    <w:p w:rsidR="00A32947" w:rsidRPr="00A32947" w:rsidRDefault="00A32947" w:rsidP="00A32947">
      <w:r w:rsidRPr="00A32947">
        <w:t>We are not persuaded that CEG's analysis of foreign bond issuance demonstrates that a combination of the RBA and BVAL curves will not contribute to an estimate which achieves the allowed rate of return objective. CEG has made two distinct arguments relating to foreign bond issuance:</w:t>
      </w:r>
    </w:p>
    <w:p w:rsidR="00A32947" w:rsidRPr="00A32947" w:rsidRDefault="00A32947" w:rsidP="00A32947">
      <w:pPr>
        <w:pStyle w:val="AERbulletlistfirststyle"/>
      </w:pPr>
      <w:r w:rsidRPr="00A32947">
        <w:t>CEG submits that Australian companies have tended to issue long term debt in foreign debt markets</w:t>
      </w:r>
    </w:p>
    <w:p w:rsidR="00A32947" w:rsidRPr="00A32947" w:rsidRDefault="00A32947" w:rsidP="00A32947">
      <w:pPr>
        <w:pStyle w:val="AERbulletlistfirststyle"/>
      </w:pPr>
      <w:r w:rsidRPr="00A32947">
        <w:t>CEG has argued that the Asciano bond is behaving in a way unrepresentative of the benchmark entity with exclusive reference to price movements of foreign bonds.</w:t>
      </w:r>
    </w:p>
    <w:p w:rsidR="00A32947" w:rsidRPr="00A32947" w:rsidRDefault="00A32947" w:rsidP="00A32947">
      <w:r w:rsidRPr="00A32947">
        <w:t>CEG has also submitted analysis suggesting that the RBA curve better reflects the benchmark efficient entity's debt raising practices because Australian companies with long term debt currently on issue have typically done so in overseas markets.</w:t>
      </w:r>
      <w:r w:rsidRPr="00A32947">
        <w:rPr>
          <w:rStyle w:val="FootnoteReference"/>
        </w:rPr>
        <w:footnoteReference w:id="1292"/>
      </w:r>
      <w:r w:rsidRPr="00A32947">
        <w:t xml:space="preserve"> CEG submits that there are two primary reasons for Australian firms commonly issuing foreign currency debt, being:</w:t>
      </w:r>
      <w:r w:rsidRPr="00A32947">
        <w:rPr>
          <w:rStyle w:val="FootnoteReference"/>
        </w:rPr>
        <w:footnoteReference w:id="1293"/>
      </w:r>
    </w:p>
    <w:p w:rsidR="00A32947" w:rsidRPr="00A32947" w:rsidRDefault="00A32947" w:rsidP="00A32947">
      <w:pPr>
        <w:pStyle w:val="AERquotebullet1"/>
      </w:pPr>
      <w:r w:rsidRPr="00A32947">
        <w:t>First, the demand for long dated corporate debt is deepest in foreign currency markets, which means that this will often be the least expensive market in which to issue long dated debt. This is consistent with the data that suggests that the use of foreign currency debt is higher for longer dated debt.</w:t>
      </w:r>
    </w:p>
    <w:p w:rsidR="00A32947" w:rsidRPr="00A32947" w:rsidRDefault="00A32947" w:rsidP="00A32947">
      <w:pPr>
        <w:pStyle w:val="AERquotebullet1"/>
      </w:pPr>
      <w:r w:rsidRPr="00A32947">
        <w:t>Second, there are benefits from diversifying funding sources and maintaining a presence (relationship with funders) in a number of markets so that these markets can be used in future as needed</w:t>
      </w:r>
    </w:p>
    <w:p w:rsidR="00A32947" w:rsidRPr="00A32947" w:rsidRDefault="00A32947" w:rsidP="00A32947">
      <w:r w:rsidRPr="00A32947">
        <w:t>However, in recommending a choice of data series over this period, CEG has recommended adopting the Bloomberg and RBA estimates extrapolated using the AER approach. For example, in an April 2015 report submitted by AusNet Services, CEG concluded that:</w:t>
      </w:r>
      <w:r w:rsidRPr="00A32947">
        <w:rPr>
          <w:rStyle w:val="FootnoteReference"/>
        </w:rPr>
        <w:footnoteReference w:id="1294"/>
      </w:r>
    </w:p>
    <w:p w:rsidR="00A32947" w:rsidRPr="00A32947" w:rsidRDefault="00A32947" w:rsidP="00A32947">
      <w:pPr>
        <w:pStyle w:val="AERquote"/>
      </w:pPr>
      <w:r w:rsidRPr="00A32947">
        <w:t>Our best estimate of the 9 year trailing average DRP is 2.41%, which sits in the middle of the single lowest and highest values. Our best estimate is derived by giving equal weight to the Bloomberg and RBA curves, and using the AER draft decision extrapolation methodology for the years 2005/06 to 2013/14.</w:t>
      </w:r>
    </w:p>
    <w:p w:rsidR="00A32947" w:rsidRPr="00A32947" w:rsidRDefault="00A32947" w:rsidP="00A32947">
      <w:r w:rsidRPr="00A32947">
        <w:t xml:space="preserve">For the reasons set out in this and previous decisions, we are not persuaded by the approach CEG has adopted for testing which curve or combination of curves should apply. Nonetheless, its own analysis appears to indicate that a simple average of the Bloomberg and RBA curves is representative of the costs faced by a benchmark efficient entity over the preceding 9 years. Therefore, regardless of whether Australian bond issuance is predominantly domestic or foreign, CEG's analysis appears to suggest that a combination of the BVAL and RBA curves has been reflective of those costs over multiple regulatory periods. </w:t>
      </w:r>
    </w:p>
    <w:p w:rsidR="00A32947" w:rsidRPr="00A32947" w:rsidRDefault="00A32947" w:rsidP="00A32947">
      <w:r w:rsidRPr="00A32947">
        <w:t>Further, to the extent that foreign debt issuance becomes materially more expensive than domestic debt issuance, we would expect that a benchmark efficient entity might seek to issue a greater proportion of its new debt domestically, and/or at shorter terms. We are satisfied that this is an available and viable strategy. It also appears to be consistent with CEG's submission that longer term foreign debt issuance is attractive because it is relatively less expensive.</w:t>
      </w:r>
      <w:r w:rsidRPr="00A32947">
        <w:rPr>
          <w:rStyle w:val="FootnoteReference"/>
        </w:rPr>
        <w:footnoteReference w:id="1295"/>
      </w:r>
      <w:r w:rsidRPr="00A32947">
        <w:t xml:space="preserve"> Specifically, CEG's analysis suggests that service providers will seek debt raising strategies at least in part where they are less costly.</w:t>
      </w:r>
    </w:p>
    <w:p w:rsidR="00A32947" w:rsidRPr="00A32947" w:rsidRDefault="00A32947" w:rsidP="00A32947">
      <w:r w:rsidRPr="00A32947">
        <w:t>As identified by Chairmont, service providers have a number of options for efficiently departing from the strict benchmark characteristics, including amongst other strategies:</w:t>
      </w:r>
    </w:p>
    <w:p w:rsidR="00A32947" w:rsidRPr="00A32947" w:rsidRDefault="00A32947" w:rsidP="00A32947">
      <w:pPr>
        <w:pStyle w:val="AERbulletlistfirststyle"/>
      </w:pPr>
      <w:r w:rsidRPr="00A32947">
        <w:t>issuing shorter term debt or longer term debt than the 10 year benchmark</w:t>
      </w:r>
    </w:p>
    <w:p w:rsidR="00A32947" w:rsidRPr="00A32947" w:rsidRDefault="00A32947" w:rsidP="00A32947">
      <w:pPr>
        <w:pStyle w:val="AERbulletlistfirststyle"/>
      </w:pPr>
      <w:r w:rsidRPr="00A32947">
        <w:t>issuing 'lumpy' debt where market conditions are favourable and reducing debt issuance where they are unfavourable.</w:t>
      </w:r>
      <w:r w:rsidRPr="00A32947">
        <w:rPr>
          <w:rStyle w:val="FootnoteReference"/>
        </w:rPr>
        <w:footnoteReference w:id="1296"/>
      </w:r>
    </w:p>
    <w:p w:rsidR="00A32947" w:rsidRPr="00A32947" w:rsidRDefault="00A32947" w:rsidP="00A32947">
      <w:r w:rsidRPr="00A32947">
        <w:t xml:space="preserve">These options appear to be consistent with the actual practices of the service providers. For example, during the </w:t>
      </w:r>
      <w:r w:rsidR="0020662F">
        <w:t>G</w:t>
      </w:r>
      <w:r w:rsidRPr="00A32947">
        <w:t>uideline, the ENA provided debt issuance information for eleven privately owned service providers.</w:t>
      </w:r>
      <w:r w:rsidRPr="00A32947">
        <w:rPr>
          <w:rStyle w:val="FootnoteReference"/>
        </w:rPr>
        <w:footnoteReference w:id="1297"/>
      </w:r>
      <w:r w:rsidRPr="00A32947">
        <w:t xml:space="preserve"> This evidence supported a conclusion that service providers raised debt using:</w:t>
      </w:r>
    </w:p>
    <w:p w:rsidR="00A32947" w:rsidRPr="00A32947" w:rsidRDefault="00A32947" w:rsidP="00A32947">
      <w:pPr>
        <w:pStyle w:val="AERbulletlistfirststyle"/>
      </w:pPr>
      <w:r w:rsidRPr="00A32947">
        <w:t>bank debt and commercial paper which have issuance tenors of between 1 month and 7.0 years</w:t>
      </w:r>
    </w:p>
    <w:p w:rsidR="00A32947" w:rsidRPr="00A32947" w:rsidRDefault="00A32947" w:rsidP="00A32947">
      <w:pPr>
        <w:pStyle w:val="AERbulletlistfirststyle"/>
      </w:pPr>
      <w:r w:rsidRPr="00A32947">
        <w:t>Australian bonds which have issuance tenors of between 2.7 and 21.3 years</w:t>
      </w:r>
    </w:p>
    <w:p w:rsidR="00A32947" w:rsidRPr="00A32947" w:rsidRDefault="00A32947" w:rsidP="00A32947">
      <w:pPr>
        <w:pStyle w:val="AERbulletlistfirststyle"/>
      </w:pPr>
      <w:r w:rsidRPr="00A32947">
        <w:t>offshore bonds which have tenors of between 4 and 30 years.</w:t>
      </w:r>
      <w:r w:rsidRPr="00A32947">
        <w:rPr>
          <w:rStyle w:val="FootnoteReference"/>
        </w:rPr>
        <w:footnoteReference w:id="1298"/>
      </w:r>
    </w:p>
    <w:p w:rsidR="00A32947" w:rsidRPr="00A32947" w:rsidRDefault="00A32947" w:rsidP="00A32947">
      <w:r w:rsidRPr="00A32947">
        <w:fldChar w:fldCharType="begin"/>
      </w:r>
      <w:r w:rsidRPr="00A32947">
        <w:instrText xml:space="preserve"> REF _Ref444861217 \h </w:instrText>
      </w:r>
      <w:r w:rsidRPr="00A32947">
        <w:fldChar w:fldCharType="separate"/>
      </w:r>
      <w:r w:rsidR="001A023B" w:rsidRPr="00A32947">
        <w:t xml:space="preserve">Figure </w:t>
      </w:r>
      <w:r w:rsidR="001A023B">
        <w:rPr>
          <w:noProof/>
        </w:rPr>
        <w:t>3</w:t>
      </w:r>
      <w:r w:rsidR="001A023B">
        <w:noBreakHyphen/>
      </w:r>
      <w:r w:rsidR="001A023B">
        <w:rPr>
          <w:noProof/>
        </w:rPr>
        <w:t>25</w:t>
      </w:r>
      <w:r w:rsidRPr="00A32947">
        <w:fldChar w:fldCharType="end"/>
      </w:r>
      <w:r w:rsidRPr="00A32947">
        <w:t>, below, charts the range of term issuances. This illustrates that while many bond issuances are at 10 years or more, service providers commonly raise debt at shorter terms as part of their portfolio. Further, with respect to bond issuance since 2009, a greater proportion of borrowing appears to have been done at terms less than 10 years.</w:t>
      </w:r>
    </w:p>
    <w:p w:rsidR="00A32947" w:rsidRPr="00A32947" w:rsidRDefault="00A32947" w:rsidP="00A32947">
      <w:pPr>
        <w:pStyle w:val="Caption"/>
      </w:pPr>
      <w:bookmarkStart w:id="296" w:name="_Ref444861217"/>
      <w:r w:rsidRPr="00A32947">
        <w:t xml:space="preserve">Figure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2512D4">
        <w:noBreakHyphen/>
      </w:r>
      <w:r w:rsidR="00120312">
        <w:fldChar w:fldCharType="begin"/>
      </w:r>
      <w:r w:rsidR="00120312">
        <w:instrText xml:space="preserve"> SEQ Figure \* ARABIC \s 1 </w:instrText>
      </w:r>
      <w:r w:rsidR="00120312">
        <w:fldChar w:fldCharType="separate"/>
      </w:r>
      <w:r w:rsidR="001A023B">
        <w:rPr>
          <w:noProof/>
        </w:rPr>
        <w:t>25</w:t>
      </w:r>
      <w:r w:rsidR="00120312">
        <w:rPr>
          <w:noProof/>
        </w:rPr>
        <w:fldChar w:fldCharType="end"/>
      </w:r>
      <w:bookmarkEnd w:id="296"/>
      <w:r w:rsidRPr="00A32947">
        <w:tab/>
        <w:t>Service providers' terms at issuance of bonds (as at 30 June-20 September 2013 years)</w:t>
      </w:r>
    </w:p>
    <w:p w:rsidR="00A32947" w:rsidRPr="00A32947" w:rsidRDefault="00A32947" w:rsidP="00A32947">
      <w:pPr>
        <w:pStyle w:val="AERbulletlistfirststyle"/>
      </w:pPr>
      <w:r w:rsidRPr="00A32947">
        <w:rPr>
          <w:noProof/>
          <w:lang w:eastAsia="en-AU"/>
        </w:rPr>
        <w:drawing>
          <wp:inline distT="0" distB="0" distL="0" distR="0" wp14:anchorId="199603EB" wp14:editId="2B20FBA1">
            <wp:extent cx="5180953" cy="3485715"/>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80953" cy="3485715"/>
                    </a:xfrm>
                    <a:prstGeom prst="rect">
                      <a:avLst/>
                    </a:prstGeom>
                  </pic:spPr>
                </pic:pic>
              </a:graphicData>
            </a:graphic>
          </wp:inline>
        </w:drawing>
      </w:r>
    </w:p>
    <w:p w:rsidR="00A32947" w:rsidRPr="00A32947" w:rsidRDefault="00A32947" w:rsidP="00A32947">
      <w:pPr>
        <w:pStyle w:val="AERtablesource"/>
      </w:pPr>
      <w:r w:rsidRPr="00A32947">
        <w:t xml:space="preserve">Source: </w:t>
      </w:r>
      <w:r w:rsidRPr="00A32947">
        <w:tab/>
        <w:t>ENA provided eleven business debt portfolios, AER analysis.</w:t>
      </w:r>
    </w:p>
    <w:p w:rsidR="00A32947" w:rsidRPr="00A32947" w:rsidRDefault="00A32947" w:rsidP="00A32947">
      <w:pPr>
        <w:pStyle w:val="AERtablesource"/>
      </w:pPr>
      <w:r w:rsidRPr="00A32947">
        <w:t xml:space="preserve">Note: </w:t>
      </w:r>
      <w:r w:rsidRPr="00A32947">
        <w:tab/>
        <w:t>Two businesses provided portfolio information as at 30 June 2013, eight as at 30 August 2013 and one as at 20 September 2013.</w:t>
      </w:r>
    </w:p>
    <w:p w:rsidR="00A32947" w:rsidRPr="00A32947" w:rsidRDefault="00A32947" w:rsidP="00A32947">
      <w:r w:rsidRPr="00A32947">
        <w:t>Therefore, while there may be divergent conditions between domestic and foreign bond markets at a point in time, we are not persuaded that a simple average of the BVAL and RBA curves will not result in an estimate that reflects the costs faced by a benchmark efficient entity. To the extent that domestic debt as captured in the BVAL curve appears to be relatively less costly than overseas debt, we are satisfied that service providers are able to respond to these changing conditions. We remain satisfied that a simple average of the BVAL and RBA curves will contribute to an estimate that achieves the allowed rate of return objective.</w:t>
      </w:r>
    </w:p>
    <w:p w:rsidR="00A32947" w:rsidRPr="00A32947" w:rsidRDefault="00A32947" w:rsidP="00A32947">
      <w:pPr>
        <w:pStyle w:val="Heading8"/>
      </w:pPr>
      <w:bookmarkStart w:id="297" w:name="_Toc449624779"/>
      <w:bookmarkStart w:id="298" w:name="_Toc451945521"/>
      <w:r w:rsidRPr="00A32947">
        <w:t>Other issues</w:t>
      </w:r>
      <w:bookmarkEnd w:id="297"/>
      <w:bookmarkEnd w:id="298"/>
    </w:p>
    <w:p w:rsidR="00A32947" w:rsidRPr="00A32947" w:rsidRDefault="00A32947" w:rsidP="00A32947">
      <w:r w:rsidRPr="00A32947">
        <w:t>This section sets out our analysis of other issues raised by CEG. Specifically, we address:</w:t>
      </w:r>
    </w:p>
    <w:p w:rsidR="00A32947" w:rsidRPr="00A32947" w:rsidRDefault="00A32947" w:rsidP="00A32947">
      <w:pPr>
        <w:pStyle w:val="AERbulletlistfirststyle"/>
      </w:pPr>
      <w:r w:rsidRPr="00A32947">
        <w:t>CEG's new criteria for selecting bonds and their impact on weighting</w:t>
      </w:r>
    </w:p>
    <w:p w:rsidR="00A32947" w:rsidRPr="00A32947" w:rsidRDefault="00A32947" w:rsidP="00A32947">
      <w:pPr>
        <w:pStyle w:val="AERbulletlistfirststyle"/>
      </w:pPr>
      <w:r w:rsidRPr="00A32947">
        <w:t>Analysis of the mean squared error (MSE) for determining weighting</w:t>
      </w:r>
    </w:p>
    <w:p w:rsidR="00A32947" w:rsidRPr="00A32947" w:rsidRDefault="00A32947" w:rsidP="00BB7AE6">
      <w:pPr>
        <w:pStyle w:val="HeadingBoldBlue"/>
        <w:keepNext/>
        <w:rPr>
          <w:rStyle w:val="AERtextitalic"/>
          <w:rFonts w:eastAsiaTheme="minorHAnsi" w:cs="Times New Roman"/>
          <w:b w:val="0"/>
          <w:bCs w:val="0"/>
          <w:color w:val="auto"/>
          <w:sz w:val="22"/>
        </w:rPr>
      </w:pPr>
      <w:r w:rsidRPr="00A32947">
        <w:rPr>
          <w:rStyle w:val="AERtextitalic"/>
        </w:rPr>
        <w:t>Weighting and criteria</w:t>
      </w:r>
    </w:p>
    <w:p w:rsidR="00A32947" w:rsidRPr="00A32947" w:rsidRDefault="00A32947" w:rsidP="00BB7AE6">
      <w:pPr>
        <w:keepNext/>
      </w:pPr>
      <w:r w:rsidRPr="00A32947">
        <w:t>In the event that we were to consider inclusion of additional curves in future, we are not persuaded by the methodology adopted by CEG to justify a recommendation of either 100% reliance on the RBA curve, or of unequal weighting between curves.</w:t>
      </w:r>
      <w:r w:rsidRPr="00A32947">
        <w:rPr>
          <w:rStyle w:val="FootnoteReference"/>
        </w:rPr>
        <w:footnoteReference w:id="1299"/>
      </w:r>
      <w:r w:rsidRPr="00A32947">
        <w:t xml:space="preserve"> This particular weighting appears arbitrary and is based on qualitative criteria set out by CEG which do not appear to improve on or replace the set of principles that were set out in the </w:t>
      </w:r>
      <w:r w:rsidR="0020662F">
        <w:t>G</w:t>
      </w:r>
      <w:r w:rsidRPr="00A32947">
        <w:t>uideline and consulted on more widely.</w:t>
      </w:r>
      <w:r w:rsidRPr="00A32947">
        <w:rPr>
          <w:rStyle w:val="FootnoteReference"/>
        </w:rPr>
        <w:footnoteReference w:id="1300"/>
      </w:r>
      <w:r w:rsidRPr="00A32947">
        <w:t xml:space="preserve"> As noted recently by the Tribunal in relation to the choice of data sets adopted in our guideline:</w:t>
      </w:r>
    </w:p>
    <w:p w:rsidR="00A32947" w:rsidRPr="00A32947" w:rsidRDefault="00A32947" w:rsidP="00A32947">
      <w:pPr>
        <w:pStyle w:val="AERquote"/>
      </w:pPr>
      <w:r w:rsidRPr="00A32947">
        <w:t>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  For the purposes of the relevant Final Decisions, the AER does not positively find that the RBA curve was clearly superior to the BVAL curve, so that its averaging of the two curves was an acceptable measure of the DRP.</w:t>
      </w:r>
      <w:r w:rsidRPr="00A32947">
        <w:rPr>
          <w:rStyle w:val="FootnoteReference"/>
        </w:rPr>
        <w:footnoteReference w:id="1301"/>
      </w:r>
    </w:p>
    <w:p w:rsidR="00A32947" w:rsidRPr="00A32947" w:rsidRDefault="00A32947" w:rsidP="00A32947">
      <w:r w:rsidRPr="00A32947">
        <w:t xml:space="preserve">We remain satisfied that our criteria developed and applied in the </w:t>
      </w:r>
      <w:r w:rsidR="0020662F">
        <w:t>G</w:t>
      </w:r>
      <w:r w:rsidRPr="00A32947">
        <w:t>uideline and subsequent decisions remain fit for purpose. Further, we are satisfied that application of these criteria will contribute to estimates that will achieve the allowed rate of return objective.</w:t>
      </w:r>
    </w:p>
    <w:p w:rsidR="00A32947" w:rsidRPr="00A32947" w:rsidRDefault="00A32947" w:rsidP="00A32947">
      <w:pPr>
        <w:pStyle w:val="HeadingBoldBlue"/>
        <w:rPr>
          <w:rStyle w:val="AERtextitalic"/>
        </w:rPr>
      </w:pPr>
      <w:r w:rsidRPr="00A32947">
        <w:rPr>
          <w:rStyle w:val="AERtextitalic"/>
        </w:rPr>
        <w:t>Mean squared error</w:t>
      </w:r>
    </w:p>
    <w:p w:rsidR="00A32947" w:rsidRPr="00A32947" w:rsidRDefault="00A32947" w:rsidP="00A32947">
      <w:r w:rsidRPr="00A32947">
        <w:t>We are not persuaded by CEG's analysis of the MSE. In determining the weighting that we would adopt for the average of the BVAL and RBA curves, we have relied on advice from Lally.</w:t>
      </w:r>
      <w:r w:rsidRPr="00A32947">
        <w:rPr>
          <w:rStyle w:val="FootnoteReference"/>
        </w:rPr>
        <w:footnoteReference w:id="1302"/>
      </w:r>
      <w:r w:rsidRPr="00A32947">
        <w:t xml:space="preserve"> Specifically, Lally concluded that a simple average of the BVAL and RBA curves would be likely to minimise the mean squared error (MSE) of the estimator.</w:t>
      </w:r>
      <w:r w:rsidRPr="00A32947">
        <w:rPr>
          <w:rStyle w:val="FootnoteReference"/>
        </w:rPr>
        <w:footnoteReference w:id="1303"/>
      </w:r>
      <w:r w:rsidRPr="00A32947">
        <w:t xml:space="preserve"> CEG disagrees with Lally's analysis of the mean squared error (MSE) of the curve combination, which contributed to our adoption of a simple average between the Bloomberg and RBA curves.</w:t>
      </w:r>
      <w:r w:rsidRPr="00A32947">
        <w:rPr>
          <w:rStyle w:val="FootnoteReference"/>
        </w:rPr>
        <w:footnoteReference w:id="1304"/>
      </w:r>
      <w:r w:rsidRPr="00A32947">
        <w:t xml:space="preserve"> In particular, CEG submits that that the MSE should be evaluated every year, rather than over time,</w:t>
      </w:r>
      <w:r w:rsidRPr="00A32947">
        <w:rPr>
          <w:rStyle w:val="FootnoteReference"/>
        </w:rPr>
        <w:footnoteReference w:id="1305"/>
      </w:r>
      <w:r w:rsidRPr="00A32947">
        <w:t xml:space="preserve"> and that the Bloomberg curve is downwardly biased.</w:t>
      </w:r>
      <w:r w:rsidRPr="00A32947">
        <w:rPr>
          <w:rStyle w:val="FootnoteReference"/>
        </w:rPr>
        <w:footnoteReference w:id="1306"/>
      </w:r>
      <w:r w:rsidRPr="00A32947">
        <w:t xml:space="preserve"> </w:t>
      </w:r>
    </w:p>
    <w:p w:rsidR="00A32947" w:rsidRPr="00A32947" w:rsidRDefault="00A32947" w:rsidP="00A32947">
      <w:r w:rsidRPr="00A32947">
        <w:t>If the Bloomberg curve were systematically biased, this might indicate that a simple average would not minimise the MSE of the estimator. However, at any point in time it is likely that one curve or the other will produce an estimate that is a better reflection of the costs faced by a benchmark efficient entity. We do not agree that there is a reliable or practical method to quantitatively identify which of the two curves better reflects these benchmark efficient costs at any point in time.</w:t>
      </w:r>
      <w:r w:rsidRPr="00A32947">
        <w:rPr>
          <w:rStyle w:val="FootnoteReference"/>
        </w:rPr>
        <w:footnoteReference w:id="1307"/>
      </w:r>
      <w:r w:rsidRPr="00A32947">
        <w:t xml:space="preserve"> For this reason, we are not persuaded by CEG's recommendation that MSE should or even can be robustly evaluated for each individual estimate. In contrast, we are satisfied that there is no clear reason to expect systematic or nonzero bias in either curve. Nonetheless, the rules require that we determine an approach which can be given effect through automatic application of a formula. This requires that any approach we determine be robust and fit for purpose not just at the time of the final decision. The approach must also be likely to remain robust and fit for purpose for the subsequent five years. We are therefore satisfied that Lally's analysis of the MSE of the estimator is reasonable. </w:t>
      </w:r>
    </w:p>
    <w:p w:rsidR="00A32947" w:rsidRPr="00A32947" w:rsidRDefault="00A32947" w:rsidP="00A32947">
      <w:r w:rsidRPr="00A32947">
        <w:t>Further, we are not satisfied that CEG has substantiated the existence of downward bias within the BVAL curve. In contrast, we consider:</w:t>
      </w:r>
    </w:p>
    <w:p w:rsidR="00A32947" w:rsidRPr="00A32947" w:rsidRDefault="00A32947" w:rsidP="00A32947">
      <w:pPr>
        <w:pStyle w:val="AERbulletlistfirststyle"/>
      </w:pPr>
      <w:r w:rsidRPr="00A32947">
        <w:t xml:space="preserve">CEG has not substantiated evidence of bias in the Bloomberg curve between 7 and 10 years. As discussed in section </w:t>
      </w:r>
      <w:r w:rsidRPr="00A32947">
        <w:fldChar w:fldCharType="begin"/>
      </w:r>
      <w:r w:rsidRPr="00A32947">
        <w:instrText xml:space="preserve"> REF _Ref450660756 \r \h </w:instrText>
      </w:r>
      <w:r w:rsidRPr="00A32947">
        <w:fldChar w:fldCharType="separate"/>
      </w:r>
      <w:r w:rsidR="001A023B">
        <w:t>I.2</w:t>
      </w:r>
      <w:r w:rsidRPr="00A32947">
        <w:fldChar w:fldCharType="end"/>
      </w:r>
      <w:r w:rsidRPr="00A32947">
        <w:t xml:space="preserve"> and in previous decisions, its description of Bloomberg's methodology is inconsistent with the description confirmed by Bloomberg staff. </w:t>
      </w:r>
    </w:p>
    <w:p w:rsidR="00A32947" w:rsidRPr="00A32947" w:rsidRDefault="00A32947" w:rsidP="00A32947">
      <w:pPr>
        <w:pStyle w:val="AERbulletlistfirststyle"/>
      </w:pPr>
      <w:r w:rsidRPr="00A32947">
        <w:t>For the period 2005–2014, CEG has recommended adopting a simple average of the RBA and Bloomberg curves extrapolated using the AER approach.</w:t>
      </w:r>
      <w:r w:rsidRPr="00A32947">
        <w:rPr>
          <w:rStyle w:val="FootnoteReference"/>
        </w:rPr>
        <w:footnoteReference w:id="1308"/>
      </w:r>
      <w:r w:rsidRPr="00A32947">
        <w:t xml:space="preserve"> This appears to suggest that CEG has not observed material downward bias in the BVAL curve over the period for which the curve data is available.</w:t>
      </w:r>
    </w:p>
    <w:p w:rsidR="00A32947" w:rsidRPr="00A32947" w:rsidRDefault="00A32947" w:rsidP="00A32947">
      <w:pPr>
        <w:pStyle w:val="AERbulletlistfirststyle"/>
      </w:pPr>
      <w:r w:rsidRPr="00A32947">
        <w:t xml:space="preserve">Further, as illustrated in </w:t>
      </w:r>
      <w:r w:rsidRPr="00A32947">
        <w:fldChar w:fldCharType="begin"/>
      </w:r>
      <w:r w:rsidRPr="00A32947">
        <w:instrText xml:space="preserve"> REF _Ref444068389 \h </w:instrText>
      </w:r>
      <w:r w:rsidRPr="00A32947">
        <w:fldChar w:fldCharType="separate"/>
      </w:r>
      <w:r w:rsidR="001A023B" w:rsidRPr="00A32947">
        <w:t xml:space="preserve">Figure </w:t>
      </w:r>
      <w:r w:rsidR="001A023B">
        <w:rPr>
          <w:noProof/>
        </w:rPr>
        <w:t>3</w:t>
      </w:r>
      <w:r w:rsidR="001A023B">
        <w:noBreakHyphen/>
      </w:r>
      <w:r w:rsidR="001A023B">
        <w:rPr>
          <w:noProof/>
        </w:rPr>
        <w:t>22</w:t>
      </w:r>
      <w:r w:rsidRPr="00A32947">
        <w:fldChar w:fldCharType="end"/>
      </w:r>
      <w:r w:rsidRPr="00A32947">
        <w:t>, the 7 to 10 year margin of the BVAL DRP relative to CGS is both positive and higher than the same margin implied by the RBA curve. Therefore, we are not persuaded that there is evidence of downward bias in the BVAL curve's estimation beyond 7 years.</w:t>
      </w:r>
    </w:p>
    <w:p w:rsidR="00A32947" w:rsidRPr="00A32947" w:rsidRDefault="00A32947" w:rsidP="00A32947">
      <w:r w:rsidRPr="00A32947">
        <w:t xml:space="preserve">For these reasons, we remain satisfied that a simple average of the RBA and BVAL curves is likely to minimise the MSE of the estimate over time. </w:t>
      </w:r>
    </w:p>
    <w:p w:rsidR="00A32947" w:rsidRPr="00A32947" w:rsidRDefault="00F861B4" w:rsidP="00F861B4">
      <w:pPr>
        <w:pStyle w:val="Heading8"/>
      </w:pPr>
      <w:bookmarkStart w:id="299" w:name="_Ref451538429"/>
      <w:bookmarkStart w:id="300" w:name="_Toc451945522"/>
      <w:r>
        <w:t>Averaging periods</w:t>
      </w:r>
      <w:bookmarkEnd w:id="299"/>
      <w:bookmarkEnd w:id="300"/>
    </w:p>
    <w:p w:rsidR="00CA5E8E" w:rsidRPr="00986B6E" w:rsidRDefault="00CA5E8E" w:rsidP="00CA5E8E">
      <w:r w:rsidRPr="00986B6E">
        <w:t xml:space="preserve">We set out our decision on </w:t>
      </w:r>
      <w:r>
        <w:t>ActewAGL's</w:t>
      </w:r>
      <w:r w:rsidRPr="00986B6E">
        <w:t xml:space="preserve"> </w:t>
      </w:r>
      <w:r w:rsidR="00BD08AA">
        <w:t xml:space="preserve">revised </w:t>
      </w:r>
      <w:r w:rsidRPr="00986B6E">
        <w:t>proposed debt averaging periods for 2016</w:t>
      </w:r>
      <w:r w:rsidR="00BD08AA">
        <w:t>–17</w:t>
      </w:r>
      <w:r w:rsidRPr="00986B6E">
        <w:t xml:space="preserve"> to 2020</w:t>
      </w:r>
      <w:r w:rsidR="00BD08AA">
        <w:t>–21</w:t>
      </w:r>
      <w:r w:rsidRPr="00986B6E">
        <w:t xml:space="preserve"> in section 3.4.2. This </w:t>
      </w:r>
      <w:r w:rsidR="00BD08AA">
        <w:t>section</w:t>
      </w:r>
      <w:r w:rsidR="00BD08AA" w:rsidRPr="00986B6E">
        <w:t xml:space="preserve"> </w:t>
      </w:r>
      <w:r w:rsidRPr="00986B6E">
        <w:t xml:space="preserve">responds to the issues raised in service providers' proposals </w:t>
      </w:r>
      <w:r w:rsidR="00BD08AA">
        <w:t xml:space="preserve">and revised proposals, </w:t>
      </w:r>
      <w:r w:rsidRPr="00986B6E">
        <w:t>and submissions from other stakeholders.</w:t>
      </w:r>
    </w:p>
    <w:p w:rsidR="00CA5E8E" w:rsidRPr="00986B6E" w:rsidRDefault="00CA5E8E" w:rsidP="00BB7AE6">
      <w:pPr>
        <w:pStyle w:val="Heading9"/>
        <w:keepNext/>
      </w:pPr>
      <w:bookmarkStart w:id="301" w:name="_Toc433194224"/>
      <w:bookmarkStart w:id="302" w:name="_Toc433451003"/>
      <w:r w:rsidRPr="00986B6E">
        <w:t>Response to key issues raised by stakeholders</w:t>
      </w:r>
      <w:bookmarkEnd w:id="301"/>
      <w:bookmarkEnd w:id="302"/>
    </w:p>
    <w:p w:rsidR="00BB7CBA" w:rsidRPr="00E761F9" w:rsidRDefault="00CA5E8E" w:rsidP="00BB7AE6">
      <w:pPr>
        <w:keepNext/>
      </w:pPr>
      <w:r w:rsidRPr="00986B6E">
        <w:t>In our current regulatory processes, different service providers have proposed different methods for setting debt averaging periods during the regulatory control or access arrangement period (regulatory period)</w:t>
      </w:r>
      <w:r w:rsidR="00BB7CBA">
        <w:t>.</w:t>
      </w:r>
      <w:r w:rsidR="00BB7CBA" w:rsidRPr="00BB7CBA">
        <w:t xml:space="preserve"> </w:t>
      </w:r>
      <w:r w:rsidR="00BB7CBA" w:rsidRPr="00E761F9">
        <w:t xml:space="preserve">Many service providers have proposed more complicated approaches to nominating debt averaging periods in order to achieve greater flexibility. This is common to other aspects of the return on debt, such as the choice of third party data series. </w:t>
      </w:r>
      <w:r w:rsidR="00BB7CBA">
        <w:fldChar w:fldCharType="begin"/>
      </w:r>
      <w:r w:rsidR="00BB7CBA">
        <w:instrText xml:space="preserve"> REF _Ref451334204 \h </w:instrText>
      </w:r>
      <w:r w:rsidR="00BB7CBA">
        <w:fldChar w:fldCharType="separate"/>
      </w:r>
      <w:r w:rsidR="001A023B" w:rsidRPr="00E761F9">
        <w:t xml:space="preserve">Table </w:t>
      </w:r>
      <w:r w:rsidR="001A023B">
        <w:rPr>
          <w:noProof/>
        </w:rPr>
        <w:t>3</w:t>
      </w:r>
      <w:r w:rsidR="001A023B">
        <w:noBreakHyphen/>
      </w:r>
      <w:r w:rsidR="001A023B">
        <w:rPr>
          <w:noProof/>
        </w:rPr>
        <w:t>45</w:t>
      </w:r>
      <w:r w:rsidR="00BB7CBA">
        <w:fldChar w:fldCharType="end"/>
      </w:r>
      <w:r w:rsidR="00BB7CBA">
        <w:t xml:space="preserve"> </w:t>
      </w:r>
      <w:r w:rsidR="00BB7CBA" w:rsidRPr="00E761F9">
        <w:t xml:space="preserve">summarises the different approaches to the nomination of debt averaging periods proposed by different service providers. </w:t>
      </w:r>
    </w:p>
    <w:p w:rsidR="00BB7CBA" w:rsidRPr="00E761F9" w:rsidRDefault="00BB7CBA" w:rsidP="00BB7CBA">
      <w:pPr>
        <w:pStyle w:val="Caption"/>
      </w:pPr>
      <w:bookmarkStart w:id="303" w:name="_Ref451334204"/>
      <w:r w:rsidRPr="00E761F9">
        <w:t xml:space="preserve">Table </w:t>
      </w:r>
      <w:r w:rsidRPr="00BB7CBA">
        <w:fldChar w:fldCharType="begin"/>
      </w:r>
      <w:r>
        <w:instrText xml:space="preserve"> STYLEREF 1 \s </w:instrText>
      </w:r>
      <w:r w:rsidRPr="00BB7CBA">
        <w:fldChar w:fldCharType="separate"/>
      </w:r>
      <w:r w:rsidR="001A023B">
        <w:rPr>
          <w:noProof/>
        </w:rPr>
        <w:t>3</w:t>
      </w:r>
      <w:r w:rsidRPr="00BB7CBA">
        <w:fldChar w:fldCharType="end"/>
      </w:r>
      <w:r>
        <w:noBreakHyphen/>
      </w:r>
      <w:r w:rsidRPr="00BB7CBA">
        <w:fldChar w:fldCharType="begin"/>
      </w:r>
      <w:r>
        <w:instrText xml:space="preserve"> SEQ Table \* ARABIC \s 1 </w:instrText>
      </w:r>
      <w:r w:rsidRPr="00BB7CBA">
        <w:fldChar w:fldCharType="separate"/>
      </w:r>
      <w:r w:rsidR="001A023B">
        <w:rPr>
          <w:noProof/>
        </w:rPr>
        <w:t>45</w:t>
      </w:r>
      <w:r w:rsidRPr="00BB7CBA">
        <w:fldChar w:fldCharType="end"/>
      </w:r>
      <w:bookmarkEnd w:id="303"/>
      <w:r w:rsidRPr="00E761F9">
        <w:tab/>
        <w:t>Summary of service providers' averaging period proposals</w:t>
      </w:r>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BB7CBA" w:rsidTr="00166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BB7CBA" w:rsidRPr="00BB7CBA" w:rsidRDefault="00BB7CBA" w:rsidP="00BB7CBA">
            <w:r w:rsidRPr="00E761F9">
              <w:t>Service Provider</w:t>
            </w:r>
          </w:p>
        </w:tc>
        <w:tc>
          <w:tcPr>
            <w:tcW w:w="1449" w:type="dxa"/>
          </w:tcPr>
          <w:p w:rsidR="00BB7CBA" w:rsidRPr="00BB7CBA" w:rsidRDefault="00BB7CBA" w:rsidP="00BB7CBA">
            <w:pPr>
              <w:cnfStyle w:val="100000000000" w:firstRow="1" w:lastRow="0" w:firstColumn="0" w:lastColumn="0" w:oddVBand="0" w:evenVBand="0" w:oddHBand="0" w:evenHBand="0" w:firstRowFirstColumn="0" w:firstRowLastColumn="0" w:lastRowFirstColumn="0" w:lastRowLastColumn="0"/>
            </w:pPr>
            <w:r w:rsidRPr="00E761F9">
              <w:t>Number of averaging periods nominated in revised</w:t>
            </w:r>
            <w:r w:rsidRPr="00BB7CBA">
              <w:t xml:space="preserve"> proposal</w:t>
            </w:r>
          </w:p>
        </w:tc>
        <w:tc>
          <w:tcPr>
            <w:tcW w:w="1449" w:type="dxa"/>
          </w:tcPr>
          <w:p w:rsidR="00BB7CBA" w:rsidRPr="00BB7CBA" w:rsidRDefault="00BB7CBA" w:rsidP="00BB7CBA">
            <w:pPr>
              <w:cnfStyle w:val="100000000000" w:firstRow="1" w:lastRow="0" w:firstColumn="0" w:lastColumn="0" w:oddVBand="0" w:evenVBand="0" w:oddHBand="0" w:evenHBand="0" w:firstRowFirstColumn="0" w:firstRowLastColumn="0" w:lastRowFirstColumn="0" w:lastRowLastColumn="0"/>
            </w:pPr>
            <w:r w:rsidRPr="00E761F9">
              <w:t>Annual process for nominating averaging periods</w:t>
            </w:r>
          </w:p>
        </w:tc>
        <w:tc>
          <w:tcPr>
            <w:tcW w:w="1449" w:type="dxa"/>
          </w:tcPr>
          <w:p w:rsidR="00BB7CBA" w:rsidRPr="00BB7CBA" w:rsidRDefault="00BB7CBA" w:rsidP="00BB7CBA">
            <w:pPr>
              <w:cnfStyle w:val="100000000000" w:firstRow="1" w:lastRow="0" w:firstColumn="0" w:lastColumn="0" w:oddVBand="0" w:evenVBand="0" w:oddHBand="0" w:evenHBand="0" w:firstRowFirstColumn="0" w:firstRowLastColumn="0" w:lastRowFirstColumn="0" w:lastRowLastColumn="0"/>
            </w:pPr>
            <w:r w:rsidRPr="00E761F9">
              <w:t>Lag of one year in the annual update process</w:t>
            </w:r>
          </w:p>
        </w:tc>
        <w:tc>
          <w:tcPr>
            <w:tcW w:w="1449" w:type="dxa"/>
          </w:tcPr>
          <w:p w:rsidR="00BB7CBA" w:rsidRPr="00BB7CBA" w:rsidRDefault="00BB7CBA" w:rsidP="00BB7CBA">
            <w:pPr>
              <w:cnfStyle w:val="100000000000" w:firstRow="1" w:lastRow="0" w:firstColumn="0" w:lastColumn="0" w:oddVBand="0" w:evenVBand="0" w:oddHBand="0" w:evenHBand="0" w:firstRowFirstColumn="0" w:firstRowLastColumn="0" w:lastRowFirstColumn="0" w:lastRowLastColumn="0"/>
            </w:pPr>
            <w:r w:rsidRPr="00E761F9">
              <w:t>Separate averaging periods for DRP and base rate</w:t>
            </w:r>
          </w:p>
        </w:tc>
        <w:tc>
          <w:tcPr>
            <w:tcW w:w="1449" w:type="dxa"/>
          </w:tcPr>
          <w:p w:rsidR="00BB7CBA" w:rsidRPr="00BB7CBA" w:rsidRDefault="00BB7CBA" w:rsidP="00BB7CBA">
            <w:pPr>
              <w:cnfStyle w:val="100000000000" w:firstRow="1" w:lastRow="0" w:firstColumn="0" w:lastColumn="0" w:oddVBand="0" w:evenVBand="0" w:oddHBand="0" w:evenHBand="0" w:firstRowFirstColumn="0" w:firstRowLastColumn="0" w:lastRowFirstColumn="0" w:lastRowLastColumn="0"/>
            </w:pPr>
            <w:r w:rsidRPr="00E761F9">
              <w:t xml:space="preserve">Not as close as practically possible to start of each regulatory year </w:t>
            </w:r>
          </w:p>
        </w:tc>
      </w:tr>
      <w:tr w:rsidR="00BB7CBA" w:rsidTr="00166FC9">
        <w:tc>
          <w:tcPr>
            <w:cnfStyle w:val="001000000000" w:firstRow="0" w:lastRow="0" w:firstColumn="1" w:lastColumn="0" w:oddVBand="0" w:evenVBand="0" w:oddHBand="0" w:evenHBand="0" w:firstRowFirstColumn="0" w:firstRowLastColumn="0" w:lastRowFirstColumn="0" w:lastRowLastColumn="0"/>
            <w:tcW w:w="1448" w:type="dxa"/>
          </w:tcPr>
          <w:p w:rsidR="00BB7CBA" w:rsidRPr="00BB7CBA" w:rsidRDefault="00BB7CBA" w:rsidP="00BB7CBA">
            <w:r w:rsidRPr="00E761F9">
              <w:t>AusNet Services</w:t>
            </w:r>
          </w:p>
        </w:tc>
        <w:tc>
          <w:tcPr>
            <w:tcW w:w="1449" w:type="dxa"/>
          </w:tcPr>
          <w:p w:rsidR="00BB7CBA" w:rsidRPr="00BB7CBA" w:rsidRDefault="00BB7CBA" w:rsidP="00BB7CBA">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BB7CBA" w:rsidRPr="00E761F9" w:rsidRDefault="00BB7CBA" w:rsidP="00BB7CBA">
            <w:pPr>
              <w:cnfStyle w:val="000000000000" w:firstRow="0" w:lastRow="0" w:firstColumn="0" w:lastColumn="0" w:oddVBand="0" w:evenVBand="0" w:oddHBand="0" w:evenHBand="0" w:firstRowFirstColumn="0" w:firstRowLastColumn="0" w:lastRowFirstColumn="0" w:lastRowLastColumn="0"/>
            </w:pPr>
          </w:p>
        </w:tc>
        <w:tc>
          <w:tcPr>
            <w:tcW w:w="1449" w:type="dxa"/>
          </w:tcPr>
          <w:p w:rsidR="00BB7CBA" w:rsidRPr="00E761F9" w:rsidRDefault="00BB7CBA" w:rsidP="00BB7CBA">
            <w:pPr>
              <w:cnfStyle w:val="000000000000" w:firstRow="0" w:lastRow="0" w:firstColumn="0" w:lastColumn="0" w:oddVBand="0" w:evenVBand="0" w:oddHBand="0" w:evenHBand="0" w:firstRowFirstColumn="0" w:firstRowLastColumn="0" w:lastRowFirstColumn="0" w:lastRowLastColumn="0"/>
            </w:pPr>
          </w:p>
        </w:tc>
        <w:tc>
          <w:tcPr>
            <w:tcW w:w="1449" w:type="dxa"/>
          </w:tcPr>
          <w:p w:rsidR="00BB7CBA" w:rsidRPr="00E761F9" w:rsidRDefault="00BB7CBA" w:rsidP="00BB7CBA">
            <w:pPr>
              <w:cnfStyle w:val="000000000000" w:firstRow="0" w:lastRow="0" w:firstColumn="0" w:lastColumn="0" w:oddVBand="0" w:evenVBand="0" w:oddHBand="0" w:evenHBand="0" w:firstRowFirstColumn="0" w:firstRowLastColumn="0" w:lastRowFirstColumn="0" w:lastRowLastColumn="0"/>
            </w:pPr>
          </w:p>
        </w:tc>
        <w:tc>
          <w:tcPr>
            <w:tcW w:w="1449" w:type="dxa"/>
          </w:tcPr>
          <w:p w:rsidR="00BB7CBA" w:rsidRPr="00BB7CBA" w:rsidRDefault="00BB7CBA" w:rsidP="00BB7CBA">
            <w:pPr>
              <w:cnfStyle w:val="000000000000" w:firstRow="0" w:lastRow="0" w:firstColumn="0" w:lastColumn="0" w:oddVBand="0" w:evenVBand="0" w:oddHBand="0" w:evenHBand="0" w:firstRowFirstColumn="0" w:firstRowLastColumn="0" w:lastRowFirstColumn="0" w:lastRowLastColumn="0"/>
            </w:pPr>
            <w:r w:rsidRPr="00E761F9">
              <w:t>X</w:t>
            </w:r>
          </w:p>
        </w:tc>
      </w:tr>
      <w:tr w:rsidR="00BB7CBA" w:rsidTr="00166F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BB7CBA" w:rsidRPr="00BB7CBA" w:rsidRDefault="00BB7CBA" w:rsidP="00BB7CBA">
            <w:r w:rsidRPr="00E761F9">
              <w:t>United Energy</w:t>
            </w:r>
          </w:p>
        </w:tc>
        <w:tc>
          <w:tcPr>
            <w:tcW w:w="1449" w:type="dxa"/>
          </w:tcPr>
          <w:p w:rsidR="00BB7CBA" w:rsidRPr="00BB7CBA" w:rsidRDefault="00BB7CBA" w:rsidP="00BB7CBA">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BB7CBA" w:rsidRPr="00E761F9" w:rsidRDefault="00BB7CBA" w:rsidP="00BB7CBA">
            <w:pPr>
              <w:cnfStyle w:val="000000010000" w:firstRow="0" w:lastRow="0" w:firstColumn="0" w:lastColumn="0" w:oddVBand="0" w:evenVBand="0" w:oddHBand="0" w:evenHBand="1" w:firstRowFirstColumn="0" w:firstRowLastColumn="0" w:lastRowFirstColumn="0" w:lastRowLastColumn="0"/>
            </w:pPr>
          </w:p>
        </w:tc>
        <w:tc>
          <w:tcPr>
            <w:tcW w:w="1449" w:type="dxa"/>
          </w:tcPr>
          <w:p w:rsidR="00BB7CBA" w:rsidRPr="00E761F9" w:rsidRDefault="00BB7CBA" w:rsidP="00BB7CBA">
            <w:pPr>
              <w:cnfStyle w:val="000000010000" w:firstRow="0" w:lastRow="0" w:firstColumn="0" w:lastColumn="0" w:oddVBand="0" w:evenVBand="0" w:oddHBand="0" w:evenHBand="1" w:firstRowFirstColumn="0" w:firstRowLastColumn="0" w:lastRowFirstColumn="0" w:lastRowLastColumn="0"/>
            </w:pPr>
          </w:p>
        </w:tc>
        <w:tc>
          <w:tcPr>
            <w:tcW w:w="1449" w:type="dxa"/>
          </w:tcPr>
          <w:p w:rsidR="00BB7CBA" w:rsidRPr="00E761F9" w:rsidRDefault="00BB7CBA" w:rsidP="00BB7CBA">
            <w:pPr>
              <w:cnfStyle w:val="000000010000" w:firstRow="0" w:lastRow="0" w:firstColumn="0" w:lastColumn="0" w:oddVBand="0" w:evenVBand="0" w:oddHBand="0" w:evenHBand="1" w:firstRowFirstColumn="0" w:firstRowLastColumn="0" w:lastRowFirstColumn="0" w:lastRowLastColumn="0"/>
            </w:pPr>
          </w:p>
        </w:tc>
        <w:tc>
          <w:tcPr>
            <w:tcW w:w="1449" w:type="dxa"/>
          </w:tcPr>
          <w:p w:rsidR="00BB7CBA" w:rsidRPr="00E761F9" w:rsidRDefault="00BB7CBA" w:rsidP="00BB7CBA">
            <w:pPr>
              <w:cnfStyle w:val="000000010000" w:firstRow="0" w:lastRow="0" w:firstColumn="0" w:lastColumn="0" w:oddVBand="0" w:evenVBand="0" w:oddHBand="0" w:evenHBand="1" w:firstRowFirstColumn="0" w:firstRowLastColumn="0" w:lastRowFirstColumn="0" w:lastRowLastColumn="0"/>
            </w:pPr>
          </w:p>
        </w:tc>
      </w:tr>
      <w:tr w:rsidR="00BB7CBA" w:rsidTr="00166FC9">
        <w:tc>
          <w:tcPr>
            <w:cnfStyle w:val="001000000000" w:firstRow="0" w:lastRow="0" w:firstColumn="1" w:lastColumn="0" w:oddVBand="0" w:evenVBand="0" w:oddHBand="0" w:evenHBand="0" w:firstRowFirstColumn="0" w:firstRowLastColumn="0" w:lastRowFirstColumn="0" w:lastRowLastColumn="0"/>
            <w:tcW w:w="1448" w:type="dxa"/>
          </w:tcPr>
          <w:p w:rsidR="00BB7CBA" w:rsidRPr="00BB7CBA" w:rsidRDefault="00BB7CBA" w:rsidP="00BB7CBA">
            <w:r w:rsidRPr="00E761F9">
              <w:t>JEN</w:t>
            </w:r>
          </w:p>
        </w:tc>
        <w:tc>
          <w:tcPr>
            <w:tcW w:w="1449" w:type="dxa"/>
          </w:tcPr>
          <w:p w:rsidR="00BB7CBA" w:rsidRPr="00BB7CBA" w:rsidRDefault="00BB7CBA" w:rsidP="00BB7CBA">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BB7CBA" w:rsidRPr="00BB7CBA" w:rsidRDefault="00BB7CBA" w:rsidP="00BB7CBA">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BB7CBA" w:rsidRPr="00BB7CBA" w:rsidRDefault="00BB7CBA" w:rsidP="00BB7CBA">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BB7CBA" w:rsidRPr="00E761F9" w:rsidRDefault="00BB7CBA" w:rsidP="00BB7CBA">
            <w:pPr>
              <w:cnfStyle w:val="000000000000" w:firstRow="0" w:lastRow="0" w:firstColumn="0" w:lastColumn="0" w:oddVBand="0" w:evenVBand="0" w:oddHBand="0" w:evenHBand="0" w:firstRowFirstColumn="0" w:firstRowLastColumn="0" w:lastRowFirstColumn="0" w:lastRowLastColumn="0"/>
            </w:pPr>
          </w:p>
        </w:tc>
        <w:tc>
          <w:tcPr>
            <w:tcW w:w="1449" w:type="dxa"/>
          </w:tcPr>
          <w:p w:rsidR="00BB7CBA" w:rsidRPr="00BB7CBA" w:rsidRDefault="00BB7CBA" w:rsidP="00BB7CBA">
            <w:pPr>
              <w:cnfStyle w:val="000000000000" w:firstRow="0" w:lastRow="0" w:firstColumn="0" w:lastColumn="0" w:oddVBand="0" w:evenVBand="0" w:oddHBand="0" w:evenHBand="0" w:firstRowFirstColumn="0" w:firstRowLastColumn="0" w:lastRowFirstColumn="0" w:lastRowLastColumn="0"/>
            </w:pPr>
            <w:r w:rsidRPr="00E761F9">
              <w:t>X</w:t>
            </w:r>
          </w:p>
        </w:tc>
      </w:tr>
      <w:tr w:rsidR="00BB7CBA" w:rsidTr="00166F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BB7CBA" w:rsidRPr="00BB7CBA" w:rsidRDefault="00BB7CBA" w:rsidP="00BB7CBA">
            <w:r w:rsidRPr="00E761F9">
              <w:t>CitiPower / Powercor</w:t>
            </w:r>
          </w:p>
        </w:tc>
        <w:tc>
          <w:tcPr>
            <w:tcW w:w="1449" w:type="dxa"/>
          </w:tcPr>
          <w:p w:rsidR="00BB7CBA" w:rsidRPr="00BB7CBA" w:rsidRDefault="00BB7CBA" w:rsidP="00BB7CBA">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BB7CBA" w:rsidRPr="00E761F9" w:rsidRDefault="00BB7CBA" w:rsidP="00BB7CBA">
            <w:pPr>
              <w:cnfStyle w:val="000000010000" w:firstRow="0" w:lastRow="0" w:firstColumn="0" w:lastColumn="0" w:oddVBand="0" w:evenVBand="0" w:oddHBand="0" w:evenHBand="1" w:firstRowFirstColumn="0" w:firstRowLastColumn="0" w:lastRowFirstColumn="0" w:lastRowLastColumn="0"/>
            </w:pPr>
          </w:p>
        </w:tc>
        <w:tc>
          <w:tcPr>
            <w:tcW w:w="1449" w:type="dxa"/>
          </w:tcPr>
          <w:p w:rsidR="00BB7CBA" w:rsidRPr="00E761F9" w:rsidRDefault="00BB7CBA" w:rsidP="00BB7CBA">
            <w:pPr>
              <w:cnfStyle w:val="000000010000" w:firstRow="0" w:lastRow="0" w:firstColumn="0" w:lastColumn="0" w:oddVBand="0" w:evenVBand="0" w:oddHBand="0" w:evenHBand="1" w:firstRowFirstColumn="0" w:firstRowLastColumn="0" w:lastRowFirstColumn="0" w:lastRowLastColumn="0"/>
            </w:pPr>
          </w:p>
        </w:tc>
        <w:tc>
          <w:tcPr>
            <w:tcW w:w="1449" w:type="dxa"/>
          </w:tcPr>
          <w:p w:rsidR="00BB7CBA" w:rsidRPr="00E761F9" w:rsidRDefault="00BB7CBA" w:rsidP="00BB7CBA">
            <w:pPr>
              <w:cnfStyle w:val="000000010000" w:firstRow="0" w:lastRow="0" w:firstColumn="0" w:lastColumn="0" w:oddVBand="0" w:evenVBand="0" w:oddHBand="0" w:evenHBand="1" w:firstRowFirstColumn="0" w:firstRowLastColumn="0" w:lastRowFirstColumn="0" w:lastRowLastColumn="0"/>
            </w:pPr>
          </w:p>
        </w:tc>
        <w:tc>
          <w:tcPr>
            <w:tcW w:w="1449" w:type="dxa"/>
          </w:tcPr>
          <w:p w:rsidR="00BB7CBA" w:rsidRPr="00E761F9" w:rsidRDefault="00BB7CBA" w:rsidP="00BB7CBA">
            <w:pPr>
              <w:cnfStyle w:val="000000010000" w:firstRow="0" w:lastRow="0" w:firstColumn="0" w:lastColumn="0" w:oddVBand="0" w:evenVBand="0" w:oddHBand="0" w:evenHBand="1" w:firstRowFirstColumn="0" w:firstRowLastColumn="0" w:lastRowFirstColumn="0" w:lastRowLastColumn="0"/>
            </w:pPr>
          </w:p>
        </w:tc>
      </w:tr>
      <w:tr w:rsidR="00BB7CBA" w:rsidTr="00166FC9">
        <w:tc>
          <w:tcPr>
            <w:cnfStyle w:val="001000000000" w:firstRow="0" w:lastRow="0" w:firstColumn="1" w:lastColumn="0" w:oddVBand="0" w:evenVBand="0" w:oddHBand="0" w:evenHBand="0" w:firstRowFirstColumn="0" w:firstRowLastColumn="0" w:lastRowFirstColumn="0" w:lastRowLastColumn="0"/>
            <w:tcW w:w="1448" w:type="dxa"/>
          </w:tcPr>
          <w:p w:rsidR="00BB7CBA" w:rsidRPr="00BB7CBA" w:rsidRDefault="00BB7CBA" w:rsidP="00BB7CBA">
            <w:r w:rsidRPr="00E761F9">
              <w:t>ActewAGL</w:t>
            </w:r>
          </w:p>
        </w:tc>
        <w:tc>
          <w:tcPr>
            <w:tcW w:w="1449" w:type="dxa"/>
          </w:tcPr>
          <w:p w:rsidR="00BB7CBA" w:rsidRPr="00BB7CBA" w:rsidRDefault="00BB7CBA" w:rsidP="00BB7CBA">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BB7CBA" w:rsidRPr="00BB7CBA" w:rsidRDefault="00BB7CBA" w:rsidP="00BB7CBA">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BB7CBA" w:rsidRPr="00BB7CBA" w:rsidRDefault="00BB7CBA" w:rsidP="00BB7CBA">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BB7CBA" w:rsidRPr="00E761F9" w:rsidRDefault="00BB7CBA" w:rsidP="00BB7CBA">
            <w:pPr>
              <w:cnfStyle w:val="000000000000" w:firstRow="0" w:lastRow="0" w:firstColumn="0" w:lastColumn="0" w:oddVBand="0" w:evenVBand="0" w:oddHBand="0" w:evenHBand="0" w:firstRowFirstColumn="0" w:firstRowLastColumn="0" w:lastRowFirstColumn="0" w:lastRowLastColumn="0"/>
            </w:pPr>
          </w:p>
        </w:tc>
        <w:tc>
          <w:tcPr>
            <w:tcW w:w="1449" w:type="dxa"/>
          </w:tcPr>
          <w:p w:rsidR="00BB7CBA" w:rsidRPr="00BB7CBA" w:rsidRDefault="00BB7CBA" w:rsidP="00BB7CBA">
            <w:pPr>
              <w:cnfStyle w:val="000000000000" w:firstRow="0" w:lastRow="0" w:firstColumn="0" w:lastColumn="0" w:oddVBand="0" w:evenVBand="0" w:oddHBand="0" w:evenHBand="0" w:firstRowFirstColumn="0" w:firstRowLastColumn="0" w:lastRowFirstColumn="0" w:lastRowLastColumn="0"/>
            </w:pPr>
            <w:r w:rsidRPr="00E761F9">
              <w:t>X</w:t>
            </w:r>
          </w:p>
        </w:tc>
      </w:tr>
      <w:tr w:rsidR="00BB7CBA" w:rsidTr="00166F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BB7CBA" w:rsidRPr="00BB7CBA" w:rsidRDefault="00BB7CBA" w:rsidP="00BB7CBA">
            <w:r w:rsidRPr="00E761F9">
              <w:t>AGN</w:t>
            </w:r>
          </w:p>
        </w:tc>
        <w:tc>
          <w:tcPr>
            <w:tcW w:w="1449" w:type="dxa"/>
          </w:tcPr>
          <w:p w:rsidR="00BB7CBA" w:rsidRPr="00BB7CBA" w:rsidRDefault="00BB7CBA" w:rsidP="00BB7CBA">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BB7CBA" w:rsidRPr="00E761F9" w:rsidRDefault="00BB7CBA" w:rsidP="00BB7CBA">
            <w:pPr>
              <w:cnfStyle w:val="000000010000" w:firstRow="0" w:lastRow="0" w:firstColumn="0" w:lastColumn="0" w:oddVBand="0" w:evenVBand="0" w:oddHBand="0" w:evenHBand="1" w:firstRowFirstColumn="0" w:firstRowLastColumn="0" w:lastRowFirstColumn="0" w:lastRowLastColumn="0"/>
            </w:pPr>
          </w:p>
        </w:tc>
        <w:tc>
          <w:tcPr>
            <w:tcW w:w="1449" w:type="dxa"/>
          </w:tcPr>
          <w:p w:rsidR="00BB7CBA" w:rsidRPr="00E761F9" w:rsidRDefault="00BB7CBA" w:rsidP="00BB7CBA">
            <w:pPr>
              <w:cnfStyle w:val="000000010000" w:firstRow="0" w:lastRow="0" w:firstColumn="0" w:lastColumn="0" w:oddVBand="0" w:evenVBand="0" w:oddHBand="0" w:evenHBand="1" w:firstRowFirstColumn="0" w:firstRowLastColumn="0" w:lastRowFirstColumn="0" w:lastRowLastColumn="0"/>
            </w:pPr>
          </w:p>
        </w:tc>
        <w:tc>
          <w:tcPr>
            <w:tcW w:w="1449" w:type="dxa"/>
          </w:tcPr>
          <w:p w:rsidR="00BB7CBA" w:rsidRPr="00BB7CBA" w:rsidRDefault="00BB7CBA" w:rsidP="00BB7CBA">
            <w:pPr>
              <w:cnfStyle w:val="000000010000" w:firstRow="0" w:lastRow="0" w:firstColumn="0" w:lastColumn="0" w:oddVBand="0" w:evenVBand="0" w:oddHBand="0" w:evenHBand="1" w:firstRowFirstColumn="0" w:firstRowLastColumn="0" w:lastRowFirstColumn="0" w:lastRowLastColumn="0"/>
            </w:pPr>
            <w:r w:rsidRPr="00E761F9">
              <w:t>X</w:t>
            </w:r>
          </w:p>
        </w:tc>
        <w:tc>
          <w:tcPr>
            <w:tcW w:w="1449" w:type="dxa"/>
          </w:tcPr>
          <w:p w:rsidR="00BB7CBA" w:rsidRPr="00E761F9" w:rsidRDefault="00BB7CBA" w:rsidP="00BB7CBA">
            <w:pPr>
              <w:cnfStyle w:val="000000010000" w:firstRow="0" w:lastRow="0" w:firstColumn="0" w:lastColumn="0" w:oddVBand="0" w:evenVBand="0" w:oddHBand="0" w:evenHBand="1" w:firstRowFirstColumn="0" w:firstRowLastColumn="0" w:lastRowFirstColumn="0" w:lastRowLastColumn="0"/>
            </w:pPr>
          </w:p>
        </w:tc>
      </w:tr>
      <w:tr w:rsidR="00BB7CBA" w:rsidTr="00166FC9">
        <w:tc>
          <w:tcPr>
            <w:cnfStyle w:val="001000000000" w:firstRow="0" w:lastRow="0" w:firstColumn="1" w:lastColumn="0" w:oddVBand="0" w:evenVBand="0" w:oddHBand="0" w:evenHBand="0" w:firstRowFirstColumn="0" w:firstRowLastColumn="0" w:lastRowFirstColumn="0" w:lastRowLastColumn="0"/>
            <w:tcW w:w="1448" w:type="dxa"/>
          </w:tcPr>
          <w:p w:rsidR="00BB7CBA" w:rsidRPr="00BB7CBA" w:rsidRDefault="00BB7CBA" w:rsidP="00BB7CBA">
            <w:r w:rsidRPr="00E761F9">
              <w:t>Amadeus</w:t>
            </w:r>
          </w:p>
        </w:tc>
        <w:tc>
          <w:tcPr>
            <w:tcW w:w="1449" w:type="dxa"/>
          </w:tcPr>
          <w:p w:rsidR="00BB7CBA" w:rsidRPr="00BB7CBA" w:rsidRDefault="00BB7CBA" w:rsidP="00BB7CBA">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BB7CBA" w:rsidRPr="00E761F9" w:rsidRDefault="00BB7CBA" w:rsidP="00BB7CBA">
            <w:pPr>
              <w:cnfStyle w:val="000000000000" w:firstRow="0" w:lastRow="0" w:firstColumn="0" w:lastColumn="0" w:oddVBand="0" w:evenVBand="0" w:oddHBand="0" w:evenHBand="0" w:firstRowFirstColumn="0" w:firstRowLastColumn="0" w:lastRowFirstColumn="0" w:lastRowLastColumn="0"/>
            </w:pPr>
          </w:p>
        </w:tc>
        <w:tc>
          <w:tcPr>
            <w:tcW w:w="1449" w:type="dxa"/>
          </w:tcPr>
          <w:p w:rsidR="00BB7CBA" w:rsidRPr="00E761F9" w:rsidRDefault="00BB7CBA" w:rsidP="00BB7CBA">
            <w:pPr>
              <w:cnfStyle w:val="000000000000" w:firstRow="0" w:lastRow="0" w:firstColumn="0" w:lastColumn="0" w:oddVBand="0" w:evenVBand="0" w:oddHBand="0" w:evenHBand="0" w:firstRowFirstColumn="0" w:firstRowLastColumn="0" w:lastRowFirstColumn="0" w:lastRowLastColumn="0"/>
            </w:pPr>
          </w:p>
        </w:tc>
        <w:tc>
          <w:tcPr>
            <w:tcW w:w="1449" w:type="dxa"/>
          </w:tcPr>
          <w:p w:rsidR="00BB7CBA" w:rsidRPr="00E761F9" w:rsidRDefault="00BB7CBA" w:rsidP="00BB7CBA">
            <w:pPr>
              <w:cnfStyle w:val="000000000000" w:firstRow="0" w:lastRow="0" w:firstColumn="0" w:lastColumn="0" w:oddVBand="0" w:evenVBand="0" w:oddHBand="0" w:evenHBand="0" w:firstRowFirstColumn="0" w:firstRowLastColumn="0" w:lastRowFirstColumn="0" w:lastRowLastColumn="0"/>
            </w:pPr>
          </w:p>
        </w:tc>
        <w:tc>
          <w:tcPr>
            <w:tcW w:w="1449" w:type="dxa"/>
          </w:tcPr>
          <w:p w:rsidR="00BB7CBA" w:rsidRPr="00E761F9" w:rsidRDefault="00BB7CBA" w:rsidP="00BB7CBA">
            <w:pPr>
              <w:cnfStyle w:val="000000000000" w:firstRow="0" w:lastRow="0" w:firstColumn="0" w:lastColumn="0" w:oddVBand="0" w:evenVBand="0" w:oddHBand="0" w:evenHBand="0" w:firstRowFirstColumn="0" w:firstRowLastColumn="0" w:lastRowFirstColumn="0" w:lastRowLastColumn="0"/>
            </w:pPr>
          </w:p>
        </w:tc>
      </w:tr>
    </w:tbl>
    <w:p w:rsidR="00BB7CBA" w:rsidRPr="00E761F9" w:rsidRDefault="00BB7CBA" w:rsidP="00BB7CBA">
      <w:pPr>
        <w:pStyle w:val="AERtablesource"/>
      </w:pPr>
      <w:r w:rsidRPr="00E761F9">
        <w:t>Source:</w:t>
      </w:r>
      <w:r w:rsidRPr="00E761F9">
        <w:tab/>
        <w:t xml:space="preserve">AER analysis; AusNet,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w:t>
      </w:r>
      <w:r>
        <w:t>7-36</w:t>
      </w:r>
      <w:r w:rsidRPr="00E761F9">
        <w:t xml:space="preserve">; United Energy, </w:t>
      </w:r>
      <w:r w:rsidRPr="00E761F9">
        <w:rPr>
          <w:rStyle w:val="AERtextitalic"/>
        </w:rPr>
        <w:t>United Energy</w:t>
      </w:r>
      <w:r>
        <w:rPr>
          <w:rStyle w:val="AERtextitalic"/>
        </w:rPr>
        <w:t xml:space="preserve">'s revised regulatory proposal—nominated </w:t>
      </w:r>
      <w:r w:rsidRPr="00E761F9">
        <w:rPr>
          <w:rStyle w:val="AERtextitalic"/>
        </w:rPr>
        <w:t>debt averaging periods</w:t>
      </w:r>
      <w:r>
        <w:rPr>
          <w:rStyle w:val="AERtextitalic"/>
        </w:rPr>
        <w:t xml:space="preserve"> (Confidential)</w:t>
      </w:r>
      <w:r w:rsidRPr="00E761F9">
        <w:t>, 6 January 2016;</w:t>
      </w:r>
      <w:r>
        <w:t xml:space="preserve"> United Energy, </w:t>
      </w:r>
      <w:r w:rsidRPr="004D1E24">
        <w:rPr>
          <w:rStyle w:val="AERtextitalic"/>
        </w:rPr>
        <w:t>R</w:t>
      </w:r>
      <w:r>
        <w:rPr>
          <w:rStyle w:val="AERtextitalic"/>
        </w:rPr>
        <w:t>evised r</w:t>
      </w:r>
      <w:r w:rsidRPr="004D1E24">
        <w:rPr>
          <w:rStyle w:val="AERtextitalic"/>
        </w:rPr>
        <w:t>egulatory proposal</w:t>
      </w:r>
      <w:r>
        <w:t>, 6 January 2016, p. 75;</w:t>
      </w:r>
      <w:r w:rsidRPr="00E761F9">
        <w:t xml:space="preserv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E761F9">
        <w:t xml:space="preserve">CitiPower,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349; Powercor,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343;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r w:rsidRPr="00E761F9">
        <w:t xml:space="preserve">; 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r w:rsidRPr="00E761F9">
        <w:t xml:space="preserve">; AGN, </w:t>
      </w:r>
      <w:r w:rsidRPr="00E761F9">
        <w:rPr>
          <w:rStyle w:val="AERtextitalic"/>
        </w:rPr>
        <w:t xml:space="preserve">Revised access arrangement proposal—Attachment 10.2A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Averaging </w:t>
      </w:r>
      <w:r>
        <w:rPr>
          <w:rStyle w:val="AERtextitalic"/>
        </w:rPr>
        <w:t>p</w:t>
      </w:r>
      <w:r w:rsidRPr="00E761F9">
        <w:rPr>
          <w:rStyle w:val="AERtextitalic"/>
        </w:rPr>
        <w:t>eriods</w:t>
      </w:r>
      <w:r>
        <w:rPr>
          <w:rStyle w:val="AERtextitalic"/>
        </w:rPr>
        <w:t xml:space="preserve"> (Confidential)</w:t>
      </w:r>
      <w:r w:rsidRPr="00E761F9">
        <w:t>, 6 January 2016</w:t>
      </w:r>
      <w:r>
        <w:t xml:space="preserve">; </w:t>
      </w:r>
      <w:r w:rsidRPr="00E761F9">
        <w:t xml:space="preserve">Amadeus, </w:t>
      </w:r>
      <w:r w:rsidRPr="00E761F9">
        <w:rPr>
          <w:rStyle w:val="AERtextitalic"/>
        </w:rPr>
        <w:t xml:space="preserve">Revised </w:t>
      </w:r>
      <w:r>
        <w:rPr>
          <w:rStyle w:val="AERtextitalic"/>
        </w:rPr>
        <w:t>a</w:t>
      </w:r>
      <w:r w:rsidRPr="00E761F9">
        <w:rPr>
          <w:rStyle w:val="AERtextitalic"/>
        </w:rPr>
        <w:t xml:space="preserve">ccess arrangement proposal—Attachment E: </w:t>
      </w:r>
      <w:r>
        <w:rPr>
          <w:rStyle w:val="AERtextitalic"/>
        </w:rPr>
        <w:t>A</w:t>
      </w:r>
      <w:r w:rsidRPr="00E761F9">
        <w:rPr>
          <w:rStyle w:val="AERtextitalic"/>
        </w:rPr>
        <w:t>veraging periods</w:t>
      </w:r>
      <w:r>
        <w:rPr>
          <w:rStyle w:val="AERtextitalic"/>
        </w:rPr>
        <w:t xml:space="preserve"> (Confidential)</w:t>
      </w:r>
      <w:r w:rsidRPr="00E761F9">
        <w:t>, 6 January 2016</w:t>
      </w:r>
      <w:r>
        <w:t>.</w:t>
      </w:r>
    </w:p>
    <w:p w:rsidR="00BB7CBA" w:rsidRPr="00E761F9" w:rsidRDefault="00BB7CBA" w:rsidP="00BB7CBA">
      <w:r w:rsidRPr="00E761F9">
        <w:t xml:space="preserve">Our decision is that the service providers' averaging periods: </w:t>
      </w:r>
    </w:p>
    <w:p w:rsidR="00BB7CBA" w:rsidRPr="00BB7CBA" w:rsidRDefault="00BB7CBA" w:rsidP="00BB7CBA">
      <w:pPr>
        <w:pStyle w:val="AERbulletlistfirststyle"/>
      </w:pPr>
      <w:r w:rsidRPr="00E761F9">
        <w:t xml:space="preserve">should be nominated before the regulatory </w:t>
      </w:r>
      <w:r w:rsidRPr="00BB7CBA">
        <w:t>period commences</w:t>
      </w:r>
    </w:p>
    <w:p w:rsidR="00BB7CBA" w:rsidRPr="00BB7CBA" w:rsidRDefault="00BB7CBA" w:rsidP="00BB7CBA">
      <w:pPr>
        <w:pStyle w:val="AERbulletlistfirststyle"/>
      </w:pPr>
      <w:r w:rsidRPr="00E761F9">
        <w:t>should not be separated into DRP and base rate averaging periods</w:t>
      </w:r>
    </w:p>
    <w:p w:rsidR="00BB7CBA" w:rsidRPr="00BB7CBA" w:rsidRDefault="00BB7CBA" w:rsidP="00BB7CBA">
      <w:pPr>
        <w:pStyle w:val="AERbulletlistfirststyle"/>
      </w:pPr>
      <w:r w:rsidRPr="00E761F9">
        <w:t>are not required to be as close as practically possible to the start of the each regulatory year, but should fall within a particular timeframe.</w:t>
      </w:r>
    </w:p>
    <w:p w:rsidR="00BB7CBA" w:rsidRPr="00E761F9" w:rsidRDefault="00BB7CBA" w:rsidP="00BB7CBA">
      <w:r w:rsidRPr="00492599">
        <w:t>Each of these is</w:t>
      </w:r>
      <w:r>
        <w:t xml:space="preserve"> discussed in more detail below</w:t>
      </w:r>
      <w:r w:rsidRPr="00E761F9">
        <w:t>.</w:t>
      </w:r>
    </w:p>
    <w:p w:rsidR="00BB7CBA" w:rsidRPr="00986B6E" w:rsidRDefault="00BB7CBA" w:rsidP="00BB7CBA">
      <w:r w:rsidRPr="00E761F9">
        <w:t>We have also received submissions from other stakeholders. For example, the CCP does not support the service providers' proposals to nominate an averaging period for each regulatory year just prior to that regulatory year, rather than at the start of the whole regulatory period. It considers this increases the complexity and opportunities for regulatory gaming.</w:t>
      </w:r>
      <w:r w:rsidRPr="00E761F9">
        <w:rPr>
          <w:rStyle w:val="FootnoteReference"/>
        </w:rPr>
        <w:footnoteReference w:id="1309"/>
      </w:r>
    </w:p>
    <w:p w:rsidR="00BB7CBA" w:rsidRPr="00BB7CBA" w:rsidRDefault="00BB7CBA" w:rsidP="009C7A42">
      <w:pPr>
        <w:pStyle w:val="HeadingBoldBlue"/>
      </w:pPr>
      <w:r w:rsidRPr="004C10CD">
        <w:t>Annual process for nominating debt averaging periods</w:t>
      </w:r>
    </w:p>
    <w:p w:rsidR="00BB7CBA" w:rsidRPr="00986B6E" w:rsidRDefault="00BB7CBA" w:rsidP="00BB7CBA">
      <w:r w:rsidRPr="00986B6E">
        <w:t xml:space="preserve">United Energy, Jemena Electricity Networks (JEN), CitiPower, Powercor and ActewAGL </w:t>
      </w:r>
      <w:r>
        <w:t xml:space="preserve">initially </w:t>
      </w:r>
      <w:r w:rsidRPr="00986B6E">
        <w:t>proposed to depart from the Guideline in relation to nominating all averaging periods before the start of the regulatory period (the 'Guideline condition'). Instead, these service providers proposed to nominate their averaging periods in a separate process each year.</w:t>
      </w:r>
      <w:r w:rsidRPr="00986B6E">
        <w:rPr>
          <w:rStyle w:val="FootnoteReference"/>
        </w:rPr>
        <w:footnoteReference w:id="1310"/>
      </w:r>
      <w:r>
        <w:t xml:space="preserve"> JEN and ActewAGL maintained this approach in their revised proposals.</w:t>
      </w:r>
      <w:r>
        <w:rPr>
          <w:rStyle w:val="FootnoteReference"/>
        </w:rPr>
        <w:footnoteReference w:id="1311"/>
      </w:r>
      <w:r>
        <w:t xml:space="preserve"> However, CitiPower, Powercor and United Energy did not press this approach in their revised proposals.</w:t>
      </w:r>
      <w:r>
        <w:rPr>
          <w:rStyle w:val="FootnoteReference"/>
        </w:rPr>
        <w:footnoteReference w:id="1312"/>
      </w:r>
    </w:p>
    <w:p w:rsidR="00BB7CBA" w:rsidRPr="00986B6E" w:rsidRDefault="00BB7CBA" w:rsidP="00BB7CBA">
      <w:r w:rsidRPr="00986B6E">
        <w:t>The service providers</w:t>
      </w:r>
      <w:r>
        <w:t>,</w:t>
      </w:r>
      <w:r w:rsidRPr="00986B6E">
        <w:t xml:space="preserve"> </w:t>
      </w:r>
      <w:r>
        <w:t xml:space="preserve">in their initial proposals, </w:t>
      </w:r>
      <w:r w:rsidRPr="00986B6E">
        <w:t xml:space="preserve">submitted </w:t>
      </w:r>
      <w:r>
        <w:t xml:space="preserve">or implied </w:t>
      </w:r>
      <w:r w:rsidRPr="00986B6E">
        <w:t xml:space="preserve">the Guideline condition </w:t>
      </w:r>
      <w:r>
        <w:t>might be</w:t>
      </w:r>
      <w:r w:rsidRPr="00986B6E">
        <w:t xml:space="preserve"> inconsistent with the </w:t>
      </w:r>
      <w:r>
        <w:t>ARORO</w:t>
      </w:r>
      <w:r w:rsidRPr="00986B6E">
        <w:t>.</w:t>
      </w:r>
      <w:r>
        <w:rPr>
          <w:rStyle w:val="FootnoteReference"/>
        </w:rPr>
        <w:footnoteReference w:id="1313"/>
      </w:r>
      <w:r w:rsidRPr="00986B6E">
        <w:t xml:space="preserve"> Their reasoning for an annual process to nominate debt averaging periods appears to </w:t>
      </w:r>
      <w:r>
        <w:t>centre</w:t>
      </w:r>
      <w:r w:rsidRPr="00986B6E">
        <w:t xml:space="preserve"> on a view that this approach:</w:t>
      </w:r>
      <w:r w:rsidRPr="00986B6E">
        <w:rPr>
          <w:rStyle w:val="FootnoteReference"/>
        </w:rPr>
        <w:footnoteReference w:id="1314"/>
      </w:r>
    </w:p>
    <w:p w:rsidR="00BB7CBA" w:rsidRPr="00BB7CBA" w:rsidRDefault="00BB7CBA" w:rsidP="00BB7CBA">
      <w:pPr>
        <w:pStyle w:val="AERbulletlistfirststyle"/>
      </w:pPr>
      <w:r w:rsidRPr="00986B6E">
        <w:t xml:space="preserve">reduces the risk of mismatch between the efficient financing costs of a benchmark efficient </w:t>
      </w:r>
      <w:r w:rsidRPr="00BB7CBA">
        <w:t>entity and the allowed return on debt</w:t>
      </w:r>
      <w:r w:rsidRPr="00BB7CBA">
        <w:rPr>
          <w:rStyle w:val="FootnoteReference"/>
        </w:rPr>
        <w:footnoteReference w:id="1315"/>
      </w:r>
    </w:p>
    <w:p w:rsidR="00BB7CBA" w:rsidRPr="00BB7CBA" w:rsidRDefault="00BB7CBA" w:rsidP="00BB7CBA">
      <w:pPr>
        <w:pStyle w:val="AERbulletlistfirststyle"/>
      </w:pPr>
      <w:r w:rsidRPr="00986B6E">
        <w:t>is consistent with the rule requirement for the change in revenue from the annual debt update to result from the automatic application of a formula that is specified in the determination.</w:t>
      </w:r>
      <w:r w:rsidRPr="00BB7CBA">
        <w:rPr>
          <w:rStyle w:val="FootnoteReference"/>
        </w:rPr>
        <w:footnoteReference w:id="1316"/>
      </w:r>
    </w:p>
    <w:p w:rsidR="00BB7CBA" w:rsidRDefault="00BB7CBA" w:rsidP="00BB7CBA">
      <w:r>
        <w:t>ActewAGL and JEN maintained these views in their revised proposals.</w:t>
      </w:r>
      <w:r>
        <w:rPr>
          <w:rStyle w:val="FootnoteReference"/>
        </w:rPr>
        <w:footnoteReference w:id="1317"/>
      </w:r>
    </w:p>
    <w:p w:rsidR="00BB7CBA" w:rsidRPr="00986B6E" w:rsidRDefault="00BB7CBA" w:rsidP="00BB7CBA">
      <w:r>
        <w:t>As we stated in our preliminary decisions, w</w:t>
      </w:r>
      <w:r w:rsidRPr="00986B6E">
        <w:t xml:space="preserve">e do not agree with the service providers' submissions. Our decision is that the service providers' averaging periods should be nominated before the regulatory period commences. This is consistent with our </w:t>
      </w:r>
      <w:r>
        <w:t>preliminary decision</w:t>
      </w:r>
      <w:r w:rsidRPr="00986B6E">
        <w:t xml:space="preserve">. We consider the Guideline condition is consistent with a return on debt averaging period that satisfies the rules. This contributes to the achievement of the </w:t>
      </w:r>
      <w:r>
        <w:t>ARORO</w:t>
      </w:r>
      <w:r w:rsidRPr="00986B6E">
        <w:t>.</w:t>
      </w:r>
      <w:r w:rsidRPr="00986B6E">
        <w:rPr>
          <w:rStyle w:val="FootnoteReference"/>
        </w:rPr>
        <w:footnoteReference w:id="1318"/>
      </w:r>
      <w:r w:rsidRPr="00986B6E">
        <w:t xml:space="preserve"> We also consider the service providers have overstated the risk associated with nominating averaging periods in advance of the regulatory period commencing. We set out our reasons for these positions in the following paragraphs.</w:t>
      </w:r>
    </w:p>
    <w:p w:rsidR="00BB7CBA" w:rsidRPr="00986B6E" w:rsidRDefault="00BB7CBA" w:rsidP="00BB7CBA">
      <w:r w:rsidRPr="00986B6E">
        <w:t xml:space="preserve">We consider the Guideline condition to nominate averaging periods upfront during the distribution determination process is consistent with a return on debt that contributes to the achievement of the </w:t>
      </w:r>
      <w:r>
        <w:t>ARORO and other rule requirements</w:t>
      </w:r>
      <w:r w:rsidRPr="00986B6E">
        <w:t xml:space="preserve"> because it:</w:t>
      </w:r>
    </w:p>
    <w:p w:rsidR="00BB7CBA" w:rsidRPr="00BB7CBA" w:rsidRDefault="00BB7CBA" w:rsidP="00BB7CBA">
      <w:pPr>
        <w:pStyle w:val="AERbulletlistfirststyle"/>
      </w:pPr>
      <w:r w:rsidRPr="00BB7CBA">
        <w:t xml:space="preserve">provides an appropriate balance between flexibility and certainty that facilitates service providers to organise their financing arrangements in a way that promotes efficient financing decisions and enables them to manage risk </w:t>
      </w:r>
    </w:p>
    <w:p w:rsidR="00BB7CBA" w:rsidRPr="00BB7CBA" w:rsidRDefault="00BB7CBA" w:rsidP="00BB7CBA">
      <w:pPr>
        <w:pStyle w:val="AERbulletlistfirststyle"/>
      </w:pPr>
      <w:r>
        <w:t>r</w:t>
      </w:r>
      <w:r w:rsidRPr="00BB7CBA">
        <w:t>esults in an unbiased outcome because it requires service providers to nominate their averaging periods in advance</w:t>
      </w:r>
      <w:r w:rsidRPr="00BB7CBA">
        <w:rPr>
          <w:rStyle w:val="FootnoteReference"/>
        </w:rPr>
        <w:footnoteReference w:id="1319"/>
      </w:r>
      <w:r w:rsidRPr="00BB7CBA">
        <w:t>—this allows us to provide ex-ante compensation for a benchmark efficient entity's efficient financing costs (all else being equal) (see section</w:t>
      </w:r>
      <w:r w:rsidR="009F5FA6">
        <w:t>s</w:t>
      </w:r>
      <w:r w:rsidRPr="00BB7CBA">
        <w:t xml:space="preserve"> </w:t>
      </w:r>
      <w:r w:rsidR="009F5FA6">
        <w:fldChar w:fldCharType="begin"/>
      </w:r>
      <w:r w:rsidR="009F5FA6">
        <w:instrText xml:space="preserve"> REF _Ref451544012 \r \h </w:instrText>
      </w:r>
      <w:r w:rsidR="009F5FA6">
        <w:fldChar w:fldCharType="separate"/>
      </w:r>
      <w:r w:rsidR="001A023B">
        <w:t>3.3.3</w:t>
      </w:r>
      <w:r w:rsidR="009F5FA6">
        <w:fldChar w:fldCharType="end"/>
      </w:r>
      <w:r w:rsidRPr="00BB7CBA">
        <w:t xml:space="preserve"> and </w:t>
      </w:r>
      <w:r w:rsidR="009F5FA6">
        <w:fldChar w:fldCharType="begin"/>
      </w:r>
      <w:r w:rsidR="009F5FA6">
        <w:instrText xml:space="preserve"> REF _Ref444778432 \r \h </w:instrText>
      </w:r>
      <w:r w:rsidR="009F5FA6">
        <w:fldChar w:fldCharType="separate"/>
      </w:r>
      <w:r w:rsidR="001A023B">
        <w:t>H.2</w:t>
      </w:r>
      <w:r w:rsidR="009F5FA6">
        <w:fldChar w:fldCharType="end"/>
      </w:r>
      <w:r w:rsidRPr="00BB7CBA">
        <w:t>)</w:t>
      </w:r>
    </w:p>
    <w:p w:rsidR="00BB7CBA" w:rsidRPr="00BB7CBA" w:rsidRDefault="00BB7CBA" w:rsidP="00BB7CBA">
      <w:pPr>
        <w:pStyle w:val="AERbulletlistfirststyle"/>
      </w:pPr>
      <w:r w:rsidRPr="00BB7CBA">
        <w:t>facilitates the achievement of the rules requirement that changes to revenue resulting from the annual debt update occur through the 'automatic' application of a formula specified in the distribution determination.</w:t>
      </w:r>
    </w:p>
    <w:p w:rsidR="00BB7CBA" w:rsidRPr="00986B6E" w:rsidRDefault="00BB7CBA" w:rsidP="00BB7CBA">
      <w:r w:rsidRPr="00986B6E">
        <w:t xml:space="preserve">We provide service providers with flexibility to nominate the length of their averaging periods, which can be anywhere between 10 business days and 12 months. We also provide service providers with the flexibility to nominate the same or different averaging periods for different years in a regulatory period. </w:t>
      </w:r>
    </w:p>
    <w:p w:rsidR="00BB7CBA" w:rsidRPr="00986B6E" w:rsidRDefault="00BB7CBA" w:rsidP="00BB7CBA">
      <w:r w:rsidRPr="00986B6E">
        <w:t>We also provide service providers with the certainty that no matter how interest rates change, we will compensate service providers for the prevailing return on debt during that averaging period by reflecting those interest rates in their revenue allowance. We consider this certainty would provide service providers with confidence to organise their financing around the averaging periods set in the decision. This is consistent with the NEO</w:t>
      </w:r>
      <w:r>
        <w:t>/</w:t>
      </w:r>
      <w:r w:rsidRPr="00986B6E">
        <w:t xml:space="preserve">NGO and revenue and pricing principles which seek to promote decisions that are in the long term interests of consumers through the promotion of efficient investment and the use of effective incentives and appropriate regard to risks. </w:t>
      </w:r>
    </w:p>
    <w:p w:rsidR="00BB7CBA" w:rsidRPr="00986B6E" w:rsidRDefault="00BB7CBA" w:rsidP="00BB7CBA">
      <w:r w:rsidRPr="00986B6E">
        <w:t>We consider a return on debt estimated using an averaging period determined in advance of it occurring can be expected to be unbiased.</w:t>
      </w:r>
      <w:r w:rsidRPr="00986B6E">
        <w:rPr>
          <w:rStyle w:val="FootnoteReference"/>
        </w:rPr>
        <w:footnoteReference w:id="1320"/>
      </w:r>
      <w:r w:rsidRPr="00986B6E">
        <w:t xml:space="preserve"> If an averaging period is chosen after that period occurs, the knowledge of returns at any past point of time influences the choice, creating an inherent bias. It would not matter if the period were chosen by the AER, the service provider, a user or consumer, the Tribunal or another stakeholder. This view has been recognised by experts and expressed by us in the Guideline.</w:t>
      </w:r>
      <w:r w:rsidRPr="00986B6E">
        <w:rPr>
          <w:rStyle w:val="FootnoteReference"/>
        </w:rPr>
        <w:footnoteReference w:id="1321"/>
      </w:r>
      <w:r w:rsidRPr="00986B6E">
        <w:t xml:space="preserve"> </w:t>
      </w:r>
      <w:r>
        <w:t>We consider a biased return on debt estimate would not provide ex-ante compensation for a benchmark efficient entity's efficient financing costs. As such, it would not satisfy the ARORO.</w:t>
      </w:r>
    </w:p>
    <w:p w:rsidR="00BB7CBA" w:rsidRPr="00986B6E" w:rsidRDefault="00BB7CBA" w:rsidP="00BB7CBA">
      <w:r w:rsidRPr="00986B6E">
        <w:t xml:space="preserve">We consider the Guideline condition facilitates a change in revenue from the annual debt update to result from the automatic application of a formula that is specified in the decision. This is consistent with the rules requirement for automatic updating. This is because nominating averaging periods before the regulatory control period or access arrangement period commences simplifies the annual updating process. We consider a sufficiently simple, mechanistic process is required to meet this requirement. It is not clear to us that adding an additional process that requires judgement and assessment is consistent with the rules requirement. </w:t>
      </w:r>
      <w:r>
        <w:t>We consider</w:t>
      </w:r>
      <w:r w:rsidRPr="009F4EA4">
        <w:t xml:space="preserve"> it is difficult to account for the many uncertainties inherent in a process that requires judgement and assessment.</w:t>
      </w:r>
      <w:r>
        <w:t xml:space="preserve"> </w:t>
      </w:r>
      <w:r w:rsidRPr="00986B6E">
        <w:t>Our experience is that agreeing on averaging periods is not necessarily a straightforward exercise. This is because service providers have an incentive to dispute averaging periods when it is in their interests to do so. For example:</w:t>
      </w:r>
    </w:p>
    <w:p w:rsidR="00BB7CBA" w:rsidRPr="00BB7CBA" w:rsidRDefault="00BB7CBA" w:rsidP="00BB7CBA">
      <w:pPr>
        <w:pStyle w:val="AERbulletlistfirststyle"/>
      </w:pPr>
      <w:r w:rsidRPr="00986B6E">
        <w:t>The NSW electricity distributors recently advocated using a long term historical averaging period for calculating the risk free rate for the return on equity. As an alternative option, they also proposed using a different short term averaging period to what we have proposed to them. The NSW electricity distributors also advocated using different averaging periods to calculate the return on debt by proposing an immediate transition to the trailing average.</w:t>
      </w:r>
      <w:r w:rsidRPr="00BB7CBA">
        <w:rPr>
          <w:rStyle w:val="FootnoteReference"/>
        </w:rPr>
        <w:footnoteReference w:id="1322"/>
      </w:r>
    </w:p>
    <w:p w:rsidR="00BB7CBA" w:rsidRPr="00BB7CBA" w:rsidRDefault="00BB7CBA" w:rsidP="00BB7CBA">
      <w:pPr>
        <w:pStyle w:val="AERbulletlistfirststyle"/>
      </w:pPr>
      <w:r w:rsidRPr="00986B6E">
        <w:t>We have had decisions taken to the Tribunal and the Federal Court of Australia over the averaging period.</w:t>
      </w:r>
      <w:r w:rsidRPr="00BB7CBA">
        <w:rPr>
          <w:rStyle w:val="FootnoteReference"/>
        </w:rPr>
        <w:footnoteReference w:id="1323"/>
      </w:r>
    </w:p>
    <w:p w:rsidR="00BB7CBA" w:rsidRPr="00BB7CBA" w:rsidRDefault="00BB7CBA" w:rsidP="00BB7CBA">
      <w:pPr>
        <w:pStyle w:val="AERbulletlistfirststyle"/>
      </w:pPr>
      <w:r w:rsidRPr="00986B6E">
        <w:t>The averaging period has been a contentious issue in a number of previous determination processes.</w:t>
      </w:r>
      <w:r w:rsidRPr="00BB7CBA">
        <w:rPr>
          <w:rStyle w:val="FootnoteReference"/>
        </w:rPr>
        <w:footnoteReference w:id="1324"/>
      </w:r>
      <w:r w:rsidRPr="00BB7CBA">
        <w:t xml:space="preserve"> </w:t>
      </w:r>
    </w:p>
    <w:p w:rsidR="00BB7CBA" w:rsidRPr="00BB7CBA" w:rsidRDefault="00BB7CBA" w:rsidP="009C7A42">
      <w:r w:rsidRPr="00986B6E">
        <w:t xml:space="preserve">Further, </w:t>
      </w:r>
      <w:r w:rsidRPr="00BB7CBA">
        <w:t>the addition of an extra process each year to nominate averaging periods would add further complexity and costs to the administration of regulation. We consider:</w:t>
      </w:r>
    </w:p>
    <w:p w:rsidR="00BB7CBA" w:rsidRPr="00BB7CBA" w:rsidRDefault="00BB7CBA" w:rsidP="00BB7CBA">
      <w:pPr>
        <w:pStyle w:val="AERbulletlistfirststyle"/>
      </w:pPr>
      <w:r w:rsidRPr="00BB7CBA">
        <w:t>The service providers proposal to annually nominate averaging periods could complicate the regulatory process. We are concerned that complicating the regulatory regime further could make the trailing average approach impractical to implement. We note that the trailing average approach originated with the UK regulator, Ofgem. Our understanding of Ofgem's approach is that it does not provide service providers with the flexibility to choose their own averaging periods. Instead, it appears that Ofgem uses a continuous data series to implement the trailing average approach.  Accordingly, the service providers' proposed implementation of the trailing average is more complex than our approach and considerably more complex than Ofgem's approach. We are not aware of any economic regulator that adopts a return on debt methodology as complex as what the service providers have proposed.</w:t>
      </w:r>
    </w:p>
    <w:p w:rsidR="00BB7CBA" w:rsidRPr="00BB7CBA" w:rsidRDefault="00BB7CBA" w:rsidP="00BB7CBA">
      <w:pPr>
        <w:pStyle w:val="AERbulletlistfirststyle"/>
      </w:pPr>
      <w:r w:rsidRPr="00986B6E">
        <w:t xml:space="preserve">This complexity is amplified by </w:t>
      </w:r>
      <w:r w:rsidRPr="00BB7CBA">
        <w:t>potential differences between the annual processes that could be proposed by different service providers. For example, JEN's annual process requires nomination of an averaging period for regulatory year t at least 50 business days before the commencement of regulatory year t–1. However, ActewAGL requires nomination by 30 April of regulatory year t–2.</w:t>
      </w:r>
      <w:r w:rsidRPr="00BB7CBA">
        <w:rPr>
          <w:rStyle w:val="FootnoteReference"/>
        </w:rPr>
        <w:footnoteReference w:id="1325"/>
      </w:r>
    </w:p>
    <w:p w:rsidR="00BB7CBA" w:rsidRPr="00986B6E" w:rsidRDefault="00BB7CBA" w:rsidP="00BB7CBA">
      <w:r w:rsidRPr="00986B6E">
        <w:t>We may accept increased complexity where the benefits clearly outweigh the costs. For example, in the Guideline, we adopted annual updating to the return on debt and provided more flexibility over the averaging periods service providers could nominate (up to 12 months). While we recognised this would increase costs associated with complexity and the administration of regulation, we also considered the benefits would outweigh the costs.</w:t>
      </w:r>
      <w:r w:rsidRPr="00986B6E">
        <w:rPr>
          <w:rStyle w:val="FootnoteReference"/>
        </w:rPr>
        <w:footnoteReference w:id="1326"/>
      </w:r>
      <w:r w:rsidRPr="00986B6E">
        <w:t xml:space="preserve"> In contrast, based on the reasons provided by the service providers</w:t>
      </w:r>
      <w:r>
        <w:t xml:space="preserve"> in the original and revised proposals</w:t>
      </w:r>
      <w:r w:rsidRPr="00986B6E">
        <w:t>, we are not satisfied that there are benefits which outweigh the additional complexity resulting from the service providers' proposals</w:t>
      </w:r>
      <w:r>
        <w:t xml:space="preserve"> and revised proposals</w:t>
      </w:r>
      <w:r w:rsidRPr="00986B6E">
        <w:t>.</w:t>
      </w:r>
    </w:p>
    <w:p w:rsidR="00BB7CBA" w:rsidRPr="00986B6E" w:rsidRDefault="00BB7CBA" w:rsidP="00BB7CBA">
      <w:r>
        <w:t xml:space="preserve">JEN and ActewAGL </w:t>
      </w:r>
      <w:r w:rsidRPr="00986B6E">
        <w:t xml:space="preserve">considered their approach was not overly complex and reduced risk. </w:t>
      </w:r>
      <w:r>
        <w:t>They</w:t>
      </w:r>
      <w:r w:rsidRPr="00986B6E">
        <w:t xml:space="preserve"> submitted that there is significant uncertainty around future spending and when refinancing will need to occur over the next regulatory period. They submitted that a benchmark efficient entity can better match its cash needs with funding if it can nominate the averaging period closer to when it raises or refinances debt because it can more accurately forecast its liquidity position.</w:t>
      </w:r>
      <w:r w:rsidRPr="00986B6E">
        <w:rPr>
          <w:rStyle w:val="FootnoteReference"/>
        </w:rPr>
        <w:footnoteReference w:id="1327"/>
      </w:r>
      <w:r w:rsidRPr="00986B6E">
        <w:t xml:space="preserve"> We consider the risks discussed in the service providers' </w:t>
      </w:r>
      <w:r>
        <w:t xml:space="preserve">initial and revised </w:t>
      </w:r>
      <w:r w:rsidRPr="00986B6E">
        <w:t>proposals have been overstated. We are not satisfied that nominating averaging periods before the regulatory period commences creates significant risk</w:t>
      </w:r>
      <w:r>
        <w:t xml:space="preserve"> or leads to a return on debt estimate that does not satisfy the ARORO </w:t>
      </w:r>
      <w:r w:rsidRPr="00986B6E">
        <w:t>. This is because:</w:t>
      </w:r>
    </w:p>
    <w:p w:rsidR="00BB7CBA" w:rsidRPr="00BB7CBA" w:rsidRDefault="00BB7CBA" w:rsidP="00BB7CBA">
      <w:pPr>
        <w:pStyle w:val="AERbulletlistfirststyle"/>
      </w:pPr>
      <w:r>
        <w:t xml:space="preserve">Our objective in setting the allowed return on debt is to </w:t>
      </w:r>
      <w:r w:rsidRPr="00BB7CBA">
        <w:t xml:space="preserve">contribute to the achievement of the ARORO. As set out in </w:t>
      </w:r>
      <w:r w:rsidR="009F5FA6" w:rsidRPr="00BB7CBA">
        <w:t>section</w:t>
      </w:r>
      <w:r w:rsidR="009F5FA6">
        <w:t>s</w:t>
      </w:r>
      <w:r w:rsidR="009F5FA6" w:rsidRPr="00BB7CBA">
        <w:t xml:space="preserve"> </w:t>
      </w:r>
      <w:r w:rsidR="009F5FA6">
        <w:fldChar w:fldCharType="begin"/>
      </w:r>
      <w:r w:rsidR="009F5FA6">
        <w:instrText xml:space="preserve"> REF _Ref451544012 \r \h </w:instrText>
      </w:r>
      <w:r w:rsidR="009F5FA6">
        <w:fldChar w:fldCharType="separate"/>
      </w:r>
      <w:r w:rsidR="001A023B">
        <w:t>3.3.3</w:t>
      </w:r>
      <w:r w:rsidR="009F5FA6">
        <w:fldChar w:fldCharType="end"/>
      </w:r>
      <w:r w:rsidR="009F5FA6" w:rsidRPr="00BB7CBA">
        <w:t xml:space="preserve"> and </w:t>
      </w:r>
      <w:r w:rsidR="009F5FA6">
        <w:fldChar w:fldCharType="begin"/>
      </w:r>
      <w:r w:rsidR="009F5FA6">
        <w:instrText xml:space="preserve"> REF _Ref444778432 \r \h </w:instrText>
      </w:r>
      <w:r w:rsidR="009F5FA6">
        <w:fldChar w:fldCharType="separate"/>
      </w:r>
      <w:r w:rsidR="001A023B">
        <w:t>H.2</w:t>
      </w:r>
      <w:r w:rsidR="009F5FA6">
        <w:fldChar w:fldCharType="end"/>
      </w:r>
      <w:r w:rsidRPr="00BB7CBA">
        <w:t>, we consider this requires us to set an allowed return on debt that provides ex-ante compensation for a benchmark efficient entity's efficient debt financing costs. We have regard to the desirability of reducing any mismatch between the return on debt allowance and a benchmark efficient entity's actual debt cost outcomes (or cash outflows). However, some mismatch between the actual debt costs and the regulated debt allowance is an intrinsic part of incentive regulation―whether the allowance is set using a trailing average approach or otherwise. The regulatory regime is not meant to remove all risk from service providers. This is why we provide an allowance for systematic risks (including but not limited to interest rate risk) through the allowed return on equity. Our regulatory approach enables service providers to match their cash inflows and outflows better than most businesses in the economy, and this position is supported by Chairmont.</w:t>
      </w:r>
      <w:r w:rsidRPr="00BB7CBA">
        <w:rPr>
          <w:rStyle w:val="FootnoteReference"/>
        </w:rPr>
        <w:footnoteReference w:id="1328"/>
      </w:r>
      <w:r w:rsidRPr="00BB7CBA">
        <w:t xml:space="preserve"> Overall, to the extent there is compensable risk from a mismatch, we consider it is appropriately compensated for ex-ante in our allowed rate of return, which we consider will achieve the ARORO.</w:t>
      </w:r>
    </w:p>
    <w:p w:rsidR="00BB7CBA" w:rsidRPr="00BB7CBA" w:rsidRDefault="00BB7CBA" w:rsidP="00BB7CBA">
      <w:pPr>
        <w:pStyle w:val="AERbulletlistfirststyle"/>
      </w:pPr>
      <w:r w:rsidRPr="00986B6E">
        <w:t xml:space="preserve">Under the trailing average approach, </w:t>
      </w:r>
      <w:r w:rsidRPr="00BB7CBA">
        <w:t xml:space="preserve">we reset one tenth of the return on debt each year to reflect prevailing market rates. We consider this, if anything, is likely to reduce risk relative to the on-the-day approach (for a benchmark efficient entity). This is because, relative to the on-the-day approach, the trailing average approach is likely to reduce any mismatch between a benchmark efficient entity's actual debt costs and the allowed return on debt. Therefore, the timing of the averaging period and the timing that a benchmark efficient entity may raise debt is likely to be more closely aligned. </w:t>
      </w:r>
    </w:p>
    <w:p w:rsidR="00BB7CBA" w:rsidRPr="00BB7CBA" w:rsidRDefault="00BB7CBA" w:rsidP="00BB7CBA">
      <w:pPr>
        <w:pStyle w:val="AERbulletlistfirststyle"/>
      </w:pPr>
      <w:r w:rsidRPr="00986B6E">
        <w:t>We allow service providers to nominate annual averaging periods up to a maximum of 12 months in length.</w:t>
      </w:r>
      <w:r w:rsidRPr="00BB7CBA">
        <w:rPr>
          <w:rStyle w:val="FootnoteReference"/>
        </w:rPr>
        <w:footnoteReference w:id="1329"/>
      </w:r>
      <w:r w:rsidRPr="00BB7CBA">
        <w:t xml:space="preserve"> Given this, if service providers chose to, they could create the situation where they could issue debt whenever they wanted and have this fall inside their nominated averaging period.</w:t>
      </w:r>
      <w:r w:rsidRPr="00BB7CBA">
        <w:rPr>
          <w:rStyle w:val="FootnoteReference"/>
        </w:rPr>
        <w:footnoteReference w:id="1330"/>
      </w:r>
      <w:r w:rsidRPr="00BB7CBA">
        <w:t xml:space="preserve"> </w:t>
      </w:r>
    </w:p>
    <w:p w:rsidR="00BB7CBA" w:rsidRPr="00BB7CBA" w:rsidRDefault="00BB7CBA" w:rsidP="009C7A42">
      <w:pPr>
        <w:pStyle w:val="AERbulletlistfirststyle"/>
      </w:pPr>
      <w:r w:rsidRPr="00986B6E">
        <w:t>Most service providers currently under review have nominated averaging periods for all regulatory years in their proposals. We do not consider this is consistent with the other service providers' submissions that nominating averaging periods before the regulatory period commences creates significant risk.</w:t>
      </w:r>
    </w:p>
    <w:p w:rsidR="00BB7CBA" w:rsidRPr="00BB7CBA" w:rsidRDefault="00BB7CBA" w:rsidP="009C7A42">
      <w:pPr>
        <w:pStyle w:val="HeadingBoldBlue"/>
      </w:pPr>
      <w:r w:rsidRPr="00D34FDC">
        <w:t>Separate averaging periods for the DRP and base rate</w:t>
      </w:r>
    </w:p>
    <w:p w:rsidR="00BB7CBA" w:rsidRDefault="00BB7CBA" w:rsidP="00BB7CBA">
      <w:r>
        <w:t>Australian Gas Networks (AGN)</w:t>
      </w:r>
      <w:r w:rsidRPr="00256226">
        <w:t xml:space="preserve"> proposed</w:t>
      </w:r>
      <w:r>
        <w:t>, in its initial and revised proposal,</w:t>
      </w:r>
      <w:r w:rsidRPr="00256226">
        <w:t xml:space="preserve"> </w:t>
      </w:r>
      <w:r w:rsidRPr="002605D5">
        <w:t>separate averaging periods for the base rate and DRP components of the return on debt</w:t>
      </w:r>
      <w:r>
        <w:t>.</w:t>
      </w:r>
      <w:r>
        <w:rPr>
          <w:rStyle w:val="FootnoteReference"/>
        </w:rPr>
        <w:footnoteReference w:id="1331"/>
      </w:r>
      <w:r>
        <w:t xml:space="preserve"> To support its position, it submitted two reports by CEG, one in 2015 with its initial proposal, and one in 2016 with its revised proposal.</w:t>
      </w:r>
      <w:r>
        <w:rPr>
          <w:rStyle w:val="FootnoteReference"/>
        </w:rPr>
        <w:footnoteReference w:id="1332"/>
      </w:r>
      <w:r>
        <w:t xml:space="preserve"> AGN was the only service provider to propose this approach. </w:t>
      </w:r>
    </w:p>
    <w:p w:rsidR="00BB7CBA" w:rsidRDefault="00BB7CBA" w:rsidP="00BB7CBA">
      <w:r>
        <w:t xml:space="preserve">AGN (and CEG) considered that this </w:t>
      </w:r>
      <w:r w:rsidRPr="009A6B2B">
        <w:t>reduces the risk of mismatch between the efficient financing costs of a benchmark efficient entity and the allowed return on debt</w:t>
      </w:r>
      <w:r>
        <w:t>.</w:t>
      </w:r>
      <w:r>
        <w:rPr>
          <w:rStyle w:val="FootnoteReference"/>
        </w:rPr>
        <w:footnoteReference w:id="1333"/>
      </w:r>
      <w:r>
        <w:t xml:space="preserve"> AGN (and CEG) submitted that using a longer averaging period for the DRP and a shorter averaging period for the base rate is consistent with an efficient debt management strategy where:</w:t>
      </w:r>
    </w:p>
    <w:p w:rsidR="00BB7CBA" w:rsidRPr="00BB7CBA" w:rsidRDefault="00BB7CBA" w:rsidP="00BB7CBA">
      <w:pPr>
        <w:pStyle w:val="AERbulletlistfirststyle"/>
      </w:pPr>
      <w:r>
        <w:t>debt issuance cannot be easily managed to short windows each year</w:t>
      </w:r>
    </w:p>
    <w:p w:rsidR="00BB7CBA" w:rsidRPr="00BB7CBA" w:rsidRDefault="00BB7CBA" w:rsidP="00BB7CBA">
      <w:pPr>
        <w:pStyle w:val="AERbulletlistfirststyle"/>
      </w:pPr>
      <w:r>
        <w:t>swap contracts, being more flexible and liquid, can be used to manage base rates of interest to short windows each year.</w:t>
      </w:r>
    </w:p>
    <w:p w:rsidR="00BB7CBA" w:rsidRDefault="00BB7CBA" w:rsidP="00BB7CBA">
      <w:r>
        <w:t>We did not consider the possibility of separating debt averaging periods in the Guideline. Our decision is that debt averaging periods should not be separated into DRP and base rate components, consistent with our draft decision for AGN.</w:t>
      </w:r>
      <w:r>
        <w:rPr>
          <w:rStyle w:val="FootnoteReference"/>
        </w:rPr>
        <w:footnoteReference w:id="1334"/>
      </w:r>
      <w:r>
        <w:t xml:space="preserve"> We have considered AGN's revised proposal and CEG's latest report, and maintain our position. We consider:</w:t>
      </w:r>
    </w:p>
    <w:p w:rsidR="00BB7CBA" w:rsidRPr="00BB7CBA" w:rsidRDefault="00BB7CBA" w:rsidP="009C7A42">
      <w:pPr>
        <w:pStyle w:val="AERbulletlistfirststyle"/>
      </w:pPr>
      <w:r>
        <w:t>As set out under 'Annual process for nominating debt averaging periods' above, o</w:t>
      </w:r>
      <w:r w:rsidRPr="00BB7CBA">
        <w:t>ur objective in setting the allowed return on debt is to satisfy the ARORO. We do not consider the ARORO requires us to set a return on debt that precisely matches the debt cash outflows from a particular debt financing strategy.</w:t>
      </w:r>
      <w:r w:rsidRPr="00BB7CBA">
        <w:rPr>
          <w:rStyle w:val="FootnoteReference"/>
        </w:rPr>
        <w:footnoteReference w:id="1335"/>
      </w:r>
      <w:r w:rsidRPr="00BB7CBA">
        <w:t xml:space="preserve"> We also do not consider it is possible or desirable to define a benchmark efficient financing strategy to the level of detail in AGN's proposals. Partington and Satchell recommended against interpreting efficient debt financing costs as the debt costs that result from an assumed financing strategy (including particular hedging arrangements). In particular, they consider what constitutes benchmark efficient financing practices is ambiguous and differs across firms depending on their objectives and circumstances.</w:t>
      </w:r>
      <w:r w:rsidRPr="00BB7CBA">
        <w:rPr>
          <w:rStyle w:val="FootnoteReference"/>
        </w:rPr>
        <w:footnoteReference w:id="1336"/>
      </w:r>
    </w:p>
    <w:p w:rsidR="00BB7CBA" w:rsidRPr="00BB7CBA" w:rsidRDefault="00BB7CBA" w:rsidP="009C7A42">
      <w:pPr>
        <w:pStyle w:val="AERbulletlistfirststyle"/>
      </w:pPr>
      <w:r>
        <w:t>As set out under 'Annual process</w:t>
      </w:r>
      <w:r w:rsidRPr="00BB7CBA">
        <w:t xml:space="preserve"> for nominating debt averaging periods' above, we have regard to the desirability of reducing any mismatch between the return on debt allowance and a benchmark efficient entity's actual debt cost outcomes (or cash outflows).</w:t>
      </w:r>
      <w:r w:rsidRPr="00BB7CBA">
        <w:rPr>
          <w:rStyle w:val="FootnoteReference"/>
        </w:rPr>
        <w:footnoteReference w:id="1337"/>
      </w:r>
      <w:r w:rsidRPr="00BB7CBA">
        <w:t xml:space="preserve"> However, we consider the regulatory regime is not meant to remove all risk from service providers. We also consider our allowed return on debt contributes to the achievement of the ARORO.</w:t>
      </w:r>
    </w:p>
    <w:p w:rsidR="00BB7CBA" w:rsidRPr="00BB7CBA" w:rsidRDefault="00BB7CBA" w:rsidP="009C7A42">
      <w:pPr>
        <w:pStyle w:val="AERbulletlistfirststyle"/>
      </w:pPr>
      <w:r>
        <w:t xml:space="preserve">AGN (or CEG) has </w:t>
      </w:r>
      <w:r w:rsidRPr="00BB7CBA">
        <w:t>not demonstrated its proposed approach leads to a materially preferable outcome, particularly given our approach allows it to nominate a single averaging period up to 12 months in length.</w:t>
      </w:r>
      <w:r w:rsidRPr="00BB7CBA">
        <w:rPr>
          <w:rStyle w:val="FootnoteReference"/>
        </w:rPr>
        <w:footnoteReference w:id="1338"/>
      </w:r>
      <w:r w:rsidRPr="00BB7CBA">
        <w:t xml:space="preserve"> We consider if service providers prefer to reduce the volatility in their DRP compensation, they can do so by nominating a single long averaging period.  </w:t>
      </w:r>
    </w:p>
    <w:p w:rsidR="00BB7CBA" w:rsidRPr="00BB7CBA" w:rsidRDefault="00BB7CBA" w:rsidP="009C7A42">
      <w:pPr>
        <w:pStyle w:val="AERbulletlistfirststyle"/>
      </w:pPr>
      <w:r>
        <w:t>AGN's proposed</w:t>
      </w:r>
      <w:r w:rsidRPr="00BB7CBA">
        <w:t xml:space="preserve"> approach adds further complexity and costs to the administration of regulation. We are not satisfied that AGN has identified there are benefits which outweigh the additional complexity resulting from this approach. We maintain this view after consideration of CEG's (and AGN's) submission that AGN's proposal is not complex.</w:t>
      </w:r>
      <w:r w:rsidRPr="00BB7CBA">
        <w:rPr>
          <w:rStyle w:val="FootnoteReference"/>
        </w:rPr>
        <w:footnoteReference w:id="1339"/>
      </w:r>
      <w:r w:rsidRPr="00BB7CBA">
        <w:t xml:space="preserve"> We consider AGN's proposed approach adds unjustified complexity to the return on debt process, regardless of the computational intensity associated with implementing it. We are satisfied that using a single averaging period (that is consistent with the Guideline conditions) to estimate the return on debt each year satisfies the rules. This contributes to the achievement of the allowed rate of return objective. </w:t>
      </w:r>
    </w:p>
    <w:p w:rsidR="00BB7CBA" w:rsidRPr="00BB7CBA" w:rsidRDefault="00BB7CBA" w:rsidP="009C7A42">
      <w:pPr>
        <w:pStyle w:val="AERbulletlistfirststyle"/>
      </w:pPr>
      <w:r w:rsidRPr="00CD2EDB">
        <w:t xml:space="preserve">AGN's </w:t>
      </w:r>
      <w:r w:rsidRPr="00BB7CBA">
        <w:t>proposed approach has similarities with other service providers' proposals to adopt an annual process for nominating averaging periods. Namely, we consider it increases complexity and overstates the risks in our approach.  Therefore, similar reasoning applies to AGN's proposal as that outlined under 'Annual process for nominating debt averaging periods' above. We are satisfied that our approach, which includes the nomination of single averaging periods, provides an appropriate balance between flexibility and certainty.</w:t>
      </w:r>
    </w:p>
    <w:p w:rsidR="00BB7CBA" w:rsidRPr="00BB7CBA" w:rsidRDefault="00BB7CBA" w:rsidP="009C7A42">
      <w:pPr>
        <w:pStyle w:val="AERbulletlistfirststyle"/>
      </w:pPr>
      <w:r>
        <w:t>We discussed CEG's submission that the prevailing DRP and base rates of interest are inversely correlated in appendix G of our draft decision for AGN.</w:t>
      </w:r>
      <w:r>
        <w:rPr>
          <w:rStyle w:val="FootnoteReference"/>
        </w:rPr>
        <w:footnoteReference w:id="1340"/>
      </w:r>
      <w:r>
        <w:t xml:space="preserve"> Given AGN (or CEG) has not responded to this point and we do not base our return on debt on a particular financing strategy, we do not reproduce this material in this decision.</w:t>
      </w:r>
    </w:p>
    <w:p w:rsidR="00BB7CBA" w:rsidRPr="00BB7CBA" w:rsidRDefault="00BB7CBA" w:rsidP="009C7A42">
      <w:pPr>
        <w:pStyle w:val="HeadingBoldBlue"/>
      </w:pPr>
      <w:r w:rsidRPr="00D34FDC">
        <w:t>Guideline condition—as close as practically possible to the commencement of each regulatory year</w:t>
      </w:r>
    </w:p>
    <w:p w:rsidR="00BB7CBA" w:rsidRPr="00986B6E" w:rsidRDefault="00BB7CBA" w:rsidP="00BB7CBA">
      <w:r>
        <w:t xml:space="preserve">In its initial proposal, </w:t>
      </w:r>
      <w:r w:rsidRPr="00986B6E">
        <w:t>AusNet</w:t>
      </w:r>
      <w:r>
        <w:t xml:space="preserve"> Services (AusNet)</w:t>
      </w:r>
      <w:r w:rsidRPr="00986B6E">
        <w:t xml:space="preserve"> proposed to depart from the Guideline in relation to nominating averaging periods that are as close as practical to the commencement of each regulatory year in a regulatory period (the 'Guideline condition').</w:t>
      </w:r>
      <w:r w:rsidRPr="00986B6E">
        <w:rPr>
          <w:rStyle w:val="FootnoteReference"/>
        </w:rPr>
        <w:footnoteReference w:id="1341"/>
      </w:r>
      <w:r w:rsidRPr="00986B6E">
        <w:t xml:space="preserve"> Instead, AusNet proposed to nominate averaging periods in the early, middle or late part of each relevant year. </w:t>
      </w:r>
      <w:r>
        <w:t>AusNet has maintained this position in its revised proposal.</w:t>
      </w:r>
      <w:r>
        <w:rPr>
          <w:rStyle w:val="FootnoteReference"/>
        </w:rPr>
        <w:footnoteReference w:id="1342"/>
      </w:r>
    </w:p>
    <w:p w:rsidR="00BB7CBA" w:rsidRPr="00986B6E" w:rsidRDefault="00BB7CBA" w:rsidP="00BB7CBA">
      <w:r w:rsidRPr="00986B6E">
        <w:t xml:space="preserve">The service providers who </w:t>
      </w:r>
      <w:r>
        <w:t xml:space="preserve">originally </w:t>
      </w:r>
      <w:r w:rsidRPr="00986B6E">
        <w:t xml:space="preserve">proposed an annual process to nominating their averaging periods also implicitly departed from this Guideline condition. </w:t>
      </w:r>
      <w:r>
        <w:t xml:space="preserve">JEN and ActewAGL continue to implicitly depart from this Guideline condition in their revised proposals. </w:t>
      </w:r>
      <w:r w:rsidRPr="00986B6E">
        <w:t xml:space="preserve">This is because </w:t>
      </w:r>
      <w:r>
        <w:t>all of these proposals</w:t>
      </w:r>
      <w:r w:rsidRPr="00986B6E">
        <w:t xml:space="preserve"> specif</w:t>
      </w:r>
      <w:r>
        <w:t>ied</w:t>
      </w:r>
      <w:r w:rsidRPr="00986B6E">
        <w:t xml:space="preserve"> a timeframe (of up to 12 months) within which they can nominate an averaging period for each regulatory year t.</w:t>
      </w:r>
      <w:r w:rsidRPr="00986B6E">
        <w:rPr>
          <w:rStyle w:val="FootnoteReference"/>
        </w:rPr>
        <w:footnoteReference w:id="1343"/>
      </w:r>
      <w:r w:rsidRPr="00986B6E">
        <w:t xml:space="preserve"> While these timeframes end close to the commencement of each regulatory year t, there are no conditions in the process which specify that the nominated averaging periods must fall at the end of the timeframe.</w:t>
      </w:r>
      <w:r>
        <w:t xml:space="preserve"> </w:t>
      </w:r>
    </w:p>
    <w:p w:rsidR="00BB7CBA" w:rsidRPr="00986B6E" w:rsidRDefault="00BB7CBA" w:rsidP="00BB7CBA">
      <w:r>
        <w:t>In this decision w</w:t>
      </w:r>
      <w:r w:rsidRPr="00986B6E">
        <w:t xml:space="preserve">e have assessed AusNet's submission and accept this departure from the Guideline condition. </w:t>
      </w:r>
      <w:r>
        <w:t>This is consistent with our preliminary decision for AusNet.</w:t>
      </w:r>
      <w:r>
        <w:rPr>
          <w:rStyle w:val="FootnoteReference"/>
        </w:rPr>
        <w:footnoteReference w:id="1344"/>
      </w:r>
      <w:r>
        <w:t xml:space="preserve"> We also accept the other service providers' departure from this Guideline condition. </w:t>
      </w:r>
      <w:r w:rsidRPr="00986B6E">
        <w:t>We consider allowing averaging periods to occur anytime within a reasonable timeframe (of 12 months) is consistent with a return on debt averaging period that satisfies the rules. This contributes to the achievement of the allowed rate of return objective. Our decision is based on the following reasoning:</w:t>
      </w:r>
    </w:p>
    <w:p w:rsidR="00BB7CBA" w:rsidRPr="00BB7CBA" w:rsidRDefault="00BB7CBA" w:rsidP="00BB7CBA">
      <w:pPr>
        <w:pStyle w:val="AERbulletlistfirststyle"/>
      </w:pPr>
      <w:r w:rsidRPr="00986B6E">
        <w:t>The Guideline approach to estimating the return on debt is significantly different to the previous approach under the old rules. Under the old rules (on-the-day approach), the return on debt was estimated once for the entire regulatory period. Therefore, the return on debt of a service provider was estimated as the prevailing return on debt as close as possible to the start of the regulatory period.</w:t>
      </w:r>
      <w:r w:rsidRPr="00BB7CBA">
        <w:rPr>
          <w:rStyle w:val="FootnoteReference"/>
        </w:rPr>
        <w:footnoteReference w:id="1345"/>
      </w:r>
      <w:r w:rsidRPr="00BB7CBA">
        <w:t xml:space="preserve"> The same averaging periods was also used for both return on equity and return on debt. Under this approach, the averaging period should to be as close as practically possible to the commencement of the regulatory period. We continue to hold this position for the return on equity averaging period. However, under the new rules we have proposed and adopted a trailing average approach with annual updates.</w:t>
      </w:r>
      <w:r w:rsidRPr="00BB7CBA">
        <w:rPr>
          <w:rStyle w:val="FootnoteReference"/>
        </w:rPr>
        <w:footnoteReference w:id="1346"/>
      </w:r>
      <w:r w:rsidRPr="00BB7CBA">
        <w:t xml:space="preserve"> This estimates the return on debt as a weighted average of the total return on debt over a period (10 years) spanning up to the start of the regulatory period (or regulatory year).</w:t>
      </w:r>
      <w:r w:rsidRPr="00BB7CBA">
        <w:rPr>
          <w:rStyle w:val="FootnoteReference"/>
        </w:rPr>
        <w:footnoteReference w:id="1347"/>
      </w:r>
      <w:r w:rsidRPr="00BB7CBA">
        <w:t xml:space="preserve"> Under this approach, we consider it is less important for the debt averaging periods to be as close as practically possible to the commencement of each regulatory year in the regulatory period. This is because the return on debt is updated each year, and because a different (or potentially different) averaging period is now used for the return on equity and return on debt.</w:t>
      </w:r>
    </w:p>
    <w:p w:rsidR="00BB7CBA" w:rsidRPr="00BB7CBA" w:rsidRDefault="00BB7CBA" w:rsidP="00BB7CBA">
      <w:pPr>
        <w:pStyle w:val="AERbulletlistfirststyle"/>
      </w:pPr>
      <w:r w:rsidRPr="00986B6E">
        <w:t xml:space="preserve">Relaxing the Guideline condition gives service providers more flexibility in nominating averaging periods without adding significant complexity. </w:t>
      </w:r>
      <w:r w:rsidRPr="00BB7CBA">
        <w:t>In its initial proposal, AusNet submitted:</w:t>
      </w:r>
      <w:r w:rsidRPr="00BB7CBA">
        <w:rPr>
          <w:rStyle w:val="FootnoteReference"/>
        </w:rPr>
        <w:footnoteReference w:id="1348"/>
      </w:r>
    </w:p>
    <w:p w:rsidR="00BB7CBA" w:rsidRPr="00986B6E" w:rsidRDefault="00BB7CBA" w:rsidP="00BB7CBA">
      <w:pPr>
        <w:pStyle w:val="AERquote"/>
      </w:pPr>
      <w:r w:rsidRPr="00986B6E">
        <w:t>…to align actual debt practices with the trailing average approach, it is necessary to align the timing of debt issuance with the timing of the averaging periods used to estimate the regulated return on debt.</w:t>
      </w:r>
    </w:p>
    <w:p w:rsidR="00BD08AA" w:rsidRDefault="00BB7CBA" w:rsidP="00BB7CBA">
      <w:r w:rsidRPr="00986B6E">
        <w:t>We do not agree that our task is to align actual debt practices with the trailing average approach</w:t>
      </w:r>
      <w:r>
        <w:t>.</w:t>
      </w:r>
      <w:r w:rsidRPr="00986B6E">
        <w:t xml:space="preserve"> </w:t>
      </w:r>
      <w:r>
        <w:t>This is because</w:t>
      </w:r>
      <w:r w:rsidRPr="00986B6E">
        <w:t xml:space="preserve"> we are estimating the return on debt </w:t>
      </w:r>
      <w:r>
        <w:t>for</w:t>
      </w:r>
      <w:r w:rsidRPr="00986B6E">
        <w:t xml:space="preserve"> a benchmark efficient entity</w:t>
      </w:r>
      <w:r>
        <w:t xml:space="preserve"> and consider the ARORO requires us to set ex-ante compensation for efficient financing costs</w:t>
      </w:r>
      <w:r w:rsidRPr="00986B6E">
        <w:t>. We are aware of the rules requirement to have regard to the desirability of minimising any difference between the return on debt and the return on debt of a benchmark efficient entity</w:t>
      </w:r>
      <w:r>
        <w:t xml:space="preserve"> (although we do not co</w:t>
      </w:r>
      <w:r w:rsidR="009C7A42">
        <w:t>nsider this permits us to set a</w:t>
      </w:r>
      <w:r>
        <w:t xml:space="preserve"> return on debt that does not satisfy the ARORO)</w:t>
      </w:r>
      <w:r w:rsidRPr="00986B6E">
        <w:t>.</w:t>
      </w:r>
      <w:r w:rsidRPr="00986B6E">
        <w:rPr>
          <w:rStyle w:val="FootnoteReference"/>
        </w:rPr>
        <w:footnoteReference w:id="1349"/>
      </w:r>
      <w:r w:rsidRPr="00986B6E">
        <w:t xml:space="preserve"> We are also aware of the service providers' proposals, which generally advocate for more flexibility in the return on debt estimation process. While we do not agree with many of the service providers' proposed methods to increase flexibility (see above), we consider this decision allows greater flexibility with very little additional complexity of process.</w:t>
      </w:r>
      <w:r w:rsidR="00CA5E8E" w:rsidRPr="00986B6E">
        <w:t xml:space="preserve"> </w:t>
      </w:r>
    </w:p>
    <w:p w:rsidR="00CA5E8E" w:rsidRDefault="00CA5E8E" w:rsidP="00CA5E8E">
      <w:pPr>
        <w:pStyle w:val="ListContinue"/>
      </w:pPr>
    </w:p>
    <w:p w:rsidR="00643E3A" w:rsidRDefault="00643E3A" w:rsidP="00643E3A"/>
    <w:p w:rsidR="00643E3A" w:rsidRDefault="00643E3A" w:rsidP="00643E3A">
      <w:pPr>
        <w:pStyle w:val="Heading7"/>
      </w:pPr>
      <w:bookmarkStart w:id="304" w:name="_Ref451326940"/>
      <w:bookmarkStart w:id="305" w:name="_Ref451328212"/>
      <w:bookmarkStart w:id="306" w:name="_Toc451945523"/>
      <w:r>
        <w:t>Methodology to annual update the return on debt</w:t>
      </w:r>
      <w:bookmarkEnd w:id="304"/>
      <w:bookmarkEnd w:id="305"/>
      <w:bookmarkEnd w:id="306"/>
    </w:p>
    <w:p w:rsidR="006B6C4C" w:rsidRPr="00FB18DC" w:rsidRDefault="006B6C4C" w:rsidP="006B6C4C">
      <w:pPr>
        <w:pStyle w:val="ListParagraph"/>
        <w:numPr>
          <w:ilvl w:val="0"/>
          <w:numId w:val="24"/>
        </w:numPr>
      </w:pPr>
      <w:r w:rsidRPr="00FB18DC">
        <w:t>Our decision on the return on debt approach is to:</w:t>
      </w:r>
    </w:p>
    <w:p w:rsidR="006B6C4C" w:rsidRPr="006B6C4C" w:rsidRDefault="006B6C4C" w:rsidP="006B6C4C">
      <w:pPr>
        <w:pStyle w:val="AERbulletlistfirststyle"/>
      </w:pPr>
      <w:r w:rsidRPr="00FB18DC">
        <w:t xml:space="preserve">estimate the return on debt using an on-the-day rate (that is, based on </w:t>
      </w:r>
      <w:r w:rsidR="00BF621D">
        <w:t>prevailing market conditions) for</w:t>
      </w:r>
      <w:r w:rsidRPr="00FB18DC">
        <w:t xml:space="preserve"> the first regulatory year (2016</w:t>
      </w:r>
      <w:r w:rsidR="00BF621D">
        <w:t>–17) of the 2016–21</w:t>
      </w:r>
      <w:r w:rsidRPr="00FB18DC">
        <w:t xml:space="preserve"> </w:t>
      </w:r>
      <w:r w:rsidR="00BF621D">
        <w:t xml:space="preserve">access arrangement </w:t>
      </w:r>
      <w:r w:rsidRPr="00FB18DC">
        <w:t>period, and</w:t>
      </w:r>
    </w:p>
    <w:p w:rsidR="006B6C4C" w:rsidRPr="006B6C4C" w:rsidRDefault="006B6C4C" w:rsidP="006B6C4C">
      <w:pPr>
        <w:pStyle w:val="AERbulletlistfirststyle"/>
      </w:pPr>
      <w:r w:rsidRPr="00FB18DC">
        <w:t>gradually transition this rate into a trailing average approach (that is, a moving historical average) over 10 years.</w:t>
      </w:r>
      <w:r w:rsidRPr="006B6C4C">
        <w:rPr>
          <w:rStyle w:val="FootnoteReference"/>
        </w:rPr>
        <w:footnoteReference w:id="1350"/>
      </w:r>
    </w:p>
    <w:p w:rsidR="006B6C4C" w:rsidRPr="00FB18DC" w:rsidRDefault="006B6C4C" w:rsidP="006B6C4C">
      <w:r w:rsidRPr="00FB18DC">
        <w:t xml:space="preserve">Because our return on debt approach involves annual updates to the return on debt, this means that the return on debt will be, or potentially will be, different for different regulatory years in the </w:t>
      </w:r>
      <w:r w:rsidR="00FD4991">
        <w:t>access arrangement</w:t>
      </w:r>
      <w:r w:rsidRPr="00FB18DC">
        <w:t xml:space="preserve"> period.</w:t>
      </w:r>
      <w:r w:rsidRPr="00FB18DC">
        <w:rPr>
          <w:rStyle w:val="FootnoteReference"/>
        </w:rPr>
        <w:footnoteReference w:id="1351"/>
      </w:r>
      <w:r w:rsidRPr="00FB18DC">
        <w:t xml:space="preserve"> The rules require that the resulting change to </w:t>
      </w:r>
      <w:r>
        <w:t>ActewAGL's</w:t>
      </w:r>
      <w:r w:rsidRPr="00FB18DC">
        <w:t xml:space="preserve"> </w:t>
      </w:r>
      <w:r w:rsidR="008325AF">
        <w:t xml:space="preserve">total revenue </w:t>
      </w:r>
      <w:r w:rsidRPr="00FB18DC">
        <w:t xml:space="preserve">is to be effected through a formula specified in </w:t>
      </w:r>
      <w:r w:rsidR="00BF621D" w:rsidRPr="00FB18DC">
        <w:t>the decision on the access arrangement</w:t>
      </w:r>
      <w:r w:rsidRPr="00FB18DC">
        <w:t>.</w:t>
      </w:r>
      <w:r w:rsidRPr="00FB18DC">
        <w:rPr>
          <w:rStyle w:val="FootnoteReference"/>
        </w:rPr>
        <w:footnoteReference w:id="1352"/>
      </w:r>
      <w:r w:rsidRPr="00FB18DC">
        <w:t xml:space="preserve"> For the purposes of </w:t>
      </w:r>
      <w:r>
        <w:t>rule 87(12)</w:t>
      </w:r>
      <w:r w:rsidR="00BF621D">
        <w:t xml:space="preserve"> of the NGR,</w:t>
      </w:r>
      <w:r w:rsidRPr="00FB18DC">
        <w:t xml:space="preserve"> our decision is that the resulting change to </w:t>
      </w:r>
      <w:r>
        <w:t>ActewAGL's</w:t>
      </w:r>
      <w:r w:rsidRPr="00FB18DC">
        <w:t xml:space="preserve"> </w:t>
      </w:r>
      <w:r w:rsidR="008325AF">
        <w:t>total revenue</w:t>
      </w:r>
      <w:r w:rsidRPr="00FB18DC">
        <w:t xml:space="preserve"> is to be effected through:</w:t>
      </w:r>
    </w:p>
    <w:p w:rsidR="006B6C4C" w:rsidRPr="006B6C4C" w:rsidRDefault="006B6C4C" w:rsidP="006B6C4C">
      <w:pPr>
        <w:pStyle w:val="AERbulletlistfirststyle"/>
      </w:pPr>
      <w:r w:rsidRPr="00FB18DC">
        <w:t>the automatic application of the return on debt methodo</w:t>
      </w:r>
      <w:r w:rsidRPr="006B6C4C">
        <w:t>logy specified in this appendix</w:t>
      </w:r>
    </w:p>
    <w:p w:rsidR="006B6C4C" w:rsidRPr="006B6C4C" w:rsidRDefault="006B6C4C" w:rsidP="006B6C4C">
      <w:pPr>
        <w:pStyle w:val="AERbulletlistfirststyle"/>
      </w:pPr>
      <w:r w:rsidRPr="00FB18DC">
        <w:t xml:space="preserve">using the return on debt averaging periods specified in confidential appendix </w:t>
      </w:r>
      <w:r w:rsidR="00BF621D">
        <w:fldChar w:fldCharType="begin"/>
      </w:r>
      <w:r w:rsidR="00BF621D">
        <w:instrText xml:space="preserve"> REF _Ref451328110 \r \h </w:instrText>
      </w:r>
      <w:r w:rsidR="00BF621D">
        <w:fldChar w:fldCharType="separate"/>
      </w:r>
      <w:r w:rsidR="001A023B">
        <w:t>L</w:t>
      </w:r>
      <w:r w:rsidR="00BF621D">
        <w:fldChar w:fldCharType="end"/>
      </w:r>
      <w:r w:rsidRPr="00FB18DC">
        <w:t>, and</w:t>
      </w:r>
    </w:p>
    <w:p w:rsidR="006B6C4C" w:rsidRPr="006B6C4C" w:rsidRDefault="006B6C4C" w:rsidP="006B6C4C">
      <w:pPr>
        <w:pStyle w:val="AERbulletlistfirststyle"/>
      </w:pPr>
      <w:r w:rsidRPr="00FB18DC">
        <w:t xml:space="preserve">implemented using </w:t>
      </w:r>
      <w:r w:rsidR="00BF621D">
        <w:t xml:space="preserve">the </w:t>
      </w:r>
      <w:r>
        <w:t>ActewAGL</w:t>
      </w:r>
      <w:r w:rsidRPr="00FB18DC">
        <w:t xml:space="preserve"> final </w:t>
      </w:r>
      <w:r w:rsidR="00BF621D">
        <w:t>decision</w:t>
      </w:r>
      <w:r w:rsidRPr="00FB18DC">
        <w:t xml:space="preserve"> post-tax revenue model (PTRM) in accordance with section 3 of the AER's PTRM handbook for </w:t>
      </w:r>
      <w:r w:rsidR="00BF621D">
        <w:t xml:space="preserve">electricity </w:t>
      </w:r>
      <w:r w:rsidRPr="00FB18DC">
        <w:t>distribution network service providers.</w:t>
      </w:r>
      <w:r w:rsidRPr="006B6C4C">
        <w:rPr>
          <w:rStyle w:val="FootnoteReference"/>
        </w:rPr>
        <w:footnoteReference w:id="1353"/>
      </w:r>
    </w:p>
    <w:p w:rsidR="006B6C4C" w:rsidRPr="00FB18DC" w:rsidRDefault="006B6C4C" w:rsidP="006B6C4C">
      <w:r w:rsidRPr="00FB18DC">
        <w:t>The return on debt methodology in this appendix specifies our decision</w:t>
      </w:r>
      <w:r w:rsidR="00BF621D">
        <w:t xml:space="preserve"> on the</w:t>
      </w:r>
      <w:r w:rsidRPr="00FB18DC">
        <w:t>:</w:t>
      </w:r>
    </w:p>
    <w:p w:rsidR="006B6C4C" w:rsidRPr="006B6C4C" w:rsidRDefault="006B6C4C" w:rsidP="006B6C4C">
      <w:pPr>
        <w:pStyle w:val="AERbulletlistfirststyle"/>
      </w:pPr>
      <w:r w:rsidRPr="00FB18DC">
        <w:t xml:space="preserve">methodology </w:t>
      </w:r>
      <w:r w:rsidR="00171937">
        <w:t>for</w:t>
      </w:r>
      <w:r w:rsidRPr="00FB18DC">
        <w:t xml:space="preserve"> </w:t>
      </w:r>
      <w:r w:rsidRPr="006B6C4C">
        <w:t>the return on debt approach, and</w:t>
      </w:r>
    </w:p>
    <w:p w:rsidR="006B6C4C" w:rsidRPr="006B6C4C" w:rsidRDefault="006B6C4C" w:rsidP="006B6C4C">
      <w:pPr>
        <w:pStyle w:val="AERbulletlistfirststyle"/>
      </w:pPr>
      <w:r w:rsidRPr="00FB18DC">
        <w:t>methodology to implement the return on debt approach</w:t>
      </w:r>
    </w:p>
    <w:p w:rsidR="006B6C4C" w:rsidRPr="006B6C4C" w:rsidRDefault="006B6C4C" w:rsidP="006B6C4C">
      <w:pPr>
        <w:pStyle w:val="Heading8"/>
        <w:numPr>
          <w:ilvl w:val="1"/>
          <w:numId w:val="30"/>
        </w:numPr>
      </w:pPr>
      <w:bookmarkStart w:id="307" w:name="_Toc433457165"/>
      <w:bookmarkStart w:id="308" w:name="_Toc450916269"/>
      <w:bookmarkStart w:id="309" w:name="_Toc451945524"/>
      <w:r w:rsidRPr="00FB18DC">
        <w:t>Approach to estimating the return on debt</w:t>
      </w:r>
      <w:bookmarkEnd w:id="307"/>
      <w:bookmarkEnd w:id="308"/>
      <w:bookmarkEnd w:id="309"/>
    </w:p>
    <w:p w:rsidR="006B6C4C" w:rsidRPr="00FB18DC" w:rsidRDefault="006B6C4C" w:rsidP="006B6C4C">
      <w:pPr>
        <w:numPr>
          <w:ilvl w:val="0"/>
          <w:numId w:val="24"/>
        </w:numPr>
      </w:pPr>
      <w:r w:rsidRPr="00FB18DC">
        <w:t>This section sets out our final decision methodology on the return on debt approach. Below we specify the allowed return on debt formulae for each year of the 10 year transition path. In each formula:</w:t>
      </w:r>
    </w:p>
    <w:p w:rsidR="006B6C4C" w:rsidRPr="00FB18DC" w:rsidRDefault="007A39AA" w:rsidP="006B6C4C">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6B6C4C" w:rsidRPr="00FB18DC">
        <w:t xml:space="preserve"> corresponds to the estimated return on debt that was entered into in year a and matures in year a+10–which is to be calculated using the return on debt implementation methodology in section </w:t>
      </w:r>
      <w:r w:rsidR="0045649A">
        <w:fldChar w:fldCharType="begin"/>
      </w:r>
      <w:r w:rsidR="0045649A">
        <w:instrText xml:space="preserve"> REF _Ref451901925 \r \h </w:instrText>
      </w:r>
      <w:r w:rsidR="0045649A">
        <w:fldChar w:fldCharType="separate"/>
      </w:r>
      <w:r w:rsidR="001A023B">
        <w:t>J.2</w:t>
      </w:r>
      <w:r w:rsidR="0045649A">
        <w:fldChar w:fldCharType="end"/>
      </w:r>
      <w:r w:rsidR="006B6C4C" w:rsidRPr="00FB18DC">
        <w:t xml:space="preserve"> and the service provider's return on debt averaging periods spec</w:t>
      </w:r>
      <w:r w:rsidR="007F0A0B">
        <w:t xml:space="preserve">ified in confidential appendix </w:t>
      </w:r>
      <w:r w:rsidR="0045649A">
        <w:fldChar w:fldCharType="begin"/>
      </w:r>
      <w:r w:rsidR="0045649A">
        <w:instrText xml:space="preserve"> REF _Ref451328110 \r \h </w:instrText>
      </w:r>
      <w:r w:rsidR="0045649A">
        <w:fldChar w:fldCharType="separate"/>
      </w:r>
      <w:r w:rsidR="001A023B">
        <w:t>L</w:t>
      </w:r>
      <w:r w:rsidR="0045649A">
        <w:fldChar w:fldCharType="end"/>
      </w:r>
      <w:r w:rsidR="007F0A0B">
        <w:t>.</w:t>
      </w:r>
    </w:p>
    <w:p w:rsidR="006B6C4C" w:rsidRPr="00FB18DC" w:rsidRDefault="007A39AA" w:rsidP="006B6C4C">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6B6C4C" w:rsidRPr="00FB18DC">
        <w:t xml:space="preserve"> refers to the allowed return on debt for regulatory year b+1.</w:t>
      </w:r>
    </w:p>
    <w:p w:rsidR="006B6C4C" w:rsidRPr="00FB18DC" w:rsidRDefault="006B6C4C" w:rsidP="006B6C4C">
      <w:pPr>
        <w:numPr>
          <w:ilvl w:val="0"/>
          <w:numId w:val="24"/>
        </w:numPr>
      </w:pPr>
      <w:r w:rsidRPr="00FB18DC">
        <w:t>In the first regulatory year of the transitional period (201</w:t>
      </w:r>
      <w:r w:rsidR="007A68DB">
        <w:t>5</w:t>
      </w:r>
      <w:r w:rsidR="007307BF">
        <w:t>–1</w:t>
      </w:r>
      <w:r w:rsidR="007A68DB">
        <w:t>6)</w:t>
      </w:r>
      <w:r w:rsidRPr="00FB18DC">
        <w:t>, the allowed rate of return on debt will be based on the estimated prevailing rate of return on debt for that year (similar to the 'on the day' approach):</w:t>
      </w:r>
    </w:p>
    <w:p w:rsidR="006B6C4C" w:rsidRPr="00FB18DC" w:rsidRDefault="007A39AA" w:rsidP="006B6C4C">
      <w:pPr>
        <w:numPr>
          <w:ilvl w:val="0"/>
          <w:numId w:val="24"/>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6B6C4C" w:rsidRPr="00FB18DC" w:rsidRDefault="006B6C4C" w:rsidP="006B6C4C">
      <w:pPr>
        <w:numPr>
          <w:ilvl w:val="0"/>
          <w:numId w:val="24"/>
        </w:numPr>
      </w:pPr>
      <w:r w:rsidRPr="00FB18DC">
        <w:t>In the second regulatory year, the allowed rate of return on debt will be the weighted average of the prevailing rates in the first and second regulatory years of the transitional period:</w:t>
      </w:r>
    </w:p>
    <w:p w:rsidR="006B6C4C" w:rsidRPr="00FB18DC" w:rsidRDefault="007A39AA" w:rsidP="006B6C4C">
      <w:pPr>
        <w:numPr>
          <w:ilvl w:val="0"/>
          <w:numId w:val="24"/>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6B6C4C" w:rsidRPr="00FB18DC" w:rsidRDefault="006B6C4C" w:rsidP="006B6C4C">
      <w:pPr>
        <w:numPr>
          <w:ilvl w:val="0"/>
          <w:numId w:val="24"/>
        </w:numPr>
      </w:pPr>
      <w:r w:rsidRPr="00FB18DC">
        <w:t xml:space="preserve">In the third regulatory year, the allowed rate of return on debt will be the weighted average of the prevailing rates in the first, second, and third regulatory years of the transitional period:  </w:t>
      </w:r>
    </w:p>
    <w:p w:rsidR="006B6C4C" w:rsidRPr="00FB18DC" w:rsidRDefault="007A39AA" w:rsidP="006B6C4C">
      <w:pPr>
        <w:numPr>
          <w:ilvl w:val="0"/>
          <w:numId w:val="24"/>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6B6C4C" w:rsidRPr="00FB18DC" w:rsidRDefault="006B6C4C" w:rsidP="006B6C4C">
      <w:pPr>
        <w:numPr>
          <w:ilvl w:val="0"/>
          <w:numId w:val="24"/>
        </w:numPr>
      </w:pPr>
      <w:r w:rsidRPr="00FB18DC">
        <w:t xml:space="preserve">In the fourth regulatory year, the allowed rate of return on debt will be the weighted average of the prevailing rates in the first, second, third and fourth regulatory years of the transitional period:  </w:t>
      </w:r>
    </w:p>
    <w:p w:rsidR="006B6C4C" w:rsidRPr="00FB18DC" w:rsidRDefault="007A39AA" w:rsidP="006B6C4C">
      <w:pPr>
        <w:numPr>
          <w:ilvl w:val="0"/>
          <w:numId w:val="24"/>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6B6C4C" w:rsidRPr="00FB18DC" w:rsidRDefault="006B6C4C" w:rsidP="006B6C4C">
      <w:pPr>
        <w:numPr>
          <w:ilvl w:val="0"/>
          <w:numId w:val="24"/>
        </w:numPr>
      </w:pPr>
      <w:r w:rsidRPr="00FB18DC">
        <w:t xml:space="preserve">In the fifth regulatory year, the allowed rate of return on debt will be the weighted average of the prevailing rates in the first, second, third, fourth and fifth regulatory years of the transitional period:  </w:t>
      </w:r>
    </w:p>
    <w:p w:rsidR="006B6C4C" w:rsidRPr="00FB18DC" w:rsidRDefault="007A39AA" w:rsidP="006B6C4C">
      <w:pPr>
        <w:numPr>
          <w:ilvl w:val="0"/>
          <w:numId w:val="24"/>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6B6C4C" w:rsidRPr="00FB18DC" w:rsidRDefault="006B6C4C" w:rsidP="006B6C4C">
      <w:pPr>
        <w:numPr>
          <w:ilvl w:val="0"/>
          <w:numId w:val="24"/>
        </w:numPr>
      </w:pPr>
      <w:r w:rsidRPr="00FB18DC">
        <w:t>The calculation for all subsequent regulatory years until the transitional period is completed is set out below:</w:t>
      </w:r>
    </w:p>
    <w:p w:rsidR="006B6C4C" w:rsidRPr="00FB18DC" w:rsidRDefault="007A39AA" w:rsidP="006B6C4C">
      <w:pPr>
        <w:numPr>
          <w:ilvl w:val="0"/>
          <w:numId w:val="24"/>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6B6C4C" w:rsidRPr="00FB18DC" w:rsidRDefault="007A39AA" w:rsidP="006B6C4C">
      <w:pPr>
        <w:numPr>
          <w:ilvl w:val="0"/>
          <w:numId w:val="24"/>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6B6C4C" w:rsidRPr="00FB18DC" w:rsidRDefault="007A39AA" w:rsidP="006B6C4C">
      <w:pPr>
        <w:numPr>
          <w:ilvl w:val="0"/>
          <w:numId w:val="24"/>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6B6C4C" w:rsidRPr="00FB18DC" w:rsidRDefault="007A39AA" w:rsidP="006B6C4C">
      <w:pPr>
        <w:numPr>
          <w:ilvl w:val="0"/>
          <w:numId w:val="24"/>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6B6C4C" w:rsidRPr="00FB18DC" w:rsidRDefault="007A39AA" w:rsidP="006B6C4C">
      <w:pPr>
        <w:numPr>
          <w:ilvl w:val="0"/>
          <w:numId w:val="24"/>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6B6C4C" w:rsidRPr="00FB18DC" w:rsidRDefault="006B6C4C" w:rsidP="006B6C4C">
      <w:pPr>
        <w:pStyle w:val="Heading8"/>
      </w:pPr>
      <w:bookmarkStart w:id="310" w:name="_Toc433457166"/>
      <w:bookmarkStart w:id="311" w:name="_Toc450916270"/>
      <w:bookmarkStart w:id="312" w:name="_Ref451901925"/>
      <w:bookmarkStart w:id="313" w:name="_Toc451945525"/>
      <w:r w:rsidRPr="00FB18DC">
        <w:t>Implementing the return on debt approach</w:t>
      </w:r>
      <w:bookmarkEnd w:id="310"/>
      <w:bookmarkEnd w:id="311"/>
      <w:bookmarkEnd w:id="312"/>
      <w:bookmarkEnd w:id="313"/>
    </w:p>
    <w:p w:rsidR="006B6C4C" w:rsidRPr="00FB18DC" w:rsidRDefault="006B6C4C" w:rsidP="006B6C4C">
      <w:pPr>
        <w:numPr>
          <w:ilvl w:val="0"/>
          <w:numId w:val="24"/>
        </w:numPr>
      </w:pPr>
      <w:r w:rsidRPr="00FB18DC">
        <w:t>This section sets out our final decision methodology to implement the return on debt approach. This section specifies:</w:t>
      </w:r>
    </w:p>
    <w:p w:rsidR="006B6C4C" w:rsidRPr="006B6C4C" w:rsidRDefault="006B6C4C" w:rsidP="006B6C4C">
      <w:pPr>
        <w:pStyle w:val="AERbulletlistfirststyle"/>
      </w:pPr>
      <w:r w:rsidRPr="00FB18DC">
        <w:t>our choice of data series</w:t>
      </w:r>
    </w:p>
    <w:p w:rsidR="006B6C4C" w:rsidRPr="006B6C4C" w:rsidRDefault="006B6C4C" w:rsidP="006B6C4C">
      <w:pPr>
        <w:pStyle w:val="AERbulletlistfirststyle"/>
      </w:pPr>
      <w:r w:rsidRPr="00FB18DC">
        <w:t xml:space="preserve">extrapolation and </w:t>
      </w:r>
      <w:r w:rsidRPr="006B6C4C">
        <w:t>interpolation issues with adjusting our choice of data series</w:t>
      </w:r>
    </w:p>
    <w:p w:rsidR="006B6C4C" w:rsidRPr="006B6C4C" w:rsidRDefault="006B6C4C" w:rsidP="006B6C4C">
      <w:pPr>
        <w:pStyle w:val="AERbulletlistfirststyle"/>
      </w:pPr>
      <w:r w:rsidRPr="00FB18DC">
        <w:t>step-by-step calculation to calculating the final RBA and BVAL estimate</w:t>
      </w:r>
    </w:p>
    <w:p w:rsidR="006B6C4C" w:rsidRDefault="006B6C4C" w:rsidP="006B6C4C">
      <w:pPr>
        <w:pStyle w:val="AERbulletlistfirststyle"/>
      </w:pPr>
      <w:r w:rsidRPr="00FB18DC">
        <w:t>contingencies associated with implementing our choice of data series, if the data series we have chosen to estimate the return on debt are unavailable or change in future regulatory years</w:t>
      </w:r>
    </w:p>
    <w:p w:rsidR="007307BF" w:rsidRPr="006B6C4C" w:rsidRDefault="007307BF" w:rsidP="006B6C4C">
      <w:pPr>
        <w:pStyle w:val="AERbulletlistfirststyle"/>
      </w:pPr>
      <w:r w:rsidRPr="00FB18DC">
        <w:t>the timing of the annual debt update process</w:t>
      </w:r>
    </w:p>
    <w:p w:rsidR="006B6C4C" w:rsidRPr="00FB18DC" w:rsidRDefault="006B6C4C" w:rsidP="006B6C4C">
      <w:pPr>
        <w:pStyle w:val="Heading9"/>
      </w:pPr>
      <w:bookmarkStart w:id="314" w:name="_Toc433457167"/>
      <w:bookmarkStart w:id="315" w:name="_Toc450916271"/>
      <w:r w:rsidRPr="00FB18DC">
        <w:t>Choice of data series</w:t>
      </w:r>
      <w:bookmarkEnd w:id="314"/>
      <w:bookmarkEnd w:id="315"/>
    </w:p>
    <w:p w:rsidR="006B6C4C" w:rsidRPr="00FB18DC" w:rsidRDefault="006B6C4C" w:rsidP="006B6C4C">
      <w:r w:rsidRPr="00FB18DC">
        <w:t xml:space="preserve">Our </w:t>
      </w:r>
      <w:r w:rsidR="007307BF">
        <w:t xml:space="preserve">final </w:t>
      </w:r>
      <w:r w:rsidRPr="00FB18DC">
        <w:t xml:space="preserve">decision on the choice of data series is to adopt a simple average of the debt data series published by the </w:t>
      </w:r>
      <w:r w:rsidR="00536B64">
        <w:t>RBA</w:t>
      </w:r>
      <w:r w:rsidRPr="00FB18DC">
        <w:t xml:space="preserve"> and Bloomberg that match, as close as available, our benchmarks of a BBB+ credit rating and a 10 year debt term. Specifically our final decision is to adopt a simple average of:</w:t>
      </w:r>
    </w:p>
    <w:p w:rsidR="006B6C4C" w:rsidRPr="006B6C4C" w:rsidRDefault="006B6C4C" w:rsidP="006B6C4C">
      <w:pPr>
        <w:pStyle w:val="AERbulletlistfirststyle"/>
      </w:pPr>
      <w:r w:rsidRPr="00FB18DC">
        <w:t>The RBA broad-BBB rated 10 year curve, extrapolated to an effective term of 10 years (the RBA curve)</w:t>
      </w:r>
    </w:p>
    <w:p w:rsidR="006B6C4C" w:rsidRPr="006B6C4C" w:rsidRDefault="006B6C4C" w:rsidP="006B6C4C">
      <w:pPr>
        <w:pStyle w:val="AERbulletlistfirststyle"/>
      </w:pPr>
      <w:r w:rsidRPr="00FB18DC">
        <w:t xml:space="preserve">The Bloomberg Valuation Service (BVAL) broad-BBB rated curve (the BVAL curve). Depending on the maximum term published at the time, this will be either the BVAL: </w:t>
      </w:r>
    </w:p>
    <w:p w:rsidR="006B6C4C" w:rsidRPr="00FB18DC" w:rsidRDefault="006B6C4C" w:rsidP="006B6C4C">
      <w:pPr>
        <w:pStyle w:val="AERbulletlistsecondstyle"/>
      </w:pPr>
      <w:r w:rsidRPr="00FB18DC">
        <w:t>10 year estimate</w:t>
      </w:r>
      <w:r w:rsidRPr="00FB18DC">
        <w:rPr>
          <w:rStyle w:val="FootnoteReference"/>
        </w:rPr>
        <w:footnoteReference w:id="1354"/>
      </w:r>
      <w:r w:rsidRPr="00FB18DC">
        <w:t xml:space="preserve"> where it is available</w:t>
      </w:r>
    </w:p>
    <w:p w:rsidR="006B6C4C" w:rsidRPr="00FB18DC" w:rsidRDefault="006B6C4C" w:rsidP="006B6C4C">
      <w:pPr>
        <w:pStyle w:val="AERbulletlistsecondstyle"/>
      </w:pPr>
      <w:r w:rsidRPr="00FB18DC">
        <w:t>7 year estimate extrapolated to a 10 year term using the 7</w:t>
      </w:r>
      <w:r w:rsidRPr="00FB18DC">
        <w:softHyphen/>
        <w:t>–10 year margin from the RBA curve. This will be used where the 7 year estimate is available and the 10 year estimate is not available.</w:t>
      </w:r>
    </w:p>
    <w:p w:rsidR="006B6C4C" w:rsidRDefault="006B6C4C" w:rsidP="006B6C4C">
      <w:pPr>
        <w:pStyle w:val="AERbulletlistsecondstyle"/>
      </w:pPr>
      <w:r w:rsidRPr="00FB18DC">
        <w:t>5 year estimate extrapolated to a 10 year term using the 5–10 year margin from the RBA curve. This will be used where the 5 year estimate is available and neither the 10 year nor the 7 year estimate</w:t>
      </w:r>
      <w:r>
        <w:t>s</w:t>
      </w:r>
      <w:r w:rsidRPr="00FB18DC">
        <w:t xml:space="preserve"> are available.</w:t>
      </w:r>
    </w:p>
    <w:p w:rsidR="006B6C4C" w:rsidRPr="00FB18DC" w:rsidRDefault="006B6C4C" w:rsidP="006B6C4C">
      <w:r w:rsidRPr="00D63D95">
        <w:t xml:space="preserve">We do not estimate the allowed return on debt in this decision by reference to the 10 year yield curve published by Thomson Reuters (the Reuters curve). Nonetheless, we do not rule out including the Reuters curve in future determinations following a proper period of consultation. See appendix </w:t>
      </w:r>
      <w:r w:rsidR="0045649A">
        <w:fldChar w:fldCharType="begin"/>
      </w:r>
      <w:r w:rsidR="0045649A">
        <w:instrText xml:space="preserve"> REF _Ref451328082 \r \h </w:instrText>
      </w:r>
      <w:r w:rsidR="0045649A">
        <w:fldChar w:fldCharType="separate"/>
      </w:r>
      <w:r w:rsidR="001A023B">
        <w:t>I</w:t>
      </w:r>
      <w:r w:rsidR="0045649A">
        <w:fldChar w:fldCharType="end"/>
      </w:r>
      <w:r w:rsidRPr="00D63D95">
        <w:t xml:space="preserve"> for our reasoning and further details.</w:t>
      </w:r>
    </w:p>
    <w:p w:rsidR="006B6C4C" w:rsidRPr="00FB18DC" w:rsidRDefault="006B6C4C" w:rsidP="006B6C4C">
      <w:pPr>
        <w:pStyle w:val="Heading9"/>
      </w:pPr>
      <w:bookmarkStart w:id="316" w:name="_Toc433457168"/>
      <w:bookmarkStart w:id="317" w:name="_Toc450916272"/>
      <w:r w:rsidRPr="00FB18DC">
        <w:t>Choice of data series—Extrapolation and interpolation issues</w:t>
      </w:r>
      <w:bookmarkEnd w:id="316"/>
      <w:bookmarkEnd w:id="317"/>
    </w:p>
    <w:p w:rsidR="006B6C4C" w:rsidRPr="00FB18DC" w:rsidRDefault="006B6C4C" w:rsidP="006B6C4C">
      <w:r w:rsidRPr="00FB18DC">
        <w:t xml:space="preserve">Our decision on extrapolation and interpolation issues is </w:t>
      </w:r>
      <w:r w:rsidR="00ED68B9">
        <w:t>to maintain the approach set out in our in our draft decision</w:t>
      </w:r>
      <w:r w:rsidRPr="00FB18DC">
        <w:t>. This refers to:</w:t>
      </w:r>
    </w:p>
    <w:p w:rsidR="006B6C4C" w:rsidRPr="006B6C4C" w:rsidRDefault="006B6C4C" w:rsidP="006B6C4C">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6B6C4C" w:rsidRPr="006B6C4C" w:rsidRDefault="006B6C4C" w:rsidP="006B6C4C">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r w:rsidR="007307BF">
        <w:t xml:space="preserve"> </w:t>
      </w:r>
      <w:r w:rsidR="007307BF" w:rsidRPr="00FB18DC">
        <w:t>of the service provider's averaging period</w:t>
      </w:r>
      <w:r w:rsidRPr="00FB18DC">
        <w:t>.</w:t>
      </w:r>
    </w:p>
    <w:p w:rsidR="006B6C4C" w:rsidRPr="00FB18DC" w:rsidRDefault="006B6C4C" w:rsidP="006B6C4C">
      <w:r w:rsidRPr="00FB18DC">
        <w:t>Specifically, we will make the following adjustments as set out in</w:t>
      </w:r>
      <w:r>
        <w:t xml:space="preserve"> </w:t>
      </w:r>
      <w:r>
        <w:fldChar w:fldCharType="begin"/>
      </w:r>
      <w:r>
        <w:instrText xml:space="preserve"> REF  _Ref450563956 \* Lower \h </w:instrText>
      </w:r>
      <w:r>
        <w:fldChar w:fldCharType="separate"/>
      </w:r>
      <w:r w:rsidR="001A023B" w:rsidRPr="00FB18DC">
        <w:t xml:space="preserve">table </w:t>
      </w:r>
      <w:r w:rsidR="001A023B">
        <w:rPr>
          <w:noProof/>
        </w:rPr>
        <w:t>3</w:t>
      </w:r>
      <w:r w:rsidR="001A023B">
        <w:noBreakHyphen/>
      </w:r>
      <w:r w:rsidR="001A023B">
        <w:rPr>
          <w:noProof/>
        </w:rPr>
        <w:t>46</w:t>
      </w:r>
      <w:r>
        <w:fldChar w:fldCharType="end"/>
      </w:r>
      <w:r>
        <w:t xml:space="preserve"> and </w:t>
      </w:r>
      <w:r>
        <w:fldChar w:fldCharType="begin"/>
      </w:r>
      <w:r>
        <w:instrText xml:space="preserve"> REF  _Ref450563958 \* Lower \h </w:instrText>
      </w:r>
      <w:r>
        <w:fldChar w:fldCharType="separate"/>
      </w:r>
      <w:r w:rsidR="001A023B" w:rsidRPr="00FB18DC">
        <w:t xml:space="preserve">table </w:t>
      </w:r>
      <w:r w:rsidR="001A023B">
        <w:rPr>
          <w:noProof/>
        </w:rPr>
        <w:t>3</w:t>
      </w:r>
      <w:r w:rsidR="001A023B">
        <w:noBreakHyphen/>
      </w:r>
      <w:r w:rsidR="001A023B">
        <w:rPr>
          <w:noProof/>
        </w:rPr>
        <w:t>47</w:t>
      </w:r>
      <w:r>
        <w:fldChar w:fldCharType="end"/>
      </w:r>
      <w:r w:rsidRPr="00FB18DC">
        <w:t>.</w:t>
      </w:r>
    </w:p>
    <w:p w:rsidR="006B6C4C" w:rsidRPr="00FB18DC" w:rsidRDefault="006B6C4C" w:rsidP="006B6C4C">
      <w:pPr>
        <w:pStyle w:val="Caption"/>
      </w:pPr>
      <w:bookmarkStart w:id="318" w:name="_Ref450563956"/>
      <w:r w:rsidRPr="00FB18DC">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46</w:t>
      </w:r>
      <w:r w:rsidR="00120312">
        <w:rPr>
          <w:noProof/>
        </w:rPr>
        <w:fldChar w:fldCharType="end"/>
      </w:r>
      <w:bookmarkEnd w:id="318"/>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6B6C4C" w:rsidRPr="00BB7AB1" w:rsidTr="0031325C">
        <w:trPr>
          <w:cnfStyle w:val="100000000000" w:firstRow="1" w:lastRow="0" w:firstColumn="0" w:lastColumn="0" w:oddVBand="0" w:evenVBand="0" w:oddHBand="0" w:evenHBand="0" w:firstRowFirstColumn="0" w:firstRowLastColumn="0" w:lastRowFirstColumn="0" w:lastRowLastColumn="0"/>
          <w:tblHeader/>
        </w:trPr>
        <w:tc>
          <w:tcPr>
            <w:tcW w:w="1763" w:type="dxa"/>
          </w:tcPr>
          <w:p w:rsidR="006B6C4C" w:rsidRPr="006B6C4C" w:rsidRDefault="006B6C4C" w:rsidP="006B6C4C">
            <w:r w:rsidRPr="00FB18DC">
              <w:t xml:space="preserve">Adjustment </w:t>
            </w:r>
            <w:r w:rsidRPr="006B6C4C">
              <w:t>type</w:t>
            </w:r>
          </w:p>
        </w:tc>
        <w:tc>
          <w:tcPr>
            <w:tcW w:w="1262" w:type="dxa"/>
          </w:tcPr>
          <w:p w:rsidR="006B6C4C" w:rsidRPr="006B6C4C" w:rsidRDefault="006B6C4C" w:rsidP="006B6C4C">
            <w:r w:rsidRPr="00FB18DC">
              <w:t>Amendment made?</w:t>
            </w:r>
          </w:p>
        </w:tc>
        <w:tc>
          <w:tcPr>
            <w:tcW w:w="5668" w:type="dxa"/>
          </w:tcPr>
          <w:p w:rsidR="006B6C4C" w:rsidRPr="006B6C4C" w:rsidRDefault="006B6C4C" w:rsidP="006B6C4C">
            <w:r w:rsidRPr="00FB18DC">
              <w:t>Comments</w:t>
            </w:r>
          </w:p>
        </w:tc>
      </w:tr>
      <w:tr w:rsidR="006B6C4C" w:rsidRPr="00BB7AB1" w:rsidTr="0031325C">
        <w:tc>
          <w:tcPr>
            <w:tcW w:w="1763" w:type="dxa"/>
          </w:tcPr>
          <w:p w:rsidR="006B6C4C" w:rsidRPr="006B6C4C" w:rsidRDefault="006B6C4C" w:rsidP="006B6C4C">
            <w:r w:rsidRPr="00FB18DC">
              <w:t>Interpolation to construct daily estimates</w:t>
            </w:r>
          </w:p>
        </w:tc>
        <w:tc>
          <w:tcPr>
            <w:tcW w:w="1262" w:type="dxa"/>
          </w:tcPr>
          <w:p w:rsidR="006B6C4C" w:rsidRPr="006B6C4C" w:rsidRDefault="006B6C4C" w:rsidP="006B6C4C">
            <w:r w:rsidRPr="00FB18DC">
              <w:t>Yes</w:t>
            </w:r>
          </w:p>
        </w:tc>
        <w:tc>
          <w:tcPr>
            <w:tcW w:w="5668" w:type="dxa"/>
          </w:tcPr>
          <w:p w:rsidR="006B6C4C" w:rsidRPr="006B6C4C" w:rsidRDefault="006B6C4C" w:rsidP="006B6C4C">
            <w:r w:rsidRPr="00FB18DC">
              <w:t xml:space="preserve">The RBA curve only provides an estimate for one business day at the end of each month. In our experience, averaging periods commonly start and/or end on dates during the month.  </w:t>
            </w:r>
          </w:p>
          <w:p w:rsidR="006B6C4C" w:rsidRPr="006B6C4C" w:rsidRDefault="006B6C4C" w:rsidP="006B6C4C">
            <w:r w:rsidRPr="00FB18DC">
              <w:t>We will address this issue by linearly interpolating between month end values where possible. While we are satisfied that interpolation over business days is also reasonable, we will interpolate over all days because:</w:t>
            </w:r>
          </w:p>
          <w:p w:rsidR="006B6C4C" w:rsidRPr="006B6C4C" w:rsidRDefault="006B6C4C" w:rsidP="006B6C4C">
            <w:pPr>
              <w:pStyle w:val="AERbulletlistfirststyle"/>
            </w:pPr>
            <w:r w:rsidRPr="00FB18DC">
              <w:t>this is consistent with our widely accepted approach to interpolate estimates of the risk free rate using CGS</w:t>
            </w:r>
          </w:p>
          <w:p w:rsidR="006B6C4C" w:rsidRPr="006B6C4C" w:rsidRDefault="006B6C4C" w:rsidP="006B6C4C">
            <w:pPr>
              <w:pStyle w:val="AERbulletlistfirststyle"/>
            </w:pPr>
            <w:r w:rsidRPr="00FB18DC">
              <w:t>interpolating over all days is simpler to implement</w:t>
            </w:r>
          </w:p>
          <w:p w:rsidR="006B6C4C" w:rsidRPr="006B6C4C" w:rsidRDefault="006B6C4C" w:rsidP="006B6C4C">
            <w:pPr>
              <w:pStyle w:val="AERbulletlistfirststyle"/>
            </w:pPr>
            <w:r w:rsidRPr="00FB18DC">
              <w:t>it is impractical to interpolate over business days for estimating the risk free rate, as this would require calculations relative to specific trading days 10 years in advance</w:t>
            </w:r>
          </w:p>
          <w:p w:rsidR="006B6C4C" w:rsidRPr="006B6C4C" w:rsidRDefault="006B6C4C" w:rsidP="006B6C4C">
            <w:pPr>
              <w:pStyle w:val="AERbulletlistfirststyle"/>
            </w:pPr>
            <w:r w:rsidRPr="00FB18DC">
              <w:t>the difference to the estimates between interpolating over business days or interpolating over all days is immaterial.</w:t>
            </w:r>
            <w:r w:rsidRPr="006B6C4C">
              <w:rPr>
                <w:rStyle w:val="AERsuperscript"/>
              </w:rPr>
              <w:footnoteReference w:id="1355"/>
            </w:r>
          </w:p>
          <w:p w:rsidR="006B6C4C" w:rsidRPr="006B6C4C" w:rsidRDefault="006B6C4C" w:rsidP="006B6C4C">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final decision on the annual debt update process is set out in </w:t>
            </w:r>
            <w:r w:rsidRPr="006B6C4C">
              <w:t xml:space="preserve">this appendix. </w:t>
            </w:r>
          </w:p>
        </w:tc>
      </w:tr>
      <w:tr w:rsidR="006B6C4C" w:rsidRPr="00BB7AB1" w:rsidTr="0031325C">
        <w:trPr>
          <w:cnfStyle w:val="000000010000" w:firstRow="0" w:lastRow="0" w:firstColumn="0" w:lastColumn="0" w:oddVBand="0" w:evenVBand="0" w:oddHBand="0" w:evenHBand="1" w:firstRowFirstColumn="0" w:firstRowLastColumn="0" w:lastRowFirstColumn="0" w:lastRowLastColumn="0"/>
        </w:trPr>
        <w:tc>
          <w:tcPr>
            <w:tcW w:w="1763" w:type="dxa"/>
          </w:tcPr>
          <w:p w:rsidR="006B6C4C" w:rsidRPr="006B6C4C" w:rsidRDefault="006B6C4C" w:rsidP="006B6C4C">
            <w:r w:rsidRPr="00FB18DC">
              <w:t>Extrapolation to target term</w:t>
            </w:r>
          </w:p>
        </w:tc>
        <w:tc>
          <w:tcPr>
            <w:tcW w:w="1262" w:type="dxa"/>
          </w:tcPr>
          <w:p w:rsidR="006B6C4C" w:rsidRPr="006B6C4C" w:rsidRDefault="006B6C4C" w:rsidP="006B6C4C">
            <w:r w:rsidRPr="00FB18DC">
              <w:t>Yes</w:t>
            </w:r>
          </w:p>
        </w:tc>
        <w:tc>
          <w:tcPr>
            <w:tcW w:w="5668" w:type="dxa"/>
          </w:tcPr>
          <w:p w:rsidR="006B6C4C" w:rsidRPr="006B6C4C" w:rsidRDefault="006B6C4C" w:rsidP="006B6C4C">
            <w:r w:rsidRPr="00FB18DC">
              <w:t>The 'effective term' of the RBA bond sample is commonly less than 10 years. For this reason, Lally recommended that the spread component of the yield should be extrapolated from its effective term at publication to the benchmark term (10 years).</w:t>
            </w:r>
            <w:r w:rsidRPr="006B6C4C">
              <w:rPr>
                <w:rStyle w:val="AERsuperscript"/>
              </w:rPr>
              <w:footnoteReference w:id="1356"/>
            </w:r>
            <w:r w:rsidRPr="006B6C4C">
              <w:rPr>
                <w:rStyle w:val="AERsuperscript"/>
              </w:rPr>
              <w:t xml:space="preserve"> </w:t>
            </w:r>
          </w:p>
          <w:p w:rsidR="006B6C4C" w:rsidRPr="006B6C4C" w:rsidRDefault="006B6C4C" w:rsidP="006B6C4C">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6B6C4C">
              <w:rPr>
                <w:rStyle w:val="AERsuperscript"/>
              </w:rPr>
              <w:footnoteReference w:id="1357"/>
            </w:r>
            <w:r w:rsidRPr="006B6C4C">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6B6C4C" w:rsidRPr="00BB7AB1" w:rsidTr="0031325C">
        <w:tc>
          <w:tcPr>
            <w:tcW w:w="1763" w:type="dxa"/>
          </w:tcPr>
          <w:p w:rsidR="006B6C4C" w:rsidRPr="006B6C4C" w:rsidRDefault="006B6C4C" w:rsidP="006B6C4C">
            <w:r w:rsidRPr="00FB18DC">
              <w:t>Conversion to effective annual rate</w:t>
            </w:r>
          </w:p>
        </w:tc>
        <w:tc>
          <w:tcPr>
            <w:tcW w:w="1262" w:type="dxa"/>
          </w:tcPr>
          <w:p w:rsidR="006B6C4C" w:rsidRPr="006B6C4C" w:rsidRDefault="006B6C4C" w:rsidP="006B6C4C">
            <w:r w:rsidRPr="00FB18DC">
              <w:t>Yes</w:t>
            </w:r>
          </w:p>
        </w:tc>
        <w:tc>
          <w:tcPr>
            <w:tcW w:w="5668" w:type="dxa"/>
          </w:tcPr>
          <w:p w:rsidR="006B6C4C" w:rsidRPr="006B6C4C" w:rsidRDefault="006B6C4C" w:rsidP="006B6C4C">
            <w:r w:rsidRPr="00FB18D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6B6C4C">
              <w:rPr>
                <w:rStyle w:val="AERsuperscript"/>
              </w:rPr>
              <w:footnoteReference w:id="1358"/>
            </w:r>
            <w:r w:rsidRPr="006B6C4C">
              <w:t xml:space="preserve"> Therefore, this would require conversion into an effective annual rate, using the same approach as is applied to the BVAL yield estimate. </w:t>
            </w:r>
          </w:p>
        </w:tc>
      </w:tr>
    </w:tbl>
    <w:p w:rsidR="006B6C4C" w:rsidRPr="00FB18DC" w:rsidRDefault="006B6C4C" w:rsidP="006B6C4C">
      <w:pPr>
        <w:pStyle w:val="AERtablesource"/>
      </w:pPr>
      <w:r w:rsidRPr="00FB18DC">
        <w:t>Source: AER analysis</w:t>
      </w:r>
    </w:p>
    <w:p w:rsidR="006B6C4C" w:rsidRPr="00FB18DC" w:rsidRDefault="006B6C4C" w:rsidP="006B6C4C">
      <w:pPr>
        <w:pStyle w:val="Caption"/>
      </w:pPr>
      <w:bookmarkStart w:id="319" w:name="_Ref450563958"/>
      <w:r w:rsidRPr="00FB18DC">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47</w:t>
      </w:r>
      <w:r w:rsidR="00120312">
        <w:rPr>
          <w:noProof/>
        </w:rPr>
        <w:fldChar w:fldCharType="end"/>
      </w:r>
      <w:bookmarkEnd w:id="319"/>
      <w:r w:rsidRPr="00FB18DC">
        <w:tab/>
        <w:t>Adjustments to the BVAL curve</w:t>
      </w:r>
    </w:p>
    <w:tbl>
      <w:tblPr>
        <w:tblStyle w:val="AERtable-text0"/>
        <w:tblW w:w="0" w:type="auto"/>
        <w:tblLook w:val="04A0" w:firstRow="1" w:lastRow="0" w:firstColumn="1" w:lastColumn="0" w:noHBand="0" w:noVBand="1"/>
      </w:tblPr>
      <w:tblGrid>
        <w:gridCol w:w="2889"/>
        <w:gridCol w:w="1416"/>
        <w:gridCol w:w="4388"/>
      </w:tblGrid>
      <w:tr w:rsidR="006B6C4C" w:rsidRPr="00BB7AB1" w:rsidTr="0031325C">
        <w:trPr>
          <w:cnfStyle w:val="100000000000" w:firstRow="1" w:lastRow="0" w:firstColumn="0" w:lastColumn="0" w:oddVBand="0" w:evenVBand="0" w:oddHBand="0" w:evenHBand="0" w:firstRowFirstColumn="0" w:firstRowLastColumn="0" w:lastRowFirstColumn="0" w:lastRowLastColumn="0"/>
          <w:tblHeader/>
        </w:trPr>
        <w:tc>
          <w:tcPr>
            <w:tcW w:w="3080" w:type="dxa"/>
          </w:tcPr>
          <w:p w:rsidR="006B6C4C" w:rsidRPr="006B6C4C" w:rsidRDefault="006B6C4C" w:rsidP="006B6C4C">
            <w:r w:rsidRPr="00FB18DC">
              <w:t xml:space="preserve">Adjustment </w:t>
            </w:r>
            <w:r w:rsidRPr="006B6C4C">
              <w:t>type</w:t>
            </w:r>
          </w:p>
        </w:tc>
        <w:tc>
          <w:tcPr>
            <w:tcW w:w="1446" w:type="dxa"/>
          </w:tcPr>
          <w:p w:rsidR="006B6C4C" w:rsidRPr="006B6C4C" w:rsidRDefault="006B6C4C" w:rsidP="006B6C4C">
            <w:r w:rsidRPr="00FB18DC">
              <w:t>Amendment made?</w:t>
            </w:r>
          </w:p>
        </w:tc>
        <w:tc>
          <w:tcPr>
            <w:tcW w:w="4716" w:type="dxa"/>
          </w:tcPr>
          <w:p w:rsidR="006B6C4C" w:rsidRPr="00FB18DC" w:rsidRDefault="006B6C4C" w:rsidP="006B6C4C">
            <w:pPr>
              <w:numPr>
                <w:ilvl w:val="0"/>
                <w:numId w:val="24"/>
              </w:numPr>
            </w:pPr>
            <w:r w:rsidRPr="00FB18DC">
              <w:t>Comments</w:t>
            </w:r>
          </w:p>
        </w:tc>
      </w:tr>
      <w:tr w:rsidR="006B6C4C" w:rsidRPr="00BB7AB1" w:rsidTr="0031325C">
        <w:tc>
          <w:tcPr>
            <w:tcW w:w="3080" w:type="dxa"/>
          </w:tcPr>
          <w:p w:rsidR="006B6C4C" w:rsidRPr="006B6C4C" w:rsidRDefault="006B6C4C" w:rsidP="006B6C4C">
            <w:r w:rsidRPr="00FB18DC">
              <w:t>Interpolation to construct daily estimates</w:t>
            </w:r>
          </w:p>
        </w:tc>
        <w:tc>
          <w:tcPr>
            <w:tcW w:w="1446" w:type="dxa"/>
          </w:tcPr>
          <w:p w:rsidR="006B6C4C" w:rsidRPr="006B6C4C" w:rsidRDefault="006B6C4C" w:rsidP="006B6C4C">
            <w:r w:rsidRPr="00FB18DC">
              <w:t>No</w:t>
            </w:r>
          </w:p>
        </w:tc>
        <w:tc>
          <w:tcPr>
            <w:tcW w:w="4716" w:type="dxa"/>
          </w:tcPr>
          <w:p w:rsidR="006B6C4C" w:rsidRPr="00FB18DC" w:rsidRDefault="006B6C4C" w:rsidP="006B6C4C">
            <w:pPr>
              <w:numPr>
                <w:ilvl w:val="0"/>
                <w:numId w:val="24"/>
              </w:numPr>
            </w:pPr>
            <w:r w:rsidRPr="00FB18DC">
              <w:t>Bloomberg publishes daily estimates.</w:t>
            </w:r>
          </w:p>
        </w:tc>
      </w:tr>
      <w:tr w:rsidR="006B6C4C" w:rsidRPr="00BB7AB1" w:rsidTr="0031325C">
        <w:trPr>
          <w:cnfStyle w:val="000000010000" w:firstRow="0" w:lastRow="0" w:firstColumn="0" w:lastColumn="0" w:oddVBand="0" w:evenVBand="0" w:oddHBand="0" w:evenHBand="1" w:firstRowFirstColumn="0" w:firstRowLastColumn="0" w:lastRowFirstColumn="0" w:lastRowLastColumn="0"/>
        </w:trPr>
        <w:tc>
          <w:tcPr>
            <w:tcW w:w="3080" w:type="dxa"/>
          </w:tcPr>
          <w:p w:rsidR="006B6C4C" w:rsidRPr="006B6C4C" w:rsidRDefault="006B6C4C" w:rsidP="006B6C4C">
            <w:r w:rsidRPr="00FB18DC">
              <w:t>Extrapolation to target term</w:t>
            </w:r>
          </w:p>
        </w:tc>
        <w:tc>
          <w:tcPr>
            <w:tcW w:w="1446" w:type="dxa"/>
          </w:tcPr>
          <w:p w:rsidR="006B6C4C" w:rsidRPr="006B6C4C" w:rsidRDefault="006B6C4C" w:rsidP="006B6C4C">
            <w:r w:rsidRPr="00FB18DC">
              <w:t>Depends on maximum term published by Bloomberg</w:t>
            </w:r>
          </w:p>
        </w:tc>
        <w:tc>
          <w:tcPr>
            <w:tcW w:w="4716" w:type="dxa"/>
          </w:tcPr>
          <w:p w:rsidR="006B6C4C" w:rsidRPr="00FB18DC" w:rsidRDefault="006B6C4C" w:rsidP="006B6C4C">
            <w:pPr>
              <w:numPr>
                <w:ilvl w:val="0"/>
                <w:numId w:val="24"/>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1359"/>
            </w:r>
            <w:r w:rsidRPr="00FB18DC">
              <w:t xml:space="preserve"> In April 2015, Bloomberg revised its methodology for the BVAL curve (BVCSAB10) and it now publishes a 10 year estimate.</w:t>
            </w:r>
            <w:r w:rsidRPr="00FB18DC">
              <w:rPr>
                <w:rStyle w:val="FootnoteReference"/>
              </w:rPr>
              <w:footnoteReference w:id="1360"/>
            </w:r>
            <w:r w:rsidRPr="00FB18DC">
              <w:t xml:space="preserve"> </w:t>
            </w:r>
          </w:p>
          <w:p w:rsidR="006B6C4C" w:rsidRPr="00FB18DC" w:rsidRDefault="006B6C4C" w:rsidP="006B6C4C">
            <w:pPr>
              <w:numPr>
                <w:ilvl w:val="0"/>
                <w:numId w:val="24"/>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6B6C4C" w:rsidRPr="00FB18DC" w:rsidRDefault="006B6C4C" w:rsidP="006B6C4C">
            <w:pPr>
              <w:numPr>
                <w:ilvl w:val="0"/>
                <w:numId w:val="24"/>
              </w:numPr>
            </w:pPr>
            <w:r w:rsidRPr="00FB18DC">
              <w:t>BVAL yield 10 years = BVAL yield 7 years + difference in CGS from 7 to 10 years + difference in RBA extrapolated spread to CGS from 7 to 10 years</w:t>
            </w:r>
          </w:p>
          <w:p w:rsidR="006B6C4C" w:rsidRPr="00FB18DC" w:rsidRDefault="006B6C4C" w:rsidP="006B6C4C">
            <w:pPr>
              <w:numPr>
                <w:ilvl w:val="0"/>
                <w:numId w:val="24"/>
              </w:numPr>
            </w:pPr>
            <w:r w:rsidRPr="00FB18DC">
              <w:t>As recommended by Lally,</w:t>
            </w:r>
            <w:r w:rsidRPr="00FB18DC">
              <w:rPr>
                <w:rStyle w:val="AERsuperscript"/>
              </w:rPr>
              <w:footnoteReference w:id="1361"/>
            </w:r>
            <w:r w:rsidRPr="00FB18DC">
              <w:t xml:space="preserve"> we are satisfied this approach is comparably reliable to the more complex approaches submitted by other stakeholders,</w:t>
            </w:r>
            <w:r w:rsidRPr="00FB18DC">
              <w:rPr>
                <w:rStyle w:val="AERsuperscript"/>
              </w:rPr>
              <w:footnoteReference w:id="1362"/>
            </w:r>
            <w:r w:rsidRPr="00FB18DC">
              <w:rPr>
                <w:rStyle w:val="AERsuperscript"/>
              </w:rPr>
              <w:t xml:space="preserve"> </w:t>
            </w:r>
            <w:r w:rsidRPr="00FB18DC">
              <w:t>but is simpler to implement and based on publicly available data.</w:t>
            </w:r>
          </w:p>
          <w:p w:rsidR="006B6C4C" w:rsidRPr="00FB18DC" w:rsidRDefault="006B6C4C" w:rsidP="006B6C4C">
            <w:pPr>
              <w:numPr>
                <w:ilvl w:val="0"/>
                <w:numId w:val="24"/>
              </w:numPr>
            </w:pPr>
            <w:r w:rsidRPr="00FB18DC">
              <w:t>For the period where 5 years is the maximum term, we extrapolate the spread component of the 5 year yield estimate to the 10 year target term using an analogous methodology to that used to extrapolate from 7 to 10 years.</w:t>
            </w:r>
          </w:p>
          <w:p w:rsidR="006B6C4C" w:rsidRPr="00FB18DC" w:rsidRDefault="006B6C4C" w:rsidP="006B6C4C">
            <w:pPr>
              <w:numPr>
                <w:ilvl w:val="0"/>
                <w:numId w:val="24"/>
              </w:numPr>
            </w:pPr>
            <w:r w:rsidRPr="00FB18DC">
              <w:t>For the period where 10 years is the maximum term, we do not extrapolate the estimate.</w:t>
            </w:r>
          </w:p>
        </w:tc>
      </w:tr>
      <w:tr w:rsidR="006B6C4C" w:rsidRPr="00BB7AB1" w:rsidTr="0031325C">
        <w:tc>
          <w:tcPr>
            <w:tcW w:w="3080" w:type="dxa"/>
          </w:tcPr>
          <w:p w:rsidR="006B6C4C" w:rsidRPr="006B6C4C" w:rsidRDefault="006B6C4C" w:rsidP="006B6C4C">
            <w:r w:rsidRPr="00FB18DC">
              <w:t>Conversion to effective annual rate</w:t>
            </w:r>
          </w:p>
        </w:tc>
        <w:tc>
          <w:tcPr>
            <w:tcW w:w="1446" w:type="dxa"/>
          </w:tcPr>
          <w:p w:rsidR="006B6C4C" w:rsidRPr="006B6C4C" w:rsidRDefault="006B6C4C" w:rsidP="006B6C4C">
            <w:r w:rsidRPr="00FB18DC">
              <w:t>Yes</w:t>
            </w:r>
          </w:p>
        </w:tc>
        <w:tc>
          <w:tcPr>
            <w:tcW w:w="4716" w:type="dxa"/>
          </w:tcPr>
          <w:p w:rsidR="006B6C4C" w:rsidRPr="00FB18DC" w:rsidRDefault="006B6C4C" w:rsidP="006B6C4C">
            <w:pPr>
              <w:numPr>
                <w:ilvl w:val="0"/>
                <w:numId w:val="24"/>
              </w:numPr>
            </w:pPr>
            <w:r w:rsidRPr="00FB18DC">
              <w:t>Bloomberg publishes its yield as annual rates with semi-annual compounding. This needs to be converted into an effective annual rate.</w:t>
            </w:r>
          </w:p>
        </w:tc>
      </w:tr>
    </w:tbl>
    <w:p w:rsidR="006B6C4C" w:rsidRPr="00FB18DC" w:rsidRDefault="006B6C4C" w:rsidP="006B6C4C">
      <w:pPr>
        <w:pStyle w:val="Heading9"/>
      </w:pPr>
      <w:bookmarkStart w:id="320" w:name="_Toc433457169"/>
      <w:bookmarkStart w:id="321" w:name="_Toc450916273"/>
      <w:r w:rsidRPr="00FB18DC">
        <w:t>Choice of data series—Step-by-step guide to calculations</w:t>
      </w:r>
      <w:bookmarkEnd w:id="320"/>
      <w:bookmarkEnd w:id="321"/>
    </w:p>
    <w:p w:rsidR="006B6C4C" w:rsidRPr="00FB18DC" w:rsidRDefault="006B6C4C" w:rsidP="006B6C4C">
      <w:pPr>
        <w:numPr>
          <w:ilvl w:val="0"/>
          <w:numId w:val="24"/>
        </w:numPr>
      </w:pPr>
      <w:r w:rsidRPr="00FB18DC">
        <w:t>Below we describe the step-by-step processes of calculating:</w:t>
      </w:r>
    </w:p>
    <w:p w:rsidR="006B6C4C" w:rsidRPr="006B6C4C" w:rsidRDefault="006B6C4C" w:rsidP="006B6C4C">
      <w:pPr>
        <w:pStyle w:val="AERbulletlistfirststyle"/>
      </w:pPr>
      <w:r w:rsidRPr="00FB18DC">
        <w:t xml:space="preserve">the adjusted RBA estimate </w:t>
      </w:r>
    </w:p>
    <w:p w:rsidR="006B6C4C" w:rsidRPr="006B6C4C" w:rsidRDefault="006B6C4C" w:rsidP="006B6C4C">
      <w:pPr>
        <w:pStyle w:val="AERbulletlistfirststyle"/>
      </w:pPr>
      <w:r w:rsidRPr="00FB18DC">
        <w:t xml:space="preserve">the adjusted BVAL estimate </w:t>
      </w:r>
    </w:p>
    <w:p w:rsidR="006B6C4C" w:rsidRPr="006B6C4C" w:rsidRDefault="006B6C4C" w:rsidP="006B6C4C">
      <w:pPr>
        <w:pStyle w:val="AERbulletlistfirststyle"/>
      </w:pPr>
      <w:r w:rsidRPr="00FB18DC">
        <w:t>the final estimate—where we combine our implementations of the RBA estimate and the BVAL estimate.</w:t>
      </w:r>
    </w:p>
    <w:p w:rsidR="006B6C4C" w:rsidRDefault="006B6C4C" w:rsidP="006B6C4C">
      <w:pPr>
        <w:numPr>
          <w:ilvl w:val="0"/>
          <w:numId w:val="24"/>
        </w:numPr>
      </w:pPr>
      <w:r w:rsidRPr="00FB18DC">
        <w:t xml:space="preserve">These formula steps relate to the approach specified in this final decision. In the event that data availability changes during the </w:t>
      </w:r>
      <w:r w:rsidR="00FD4991">
        <w:t>access arrangement</w:t>
      </w:r>
      <w:r w:rsidRPr="00FB18DC">
        <w:t xml:space="preserve"> period, the formulas below will change to reflect the contingencies set out in section </w:t>
      </w:r>
      <w:r w:rsidR="0045649A">
        <w:fldChar w:fldCharType="begin"/>
      </w:r>
      <w:r w:rsidR="0045649A">
        <w:instrText xml:space="preserve"> REF _Ref451901938 \r \h </w:instrText>
      </w:r>
      <w:r w:rsidR="0045649A">
        <w:fldChar w:fldCharType="separate"/>
      </w:r>
      <w:r w:rsidR="001A023B">
        <w:t>J.2.4</w:t>
      </w:r>
      <w:r w:rsidR="0045649A">
        <w:fldChar w:fldCharType="end"/>
      </w:r>
      <w:r w:rsidRPr="00FB18DC">
        <w:t>.</w:t>
      </w:r>
    </w:p>
    <w:p w:rsidR="008E2037" w:rsidRPr="008E2037" w:rsidRDefault="008E2037" w:rsidP="008E2037">
      <w:pPr>
        <w:numPr>
          <w:ilvl w:val="0"/>
          <w:numId w:val="24"/>
        </w:numPr>
      </w:pPr>
      <w:r w:rsidRPr="008E2037">
        <w:t>For the purposes of calculating the return on debt, a 'business day' is a day that is not a Saturday or Sunday and not a national or NSW public holiday. This is because the independent data service providers (RBA and Bloomberg) do not publish data on national or NSW public holidays.</w:t>
      </w:r>
    </w:p>
    <w:p w:rsidR="006B6C4C" w:rsidRPr="00FB18DC" w:rsidRDefault="006B6C4C" w:rsidP="006B6C4C">
      <w:pPr>
        <w:numPr>
          <w:ilvl w:val="0"/>
          <w:numId w:val="24"/>
        </w:numPr>
        <w:rPr>
          <w:rStyle w:val="AERtextitalic"/>
        </w:rPr>
      </w:pPr>
      <w:r w:rsidRPr="00FB18DC">
        <w:rPr>
          <w:rStyle w:val="AERtextitalic"/>
        </w:rPr>
        <w:t>Calculation of the adjusted RBA estimate</w:t>
      </w:r>
    </w:p>
    <w:p w:rsidR="006B6C4C" w:rsidRPr="00FB18DC" w:rsidRDefault="006B6C4C" w:rsidP="006B6C4C">
      <w:pPr>
        <w:numPr>
          <w:ilvl w:val="1"/>
          <w:numId w:val="24"/>
        </w:numPr>
      </w:pPr>
      <w:r w:rsidRPr="00FB18DC">
        <w:t>Download RBA table F3—'Aggregate measures of Australian corporate bond yields' from the RBA website.</w:t>
      </w:r>
    </w:p>
    <w:p w:rsidR="006B6C4C" w:rsidRPr="00FB18DC" w:rsidRDefault="006B6C4C" w:rsidP="006B6C4C">
      <w:pPr>
        <w:numPr>
          <w:ilvl w:val="1"/>
          <w:numId w:val="24"/>
        </w:numPr>
      </w:pPr>
      <w:r w:rsidRPr="00FB18DC">
        <w:t>From this file, download the 7 and 10 year 'Non-financial corporate BBB-rated bonds—Yield' entries for dates:</w:t>
      </w:r>
    </w:p>
    <w:p w:rsidR="006B6C4C" w:rsidRPr="00FB18DC" w:rsidRDefault="006B6C4C" w:rsidP="006B6C4C">
      <w:pPr>
        <w:numPr>
          <w:ilvl w:val="2"/>
          <w:numId w:val="24"/>
        </w:numPr>
      </w:pPr>
      <w:r w:rsidRPr="00FB18DC">
        <w:t>from the most recent published RBA date prior to the commencement of the nominated averaging period for debt</w:t>
      </w:r>
    </w:p>
    <w:p w:rsidR="006B6C4C" w:rsidRPr="00FB18DC" w:rsidRDefault="006B6C4C" w:rsidP="006B6C4C">
      <w:pPr>
        <w:numPr>
          <w:ilvl w:val="2"/>
          <w:numId w:val="24"/>
        </w:numPr>
      </w:pPr>
      <w:r w:rsidRPr="00FB18DC">
        <w:t>to the first published RBA date following the conclusion of the nominated averaging period for debt</w:t>
      </w:r>
    </w:p>
    <w:p w:rsidR="006B6C4C" w:rsidRPr="00FB18DC" w:rsidRDefault="006B6C4C" w:rsidP="006B6C4C">
      <w:pPr>
        <w:numPr>
          <w:ilvl w:val="2"/>
          <w:numId w:val="24"/>
        </w:numPr>
      </w:pPr>
      <w:r w:rsidRPr="00FB18DC">
        <w:t>all published dates between a. and b.</w:t>
      </w:r>
    </w:p>
    <w:p w:rsidR="006B6C4C" w:rsidRPr="00FB18DC" w:rsidRDefault="006B6C4C" w:rsidP="006B6C4C">
      <w:pPr>
        <w:numPr>
          <w:ilvl w:val="1"/>
          <w:numId w:val="24"/>
        </w:numPr>
      </w:pPr>
      <w:r w:rsidRPr="00FB18DC">
        <w:t xml:space="preserve">Download, from RBA table F16—'Indicative Mid Rates of </w:t>
      </w:r>
      <w:r>
        <w:t>Australian</w:t>
      </w:r>
      <w:r w:rsidRPr="00FB18DC">
        <w:t xml:space="preserve"> Government Securities - 2013 to Current', daily yields on CGSs for dates within the service provider's averaging period. </w:t>
      </w:r>
    </w:p>
    <w:p w:rsidR="006B6C4C" w:rsidRPr="00FB18DC" w:rsidRDefault="006B6C4C" w:rsidP="006B6C4C">
      <w:pPr>
        <w:numPr>
          <w:ilvl w:val="1"/>
          <w:numId w:val="24"/>
        </w:numPr>
      </w:pPr>
      <w:r w:rsidRPr="00FB18DC">
        <w:t>Linearly interpolate between the two nearest bonds straddling 7 years remaining term to maturity,</w:t>
      </w:r>
      <w:r w:rsidRPr="00FB18DC">
        <w:rPr>
          <w:rStyle w:val="AERsuperscript"/>
        </w:rPr>
        <w:footnoteReference w:id="1363"/>
      </w:r>
      <w:r w:rsidRPr="00FB18DC">
        <w:t xml:space="preserve"> and the two nearest CGS bonds straddling 10 years remaining term to maturity. This should be done using the following formula: </w:t>
      </w:r>
      <w:r w:rsidRPr="00FB18DC">
        <w:rPr>
          <w:rStyle w:val="AERsuperscript"/>
        </w:rPr>
        <w:footnoteReference w:id="1364"/>
      </w:r>
    </w:p>
    <w:p w:rsidR="006B6C4C" w:rsidRPr="00FB18DC" w:rsidRDefault="006B6C4C" w:rsidP="006B6C4C">
      <w:pPr>
        <w:pStyle w:val="AERquote"/>
      </w:pPr>
      <w:r w:rsidRPr="00FB18DC">
        <w:t>yield interpolated = yield lower straddle bond + (yield upper straddle bond - yield lower straddle bond) * (date 10 years from interpolation date - maturity date lower straddle bond) / (maturity date upper straddle bond - maturity date lower straddle bond).</w:t>
      </w:r>
    </w:p>
    <w:p w:rsidR="006B6C4C" w:rsidRPr="00FB18DC" w:rsidRDefault="006B6C4C" w:rsidP="006B6C4C">
      <w:pPr>
        <w:numPr>
          <w:ilvl w:val="1"/>
          <w:numId w:val="24"/>
        </w:numPr>
      </w:pPr>
      <w:r w:rsidRPr="00FB18DC">
        <w:t>Linearly extrapolate the published RBA 10 year yield (from step 2) from its published effective term to an effective term of 10 years using the formula below:</w:t>
      </w:r>
      <w:r w:rsidRPr="00FB18DC">
        <w:rPr>
          <w:rStyle w:val="AERsuperscript"/>
        </w:rPr>
        <w:footnoteReference w:id="1365"/>
      </w:r>
    </w:p>
    <w:p w:rsidR="006B6C4C" w:rsidRPr="00FB18DC" w:rsidRDefault="006B6C4C" w:rsidP="006B6C4C">
      <w:pPr>
        <w:pStyle w:val="AERquote"/>
      </w:pPr>
      <w:r w:rsidRPr="00FB18DC">
        <w:t>yield</w:t>
      </w:r>
      <w:r w:rsidRPr="00FB18DC">
        <w:rPr>
          <w:rStyle w:val="AERsubscript"/>
        </w:rPr>
        <w:t>10</w:t>
      </w:r>
      <w:r w:rsidRPr="00FB18DC">
        <w:t xml:space="preserve"> = yield</w:t>
      </w:r>
      <w:r w:rsidRPr="00FB18DC">
        <w:rPr>
          <w:rStyle w:val="AERsubscript"/>
        </w:rPr>
        <w:t>10</w:t>
      </w:r>
      <w:r w:rsidRPr="00FB18DC">
        <w:t xml:space="preserve"> </w:t>
      </w:r>
      <w:r w:rsidRPr="004842DA">
        <w:rPr>
          <w:rStyle w:val="AERsubscript"/>
        </w:rPr>
        <w:t>year published</w:t>
      </w:r>
      <w:r w:rsidRPr="00FB18DC">
        <w:t xml:space="preserve"> + [(spread to swap</w:t>
      </w:r>
      <w:r w:rsidRPr="004842DA">
        <w:rPr>
          <w:rStyle w:val="AERsubscript"/>
        </w:rPr>
        <w:t xml:space="preserve">10 year published </w:t>
      </w:r>
      <w:r w:rsidRPr="00FB18DC">
        <w:t>- spread to swap</w:t>
      </w:r>
      <w:r w:rsidRPr="00FB18DC">
        <w:rPr>
          <w:rStyle w:val="AERsubscript"/>
        </w:rPr>
        <w:t>7</w:t>
      </w:r>
      <w:r w:rsidRPr="00FB18DC">
        <w:t xml:space="preserve"> </w:t>
      </w:r>
      <w:r w:rsidRPr="004842DA">
        <w:rPr>
          <w:rStyle w:val="AERsubscript"/>
        </w:rPr>
        <w:t>year published</w:t>
      </w:r>
      <w:r w:rsidRPr="00FB18DC">
        <w:t>)/(effective term</w:t>
      </w:r>
      <w:r w:rsidRPr="004842DA">
        <w:rPr>
          <w:rStyle w:val="AERsubscript"/>
        </w:rPr>
        <w:t xml:space="preserve">10 year published  </w:t>
      </w:r>
      <w:r w:rsidRPr="00FB18DC">
        <w:t>- effective term</w:t>
      </w:r>
      <w:r w:rsidRPr="00FB18DC">
        <w:rPr>
          <w:rStyle w:val="AERsubscript"/>
        </w:rPr>
        <w:t>7</w:t>
      </w:r>
      <w:r w:rsidRPr="00FB18DC">
        <w:t xml:space="preserve"> </w:t>
      </w:r>
      <w:r w:rsidRPr="004842DA">
        <w:rPr>
          <w:rStyle w:val="AERsubscript"/>
        </w:rPr>
        <w:t>year published</w:t>
      </w:r>
      <w:r w:rsidRPr="00FB18DC">
        <w:t>)] * (10 - effective term</w:t>
      </w:r>
      <w:r w:rsidRPr="00FB18DC">
        <w:rPr>
          <w:rStyle w:val="AERsubscript"/>
        </w:rPr>
        <w:t>10</w:t>
      </w:r>
      <w:r w:rsidRPr="00FB18DC">
        <w:t xml:space="preserve"> </w:t>
      </w:r>
      <w:r w:rsidRPr="004842DA">
        <w:rPr>
          <w:rStyle w:val="AERsubscript"/>
        </w:rPr>
        <w:t>year published</w:t>
      </w:r>
      <w:r w:rsidRPr="00FB18DC">
        <w:t>).</w:t>
      </w:r>
    </w:p>
    <w:p w:rsidR="006B6C4C" w:rsidRPr="00FB18DC" w:rsidRDefault="006B6C4C" w:rsidP="006B6C4C">
      <w:pPr>
        <w:numPr>
          <w:ilvl w:val="1"/>
          <w:numId w:val="24"/>
        </w:numPr>
      </w:pPr>
      <w:r w:rsidRPr="00FB18DC">
        <w:t>Linearly extrapolate the published RBA 7 year yield (from step 2) from its published effective term to an effective term of 7 years using the formula below:</w:t>
      </w:r>
      <w:r w:rsidRPr="00FB18DC">
        <w:rPr>
          <w:rStyle w:val="AERsuperscript"/>
        </w:rPr>
        <w:footnoteReference w:id="1366"/>
      </w:r>
    </w:p>
    <w:p w:rsidR="006B6C4C" w:rsidRPr="00FB18DC" w:rsidRDefault="006B6C4C" w:rsidP="006B6C4C">
      <w:pPr>
        <w:pStyle w:val="AERquote"/>
      </w:pPr>
      <w:r w:rsidRPr="00FB18DC">
        <w:t>yield</w:t>
      </w:r>
      <w:r w:rsidRPr="00FB18DC">
        <w:rPr>
          <w:rStyle w:val="AERsubscript"/>
        </w:rPr>
        <w:t>7</w:t>
      </w:r>
      <w:r w:rsidRPr="00FB18DC">
        <w:t xml:space="preserve"> = yield</w:t>
      </w:r>
      <w:r w:rsidRPr="00FB18DC">
        <w:rPr>
          <w:rStyle w:val="AERsubscript"/>
        </w:rPr>
        <w:t>7</w:t>
      </w:r>
      <w:r w:rsidRPr="00FB18DC">
        <w:t xml:space="preserve"> year published + [(spread to swap</w:t>
      </w:r>
      <w:r w:rsidRPr="00FB18DC">
        <w:rPr>
          <w:rStyle w:val="AERsubscript"/>
        </w:rPr>
        <w:t>10</w:t>
      </w:r>
      <w:r w:rsidRPr="00FB18DC">
        <w:t xml:space="preserve"> year published - spread to swap</w:t>
      </w:r>
      <w:r w:rsidRPr="00FB18DC">
        <w:rPr>
          <w:rStyle w:val="AERsubscript"/>
        </w:rPr>
        <w:t>7</w:t>
      </w:r>
      <w:r w:rsidRPr="00FB18DC">
        <w:t xml:space="preserve"> year published)/(effective term</w:t>
      </w:r>
      <w:r w:rsidRPr="00FB18DC">
        <w:rPr>
          <w:rStyle w:val="AERsubscript"/>
        </w:rPr>
        <w:t>10</w:t>
      </w:r>
      <w:r w:rsidRPr="00FB18DC">
        <w:t xml:space="preserve"> year published  - effective term</w:t>
      </w:r>
      <w:r w:rsidRPr="00FB18DC">
        <w:rPr>
          <w:rStyle w:val="AERsubscript"/>
        </w:rPr>
        <w:t>7</w:t>
      </w:r>
      <w:r w:rsidRPr="00FB18DC">
        <w:t xml:space="preserve"> year published)] * (7 - effective term</w:t>
      </w:r>
      <w:r w:rsidRPr="00FB18DC">
        <w:rPr>
          <w:rStyle w:val="AERsubscript"/>
        </w:rPr>
        <w:t>7</w:t>
      </w:r>
      <w:r w:rsidRPr="00FB18DC">
        <w:t xml:space="preserve"> year published).</w:t>
      </w:r>
    </w:p>
    <w:p w:rsidR="006B6C4C" w:rsidRPr="00FB18DC" w:rsidRDefault="006B6C4C" w:rsidP="006B6C4C">
      <w:pPr>
        <w:numPr>
          <w:ilvl w:val="1"/>
          <w:numId w:val="24"/>
        </w:numPr>
      </w:pPr>
      <w:r w:rsidRPr="00FB18DC">
        <w:t>Subtract from the extrapolated 10 year RBA yield on each publication date the interpolated CGS yield on that date. For the 10 year term, use the RBA series as adjusted in step 5. These are the adjusted RBA 10 year spreads.</w:t>
      </w:r>
      <w:r w:rsidRPr="00FB18DC">
        <w:rPr>
          <w:rStyle w:val="AERsuperscript"/>
        </w:rPr>
        <w:footnoteReference w:id="1367"/>
      </w:r>
    </w:p>
    <w:p w:rsidR="006B6C4C" w:rsidRPr="00FB18DC" w:rsidRDefault="006B6C4C" w:rsidP="006B6C4C">
      <w:pPr>
        <w:numPr>
          <w:ilvl w:val="1"/>
          <w:numId w:val="24"/>
        </w:numPr>
      </w:pPr>
      <w:r w:rsidRPr="00FB18DC">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6B6C4C" w:rsidRPr="00FB18DC" w:rsidRDefault="006B6C4C" w:rsidP="006B6C4C">
      <w:pPr>
        <w:pStyle w:val="AERquote"/>
      </w:pPr>
      <w:r w:rsidRPr="00FB18DC">
        <w:t xml:space="preserve">spread </w:t>
      </w:r>
      <w:r w:rsidRPr="004842DA">
        <w:rPr>
          <w:rStyle w:val="AERsubscript"/>
        </w:rPr>
        <w:t>interpolated</w:t>
      </w:r>
      <w:r w:rsidRPr="00FB18DC">
        <w:t xml:space="preserve"> = spread </w:t>
      </w:r>
      <w:r w:rsidRPr="004842DA">
        <w:rPr>
          <w:rStyle w:val="AERsubscript"/>
        </w:rPr>
        <w:t>first straddling publication date</w:t>
      </w:r>
      <w:r w:rsidRPr="00FB18DC">
        <w:t xml:space="preserve"> + (date </w:t>
      </w:r>
      <w:r w:rsidRPr="004842DA">
        <w:rPr>
          <w:rStyle w:val="AERsubscript"/>
        </w:rPr>
        <w:t>interpolation</w:t>
      </w:r>
      <w:r w:rsidRPr="00FB18DC">
        <w:t xml:space="preserve"> - date </w:t>
      </w:r>
      <w:r w:rsidRPr="004842DA">
        <w:rPr>
          <w:rStyle w:val="AERsubscript"/>
        </w:rPr>
        <w:t>first straddling publication date</w:t>
      </w:r>
      <w:r w:rsidRPr="00FB18DC">
        <w:t xml:space="preserve">) * (spread </w:t>
      </w:r>
      <w:r w:rsidRPr="004842DA">
        <w:rPr>
          <w:rStyle w:val="AERsubscript"/>
        </w:rPr>
        <w:t>second straddling publication date</w:t>
      </w:r>
      <w:r w:rsidRPr="00FB18DC">
        <w:t xml:space="preserve"> - spread </w:t>
      </w:r>
      <w:r w:rsidRPr="004842DA">
        <w:rPr>
          <w:rStyle w:val="AERsubscript"/>
        </w:rPr>
        <w:t>first straddling publication date</w:t>
      </w:r>
      <w:r w:rsidRPr="00FB18DC">
        <w:t xml:space="preserve">) / (date </w:t>
      </w:r>
      <w:r w:rsidRPr="004842DA">
        <w:rPr>
          <w:rStyle w:val="AERsubscript"/>
        </w:rPr>
        <w:t>second straddling publication date</w:t>
      </w:r>
      <w:r w:rsidRPr="00FB18DC">
        <w:t xml:space="preserve"> - date </w:t>
      </w:r>
      <w:r w:rsidRPr="004842DA">
        <w:rPr>
          <w:rStyle w:val="AERsubscript"/>
        </w:rPr>
        <w:t>first straddling publication date</w:t>
      </w:r>
      <w:r w:rsidRPr="00FB18DC">
        <w:t>)</w:t>
      </w:r>
    </w:p>
    <w:p w:rsidR="006B6C4C" w:rsidRPr="00FB18DC" w:rsidRDefault="006B6C4C" w:rsidP="006B6C4C">
      <w:pPr>
        <w:pStyle w:val="AERquote"/>
      </w:pPr>
      <w:r w:rsidRPr="00FB18DC">
        <w:t xml:space="preserve">Note: If the annual return on debt estimate must be finalised before a final published RBA month-end estimate is available, hold the last observed RBA spread constant to the end of the averaging period. </w:t>
      </w:r>
    </w:p>
    <w:p w:rsidR="006B6C4C" w:rsidRPr="00FB18DC" w:rsidRDefault="006B6C4C" w:rsidP="006B6C4C">
      <w:pPr>
        <w:numPr>
          <w:ilvl w:val="1"/>
          <w:numId w:val="24"/>
        </w:numPr>
      </w:pPr>
      <w:r w:rsidRPr="00FB18DC">
        <w:t>Add to these daily spreads (from step 8), daily interpolated estimates of the CGS (from step 4) for all business days in the service providers averaging period. Specifically:</w:t>
      </w:r>
    </w:p>
    <w:p w:rsidR="006B6C4C" w:rsidRPr="00FB18DC" w:rsidRDefault="006B6C4C" w:rsidP="006B6C4C">
      <w:pPr>
        <w:numPr>
          <w:ilvl w:val="2"/>
          <w:numId w:val="24"/>
        </w:numPr>
      </w:pPr>
      <w:r w:rsidRPr="00FB18DC">
        <w:t xml:space="preserve"> add the 7 year interpolated CGS estimates to the 7 year interpolated RBA spreads. These are the interpolated RBA daily 7-year yield estimates.</w:t>
      </w:r>
    </w:p>
    <w:p w:rsidR="006B6C4C" w:rsidRPr="00FB18DC" w:rsidRDefault="006B6C4C" w:rsidP="006B6C4C">
      <w:pPr>
        <w:numPr>
          <w:ilvl w:val="2"/>
          <w:numId w:val="24"/>
        </w:numPr>
      </w:pPr>
      <w:r w:rsidRPr="00FB18DC">
        <w:t xml:space="preserve"> add the 10 year interpolated CGS estimate to the 10 year interpolated RBA spread. These are the interpolated RBA daily 10-year yield estimates.</w:t>
      </w:r>
    </w:p>
    <w:p w:rsidR="006B6C4C" w:rsidRPr="00FB18DC" w:rsidRDefault="006B6C4C" w:rsidP="006B6C4C">
      <w:pPr>
        <w:numPr>
          <w:ilvl w:val="1"/>
          <w:numId w:val="24"/>
        </w:numPr>
      </w:pPr>
      <w:r w:rsidRPr="00FB18DC">
        <w:t>Convert the interpolated daily yield estimates (from step 9) to effective annual rates, using the formula:</w:t>
      </w:r>
      <w:r w:rsidRPr="004842DA">
        <w:rPr>
          <w:rStyle w:val="AERsuperscript"/>
        </w:rPr>
        <w:footnoteReference w:id="1368"/>
      </w:r>
    </w:p>
    <w:p w:rsidR="006B6C4C" w:rsidRPr="00FB18DC" w:rsidRDefault="006B6C4C" w:rsidP="006B6C4C">
      <w:pPr>
        <w:pStyle w:val="AERquote"/>
      </w:pPr>
      <w:r w:rsidRPr="00FB18DC">
        <w:t>effective annual rate = ((1 + yield / 200)</w:t>
      </w:r>
      <w:r w:rsidRPr="00FB18DC">
        <w:rPr>
          <w:rStyle w:val="AERsuperscript"/>
        </w:rPr>
        <w:t>2</w:t>
      </w:r>
      <w:r w:rsidRPr="00FB18DC">
        <w:t xml:space="preserve"> - 1)*100</w:t>
      </w:r>
    </w:p>
    <w:p w:rsidR="006B6C4C" w:rsidRPr="00FB18DC" w:rsidRDefault="006B6C4C" w:rsidP="006B6C4C">
      <w:pPr>
        <w:numPr>
          <w:ilvl w:val="1"/>
          <w:numId w:val="24"/>
        </w:numPr>
      </w:pPr>
      <w:r w:rsidRPr="00FB18DC">
        <w:t>Average the yield estimate for the 10 year RBA yield estimate over all business days in the service provider's averaging period. This is our adjusted RBA estimate.</w:t>
      </w:r>
    </w:p>
    <w:p w:rsidR="006B6C4C" w:rsidRPr="00FB18DC" w:rsidRDefault="006B6C4C" w:rsidP="006B6C4C">
      <w:pPr>
        <w:numPr>
          <w:ilvl w:val="0"/>
          <w:numId w:val="24"/>
        </w:numPr>
        <w:rPr>
          <w:rStyle w:val="AERtextitalic"/>
        </w:rPr>
      </w:pPr>
      <w:r w:rsidRPr="00FB18DC">
        <w:rPr>
          <w:rStyle w:val="AERtextitalic"/>
        </w:rPr>
        <w:t>Calculation of the adjusted BVAL estimate</w:t>
      </w:r>
    </w:p>
    <w:p w:rsidR="006B6C4C" w:rsidRPr="00FB18DC" w:rsidRDefault="006B6C4C" w:rsidP="006B6C4C">
      <w:pPr>
        <w:numPr>
          <w:ilvl w:val="1"/>
          <w:numId w:val="24"/>
        </w:numPr>
      </w:pPr>
      <w:r w:rsidRPr="00FB18DC">
        <w:t>For dates after 14 April 2015, download the 10 year Corporate BBB rated Australian BVAL curve (BVC</w:t>
      </w:r>
      <w:r>
        <w:t>S</w:t>
      </w:r>
      <w:r w:rsidRPr="00FB18DC">
        <w:t>AB10). For dates before 14 April 2015, Download from Bloomberg the 7 year Corporate BBB rated Australian BVAL curve (BVCSAB07 index) for all business days in the service provider's averaging period.</w:t>
      </w:r>
      <w:r w:rsidRPr="00FB18DC">
        <w:rPr>
          <w:rStyle w:val="AERsuperscript"/>
        </w:rPr>
        <w:footnoteReference w:id="1369"/>
      </w:r>
    </w:p>
    <w:p w:rsidR="006B6C4C" w:rsidRPr="00FB18DC" w:rsidRDefault="006B6C4C" w:rsidP="006B6C4C">
      <w:pPr>
        <w:numPr>
          <w:ilvl w:val="1"/>
          <w:numId w:val="24"/>
        </w:numPr>
      </w:pPr>
      <w:r w:rsidRPr="00FB18DC">
        <w:t>For dates before 14 April 2015, add to the 7 year yield the difference between the 7 and 10 year daily RBA adjuste</w:t>
      </w:r>
      <w:r>
        <w:t>d yields (as calculated in step 8</w:t>
      </w:r>
      <w:r w:rsidRPr="00FB18DC">
        <w:t xml:space="preserve"> of the RBA process). This is the extrapolated daily estimate of the BVAL 10 year yield.</w:t>
      </w:r>
      <w:r w:rsidRPr="00FB18DC">
        <w:rPr>
          <w:rStyle w:val="AERsuperscript"/>
        </w:rPr>
        <w:footnoteReference w:id="1370"/>
      </w:r>
    </w:p>
    <w:p w:rsidR="006B6C4C" w:rsidRPr="00FB18DC" w:rsidRDefault="006B6C4C" w:rsidP="006B6C4C">
      <w:pPr>
        <w:numPr>
          <w:ilvl w:val="1"/>
          <w:numId w:val="24"/>
        </w:numPr>
      </w:pPr>
      <w:r w:rsidRPr="00FB18DC">
        <w:t xml:space="preserve">For all dates, convert the 10 year yields into effective annual rates, using the formula: </w:t>
      </w:r>
    </w:p>
    <w:p w:rsidR="006B6C4C" w:rsidRPr="00FB18DC" w:rsidRDefault="006B6C4C" w:rsidP="006B6C4C">
      <w:pPr>
        <w:pStyle w:val="AERquote"/>
      </w:pPr>
      <w:r w:rsidRPr="00FB18DC">
        <w:t>effective annual rate = ((1 + yield / 200 )</w:t>
      </w:r>
      <w:r w:rsidRPr="00FB18DC">
        <w:rPr>
          <w:rStyle w:val="AERsuperscript"/>
        </w:rPr>
        <w:t>2</w:t>
      </w:r>
      <w:r w:rsidRPr="00FB18DC">
        <w:t xml:space="preserve"> - 1)*100</w:t>
      </w:r>
    </w:p>
    <w:p w:rsidR="006B6C4C" w:rsidRPr="00FB18DC" w:rsidRDefault="006B6C4C" w:rsidP="006B6C4C">
      <w:pPr>
        <w:numPr>
          <w:ilvl w:val="1"/>
          <w:numId w:val="24"/>
        </w:numPr>
      </w:pPr>
      <w:r w:rsidRPr="00FB18DC">
        <w:t>Average the extrapolated daily estimates of the BVAL 10 year yield over all business days in the service provider's averaging period. This is our adjusted BVAL estimate.</w:t>
      </w:r>
    </w:p>
    <w:p w:rsidR="006B6C4C" w:rsidRPr="00FB18DC" w:rsidRDefault="006B6C4C" w:rsidP="006B6C4C">
      <w:pPr>
        <w:numPr>
          <w:ilvl w:val="0"/>
          <w:numId w:val="24"/>
        </w:numPr>
        <w:rPr>
          <w:rStyle w:val="AERtextitalic"/>
        </w:rPr>
      </w:pPr>
      <w:r w:rsidRPr="00FB18DC">
        <w:rPr>
          <w:rStyle w:val="AERtextitalic"/>
        </w:rPr>
        <w:t>Final estimate</w:t>
      </w:r>
    </w:p>
    <w:p w:rsidR="006B6C4C" w:rsidRPr="00FB18DC" w:rsidRDefault="006B6C4C" w:rsidP="006B6C4C">
      <w:pPr>
        <w:numPr>
          <w:ilvl w:val="0"/>
          <w:numId w:val="24"/>
        </w:numPr>
      </w:pPr>
      <w:r w:rsidRPr="00FB18DC">
        <w:t>Take the simple average of the adjusted RBA estimate (from step 11 in the RBA data section) and the adjusted BVAL estimate (from step 4 in the BVAL data section). This is the annual estimate of the return on debt.</w:t>
      </w:r>
    </w:p>
    <w:p w:rsidR="006B6C4C" w:rsidRPr="00FB18DC" w:rsidRDefault="006B6C4C" w:rsidP="006B6C4C">
      <w:pPr>
        <w:pStyle w:val="Heading9"/>
      </w:pPr>
      <w:bookmarkStart w:id="322" w:name="_Toc433457170"/>
      <w:bookmarkStart w:id="323" w:name="_Toc450916274"/>
      <w:bookmarkStart w:id="324" w:name="_Ref451175985"/>
      <w:bookmarkStart w:id="325" w:name="_Ref451901938"/>
      <w:r w:rsidRPr="00FB18DC">
        <w:t>Choice of data series—Contingencies</w:t>
      </w:r>
      <w:bookmarkEnd w:id="322"/>
      <w:bookmarkEnd w:id="323"/>
      <w:bookmarkEnd w:id="324"/>
      <w:bookmarkEnd w:id="325"/>
    </w:p>
    <w:p w:rsidR="006B6C4C" w:rsidRPr="00FB18DC" w:rsidRDefault="006B6C4C" w:rsidP="006B6C4C">
      <w:r w:rsidRPr="00FB18DC">
        <w:t xml:space="preserve">Our decision is to largely maintain the set of contingencies as set out in our recent decisions. </w:t>
      </w:r>
    </w:p>
    <w:p w:rsidR="006B6C4C" w:rsidRPr="00FB18DC" w:rsidRDefault="006B6C4C" w:rsidP="006B6C4C">
      <w:r w:rsidRPr="00FB18DC">
        <w:t>We have made our decision based on the information and third party data that is currently available</w:t>
      </w:r>
      <w:r>
        <w:t>, subject to consultation and review</w:t>
      </w:r>
      <w:r w:rsidRPr="00FB18DC">
        <w:t>.</w:t>
      </w:r>
      <w:r w:rsidRPr="00FB18DC">
        <w:rPr>
          <w:rStyle w:val="FootnoteReference"/>
        </w:rPr>
        <w:footnoteReference w:id="1371"/>
      </w:r>
      <w:r w:rsidRPr="00FB18DC">
        <w:t xml:space="preserve"> </w:t>
      </w:r>
      <w:r>
        <w:t xml:space="preserve"> For clarity, we do not estimate the allowed return on debt with reference to one particular third party data series (the Reuters curve), which we have had limited opportunity to consult on using or to review.</w:t>
      </w:r>
      <w:r>
        <w:rPr>
          <w:rStyle w:val="FootnoteReference"/>
        </w:rPr>
        <w:footnoteReference w:id="1372"/>
      </w:r>
      <w:r>
        <w:t xml:space="preserve">  </w:t>
      </w:r>
    </w:p>
    <w:p w:rsidR="006B6C4C" w:rsidRPr="00FB18DC" w:rsidRDefault="006B6C4C" w:rsidP="006B6C4C">
      <w:r w:rsidRPr="00FB18DC">
        <w:t>We have set out a series of contingencies</w:t>
      </w:r>
      <w:r>
        <w:t xml:space="preserve">. This is important because </w:t>
      </w:r>
      <w:r w:rsidRPr="00FB18DC">
        <w:t xml:space="preserve">the availability of third party data </w:t>
      </w:r>
      <w:r>
        <w:t xml:space="preserve">can </w:t>
      </w:r>
      <w:r w:rsidRPr="00FB18DC">
        <w:t>change</w:t>
      </w:r>
      <w:r>
        <w:t xml:space="preserve"> and we have determined to</w:t>
      </w:r>
      <w:r w:rsidRPr="00FB18DC">
        <w:t xml:space="preserve"> annually update the trailing average portfolio return on debt. Under the rules, the change in revenue resulting from the annual update must occur by automatic application of a formula that is specified in the decision.</w:t>
      </w:r>
      <w:r w:rsidRPr="00FB18DC">
        <w:rPr>
          <w:rStyle w:val="AERsuperscript"/>
        </w:rPr>
        <w:t xml:space="preserve"> </w:t>
      </w:r>
      <w:r w:rsidRPr="00FB18DC">
        <w:rPr>
          <w:rStyle w:val="AERsuperscript"/>
        </w:rPr>
        <w:footnoteReference w:id="1373"/>
      </w:r>
      <w:r w:rsidRPr="00FB18DC">
        <w:t xml:space="preserve"> This means that our decision on how to apply these third party data sources must be fully specified upfront in the determination, and must be capable of application over the </w:t>
      </w:r>
      <w:r w:rsidR="00FD4991">
        <w:t>access arrangement</w:t>
      </w:r>
      <w:r w:rsidRPr="00FB18DC">
        <w:t xml:space="preserve"> period without the use of subsequent judgement or discretion. For this reason, we have set out a series of contingencies in </w:t>
      </w:r>
      <w:r>
        <w:fldChar w:fldCharType="begin"/>
      </w:r>
      <w:r>
        <w:instrText xml:space="preserve"> REF  _Ref450564000 \* Lower \h </w:instrText>
      </w:r>
      <w:r>
        <w:fldChar w:fldCharType="separate"/>
      </w:r>
      <w:r w:rsidR="001A023B" w:rsidRPr="00FB18DC">
        <w:t xml:space="preserve">table </w:t>
      </w:r>
      <w:r w:rsidR="001A023B">
        <w:rPr>
          <w:noProof/>
        </w:rPr>
        <w:t>3</w:t>
      </w:r>
      <w:r w:rsidR="001A023B">
        <w:noBreakHyphen/>
      </w:r>
      <w:r w:rsidR="001A023B">
        <w:rPr>
          <w:noProof/>
        </w:rPr>
        <w:t>48</w:t>
      </w:r>
      <w:r>
        <w:fldChar w:fldCharType="end"/>
      </w:r>
      <w:r>
        <w:t xml:space="preserve"> </w:t>
      </w:r>
      <w:r w:rsidRPr="00FB18DC">
        <w:t>below. These describe how we propose to estimate the annual return on debt in the event of revisions in the RBA's or Bloomberg's methodologies or other changes to data availability.</w:t>
      </w:r>
    </w:p>
    <w:p w:rsidR="006B6C4C" w:rsidRPr="00FB18DC" w:rsidRDefault="006B6C4C" w:rsidP="006B6C4C">
      <w:pPr>
        <w:pStyle w:val="Caption"/>
      </w:pPr>
      <w:bookmarkStart w:id="326" w:name="_Ref450564000"/>
      <w:r w:rsidRPr="00FB18DC">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48</w:t>
      </w:r>
      <w:r w:rsidR="00120312">
        <w:rPr>
          <w:noProof/>
        </w:rPr>
        <w:fldChar w:fldCharType="end"/>
      </w:r>
      <w:bookmarkEnd w:id="326"/>
      <w:r w:rsidRPr="00FB18DC">
        <w:tab/>
        <w:t>Contingency approaches to choice of data series</w:t>
      </w:r>
    </w:p>
    <w:tbl>
      <w:tblPr>
        <w:tblStyle w:val="AERtable-text0"/>
        <w:tblW w:w="4966" w:type="pct"/>
        <w:tblLook w:val="04A0" w:firstRow="1" w:lastRow="0" w:firstColumn="1" w:lastColumn="0" w:noHBand="0" w:noVBand="1"/>
      </w:tblPr>
      <w:tblGrid>
        <w:gridCol w:w="2523"/>
        <w:gridCol w:w="6111"/>
      </w:tblGrid>
      <w:tr w:rsidR="006B6C4C" w:rsidRPr="00BB7AB1" w:rsidTr="0031325C">
        <w:trPr>
          <w:cnfStyle w:val="100000000000" w:firstRow="1" w:lastRow="0" w:firstColumn="0" w:lastColumn="0" w:oddVBand="0" w:evenVBand="0" w:oddHBand="0" w:evenHBand="0" w:firstRowFirstColumn="0" w:firstRowLastColumn="0" w:lastRowFirstColumn="0" w:lastRowLastColumn="0"/>
          <w:tblHeader/>
        </w:trPr>
        <w:tc>
          <w:tcPr>
            <w:tcW w:w="1461" w:type="pct"/>
          </w:tcPr>
          <w:p w:rsidR="006B6C4C" w:rsidRPr="00FB18DC" w:rsidRDefault="006B6C4C" w:rsidP="006B6C4C">
            <w:pPr>
              <w:numPr>
                <w:ilvl w:val="0"/>
                <w:numId w:val="24"/>
              </w:numPr>
            </w:pPr>
            <w:r w:rsidRPr="00FB18DC">
              <w:t>Event</w:t>
            </w:r>
          </w:p>
        </w:tc>
        <w:tc>
          <w:tcPr>
            <w:tcW w:w="3539" w:type="pct"/>
          </w:tcPr>
          <w:p w:rsidR="006B6C4C" w:rsidRPr="00FB18DC" w:rsidRDefault="006B6C4C" w:rsidP="006B6C4C">
            <w:pPr>
              <w:numPr>
                <w:ilvl w:val="0"/>
                <w:numId w:val="24"/>
              </w:numPr>
            </w:pPr>
            <w:r w:rsidRPr="00FB18DC">
              <w:t>Changes to approach</w:t>
            </w:r>
          </w:p>
        </w:tc>
      </w:tr>
      <w:tr w:rsidR="006B6C4C" w:rsidRPr="00BB7AB1" w:rsidTr="0031325C">
        <w:tc>
          <w:tcPr>
            <w:tcW w:w="1461" w:type="pct"/>
          </w:tcPr>
          <w:p w:rsidR="006B6C4C" w:rsidRPr="00FB18DC" w:rsidRDefault="006B6C4C" w:rsidP="006B6C4C">
            <w:pPr>
              <w:numPr>
                <w:ilvl w:val="0"/>
                <w:numId w:val="24"/>
              </w:numPr>
            </w:pPr>
            <w:r w:rsidRPr="00FB18DC">
              <w:t>Either the RBA or Bloomberg ceases publication of Australian yield curves that reflect a broad BBB rating.</w:t>
            </w:r>
          </w:p>
        </w:tc>
        <w:tc>
          <w:tcPr>
            <w:tcW w:w="3539" w:type="pct"/>
          </w:tcPr>
          <w:p w:rsidR="006B6C4C" w:rsidRPr="00FB18DC" w:rsidRDefault="006B6C4C" w:rsidP="006B6C4C">
            <w:pPr>
              <w:numPr>
                <w:ilvl w:val="0"/>
                <w:numId w:val="24"/>
              </w:numPr>
            </w:pPr>
            <w:r w:rsidRPr="00FB18DC">
              <w:t>We will estimate the annual return on debt using the remaining curve.</w:t>
            </w:r>
          </w:p>
        </w:tc>
      </w:tr>
      <w:tr w:rsidR="006B6C4C" w:rsidRPr="00BB7AB1" w:rsidTr="0031325C">
        <w:trPr>
          <w:cnfStyle w:val="000000010000" w:firstRow="0" w:lastRow="0" w:firstColumn="0" w:lastColumn="0" w:oddVBand="0" w:evenVBand="0" w:oddHBand="0" w:evenHBand="1" w:firstRowFirstColumn="0" w:firstRowLastColumn="0" w:lastRowFirstColumn="0" w:lastRowLastColumn="0"/>
        </w:trPr>
        <w:tc>
          <w:tcPr>
            <w:tcW w:w="1461" w:type="pct"/>
          </w:tcPr>
          <w:p w:rsidR="006B6C4C" w:rsidRPr="00FB18DC" w:rsidRDefault="006B6C4C" w:rsidP="006B6C4C">
            <w:pPr>
              <w:numPr>
                <w:ilvl w:val="0"/>
                <w:numId w:val="24"/>
              </w:numPr>
            </w:pPr>
            <w:r w:rsidRPr="00FB18DC">
              <w:t>A different third party commences publication of a 10 year yield estimate</w:t>
            </w:r>
            <w:r>
              <w:t xml:space="preserve"> (or we are made aware of a different third party publishing a 10 year yield estimate)</w:t>
            </w:r>
            <w:r w:rsidRPr="00FB18DC">
              <w:t>.</w:t>
            </w:r>
            <w:r>
              <w:rPr>
                <w:rStyle w:val="FootnoteReference"/>
              </w:rPr>
              <w:footnoteReference w:id="1374"/>
            </w:r>
          </w:p>
        </w:tc>
        <w:tc>
          <w:tcPr>
            <w:tcW w:w="3539" w:type="pct"/>
          </w:tcPr>
          <w:p w:rsidR="006B6C4C" w:rsidRPr="00FB18DC" w:rsidRDefault="006B6C4C" w:rsidP="00DC200E">
            <w:pPr>
              <w:numPr>
                <w:ilvl w:val="0"/>
                <w:numId w:val="24"/>
              </w:numPr>
            </w:pPr>
            <w:r w:rsidRPr="00FB18DC">
              <w:t>We will not apply estimates from a third party data provider that we have not evaluated and included in our approach</w:t>
            </w:r>
            <w:r w:rsidR="00DC200E">
              <w:t xml:space="preserve"> for this decision</w:t>
            </w:r>
            <w:r w:rsidRPr="00FB18DC">
              <w:t xml:space="preserve">. We will consider any new data sources in future </w:t>
            </w:r>
            <w:r w:rsidR="00DC200E">
              <w:t>decisions</w:t>
            </w:r>
            <w:r w:rsidRPr="00FB18DC">
              <w:t xml:space="preserve">. </w:t>
            </w:r>
          </w:p>
        </w:tc>
      </w:tr>
      <w:tr w:rsidR="006B6C4C" w:rsidRPr="00BB7AB1" w:rsidTr="0031325C">
        <w:tc>
          <w:tcPr>
            <w:tcW w:w="1461" w:type="pct"/>
          </w:tcPr>
          <w:p w:rsidR="006B6C4C" w:rsidRPr="00FB18DC" w:rsidRDefault="006B6C4C" w:rsidP="006B6C4C">
            <w:pPr>
              <w:numPr>
                <w:ilvl w:val="0"/>
                <w:numId w:val="24"/>
              </w:numPr>
            </w:pPr>
            <w:r w:rsidRPr="00FB18DC">
              <w:t>Either Bloomberg or RBA substitutes its current methodology for a revised or updated methodology.</w:t>
            </w:r>
          </w:p>
        </w:tc>
        <w:tc>
          <w:tcPr>
            <w:tcW w:w="3539" w:type="pct"/>
          </w:tcPr>
          <w:p w:rsidR="006B6C4C" w:rsidRPr="00FB18DC" w:rsidRDefault="006B6C4C" w:rsidP="006B6C4C">
            <w:pPr>
              <w:numPr>
                <w:ilvl w:val="0"/>
                <w:numId w:val="24"/>
              </w:numPr>
            </w:pPr>
            <w:r w:rsidRPr="00FB18DC">
              <w:t>We will adopt the revised or updated methodology. Then, at the next</w:t>
            </w:r>
            <w:r w:rsidR="00DC200E">
              <w:t xml:space="preserve"> decision</w:t>
            </w:r>
            <w:r w:rsidRPr="00FB18DC">
              <w:t>, we will review this updated methodology. As noted above, we would also review any new data sources.</w:t>
            </w:r>
          </w:p>
          <w:p w:rsidR="006B6C4C" w:rsidRPr="00FB18DC" w:rsidRDefault="006B6C4C" w:rsidP="006B6C4C">
            <w:pPr>
              <w:numPr>
                <w:ilvl w:val="0"/>
                <w:numId w:val="24"/>
              </w:numPr>
            </w:pPr>
            <w:r w:rsidRPr="00FB18DC">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sidRPr="00FB18DC">
              <w:rPr>
                <w:rStyle w:val="FootnoteReference"/>
              </w:rPr>
              <w:footnoteReference w:id="1375"/>
            </w:r>
          </w:p>
        </w:tc>
      </w:tr>
      <w:tr w:rsidR="006B6C4C" w:rsidRPr="00BB7AB1" w:rsidTr="0031325C">
        <w:trPr>
          <w:cnfStyle w:val="000000010000" w:firstRow="0" w:lastRow="0" w:firstColumn="0" w:lastColumn="0" w:oddVBand="0" w:evenVBand="0" w:oddHBand="0" w:evenHBand="1" w:firstRowFirstColumn="0" w:firstRowLastColumn="0" w:lastRowFirstColumn="0" w:lastRowLastColumn="0"/>
        </w:trPr>
        <w:tc>
          <w:tcPr>
            <w:tcW w:w="1461" w:type="pct"/>
          </w:tcPr>
          <w:p w:rsidR="006B6C4C" w:rsidRPr="00FB18DC" w:rsidRDefault="006B6C4C" w:rsidP="006B6C4C">
            <w:pPr>
              <w:numPr>
                <w:ilvl w:val="0"/>
                <w:numId w:val="24"/>
              </w:numPr>
            </w:pPr>
            <w:r w:rsidRPr="00FB18DC">
              <w:t>Bloomberg reduces the maximum published BVAL term from 10 years</w:t>
            </w:r>
            <w:r>
              <w:t>.</w:t>
            </w:r>
          </w:p>
        </w:tc>
        <w:tc>
          <w:tcPr>
            <w:tcW w:w="3539" w:type="pct"/>
          </w:tcPr>
          <w:p w:rsidR="006B6C4C" w:rsidRPr="00FB18DC" w:rsidRDefault="006B6C4C" w:rsidP="006B6C4C">
            <w:pPr>
              <w:numPr>
                <w:ilvl w:val="0"/>
                <w:numId w:val="24"/>
              </w:numPr>
            </w:pPr>
            <w:r w:rsidRPr="00FB18DC">
              <w:t xml:space="preserve">If Bloomberg still publishes the BVAL curve to 5 or more years, we will extrapolate the BVAL curve from the longest published term using the 5 to 10 year yield margin from the RBA curve. </w:t>
            </w:r>
          </w:p>
          <w:p w:rsidR="006B6C4C" w:rsidRPr="00FB18DC" w:rsidRDefault="006B6C4C" w:rsidP="006B6C4C">
            <w:pPr>
              <w:numPr>
                <w:ilvl w:val="0"/>
                <w:numId w:val="24"/>
              </w:numPr>
            </w:pPr>
            <w:r w:rsidRPr="00FB18DC">
              <w:t>If Bloomberg no longer publishes the BVAL curve to 5 years, we will rely entirely on the RBA curve.</w:t>
            </w:r>
          </w:p>
        </w:tc>
      </w:tr>
      <w:tr w:rsidR="006B6C4C" w:rsidRPr="00BB7AB1" w:rsidTr="0031325C">
        <w:tc>
          <w:tcPr>
            <w:tcW w:w="1461" w:type="pct"/>
          </w:tcPr>
          <w:p w:rsidR="006B6C4C" w:rsidRPr="00FB18DC" w:rsidRDefault="006B6C4C" w:rsidP="006B6C4C">
            <w:pPr>
              <w:numPr>
                <w:ilvl w:val="0"/>
                <w:numId w:val="24"/>
              </w:numPr>
            </w:pPr>
            <w:r w:rsidRPr="00FB18DC">
              <w:t>The RBA ceases publication of a 10 year yield estimate.</w:t>
            </w:r>
            <w:r w:rsidRPr="00FB18DC">
              <w:tab/>
            </w:r>
          </w:p>
        </w:tc>
        <w:tc>
          <w:tcPr>
            <w:tcW w:w="3539" w:type="pct"/>
          </w:tcPr>
          <w:p w:rsidR="006B6C4C" w:rsidRPr="00FB18DC" w:rsidRDefault="006B6C4C" w:rsidP="006B6C4C">
            <w:pPr>
              <w:numPr>
                <w:ilvl w:val="0"/>
                <w:numId w:val="24"/>
              </w:numPr>
            </w:pPr>
            <w:r w:rsidRPr="00FB18DC">
              <w:t>If the RBA ceases publication of a 10 year yield estimate, we will extrapolate the RBA estimate to 10 years using:</w:t>
            </w:r>
          </w:p>
          <w:p w:rsidR="006B6C4C" w:rsidRPr="006B6C4C" w:rsidRDefault="006B6C4C" w:rsidP="006B6C4C">
            <w:pPr>
              <w:pStyle w:val="AERbulletlistfirststyle"/>
            </w:pPr>
            <w:r w:rsidRPr="00FB18DC">
              <w:t>if available, the margin between spreads in the Bloomberg curve,</w:t>
            </w:r>
            <w:r w:rsidRPr="006B6C4C">
              <w:rPr>
                <w:rStyle w:val="FootnoteReference"/>
              </w:rPr>
              <w:footnoteReference w:id="1376"/>
            </w:r>
            <w:r w:rsidRPr="006B6C4C">
              <w:t xml:space="preserve"> from the RBA's longest published target term to 10 years</w:t>
            </w:r>
          </w:p>
          <w:p w:rsidR="006B6C4C" w:rsidRPr="006B6C4C" w:rsidRDefault="006B6C4C" w:rsidP="006B6C4C">
            <w:pPr>
              <w:pStyle w:val="AERbulletlistfirststyle"/>
            </w:pPr>
            <w:r w:rsidRPr="00FB18DC">
              <w:t>otherwise, the actual CGS margin from the RBA's longest published estimate to 10 years, plus the average DRP spread for the same term margin over the last month prior to the end of its publication.</w:t>
            </w:r>
          </w:p>
        </w:tc>
      </w:tr>
      <w:tr w:rsidR="006B6C4C" w:rsidRPr="00BB7AB1" w:rsidTr="0031325C">
        <w:trPr>
          <w:cnfStyle w:val="000000010000" w:firstRow="0" w:lastRow="0" w:firstColumn="0" w:lastColumn="0" w:oddVBand="0" w:evenVBand="0" w:oddHBand="0" w:evenHBand="1" w:firstRowFirstColumn="0" w:firstRowLastColumn="0" w:lastRowFirstColumn="0" w:lastRowLastColumn="0"/>
        </w:trPr>
        <w:tc>
          <w:tcPr>
            <w:tcW w:w="1461" w:type="pct"/>
          </w:tcPr>
          <w:p w:rsidR="006B6C4C" w:rsidRPr="00FB18DC" w:rsidRDefault="006B6C4C" w:rsidP="006B6C4C">
            <w:pPr>
              <w:numPr>
                <w:ilvl w:val="0"/>
                <w:numId w:val="24"/>
              </w:numPr>
            </w:pPr>
            <w:r w:rsidRPr="00FB18DC">
              <w:t>The RBA commences publication of daily estimates.</w:t>
            </w:r>
          </w:p>
        </w:tc>
        <w:tc>
          <w:tcPr>
            <w:tcW w:w="3539" w:type="pct"/>
          </w:tcPr>
          <w:p w:rsidR="006B6C4C" w:rsidRPr="00FB18DC" w:rsidRDefault="006B6C4C" w:rsidP="006B6C4C">
            <w:pPr>
              <w:numPr>
                <w:ilvl w:val="0"/>
                <w:numId w:val="24"/>
              </w:numPr>
            </w:pPr>
            <w:r w:rsidRPr="00FB18DC">
              <w:t>We will cease interpolating the RBA monthly yields. Instead, we will estimate both the RBA yield and the RBA year extrapolation margin (used with the BVAL curve) using these daily estimates.</w:t>
            </w:r>
          </w:p>
        </w:tc>
      </w:tr>
      <w:tr w:rsidR="006B6C4C" w:rsidRPr="00BB7AB1" w:rsidTr="0031325C">
        <w:tc>
          <w:tcPr>
            <w:tcW w:w="1461" w:type="pct"/>
          </w:tcPr>
          <w:p w:rsidR="006B6C4C" w:rsidRPr="00FB18DC" w:rsidRDefault="006B6C4C" w:rsidP="006B6C4C">
            <w:pPr>
              <w:numPr>
                <w:ilvl w:val="0"/>
                <w:numId w:val="24"/>
              </w:numPr>
            </w:pPr>
            <w:r w:rsidRPr="00FB18DC">
              <w:t>Either Bloomberg or the RBA publishes a BBB+ or utilities specific yield curve.</w:t>
            </w:r>
          </w:p>
        </w:tc>
        <w:tc>
          <w:tcPr>
            <w:tcW w:w="3539" w:type="pct"/>
          </w:tcPr>
          <w:p w:rsidR="006B6C4C" w:rsidRPr="00FB18DC" w:rsidRDefault="006B6C4C" w:rsidP="006B6C4C">
            <w:pPr>
              <w:numPr>
                <w:ilvl w:val="0"/>
                <w:numId w:val="24"/>
              </w:numPr>
            </w:pPr>
            <w:r w:rsidRPr="00FB18DC">
              <w:t>We will adopt the BBB+ or utilities curve in place of the provider's existing curve, on the basis that it is a closer fit to our benchmark efficient entity.</w:t>
            </w:r>
          </w:p>
        </w:tc>
      </w:tr>
    </w:tbl>
    <w:p w:rsidR="006B6C4C" w:rsidRPr="00FB18DC" w:rsidRDefault="006B6C4C" w:rsidP="006B6C4C">
      <w:pPr>
        <w:pStyle w:val="AERtablesource"/>
      </w:pPr>
      <w:r w:rsidRPr="00FB18DC">
        <w:t>Source:</w:t>
      </w:r>
      <w:r w:rsidRPr="00FB18DC">
        <w:tab/>
      </w:r>
      <w:r w:rsidRPr="00FB18DC">
        <w:tab/>
        <w:t>AER analysis</w:t>
      </w:r>
    </w:p>
    <w:p w:rsidR="006B6C4C" w:rsidRPr="00FB18DC" w:rsidRDefault="006B6C4C" w:rsidP="006B6C4C">
      <w:r w:rsidRPr="00FB18DC">
        <w:t>In general, we have decided on these contingencies based on a series of guiding principles. These are that the contingency must:</w:t>
      </w:r>
    </w:p>
    <w:p w:rsidR="006B6C4C" w:rsidRPr="006B6C4C" w:rsidRDefault="006B6C4C" w:rsidP="006B6C4C">
      <w:pPr>
        <w:pStyle w:val="AERbulletlistfirststyle"/>
      </w:pPr>
      <w:r w:rsidRPr="00FB18DC">
        <w:t>Be practically implementable—the rules require the automatic application of a formula to update the trailing average portfolio return on debt.</w:t>
      </w:r>
      <w:r w:rsidR="00DC200E" w:rsidRPr="00FB18DC">
        <w:rPr>
          <w:rStyle w:val="FootnoteReference"/>
        </w:rPr>
        <w:footnoteReference w:id="1377"/>
      </w:r>
      <w:r w:rsidRPr="00FB18DC">
        <w:t xml:space="preserve"> As a result, we will be unable to analyse changes to the approaches or new approaches during the </w:t>
      </w:r>
      <w:r w:rsidR="00FD4991">
        <w:t>access arrangement</w:t>
      </w:r>
      <w:r w:rsidR="00FD4991" w:rsidRPr="00FB18DC">
        <w:t xml:space="preserve"> </w:t>
      </w:r>
      <w:r w:rsidRPr="00FB18DC">
        <w:t>period. Therefore, it is important that any contingency be practical and easily implementable.</w:t>
      </w:r>
    </w:p>
    <w:p w:rsidR="006B6C4C" w:rsidRPr="006B6C4C" w:rsidRDefault="006B6C4C" w:rsidP="006B6C4C">
      <w:pPr>
        <w:pStyle w:val="AERbulletlistfirststyle"/>
      </w:pPr>
      <w:r w:rsidRPr="00FB18DC">
        <w:t>Use the curve in a form as close as possible to its published form—for example, in April 2015 Bloomberg commenced publication of a 10 year BVAL curve. Accordingly, for averaging periods where the 10 year estimate is available, we will adopt this estimate rather than the 7 year BVAL curve extrapolated with RBA data.</w:t>
      </w:r>
    </w:p>
    <w:p w:rsidR="006B6C4C" w:rsidRPr="006B6C4C" w:rsidRDefault="006B6C4C" w:rsidP="006B6C4C">
      <w:pPr>
        <w:pStyle w:val="AERbulletlistfirststyle"/>
      </w:pPr>
      <w:r w:rsidRPr="00FB18DC">
        <w:t>Where necessary, rely on the independent expert judg</w:t>
      </w:r>
      <w:r w:rsidR="00DC200E">
        <w:t>ement of the RBA and Bloomberg—i</w:t>
      </w:r>
      <w:r w:rsidRPr="00FB18DC">
        <w:t>n particular, where the RBA or Bloomberg makes changes to its methodology, we would prefer to evaluate these changes before concluding we are satisfied the curve still meets the criteria set out in the Guideline.</w:t>
      </w:r>
      <w:r w:rsidRPr="006B6C4C">
        <w:rPr>
          <w:rStyle w:val="FootnoteReference"/>
        </w:rPr>
        <w:footnoteReference w:id="1378"/>
      </w:r>
      <w:r w:rsidRPr="006B6C4C">
        <w:t xml:space="preserve"> However, this is not possible during the </w:t>
      </w:r>
      <w:r w:rsidR="00FD4991">
        <w:t>access arrangement</w:t>
      </w:r>
      <w:r w:rsidR="00FD4991" w:rsidRPr="00FB18DC">
        <w:t xml:space="preserve"> </w:t>
      </w:r>
      <w:r w:rsidRPr="006B6C4C">
        <w:t>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6B6C4C" w:rsidRPr="00FB18DC" w:rsidRDefault="006B6C4C" w:rsidP="006B6C4C">
      <w:pPr>
        <w:pStyle w:val="Heading9"/>
      </w:pPr>
      <w:bookmarkStart w:id="327" w:name="_Toc433457171"/>
      <w:bookmarkStart w:id="328" w:name="_Toc450916275"/>
      <w:r w:rsidRPr="00FB18DC">
        <w:t>Timing of annual updates</w:t>
      </w:r>
      <w:bookmarkEnd w:id="327"/>
      <w:bookmarkEnd w:id="328"/>
    </w:p>
    <w:p w:rsidR="006B6C4C" w:rsidRPr="00FB18DC" w:rsidRDefault="006B6C4C" w:rsidP="006B6C4C">
      <w:pPr>
        <w:pStyle w:val="ListParagraph"/>
        <w:numPr>
          <w:ilvl w:val="0"/>
          <w:numId w:val="24"/>
        </w:numPr>
      </w:pPr>
      <w:r w:rsidRPr="00FB18DC">
        <w:t>Our decision is that an averaging period should occur within a timeframe of 10 business days to 12 months. This is consistent with the position we proposed in the Guideline.</w:t>
      </w:r>
      <w:r w:rsidRPr="00FB18DC">
        <w:rPr>
          <w:rStyle w:val="FootnoteReference"/>
        </w:rPr>
        <w:footnoteReference w:id="1379"/>
      </w:r>
      <w:r w:rsidRPr="00FB18DC">
        <w:t xml:space="preserve"> We have considered how the process to annually update the return on debt would align with the </w:t>
      </w:r>
      <w:r w:rsidR="00EC5FB3">
        <w:t>annual reference tariff variation process</w:t>
      </w:r>
      <w:r w:rsidRPr="00FB18DC">
        <w:t>.</w:t>
      </w:r>
      <w:r w:rsidRPr="00FB18DC">
        <w:rPr>
          <w:rStyle w:val="FootnoteReference"/>
        </w:rPr>
        <w:footnoteReference w:id="1380"/>
      </w:r>
      <w:r w:rsidRPr="00FB18DC">
        <w:t xml:space="preserve"> The timing of </w:t>
      </w:r>
      <w:r w:rsidR="00EC5FB3">
        <w:t>gas service providers' submission of their reference tariff variation proposals affects how late an averaging period can end and still be implemented in practice.</w:t>
      </w:r>
      <w:r w:rsidRPr="00FB18DC">
        <w:t xml:space="preserve"> </w:t>
      </w:r>
    </w:p>
    <w:p w:rsidR="006B6C4C" w:rsidRPr="00FB18DC" w:rsidRDefault="006B6C4C" w:rsidP="006B6C4C">
      <w:pPr>
        <w:numPr>
          <w:ilvl w:val="0"/>
          <w:numId w:val="24"/>
        </w:numPr>
      </w:pPr>
      <w:r>
        <w:fldChar w:fldCharType="begin"/>
      </w:r>
      <w:r>
        <w:instrText xml:space="preserve"> REF _Ref450564030 \h </w:instrText>
      </w:r>
      <w:r>
        <w:fldChar w:fldCharType="separate"/>
      </w:r>
      <w:r w:rsidR="001A023B">
        <w:t xml:space="preserve">Table </w:t>
      </w:r>
      <w:r w:rsidR="001A023B">
        <w:rPr>
          <w:noProof/>
        </w:rPr>
        <w:t>3</w:t>
      </w:r>
      <w:r w:rsidR="001A023B">
        <w:noBreakHyphen/>
      </w:r>
      <w:r w:rsidR="001A023B">
        <w:rPr>
          <w:noProof/>
        </w:rPr>
        <w:t>49</w:t>
      </w:r>
      <w:r>
        <w:fldChar w:fldCharType="end"/>
      </w:r>
      <w:r>
        <w:t xml:space="preserve"> </w:t>
      </w:r>
      <w:r w:rsidRPr="00FB18DC">
        <w:t xml:space="preserve">outlines the general process we </w:t>
      </w:r>
      <w:r w:rsidR="00DC200E">
        <w:t>have decided</w:t>
      </w:r>
      <w:r w:rsidRPr="00FB18DC">
        <w:t xml:space="preserve"> to adopt for the annual debt update for</w:t>
      </w:r>
      <w:r w:rsidR="00EC5FB3">
        <w:t xml:space="preserve"> gas service providers</w:t>
      </w:r>
      <w:r w:rsidRPr="00FB18DC">
        <w:t xml:space="preserve">. Our assessment of the proposed averaging periods for </w:t>
      </w:r>
      <w:r w:rsidR="00EC5FB3">
        <w:t>gas service providers with current access arrangement proposals has taken this process into account.</w:t>
      </w:r>
      <w:r w:rsidRPr="00FB18DC">
        <w:t xml:space="preserve"> </w:t>
      </w:r>
    </w:p>
    <w:p w:rsidR="006B6C4C" w:rsidRPr="00FB18DC" w:rsidRDefault="006B6C4C" w:rsidP="006B6C4C">
      <w:pPr>
        <w:pStyle w:val="Caption"/>
      </w:pPr>
      <w:bookmarkStart w:id="329" w:name="_Ref450564030"/>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49</w:t>
      </w:r>
      <w:r w:rsidR="00120312">
        <w:rPr>
          <w:noProof/>
        </w:rPr>
        <w:fldChar w:fldCharType="end"/>
      </w:r>
      <w:bookmarkEnd w:id="329"/>
      <w:r w:rsidRPr="00FB18DC">
        <w:tab/>
        <w:t xml:space="preserve">Annual </w:t>
      </w:r>
      <w:r w:rsidR="00EC5FB3">
        <w:t>gas</w:t>
      </w:r>
      <w:r w:rsidRPr="00FB18DC">
        <w:t xml:space="preserve"> debt update process</w:t>
      </w:r>
    </w:p>
    <w:tbl>
      <w:tblPr>
        <w:tblStyle w:val="AERtable-text0"/>
        <w:tblW w:w="0" w:type="auto"/>
        <w:tblLook w:val="04A0" w:firstRow="1" w:lastRow="0" w:firstColumn="1" w:lastColumn="0" w:noHBand="0" w:noVBand="1"/>
      </w:tblPr>
      <w:tblGrid>
        <w:gridCol w:w="650"/>
        <w:gridCol w:w="2152"/>
        <w:gridCol w:w="2693"/>
        <w:gridCol w:w="3198"/>
      </w:tblGrid>
      <w:tr w:rsidR="006B6C4C" w:rsidRPr="00827C64" w:rsidTr="0031325C">
        <w:trPr>
          <w:cnfStyle w:val="100000000000" w:firstRow="1" w:lastRow="0" w:firstColumn="0" w:lastColumn="0" w:oddVBand="0" w:evenVBand="0" w:oddHBand="0" w:evenHBand="0" w:firstRowFirstColumn="0" w:firstRowLastColumn="0" w:lastRowFirstColumn="0" w:lastRowLastColumn="0"/>
          <w:tblHeader/>
        </w:trPr>
        <w:tc>
          <w:tcPr>
            <w:tcW w:w="650" w:type="dxa"/>
          </w:tcPr>
          <w:p w:rsidR="006B6C4C" w:rsidRPr="006B6C4C" w:rsidRDefault="006B6C4C" w:rsidP="007C601A">
            <w:r w:rsidRPr="00FB18DC">
              <w:t>Step</w:t>
            </w:r>
          </w:p>
        </w:tc>
        <w:tc>
          <w:tcPr>
            <w:tcW w:w="2152" w:type="dxa"/>
          </w:tcPr>
          <w:p w:rsidR="006B6C4C" w:rsidRPr="006B6C4C" w:rsidRDefault="006B6C4C" w:rsidP="007C601A">
            <w:r w:rsidRPr="00FB18DC">
              <w:t>Timing</w:t>
            </w:r>
          </w:p>
        </w:tc>
        <w:tc>
          <w:tcPr>
            <w:tcW w:w="2693" w:type="dxa"/>
          </w:tcPr>
          <w:p w:rsidR="006B6C4C" w:rsidRPr="006B6C4C" w:rsidRDefault="006B6C4C" w:rsidP="007C601A">
            <w:r w:rsidRPr="00FB18DC">
              <w:t>Description of step</w:t>
            </w:r>
          </w:p>
        </w:tc>
        <w:tc>
          <w:tcPr>
            <w:tcW w:w="3198" w:type="dxa"/>
          </w:tcPr>
          <w:p w:rsidR="006B6C4C" w:rsidRPr="006B6C4C" w:rsidRDefault="006B6C4C" w:rsidP="007C601A">
            <w:r w:rsidRPr="00FB18DC">
              <w:t>Reasons for timing</w:t>
            </w:r>
          </w:p>
        </w:tc>
      </w:tr>
      <w:tr w:rsidR="006B6C4C" w:rsidRPr="00827C64" w:rsidTr="0031325C">
        <w:tc>
          <w:tcPr>
            <w:tcW w:w="650" w:type="dxa"/>
          </w:tcPr>
          <w:p w:rsidR="006B6C4C" w:rsidRPr="006B6C4C" w:rsidRDefault="006B6C4C" w:rsidP="007C601A">
            <w:r w:rsidRPr="00FB18DC">
              <w:t>1</w:t>
            </w:r>
          </w:p>
        </w:tc>
        <w:tc>
          <w:tcPr>
            <w:tcW w:w="2152" w:type="dxa"/>
          </w:tcPr>
          <w:p w:rsidR="006B6C4C" w:rsidRPr="006B6C4C" w:rsidRDefault="006B6C4C" w:rsidP="007C601A">
            <w:r w:rsidRPr="00FB18DC">
              <w:t xml:space="preserve">25 business days before a </w:t>
            </w:r>
            <w:r w:rsidR="00EC5FB3">
              <w:t>service provider</w:t>
            </w:r>
            <w:r w:rsidRPr="00FB18DC">
              <w:t xml:space="preserve"> submits its </w:t>
            </w:r>
            <w:r w:rsidR="00EC5FB3">
              <w:t>annual reference tariff variation proposal</w:t>
            </w:r>
            <w:r w:rsidRPr="00FB18DC">
              <w:t xml:space="preserve"> to us.</w:t>
            </w:r>
          </w:p>
        </w:tc>
        <w:tc>
          <w:tcPr>
            <w:tcW w:w="2693" w:type="dxa"/>
          </w:tcPr>
          <w:p w:rsidR="006B6C4C" w:rsidRPr="006B6C4C" w:rsidRDefault="006B6C4C" w:rsidP="007C601A">
            <w:r w:rsidRPr="00FB18DC">
              <w:t>Averaging period ends on or before this date.</w:t>
            </w:r>
          </w:p>
        </w:tc>
        <w:tc>
          <w:tcPr>
            <w:tcW w:w="3198" w:type="dxa"/>
          </w:tcPr>
          <w:p w:rsidR="006B6C4C" w:rsidRPr="006B6C4C" w:rsidRDefault="006B6C4C" w:rsidP="007C601A">
            <w:r w:rsidRPr="00FB18DC">
              <w:t>We determine the maximum</w:t>
            </w:r>
            <w:r w:rsidRPr="006B6C4C">
              <w:t xml:space="preserve"> practical end date of the averaging period from the timing of steps 2 and 3.</w:t>
            </w:r>
          </w:p>
        </w:tc>
      </w:tr>
      <w:tr w:rsidR="006B6C4C" w:rsidRPr="00827C64" w:rsidTr="0031325C">
        <w:trPr>
          <w:cnfStyle w:val="000000010000" w:firstRow="0" w:lastRow="0" w:firstColumn="0" w:lastColumn="0" w:oddVBand="0" w:evenVBand="0" w:oddHBand="0" w:evenHBand="1" w:firstRowFirstColumn="0" w:firstRowLastColumn="0" w:lastRowFirstColumn="0" w:lastRowLastColumn="0"/>
        </w:trPr>
        <w:tc>
          <w:tcPr>
            <w:tcW w:w="650" w:type="dxa"/>
          </w:tcPr>
          <w:p w:rsidR="006B6C4C" w:rsidRPr="006B6C4C" w:rsidRDefault="006B6C4C" w:rsidP="007C601A">
            <w:r w:rsidRPr="00FB18DC">
              <w:t>2</w:t>
            </w:r>
          </w:p>
        </w:tc>
        <w:tc>
          <w:tcPr>
            <w:tcW w:w="2152" w:type="dxa"/>
          </w:tcPr>
          <w:p w:rsidR="006B6C4C" w:rsidRPr="006B6C4C" w:rsidRDefault="006B6C4C" w:rsidP="007C601A">
            <w:r w:rsidRPr="00FB18DC">
              <w:t xml:space="preserve">10 business days before a </w:t>
            </w:r>
            <w:r w:rsidR="00EC5FB3">
              <w:t>service provider</w:t>
            </w:r>
            <w:r w:rsidRPr="00FB18DC">
              <w:t xml:space="preserve"> submits its </w:t>
            </w:r>
            <w:r w:rsidR="00DC200E">
              <w:t xml:space="preserve">annual </w:t>
            </w:r>
            <w:r w:rsidR="00EC5FB3">
              <w:t>reference tariff variation proposal</w:t>
            </w:r>
            <w:r w:rsidRPr="00FB18DC">
              <w:t xml:space="preserve"> to us.</w:t>
            </w:r>
          </w:p>
        </w:tc>
        <w:tc>
          <w:tcPr>
            <w:tcW w:w="2693" w:type="dxa"/>
          </w:tcPr>
          <w:p w:rsidR="006B6C4C" w:rsidRPr="006B6C4C" w:rsidRDefault="006B6C4C" w:rsidP="007C601A">
            <w:r w:rsidRPr="00FB18DC">
              <w:t xml:space="preserve">So the </w:t>
            </w:r>
            <w:r w:rsidR="00EC5FB3">
              <w:t>service provider</w:t>
            </w:r>
            <w:r w:rsidRPr="00FB18DC">
              <w:t xml:space="preserve"> can factor this into its </w:t>
            </w:r>
            <w:r w:rsidR="00EC5FB3">
              <w:t xml:space="preserve">annual reference tariff variation </w:t>
            </w:r>
            <w:r w:rsidRPr="00FB18DC">
              <w:t>proposal, we inform it of updates on the return on debt</w:t>
            </w:r>
            <w:r w:rsidR="00EC5FB3">
              <w:t xml:space="preserve"> and </w:t>
            </w:r>
            <w:r w:rsidRPr="00FB18DC">
              <w:t>X factor that incorporates the updated return on debt.</w:t>
            </w:r>
          </w:p>
        </w:tc>
        <w:tc>
          <w:tcPr>
            <w:tcW w:w="3198" w:type="dxa"/>
          </w:tcPr>
          <w:p w:rsidR="006B6C4C" w:rsidRPr="006B6C4C" w:rsidRDefault="006B6C4C" w:rsidP="007C601A">
            <w:r w:rsidRPr="00FB18DC">
              <w:t>15 business days between steps 1 and 2 provides sufficient time for us to calculate (and provide quality assurance checks on the updated return on debt and X factor.</w:t>
            </w:r>
          </w:p>
        </w:tc>
      </w:tr>
      <w:tr w:rsidR="006B6C4C" w:rsidRPr="00827C64" w:rsidTr="0031325C">
        <w:tc>
          <w:tcPr>
            <w:tcW w:w="650" w:type="dxa"/>
          </w:tcPr>
          <w:p w:rsidR="006B6C4C" w:rsidRPr="006B6C4C" w:rsidRDefault="006B6C4C" w:rsidP="007C601A">
            <w:r w:rsidRPr="00FB18DC">
              <w:t>3</w:t>
            </w:r>
          </w:p>
        </w:tc>
        <w:tc>
          <w:tcPr>
            <w:tcW w:w="2152" w:type="dxa"/>
          </w:tcPr>
          <w:p w:rsidR="006B6C4C" w:rsidRPr="006B6C4C" w:rsidRDefault="006B6C4C" w:rsidP="007C601A">
            <w:r w:rsidRPr="00FB18DC">
              <w:t xml:space="preserve">A </w:t>
            </w:r>
            <w:r w:rsidR="00EC5FB3">
              <w:t>service provider</w:t>
            </w:r>
            <w:r w:rsidRPr="00FB18DC">
              <w:t xml:space="preserve"> submits its </w:t>
            </w:r>
            <w:r w:rsidR="00EC5FB3">
              <w:t xml:space="preserve">annual </w:t>
            </w:r>
            <w:r w:rsidR="00DC200E">
              <w:t xml:space="preserve">reference </w:t>
            </w:r>
            <w:r w:rsidR="00EC5FB3">
              <w:t>tariff variation</w:t>
            </w:r>
            <w:r w:rsidRPr="00FB18DC">
              <w:t xml:space="preserve"> proposal to us on the date </w:t>
            </w:r>
            <w:r w:rsidR="00EC5FB3">
              <w:t>in its access arrangement</w:t>
            </w:r>
            <w:r w:rsidRPr="00FB18DC">
              <w:t>.</w:t>
            </w:r>
          </w:p>
        </w:tc>
        <w:tc>
          <w:tcPr>
            <w:tcW w:w="2693" w:type="dxa"/>
          </w:tcPr>
          <w:p w:rsidR="006B6C4C" w:rsidRPr="006B6C4C" w:rsidRDefault="006B6C4C" w:rsidP="007C601A">
            <w:r w:rsidRPr="00FB18DC">
              <w:t xml:space="preserve">The </w:t>
            </w:r>
            <w:r w:rsidR="00EC5FB3">
              <w:t>service provider</w:t>
            </w:r>
            <w:r w:rsidRPr="00FB18DC">
              <w:t xml:space="preserve"> submits its </w:t>
            </w:r>
            <w:r w:rsidR="00EC5FB3">
              <w:t>annual reference tariff variation</w:t>
            </w:r>
            <w:r w:rsidRPr="00FB18DC">
              <w:t xml:space="preserve"> proposal to us for the relevant year.</w:t>
            </w:r>
          </w:p>
        </w:tc>
        <w:tc>
          <w:tcPr>
            <w:tcW w:w="3198" w:type="dxa"/>
          </w:tcPr>
          <w:p w:rsidR="006B6C4C" w:rsidRPr="006B6C4C" w:rsidRDefault="006B6C4C" w:rsidP="007C601A">
            <w:r w:rsidRPr="00FB18DC">
              <w:t xml:space="preserve">10 business days between steps 2 and 3 is based on a service provider's advice regarding the minimum period it would require to factor the updated information into its prices. We are open to individual </w:t>
            </w:r>
            <w:r w:rsidR="00EC5FB3">
              <w:t>service providers</w:t>
            </w:r>
            <w:r w:rsidRPr="00FB18DC">
              <w:t xml:space="preserve"> requiring a longer period (or requesting a shorter period) to accommodate their internal processes.</w:t>
            </w:r>
            <w:r w:rsidRPr="006B6C4C">
              <w:rPr>
                <w:rStyle w:val="FootnoteReference"/>
              </w:rPr>
              <w:footnoteReference w:id="1381"/>
            </w:r>
          </w:p>
        </w:tc>
      </w:tr>
    </w:tbl>
    <w:p w:rsidR="006B6C4C" w:rsidRPr="00FB18DC" w:rsidRDefault="006B6C4C" w:rsidP="006B6C4C">
      <w:pPr>
        <w:pStyle w:val="AERtablesource"/>
      </w:pPr>
      <w:r w:rsidRPr="00FB18DC">
        <w:t xml:space="preserve">Source: </w:t>
      </w:r>
      <w:r w:rsidRPr="00FB18DC">
        <w:tab/>
        <w:t>AER analysis.</w:t>
      </w:r>
    </w:p>
    <w:p w:rsidR="006B6C4C" w:rsidRPr="00FB18DC" w:rsidRDefault="006B6C4C" w:rsidP="006B6C4C">
      <w:r w:rsidRPr="00FB18DC">
        <w:t xml:space="preserve">On the basis of the process outlined in </w:t>
      </w:r>
      <w:r>
        <w:fldChar w:fldCharType="begin"/>
      </w:r>
      <w:r>
        <w:instrText xml:space="preserve"> REF  _Ref450564030 \* Lower \h </w:instrText>
      </w:r>
      <w:r>
        <w:fldChar w:fldCharType="separate"/>
      </w:r>
      <w:r w:rsidR="001A023B">
        <w:t xml:space="preserve">table </w:t>
      </w:r>
      <w:r w:rsidR="001A023B">
        <w:rPr>
          <w:noProof/>
        </w:rPr>
        <w:t>3</w:t>
      </w:r>
      <w:r w:rsidR="001A023B">
        <w:noBreakHyphen/>
      </w:r>
      <w:r w:rsidR="001A023B">
        <w:rPr>
          <w:noProof/>
        </w:rPr>
        <w:t>49</w:t>
      </w:r>
      <w:r>
        <w:fldChar w:fldCharType="end"/>
      </w:r>
      <w:r w:rsidRPr="00FB18DC">
        <w:t>, we consider an averaging period for estimating the return on debt for regulatory year t should fall within the following timeframe:</w:t>
      </w:r>
    </w:p>
    <w:p w:rsidR="006B6C4C" w:rsidRPr="006B6C4C" w:rsidRDefault="006B6C4C" w:rsidP="006B6C4C">
      <w:pPr>
        <w:pStyle w:val="AERbulletlistfirststyle"/>
      </w:pPr>
      <w:r w:rsidRPr="00FB18DC">
        <w:t xml:space="preserve">end no later than 25 business days before a </w:t>
      </w:r>
      <w:r w:rsidR="00EC5FB3">
        <w:t xml:space="preserve">gas service provider </w:t>
      </w:r>
      <w:r w:rsidRPr="00FB18DC">
        <w:t xml:space="preserve">submits its annual </w:t>
      </w:r>
      <w:r w:rsidR="00EC5FB3">
        <w:t>reference tariff variation proposal</w:t>
      </w:r>
      <w:r w:rsidRPr="00FB18DC">
        <w:t xml:space="preserve"> for year t to the AER</w:t>
      </w:r>
    </w:p>
    <w:p w:rsidR="006B6C4C" w:rsidRPr="006B6C4C" w:rsidRDefault="006B6C4C" w:rsidP="006B6C4C">
      <w:pPr>
        <w:pStyle w:val="AERbulletlistfirststyle"/>
      </w:pPr>
      <w:r w:rsidRPr="00FB18DC">
        <w:t xml:space="preserve">commence no earlier than 12 months plus 25 business days before a </w:t>
      </w:r>
      <w:r w:rsidR="00EC5FB3">
        <w:t>gas service provider</w:t>
      </w:r>
      <w:r w:rsidRPr="00FB18DC">
        <w:t xml:space="preserve"> submits its annual </w:t>
      </w:r>
      <w:r w:rsidR="00EC5FB3">
        <w:t>reference tariff variation</w:t>
      </w:r>
      <w:r w:rsidRPr="00FB18DC">
        <w:t xml:space="preserve"> proposal for year t to the AER.</w:t>
      </w:r>
      <w:r w:rsidRPr="006B6C4C">
        <w:rPr>
          <w:rStyle w:val="FootnoteReference"/>
        </w:rPr>
        <w:footnoteReference w:id="1382"/>
      </w:r>
    </w:p>
    <w:p w:rsidR="006B6C4C" w:rsidRPr="00FB18DC" w:rsidRDefault="006B6C4C" w:rsidP="006B6C4C">
      <w:pPr>
        <w:numPr>
          <w:ilvl w:val="0"/>
          <w:numId w:val="24"/>
        </w:numPr>
      </w:pPr>
      <w:r w:rsidRPr="00FB18DC">
        <w:t xml:space="preserve">However, as set out in </w:t>
      </w:r>
      <w:r>
        <w:fldChar w:fldCharType="begin"/>
      </w:r>
      <w:r>
        <w:instrText xml:space="preserve"> REF  _Ref450564030 \* Lower \h </w:instrText>
      </w:r>
      <w:r>
        <w:fldChar w:fldCharType="separate"/>
      </w:r>
      <w:r w:rsidR="001A023B">
        <w:t xml:space="preserve">table </w:t>
      </w:r>
      <w:r w:rsidR="001A023B">
        <w:rPr>
          <w:noProof/>
        </w:rPr>
        <w:t>3</w:t>
      </w:r>
      <w:r w:rsidR="001A023B">
        <w:noBreakHyphen/>
      </w:r>
      <w:r w:rsidR="001A023B">
        <w:rPr>
          <w:noProof/>
        </w:rPr>
        <w:t>49</w:t>
      </w:r>
      <w:r>
        <w:fldChar w:fldCharType="end"/>
      </w:r>
      <w:r w:rsidRPr="00FB18DC">
        <w:t xml:space="preserve">, we are open to individual </w:t>
      </w:r>
      <w:r w:rsidR="00EC5FB3">
        <w:t>service providers</w:t>
      </w:r>
      <w:r w:rsidRPr="00FB18DC">
        <w:t xml:space="preserve"> requiring a longer period (or requesting a shorter period) between steps 2 and 3 to accommodate their internal processes. We note that a longer (or shorter) time period would move back (or forward) the maximum practical end date of the averaging period by the same timeframe. For example, if a service provider requested 15 business days (instead of 10) for its internal processes, then its averaging period would need to end 30 business days (instead of 25) before the date the </w:t>
      </w:r>
      <w:r w:rsidR="00EC5FB3">
        <w:t>service provider</w:t>
      </w:r>
      <w:r w:rsidRPr="00FB18DC">
        <w:t xml:space="preserve"> must submit its annual </w:t>
      </w:r>
      <w:r w:rsidR="00DC200E" w:rsidRPr="00FB18DC">
        <w:t xml:space="preserve">reference tariff variation </w:t>
      </w:r>
      <w:r w:rsidRPr="00FB18DC">
        <w:t>proposal to us.</w:t>
      </w:r>
    </w:p>
    <w:p w:rsidR="006B6C4C" w:rsidRPr="00FB18DC" w:rsidRDefault="006B6C4C" w:rsidP="006B6C4C">
      <w:pPr>
        <w:numPr>
          <w:ilvl w:val="0"/>
          <w:numId w:val="24"/>
        </w:numPr>
      </w:pPr>
      <w:r w:rsidRPr="00FB18DC">
        <w:t xml:space="preserve">The process outlined in </w:t>
      </w:r>
      <w:r>
        <w:fldChar w:fldCharType="begin"/>
      </w:r>
      <w:r>
        <w:instrText xml:space="preserve"> REF  _Ref450564030 \* Lower \h </w:instrText>
      </w:r>
      <w:r>
        <w:fldChar w:fldCharType="separate"/>
      </w:r>
      <w:r w:rsidR="001A023B">
        <w:t xml:space="preserve">table </w:t>
      </w:r>
      <w:r w:rsidR="001A023B">
        <w:rPr>
          <w:noProof/>
        </w:rPr>
        <w:t>3</w:t>
      </w:r>
      <w:r w:rsidR="001A023B">
        <w:noBreakHyphen/>
      </w:r>
      <w:r w:rsidR="001A023B">
        <w:rPr>
          <w:noProof/>
        </w:rPr>
        <w:t>49</w:t>
      </w:r>
      <w:r>
        <w:fldChar w:fldCharType="end"/>
      </w:r>
      <w:r w:rsidRPr="00FB18DC">
        <w:t xml:space="preserve"> does not apply to the first regulatory year </w:t>
      </w:r>
      <w:r w:rsidR="00DC200E">
        <w:t>of an</w:t>
      </w:r>
      <w:r w:rsidRPr="00FB18DC">
        <w:t xml:space="preserve"> </w:t>
      </w:r>
      <w:r w:rsidR="00FD4991">
        <w:t>access arrangement</w:t>
      </w:r>
      <w:r w:rsidR="00FD4991" w:rsidRPr="00FB18DC">
        <w:t xml:space="preserve"> </w:t>
      </w:r>
      <w:r w:rsidRPr="00FB18DC">
        <w:t xml:space="preserve">period. This is because the </w:t>
      </w:r>
      <w:r w:rsidR="00EC5FB3">
        <w:t>final access arrangement</w:t>
      </w:r>
      <w:r w:rsidRPr="00FB18DC">
        <w:t xml:space="preserve"> include</w:t>
      </w:r>
      <w:r>
        <w:t>s</w:t>
      </w:r>
      <w:r w:rsidRPr="00FB18DC">
        <w:t xml:space="preserve"> the X factor for the first year, which already incorporate</w:t>
      </w:r>
      <w:r>
        <w:t>s</w:t>
      </w:r>
      <w:r w:rsidRPr="00FB18DC">
        <w:t xml:space="preserve"> the first year return on debt. Therefore, this process will generally apply to the subsequent years of a</w:t>
      </w:r>
      <w:r w:rsidR="00EC5FB3">
        <w:t>n access arrangement period</w:t>
      </w:r>
      <w:r w:rsidRPr="00FB18DC">
        <w:t>.</w:t>
      </w:r>
    </w:p>
    <w:p w:rsidR="006B6C4C" w:rsidRPr="00FB18DC" w:rsidRDefault="006B6C4C" w:rsidP="006B6C4C">
      <w:pPr>
        <w:numPr>
          <w:ilvl w:val="0"/>
          <w:numId w:val="24"/>
        </w:numPr>
      </w:pPr>
      <w:r w:rsidRPr="00FB18DC">
        <w:t xml:space="preserve">In </w:t>
      </w:r>
      <w:r>
        <w:fldChar w:fldCharType="begin"/>
      </w:r>
      <w:r>
        <w:instrText xml:space="preserve"> REF  _Ref450564030 \* Lower \h </w:instrText>
      </w:r>
      <w:r>
        <w:fldChar w:fldCharType="separate"/>
      </w:r>
      <w:r w:rsidR="001A023B">
        <w:t xml:space="preserve">table </w:t>
      </w:r>
      <w:r w:rsidR="001A023B">
        <w:rPr>
          <w:noProof/>
        </w:rPr>
        <w:t>3</w:t>
      </w:r>
      <w:r w:rsidR="001A023B">
        <w:noBreakHyphen/>
      </w:r>
      <w:r w:rsidR="001A023B">
        <w:rPr>
          <w:noProof/>
        </w:rPr>
        <w:t>49</w:t>
      </w:r>
      <w:r>
        <w:fldChar w:fldCharType="end"/>
      </w:r>
      <w:r w:rsidRPr="00FB18DC">
        <w:t xml:space="preserve">, we propose calculating the return on debt, annual building block revenue requirement, and X factor in accordance with the formula in the </w:t>
      </w:r>
      <w:r w:rsidR="00EC5FB3">
        <w:t>final access arrangement</w:t>
      </w:r>
      <w:r w:rsidRPr="00FB18DC">
        <w:t xml:space="preserve">. </w:t>
      </w:r>
      <w:r>
        <w:t>Further,</w:t>
      </w:r>
      <w:r w:rsidRPr="00FB18DC">
        <w:t xml:space="preserve"> we propose informing the distributor of our calculations before it submits its annual </w:t>
      </w:r>
      <w:r w:rsidR="00EC5FB3">
        <w:t>reference tariff variation</w:t>
      </w:r>
      <w:r w:rsidRPr="00FB18DC">
        <w:t xml:space="preserve"> proposal. We consider this preferable to the alternative approach, where we would assess updates the </w:t>
      </w:r>
      <w:r w:rsidR="00EC5FB3">
        <w:t>service provider</w:t>
      </w:r>
      <w:r w:rsidRPr="00FB18DC">
        <w:t xml:space="preserve"> calculated itself and submitted with its annual pricing proposal. This alternative approach could significantly complicate the annual </w:t>
      </w:r>
      <w:r w:rsidR="00EC5FB3">
        <w:t>reference tariff variation</w:t>
      </w:r>
      <w:r w:rsidRPr="00FB18DC">
        <w:t xml:space="preserve"> approval process if we identify calculation errors and require the </w:t>
      </w:r>
      <w:r w:rsidR="00EC5FB3">
        <w:t>service provider</w:t>
      </w:r>
      <w:r w:rsidRPr="00FB18DC">
        <w:t xml:space="preserve"> to revise all its proposed prices. On the other hand, our approach focusses the annual </w:t>
      </w:r>
      <w:r w:rsidR="00EC5FB3">
        <w:t>reference tariff variation</w:t>
      </w:r>
      <w:r w:rsidRPr="00FB18DC">
        <w:t xml:space="preserve"> approval process on how the </w:t>
      </w:r>
      <w:r w:rsidR="00EC5FB3">
        <w:t>service provider</w:t>
      </w:r>
      <w:r w:rsidRPr="00FB18DC">
        <w:t xml:space="preserve"> has incorporated the revised X factor into its prices, rather than also </w:t>
      </w:r>
      <w:r w:rsidR="00EC5FB3">
        <w:t>checking the revised X factor has been calculated in accordance with the access arrangement.</w:t>
      </w:r>
    </w:p>
    <w:p w:rsidR="0005327F" w:rsidRDefault="007A68DB" w:rsidP="00BB7AE6">
      <w:r w:rsidRPr="0005327F">
        <w:t xml:space="preserve">The above process factors in the date that the gas service providers are required to submit their annual reference tariff variation proposals to us. For ActewAGL, this date is on or before 15 March each year (or the next closest business day) prior to the relevant financial year in which the proposed reference tariffs are to apply. </w:t>
      </w:r>
    </w:p>
    <w:p w:rsidR="0031325C" w:rsidRPr="0005327F" w:rsidRDefault="00FA7552">
      <w:pPr>
        <w:pStyle w:val="Heading7"/>
      </w:pPr>
      <w:bookmarkStart w:id="330" w:name="_Toc451945526"/>
      <w:r w:rsidRPr="0005327F">
        <w:t>Equity and debt raising costs</w:t>
      </w:r>
      <w:bookmarkEnd w:id="330"/>
    </w:p>
    <w:p w:rsidR="00FA7552" w:rsidRPr="00AA2065" w:rsidRDefault="00FA7552" w:rsidP="00FA7552">
      <w:r>
        <w:t>I</w:t>
      </w:r>
      <w:r w:rsidRPr="0074017B">
        <w:t>n addition to compensating for the required rate of return on debt and equity, we provide an allowance for the transaction costs associated with raising debt and equity.</w:t>
      </w:r>
      <w:r>
        <w:t xml:space="preserve">  W</w:t>
      </w:r>
      <w:r w:rsidRPr="00AA2065">
        <w:t xml:space="preserve">e include debt raising costs in the opex forecast because these are regular and ongoing costs which are likely to be incurred each time service providers refinance their debt. </w:t>
      </w:r>
      <w:r>
        <w:t>On the other hand, w</w:t>
      </w:r>
      <w:r w:rsidRPr="00AA2065">
        <w:t>e include equity raising costs in the capex forecast because these costs are only incurred once and would be associated with funding the particular capital investments</w:t>
      </w:r>
      <w:r>
        <w:t>.</w:t>
      </w:r>
    </w:p>
    <w:p w:rsidR="00FA7552" w:rsidRPr="001A2C20" w:rsidRDefault="00FA7552" w:rsidP="00FA7552">
      <w:r w:rsidRPr="00AA2065">
        <w:t xml:space="preserve">Our </w:t>
      </w:r>
      <w:r>
        <w:t xml:space="preserve">final </w:t>
      </w:r>
      <w:r w:rsidRPr="00AA2065">
        <w:t>decision forecast</w:t>
      </w:r>
      <w:r>
        <w:t>s</w:t>
      </w:r>
      <w:r w:rsidRPr="00AA2065">
        <w:t xml:space="preserve"> for debt </w:t>
      </w:r>
      <w:r>
        <w:t xml:space="preserve">and equity raising costs are included in </w:t>
      </w:r>
      <w:r w:rsidRPr="00AA2065">
        <w:t>the opex</w:t>
      </w:r>
      <w:r>
        <w:t xml:space="preserve"> and capex attachments, respectively. </w:t>
      </w:r>
      <w:r w:rsidRPr="00AA2065">
        <w:t>In this appendix, we set out our assessment approach and the reasons for th</w:t>
      </w:r>
      <w:r>
        <w:t>o</w:t>
      </w:r>
      <w:r w:rsidRPr="00AA2065">
        <w:t>se forecasts.</w:t>
      </w:r>
    </w:p>
    <w:p w:rsidR="00FA7552" w:rsidRDefault="00FA7552" w:rsidP="00B465AF">
      <w:pPr>
        <w:pStyle w:val="Heading8"/>
        <w:numPr>
          <w:ilvl w:val="1"/>
          <w:numId w:val="31"/>
        </w:numPr>
      </w:pPr>
      <w:bookmarkStart w:id="331" w:name="_Toc451945527"/>
      <w:r>
        <w:t>Equity raising costs</w:t>
      </w:r>
      <w:bookmarkEnd w:id="331"/>
      <w:r>
        <w:t xml:space="preserve"> </w:t>
      </w:r>
    </w:p>
    <w:p w:rsidR="00FA7552" w:rsidRDefault="00FA7552" w:rsidP="00FA7552">
      <w:r>
        <w:t>We determine zero equity raising costs for the 2015–21 period. ActewAGL adopted our approach and submitted it will not incur equity raising costs over the 2015–21 period.</w:t>
      </w:r>
      <w:r>
        <w:rPr>
          <w:rStyle w:val="FootnoteReference"/>
        </w:rPr>
        <w:footnoteReference w:id="1383"/>
      </w:r>
      <w:r>
        <w:t xml:space="preserve"> Therefore, we accept its proposal.</w:t>
      </w:r>
    </w:p>
    <w:p w:rsidR="00FA7552" w:rsidRPr="00C024A8" w:rsidRDefault="00FA7552" w:rsidP="00FA7552">
      <w:r w:rsidRPr="00C24E0F">
        <w:t xml:space="preserve">Equity raising costs are transaction costs incurred when </w:t>
      </w:r>
      <w:r>
        <w:t xml:space="preserve">a </w:t>
      </w:r>
      <w:r w:rsidRPr="00C24E0F">
        <w:t>service provider raise</w:t>
      </w:r>
      <w:r>
        <w:t>s</w:t>
      </w:r>
      <w:r w:rsidRPr="00C24E0F">
        <w:t xml:space="preserve"> new equity from outside </w:t>
      </w:r>
      <w:r>
        <w:t>its</w:t>
      </w:r>
      <w:r w:rsidRPr="00C24E0F">
        <w:t xml:space="preserve"> business. </w:t>
      </w:r>
      <w:r>
        <w:t>We use a benchmark approach to determine these costs and this approach allows</w:t>
      </w:r>
      <w:r w:rsidRPr="00C24E0F">
        <w:t xml:space="preserve"> the costs of </w:t>
      </w:r>
      <w:r>
        <w:t>two means by which a service provider could raise equity from outside its business—</w:t>
      </w:r>
      <w:r w:rsidRPr="00C24E0F">
        <w:t xml:space="preserve">dividend reinvestment plans and seasoned equity offerings. </w:t>
      </w:r>
      <w:r w:rsidRPr="00C024A8">
        <w:t>Equity raising costs are an unavoidable aspect of raising equity that a prudent service provider acting efficiently</w:t>
      </w:r>
      <w:r w:rsidRPr="00C024A8" w:rsidDel="009A34A7">
        <w:t xml:space="preserve"> </w:t>
      </w:r>
      <w:r>
        <w:t>would incur</w:t>
      </w:r>
      <w:r w:rsidRPr="00C024A8">
        <w:t xml:space="preserve">. Accordingly, we </w:t>
      </w:r>
      <w:r>
        <w:t>provide an allowance to recover</w:t>
      </w:r>
      <w:r w:rsidRPr="00C024A8">
        <w:t xml:space="preserve"> an efficient amount of </w:t>
      </w:r>
      <w:r>
        <w:t>equity raising</w:t>
      </w:r>
      <w:r w:rsidRPr="00C024A8">
        <w:t xml:space="preserve"> costs. This is where a service provider's capex forecast is large enough to require an external equity injection to maintain the benchmark gearing of 60 per cent.</w:t>
      </w:r>
    </w:p>
    <w:p w:rsidR="00FA7552" w:rsidRDefault="00FA7552" w:rsidP="00FA7552">
      <w:r>
        <w:t xml:space="preserve">While </w:t>
      </w:r>
      <w:r w:rsidRPr="00C024A8">
        <w:t xml:space="preserve">the </w:t>
      </w:r>
      <w:r>
        <w:t>rate of return g</w:t>
      </w:r>
      <w:r w:rsidRPr="00C024A8">
        <w:t>uideline does not set out an approach for estimating these costs</w:t>
      </w:r>
      <w:r>
        <w:t>,</w:t>
      </w:r>
      <w:r w:rsidRPr="00C024A8">
        <w:t xml:space="preserve"> </w:t>
      </w:r>
      <w:r>
        <w:t>w</w:t>
      </w:r>
      <w:r w:rsidRPr="00C024A8">
        <w:t>e appl</w:t>
      </w:r>
      <w:r>
        <w:t>y</w:t>
      </w:r>
      <w:r w:rsidRPr="00C024A8">
        <w:t xml:space="preserve"> an established method for estimating equity raising costs. We initially based our method for determining benchmark equity raising costs on </w:t>
      </w:r>
      <w:r>
        <w:t>the</w:t>
      </w:r>
      <w:r w:rsidRPr="00C024A8">
        <w:t xml:space="preserve"> 2007 advice from Allen Consulting Group (ACG).</w:t>
      </w:r>
      <w:r w:rsidRPr="00C024A8">
        <w:rPr>
          <w:rStyle w:val="FootnoteReference"/>
        </w:rPr>
        <w:footnoteReference w:id="1384"/>
      </w:r>
      <w:r w:rsidRPr="00C024A8">
        <w:t xml:space="preserve"> We amended this method in our </w:t>
      </w:r>
      <w:r>
        <w:t xml:space="preserve">2009 </w:t>
      </w:r>
      <w:r w:rsidRPr="00C024A8">
        <w:t>decisions for the ACT, NSW and Tasmanian electricity service providers.</w:t>
      </w:r>
      <w:r w:rsidRPr="00C024A8">
        <w:rPr>
          <w:rStyle w:val="FootnoteReference"/>
        </w:rPr>
        <w:footnoteReference w:id="1385"/>
      </w:r>
      <w:r w:rsidRPr="00C024A8">
        <w:t xml:space="preserve"> </w:t>
      </w:r>
      <w:r>
        <w:t xml:space="preserve">We </w:t>
      </w:r>
      <w:r w:rsidRPr="00C024A8">
        <w:t>further refined</w:t>
      </w:r>
      <w:r>
        <w:t xml:space="preserve"> this approach</w:t>
      </w:r>
      <w:r w:rsidRPr="00C024A8">
        <w:t xml:space="preserve">, as discussed and applied in the </w:t>
      </w:r>
      <w:r>
        <w:t xml:space="preserve">2012 </w:t>
      </w:r>
      <w:r w:rsidRPr="00C024A8">
        <w:t>Powerlink decision.</w:t>
      </w:r>
      <w:r w:rsidRPr="00C024A8">
        <w:rPr>
          <w:rStyle w:val="FootnoteReference"/>
        </w:rPr>
        <w:footnoteReference w:id="1386"/>
      </w:r>
    </w:p>
    <w:p w:rsidR="00FA7552" w:rsidRDefault="00FA7552" w:rsidP="00FA7552">
      <w:pPr>
        <w:pStyle w:val="Heading8"/>
      </w:pPr>
      <w:bookmarkStart w:id="332" w:name="_Toc451945528"/>
      <w:r>
        <w:t>Debt raising costs</w:t>
      </w:r>
      <w:bookmarkEnd w:id="332"/>
      <w:r>
        <w:t xml:space="preserve"> </w:t>
      </w:r>
    </w:p>
    <w:p w:rsidR="00FA7552" w:rsidRPr="00F83415" w:rsidRDefault="00FA7552" w:rsidP="00FA7552">
      <w:pPr>
        <w:numPr>
          <w:ilvl w:val="0"/>
          <w:numId w:val="24"/>
        </w:numPr>
      </w:pPr>
      <w:r w:rsidRPr="00C43648">
        <w:t xml:space="preserve">Debt raising costs are transaction costs incurred each time debt is raised or refinanced. These costs may include arrangement fees, legal fees, company credit rating fees and other transaction costs. Debt raising costs are an unavoidable aspect of raising debt that would be incurred by a prudent service provider, and data exists such that we can estimate these costs. Accordingly, we provide an allowance to recover an efficient amount of </w:t>
      </w:r>
      <w:r>
        <w:t>debt raising</w:t>
      </w:r>
      <w:r w:rsidRPr="00C43648">
        <w:t xml:space="preserve"> costs.</w:t>
      </w:r>
    </w:p>
    <w:p w:rsidR="00FA7552" w:rsidRDefault="00FA7552" w:rsidP="00FA7552">
      <w:pPr>
        <w:pStyle w:val="Heading9"/>
      </w:pPr>
      <w:r>
        <w:t xml:space="preserve"> Final decision </w:t>
      </w:r>
    </w:p>
    <w:p w:rsidR="00FA7552" w:rsidRDefault="00FA7552" w:rsidP="00FA7552">
      <w:r w:rsidRPr="00C43648">
        <w:t xml:space="preserve">We </w:t>
      </w:r>
      <w:r>
        <w:t>accept ActewAGL's proposed approach to forecast debt raising costs. However, we have updated the estimates to reflect the RAB and rate of return in this decision, which are inputs for calculating debt raising costs. We determine</w:t>
      </w:r>
      <w:r w:rsidRPr="00C43648">
        <w:t xml:space="preserve"> debt raising costs of $</w:t>
      </w:r>
      <w:r w:rsidRPr="002E26B5">
        <w:t>1.2</w:t>
      </w:r>
      <w:r>
        <w:t xml:space="preserve"> million ($ 2014–15) over the 2015</w:t>
      </w:r>
      <w:r w:rsidRPr="00413171">
        <w:t>–</w:t>
      </w:r>
      <w:r>
        <w:t>21</w:t>
      </w:r>
      <w:r w:rsidRPr="00C43648">
        <w:t xml:space="preserve"> period, as set out in</w:t>
      </w:r>
      <w:r>
        <w:t xml:space="preserve"> </w:t>
      </w:r>
      <w:r>
        <w:fldChar w:fldCharType="begin"/>
      </w:r>
      <w:r>
        <w:instrText xml:space="preserve"> REF _Ref451257435 \h </w:instrText>
      </w:r>
      <w:r>
        <w:fldChar w:fldCharType="separate"/>
      </w:r>
      <w:r w:rsidR="001A023B">
        <w:t xml:space="preserve">Table </w:t>
      </w:r>
      <w:r w:rsidR="001A023B">
        <w:rPr>
          <w:noProof/>
        </w:rPr>
        <w:t>3</w:t>
      </w:r>
      <w:r w:rsidR="001A023B">
        <w:noBreakHyphen/>
      </w:r>
      <w:r w:rsidR="001A023B">
        <w:rPr>
          <w:noProof/>
        </w:rPr>
        <w:t>50</w:t>
      </w:r>
      <w:r>
        <w:fldChar w:fldCharType="end"/>
      </w:r>
      <w:r>
        <w:t xml:space="preserve">. </w:t>
      </w:r>
      <w:r w:rsidRPr="00C43648">
        <w:t xml:space="preserve">We are satisfied this estimate contributes towards a total opex forecast that </w:t>
      </w:r>
      <w:r w:rsidRPr="0006745C">
        <w:t>would be incurred by</w:t>
      </w:r>
      <w:r>
        <w:t xml:space="preserve"> </w:t>
      </w:r>
      <w:r w:rsidRPr="0006745C">
        <w:t>a prudent service provider acting efficiently, in accordance with accepted good industry practice, to achieve the lowest sustainable cost of delivering pipeline services</w:t>
      </w:r>
      <w:r w:rsidRPr="00C43648">
        <w:t>.</w:t>
      </w:r>
      <w:r>
        <w:rPr>
          <w:rStyle w:val="FootnoteReference"/>
        </w:rPr>
        <w:footnoteReference w:id="1387"/>
      </w:r>
    </w:p>
    <w:p w:rsidR="00FA7552" w:rsidRDefault="00FA7552" w:rsidP="00FA7552">
      <w:r>
        <w:t>ActewAGL adopted our debt raising costs approach set out in the preliminary decision but it rejected our rate of return as well as some aspects of our capex, which affects the RAB.</w:t>
      </w:r>
      <w:r>
        <w:rPr>
          <w:rStyle w:val="FootnoteReference"/>
        </w:rPr>
        <w:footnoteReference w:id="1388"/>
      </w:r>
      <w:r>
        <w:t xml:space="preserve"> </w:t>
      </w:r>
    </w:p>
    <w:p w:rsidR="00FA7552" w:rsidRDefault="00FA7552" w:rsidP="00FA7552">
      <w:r w:rsidRPr="003A2229">
        <w:t xml:space="preserve">Our decision on the unit costs and components of </w:t>
      </w:r>
      <w:r>
        <w:t>ActewAGL</w:t>
      </w:r>
      <w:r w:rsidRPr="003A2229">
        <w:t>'s benchmark rate of debt raising transaction costs is set out in</w:t>
      </w:r>
      <w:r>
        <w:t xml:space="preserve"> </w:t>
      </w:r>
      <w:r>
        <w:fldChar w:fldCharType="begin"/>
      </w:r>
      <w:r>
        <w:instrText xml:space="preserve"> REF _Ref451257445 \h </w:instrText>
      </w:r>
      <w:r>
        <w:fldChar w:fldCharType="separate"/>
      </w:r>
      <w:r w:rsidR="001A023B">
        <w:t xml:space="preserve">Table </w:t>
      </w:r>
      <w:r w:rsidR="001A023B">
        <w:rPr>
          <w:noProof/>
        </w:rPr>
        <w:t>3</w:t>
      </w:r>
      <w:r w:rsidR="001A023B">
        <w:noBreakHyphen/>
      </w:r>
      <w:r w:rsidR="001A023B">
        <w:rPr>
          <w:noProof/>
        </w:rPr>
        <w:t>51</w:t>
      </w:r>
      <w:r>
        <w:fldChar w:fldCharType="end"/>
      </w:r>
      <w:r>
        <w:t>.</w:t>
      </w:r>
    </w:p>
    <w:p w:rsidR="00FA7552" w:rsidRPr="00413171" w:rsidRDefault="00FA7552" w:rsidP="00FA7552">
      <w:pPr>
        <w:pStyle w:val="Caption"/>
      </w:pPr>
      <w:bookmarkStart w:id="333" w:name="_Ref451257435"/>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50</w:t>
      </w:r>
      <w:r w:rsidR="00120312">
        <w:rPr>
          <w:noProof/>
        </w:rPr>
        <w:fldChar w:fldCharType="end"/>
      </w:r>
      <w:bookmarkEnd w:id="333"/>
      <w:r>
        <w:tab/>
      </w:r>
      <w:r w:rsidRPr="00413171">
        <w:t xml:space="preserve">AER's </w:t>
      </w:r>
      <w:r>
        <w:t>final</w:t>
      </w:r>
      <w:r w:rsidRPr="00413171">
        <w:t xml:space="preserve"> decision on debt raising costs (million, $ </w:t>
      </w:r>
      <w:r>
        <w:t>2014–15</w:t>
      </w:r>
      <w:r w:rsidRPr="00413171">
        <w:t>)</w:t>
      </w:r>
    </w:p>
    <w:tbl>
      <w:tblPr>
        <w:tblStyle w:val="AERtable-text0"/>
        <w:tblW w:w="5000" w:type="pct"/>
        <w:tblLook w:val="04A0" w:firstRow="1" w:lastRow="0" w:firstColumn="1" w:lastColumn="0" w:noHBand="0" w:noVBand="1"/>
      </w:tblPr>
      <w:tblGrid>
        <w:gridCol w:w="1242"/>
        <w:gridCol w:w="1242"/>
        <w:gridCol w:w="1241"/>
        <w:gridCol w:w="1241"/>
        <w:gridCol w:w="1241"/>
        <w:gridCol w:w="1243"/>
        <w:gridCol w:w="1243"/>
      </w:tblGrid>
      <w:tr w:rsidR="00FA7552" w:rsidRPr="00C43648" w:rsidTr="006D0F55">
        <w:trPr>
          <w:cnfStyle w:val="100000000000" w:firstRow="1" w:lastRow="0" w:firstColumn="0" w:lastColumn="0" w:oddVBand="0" w:evenVBand="0" w:oddHBand="0" w:evenHBand="0" w:firstRowFirstColumn="0" w:firstRowLastColumn="0" w:lastRowFirstColumn="0" w:lastRowLastColumn="0"/>
        </w:trPr>
        <w:tc>
          <w:tcPr>
            <w:tcW w:w="714" w:type="pct"/>
          </w:tcPr>
          <w:p w:rsidR="00FA7552" w:rsidRPr="00FA7552" w:rsidRDefault="00FA7552" w:rsidP="00FA7552">
            <w:r>
              <w:t>2015</w:t>
            </w:r>
            <w:r w:rsidRPr="00FA7552">
              <w:t>-16</w:t>
            </w:r>
          </w:p>
        </w:tc>
        <w:tc>
          <w:tcPr>
            <w:tcW w:w="714" w:type="pct"/>
          </w:tcPr>
          <w:p w:rsidR="00FA7552" w:rsidRPr="00FA7552" w:rsidRDefault="00FA7552" w:rsidP="00FA7552">
            <w:r>
              <w:t>2016</w:t>
            </w:r>
            <w:r w:rsidRPr="00FA7552">
              <w:t>-17</w:t>
            </w:r>
          </w:p>
        </w:tc>
        <w:tc>
          <w:tcPr>
            <w:tcW w:w="714" w:type="pct"/>
          </w:tcPr>
          <w:p w:rsidR="00FA7552" w:rsidRPr="00FA7552" w:rsidRDefault="00FA7552" w:rsidP="00FA7552">
            <w:r>
              <w:t>2017</w:t>
            </w:r>
            <w:r w:rsidRPr="00FA7552">
              <w:t>-18</w:t>
            </w:r>
          </w:p>
        </w:tc>
        <w:tc>
          <w:tcPr>
            <w:tcW w:w="714" w:type="pct"/>
          </w:tcPr>
          <w:p w:rsidR="00FA7552" w:rsidRPr="00FA7552" w:rsidRDefault="00FA7552" w:rsidP="00FA7552">
            <w:r w:rsidRPr="00C43648">
              <w:t>201</w:t>
            </w:r>
            <w:r w:rsidRPr="00FA7552">
              <w:t>8-19</w:t>
            </w:r>
          </w:p>
        </w:tc>
        <w:tc>
          <w:tcPr>
            <w:tcW w:w="714" w:type="pct"/>
          </w:tcPr>
          <w:p w:rsidR="00FA7552" w:rsidRPr="00FA7552" w:rsidRDefault="00FA7552" w:rsidP="00FA7552">
            <w:r w:rsidRPr="00C43648">
              <w:t>201</w:t>
            </w:r>
            <w:r w:rsidRPr="00FA7552">
              <w:t>9-20</w:t>
            </w:r>
          </w:p>
        </w:tc>
        <w:tc>
          <w:tcPr>
            <w:tcW w:w="715" w:type="pct"/>
          </w:tcPr>
          <w:p w:rsidR="00FA7552" w:rsidRPr="00FA7552" w:rsidRDefault="00FA7552" w:rsidP="00FA7552">
            <w:r w:rsidRPr="00C43648">
              <w:t>20</w:t>
            </w:r>
            <w:r w:rsidRPr="00FA7552">
              <w:t>20-21</w:t>
            </w:r>
          </w:p>
        </w:tc>
        <w:tc>
          <w:tcPr>
            <w:tcW w:w="715" w:type="pct"/>
          </w:tcPr>
          <w:p w:rsidR="00FA7552" w:rsidRPr="00FA7552" w:rsidRDefault="00FA7552" w:rsidP="00FA7552">
            <w:r w:rsidRPr="00C43648">
              <w:t>Total</w:t>
            </w:r>
          </w:p>
        </w:tc>
      </w:tr>
      <w:tr w:rsidR="00FA7552" w:rsidRPr="00C43648" w:rsidTr="006D0F55">
        <w:tc>
          <w:tcPr>
            <w:tcW w:w="714" w:type="pct"/>
          </w:tcPr>
          <w:p w:rsidR="00FA7552" w:rsidRPr="00FA7552" w:rsidRDefault="00FA7552" w:rsidP="00FA7552">
            <w:r>
              <w:t>0.2</w:t>
            </w:r>
          </w:p>
        </w:tc>
        <w:tc>
          <w:tcPr>
            <w:tcW w:w="714" w:type="pct"/>
            <w:vAlign w:val="top"/>
          </w:tcPr>
          <w:p w:rsidR="00FA7552" w:rsidRPr="00FA7552" w:rsidRDefault="00FA7552" w:rsidP="00FA7552">
            <w:r>
              <w:t>0.2</w:t>
            </w:r>
          </w:p>
        </w:tc>
        <w:tc>
          <w:tcPr>
            <w:tcW w:w="714" w:type="pct"/>
            <w:vAlign w:val="top"/>
          </w:tcPr>
          <w:p w:rsidR="00FA7552" w:rsidRPr="00FA7552" w:rsidRDefault="00FA7552" w:rsidP="00FA7552">
            <w:r>
              <w:t>0.2</w:t>
            </w:r>
          </w:p>
        </w:tc>
        <w:tc>
          <w:tcPr>
            <w:tcW w:w="714" w:type="pct"/>
            <w:vAlign w:val="top"/>
          </w:tcPr>
          <w:p w:rsidR="00FA7552" w:rsidRPr="00FA7552" w:rsidRDefault="00FA7552" w:rsidP="00FA7552">
            <w:r>
              <w:t>0.2</w:t>
            </w:r>
          </w:p>
        </w:tc>
        <w:tc>
          <w:tcPr>
            <w:tcW w:w="714" w:type="pct"/>
            <w:vAlign w:val="top"/>
          </w:tcPr>
          <w:p w:rsidR="00FA7552" w:rsidRPr="00FA7552" w:rsidRDefault="00FA7552" w:rsidP="00FA7552">
            <w:r>
              <w:t>0.2</w:t>
            </w:r>
          </w:p>
        </w:tc>
        <w:tc>
          <w:tcPr>
            <w:tcW w:w="715" w:type="pct"/>
            <w:vAlign w:val="top"/>
          </w:tcPr>
          <w:p w:rsidR="00FA7552" w:rsidRPr="00FA7552" w:rsidRDefault="00FA7552" w:rsidP="00FA7552">
            <w:r>
              <w:t>0.2</w:t>
            </w:r>
          </w:p>
        </w:tc>
        <w:tc>
          <w:tcPr>
            <w:tcW w:w="715" w:type="pct"/>
          </w:tcPr>
          <w:p w:rsidR="00FA7552" w:rsidRPr="00FA7552" w:rsidRDefault="00FA7552" w:rsidP="00FA7552">
            <w:r>
              <w:t>1.2</w:t>
            </w:r>
          </w:p>
        </w:tc>
      </w:tr>
    </w:tbl>
    <w:p w:rsidR="00FA7552" w:rsidRDefault="00FA7552" w:rsidP="00FA7552">
      <w:pPr>
        <w:pStyle w:val="AERtablesource"/>
      </w:pPr>
      <w:r w:rsidRPr="00C43648">
        <w:t xml:space="preserve">Source: </w:t>
      </w:r>
      <w:r>
        <w:tab/>
      </w:r>
      <w:r w:rsidRPr="00C43648">
        <w:t>AER analysis.</w:t>
      </w:r>
    </w:p>
    <w:p w:rsidR="00FA7552" w:rsidRDefault="00FA7552" w:rsidP="00FA7552">
      <w:pPr>
        <w:pStyle w:val="AERtablesource"/>
      </w:pPr>
      <w:r>
        <w:t xml:space="preserve">Note: </w:t>
      </w:r>
      <w:r>
        <w:tab/>
        <w:t>Columns may not add to total due to rounding for presentation in table.</w:t>
      </w:r>
    </w:p>
    <w:p w:rsidR="00FA7552" w:rsidRPr="00413171" w:rsidRDefault="00FA7552" w:rsidP="00FA7552">
      <w:pPr>
        <w:pStyle w:val="Caption"/>
      </w:pPr>
      <w:bookmarkStart w:id="334" w:name="_Ref451257445"/>
      <w:r>
        <w:t xml:space="preserve">Table </w:t>
      </w:r>
      <w:r w:rsidR="00120312">
        <w:fldChar w:fldCharType="begin"/>
      </w:r>
      <w:r w:rsidR="00120312">
        <w:instrText xml:space="preserve"> STYLEREF 1 \s </w:instrText>
      </w:r>
      <w:r w:rsidR="00120312">
        <w:fldChar w:fldCharType="separate"/>
      </w:r>
      <w:r w:rsidR="001A023B">
        <w:rPr>
          <w:noProof/>
        </w:rPr>
        <w:t>3</w:t>
      </w:r>
      <w:r w:rsidR="00120312">
        <w:rPr>
          <w:noProof/>
        </w:rPr>
        <w:fldChar w:fldCharType="end"/>
      </w:r>
      <w:r w:rsidR="007D2D50">
        <w:noBreakHyphen/>
      </w:r>
      <w:r w:rsidR="00120312">
        <w:fldChar w:fldCharType="begin"/>
      </w:r>
      <w:r w:rsidR="00120312">
        <w:instrText xml:space="preserve"> SEQ Table \* ARABIC \s 1 </w:instrText>
      </w:r>
      <w:r w:rsidR="00120312">
        <w:fldChar w:fldCharType="separate"/>
      </w:r>
      <w:r w:rsidR="001A023B">
        <w:rPr>
          <w:noProof/>
        </w:rPr>
        <w:t>51</w:t>
      </w:r>
      <w:r w:rsidR="00120312">
        <w:rPr>
          <w:noProof/>
        </w:rPr>
        <w:fldChar w:fldCharType="end"/>
      </w:r>
      <w:bookmarkEnd w:id="334"/>
      <w:r w:rsidRPr="00413171">
        <w:tab/>
      </w:r>
      <w:r w:rsidRPr="00413171">
        <w:tab/>
        <w:t>Benchmark debt raising costs (basis points per annum)</w:t>
      </w:r>
    </w:p>
    <w:tbl>
      <w:tblPr>
        <w:tblStyle w:val="AERtable-text0"/>
        <w:tblW w:w="0" w:type="auto"/>
        <w:tblLook w:val="04A0" w:firstRow="1" w:lastRow="0" w:firstColumn="1" w:lastColumn="0" w:noHBand="0" w:noVBand="1"/>
      </w:tblPr>
      <w:tblGrid>
        <w:gridCol w:w="2373"/>
        <w:gridCol w:w="2252"/>
        <w:gridCol w:w="2034"/>
        <w:gridCol w:w="2034"/>
      </w:tblGrid>
      <w:tr w:rsidR="00FA7552" w:rsidRPr="00C43648" w:rsidTr="006D0F55">
        <w:trPr>
          <w:cnfStyle w:val="100000000000" w:firstRow="1" w:lastRow="0" w:firstColumn="0" w:lastColumn="0" w:oddVBand="0" w:evenVBand="0" w:oddHBand="0" w:evenHBand="0" w:firstRowFirstColumn="0" w:firstRowLastColumn="0" w:lastRowFirstColumn="0" w:lastRowLastColumn="0"/>
          <w:tblHeader/>
        </w:trPr>
        <w:tc>
          <w:tcPr>
            <w:tcW w:w="2373" w:type="dxa"/>
          </w:tcPr>
          <w:p w:rsidR="00FA7552" w:rsidRPr="00FA7552" w:rsidRDefault="00FA7552" w:rsidP="00FA7552">
            <w:r w:rsidRPr="00C43648">
              <w:t>Number of bonds</w:t>
            </w:r>
          </w:p>
        </w:tc>
        <w:tc>
          <w:tcPr>
            <w:tcW w:w="2252" w:type="dxa"/>
          </w:tcPr>
          <w:p w:rsidR="00FA7552" w:rsidRPr="00FA7552" w:rsidRDefault="00FA7552" w:rsidP="00FA7552">
            <w:r w:rsidRPr="00C43648">
              <w:t>Value</w:t>
            </w:r>
          </w:p>
        </w:tc>
        <w:tc>
          <w:tcPr>
            <w:tcW w:w="2034" w:type="dxa"/>
            <w:vAlign w:val="top"/>
          </w:tcPr>
          <w:p w:rsidR="00FA7552" w:rsidRPr="00FA7552" w:rsidRDefault="00FA7552" w:rsidP="00FA7552">
            <w:r w:rsidRPr="00C43648">
              <w:t>1 bond issued</w:t>
            </w:r>
          </w:p>
        </w:tc>
        <w:tc>
          <w:tcPr>
            <w:tcW w:w="2034" w:type="dxa"/>
            <w:vAlign w:val="top"/>
          </w:tcPr>
          <w:p w:rsidR="00FA7552" w:rsidRPr="00FA7552" w:rsidRDefault="00FA7552" w:rsidP="00FA7552">
            <w:r>
              <w:t>1</w:t>
            </w:r>
            <w:r w:rsidRPr="00FA7552">
              <w:t xml:space="preserve"> bond issued</w:t>
            </w:r>
          </w:p>
        </w:tc>
      </w:tr>
      <w:tr w:rsidR="00FA7552" w:rsidRPr="00C43648" w:rsidTr="006D0F55">
        <w:tc>
          <w:tcPr>
            <w:tcW w:w="2373" w:type="dxa"/>
          </w:tcPr>
          <w:p w:rsidR="00FA7552" w:rsidRPr="00FA7552" w:rsidRDefault="00FA7552" w:rsidP="00FA7552">
            <w:r w:rsidRPr="00C43648">
              <w:t>Amount raised</w:t>
            </w:r>
          </w:p>
        </w:tc>
        <w:tc>
          <w:tcPr>
            <w:tcW w:w="2252" w:type="dxa"/>
          </w:tcPr>
          <w:p w:rsidR="00FA7552" w:rsidRPr="00C43648" w:rsidRDefault="00FA7552" w:rsidP="00FA7552"/>
        </w:tc>
        <w:tc>
          <w:tcPr>
            <w:tcW w:w="2034" w:type="dxa"/>
            <w:vAlign w:val="top"/>
          </w:tcPr>
          <w:p w:rsidR="00FA7552" w:rsidRPr="00FA7552" w:rsidRDefault="00FA7552" w:rsidP="00FA7552">
            <w:r w:rsidRPr="00C43648">
              <w:t>$250m</w:t>
            </w:r>
          </w:p>
        </w:tc>
        <w:tc>
          <w:tcPr>
            <w:tcW w:w="2034" w:type="dxa"/>
            <w:vAlign w:val="top"/>
          </w:tcPr>
          <w:p w:rsidR="00FA7552" w:rsidRPr="00FA7552" w:rsidRDefault="00FA7552" w:rsidP="00FA7552">
            <w:r w:rsidRPr="00C43648">
              <w:t>$</w:t>
            </w:r>
            <w:r w:rsidRPr="00FA7552">
              <w:t>250m</w:t>
            </w:r>
          </w:p>
        </w:tc>
      </w:tr>
      <w:tr w:rsidR="00FA7552" w:rsidRPr="00C43648" w:rsidTr="006D0F55">
        <w:trPr>
          <w:cnfStyle w:val="000000010000" w:firstRow="0" w:lastRow="0" w:firstColumn="0" w:lastColumn="0" w:oddVBand="0" w:evenVBand="0" w:oddHBand="0" w:evenHBand="1" w:firstRowFirstColumn="0" w:firstRowLastColumn="0" w:lastRowFirstColumn="0" w:lastRowLastColumn="0"/>
        </w:trPr>
        <w:tc>
          <w:tcPr>
            <w:tcW w:w="2373" w:type="dxa"/>
          </w:tcPr>
          <w:p w:rsidR="00FA7552" w:rsidRPr="00FA7552" w:rsidRDefault="00FA7552" w:rsidP="00FA7552">
            <w:r w:rsidRPr="00C43648">
              <w:t>Arrangement fee</w:t>
            </w:r>
          </w:p>
        </w:tc>
        <w:tc>
          <w:tcPr>
            <w:tcW w:w="2252" w:type="dxa"/>
          </w:tcPr>
          <w:p w:rsidR="00FA7552" w:rsidRPr="00C43648" w:rsidRDefault="00FA7552" w:rsidP="00FA7552"/>
        </w:tc>
        <w:tc>
          <w:tcPr>
            <w:tcW w:w="2034" w:type="dxa"/>
            <w:vAlign w:val="top"/>
          </w:tcPr>
          <w:p w:rsidR="00FA7552" w:rsidRPr="00FA7552" w:rsidRDefault="00FA7552" w:rsidP="008D3B92">
            <w:r>
              <w:t>7.1</w:t>
            </w:r>
            <w:r w:rsidR="008D3B92">
              <w:t>1</w:t>
            </w:r>
          </w:p>
        </w:tc>
        <w:tc>
          <w:tcPr>
            <w:tcW w:w="2034" w:type="dxa"/>
            <w:vAlign w:val="top"/>
          </w:tcPr>
          <w:p w:rsidR="00FA7552" w:rsidRPr="00FA7552" w:rsidRDefault="00FA7552" w:rsidP="00FA7552">
            <w:r>
              <w:t>7.1</w:t>
            </w:r>
            <w:r w:rsidRPr="00FA7552">
              <w:t>1</w:t>
            </w:r>
          </w:p>
        </w:tc>
      </w:tr>
      <w:tr w:rsidR="00FA7552" w:rsidRPr="00C43648" w:rsidTr="006D0F55">
        <w:tc>
          <w:tcPr>
            <w:tcW w:w="2373" w:type="dxa"/>
          </w:tcPr>
          <w:p w:rsidR="00FA7552" w:rsidRPr="00FA7552" w:rsidRDefault="00FA7552" w:rsidP="00FA7552">
            <w:r w:rsidRPr="00DA7B4A">
              <w:t xml:space="preserve">Bond </w:t>
            </w:r>
            <w:r w:rsidRPr="00FA7552">
              <w:t>Master Program (per program)</w:t>
            </w:r>
          </w:p>
        </w:tc>
        <w:tc>
          <w:tcPr>
            <w:tcW w:w="2252" w:type="dxa"/>
            <w:vAlign w:val="top"/>
          </w:tcPr>
          <w:p w:rsidR="00FA7552" w:rsidRPr="00FA7552" w:rsidRDefault="00FA7552" w:rsidP="00FA7552">
            <w:r w:rsidRPr="00DA7B4A">
              <w:t>$56,250</w:t>
            </w:r>
          </w:p>
        </w:tc>
        <w:tc>
          <w:tcPr>
            <w:tcW w:w="2034" w:type="dxa"/>
            <w:vAlign w:val="top"/>
          </w:tcPr>
          <w:p w:rsidR="00FA7552" w:rsidRPr="00FA7552" w:rsidRDefault="00FA7552" w:rsidP="00FA7552">
            <w:r w:rsidRPr="00DA7B4A">
              <w:t>0.3</w:t>
            </w:r>
            <w:r w:rsidRPr="00FA7552">
              <w:t>1</w:t>
            </w:r>
          </w:p>
        </w:tc>
        <w:tc>
          <w:tcPr>
            <w:tcW w:w="2034" w:type="dxa"/>
            <w:vAlign w:val="top"/>
          </w:tcPr>
          <w:p w:rsidR="00FA7552" w:rsidRPr="00FA7552" w:rsidRDefault="00FA7552" w:rsidP="00FA7552">
            <w:r w:rsidRPr="00DA7B4A">
              <w:t>0.</w:t>
            </w:r>
            <w:r w:rsidRPr="00FA7552">
              <w:t>31</w:t>
            </w:r>
          </w:p>
        </w:tc>
      </w:tr>
      <w:tr w:rsidR="00FA7552" w:rsidRPr="00C43648" w:rsidTr="006D0F55">
        <w:trPr>
          <w:cnfStyle w:val="000000010000" w:firstRow="0" w:lastRow="0" w:firstColumn="0" w:lastColumn="0" w:oddVBand="0" w:evenVBand="0" w:oddHBand="0" w:evenHBand="1" w:firstRowFirstColumn="0" w:firstRowLastColumn="0" w:lastRowFirstColumn="0" w:lastRowLastColumn="0"/>
        </w:trPr>
        <w:tc>
          <w:tcPr>
            <w:tcW w:w="2373" w:type="dxa"/>
          </w:tcPr>
          <w:p w:rsidR="00FA7552" w:rsidRPr="00FA7552" w:rsidRDefault="00FA7552" w:rsidP="00FA7552">
            <w:r w:rsidRPr="00DA7B4A">
              <w:t>Issuer's legal counsel</w:t>
            </w:r>
          </w:p>
        </w:tc>
        <w:tc>
          <w:tcPr>
            <w:tcW w:w="2252" w:type="dxa"/>
            <w:vAlign w:val="top"/>
          </w:tcPr>
          <w:p w:rsidR="00FA7552" w:rsidRPr="00FA7552" w:rsidRDefault="00FA7552" w:rsidP="00FA7552">
            <w:r w:rsidRPr="00DA7B4A">
              <w:t>$15,265</w:t>
            </w:r>
          </w:p>
        </w:tc>
        <w:tc>
          <w:tcPr>
            <w:tcW w:w="2034" w:type="dxa"/>
            <w:vAlign w:val="top"/>
          </w:tcPr>
          <w:p w:rsidR="00FA7552" w:rsidRPr="00FA7552" w:rsidRDefault="00FA7552" w:rsidP="00FA7552">
            <w:r w:rsidRPr="00DA7B4A">
              <w:t>0.0</w:t>
            </w:r>
            <w:r w:rsidRPr="00FA7552">
              <w:t>8</w:t>
            </w:r>
          </w:p>
        </w:tc>
        <w:tc>
          <w:tcPr>
            <w:tcW w:w="2034" w:type="dxa"/>
            <w:vAlign w:val="top"/>
          </w:tcPr>
          <w:p w:rsidR="00FA7552" w:rsidRPr="00FA7552" w:rsidRDefault="00FA7552" w:rsidP="00FA7552">
            <w:r w:rsidRPr="00DA7B4A">
              <w:t>0.0</w:t>
            </w:r>
            <w:r w:rsidRPr="00FA7552">
              <w:t>8</w:t>
            </w:r>
          </w:p>
        </w:tc>
      </w:tr>
      <w:tr w:rsidR="00FA7552" w:rsidRPr="00C43648" w:rsidTr="006D0F55">
        <w:tc>
          <w:tcPr>
            <w:tcW w:w="2373" w:type="dxa"/>
          </w:tcPr>
          <w:p w:rsidR="00FA7552" w:rsidRPr="00FA7552" w:rsidRDefault="00FA7552" w:rsidP="00FA7552">
            <w:r w:rsidRPr="00DA7B4A">
              <w:t>Company credit rating</w:t>
            </w:r>
          </w:p>
        </w:tc>
        <w:tc>
          <w:tcPr>
            <w:tcW w:w="2252" w:type="dxa"/>
            <w:vAlign w:val="top"/>
          </w:tcPr>
          <w:p w:rsidR="00FA7552" w:rsidRPr="00FA7552" w:rsidRDefault="00FA7552" w:rsidP="00FA7552">
            <w:r w:rsidRPr="00DA7B4A">
              <w:t>$77,500</w:t>
            </w:r>
          </w:p>
        </w:tc>
        <w:tc>
          <w:tcPr>
            <w:tcW w:w="2034" w:type="dxa"/>
            <w:vAlign w:val="top"/>
          </w:tcPr>
          <w:p w:rsidR="00FA7552" w:rsidRPr="00FA7552" w:rsidRDefault="00FA7552" w:rsidP="00FA7552">
            <w:r w:rsidRPr="00DA7B4A">
              <w:t>0.4</w:t>
            </w:r>
            <w:r w:rsidRPr="00FA7552">
              <w:t>2</w:t>
            </w:r>
          </w:p>
        </w:tc>
        <w:tc>
          <w:tcPr>
            <w:tcW w:w="2034" w:type="dxa"/>
            <w:vAlign w:val="top"/>
          </w:tcPr>
          <w:p w:rsidR="00FA7552" w:rsidRPr="00FA7552" w:rsidRDefault="00FA7552" w:rsidP="00FA7552">
            <w:r w:rsidRPr="00DA7B4A">
              <w:t>0.</w:t>
            </w:r>
            <w:r w:rsidRPr="00FA7552">
              <w:t>42</w:t>
            </w:r>
          </w:p>
        </w:tc>
      </w:tr>
      <w:tr w:rsidR="00FA7552" w:rsidRPr="00C43648" w:rsidTr="006D0F55">
        <w:trPr>
          <w:cnfStyle w:val="000000010000" w:firstRow="0" w:lastRow="0" w:firstColumn="0" w:lastColumn="0" w:oddVBand="0" w:evenVBand="0" w:oddHBand="0" w:evenHBand="1" w:firstRowFirstColumn="0" w:firstRowLastColumn="0" w:lastRowFirstColumn="0" w:lastRowLastColumn="0"/>
        </w:trPr>
        <w:tc>
          <w:tcPr>
            <w:tcW w:w="2373" w:type="dxa"/>
          </w:tcPr>
          <w:p w:rsidR="00FA7552" w:rsidRPr="00FA7552" w:rsidRDefault="00FA7552" w:rsidP="00FA7552">
            <w:r w:rsidRPr="00DA7B4A">
              <w:t>Annual surveillance fee</w:t>
            </w:r>
          </w:p>
        </w:tc>
        <w:tc>
          <w:tcPr>
            <w:tcW w:w="2252" w:type="dxa"/>
            <w:vAlign w:val="top"/>
          </w:tcPr>
          <w:p w:rsidR="00FA7552" w:rsidRPr="00FA7552" w:rsidRDefault="00FA7552" w:rsidP="00FA7552">
            <w:r w:rsidRPr="00DA7B4A">
              <w:t>$35,500</w:t>
            </w:r>
          </w:p>
        </w:tc>
        <w:tc>
          <w:tcPr>
            <w:tcW w:w="2034" w:type="dxa"/>
            <w:vAlign w:val="top"/>
          </w:tcPr>
          <w:p w:rsidR="00FA7552" w:rsidRPr="00FA7552" w:rsidRDefault="00FA7552" w:rsidP="00FA7552">
            <w:r w:rsidRPr="00DA7B4A">
              <w:t>0.14</w:t>
            </w:r>
          </w:p>
        </w:tc>
        <w:tc>
          <w:tcPr>
            <w:tcW w:w="2034" w:type="dxa"/>
            <w:vAlign w:val="top"/>
          </w:tcPr>
          <w:p w:rsidR="00FA7552" w:rsidRPr="00FA7552" w:rsidRDefault="00FA7552" w:rsidP="00FA7552">
            <w:r w:rsidRPr="00DA7B4A">
              <w:t>0.</w:t>
            </w:r>
            <w:r w:rsidRPr="00FA7552">
              <w:t>14</w:t>
            </w:r>
          </w:p>
        </w:tc>
      </w:tr>
      <w:tr w:rsidR="00FA7552" w:rsidRPr="00C43648" w:rsidTr="006D0F55">
        <w:tc>
          <w:tcPr>
            <w:tcW w:w="2373" w:type="dxa"/>
          </w:tcPr>
          <w:p w:rsidR="00FA7552" w:rsidRPr="00FA7552" w:rsidRDefault="00FA7552" w:rsidP="00FA7552">
            <w:r w:rsidRPr="00DA7B4A">
              <w:t>Up-front issuance fee</w:t>
            </w:r>
          </w:p>
        </w:tc>
        <w:tc>
          <w:tcPr>
            <w:tcW w:w="2252" w:type="dxa"/>
            <w:vAlign w:val="top"/>
          </w:tcPr>
          <w:p w:rsidR="00FA7552" w:rsidRPr="00FA7552" w:rsidRDefault="00FA7552" w:rsidP="00FA7552">
            <w:r w:rsidRPr="00DA7B4A">
              <w:t>5.20bp</w:t>
            </w:r>
          </w:p>
        </w:tc>
        <w:tc>
          <w:tcPr>
            <w:tcW w:w="2034" w:type="dxa"/>
            <w:vAlign w:val="top"/>
          </w:tcPr>
          <w:p w:rsidR="00FA7552" w:rsidRPr="00FA7552" w:rsidRDefault="00FA7552" w:rsidP="00FA7552">
            <w:r w:rsidRPr="00DA7B4A">
              <w:t>0.</w:t>
            </w:r>
            <w:r w:rsidRPr="00FA7552">
              <w:t>71</w:t>
            </w:r>
          </w:p>
        </w:tc>
        <w:tc>
          <w:tcPr>
            <w:tcW w:w="2034" w:type="dxa"/>
            <w:vAlign w:val="top"/>
          </w:tcPr>
          <w:p w:rsidR="00FA7552" w:rsidRPr="00FA7552" w:rsidRDefault="00FA7552" w:rsidP="00FA7552">
            <w:r w:rsidRPr="00DA7B4A">
              <w:t>0.</w:t>
            </w:r>
            <w:r w:rsidRPr="00FA7552">
              <w:t>71</w:t>
            </w:r>
          </w:p>
        </w:tc>
      </w:tr>
      <w:tr w:rsidR="00FA7552" w:rsidRPr="00C43648" w:rsidTr="006D0F55">
        <w:trPr>
          <w:cnfStyle w:val="000000010000" w:firstRow="0" w:lastRow="0" w:firstColumn="0" w:lastColumn="0" w:oddVBand="0" w:evenVBand="0" w:oddHBand="0" w:evenHBand="1" w:firstRowFirstColumn="0" w:firstRowLastColumn="0" w:lastRowFirstColumn="0" w:lastRowLastColumn="0"/>
        </w:trPr>
        <w:tc>
          <w:tcPr>
            <w:tcW w:w="2373" w:type="dxa"/>
          </w:tcPr>
          <w:p w:rsidR="00FA7552" w:rsidRPr="00FA7552" w:rsidRDefault="00FA7552" w:rsidP="00FA7552">
            <w:r w:rsidRPr="00DA7B4A">
              <w:t>Registration up-front (per program)</w:t>
            </w:r>
          </w:p>
        </w:tc>
        <w:tc>
          <w:tcPr>
            <w:tcW w:w="2252" w:type="dxa"/>
            <w:vAlign w:val="top"/>
          </w:tcPr>
          <w:p w:rsidR="00FA7552" w:rsidRPr="00FA7552" w:rsidRDefault="00FA7552" w:rsidP="00FA7552">
            <w:r w:rsidRPr="00DA7B4A">
              <w:t>$20,850</w:t>
            </w:r>
          </w:p>
        </w:tc>
        <w:tc>
          <w:tcPr>
            <w:tcW w:w="2034" w:type="dxa"/>
            <w:vAlign w:val="top"/>
          </w:tcPr>
          <w:p w:rsidR="00FA7552" w:rsidRPr="00FA7552" w:rsidRDefault="00FA7552" w:rsidP="00FA7552">
            <w:r w:rsidRPr="00DA7B4A">
              <w:t>0.11</w:t>
            </w:r>
          </w:p>
        </w:tc>
        <w:tc>
          <w:tcPr>
            <w:tcW w:w="2034" w:type="dxa"/>
            <w:vAlign w:val="top"/>
          </w:tcPr>
          <w:p w:rsidR="00FA7552" w:rsidRPr="00FA7552" w:rsidRDefault="00FA7552" w:rsidP="00FA7552">
            <w:r w:rsidRPr="00DA7B4A">
              <w:t>0.</w:t>
            </w:r>
            <w:r w:rsidRPr="00FA7552">
              <w:t>11</w:t>
            </w:r>
          </w:p>
        </w:tc>
      </w:tr>
      <w:tr w:rsidR="00FA7552" w:rsidRPr="00C43648" w:rsidTr="006D0F55">
        <w:tc>
          <w:tcPr>
            <w:tcW w:w="2373" w:type="dxa"/>
          </w:tcPr>
          <w:p w:rsidR="00FA7552" w:rsidRPr="00FA7552" w:rsidRDefault="00FA7552" w:rsidP="00FA7552">
            <w:r w:rsidRPr="00DA7B4A">
              <w:t>Registration- annual</w:t>
            </w:r>
          </w:p>
        </w:tc>
        <w:tc>
          <w:tcPr>
            <w:tcW w:w="2252" w:type="dxa"/>
            <w:vAlign w:val="top"/>
          </w:tcPr>
          <w:p w:rsidR="00FA7552" w:rsidRPr="00FA7552" w:rsidRDefault="00FA7552" w:rsidP="00FA7552">
            <w:r w:rsidRPr="00DA7B4A">
              <w:t>$7,825</w:t>
            </w:r>
          </w:p>
        </w:tc>
        <w:tc>
          <w:tcPr>
            <w:tcW w:w="2034" w:type="dxa"/>
            <w:vAlign w:val="top"/>
          </w:tcPr>
          <w:p w:rsidR="00FA7552" w:rsidRPr="00FA7552" w:rsidRDefault="00FA7552" w:rsidP="00FA7552">
            <w:r w:rsidRPr="00DA7B4A">
              <w:t>0.31</w:t>
            </w:r>
          </w:p>
        </w:tc>
        <w:tc>
          <w:tcPr>
            <w:tcW w:w="2034" w:type="dxa"/>
            <w:vAlign w:val="top"/>
          </w:tcPr>
          <w:p w:rsidR="00FA7552" w:rsidRPr="00FA7552" w:rsidRDefault="00FA7552" w:rsidP="00FA7552">
            <w:r w:rsidRPr="00DA7B4A">
              <w:t>0.31</w:t>
            </w:r>
          </w:p>
        </w:tc>
      </w:tr>
      <w:tr w:rsidR="00FA7552" w:rsidRPr="00C43648" w:rsidTr="006D0F55">
        <w:trPr>
          <w:cnfStyle w:val="000000010000" w:firstRow="0" w:lastRow="0" w:firstColumn="0" w:lastColumn="0" w:oddVBand="0" w:evenVBand="0" w:oddHBand="0" w:evenHBand="1" w:firstRowFirstColumn="0" w:firstRowLastColumn="0" w:lastRowFirstColumn="0" w:lastRowLastColumn="0"/>
        </w:trPr>
        <w:tc>
          <w:tcPr>
            <w:tcW w:w="2373" w:type="dxa"/>
          </w:tcPr>
          <w:p w:rsidR="00FA7552" w:rsidRPr="00FA7552" w:rsidRDefault="00FA7552" w:rsidP="00FA7552">
            <w:r w:rsidRPr="00DA7B4A">
              <w:t>Agents out-of-pockets</w:t>
            </w:r>
          </w:p>
        </w:tc>
        <w:tc>
          <w:tcPr>
            <w:tcW w:w="2252" w:type="dxa"/>
            <w:vAlign w:val="top"/>
          </w:tcPr>
          <w:p w:rsidR="00FA7552" w:rsidRPr="00FA7552" w:rsidRDefault="00FA7552" w:rsidP="00FA7552">
            <w:r w:rsidRPr="00DA7B4A">
              <w:t>$3,000</w:t>
            </w:r>
          </w:p>
        </w:tc>
        <w:tc>
          <w:tcPr>
            <w:tcW w:w="2034" w:type="dxa"/>
            <w:vAlign w:val="top"/>
          </w:tcPr>
          <w:p w:rsidR="00FA7552" w:rsidRPr="00FA7552" w:rsidRDefault="00FA7552" w:rsidP="00FA7552">
            <w:r w:rsidRPr="00DA7B4A">
              <w:t>0.02</w:t>
            </w:r>
          </w:p>
        </w:tc>
        <w:tc>
          <w:tcPr>
            <w:tcW w:w="2034" w:type="dxa"/>
            <w:vAlign w:val="top"/>
          </w:tcPr>
          <w:p w:rsidR="00FA7552" w:rsidRPr="00FA7552" w:rsidRDefault="00FA7552" w:rsidP="00FA7552">
            <w:r w:rsidRPr="00DA7B4A">
              <w:t>0.02</w:t>
            </w:r>
          </w:p>
        </w:tc>
      </w:tr>
      <w:tr w:rsidR="00FA7552" w:rsidRPr="00C43648" w:rsidTr="006D0F55">
        <w:tc>
          <w:tcPr>
            <w:tcW w:w="2373" w:type="dxa"/>
          </w:tcPr>
          <w:p w:rsidR="00FA7552" w:rsidRPr="00FA7552" w:rsidRDefault="00FA7552" w:rsidP="00FA7552">
            <w:r w:rsidRPr="00C43648">
              <w:t>Total (basis points per annum)</w:t>
            </w:r>
          </w:p>
        </w:tc>
        <w:tc>
          <w:tcPr>
            <w:tcW w:w="2252" w:type="dxa"/>
            <w:vAlign w:val="top"/>
          </w:tcPr>
          <w:p w:rsidR="00FA7552" w:rsidRPr="00C43648" w:rsidRDefault="00FA7552" w:rsidP="00FA7552"/>
        </w:tc>
        <w:tc>
          <w:tcPr>
            <w:tcW w:w="2034" w:type="dxa"/>
            <w:vAlign w:val="top"/>
          </w:tcPr>
          <w:p w:rsidR="00FA7552" w:rsidRPr="00FA7552" w:rsidRDefault="00FA7552" w:rsidP="00FA7552">
            <w:r w:rsidRPr="00C43648">
              <w:t>9.</w:t>
            </w:r>
            <w:r w:rsidRPr="00FA7552">
              <w:t>2</w:t>
            </w:r>
          </w:p>
        </w:tc>
        <w:tc>
          <w:tcPr>
            <w:tcW w:w="2034" w:type="dxa"/>
            <w:vAlign w:val="top"/>
          </w:tcPr>
          <w:p w:rsidR="00FA7552" w:rsidRPr="00FA7552" w:rsidRDefault="00FA7552" w:rsidP="00FA7552">
            <w:r>
              <w:t>9.2</w:t>
            </w:r>
          </w:p>
        </w:tc>
      </w:tr>
    </w:tbl>
    <w:p w:rsidR="00FA7552" w:rsidRDefault="00FA7552" w:rsidP="00FA7552">
      <w:pPr>
        <w:pStyle w:val="AERtablesource"/>
      </w:pPr>
      <w:r w:rsidRPr="00C43648">
        <w:t xml:space="preserve">Source: </w:t>
      </w:r>
      <w:r>
        <w:tab/>
      </w:r>
      <w:r w:rsidRPr="00C43648">
        <w:t>AER, Incenta.</w:t>
      </w:r>
      <w:r>
        <w:rPr>
          <w:rStyle w:val="FootnoteReference"/>
        </w:rPr>
        <w:footnoteReference w:id="1389"/>
      </w:r>
    </w:p>
    <w:p w:rsidR="00FA7552" w:rsidRPr="00FA7552" w:rsidRDefault="00FA7552" w:rsidP="00FA7552"/>
    <w:p w:rsidR="00643E3A" w:rsidRDefault="00643E3A" w:rsidP="00643E3A">
      <w:pPr>
        <w:pStyle w:val="Heading7"/>
      </w:pPr>
      <w:bookmarkStart w:id="335" w:name="_Ref451328110"/>
      <w:bookmarkStart w:id="336" w:name="_Toc451945529"/>
      <w:r>
        <w:t>Equity and debt averaging periods (Confidential)</w:t>
      </w:r>
      <w:bookmarkEnd w:id="335"/>
      <w:bookmarkEnd w:id="336"/>
    </w:p>
    <w:p w:rsidR="00643E3A" w:rsidRDefault="00643E3A" w:rsidP="00643E3A"/>
    <w:p w:rsidR="00FF241D" w:rsidRPr="00FF241D" w:rsidRDefault="00FF241D" w:rsidP="00FF241D"/>
    <w:sectPr w:rsidR="00FF241D" w:rsidRPr="00FF241D" w:rsidSect="00B757A6">
      <w:headerReference w:type="even" r:id="rId38"/>
      <w:footerReference w:type="even" r:id="rId39"/>
      <w:footerReference w:type="default" r:id="rId40"/>
      <w:headerReference w:type="first" r:id="rId41"/>
      <w:pgSz w:w="11906" w:h="16838" w:code="9"/>
      <w:pgMar w:top="1440" w:right="1700" w:bottom="1582" w:left="1729" w:header="720" w:footer="0" w:gutter="0"/>
      <w:pgNumType w:start="0"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DD6" w:rsidRPr="00290C63" w:rsidRDefault="00702DD6" w:rsidP="00290C63">
      <w:r>
        <w:separator/>
      </w:r>
    </w:p>
    <w:p w:rsidR="00702DD6" w:rsidRDefault="00702DD6"/>
  </w:endnote>
  <w:endnote w:type="continuationSeparator" w:id="0">
    <w:p w:rsidR="00702DD6" w:rsidRPr="00290C63" w:rsidRDefault="00702DD6" w:rsidP="00290C63">
      <w:r>
        <w:continuationSeparator/>
      </w:r>
    </w:p>
    <w:p w:rsidR="00702DD6" w:rsidRDefault="00702D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dge Round">
    <w:altName w:val="Calibri"/>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DD6" w:rsidRDefault="00702DD6">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t>ES 1 Customer Connection Information</w:t>
    </w:r>
  </w:p>
  <w:p w:rsidR="00702DD6" w:rsidRDefault="00702DD6">
    <w:pPr>
      <w:pStyle w:val="Footer"/>
    </w:pPr>
  </w:p>
  <w:p w:rsidR="00702DD6" w:rsidRDefault="00702DD6">
    <w:pPr>
      <w:pStyle w:val="Footer"/>
    </w:pPr>
    <w:r>
      <w:fldChar w:fldCharType="begin"/>
    </w:r>
    <w:r>
      <w:instrText xml:space="preserve"> DOCPROPERTY DocumentID \* MERGEFORMAT </w:instrText>
    </w:r>
    <w:r>
      <w:fldChar w:fldCharType="separate"/>
    </w:r>
    <w:r>
      <w:rPr>
        <w:b/>
        <w:bCs/>
        <w:lang w:val="en-US"/>
      </w:rPr>
      <w:t>Error! Unknown document property name.</w: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76863"/>
      <w:docPartObj>
        <w:docPartGallery w:val="Page Numbers (Bottom of Page)"/>
        <w:docPartUnique/>
      </w:docPartObj>
    </w:sdtPr>
    <w:sdtEndPr/>
    <w:sdtContent>
      <w:p w:rsidR="00702DD6" w:rsidRPr="00CA52A2" w:rsidRDefault="00702DD6" w:rsidP="00CA52A2">
        <w:pPr>
          <w:pStyle w:val="Footer"/>
        </w:pPr>
        <w:r w:rsidRPr="00CA52A2">
          <w:fldChar w:fldCharType="begin"/>
        </w:r>
        <w:r>
          <w:instrText xml:space="preserve"> PAGE   \* MERGEFORMAT </w:instrText>
        </w:r>
        <w:r w:rsidRPr="00CA52A2">
          <w:fldChar w:fldCharType="separate"/>
        </w:r>
        <w:r w:rsidR="007A39AA">
          <w:rPr>
            <w:noProof/>
          </w:rPr>
          <w:t>3-369</w:t>
        </w:r>
        <w:r w:rsidRPr="00CA52A2">
          <w:fldChar w:fldCharType="end"/>
        </w:r>
        <w:r w:rsidRPr="00CA52A2">
          <w:t xml:space="preserve">          Attachment </w:t>
        </w:r>
        <w:r>
          <w:t xml:space="preserve">3 </w:t>
        </w:r>
        <w:r w:rsidRPr="00CA52A2">
          <w:t xml:space="preserve">– </w:t>
        </w:r>
        <w:r>
          <w:t xml:space="preserve">Rate of return </w:t>
        </w:r>
        <w:r w:rsidRPr="00CA52A2">
          <w:t xml:space="preserve">| </w:t>
        </w:r>
        <w:r>
          <w:t>Final decision: ActewAGL Distribution Access Arrangement 2016</w:t>
        </w:r>
        <w:r w:rsidRPr="00CA52A2">
          <w:t>–</w:t>
        </w:r>
        <w:r>
          <w:t>21</w:t>
        </w:r>
      </w:p>
    </w:sdtContent>
  </w:sdt>
  <w:p w:rsidR="00702DD6" w:rsidRDefault="00702DD6">
    <w:pPr>
      <w:pStyle w:val="Footer"/>
      <w:tabs>
        <w:tab w:val="right" w:pos="9639"/>
      </w:tabs>
      <w:rPr>
        <w:rFonts w:ascii="Cambridge Round" w:hAnsi="Cambridge Round"/>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DD6" w:rsidRPr="00290C63" w:rsidRDefault="00702DD6" w:rsidP="00290C63">
      <w:r>
        <w:separator/>
      </w:r>
    </w:p>
    <w:p w:rsidR="00702DD6" w:rsidRDefault="00702DD6"/>
  </w:footnote>
  <w:footnote w:type="continuationSeparator" w:id="0">
    <w:p w:rsidR="00702DD6" w:rsidRPr="00290C63" w:rsidRDefault="00702DD6" w:rsidP="00290C63">
      <w:r>
        <w:continuationSeparator/>
      </w:r>
    </w:p>
    <w:p w:rsidR="00702DD6" w:rsidRDefault="00702DD6"/>
  </w:footnote>
  <w:footnote w:id="1">
    <w:p w:rsidR="00702DD6" w:rsidRDefault="00702DD6" w:rsidP="007505A3">
      <w:pPr>
        <w:pStyle w:val="FootnoteText"/>
      </w:pPr>
      <w:r>
        <w:rPr>
          <w:rStyle w:val="FootnoteReference"/>
        </w:rPr>
        <w:footnoteRef/>
      </w:r>
      <w:r>
        <w:t xml:space="preserve"> </w:t>
      </w:r>
      <w:r>
        <w:tab/>
        <w:t>The term network service provider relates to service providers that provide gas and electricity transmission and distribution services.</w:t>
      </w:r>
    </w:p>
  </w:footnote>
  <w:footnote w:id="2">
    <w:p w:rsidR="00702DD6" w:rsidRDefault="00702DD6" w:rsidP="00737E50">
      <w:pPr>
        <w:pStyle w:val="FootnoteText"/>
      </w:pPr>
      <w:r>
        <w:rPr>
          <w:rStyle w:val="FootnoteReference"/>
        </w:rPr>
        <w:footnoteRef/>
      </w:r>
      <w:r>
        <w:t xml:space="preserve"> </w:t>
      </w:r>
      <w:r>
        <w:tab/>
        <w:t>NGR, cl. 87(2).</w:t>
      </w:r>
    </w:p>
  </w:footnote>
  <w:footnote w:id="3">
    <w:p w:rsidR="00702DD6" w:rsidRDefault="00702DD6" w:rsidP="00737E50">
      <w:pPr>
        <w:pStyle w:val="FootnoteText"/>
      </w:pPr>
      <w:r>
        <w:rPr>
          <w:rStyle w:val="FootnoteReference"/>
        </w:rPr>
        <w:footnoteRef/>
      </w:r>
      <w:r>
        <w:t xml:space="preserve"> </w:t>
      </w:r>
      <w:r>
        <w:tab/>
        <w:t>NGR, cl. 87(3).</w:t>
      </w:r>
    </w:p>
  </w:footnote>
  <w:footnote w:id="4">
    <w:p w:rsidR="00702DD6" w:rsidRDefault="00702DD6" w:rsidP="00737E50">
      <w:pPr>
        <w:pStyle w:val="FootnoteText"/>
      </w:pPr>
      <w:r>
        <w:rPr>
          <w:rStyle w:val="FootnoteReference"/>
        </w:rPr>
        <w:footnoteRef/>
      </w:r>
      <w:r>
        <w:t xml:space="preserve"> </w:t>
      </w:r>
      <w:r>
        <w:tab/>
        <w:t xml:space="preserve">ActewAGL, </w:t>
      </w:r>
      <w:r>
        <w:rPr>
          <w:rStyle w:val="AERtextitalic"/>
        </w:rPr>
        <w:t>Revised 2</w:t>
      </w:r>
      <w:r w:rsidRPr="004A1F6F">
        <w:rPr>
          <w:rStyle w:val="AERtextitalic"/>
        </w:rPr>
        <w:t>016 to 2020</w:t>
      </w:r>
      <w:r>
        <w:rPr>
          <w:rStyle w:val="AERtextitalic"/>
        </w:rPr>
        <w:t>1access arrangement</w:t>
      </w:r>
      <w:r w:rsidRPr="004A1F6F">
        <w:rPr>
          <w:rStyle w:val="AERtextitalic"/>
        </w:rPr>
        <w:t xml:space="preserve"> proposal</w:t>
      </w:r>
      <w:r>
        <w:rPr>
          <w:rStyle w:val="AERtextitalic"/>
        </w:rPr>
        <w:t>: Appendix 5.01 rate of return, gamma, and inflation</w:t>
      </w:r>
      <w:r>
        <w:t>, 6 January 2016, p. 143.</w:t>
      </w:r>
    </w:p>
  </w:footnote>
  <w:footnote w:id="5">
    <w:p w:rsidR="00702DD6" w:rsidRDefault="00702DD6" w:rsidP="00737E50">
      <w:pPr>
        <w:pStyle w:val="FootnoteText"/>
      </w:pPr>
      <w:r>
        <w:rPr>
          <w:rStyle w:val="FootnoteReference"/>
        </w:rPr>
        <w:footnoteRef/>
      </w:r>
      <w:r>
        <w:t xml:space="preserve"> </w:t>
      </w:r>
      <w:r>
        <w:tab/>
        <w:t>NGR, cl. 87(4).</w:t>
      </w:r>
    </w:p>
  </w:footnote>
  <w:footnote w:id="6">
    <w:p w:rsidR="00702DD6" w:rsidRDefault="00702DD6" w:rsidP="007505A3">
      <w:pPr>
        <w:pStyle w:val="FootnoteText"/>
      </w:pPr>
      <w:r>
        <w:rPr>
          <w:rStyle w:val="FootnoteReference"/>
        </w:rPr>
        <w:footnoteRef/>
      </w:r>
      <w:r>
        <w:t xml:space="preserve"> </w:t>
      </w:r>
      <w:r>
        <w:tab/>
        <w:t>NER, cl. 6.5.2(b); NER, cl. 6A.6.2(b); NGR, r. 87(2).</w:t>
      </w:r>
    </w:p>
  </w:footnote>
  <w:footnote w:id="7">
    <w:p w:rsidR="00702DD6" w:rsidRDefault="00702DD6" w:rsidP="00737E50">
      <w:pPr>
        <w:pStyle w:val="FootnoteText"/>
      </w:pPr>
      <w:r>
        <w:rPr>
          <w:rStyle w:val="FootnoteReference"/>
        </w:rPr>
        <w:footnoteRef/>
      </w:r>
      <w:r>
        <w:t xml:space="preserve"> </w:t>
      </w:r>
      <w:r>
        <w:tab/>
        <w:t>NGL, s. 28.</w:t>
      </w:r>
    </w:p>
  </w:footnote>
  <w:footnote w:id="8">
    <w:p w:rsidR="00702DD6" w:rsidRDefault="00702DD6" w:rsidP="00FE2A0E">
      <w:pPr>
        <w:pStyle w:val="FootnoteText"/>
      </w:pPr>
      <w:r>
        <w:rPr>
          <w:rStyle w:val="FootnoteReference"/>
        </w:rPr>
        <w:footnoteRef/>
      </w:r>
      <w:r>
        <w:t xml:space="preserve"> </w:t>
      </w:r>
      <w:r>
        <w:tab/>
        <w:t xml:space="preserve">ActewAGL later submitted an estimated rate of return based on its actual averaging periods. This resulted in a return on equity of 9.67%, a rate of return of 8.55%, and an inflation forecast of 1.96%. ActewAGL's estimated return on debt remained 7.7%. See ActewAGL, </w:t>
      </w:r>
      <w:r w:rsidRPr="001E4C0B">
        <w:rPr>
          <w:rStyle w:val="AERtextitalic"/>
        </w:rPr>
        <w:t>Updated rate of return and forecast inflation values</w:t>
      </w:r>
      <w:r>
        <w:t>, 12 May 2016 (LATE SUBMISSION).</w:t>
      </w:r>
    </w:p>
  </w:footnote>
  <w:footnote w:id="9">
    <w:p w:rsidR="00702DD6" w:rsidRDefault="00702DD6">
      <w:pPr>
        <w:pStyle w:val="FootnoteText"/>
      </w:pPr>
      <w:r>
        <w:rPr>
          <w:rStyle w:val="FootnoteReference"/>
        </w:rPr>
        <w:footnoteRef/>
      </w:r>
      <w:r>
        <w:t xml:space="preserve"> </w:t>
      </w:r>
      <w:r>
        <w:tab/>
        <w:t xml:space="preserve">ActewAGL, </w:t>
      </w:r>
      <w:r w:rsidRPr="009A78F0">
        <w:rPr>
          <w:rStyle w:val="AERtextitalic"/>
        </w:rPr>
        <w:t>Attachment 8: Rate of return, gamma and inflation,</w:t>
      </w:r>
      <w:r>
        <w:t xml:space="preserve"> June 2015, p. 5.</w:t>
      </w:r>
    </w:p>
  </w:footnote>
  <w:footnote w:id="10">
    <w:p w:rsidR="00702DD6" w:rsidRDefault="00702DD6" w:rsidP="006C7915">
      <w:pPr>
        <w:pStyle w:val="FootnoteText"/>
      </w:pPr>
      <w:r>
        <w:rPr>
          <w:rStyle w:val="FootnoteReference"/>
        </w:rPr>
        <w:footnoteRef/>
      </w:r>
      <w:r>
        <w:t xml:space="preserve"> </w:t>
      </w:r>
      <w:r>
        <w:tab/>
        <w:t xml:space="preserve">ActewAGL, </w:t>
      </w:r>
      <w:r w:rsidRPr="009A78F0">
        <w:rPr>
          <w:rStyle w:val="AERtextitalic"/>
        </w:rPr>
        <w:t>Revised 2016–21 access arrangement proposal appendix 5.01 rate of return, gamma and inflation</w:t>
      </w:r>
      <w:r>
        <w:t>, January 2016, p. 4.</w:t>
      </w:r>
    </w:p>
  </w:footnote>
  <w:footnote w:id="11">
    <w:p w:rsidR="00702DD6" w:rsidRDefault="00702DD6" w:rsidP="006C7915">
      <w:pPr>
        <w:pStyle w:val="FootnoteText"/>
      </w:pPr>
      <w:r>
        <w:rPr>
          <w:rStyle w:val="FootnoteReference"/>
        </w:rPr>
        <w:footnoteRef/>
      </w:r>
      <w:r>
        <w:t xml:space="preserve"> </w:t>
      </w:r>
      <w:r>
        <w:tab/>
        <w:t xml:space="preserve">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most recent decisions on Ergon Energy and Energex.</w:t>
      </w:r>
      <w:r w:rsidRPr="00C90447">
        <w:t xml:space="preserve"> </w:t>
      </w:r>
    </w:p>
  </w:footnote>
  <w:footnote w:id="12">
    <w:p w:rsidR="00702DD6" w:rsidRDefault="00702DD6" w:rsidP="006C7915">
      <w:pPr>
        <w:pStyle w:val="FootnoteText"/>
      </w:pPr>
      <w:r>
        <w:rPr>
          <w:rStyle w:val="FootnoteReference"/>
        </w:rPr>
        <w:footnoteRef/>
      </w:r>
      <w:r>
        <w:t xml:space="preserve"> </w:t>
      </w:r>
      <w:r>
        <w:tab/>
        <w:t xml:space="preserve">For example, see Australian Competition Tribunal, </w:t>
      </w:r>
      <w:r w:rsidRPr="005772E3">
        <w:rPr>
          <w:rStyle w:val="AERtextitalic"/>
        </w:rPr>
        <w:t>Applications by Public Interest Advocacy Centre Ltd and Ausgrid [2016] ACompT 1</w:t>
      </w:r>
      <w:r>
        <w:t>, 26 February 2016, para 813.</w:t>
      </w:r>
    </w:p>
  </w:footnote>
  <w:footnote w:id="13">
    <w:p w:rsidR="00702DD6" w:rsidRDefault="00702DD6" w:rsidP="006C7915">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4">
    <w:p w:rsidR="00702DD6" w:rsidRDefault="00702DD6" w:rsidP="006C7915">
      <w:pPr>
        <w:pStyle w:val="FootnoteText"/>
      </w:pPr>
      <w:r>
        <w:rPr>
          <w:rStyle w:val="FootnoteReference"/>
        </w:rPr>
        <w:footnoteRef/>
      </w:r>
      <w:r>
        <w:t xml:space="preserve"> </w:t>
      </w:r>
      <w:r>
        <w:tab/>
        <w:t xml:space="preserve">AER, </w:t>
      </w:r>
      <w:r>
        <w:rPr>
          <w:rStyle w:val="AERtextitalic"/>
        </w:rPr>
        <w:t>Draft decision</w:t>
      </w:r>
      <w:r w:rsidRPr="00A827ED">
        <w:rPr>
          <w:rStyle w:val="AERtextitalic"/>
        </w:rPr>
        <w:t xml:space="preserve">, </w:t>
      </w:r>
      <w:r>
        <w:rPr>
          <w:rStyle w:val="AERtextitalic"/>
        </w:rPr>
        <w:t>ActewAGL</w:t>
      </w:r>
      <w:r w:rsidRPr="00A827ED">
        <w:rPr>
          <w:rStyle w:val="AERtextitalic"/>
        </w:rPr>
        <w:t xml:space="preserve"> d</w:t>
      </w:r>
      <w:r>
        <w:rPr>
          <w:rStyle w:val="AERtextitalic"/>
        </w:rPr>
        <w:t>istribution access arrangement 2016 to 20</w:t>
      </w:r>
      <w:r w:rsidRPr="00A827ED">
        <w:rPr>
          <w:rStyle w:val="AERtextitalic"/>
        </w:rPr>
        <w:t>2</w:t>
      </w:r>
      <w:r>
        <w:rPr>
          <w:rStyle w:val="AERtextitalic"/>
        </w:rPr>
        <w:t>1</w:t>
      </w:r>
      <w:r w:rsidRPr="00A827ED">
        <w:rPr>
          <w:rStyle w:val="AERtextitalic"/>
        </w:rPr>
        <w:t>, Attachment 3–Rate of return</w:t>
      </w:r>
      <w:r>
        <w:t>, November 2015.</w:t>
      </w:r>
    </w:p>
  </w:footnote>
  <w:footnote w:id="15">
    <w:p w:rsidR="00702DD6" w:rsidRDefault="00702DD6" w:rsidP="00EB67ED">
      <w:pPr>
        <w:pStyle w:val="FootnoteText"/>
      </w:pPr>
      <w:r>
        <w:rPr>
          <w:rStyle w:val="FootnoteReference"/>
        </w:rPr>
        <w:footnoteRef/>
      </w:r>
      <w:r>
        <w:t xml:space="preserve"> </w:t>
      </w:r>
      <w:r>
        <w:tab/>
        <w:t>NER, cl. 6.2.8(c); NER, cl. 6A.6.2(c); NGR, r. 87(3).</w:t>
      </w:r>
    </w:p>
  </w:footnote>
  <w:footnote w:id="16">
    <w:p w:rsidR="00702DD6" w:rsidRDefault="00702DD6" w:rsidP="00737E50">
      <w:pPr>
        <w:pStyle w:val="FootnoteText"/>
      </w:pPr>
      <w:r>
        <w:rPr>
          <w:rStyle w:val="FootnoteReference"/>
        </w:rPr>
        <w:footnoteRef/>
      </w:r>
      <w:r>
        <w:t xml:space="preserve"> </w:t>
      </w:r>
      <w:r>
        <w:tab/>
        <w:t xml:space="preserve">ActewAGL, </w:t>
      </w:r>
      <w:r>
        <w:rPr>
          <w:rStyle w:val="AERtextitalic"/>
        </w:rPr>
        <w:t>Appendix 5.01: Detailed response to rate of return, gamma and inflation</w:t>
      </w:r>
      <w:r>
        <w:t>, 6 January 2016, p. 142.</w:t>
      </w:r>
    </w:p>
  </w:footnote>
  <w:footnote w:id="17">
    <w:p w:rsidR="00702DD6" w:rsidRDefault="00702DD6">
      <w:pPr>
        <w:pStyle w:val="FootnoteText"/>
      </w:pPr>
      <w:r>
        <w:rPr>
          <w:rStyle w:val="FootnoteReference"/>
        </w:rPr>
        <w:footnoteRef/>
      </w:r>
      <w:r>
        <w:t xml:space="preserve"> </w:t>
      </w:r>
      <w:r>
        <w:tab/>
        <w:t xml:space="preserve">ActewAGL later submitted an estimated return on equity of 9.67% based on its actual averaging period. See ActewAGL, </w:t>
      </w:r>
      <w:r w:rsidRPr="00D32AB6">
        <w:rPr>
          <w:rStyle w:val="AERtextitalic"/>
        </w:rPr>
        <w:t>Updated rate of return and forecast inflation values</w:t>
      </w:r>
      <w:r>
        <w:t>, 12 May 2016, p. 2 (LATE SUBMISSION).</w:t>
      </w:r>
    </w:p>
  </w:footnote>
  <w:footnote w:id="18">
    <w:p w:rsidR="00702DD6" w:rsidRDefault="00702DD6" w:rsidP="00737E50">
      <w:pPr>
        <w:pStyle w:val="FootnoteText"/>
      </w:pPr>
      <w:r>
        <w:rPr>
          <w:rStyle w:val="FootnoteReference"/>
        </w:rPr>
        <w:footnoteRef/>
      </w:r>
      <w:r>
        <w:t xml:space="preserve">     This final decision determines the return on debt methodology for 2015-16 (the interval of delay) and the 2016</w:t>
      </w:r>
      <w:r>
        <w:rPr>
          <w:rFonts w:cs="Arial"/>
        </w:rPr>
        <w:t>–</w:t>
      </w:r>
      <w:r>
        <w:t>21 access arrangement period). This period covers the first six years of the 10 year transition period. This decision also sets out our intended return on debt methodology for the remaining four years. However, we do not have the power to determine in this decision the return on debt methodology for those years. Under the NGR, the return on debt methodology must be determined in future decisions that relate to that period.</w:t>
      </w:r>
    </w:p>
  </w:footnote>
  <w:footnote w:id="19">
    <w:p w:rsidR="00702DD6" w:rsidRDefault="00702DD6" w:rsidP="006B666A">
      <w:pPr>
        <w:pStyle w:val="FootnoteText"/>
      </w:pPr>
      <w:r>
        <w:rPr>
          <w:rStyle w:val="FootnoteReference"/>
        </w:rPr>
        <w:footnoteRef/>
      </w:r>
      <w:r>
        <w:t xml:space="preserve"> </w:t>
      </w:r>
      <w:r>
        <w:tab/>
        <w:t xml:space="preserve">By entire return on debt, we mean 100% of the base rate and debt risk premium (DRP) </w:t>
      </w:r>
      <w:r w:rsidRPr="006013BC">
        <w:t>components of the allowed return on debt</w:t>
      </w:r>
      <w:r>
        <w:t>.</w:t>
      </w:r>
    </w:p>
  </w:footnote>
  <w:footnote w:id="20">
    <w:p w:rsidR="00702DD6" w:rsidRDefault="00702DD6" w:rsidP="006B666A">
      <w:pPr>
        <w:pStyle w:val="FootnoteText"/>
      </w:pPr>
      <w:r>
        <w:rPr>
          <w:rStyle w:val="FootnoteReference"/>
        </w:rPr>
        <w:footnoteRef/>
      </w:r>
      <w:r>
        <w:t xml:space="preserve"> </w:t>
      </w:r>
      <w:r>
        <w:tab/>
        <w:t xml:space="preserve">For the RBA curve, our final decision is to interpolate the monthly data points to produce daily estimates, to extrapolate the curve to an effective term of 10 years, and to convert it to an effective annual rate. For the Bloomberg curve, our final decision is to extrapolate it to 10 years using the spread between the extrapolated RBA seven and 10 year curves (where Bloomberg has not published a 10 year estimate), and to convert it to an effective annual rate. While we do not propose estimating the return on debt by reference to the Reuters curve, we do not </w:t>
      </w:r>
      <w:r w:rsidRPr="002E41F8">
        <w:t xml:space="preserve">rule out </w:t>
      </w:r>
      <w:r>
        <w:t xml:space="preserve">including doing so </w:t>
      </w:r>
      <w:r w:rsidRPr="002E41F8">
        <w:t>in future determinations following a proper period of consultation</w:t>
      </w:r>
      <w:r>
        <w:t>.</w:t>
      </w:r>
    </w:p>
  </w:footnote>
  <w:footnote w:id="21">
    <w:p w:rsidR="00702DD6" w:rsidRDefault="00702DD6" w:rsidP="00737E50">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22">
    <w:p w:rsidR="00702DD6" w:rsidRDefault="00702DD6" w:rsidP="006B666A">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993.</w:t>
      </w:r>
    </w:p>
  </w:footnote>
  <w:footnote w:id="23">
    <w:p w:rsidR="00702DD6" w:rsidRDefault="00702DD6" w:rsidP="006B666A">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983.</w:t>
      </w:r>
    </w:p>
  </w:footnote>
  <w:footnote w:id="24">
    <w:p w:rsidR="00702DD6" w:rsidRDefault="00702DD6" w:rsidP="006B666A">
      <w:pPr>
        <w:pStyle w:val="FootnoteText"/>
      </w:pPr>
      <w:r>
        <w:rPr>
          <w:rStyle w:val="FootnoteReference"/>
        </w:rPr>
        <w:footnoteRef/>
      </w:r>
      <w:r>
        <w:t xml:space="preserve"> </w:t>
      </w:r>
      <w:r>
        <w:tab/>
        <w:t>For clarity, that is 100% of the base rate and DRP components of the allowed return on debt.</w:t>
      </w:r>
    </w:p>
  </w:footnote>
  <w:footnote w:id="25">
    <w:p w:rsidR="00702DD6" w:rsidRDefault="00702DD6" w:rsidP="006B666A">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1,227. The Tribunal's reasons are set out in paras 870 to 940.</w:t>
      </w:r>
    </w:p>
  </w:footnote>
  <w:footnote w:id="26">
    <w:p w:rsidR="00702DD6" w:rsidRDefault="00702DD6" w:rsidP="006B666A">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27">
    <w:p w:rsidR="00702DD6" w:rsidRDefault="00702DD6" w:rsidP="006B666A">
      <w:pPr>
        <w:pStyle w:val="FootnoteText"/>
      </w:pPr>
      <w:r>
        <w:rPr>
          <w:rStyle w:val="FootnoteReference"/>
        </w:rPr>
        <w:footnoteRef/>
      </w:r>
      <w:r>
        <w:t xml:space="preserve"> </w:t>
      </w:r>
      <w:r>
        <w:tab/>
      </w:r>
      <w:r w:rsidRPr="002F39F8">
        <w:t>AER,</w:t>
      </w:r>
      <w:r>
        <w:t xml:space="preserve"> </w:t>
      </w:r>
      <w:r w:rsidRPr="0077279F">
        <w:rPr>
          <w:rStyle w:val="Emphasis"/>
        </w:rPr>
        <w:t>Issues Paper - Return on debt: Choice of third party data service provider</w:t>
      </w:r>
      <w:r>
        <w:t xml:space="preserve">, April 2014. </w:t>
      </w:r>
    </w:p>
  </w:footnote>
  <w:footnote w:id="28">
    <w:p w:rsidR="00702DD6" w:rsidRDefault="00702DD6" w:rsidP="00737E50">
      <w:pPr>
        <w:pStyle w:val="FootnoteText"/>
      </w:pPr>
      <w:r>
        <w:rPr>
          <w:rStyle w:val="FootnoteReference"/>
        </w:rPr>
        <w:footnoteRef/>
      </w:r>
      <w:r>
        <w:t xml:space="preserve"> </w:t>
      </w:r>
      <w:r>
        <w:tab/>
        <w:t xml:space="preserve">ActewAGL, Revised </w:t>
      </w:r>
      <w:r w:rsidRPr="004A1F6F">
        <w:rPr>
          <w:rStyle w:val="AERtextitalic"/>
        </w:rPr>
        <w:t xml:space="preserve">2016 to 2020 </w:t>
      </w:r>
      <w:r>
        <w:rPr>
          <w:rStyle w:val="AERtextitalic"/>
        </w:rPr>
        <w:t>access arrangement</w:t>
      </w:r>
      <w:r w:rsidRPr="004A1F6F">
        <w:rPr>
          <w:rStyle w:val="AERtextitalic"/>
        </w:rPr>
        <w:t xml:space="preserve"> proposal</w:t>
      </w:r>
      <w:r>
        <w:rPr>
          <w:rStyle w:val="AERtextitalic"/>
        </w:rPr>
        <w:t>: Appendix 5.01 rate of return, gamma, and inflation</w:t>
      </w:r>
      <w:r>
        <w:t>, 6 January 2016, p. 143.</w:t>
      </w:r>
    </w:p>
  </w:footnote>
  <w:footnote w:id="29">
    <w:p w:rsidR="00702DD6" w:rsidRDefault="00702DD6" w:rsidP="00737E50">
      <w:pPr>
        <w:pStyle w:val="FootnoteText"/>
      </w:pPr>
      <w:r>
        <w:rPr>
          <w:rStyle w:val="FootnoteReference"/>
        </w:rPr>
        <w:footnoteRef/>
      </w:r>
      <w:r>
        <w:t xml:space="preserve"> </w:t>
      </w:r>
      <w:r>
        <w:tab/>
        <w:t xml:space="preserve">As per: Frontier Economics, </w:t>
      </w:r>
      <w:r w:rsidRPr="00E87EB1">
        <w:rPr>
          <w:rStyle w:val="AERtextitalic"/>
        </w:rPr>
        <w:t>The required return on equity under a foundation model approach: Report prepared for JEN, ActewAGL Distribution, AusNet Services, AGN, Citipower, Powercor and United Energy</w:t>
      </w:r>
      <w:r>
        <w:t>, January 2016.</w:t>
      </w:r>
    </w:p>
  </w:footnote>
  <w:footnote w:id="30">
    <w:p w:rsidR="00702DD6" w:rsidRDefault="00702DD6" w:rsidP="00737E50">
      <w:pPr>
        <w:pStyle w:val="FootnoteText"/>
      </w:pPr>
      <w:r>
        <w:rPr>
          <w:rStyle w:val="FootnoteReference"/>
        </w:rPr>
        <w:footnoteRef/>
      </w:r>
      <w:r>
        <w:t xml:space="preserve"> </w:t>
      </w:r>
      <w:r>
        <w:tab/>
        <w:t>In ActewAGL's initial access arrangement proposal, SFG's estimates of the SLCAPM, Black CAPM, Fama</w:t>
      </w:r>
      <w:r>
        <w:rPr>
          <w:rFonts w:cs="Gautami"/>
        </w:rPr>
        <w:t>–</w:t>
      </w:r>
      <w:r>
        <w:t>French three factor model and DGM were weighted equally.  ActewAGL</w:t>
      </w:r>
      <w:r w:rsidRPr="00B611A8">
        <w:t xml:space="preserve">, </w:t>
      </w:r>
      <w:r w:rsidRPr="006671CE">
        <w:rPr>
          <w:rStyle w:val="AERtextitalic"/>
        </w:rPr>
        <w:t>2016 to 202</w:t>
      </w:r>
      <w:r>
        <w:rPr>
          <w:rStyle w:val="AERtextitalic"/>
        </w:rPr>
        <w:t>1 access arrangement information: Attachment 8 Rate of return, gamma and inflation</w:t>
      </w:r>
      <w:r>
        <w:t>, June 2015, p. 13.</w:t>
      </w:r>
    </w:p>
  </w:footnote>
  <w:footnote w:id="31">
    <w:p w:rsidR="00702DD6" w:rsidRDefault="00702DD6">
      <w:pPr>
        <w:pStyle w:val="FootnoteText"/>
      </w:pPr>
      <w:r>
        <w:rPr>
          <w:rStyle w:val="FootnoteReference"/>
        </w:rPr>
        <w:footnoteRef/>
      </w:r>
      <w:r>
        <w:t xml:space="preserve"> </w:t>
      </w:r>
      <w:r>
        <w:tab/>
        <w:t>ActewAGL</w:t>
      </w:r>
      <w:r w:rsidRPr="00B611A8">
        <w:t xml:space="preserve">, </w:t>
      </w:r>
      <w:r w:rsidRPr="006671CE">
        <w:rPr>
          <w:rStyle w:val="AERtextitalic"/>
        </w:rPr>
        <w:t>2016 to 202</w:t>
      </w:r>
      <w:r>
        <w:rPr>
          <w:rStyle w:val="AERtextitalic"/>
        </w:rPr>
        <w:t>1 access arrangement information: Attachment 8 Rate of return, gamma and inflation</w:t>
      </w:r>
      <w:r>
        <w:t>, June 2015, p. 5.</w:t>
      </w:r>
    </w:p>
  </w:footnote>
  <w:footnote w:id="32">
    <w:p w:rsidR="00702DD6" w:rsidRDefault="00702DD6" w:rsidP="00737E50">
      <w:pPr>
        <w:pStyle w:val="FootnoteText"/>
      </w:pPr>
      <w:r>
        <w:rPr>
          <w:rStyle w:val="FootnoteReference"/>
        </w:rPr>
        <w:footnoteRef/>
      </w:r>
      <w:r>
        <w:t xml:space="preserve"> </w:t>
      </w:r>
      <w:r>
        <w:tab/>
        <w:t xml:space="preserve">ActewAGL, Revised </w:t>
      </w:r>
      <w:r w:rsidRPr="004A1F6F">
        <w:rPr>
          <w:rStyle w:val="AERtextitalic"/>
        </w:rPr>
        <w:t>2016 to 202</w:t>
      </w:r>
      <w:r>
        <w:rPr>
          <w:rStyle w:val="AERtextitalic"/>
        </w:rPr>
        <w:t xml:space="preserve">1 access arrangement </w:t>
      </w:r>
      <w:r w:rsidRPr="004A1F6F">
        <w:rPr>
          <w:rStyle w:val="AERtextitalic"/>
        </w:rPr>
        <w:t xml:space="preserve"> proposal</w:t>
      </w:r>
      <w:r>
        <w:rPr>
          <w:rStyle w:val="AERtextitalic"/>
        </w:rPr>
        <w:t>: Appendix 5.01 Rate of return, gamma, and inflation</w:t>
      </w:r>
      <w:r>
        <w:t>, 6 January 2016, pp. 43</w:t>
      </w:r>
      <w:r>
        <w:rPr>
          <w:rFonts w:cs="Arial"/>
        </w:rPr>
        <w:t>–</w:t>
      </w:r>
      <w:r>
        <w:t>4</w:t>
      </w:r>
      <w:r w:rsidRPr="00410847">
        <w:rPr>
          <w:rStyle w:val="AERtextitalic"/>
          <w:i w:val="0"/>
        </w:rPr>
        <w:t>.</w:t>
      </w:r>
    </w:p>
  </w:footnote>
  <w:footnote w:id="33">
    <w:p w:rsidR="00702DD6" w:rsidRDefault="00702DD6" w:rsidP="00A26A41">
      <w:pPr>
        <w:pStyle w:val="FootnoteText"/>
      </w:pPr>
      <w:r>
        <w:rPr>
          <w:rStyle w:val="FootnoteReference"/>
        </w:rPr>
        <w:footnoteRef/>
      </w:r>
      <w:r>
        <w:t xml:space="preserve"> </w:t>
      </w:r>
      <w:r>
        <w:tab/>
        <w:t xml:space="preserve">ActewAGL, Revised </w:t>
      </w:r>
      <w:r w:rsidRPr="004A1F6F">
        <w:rPr>
          <w:rStyle w:val="AERtextitalic"/>
        </w:rPr>
        <w:t>2016 to 202</w:t>
      </w:r>
      <w:r>
        <w:rPr>
          <w:rStyle w:val="AERtextitalic"/>
        </w:rPr>
        <w:t>1 access arrangement</w:t>
      </w:r>
      <w:r w:rsidRPr="004A1F6F">
        <w:rPr>
          <w:rStyle w:val="AERtextitalic"/>
        </w:rPr>
        <w:t xml:space="preserve"> proposal</w:t>
      </w:r>
      <w:r>
        <w:rPr>
          <w:rStyle w:val="AERtextitalic"/>
        </w:rPr>
        <w:t>: Appendix 5.01 Rate of return, gamma, and inflation</w:t>
      </w:r>
      <w:r>
        <w:t>, 6 January 2016, pp. 15</w:t>
      </w:r>
      <w:r>
        <w:rPr>
          <w:rFonts w:cs="Arial"/>
        </w:rPr>
        <w:t>–</w:t>
      </w:r>
      <w:r>
        <w:t>16</w:t>
      </w:r>
      <w:r w:rsidRPr="00A26A41">
        <w:rPr>
          <w:rStyle w:val="AERtextitalic"/>
        </w:rPr>
        <w:t>.</w:t>
      </w:r>
    </w:p>
  </w:footnote>
  <w:footnote w:id="34">
    <w:p w:rsidR="00702DD6" w:rsidRDefault="00702DD6" w:rsidP="005C1DB5">
      <w:pPr>
        <w:pStyle w:val="FootnoteText"/>
      </w:pPr>
      <w:r>
        <w:rPr>
          <w:rStyle w:val="FootnoteReference"/>
        </w:rPr>
        <w:footnoteRef/>
      </w:r>
      <w:r>
        <w:t xml:space="preserve"> </w:t>
      </w:r>
      <w:r>
        <w:tab/>
        <w:t>NGL, s. 28(1)(a).</w:t>
      </w:r>
    </w:p>
  </w:footnote>
  <w:footnote w:id="35">
    <w:p w:rsidR="00702DD6" w:rsidRDefault="00702DD6" w:rsidP="005C1DB5">
      <w:pPr>
        <w:pStyle w:val="FootnoteText"/>
      </w:pPr>
      <w:r>
        <w:rPr>
          <w:rStyle w:val="FootnoteReference"/>
        </w:rPr>
        <w:footnoteRef/>
      </w:r>
      <w:r>
        <w:t xml:space="preserve"> </w:t>
      </w:r>
      <w:r>
        <w:tab/>
        <w:t>NGL, s. 23.</w:t>
      </w:r>
    </w:p>
  </w:footnote>
  <w:footnote w:id="36">
    <w:p w:rsidR="00702DD6" w:rsidRDefault="00702DD6" w:rsidP="005C1DB5">
      <w:pPr>
        <w:pStyle w:val="FootnoteText"/>
      </w:pPr>
      <w:r>
        <w:rPr>
          <w:rStyle w:val="FootnoteReference"/>
        </w:rPr>
        <w:footnoteRef/>
      </w:r>
      <w:r>
        <w:t xml:space="preserve"> </w:t>
      </w:r>
      <w:r>
        <w:tab/>
        <w:t>NGL, s. 28(2)(a)(i).</w:t>
      </w:r>
    </w:p>
  </w:footnote>
  <w:footnote w:id="37">
    <w:p w:rsidR="00702DD6" w:rsidRDefault="00702DD6" w:rsidP="005C1DB5">
      <w:pPr>
        <w:pStyle w:val="FootnoteText"/>
      </w:pPr>
      <w:r>
        <w:rPr>
          <w:rStyle w:val="FootnoteReference"/>
        </w:rPr>
        <w:footnoteRef/>
      </w:r>
      <w:r>
        <w:t xml:space="preserve"> </w:t>
      </w:r>
      <w:r>
        <w:tab/>
        <w:t>NGL, s. 24(2)(a).</w:t>
      </w:r>
    </w:p>
  </w:footnote>
  <w:footnote w:id="38">
    <w:p w:rsidR="00702DD6" w:rsidRDefault="00702DD6" w:rsidP="005C1DB5">
      <w:pPr>
        <w:pStyle w:val="FootnoteText"/>
      </w:pPr>
      <w:r>
        <w:rPr>
          <w:rStyle w:val="FootnoteReference"/>
        </w:rPr>
        <w:footnoteRef/>
      </w:r>
      <w:r>
        <w:t xml:space="preserve"> </w:t>
      </w:r>
      <w:r>
        <w:tab/>
        <w:t>NGL, s. 24(3).</w:t>
      </w:r>
    </w:p>
  </w:footnote>
  <w:footnote w:id="39">
    <w:p w:rsidR="00702DD6" w:rsidRDefault="00702DD6" w:rsidP="005C1DB5">
      <w:pPr>
        <w:pStyle w:val="FootnoteText"/>
      </w:pPr>
      <w:r>
        <w:rPr>
          <w:rStyle w:val="FootnoteReference"/>
        </w:rPr>
        <w:footnoteRef/>
      </w:r>
      <w:r>
        <w:t xml:space="preserve"> </w:t>
      </w:r>
      <w:r>
        <w:tab/>
        <w:t>NGL, s. 24(5).</w:t>
      </w:r>
    </w:p>
  </w:footnote>
  <w:footnote w:id="40">
    <w:p w:rsidR="00702DD6" w:rsidRDefault="00702DD6" w:rsidP="005C1DB5">
      <w:pPr>
        <w:pStyle w:val="FootnoteText"/>
      </w:pPr>
      <w:r>
        <w:rPr>
          <w:rStyle w:val="FootnoteReference"/>
        </w:rPr>
        <w:footnoteRef/>
      </w:r>
      <w:r>
        <w:t xml:space="preserve"> </w:t>
      </w:r>
      <w:r>
        <w:tab/>
        <w:t>NGL, s. 24(6).</w:t>
      </w:r>
    </w:p>
  </w:footnote>
  <w:footnote w:id="41">
    <w:p w:rsidR="00702DD6" w:rsidRDefault="00702DD6" w:rsidP="005C1DB5">
      <w:pPr>
        <w:pStyle w:val="FootnoteText"/>
      </w:pPr>
      <w:r>
        <w:rPr>
          <w:rStyle w:val="FootnoteReference"/>
        </w:rPr>
        <w:footnoteRef/>
      </w:r>
      <w:r>
        <w:t xml:space="preserve"> </w:t>
      </w:r>
      <w:r>
        <w:tab/>
        <w:t>NGL, s. 24(7).</w:t>
      </w:r>
    </w:p>
  </w:footnote>
  <w:footnote w:id="42">
    <w:p w:rsidR="00702DD6" w:rsidRPr="00D5405B" w:rsidRDefault="00702DD6" w:rsidP="005C1DB5">
      <w:pPr>
        <w:pStyle w:val="FootnoteText"/>
        <w:rPr>
          <w:rStyle w:val="AERtexthighlight"/>
        </w:rPr>
      </w:pPr>
      <w:r>
        <w:rPr>
          <w:rStyle w:val="FootnoteReference"/>
        </w:rPr>
        <w:footnoteRef/>
      </w:r>
      <w:r>
        <w:t xml:space="preserve"> </w:t>
      </w:r>
      <w:r>
        <w:tab/>
        <w:t>NER, cl. 6.5.2(d); NER, cl. 6A.6.2(d); NGR, r, 87(4).</w:t>
      </w:r>
    </w:p>
  </w:footnote>
  <w:footnote w:id="43">
    <w:p w:rsidR="00702DD6" w:rsidRDefault="00702DD6" w:rsidP="005C1DB5">
      <w:pPr>
        <w:pStyle w:val="FootnoteText"/>
      </w:pPr>
      <w:r>
        <w:rPr>
          <w:rStyle w:val="FootnoteReference"/>
        </w:rPr>
        <w:footnoteRef/>
      </w:r>
      <w:r>
        <w:t xml:space="preserve"> </w:t>
      </w:r>
      <w:r>
        <w:tab/>
        <w:t>NER, cl. 6.5.2(e), NER cl, 6A.6.2(e); NGR, r. 87(5).</w:t>
      </w:r>
    </w:p>
  </w:footnote>
  <w:footnote w:id="44">
    <w:p w:rsidR="00702DD6" w:rsidRDefault="00702DD6" w:rsidP="005C1DB5">
      <w:pPr>
        <w:pStyle w:val="FootnoteText"/>
      </w:pPr>
      <w:r>
        <w:rPr>
          <w:rStyle w:val="FootnoteReference"/>
        </w:rPr>
        <w:footnoteRef/>
      </w:r>
      <w:r>
        <w:t xml:space="preserve"> </w:t>
      </w:r>
      <w:r>
        <w:tab/>
        <w:t>NER, cl  6.5.2</w:t>
      </w:r>
      <w:r w:rsidRPr="00A7067C">
        <w:t>(g)</w:t>
      </w:r>
      <w:r>
        <w:t>; NER, cl 6A.6.2(g); NGR, r. 87 (7).</w:t>
      </w:r>
    </w:p>
  </w:footnote>
  <w:footnote w:id="45">
    <w:p w:rsidR="00702DD6" w:rsidRDefault="00702DD6" w:rsidP="005C1DB5">
      <w:pPr>
        <w:pStyle w:val="FootnoteText"/>
      </w:pPr>
      <w:r>
        <w:rPr>
          <w:rStyle w:val="FootnoteReference"/>
        </w:rPr>
        <w:footnoteRef/>
      </w:r>
      <w:r>
        <w:t xml:space="preserve"> </w:t>
      </w:r>
      <w:r>
        <w:tab/>
        <w:t>NER, cl. 6.5.2 (h); NER, cl. 6A.6.2(h); NGR, cl. 87(8).</w:t>
      </w:r>
    </w:p>
  </w:footnote>
  <w:footnote w:id="46">
    <w:p w:rsidR="00702DD6" w:rsidRDefault="00702DD6" w:rsidP="005C1DB5">
      <w:pPr>
        <w:pStyle w:val="FootnoteText"/>
      </w:pPr>
      <w:r>
        <w:rPr>
          <w:rStyle w:val="FootnoteReference"/>
        </w:rPr>
        <w:footnoteRef/>
      </w:r>
      <w:r>
        <w:t xml:space="preserve"> </w:t>
      </w:r>
      <w:r>
        <w:tab/>
        <w:t>NER, cl. 6.5.2 (i); NER, cl. 6A.6.2(i)(2); NGR, cl. 87(9)(b).</w:t>
      </w:r>
    </w:p>
  </w:footnote>
  <w:footnote w:id="47">
    <w:p w:rsidR="00702DD6" w:rsidRDefault="00702DD6" w:rsidP="005C1DB5">
      <w:pPr>
        <w:pStyle w:val="FootnoteText"/>
      </w:pPr>
      <w:r>
        <w:rPr>
          <w:rStyle w:val="FootnoteReference"/>
        </w:rPr>
        <w:footnoteRef/>
      </w:r>
      <w:r>
        <w:t xml:space="preserve"> </w:t>
      </w:r>
      <w:r>
        <w:tab/>
        <w:t>NER, cl. 6.5.2 (k)(4); NER, cl. 6A.6.2(k)(4); NGR, cl. 87(11)(d).</w:t>
      </w:r>
    </w:p>
  </w:footnote>
  <w:footnote w:id="48">
    <w:p w:rsidR="00702DD6" w:rsidRDefault="00702DD6" w:rsidP="005C1DB5">
      <w:pPr>
        <w:pStyle w:val="FootnoteText"/>
      </w:pPr>
      <w:r>
        <w:rPr>
          <w:rStyle w:val="FootnoteReference"/>
        </w:rPr>
        <w:footnoteRef/>
      </w:r>
      <w:r>
        <w:t xml:space="preserve"> </w:t>
      </w:r>
      <w:r>
        <w:tab/>
        <w:t xml:space="preserve">NER, cl. 6.5.2(c); NER, cl. 6A.6.2(c); NGR r. 87(3). </w:t>
      </w:r>
    </w:p>
  </w:footnote>
  <w:footnote w:id="49">
    <w:p w:rsidR="00702DD6" w:rsidRDefault="00702DD6" w:rsidP="005C1DB5">
      <w:pPr>
        <w:pStyle w:val="FootnoteText"/>
      </w:pPr>
      <w:r>
        <w:rPr>
          <w:rStyle w:val="FootnoteReference"/>
        </w:rPr>
        <w:footnoteRef/>
      </w:r>
      <w:r>
        <w:t xml:space="preserve"> </w:t>
      </w:r>
      <w:r>
        <w:tab/>
        <w:t>The AEMC describes, 'a</w:t>
      </w:r>
      <w:r w:rsidRPr="00FF263F">
        <w:t>llowed revenues for network businesses are now set using</w:t>
      </w:r>
      <w:r>
        <w:t xml:space="preserve"> </w:t>
      </w:r>
      <w:r w:rsidRPr="00FF263F">
        <w:t>the expenditure required by prudent, efficient operators as</w:t>
      </w:r>
      <w:r>
        <w:t xml:space="preserve"> </w:t>
      </w:r>
      <w:r w:rsidRPr="00FF263F">
        <w:t>a benchmark. Companies have incentives to beat the</w:t>
      </w:r>
      <w:r>
        <w:t xml:space="preserve"> </w:t>
      </w:r>
      <w:r w:rsidRPr="00FF263F">
        <w:t>benchmarks so they can keep some of their savings and</w:t>
      </w:r>
      <w:r>
        <w:t xml:space="preserve"> </w:t>
      </w:r>
      <w:r w:rsidRPr="00FF263F">
        <w:t>pass the rest on to customers</w:t>
      </w:r>
      <w:r>
        <w:t>'</w:t>
      </w:r>
      <w:r w:rsidRPr="00FF263F">
        <w:t>.</w:t>
      </w:r>
      <w:r>
        <w:t xml:space="preserve"> See AEMC, </w:t>
      </w:r>
      <w:r w:rsidRPr="00D001FE">
        <w:rPr>
          <w:rStyle w:val="AERtextitalic"/>
        </w:rPr>
        <w:t>Overview 2014–15</w:t>
      </w:r>
      <w:r>
        <w:t>.</w:t>
      </w:r>
    </w:p>
  </w:footnote>
  <w:footnote w:id="50">
    <w:p w:rsidR="00702DD6" w:rsidRDefault="00702DD6" w:rsidP="005C1DB5">
      <w:pPr>
        <w:pStyle w:val="FootnoteText"/>
      </w:pPr>
      <w:r>
        <w:rPr>
          <w:rStyle w:val="FootnoteReference"/>
        </w:rPr>
        <w:footnoteRef/>
      </w:r>
      <w:r>
        <w:t xml:space="preserve"> </w:t>
      </w:r>
      <w:r>
        <w:tab/>
        <w:t xml:space="preserve">See section 2.1 of Appendix </w:t>
      </w:r>
      <w:r>
        <w:fldChar w:fldCharType="begin"/>
      </w:r>
      <w:r>
        <w:instrText xml:space="preserve"> REF _Ref451328167 \r \h </w:instrText>
      </w:r>
      <w:r>
        <w:fldChar w:fldCharType="separate"/>
      </w:r>
      <w:r>
        <w:t>H</w:t>
      </w:r>
      <w:r>
        <w:fldChar w:fldCharType="end"/>
      </w:r>
      <w:r>
        <w:t>.</w:t>
      </w:r>
    </w:p>
  </w:footnote>
  <w:footnote w:id="51">
    <w:p w:rsidR="00702DD6" w:rsidRDefault="00702DD6" w:rsidP="005C1DB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52">
    <w:p w:rsidR="00702DD6" w:rsidRDefault="00702DD6" w:rsidP="005C1DB5">
      <w:pPr>
        <w:pStyle w:val="FootnoteText"/>
      </w:pPr>
      <w:r>
        <w:rPr>
          <w:rStyle w:val="FootnoteReference"/>
        </w:rPr>
        <w:footnoteRef/>
      </w:r>
      <w:r>
        <w:t xml:space="preserve"> </w:t>
      </w:r>
      <w:r>
        <w:tab/>
        <w:t xml:space="preserve">This includes both new and existing investment. </w:t>
      </w:r>
    </w:p>
  </w:footnote>
  <w:footnote w:id="53">
    <w:p w:rsidR="00702DD6" w:rsidRDefault="00702DD6" w:rsidP="005C1DB5">
      <w:pPr>
        <w:pStyle w:val="FootnoteText"/>
      </w:pPr>
      <w:r>
        <w:rPr>
          <w:rStyle w:val="FootnoteReference"/>
        </w:rPr>
        <w:footnoteRef/>
      </w:r>
      <w:r>
        <w:t xml:space="preserve"> </w:t>
      </w:r>
      <w:r>
        <w:tab/>
      </w:r>
      <w:r w:rsidRPr="001029A1">
        <w:t>This risk is based on the risk of the underlying assets (that is, the RAB</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pp. 18, 22.</w:t>
      </w:r>
    </w:p>
  </w:footnote>
  <w:footnote w:id="54">
    <w:p w:rsidR="00702DD6" w:rsidRDefault="00702DD6" w:rsidP="005C1DB5">
      <w:pPr>
        <w:pStyle w:val="FootnoteText"/>
      </w:pPr>
      <w:r>
        <w:rPr>
          <w:rStyle w:val="FootnoteReference"/>
        </w:rPr>
        <w:footnoteRef/>
      </w:r>
      <w:r>
        <w:t xml:space="preserve"> </w:t>
      </w:r>
      <w:r>
        <w:tab/>
      </w:r>
      <w:r w:rsidRPr="00702677">
        <w:t xml:space="preserve">See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r w:rsidRPr="00702677">
        <w:t>.</w:t>
      </w:r>
      <w:r>
        <w:t xml:space="preserve"> We note the cost of capital (from a firm's perspective) is also known as investors' required rate of return (from an investors' perspective).</w:t>
      </w:r>
    </w:p>
  </w:footnote>
  <w:footnote w:id="55">
    <w:p w:rsidR="00702DD6" w:rsidRDefault="00702DD6" w:rsidP="005C1DB5">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56">
    <w:p w:rsidR="00702DD6" w:rsidRDefault="00702DD6" w:rsidP="005C1DB5">
      <w:pPr>
        <w:pStyle w:val="FootnoteText"/>
      </w:pPr>
      <w:r>
        <w:rPr>
          <w:rStyle w:val="FootnoteReference"/>
        </w:rPr>
        <w:footnoteRef/>
      </w:r>
      <w:r>
        <w:t xml:space="preserve"> </w:t>
      </w:r>
      <w:r>
        <w:tab/>
        <w:t xml:space="preserve">See sections 1.1 and 2.1 of Appendix </w:t>
      </w:r>
      <w:r>
        <w:fldChar w:fldCharType="begin"/>
      </w:r>
      <w:r>
        <w:instrText xml:space="preserve"> REF _Ref451328190 \r \h </w:instrText>
      </w:r>
      <w:r>
        <w:fldChar w:fldCharType="separate"/>
      </w:r>
      <w:r>
        <w:t>H</w:t>
      </w:r>
      <w:r>
        <w:fldChar w:fldCharType="end"/>
      </w:r>
      <w:r>
        <w:t>.</w:t>
      </w:r>
    </w:p>
  </w:footnote>
  <w:footnote w:id="57">
    <w:p w:rsidR="00702DD6" w:rsidRDefault="00702DD6" w:rsidP="005C1DB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58">
    <w:p w:rsidR="00702DD6" w:rsidRDefault="00702DD6" w:rsidP="005C1DB5">
      <w:pPr>
        <w:pStyle w:val="FootnoteText"/>
      </w:pPr>
      <w:r>
        <w:rPr>
          <w:rStyle w:val="FootnoteReference"/>
        </w:rPr>
        <w:footnoteRef/>
      </w:r>
      <w:r>
        <w:t xml:space="preserve"> </w:t>
      </w:r>
      <w:r>
        <w:tab/>
        <w:t>Bishop, S., Faff, R., Oliver, B., Twite, G., 'Corporate Finance', Ed. 5 Pearson Prentice Hall, 2004, p. 577.</w:t>
      </w:r>
    </w:p>
  </w:footnote>
  <w:footnote w:id="59">
    <w:p w:rsidR="00702DD6" w:rsidRDefault="00702DD6" w:rsidP="005C1DB5">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60">
    <w:p w:rsidR="00702DD6" w:rsidRDefault="00702DD6" w:rsidP="005C1DB5">
      <w:pPr>
        <w:pStyle w:val="FootnoteText"/>
      </w:pPr>
      <w:r>
        <w:rPr>
          <w:rStyle w:val="FootnoteReference"/>
        </w:rPr>
        <w:footnoteRef/>
      </w:r>
      <w:r>
        <w:t xml:space="preserve"> </w:t>
      </w:r>
      <w:r>
        <w:tab/>
        <w:t xml:space="preserve">McKenzie, M., Partington, G., </w:t>
      </w:r>
      <w:r w:rsidRPr="00D001FE">
        <w:rPr>
          <w:rStyle w:val="AERtextitalic"/>
        </w:rPr>
        <w:t>Risk, asset pricing models and WACC</w:t>
      </w:r>
      <w:r>
        <w:t>, June 2013, p. 10.</w:t>
      </w:r>
    </w:p>
  </w:footnote>
  <w:footnote w:id="61">
    <w:p w:rsidR="00702DD6" w:rsidRDefault="00702DD6" w:rsidP="005C1DB5">
      <w:pPr>
        <w:pStyle w:val="FootnoteText"/>
      </w:pPr>
      <w:r>
        <w:rPr>
          <w:rStyle w:val="FootnoteReference"/>
        </w:rPr>
        <w:footnoteRef/>
      </w:r>
      <w:r>
        <w:t xml:space="preserve"> </w:t>
      </w:r>
      <w:r>
        <w:tab/>
        <w:t xml:space="preserve">Theoretically, this asset or business is 'a benchmark efficient entity'. In practice, we use a sample of businesses we consider comparable to a benchmark efficient entity to calculate equity beta (see section 3.4.1). </w:t>
      </w:r>
    </w:p>
  </w:footnote>
  <w:footnote w:id="62">
    <w:p w:rsidR="00702DD6" w:rsidRDefault="00702DD6" w:rsidP="005C1DB5">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63">
    <w:p w:rsidR="00702DD6" w:rsidRDefault="00702DD6" w:rsidP="005C1DB5">
      <w:pPr>
        <w:pStyle w:val="FootnoteText"/>
      </w:pPr>
      <w:r>
        <w:rPr>
          <w:rStyle w:val="FootnoteReference"/>
        </w:rPr>
        <w:footnoteRef/>
      </w:r>
      <w:r>
        <w:t xml:space="preserve"> </w:t>
      </w:r>
      <w:r>
        <w:tab/>
        <w:t xml:space="preserve">McKenzie, M., Partington, G., </w:t>
      </w:r>
      <w:r w:rsidRPr="00196FB2">
        <w:rPr>
          <w:rStyle w:val="AERtextitalic"/>
        </w:rPr>
        <w:t>Risk, asset pricing models and WACC</w:t>
      </w:r>
      <w:r>
        <w:t>, June 2013, p. 14.</w:t>
      </w:r>
    </w:p>
  </w:footnote>
  <w:footnote w:id="64">
    <w:p w:rsidR="00702DD6" w:rsidRDefault="00702DD6" w:rsidP="005C1DB5">
      <w:pPr>
        <w:pStyle w:val="FootnoteText"/>
      </w:pPr>
      <w:r>
        <w:rPr>
          <w:rStyle w:val="FootnoteReference"/>
        </w:rPr>
        <w:footnoteRef/>
      </w:r>
      <w:r>
        <w:t xml:space="preserve"> </w:t>
      </w:r>
      <w:r>
        <w:tab/>
        <w:t>We observe the promised returns of debt issued by a sample of firms we consider comparable to a benchmark efficient entity based on the benchmark credit rating and term. In practice, we may overcompensate a benchmark efficient entity for these risks as we observe broad BBB debt whereas we consider a benchmark efficient entity would issue BBB+ debt.</w:t>
      </w:r>
    </w:p>
  </w:footnote>
  <w:footnote w:id="65">
    <w:p w:rsidR="00702DD6" w:rsidRDefault="00702DD6" w:rsidP="005C1DB5">
      <w:pPr>
        <w:pStyle w:val="FootnoteText"/>
      </w:pPr>
      <w:r>
        <w:rPr>
          <w:rStyle w:val="FootnoteReference"/>
        </w:rPr>
        <w:footnoteRef/>
      </w:r>
      <w:r>
        <w:t xml:space="preserve"> </w:t>
      </w:r>
      <w:r>
        <w:tab/>
        <w:t xml:space="preserve">Frontier, </w:t>
      </w:r>
      <w:r w:rsidRPr="000F4FF5">
        <w:rPr>
          <w:rStyle w:val="AERtextitalic"/>
        </w:rPr>
        <w:t>Assessing risk when determining the appropriate rate of return for regulated energy networks in Australia</w:t>
      </w:r>
      <w:r>
        <w:t xml:space="preserve">, July 2013. </w:t>
      </w:r>
    </w:p>
  </w:footnote>
  <w:footnote w:id="66">
    <w:p w:rsidR="00702DD6" w:rsidRDefault="00702DD6" w:rsidP="005C1DB5">
      <w:pPr>
        <w:pStyle w:val="FootnoteText"/>
      </w:pPr>
      <w:r>
        <w:rPr>
          <w:rStyle w:val="FootnoteReference"/>
        </w:rPr>
        <w:footnoteRef/>
      </w:r>
      <w:r>
        <w:t xml:space="preserve"> </w:t>
      </w:r>
      <w:r>
        <w:tab/>
      </w:r>
      <w:r w:rsidRPr="007D32F9">
        <w:t>NER, cls. 6.5.2(c), 6A.6.2(c); NGR, r. 87(2)(3).</w:t>
      </w:r>
    </w:p>
  </w:footnote>
  <w:footnote w:id="67">
    <w:p w:rsidR="00702DD6" w:rsidRPr="005C1DB5" w:rsidRDefault="00702DD6" w:rsidP="005C1DB5">
      <w:pPr>
        <w:pStyle w:val="FootnoteText"/>
        <w:rPr>
          <w:i/>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r>
        <w:rPr>
          <w:rStyle w:val="AERtextitalic"/>
        </w:rPr>
        <w:t xml:space="preserve"> </w:t>
      </w:r>
      <w:r w:rsidRPr="00D615EC">
        <w:rPr>
          <w:rStyle w:val="AERtextitalic"/>
        </w:rPr>
        <w:t>Australia</w:t>
      </w:r>
      <w:r w:rsidRPr="00D615EC">
        <w:t>, June 2013</w:t>
      </w:r>
      <w:r>
        <w:t>.</w:t>
      </w:r>
    </w:p>
  </w:footnote>
  <w:footnote w:id="68">
    <w:p w:rsidR="00702DD6" w:rsidRDefault="00702DD6" w:rsidP="005C1DB5">
      <w:pPr>
        <w:pStyle w:val="FootnoteText"/>
      </w:pPr>
      <w:r>
        <w:rPr>
          <w:rStyle w:val="FootnoteReference"/>
        </w:rPr>
        <w:footnoteRef/>
      </w:r>
      <w:r>
        <w:t xml:space="preserve"> </w:t>
      </w:r>
      <w:r>
        <w:tab/>
        <w:t xml:space="preserve">That is, </w:t>
      </w:r>
      <w:r w:rsidRPr="000904F0">
        <w:t>gas, electricity, transmission and distribution</w:t>
      </w:r>
      <w:r>
        <w:t xml:space="preserve"> service providers.</w:t>
      </w:r>
    </w:p>
  </w:footnote>
  <w:footnote w:id="69">
    <w:p w:rsidR="00702DD6" w:rsidRDefault="00702DD6" w:rsidP="005C1DB5">
      <w:pPr>
        <w:pStyle w:val="FootnoteText"/>
      </w:pPr>
      <w:r>
        <w:rPr>
          <w:rStyle w:val="FootnoteReference"/>
        </w:rPr>
        <w:footnoteRef/>
      </w:r>
      <w:r>
        <w:t xml:space="preserve"> </w:t>
      </w:r>
      <w:r>
        <w:tab/>
        <w:t xml:space="preserve">As discussed under the above heading 'similar', compensable risk refers to </w:t>
      </w:r>
      <w:r w:rsidRPr="0009064E">
        <w:t>risk that is to be compensated through the allowed rate of return</w:t>
      </w:r>
      <w:r>
        <w:t>.</w:t>
      </w:r>
    </w:p>
  </w:footnote>
  <w:footnote w:id="70">
    <w:p w:rsidR="00702DD6" w:rsidRDefault="00702DD6" w:rsidP="005C1DB5">
      <w:pPr>
        <w:pStyle w:val="FootnoteText"/>
      </w:pPr>
      <w:r>
        <w:rPr>
          <w:rStyle w:val="FootnoteReference"/>
        </w:rPr>
        <w:footnoteRef/>
      </w:r>
      <w:r>
        <w:t xml:space="preserve"> </w:t>
      </w:r>
      <w:r>
        <w:tab/>
        <w:t xml:space="preserve">AER, </w:t>
      </w:r>
      <w:r w:rsidRPr="005772E3">
        <w:rPr>
          <w:rStyle w:val="AERtextitalic"/>
        </w:rPr>
        <w:t>Better regulation: Explanatory statement to the rate of return guideline</w:t>
      </w:r>
      <w:r>
        <w:t>, December 2013, pp. 32</w:t>
      </w:r>
      <w:r>
        <w:rPr>
          <w:rFonts w:cs="Arial"/>
        </w:rPr>
        <w:t>–</w:t>
      </w:r>
      <w:r>
        <w:t>45.</w:t>
      </w:r>
    </w:p>
  </w:footnote>
  <w:footnote w:id="71">
    <w:p w:rsidR="00702DD6" w:rsidRDefault="00702DD6" w:rsidP="00CA5166">
      <w:pPr>
        <w:pStyle w:val="FootnoteText"/>
      </w:pPr>
      <w:r>
        <w:rPr>
          <w:rStyle w:val="FootnoteReference"/>
        </w:rPr>
        <w:footnoteRef/>
      </w:r>
      <w:r>
        <w:t xml:space="preserve"> </w:t>
      </w:r>
      <w:r>
        <w:tab/>
        <w:t xml:space="preserve">NGR </w:t>
      </w:r>
      <w:r w:rsidRPr="00866141">
        <w:t xml:space="preserve">87(3). </w:t>
      </w:r>
      <w:r>
        <w:t xml:space="preserve">Instead of 'reference services', the NER refer to 'prescribed transmission services' for transmission and 'standard control services' for distribution. See NER 6A.6.2(c) and </w:t>
      </w:r>
      <w:r w:rsidRPr="00866141">
        <w:t>NER 6.5.2(c).</w:t>
      </w:r>
    </w:p>
  </w:footnote>
  <w:footnote w:id="72">
    <w:p w:rsidR="00702DD6" w:rsidRDefault="00702DD6" w:rsidP="00CA5166">
      <w:pPr>
        <w:pStyle w:val="FootnoteText"/>
      </w:pPr>
      <w:r>
        <w:rPr>
          <w:rStyle w:val="FootnoteReference"/>
        </w:rPr>
        <w:footnoteRef/>
      </w:r>
      <w:r>
        <w:t xml:space="preserve"> </w:t>
      </w:r>
      <w:r>
        <w:tab/>
        <w:t>NGL, Chapter 1, Part 1 (2</w:t>
      </w:r>
      <w:r>
        <w:rPr>
          <w:rFonts w:cs="Arial"/>
        </w:rPr>
        <w:t>—</w:t>
      </w:r>
      <w:r>
        <w:t>Definitions).</w:t>
      </w:r>
    </w:p>
  </w:footnote>
  <w:footnote w:id="73">
    <w:p w:rsidR="00702DD6" w:rsidRDefault="00702DD6" w:rsidP="005C1DB5">
      <w:pPr>
        <w:pStyle w:val="FootnoteText"/>
      </w:pPr>
      <w:r>
        <w:rPr>
          <w:rStyle w:val="FootnoteReference"/>
        </w:rPr>
        <w:footnoteRef/>
      </w:r>
      <w:r>
        <w:t xml:space="preserve"> </w:t>
      </w:r>
      <w:r>
        <w:tab/>
        <w:t xml:space="preserve">NGR </w:t>
      </w:r>
      <w:r w:rsidRPr="00866141">
        <w:t xml:space="preserve">87(3). </w:t>
      </w:r>
      <w:r>
        <w:t>Instead of 'reference services', the NER refer to 'prescribed transmission services' for transmission and 'standard control services' for distribution. See NER 6A.6.2(c) and NER 6.5.2(c).</w:t>
      </w:r>
    </w:p>
  </w:footnote>
  <w:footnote w:id="74">
    <w:p w:rsidR="00702DD6" w:rsidRDefault="00702DD6" w:rsidP="005C1DB5">
      <w:pPr>
        <w:pStyle w:val="FootnoteText"/>
      </w:pPr>
      <w:r>
        <w:rPr>
          <w:rStyle w:val="FootnoteReference"/>
        </w:rPr>
        <w:footnoteRef/>
      </w:r>
      <w:r>
        <w:t xml:space="preserve"> </w:t>
      </w:r>
      <w:r>
        <w:tab/>
        <w:t>See NGL, Chapter 1, Part 1 (2</w:t>
      </w:r>
      <w:r w:rsidRPr="00020C31">
        <w:t>—</w:t>
      </w:r>
      <w:r>
        <w:t>Definitions).</w:t>
      </w:r>
    </w:p>
  </w:footnote>
  <w:footnote w:id="75">
    <w:p w:rsidR="00702DD6" w:rsidRDefault="00702DD6" w:rsidP="005C1DB5">
      <w:pPr>
        <w:pStyle w:val="FootnoteText"/>
      </w:pPr>
      <w:r>
        <w:rPr>
          <w:rStyle w:val="FootnoteReference"/>
        </w:rPr>
        <w:footnoteRef/>
      </w:r>
      <w:r>
        <w:t xml:space="preserve"> </w:t>
      </w:r>
      <w:r>
        <w:tab/>
        <w:t>Bishop, S., Faff, R., Oliver, B., Twite, G., 'Corporate Finance', Ed. 5 Pearson Prentice Hall, 2004, p. 577.</w:t>
      </w:r>
    </w:p>
  </w:footnote>
  <w:footnote w:id="76">
    <w:p w:rsidR="00702DD6" w:rsidRDefault="00702DD6" w:rsidP="005C1DB5">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77">
    <w:p w:rsidR="00702DD6" w:rsidRDefault="00702DD6" w:rsidP="005C1DB5">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78">
    <w:p w:rsidR="00702DD6" w:rsidRDefault="00702DD6" w:rsidP="005C1DB5">
      <w:pPr>
        <w:pStyle w:val="FootnoteText"/>
      </w:pPr>
      <w:r>
        <w:rPr>
          <w:rStyle w:val="FootnoteReference"/>
        </w:rPr>
        <w:footnoteRef/>
      </w:r>
      <w:r>
        <w:t xml:space="preserve"> </w:t>
      </w:r>
      <w:r>
        <w:tab/>
        <w:t>Brealey, R., Myers, S., Allen, F., 'Principles of corporate finance', 2011, Ed. 10, McGraw-Hill Irwin, Figure 8.2, p. 187.</w:t>
      </w:r>
    </w:p>
  </w:footnote>
  <w:footnote w:id="79">
    <w:p w:rsidR="00702DD6" w:rsidRDefault="00702DD6" w:rsidP="005C1DB5">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80">
    <w:p w:rsidR="00702DD6" w:rsidRDefault="00702DD6" w:rsidP="005C1DB5">
      <w:pPr>
        <w:pStyle w:val="FootnoteText"/>
      </w:pPr>
      <w:r>
        <w:rPr>
          <w:rStyle w:val="FootnoteReference"/>
        </w:rPr>
        <w:footnoteRef/>
      </w:r>
      <w:r>
        <w:t xml:space="preserve"> </w:t>
      </w:r>
      <w:r>
        <w:tab/>
        <w:t xml:space="preserve">AER: </w:t>
      </w:r>
      <w:r w:rsidRPr="009E1E6C">
        <w:rPr>
          <w:rStyle w:val="AERtextitalic"/>
        </w:rPr>
        <w:t>Better regulation: Explanatory statement to the rate of return guideline</w:t>
      </w:r>
      <w:r>
        <w:t>, December 2013, pp. 32</w:t>
      </w:r>
      <w:r>
        <w:rPr>
          <w:rFonts w:cs="Arial"/>
        </w:rPr>
        <w:t>–</w:t>
      </w:r>
      <w:r>
        <w:t>45.</w:t>
      </w:r>
    </w:p>
  </w:footnote>
  <w:footnote w:id="81">
    <w:p w:rsidR="00702DD6" w:rsidRDefault="00702DD6" w:rsidP="005C1DB5">
      <w:pPr>
        <w:pStyle w:val="FootnoteText"/>
      </w:pPr>
      <w:r>
        <w:rPr>
          <w:rStyle w:val="FootnoteReference"/>
        </w:rPr>
        <w:footnoteRef/>
      </w:r>
      <w:r>
        <w:t xml:space="preserve"> </w:t>
      </w:r>
      <w:r>
        <w:tab/>
        <w:t xml:space="preserve">Frontier Economics, </w:t>
      </w:r>
      <w:r w:rsidRPr="005B03C0">
        <w:rPr>
          <w:rStyle w:val="AERtextitalic"/>
        </w:rPr>
        <w:t>Assessing risk when determining the appropriate rate of return for regulated energy networks in Australia</w:t>
      </w:r>
      <w:r>
        <w:t>, July 2013, p. 4.</w:t>
      </w:r>
    </w:p>
  </w:footnote>
  <w:footnote w:id="82">
    <w:p w:rsidR="00702DD6" w:rsidRDefault="00702DD6" w:rsidP="005C1DB5">
      <w:pPr>
        <w:pStyle w:val="FootnoteText"/>
      </w:pPr>
      <w:r>
        <w:rPr>
          <w:rStyle w:val="FootnoteReference"/>
        </w:rPr>
        <w:footnoteRef/>
      </w:r>
      <w:r>
        <w:t xml:space="preserve"> </w:t>
      </w:r>
      <w:r>
        <w:tab/>
        <w:t xml:space="preserve">See CCP3, </w:t>
      </w:r>
      <w:r>
        <w:rPr>
          <w:rStyle w:val="AERtextitalic"/>
        </w:rPr>
        <w:t>Submission to the AER: A</w:t>
      </w:r>
      <w:r w:rsidRPr="00A30733">
        <w:rPr>
          <w:rStyle w:val="AERtextitalic"/>
        </w:rPr>
        <w:t>n Overview ― Response to AER Preliminary Decisions and revised proposals from Victorian electricity DNSPs for a revenue reset for the 2016</w:t>
      </w:r>
      <w:r>
        <w:rPr>
          <w:rStyle w:val="AERtextitalic"/>
          <w:rFonts w:ascii="Cambria Math" w:hAnsi="Cambria Math" w:cs="Cambria Math"/>
        </w:rPr>
        <w:t>–</w:t>
      </w:r>
      <w:r w:rsidRPr="00A30733">
        <w:rPr>
          <w:rStyle w:val="AERtextitalic"/>
        </w:rPr>
        <w:t>2020 regulatory period</w:t>
      </w:r>
      <w:r>
        <w:t>, 22 February 2016, p. 31.</w:t>
      </w:r>
    </w:p>
  </w:footnote>
  <w:footnote w:id="83">
    <w:p w:rsidR="00702DD6" w:rsidRDefault="00702DD6" w:rsidP="005C1DB5">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Pr>
          <w:rFonts w:cs="Arial"/>
        </w:rPr>
        <w:t>–</w:t>
      </w:r>
      <w:r>
        <w:t xml:space="preserve">13. </w:t>
      </w:r>
    </w:p>
  </w:footnote>
  <w:footnote w:id="84">
    <w:p w:rsidR="00702DD6" w:rsidRDefault="00702DD6" w:rsidP="005C1DB5">
      <w:pPr>
        <w:pStyle w:val="FootnoteText"/>
      </w:pPr>
      <w:r>
        <w:rPr>
          <w:rStyle w:val="FootnoteReference"/>
        </w:rPr>
        <w:footnoteRef/>
      </w:r>
      <w:r>
        <w:t xml:space="preserve"> </w:t>
      </w:r>
      <w:r>
        <w:tab/>
        <w:t xml:space="preserve">Hindriks, J., Myles, G.D., </w:t>
      </w:r>
      <w:r w:rsidRPr="00732E2F">
        <w:rPr>
          <w:rStyle w:val="AERtextitalic"/>
        </w:rPr>
        <w:t>Intermediate public economics</w:t>
      </w:r>
      <w:r>
        <w:t>, The MIT Press, 2006, p. 232.</w:t>
      </w:r>
    </w:p>
  </w:footnote>
  <w:footnote w:id="85">
    <w:p w:rsidR="00702DD6" w:rsidRDefault="00702DD6" w:rsidP="005C1DB5">
      <w:pPr>
        <w:pStyle w:val="FootnoteText"/>
      </w:pPr>
      <w:r>
        <w:rPr>
          <w:rStyle w:val="FootnoteReference"/>
        </w:rPr>
        <w:footnoteRef/>
      </w:r>
      <w:r>
        <w:t xml:space="preserve"> </w:t>
      </w:r>
      <w:r>
        <w:tab/>
        <w:t xml:space="preserve">That is, standard control services as referred to in NER 6.5.2(c), prescribed transmission services as referred to in NER  6A.6.2(c), or 'reference services' as referred to in NGR  87(3). </w:t>
      </w:r>
    </w:p>
  </w:footnote>
  <w:footnote w:id="86">
    <w:p w:rsidR="00702DD6" w:rsidRDefault="00702DD6" w:rsidP="005C1DB5">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87">
    <w:p w:rsidR="00702DD6" w:rsidRDefault="00702DD6" w:rsidP="005C1DB5">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88">
    <w:p w:rsidR="00702DD6" w:rsidRDefault="00702DD6" w:rsidP="005C1DB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49.</w:t>
      </w:r>
    </w:p>
  </w:footnote>
  <w:footnote w:id="89">
    <w:p w:rsidR="00702DD6" w:rsidRDefault="00702DD6" w:rsidP="005C1DB5">
      <w:pPr>
        <w:pStyle w:val="FootnoteText"/>
      </w:pPr>
      <w:r>
        <w:rPr>
          <w:rStyle w:val="FootnoteReference"/>
        </w:rPr>
        <w:footnoteRef/>
      </w:r>
      <w:r>
        <w:t xml:space="preserve"> </w:t>
      </w:r>
      <w:r>
        <w:tab/>
        <w:t>NER, cl. 6.5.2(k) and cl. 6A.6.2(k); NGR, r.87(11).</w:t>
      </w:r>
    </w:p>
  </w:footnote>
  <w:footnote w:id="90">
    <w:p w:rsidR="00702DD6" w:rsidRDefault="00702DD6" w:rsidP="005C1DB5">
      <w:pPr>
        <w:pStyle w:val="FootnoteText"/>
      </w:pPr>
      <w:r>
        <w:rPr>
          <w:rStyle w:val="FootnoteReference"/>
        </w:rPr>
        <w:footnoteRef/>
      </w:r>
      <w:r>
        <w:t xml:space="preserve"> </w:t>
      </w:r>
      <w:r>
        <w:tab/>
      </w:r>
      <w:r w:rsidRPr="00F64E97">
        <w:t>NER</w:t>
      </w:r>
      <w:r>
        <w:t>,</w:t>
      </w:r>
      <w:r w:rsidRPr="00F64E97">
        <w:t xml:space="preserve"> </w:t>
      </w:r>
      <w:r>
        <w:t>cl</w:t>
      </w:r>
      <w:r w:rsidRPr="00F64E97">
        <w:t>.6.5.2(k)</w:t>
      </w:r>
      <w:r>
        <w:t>(1)</w:t>
      </w:r>
      <w:r w:rsidRPr="00F64E97">
        <w:t xml:space="preserve"> and </w:t>
      </w:r>
      <w:r>
        <w:t>cl</w:t>
      </w:r>
      <w:r w:rsidRPr="00F64E97">
        <w:t>.6A.6.2(k)</w:t>
      </w:r>
      <w:r>
        <w:t>(1); NGR, r.87(11)(a).</w:t>
      </w:r>
    </w:p>
  </w:footnote>
  <w:footnote w:id="91">
    <w:p w:rsidR="00702DD6" w:rsidRDefault="00702DD6" w:rsidP="005C1DB5">
      <w:pPr>
        <w:pStyle w:val="FootnoteText"/>
      </w:pPr>
      <w:r>
        <w:rPr>
          <w:rStyle w:val="FootnoteReference"/>
        </w:rPr>
        <w:footnoteRef/>
      </w:r>
      <w:r>
        <w:t xml:space="preserve"> </w:t>
      </w:r>
      <w:r>
        <w:tab/>
      </w:r>
      <w:r w:rsidRPr="00F64E97">
        <w:t>NER</w:t>
      </w:r>
      <w:r>
        <w:t>,</w:t>
      </w:r>
      <w:r w:rsidRPr="00F64E97">
        <w:t xml:space="preserve"> </w:t>
      </w:r>
      <w:r>
        <w:t>cl</w:t>
      </w:r>
      <w:r w:rsidRPr="00F64E97">
        <w:t>.6.5.2(k)</w:t>
      </w:r>
      <w:r>
        <w:t>(2)</w:t>
      </w:r>
      <w:r w:rsidRPr="00F64E97">
        <w:t xml:space="preserve"> and </w:t>
      </w:r>
      <w:r>
        <w:t>cl</w:t>
      </w:r>
      <w:r w:rsidRPr="00F64E97">
        <w:t>.6A.6.2(k)</w:t>
      </w:r>
      <w:r>
        <w:t>(2); NGR, r.87(11)(b).</w:t>
      </w:r>
    </w:p>
  </w:footnote>
  <w:footnote w:id="92">
    <w:p w:rsidR="00702DD6" w:rsidRDefault="00702DD6" w:rsidP="005C1DB5">
      <w:pPr>
        <w:pStyle w:val="FootnoteText"/>
      </w:pPr>
      <w:r>
        <w:rPr>
          <w:rStyle w:val="FootnoteReference"/>
        </w:rPr>
        <w:footnoteRef/>
      </w:r>
      <w:r>
        <w:t xml:space="preserve"> </w:t>
      </w:r>
      <w:r>
        <w:tab/>
      </w:r>
      <w:r w:rsidRPr="00F64E97">
        <w:t>NER</w:t>
      </w:r>
      <w:r>
        <w:t>,</w:t>
      </w:r>
      <w:r w:rsidRPr="00F64E97">
        <w:t xml:space="preserve"> </w:t>
      </w:r>
      <w:r>
        <w:t>cl</w:t>
      </w:r>
      <w:r w:rsidRPr="00F64E97">
        <w:t>.6.5.2(k)</w:t>
      </w:r>
      <w:r>
        <w:t>(3)</w:t>
      </w:r>
      <w:r w:rsidRPr="00F64E97">
        <w:t xml:space="preserve"> and </w:t>
      </w:r>
      <w:r>
        <w:t>cl</w:t>
      </w:r>
      <w:r w:rsidRPr="00F64E97">
        <w:t>.6A.6.2(k)</w:t>
      </w:r>
      <w:r>
        <w:t>(3); NGR, r.87(11)(c).</w:t>
      </w:r>
    </w:p>
  </w:footnote>
  <w:footnote w:id="93">
    <w:p w:rsidR="00702DD6" w:rsidRDefault="00702DD6" w:rsidP="005C1DB5">
      <w:pPr>
        <w:pStyle w:val="FootnoteText"/>
      </w:pPr>
      <w:r>
        <w:rPr>
          <w:rStyle w:val="FootnoteReference"/>
        </w:rPr>
        <w:footnoteRef/>
      </w:r>
      <w:r>
        <w:t xml:space="preserve"> </w:t>
      </w:r>
      <w:r>
        <w:tab/>
      </w:r>
      <w:r w:rsidRPr="00F64E97">
        <w:t>NER</w:t>
      </w:r>
      <w:r>
        <w:t>,</w:t>
      </w:r>
      <w:r w:rsidRPr="00F64E97">
        <w:t xml:space="preserve"> </w:t>
      </w:r>
      <w:r>
        <w:t>cl</w:t>
      </w:r>
      <w:r w:rsidRPr="00F64E97">
        <w:t>.6.5.2(k)</w:t>
      </w:r>
      <w:r>
        <w:t>(4)</w:t>
      </w:r>
      <w:r w:rsidRPr="00F64E97">
        <w:t xml:space="preserve"> and </w:t>
      </w:r>
      <w:r>
        <w:t>cl</w:t>
      </w:r>
      <w:r w:rsidRPr="00F64E97">
        <w:t>.6A.6.2(k)</w:t>
      </w:r>
      <w:r>
        <w:t>(4); NGR, r.87(11)(d).</w:t>
      </w:r>
    </w:p>
  </w:footnote>
  <w:footnote w:id="94">
    <w:p w:rsidR="00702DD6" w:rsidRDefault="00702DD6" w:rsidP="005C1DB5">
      <w:pPr>
        <w:pStyle w:val="FootnoteText"/>
      </w:pPr>
      <w:r>
        <w:rPr>
          <w:rStyle w:val="FootnoteReference"/>
        </w:rPr>
        <w:footnoteRef/>
      </w:r>
      <w:r>
        <w:t xml:space="preserve"> </w:t>
      </w:r>
      <w:r>
        <w:tab/>
        <w:t xml:space="preserve">AER, </w:t>
      </w:r>
      <w:r w:rsidRPr="00DB7606">
        <w:rPr>
          <w:rStyle w:val="AERtextitalic"/>
        </w:rPr>
        <w:t>Final decision—Queensland distribution determination 2010–11 to 2014–15</w:t>
      </w:r>
      <w:r>
        <w:t>, May 2010, pp. 252</w:t>
      </w:r>
      <w:r>
        <w:softHyphen/>
        <w:t xml:space="preserve">–253; AER, </w:t>
      </w:r>
      <w:r w:rsidRPr="00DB7606">
        <w:rPr>
          <w:rStyle w:val="AERtextitalic"/>
        </w:rPr>
        <w:t>Final decision—Victorian electricity network distribution service providers: Distribution determination 2011–2015</w:t>
      </w:r>
      <w:r>
        <w:t xml:space="preserve">, p. 496; AER, </w:t>
      </w:r>
      <w:r w:rsidRPr="00DB7606">
        <w:rPr>
          <w:rStyle w:val="AERtextitalic"/>
        </w:rPr>
        <w:t>Final decision— Envestra Ltd: Access arrangement proposal for the SA gas network</w:t>
      </w:r>
      <w:r>
        <w:rPr>
          <w:rStyle w:val="AERtextitalic"/>
        </w:rPr>
        <w:t xml:space="preserve">, </w:t>
      </w:r>
      <w:r w:rsidRPr="00DB7606">
        <w:t>June 2011</w:t>
      </w:r>
      <w:r>
        <w:rPr>
          <w:rStyle w:val="AERtextitalic"/>
        </w:rPr>
        <w:t xml:space="preserve">, </w:t>
      </w:r>
      <w:r>
        <w:t>pp. 55, 58; AER, Final decision—</w:t>
      </w:r>
      <w:r w:rsidRPr="00270572">
        <w:t xml:space="preserve"> </w:t>
      </w:r>
      <w:r w:rsidRPr="00270572">
        <w:rPr>
          <w:rStyle w:val="AERtextitalic"/>
        </w:rPr>
        <w:t>Access arrangement proposal: ACT, Queanbeyan and Palerang gas distribution network</w:t>
      </w:r>
      <w:r>
        <w:t xml:space="preserve">, March 2010, pp. 40, 57; AER, </w:t>
      </w:r>
      <w:r w:rsidRPr="005B03C0">
        <w:rPr>
          <w:rStyle w:val="AERtextitalic"/>
        </w:rPr>
        <w:t>Final decision—NT Gas: Access arrangement proposal for the Amadeus Gas Pipeline August 2011 to June 2016</w:t>
      </w:r>
      <w:r>
        <w:t>, July 2011, p. 78.</w:t>
      </w:r>
    </w:p>
  </w:footnote>
  <w:footnote w:id="95">
    <w:p w:rsidR="00702DD6" w:rsidRDefault="00702DD6" w:rsidP="005C1DB5">
      <w:pPr>
        <w:pStyle w:val="FootnoteText"/>
      </w:pPr>
      <w:r>
        <w:rPr>
          <w:rStyle w:val="FootnoteReference"/>
        </w:rPr>
        <w:footnoteRef/>
      </w:r>
      <w:r>
        <w:t xml:space="preserve"> </w:t>
      </w:r>
      <w:r>
        <w:tab/>
        <w:t xml:space="preserve">Partington, G., Satchel, S., </w:t>
      </w:r>
      <w:r w:rsidRPr="0055554C">
        <w:rPr>
          <w:rStyle w:val="AERtextitalic"/>
        </w:rPr>
        <w:t>Report to the AER: Discussion on the allowed cost of debt</w:t>
      </w:r>
      <w:r>
        <w:t>, 5 May 2016, pp. 41, 52.</w:t>
      </w:r>
    </w:p>
  </w:footnote>
  <w:footnote w:id="96">
    <w:p w:rsidR="00702DD6" w:rsidRDefault="00702DD6" w:rsidP="005C1DB5">
      <w:pPr>
        <w:pStyle w:val="FootnoteText"/>
      </w:pPr>
      <w:r>
        <w:rPr>
          <w:rStyle w:val="FootnoteReference"/>
        </w:rPr>
        <w:footnoteRef/>
      </w:r>
      <w:r>
        <w:t xml:space="preserve"> </w:t>
      </w:r>
      <w:r>
        <w:tab/>
        <w:t>NER cl. 6.5.2(l) and cl. 6A.6.2(l), NGR, r.87(12).</w:t>
      </w:r>
    </w:p>
  </w:footnote>
  <w:footnote w:id="97">
    <w:p w:rsidR="00702DD6" w:rsidRDefault="00702DD6" w:rsidP="005C1DB5">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1" w:history="1">
        <w:r w:rsidRPr="009E0A46">
          <w:rPr>
            <w:rStyle w:val="Hyperlink"/>
            <w:color w:val="auto"/>
            <w:sz w:val="16"/>
            <w:u w:val="none"/>
          </w:rPr>
          <w:t>http://www.aer.gov.au/node/18859</w:t>
        </w:r>
      </w:hyperlink>
      <w:r>
        <w:t>.</w:t>
      </w:r>
    </w:p>
  </w:footnote>
  <w:footnote w:id="98">
    <w:p w:rsidR="00702DD6" w:rsidRDefault="00702DD6" w:rsidP="005C1DB5">
      <w:pPr>
        <w:pStyle w:val="FootnoteText"/>
      </w:pPr>
      <w:r>
        <w:rPr>
          <w:rStyle w:val="FootnoteReference"/>
        </w:rPr>
        <w:footnoteRef/>
      </w:r>
      <w:r>
        <w:t xml:space="preserve"> </w:t>
      </w:r>
      <w:r>
        <w:tab/>
        <w:t>NGR, cl. 87(18); NER, cl. 6.2.8(c).</w:t>
      </w:r>
    </w:p>
  </w:footnote>
  <w:footnote w:id="99">
    <w:p w:rsidR="00702DD6" w:rsidRDefault="00702DD6" w:rsidP="005C1DB5">
      <w:pPr>
        <w:pStyle w:val="FootnoteText"/>
      </w:pPr>
      <w:r>
        <w:rPr>
          <w:rStyle w:val="FootnoteReference"/>
        </w:rPr>
        <w:footnoteRef/>
      </w:r>
      <w:r>
        <w:t xml:space="preserve"> </w:t>
      </w:r>
      <w:r>
        <w:tab/>
        <w:t>NER, cl. S6.1.3(9),(9A),(9B).</w:t>
      </w:r>
    </w:p>
  </w:footnote>
  <w:footnote w:id="100">
    <w:p w:rsidR="00702DD6" w:rsidRDefault="00702DD6" w:rsidP="005C1DB5">
      <w:pPr>
        <w:pStyle w:val="FootnoteText"/>
      </w:pPr>
      <w:r>
        <w:rPr>
          <w:rStyle w:val="FootnoteReference"/>
        </w:rPr>
        <w:footnoteRef/>
      </w:r>
      <w:r>
        <w:t xml:space="preserve"> </w:t>
      </w:r>
      <w:r>
        <w:tab/>
        <w:t>A</w:t>
      </w:r>
      <w:r w:rsidRPr="00DA2018">
        <w:t xml:space="preserve"> group of investors and ENA again raised the importance of certainty</w:t>
      </w:r>
      <w:r>
        <w:t xml:space="preserve"> in Financial Investors Group</w:t>
      </w:r>
      <w:r w:rsidRPr="007D4575">
        <w:rPr>
          <w:rStyle w:val="AERtextitalic"/>
        </w:rPr>
        <w:t>, Submission on AER’s equity beta issues paper</w:t>
      </w:r>
      <w:r>
        <w:t xml:space="preserve">, 29 October 2013; ENA, </w:t>
      </w:r>
      <w:r w:rsidRPr="00E67A17">
        <w:rPr>
          <w:rStyle w:val="AERtextitalic"/>
        </w:rPr>
        <w:t>Response to the Draft Rate of Return Guideline of the AER</w:t>
      </w:r>
      <w:r>
        <w:t>, 11 October 2013, p. 1.</w:t>
      </w:r>
    </w:p>
  </w:footnote>
  <w:footnote w:id="101">
    <w:p w:rsidR="00702DD6" w:rsidRDefault="00702DD6" w:rsidP="005C1DB5">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,15 November 2012, p. 28.</w:t>
      </w:r>
    </w:p>
  </w:footnote>
  <w:footnote w:id="102">
    <w:p w:rsidR="00702DD6" w:rsidRDefault="00702DD6" w:rsidP="005C1DB5">
      <w:pPr>
        <w:pStyle w:val="FootnoteText"/>
      </w:pPr>
      <w:r>
        <w:rPr>
          <w:rStyle w:val="FootnoteReference"/>
        </w:rPr>
        <w:footnoteRef/>
      </w:r>
      <w:r>
        <w:t xml:space="preserve"> </w:t>
      </w:r>
      <w:r>
        <w:tab/>
        <w:t>NER, cl. 6..5.2 (n)(2); NER, cl. 6A.6.2(n)(2); NGR, cl. 87(14)(b).</w:t>
      </w:r>
      <w:r w:rsidRPr="00C368FC">
        <w:t xml:space="preserve"> </w:t>
      </w:r>
      <w:r>
        <w:t xml:space="preserve">See </w:t>
      </w:r>
      <w:hyperlink r:id="rId2" w:history="1">
        <w:r w:rsidRPr="00C368FC">
          <w:rPr>
            <w:rStyle w:val="Hyperlink"/>
            <w:color w:val="auto"/>
            <w:sz w:val="16"/>
            <w:u w:val="none"/>
          </w:rPr>
          <w:t>http://www.aer.gov.au/node/18859</w:t>
        </w:r>
      </w:hyperlink>
      <w:r w:rsidRPr="005B03C0">
        <w:t xml:space="preserve"> </w:t>
      </w:r>
      <w:r>
        <w:t>.</w:t>
      </w:r>
    </w:p>
  </w:footnote>
  <w:footnote w:id="103">
    <w:p w:rsidR="00702DD6" w:rsidRDefault="00702DD6" w:rsidP="005C1DB5">
      <w:pPr>
        <w:pStyle w:val="FootnoteText"/>
      </w:pPr>
      <w:r>
        <w:rPr>
          <w:rStyle w:val="FootnoteReference"/>
        </w:rPr>
        <w:footnoteRef/>
      </w:r>
      <w:r>
        <w:t xml:space="preserve"> </w:t>
      </w:r>
      <w:r>
        <w:tab/>
        <w:t>NER, cl. 6.5.2 (n), NER, cl. 6A.6.2(n);</w:t>
      </w:r>
      <w:r w:rsidRPr="009416A4">
        <w:t xml:space="preserve"> </w:t>
      </w:r>
      <w:r>
        <w:t>NGR, cl. 87(14).</w:t>
      </w:r>
    </w:p>
  </w:footnote>
  <w:footnote w:id="104">
    <w:p w:rsidR="00702DD6" w:rsidRDefault="00702DD6" w:rsidP="005C1DB5">
      <w:pPr>
        <w:pStyle w:val="FootnoteText"/>
      </w:pPr>
      <w:r>
        <w:rPr>
          <w:rStyle w:val="FootnoteReference"/>
        </w:rPr>
        <w:footnoteRef/>
      </w:r>
      <w:r>
        <w:t xml:space="preserve"> </w:t>
      </w:r>
      <w:r>
        <w:tab/>
        <w:t xml:space="preserve">For example, see AER, </w:t>
      </w:r>
      <w:r w:rsidRPr="00C146A6">
        <w:rPr>
          <w:rStyle w:val="AERtextitalic"/>
        </w:rPr>
        <w:t>Final decision: Energex determination 2015–16 to 2019–20, Attachment 3―Rate of return</w:t>
      </w:r>
      <w:r>
        <w:t>, October 2015, pp. 22</w:t>
      </w:r>
      <w:r>
        <w:rPr>
          <w:rFonts w:cs="Arial"/>
        </w:rPr>
        <w:t>–</w:t>
      </w:r>
      <w:r>
        <w:t>24.</w:t>
      </w:r>
    </w:p>
  </w:footnote>
  <w:footnote w:id="105">
    <w:p w:rsidR="00702DD6" w:rsidRDefault="00702DD6" w:rsidP="005C1DB5">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3" w:history="1">
        <w:r w:rsidRPr="00C368FC">
          <w:rPr>
            <w:rStyle w:val="Hyperlink"/>
            <w:color w:val="auto"/>
            <w:sz w:val="16"/>
            <w:u w:val="none"/>
          </w:rPr>
          <w:t>http://www.aer.gov.au/node/18859</w:t>
        </w:r>
      </w:hyperlink>
      <w:r w:rsidRPr="00C368FC">
        <w:t>.</w:t>
      </w:r>
    </w:p>
  </w:footnote>
  <w:footnote w:id="106">
    <w:p w:rsidR="00702DD6" w:rsidRDefault="00702DD6" w:rsidP="005C1DB5">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107">
    <w:p w:rsidR="00702DD6" w:rsidRDefault="00702DD6" w:rsidP="005C1DB5">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108">
    <w:p w:rsidR="00702DD6" w:rsidRDefault="00702DD6" w:rsidP="005C1DB5">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109">
    <w:p w:rsidR="00702DD6" w:rsidRDefault="00702DD6" w:rsidP="005C1DB5">
      <w:pPr>
        <w:pStyle w:val="FootnoteText"/>
      </w:pPr>
      <w:r>
        <w:rPr>
          <w:rStyle w:val="FootnoteReference"/>
        </w:rPr>
        <w:footnoteRef/>
      </w:r>
      <w:r>
        <w:t xml:space="preserve"> </w:t>
      </w:r>
      <w:r>
        <w:tab/>
        <w:t xml:space="preserve">Available at, </w:t>
      </w:r>
      <w:hyperlink r:id="rId4" w:history="1">
        <w:r w:rsidRPr="009E0A46">
          <w:rPr>
            <w:rStyle w:val="Hyperlink"/>
            <w:color w:val="auto"/>
            <w:sz w:val="16"/>
            <w:u w:val="none"/>
          </w:rPr>
          <w:t>http://www.aer.gov.au/node/18859</w:t>
        </w:r>
      </w:hyperlink>
      <w:r>
        <w:t>.</w:t>
      </w:r>
    </w:p>
    <w:p w:rsidR="00702DD6" w:rsidRDefault="00702DD6" w:rsidP="005C1DB5">
      <w:pPr>
        <w:pStyle w:val="FootnoteText"/>
      </w:pPr>
    </w:p>
  </w:footnote>
  <w:footnote w:id="110">
    <w:p w:rsidR="00702DD6" w:rsidRDefault="00702DD6" w:rsidP="005C1DB5">
      <w:pPr>
        <w:pStyle w:val="FootnoteText"/>
      </w:pPr>
      <w:r>
        <w:rPr>
          <w:rStyle w:val="FootnoteReference"/>
        </w:rPr>
        <w:footnoteRef/>
      </w:r>
      <w:r>
        <w:t xml:space="preserve"> </w:t>
      </w:r>
      <w:r>
        <w:tab/>
        <w:t>This final decision determines the return on debt methodology for the 2016–20 period. This period covers the first five years of the 10 year transition period. This decision also sets out our intended return on debt methodology for the remaining six years. However, we do not have the power to determine in this decision the return on debt methodology for those years. Under the NER, the return on debt methodology must be determined in future decisions that relate to that period.</w:t>
      </w:r>
    </w:p>
  </w:footnote>
  <w:footnote w:id="111">
    <w:p w:rsidR="00702DD6" w:rsidRDefault="00702DD6" w:rsidP="005C1DB5">
      <w:pPr>
        <w:pStyle w:val="FootnoteText"/>
      </w:pPr>
      <w:r>
        <w:rPr>
          <w:rStyle w:val="FootnoteReference"/>
        </w:rPr>
        <w:footnoteRef/>
      </w:r>
      <w:r>
        <w:t xml:space="preserve"> </w:t>
      </w:r>
      <w:r>
        <w:tab/>
      </w:r>
      <w:r w:rsidRPr="00B02218">
        <w:t>In the Guideline, we proposed to use one or more third party data series to estimate of the return on</w:t>
      </w:r>
      <w:r>
        <w:t xml:space="preserve"> </w:t>
      </w:r>
      <w:r w:rsidRPr="00B02218">
        <w:t xml:space="preserve">debt. However, at that time we had not formed a view on which data series to use. </w:t>
      </w:r>
      <w:r>
        <w:t xml:space="preserve">We form our view following a separate consultative process. This consultative process started with the release of an issues paper in </w:t>
      </w:r>
      <w:r w:rsidRPr="00B02218">
        <w:t>April 2014</w:t>
      </w:r>
      <w:r>
        <w:t>.</w:t>
      </w:r>
      <w:r w:rsidRPr="00162C44">
        <w:t xml:space="preserve"> </w:t>
      </w:r>
      <w:r>
        <w:t xml:space="preserve">We do not propose estimating the return on debt by reference to the Reuters curve that was first proposed in the recent revised proposals. However, we will consider using this new source of information </w:t>
      </w:r>
      <w:r w:rsidRPr="002E41F8">
        <w:t>in future determinations following a proper period of consultation</w:t>
      </w:r>
      <w:r>
        <w:t>.</w:t>
      </w:r>
    </w:p>
  </w:footnote>
  <w:footnote w:id="112">
    <w:p w:rsidR="00702DD6" w:rsidRDefault="00702DD6" w:rsidP="005C1DB5">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13">
    <w:p w:rsidR="00702DD6" w:rsidRDefault="00702DD6" w:rsidP="005C1DB5">
      <w:pPr>
        <w:pStyle w:val="FootnoteText"/>
      </w:pPr>
      <w:r>
        <w:rPr>
          <w:rStyle w:val="FootnoteReference"/>
        </w:rPr>
        <w:footnoteRef/>
      </w:r>
      <w:r>
        <w:t xml:space="preserve"> </w:t>
      </w:r>
      <w:r>
        <w:tab/>
        <w:t>NER, cl. 6.5.2(i); NER, cl. 6A.6.2(i); NGR r. 87(9).</w:t>
      </w:r>
    </w:p>
  </w:footnote>
  <w:footnote w:id="114">
    <w:p w:rsidR="00702DD6" w:rsidRDefault="00702DD6" w:rsidP="005C1DB5">
      <w:pPr>
        <w:pStyle w:val="FootnoteText"/>
      </w:pPr>
      <w:r>
        <w:rPr>
          <w:rStyle w:val="FootnoteReference"/>
        </w:rPr>
        <w:footnoteRef/>
      </w:r>
      <w:r>
        <w:t xml:space="preserve"> </w:t>
      </w:r>
      <w:r>
        <w:tab/>
        <w:t xml:space="preserve">Available at </w:t>
      </w:r>
      <w:hyperlink r:id="rId5" w:history="1">
        <w:r w:rsidRPr="009E0A46">
          <w:rPr>
            <w:rStyle w:val="Hyperlink"/>
            <w:color w:val="auto"/>
            <w:sz w:val="16"/>
            <w:u w:val="none"/>
          </w:rPr>
          <w:t>http://www.aer.gov.au/node/27616</w:t>
        </w:r>
      </w:hyperlink>
      <w:r>
        <w:t>.</w:t>
      </w:r>
    </w:p>
  </w:footnote>
  <w:footnote w:id="115">
    <w:p w:rsidR="00702DD6" w:rsidRDefault="00702DD6" w:rsidP="005C1DB5">
      <w:pPr>
        <w:pStyle w:val="FootnoteText"/>
      </w:pPr>
      <w:r>
        <w:rPr>
          <w:rStyle w:val="FootnoteReference"/>
        </w:rPr>
        <w:footnoteRef/>
      </w:r>
      <w:r>
        <w:t xml:space="preserve"> </w:t>
      </w:r>
      <w:r>
        <w:tab/>
        <w:t>NER, cl. 6.5.2(e); NER, cl. 6A.6.2(e); NGR r. 87(9).</w:t>
      </w:r>
    </w:p>
  </w:footnote>
  <w:footnote w:id="116">
    <w:p w:rsidR="00702DD6" w:rsidRDefault="00702DD6" w:rsidP="005C1DB5">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117">
    <w:p w:rsidR="00702DD6" w:rsidRDefault="00702DD6" w:rsidP="005C1DB5">
      <w:pPr>
        <w:pStyle w:val="FootnoteText"/>
      </w:pPr>
      <w:r>
        <w:rPr>
          <w:rStyle w:val="FootnoteReference"/>
        </w:rPr>
        <w:footnoteRef/>
      </w:r>
      <w:r>
        <w:t xml:space="preserve"> </w:t>
      </w:r>
      <w:r>
        <w:tab/>
        <w:t>NEL, s. 7A(2); NGL s. 24(2)(a).</w:t>
      </w:r>
    </w:p>
  </w:footnote>
  <w:footnote w:id="118">
    <w:p w:rsidR="00702DD6" w:rsidRDefault="00702DD6" w:rsidP="005C1DB5">
      <w:pPr>
        <w:pStyle w:val="FootnoteText"/>
      </w:pPr>
      <w:r>
        <w:rPr>
          <w:rStyle w:val="FootnoteReference"/>
        </w:rPr>
        <w:footnoteRef/>
      </w:r>
      <w:r>
        <w:t xml:space="preserve"> </w:t>
      </w:r>
      <w:r>
        <w:tab/>
        <w:t>NEL, s. 7A(3);</w:t>
      </w:r>
      <w:r w:rsidRPr="00002EB2">
        <w:t xml:space="preserve"> </w:t>
      </w:r>
      <w:r>
        <w:t>NGL s. 24(2)(b).</w:t>
      </w:r>
    </w:p>
  </w:footnote>
  <w:footnote w:id="119">
    <w:p w:rsidR="00702DD6" w:rsidRDefault="00702DD6" w:rsidP="005C1DB5">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p.33.</w:t>
      </w:r>
    </w:p>
  </w:footnote>
  <w:footnote w:id="120">
    <w:p w:rsidR="00702DD6" w:rsidRDefault="00702DD6" w:rsidP="005C1DB5">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ch.3.3</w:t>
      </w:r>
    </w:p>
  </w:footnote>
  <w:footnote w:id="121">
    <w:p w:rsidR="00702DD6" w:rsidRDefault="00702DD6" w:rsidP="005C1DB5">
      <w:pPr>
        <w:pStyle w:val="FootnoteText"/>
      </w:pPr>
      <w:r>
        <w:rPr>
          <w:rStyle w:val="FootnoteReference"/>
        </w:rPr>
        <w:footnoteRef/>
      </w:r>
      <w:r>
        <w:t xml:space="preserve"> </w:t>
      </w:r>
      <w:r>
        <w:tab/>
        <w:t xml:space="preserve">AER, </w:t>
      </w:r>
      <w:r w:rsidRPr="00FB00AB">
        <w:rPr>
          <w:rStyle w:val="AERtextitalic"/>
        </w:rPr>
        <w:t xml:space="preserve">Better Regulation, </w:t>
      </w:r>
      <w:r>
        <w:rPr>
          <w:rStyle w:val="AERtextitalic"/>
        </w:rPr>
        <w:t>Rate of return guideline</w:t>
      </w:r>
      <w:r w:rsidRPr="005B03C0">
        <w:rPr>
          <w:rStyle w:val="AERtextitalic"/>
        </w:rPr>
        <w:t xml:space="preserve"> </w:t>
      </w:r>
      <w:r>
        <w:rPr>
          <w:rStyle w:val="AERtextitalic"/>
        </w:rPr>
        <w:t>e</w:t>
      </w:r>
      <w:r w:rsidRPr="00831925">
        <w:rPr>
          <w:rStyle w:val="AERtextitalic"/>
        </w:rPr>
        <w:t>xplanatory stat</w:t>
      </w:r>
      <w:r>
        <w:rPr>
          <w:rStyle w:val="AERtextitalic"/>
        </w:rPr>
        <w:t>ement</w:t>
      </w:r>
      <w:r>
        <w:t>, December 2013, ch.8.34 and appendix F.</w:t>
      </w:r>
    </w:p>
  </w:footnote>
  <w:footnote w:id="122">
    <w:p w:rsidR="00702DD6" w:rsidRDefault="00702DD6" w:rsidP="005C1DB5">
      <w:pPr>
        <w:pStyle w:val="FootnoteText"/>
      </w:pPr>
      <w:r>
        <w:rPr>
          <w:rStyle w:val="FootnoteReference"/>
        </w:rPr>
        <w:footnoteRef/>
      </w:r>
      <w:r>
        <w:t xml:space="preserve"> </w:t>
      </w:r>
      <w:r>
        <w:tab/>
        <w:t>See AER,</w:t>
      </w:r>
      <w:r w:rsidRPr="00831925">
        <w:t xml:space="preserve"> </w:t>
      </w:r>
      <w:r w:rsidRPr="00831925">
        <w:rPr>
          <w:rStyle w:val="AERtextitalic"/>
        </w:rPr>
        <w:t xml:space="preserve">Better regulation: </w:t>
      </w:r>
      <w:r>
        <w:rPr>
          <w:rStyle w:val="AERtextitalic"/>
        </w:rPr>
        <w:t>Rate of return guideline</w:t>
      </w:r>
      <w:r w:rsidRPr="005B03C0">
        <w:rPr>
          <w:rStyle w:val="AERtextitalic"/>
        </w:rPr>
        <w:t xml:space="preserve"> </w:t>
      </w:r>
      <w:r>
        <w:rPr>
          <w:rStyle w:val="AERtextitalic"/>
        </w:rPr>
        <w:t>e</w:t>
      </w:r>
      <w:r w:rsidRPr="00831925">
        <w:rPr>
          <w:rStyle w:val="AERtextitalic"/>
        </w:rPr>
        <w:t>xplanatory stat</w:t>
      </w:r>
      <w:r>
        <w:rPr>
          <w:rStyle w:val="AERtextitalic"/>
        </w:rPr>
        <w:t xml:space="preserve">ement, </w:t>
      </w:r>
      <w:r>
        <w:t>December 2013, ch.4.3.4.</w:t>
      </w:r>
    </w:p>
  </w:footnote>
  <w:footnote w:id="123">
    <w:p w:rsidR="00702DD6" w:rsidRDefault="00702DD6" w:rsidP="005C1DB5">
      <w:pPr>
        <w:pStyle w:val="FootnoteText"/>
      </w:pPr>
      <w:r>
        <w:rPr>
          <w:rStyle w:val="FootnoteReference"/>
        </w:rPr>
        <w:footnoteRef/>
      </w:r>
      <w:r>
        <w:t xml:space="preserve"> </w:t>
      </w:r>
      <w:r>
        <w:tab/>
        <w:t xml:space="preserve">NER, cl. 6.11.1(b); NER, cl. 6A.13.1(a1). NGR, cl. 59(1), 62(1) states we are to consider submissions before making our regulatory decisions NGR, cl, 64(2) states that our proposal for an access arrangement or revisions is to be formulated with regard to the service providers proposal (among other things). </w:t>
      </w:r>
    </w:p>
  </w:footnote>
  <w:footnote w:id="124">
    <w:p w:rsidR="00702DD6" w:rsidRDefault="00702DD6" w:rsidP="005C1DB5">
      <w:pPr>
        <w:pStyle w:val="FootnoteText"/>
      </w:pPr>
      <w:r>
        <w:rPr>
          <w:rStyle w:val="FootnoteReference"/>
        </w:rPr>
        <w:footnoteRef/>
      </w:r>
      <w:r>
        <w:t xml:space="preserve"> </w:t>
      </w:r>
      <w:r>
        <w:tab/>
        <w:t xml:space="preserve">NGR, r. 87(5)(a) and NER clause 6.5.2(e). </w:t>
      </w:r>
    </w:p>
  </w:footnote>
  <w:footnote w:id="125">
    <w:p w:rsidR="00702DD6" w:rsidRDefault="00702DD6" w:rsidP="005C1DB5">
      <w:pPr>
        <w:pStyle w:val="FootnoteText"/>
      </w:pPr>
      <w:r>
        <w:rPr>
          <w:rStyle w:val="FootnoteReference"/>
        </w:rPr>
        <w:footnoteRef/>
      </w:r>
      <w:r>
        <w:t xml:space="preserve"> </w:t>
      </w:r>
      <w:r>
        <w:tab/>
      </w:r>
      <w:r w:rsidRPr="00BB36FA">
        <w:t xml:space="preserve">AEMC, </w:t>
      </w:r>
      <w:r w:rsidRPr="00EE69A7">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126">
    <w:p w:rsidR="00702DD6" w:rsidRDefault="00702DD6" w:rsidP="005C1DB5">
      <w:pPr>
        <w:pStyle w:val="FootnoteText"/>
      </w:pPr>
      <w:r>
        <w:rPr>
          <w:rStyle w:val="FootnoteReference"/>
        </w:rPr>
        <w:footnoteRef/>
      </w:r>
      <w:r>
        <w:t xml:space="preserve">     The service providers are: ActewAGL Gas Distribution, APTNT, Australian Gas Networks, AusNet Services distribution, AusNet Services Transmission, CitiPower, Jemena Electricity Networks, Powercor, Powerlink.</w:t>
      </w:r>
    </w:p>
  </w:footnote>
  <w:footnote w:id="127">
    <w:p w:rsidR="00702DD6" w:rsidRDefault="00702DD6" w:rsidP="005C1DB5">
      <w:pPr>
        <w:pStyle w:val="FootnoteText"/>
      </w:pPr>
      <w:r>
        <w:rPr>
          <w:rStyle w:val="FootnoteReference"/>
        </w:rPr>
        <w:footnoteRef/>
      </w:r>
      <w:r>
        <w:t xml:space="preserve"> </w:t>
      </w:r>
      <w:r>
        <w:tab/>
        <w:t xml:space="preserve">For material on an April 2015 decision (TransGrid), see </w:t>
      </w:r>
      <w:hyperlink r:id="rId6"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7" w:history="1">
        <w:r w:rsidRPr="00B97459">
          <w:rPr>
            <w:rStyle w:val="Hyperlink"/>
            <w:sz w:val="16"/>
          </w:rPr>
          <w:t>https://www.aer.gov.au/networks-pipelines/determinations-access-arrangements/energex-determination-2015-2020/final-decision</w:t>
        </w:r>
      </w:hyperlink>
      <w:r>
        <w:t>. For similar material, see our decisions in 2015 on ActewAGL distribution, Ausgrid, Directlink, Endeavour Energy, Ergon Energy, Essential Energy, JGN, SAPN and TasNetworks.</w:t>
      </w:r>
    </w:p>
  </w:footnote>
  <w:footnote w:id="128">
    <w:p w:rsidR="00702DD6" w:rsidRDefault="00702DD6" w:rsidP="005C1DB5">
      <w:pPr>
        <w:pStyle w:val="FootnoteText"/>
      </w:pPr>
      <w:r>
        <w:rPr>
          <w:rStyle w:val="FootnoteReference"/>
        </w:rPr>
        <w:footnoteRef/>
      </w:r>
      <w:r>
        <w:t xml:space="preserve"> </w:t>
      </w:r>
      <w:r>
        <w:tab/>
        <w:t xml:space="preserve">That is, 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decisions for Ergon Energy and Energex.</w:t>
      </w:r>
    </w:p>
  </w:footnote>
  <w:footnote w:id="129">
    <w:p w:rsidR="00702DD6" w:rsidRDefault="00702DD6" w:rsidP="005C1DB5">
      <w:pPr>
        <w:pStyle w:val="FootnoteText"/>
      </w:pPr>
      <w:r>
        <w:rPr>
          <w:rStyle w:val="FootnoteReference"/>
        </w:rPr>
        <w:footnoteRef/>
      </w:r>
      <w:r>
        <w:t xml:space="preserve"> </w:t>
      </w:r>
      <w:r>
        <w:tab/>
        <w:t xml:space="preserve">That is, 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decisions for Ergon Energy and Energex.</w:t>
      </w:r>
    </w:p>
  </w:footnote>
  <w:footnote w:id="130">
    <w:p w:rsidR="00702DD6" w:rsidRDefault="00702DD6" w:rsidP="005C1DB5">
      <w:pPr>
        <w:pStyle w:val="FootnoteText"/>
      </w:pPr>
      <w:r>
        <w:rPr>
          <w:rStyle w:val="FootnoteReference"/>
        </w:rPr>
        <w:footnoteRef/>
      </w:r>
      <w:r>
        <w:t xml:space="preserve"> </w:t>
      </w:r>
      <w:r>
        <w:tab/>
        <w:t>For example, revised proposals from Ausgrid, Endeavour Energy, Essential Energy, TasNetworks (adopted the Guideline), ActewAGL, TransGrid, Directlink and Jemena Gas Networks (NSW).</w:t>
      </w:r>
    </w:p>
  </w:footnote>
  <w:footnote w:id="131">
    <w:p w:rsidR="00702DD6" w:rsidRDefault="00702DD6" w:rsidP="005C1DB5">
      <w:pPr>
        <w:pStyle w:val="FootnoteText"/>
      </w:pPr>
      <w:r>
        <w:rPr>
          <w:rStyle w:val="FootnoteReference"/>
        </w:rPr>
        <w:footnoteRef/>
      </w:r>
      <w:r>
        <w:t xml:space="preserve"> </w:t>
      </w:r>
      <w:r>
        <w:tab/>
        <w:t xml:space="preserve">For material on an April 2015 decision (TransGrid), see </w:t>
      </w:r>
      <w:hyperlink r:id="rId8"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9" w:history="1">
        <w:r w:rsidRPr="00B97459">
          <w:rPr>
            <w:rStyle w:val="Hyperlink"/>
            <w:sz w:val="16"/>
          </w:rPr>
          <w:t>https://www.aer.gov.au/networks-pipelines/determinations-access-arrangements/energex-determination-2015-2020/final-decision</w:t>
        </w:r>
      </w:hyperlink>
      <w:r>
        <w:t>. For similar material, see our decisions in 2015 on ActewAGL distribution, Ausgrid, Directlink, Endeavour Energy, Ergon Energy, Essential Energy, JGN, SAPN and TasNetworks.</w:t>
      </w:r>
    </w:p>
  </w:footnote>
  <w:footnote w:id="132">
    <w:p w:rsidR="00702DD6" w:rsidRDefault="00702DD6" w:rsidP="005C1DB5">
      <w:pPr>
        <w:pStyle w:val="FootnoteText"/>
      </w:pPr>
      <w:r>
        <w:rPr>
          <w:rStyle w:val="FootnoteReference"/>
        </w:rPr>
        <w:footnoteRef/>
      </w:r>
      <w:r>
        <w:t xml:space="preserve"> </w:t>
      </w:r>
      <w:r>
        <w:tab/>
        <w:t xml:space="preserve">McKenzie, M., Partington, G., </w:t>
      </w:r>
      <w:r w:rsidRPr="007F1F50">
        <w:rPr>
          <w:rStyle w:val="AERtextitalic"/>
        </w:rPr>
        <w:t>Report to the AER Part A: Return on Equity</w:t>
      </w:r>
      <w:r>
        <w:t xml:space="preserve">, October 2014. </w:t>
      </w:r>
    </w:p>
  </w:footnote>
  <w:footnote w:id="133">
    <w:p w:rsidR="00702DD6" w:rsidRDefault="00702DD6" w:rsidP="005C1DB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xml:space="preserve">, April 2016; Partington and Satchell, </w:t>
      </w:r>
      <w:r w:rsidRPr="00023030">
        <w:rPr>
          <w:rStyle w:val="AERtextitalic"/>
        </w:rPr>
        <w:t>Report to the AER:</w:t>
      </w:r>
      <w:r>
        <w:rPr>
          <w:rStyle w:val="AERtextitalic"/>
        </w:rPr>
        <w:t xml:space="preserve"> Analysis of criticisms of 2015 determination, </w:t>
      </w:r>
      <w:r>
        <w:t>October</w:t>
      </w:r>
      <w:r w:rsidRPr="00023030">
        <w:t xml:space="preserve"> 2015</w:t>
      </w:r>
      <w:r>
        <w:t xml:space="preserve">; Partington, G., Satchell, S., </w:t>
      </w:r>
      <w:r w:rsidRPr="0048510C">
        <w:rPr>
          <w:rStyle w:val="AERtextitalic"/>
        </w:rPr>
        <w:t>Report to the AER: Return on equity and comment on submissions in relation to JGN</w:t>
      </w:r>
      <w:r>
        <w:t>, May 2015.</w:t>
      </w:r>
    </w:p>
  </w:footnote>
  <w:footnote w:id="134">
    <w:p w:rsidR="00702DD6" w:rsidRDefault="00702DD6" w:rsidP="005C1DB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April 2016; Partington, G., Satchell, S.</w:t>
      </w:r>
      <w:r w:rsidRPr="002E1270">
        <w:t xml:space="preserve">, </w:t>
      </w:r>
      <w:r w:rsidRPr="002E1270">
        <w:rPr>
          <w:rStyle w:val="AERtextitalic"/>
        </w:rPr>
        <w:t xml:space="preserve">Report to the AER: Analysis of criticisms of 2015 determination, </w:t>
      </w:r>
      <w:r w:rsidRPr="002E1270">
        <w:t>October 2015</w:t>
      </w:r>
      <w:r>
        <w:t>; Partington, G., Satchell, S.</w:t>
      </w:r>
      <w:r w:rsidRPr="002E1270">
        <w:t xml:space="preserve">, </w:t>
      </w:r>
      <w:r w:rsidRPr="002E1270">
        <w:rPr>
          <w:rStyle w:val="AERtextitalic"/>
        </w:rPr>
        <w:t>Report to the AER: Return on equity and comment on submissions in relation to JGN</w:t>
      </w:r>
      <w:r w:rsidRPr="002E1270">
        <w:t>, May 2015</w:t>
      </w:r>
      <w:r>
        <w:t xml:space="preserve">; </w:t>
      </w:r>
      <w:r w:rsidRPr="002F6091">
        <w:t>Partington</w:t>
      </w:r>
      <w:r>
        <w:t>, G.</w:t>
      </w:r>
      <w:r w:rsidRPr="002F6091">
        <w:t xml:space="preserve">, </w:t>
      </w:r>
      <w:r w:rsidRPr="002F6091">
        <w:rPr>
          <w:rStyle w:val="AERtextitalic"/>
        </w:rPr>
        <w:t>Report to the AER: Return on equity (Updated)</w:t>
      </w:r>
      <w:r w:rsidRPr="00EE69A7">
        <w:rPr>
          <w:rStyle w:val="AERtextitalic"/>
        </w:rPr>
        <w:t>, April 2015</w:t>
      </w:r>
      <w:r>
        <w:t xml:space="preserve">; McKenzie, M., Partington, G., </w:t>
      </w:r>
      <w:r w:rsidRPr="007F1F50">
        <w:rPr>
          <w:rStyle w:val="AERtextitalic"/>
        </w:rPr>
        <w:t>Report to the AER Part A: Return on Equity</w:t>
      </w:r>
      <w:r>
        <w:t>, October 2014</w:t>
      </w:r>
      <w:r w:rsidRPr="002E1270">
        <w:t>.</w:t>
      </w:r>
    </w:p>
  </w:footnote>
  <w:footnote w:id="135">
    <w:p w:rsidR="00702DD6" w:rsidRDefault="00702DD6" w:rsidP="005C1DB5">
      <w:pPr>
        <w:pStyle w:val="FootnoteText"/>
      </w:pPr>
      <w:r>
        <w:rPr>
          <w:rStyle w:val="FootnoteReference"/>
        </w:rPr>
        <w:footnoteRef/>
      </w:r>
      <w:r>
        <w:t xml:space="preserve"> </w:t>
      </w:r>
      <w:r>
        <w:tab/>
        <w:t>Handley, J.</w:t>
      </w:r>
      <w:r w:rsidRPr="002F6091">
        <w:t xml:space="preserve">, </w:t>
      </w:r>
      <w:r>
        <w:t>Further a</w:t>
      </w:r>
      <w:r w:rsidRPr="002F6091">
        <w:rPr>
          <w:rStyle w:val="AERtextitalic"/>
        </w:rPr>
        <w:t xml:space="preserve">dvice on return on equity, </w:t>
      </w:r>
      <w:r>
        <w:rPr>
          <w:rStyle w:val="AERtextitalic"/>
        </w:rPr>
        <w:t xml:space="preserve">April </w:t>
      </w:r>
      <w:r w:rsidRPr="002F6091">
        <w:t>201</w:t>
      </w:r>
      <w:r>
        <w:t xml:space="preserve">5; Handley, J., </w:t>
      </w:r>
      <w:r w:rsidRPr="00450C4F">
        <w:rPr>
          <w:rStyle w:val="AERtextitalic"/>
        </w:rPr>
        <w:t>Advice on return on equity, Report prepared for the AER</w:t>
      </w:r>
      <w:r>
        <w:t>, 16 October 2014; Handley, J.</w:t>
      </w:r>
      <w:r w:rsidRPr="00582678">
        <w:t xml:space="preserve">, </w:t>
      </w:r>
      <w:r w:rsidRPr="00582678">
        <w:rPr>
          <w:rStyle w:val="AERtextitalic"/>
        </w:rPr>
        <w:t>Report prepared for the Australian Energy Regulator: Advice on the value of imputation credits</w:t>
      </w:r>
      <w:r w:rsidRPr="00582678">
        <w:t>, 29 September 2014</w:t>
      </w:r>
      <w:r>
        <w:t>.</w:t>
      </w:r>
    </w:p>
  </w:footnote>
  <w:footnote w:id="136">
    <w:p w:rsidR="00702DD6" w:rsidRDefault="00702DD6" w:rsidP="005C1DB5">
      <w:pPr>
        <w:pStyle w:val="FootnoteText"/>
      </w:pPr>
      <w:r>
        <w:rPr>
          <w:rStyle w:val="FootnoteReference"/>
        </w:rPr>
        <w:footnoteRef/>
      </w:r>
      <w:r>
        <w:t xml:space="preserve"> </w:t>
      </w:r>
      <w:r>
        <w:tab/>
        <w:t xml:space="preserve">Lally, M., </w:t>
      </w:r>
      <w:r>
        <w:rPr>
          <w:rStyle w:val="AERtextitalic"/>
        </w:rPr>
        <w:t>Gamma and the ACT decision</w:t>
      </w:r>
      <w:r>
        <w:t xml:space="preserve">, May 2016; </w:t>
      </w:r>
      <w:r>
        <w:tab/>
        <w:t xml:space="preserve">Lally, M., </w:t>
      </w:r>
      <w:r w:rsidRPr="006D500C">
        <w:rPr>
          <w:rStyle w:val="AERtextitalic"/>
        </w:rPr>
        <w:t>Review of submissions on implementation issues for the cost of debt</w:t>
      </w:r>
      <w:r>
        <w:t xml:space="preserve">, October 2015; Lally, M., </w:t>
      </w:r>
      <w:r w:rsidRPr="006D500C">
        <w:rPr>
          <w:rStyle w:val="AERtextitalic"/>
        </w:rPr>
        <w:t>Review of submissions on transition issues for the cost of debt</w:t>
      </w:r>
      <w:r>
        <w:t>, October 2015;</w:t>
      </w:r>
      <w:r w:rsidRPr="00F50B9A">
        <w:t xml:space="preserve"> </w:t>
      </w:r>
      <w:r>
        <w:t xml:space="preserve">Lally, M., </w:t>
      </w:r>
      <w:r w:rsidRPr="00A96A09">
        <w:rPr>
          <w:rStyle w:val="AERtextitalic"/>
        </w:rPr>
        <w:t>Review of submissions on the cost of debt</w:t>
      </w:r>
      <w:r>
        <w:t xml:space="preserve">, April 2015; Lally, M., </w:t>
      </w:r>
      <w:r w:rsidRPr="001D4D95">
        <w:rPr>
          <w:rStyle w:val="AERtextitalic"/>
        </w:rPr>
        <w:t>Transitional arrangements for the cost of debt</w:t>
      </w:r>
      <w:r>
        <w:t xml:space="preserve">, November 2014; Lally, M., </w:t>
      </w:r>
      <w:r w:rsidRPr="005A40AF">
        <w:rPr>
          <w:rStyle w:val="AERtextitalic"/>
        </w:rPr>
        <w:t>Implementation issues with the cost of debt</w:t>
      </w:r>
      <w:r>
        <w:t>, November 2014.</w:t>
      </w:r>
    </w:p>
  </w:footnote>
  <w:footnote w:id="137">
    <w:p w:rsidR="00702DD6" w:rsidRDefault="00702DD6" w:rsidP="005C1DB5">
      <w:pPr>
        <w:pStyle w:val="FootnoteText"/>
      </w:pPr>
      <w:r>
        <w:rPr>
          <w:rStyle w:val="FootnoteReference"/>
        </w:rPr>
        <w:footnoteRef/>
      </w:r>
      <w:r>
        <w:t xml:space="preserve"> </w:t>
      </w:r>
      <w:r>
        <w:tab/>
        <w:t xml:space="preserve">Chairmont, </w:t>
      </w:r>
      <w:r w:rsidRPr="00A96A09">
        <w:rPr>
          <w:rStyle w:val="AERtextitalic"/>
        </w:rPr>
        <w:t>Cost of debt: Transitional analysis</w:t>
      </w:r>
      <w:r>
        <w:t xml:space="preserve">, April 2015; Chairmont, </w:t>
      </w:r>
      <w:r w:rsidRPr="006D500C">
        <w:rPr>
          <w:rStyle w:val="AERtextitalic"/>
        </w:rPr>
        <w:t>Financial practices under regulation: past and transitional</w:t>
      </w:r>
      <w:r>
        <w:t>, October 2015.</w:t>
      </w:r>
    </w:p>
  </w:footnote>
  <w:footnote w:id="138">
    <w:p w:rsidR="00702DD6" w:rsidRDefault="00702DD6" w:rsidP="005C1DB5">
      <w:pPr>
        <w:pStyle w:val="FootnoteText"/>
      </w:pPr>
      <w:r>
        <w:rPr>
          <w:rStyle w:val="FootnoteReference"/>
        </w:rPr>
        <w:footnoteRef/>
      </w:r>
      <w:r>
        <w:t xml:space="preserve"> </w:t>
      </w:r>
      <w:r>
        <w:tab/>
        <w:t xml:space="preserve">Henry, O.,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39">
    <w:p w:rsidR="00702DD6" w:rsidRDefault="00702DD6" w:rsidP="005C1DB5">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140">
    <w:p w:rsidR="00702DD6" w:rsidRDefault="00702DD6" w:rsidP="00104749">
      <w:pPr>
        <w:pStyle w:val="FootnoteText"/>
      </w:pPr>
      <w:r>
        <w:rPr>
          <w:rStyle w:val="FootnoteReference"/>
        </w:rPr>
        <w:footnoteRef/>
      </w:r>
      <w:r>
        <w:t xml:space="preserve"> </w:t>
      </w:r>
      <w:r>
        <w:tab/>
        <w:t xml:space="preserve">For a list of submissions on ActewAGL's initial access arrangement proposal see AER, </w:t>
      </w:r>
      <w:r>
        <w:rPr>
          <w:rStyle w:val="AERtextitalic"/>
        </w:rPr>
        <w:t>Draft decision</w:t>
      </w:r>
      <w:r w:rsidRPr="00382A73">
        <w:rPr>
          <w:rStyle w:val="AERtextitalic"/>
        </w:rPr>
        <w:t xml:space="preserve">: </w:t>
      </w:r>
      <w:r>
        <w:rPr>
          <w:rStyle w:val="AERtextitalic"/>
        </w:rPr>
        <w:t>ActewAGL</w:t>
      </w:r>
      <w:r w:rsidRPr="00382A73">
        <w:rPr>
          <w:rStyle w:val="AERtextitalic"/>
        </w:rPr>
        <w:t xml:space="preserve"> distribution </w:t>
      </w:r>
      <w:r>
        <w:rPr>
          <w:rStyle w:val="AERtextitalic"/>
        </w:rPr>
        <w:t>access arrangement</w:t>
      </w:r>
      <w:r w:rsidRPr="00382A73">
        <w:rPr>
          <w:rStyle w:val="AERtextitalic"/>
        </w:rPr>
        <w:t xml:space="preserve"> 2016 to 20</w:t>
      </w:r>
      <w:r>
        <w:rPr>
          <w:rStyle w:val="AERtextitalic"/>
        </w:rPr>
        <w:t>21</w:t>
      </w:r>
      <w:r w:rsidRPr="00382A73">
        <w:rPr>
          <w:rStyle w:val="AERtextitalic"/>
        </w:rPr>
        <w:t>: Overview</w:t>
      </w:r>
      <w:r>
        <w:t xml:space="preserve">, November 2015, p. 61.  For a list of submissions on ActewAGL's revised  access arrangement proposal and our draft decision, see AER, </w:t>
      </w:r>
      <w:r w:rsidRPr="00382A73">
        <w:rPr>
          <w:rStyle w:val="AERtextitalic"/>
        </w:rPr>
        <w:t xml:space="preserve">Final Decision: </w:t>
      </w:r>
      <w:r>
        <w:rPr>
          <w:rStyle w:val="AERtextitalic"/>
        </w:rPr>
        <w:t>ActewAGL</w:t>
      </w:r>
      <w:r w:rsidRPr="00382A73">
        <w:rPr>
          <w:rStyle w:val="AERtextitalic"/>
        </w:rPr>
        <w:t xml:space="preserve"> </w:t>
      </w:r>
      <w:r>
        <w:rPr>
          <w:rStyle w:val="AERtextitalic"/>
        </w:rPr>
        <w:t xml:space="preserve">access arrangement </w:t>
      </w:r>
      <w:r w:rsidRPr="00382A73">
        <w:rPr>
          <w:rStyle w:val="AERtextitalic"/>
        </w:rPr>
        <w:t>determination 2016 to 20</w:t>
      </w:r>
      <w:r>
        <w:rPr>
          <w:rStyle w:val="AERtextitalic"/>
        </w:rPr>
        <w:t>21</w:t>
      </w:r>
      <w:r w:rsidRPr="00382A73">
        <w:rPr>
          <w:rStyle w:val="AERtextitalic"/>
        </w:rPr>
        <w:t>: Overview</w:t>
      </w:r>
      <w:r>
        <w:t>, May 2016, Attachment A.</w:t>
      </w:r>
    </w:p>
  </w:footnote>
  <w:footnote w:id="141">
    <w:p w:rsidR="00702DD6" w:rsidRDefault="00702DD6" w:rsidP="00104749">
      <w:pPr>
        <w:pStyle w:val="FootnoteText"/>
      </w:pPr>
      <w:r>
        <w:rPr>
          <w:rStyle w:val="FootnoteReference"/>
        </w:rPr>
        <w:footnoteRef/>
      </w:r>
      <w:r>
        <w:t xml:space="preserve"> </w:t>
      </w:r>
      <w:r>
        <w:tab/>
        <w:t>Recent</w:t>
      </w:r>
      <w:r w:rsidRPr="0078505C">
        <w:t xml:space="preserve"> regulatory </w:t>
      </w:r>
      <w:r>
        <w:t>determination</w:t>
      </w:r>
      <w:r w:rsidRPr="0078505C">
        <w:t xml:space="preserve">s are for the following </w:t>
      </w:r>
      <w:r>
        <w:t xml:space="preserve">service providers: </w:t>
      </w:r>
      <w:r w:rsidRPr="0078505C">
        <w:t>ActewAGL, Ausgrid, Endeavour Energy, Energex</w:t>
      </w:r>
      <w:r>
        <w:t xml:space="preserve">, </w:t>
      </w:r>
      <w:r w:rsidRPr="0078505C">
        <w:t>Ergon Energy</w:t>
      </w:r>
      <w:r>
        <w:t xml:space="preserve">, </w:t>
      </w:r>
      <w:r w:rsidRPr="0078505C">
        <w:t>Essential Energy</w:t>
      </w:r>
      <w:r>
        <w:t>,</w:t>
      </w:r>
      <w:r w:rsidRPr="0078505C">
        <w:t xml:space="preserve"> Directlink, </w:t>
      </w:r>
      <w:r>
        <w:t>Jemena Gas Networks, SA Power Networks, TasNetworks and TransGrid</w:t>
      </w:r>
      <w:r w:rsidRPr="0078505C">
        <w:t>.</w:t>
      </w:r>
    </w:p>
  </w:footnote>
  <w:footnote w:id="142">
    <w:p w:rsidR="00702DD6" w:rsidRDefault="00702DD6" w:rsidP="005C1DB5">
      <w:pPr>
        <w:pStyle w:val="FootnoteText"/>
      </w:pPr>
      <w:r>
        <w:rPr>
          <w:rStyle w:val="FootnoteReference"/>
        </w:rPr>
        <w:footnoteRef/>
      </w:r>
      <w:r>
        <w:t xml:space="preserve"> </w:t>
      </w:r>
      <w:r>
        <w:tab/>
        <w:t xml:space="preserve">CCP3, </w:t>
      </w:r>
      <w:r w:rsidRPr="00D001FE">
        <w:rPr>
          <w:rStyle w:val="AERtextitalic"/>
        </w:rPr>
        <w:t>Submission to the AER: An Overview - Response to AER Preliminary Decisions and revised proposals</w:t>
      </w:r>
      <w:r>
        <w:t xml:space="preserve">, February 2016; CCP3, </w:t>
      </w:r>
      <w:r>
        <w:rPr>
          <w:rStyle w:val="AERtextitalic"/>
        </w:rPr>
        <w:t xml:space="preserve">Submission to the AER: </w:t>
      </w:r>
      <w:r w:rsidRPr="00D001FE">
        <w:rPr>
          <w:rStyle w:val="AERtextitalic"/>
        </w:rPr>
        <w:t>Response to AER Preliminary Decisions and revised proposals from Victorian electricity DNSPs for a revenue reset for the 2016‐2020 regulatory period</w:t>
      </w:r>
      <w:r>
        <w:t>, February 2016.</w:t>
      </w:r>
    </w:p>
  </w:footnote>
  <w:footnote w:id="143">
    <w:p w:rsidR="00702DD6" w:rsidRDefault="00702DD6" w:rsidP="005C1DB5">
      <w:pPr>
        <w:pStyle w:val="FootnoteText"/>
      </w:pPr>
      <w:r>
        <w:rPr>
          <w:rStyle w:val="FootnoteReference"/>
        </w:rPr>
        <w:footnoteRef/>
      </w:r>
      <w:r>
        <w:t xml:space="preserve"> </w:t>
      </w:r>
      <w:r>
        <w:tab/>
        <w:t xml:space="preserve">CCP8, </w:t>
      </w:r>
      <w:r w:rsidRPr="00D001FE">
        <w:rPr>
          <w:rStyle w:val="AERtextitalic"/>
        </w:rPr>
        <w:t>Advice to AER: Draft Decision and ActewAGL Distribution’s Revised Access Arrangement 2016‐2021 Proposal</w:t>
      </w:r>
      <w:r>
        <w:t xml:space="preserve">, </w:t>
      </w:r>
      <w:r w:rsidRPr="00960F27">
        <w:t>March 2016</w:t>
      </w:r>
      <w:r>
        <w:t xml:space="preserve">, p. 2; CCP8, </w:t>
      </w:r>
      <w:r w:rsidRPr="002D0A4D">
        <w:rPr>
          <w:rStyle w:val="AERtextitalic"/>
        </w:rPr>
        <w:t xml:space="preserve">Advice to AER: Draft Decision and </w:t>
      </w:r>
      <w:r>
        <w:rPr>
          <w:rStyle w:val="AERtextitalic"/>
        </w:rPr>
        <w:t>AGN's (SA)</w:t>
      </w:r>
      <w:r w:rsidRPr="002D0A4D">
        <w:rPr>
          <w:rStyle w:val="AERtextitalic"/>
        </w:rPr>
        <w:t xml:space="preserve"> Revised Access Arrangement 2016</w:t>
      </w:r>
      <w:r w:rsidRPr="00623BC8">
        <w:rPr>
          <w:rStyle w:val="AERtextitalic"/>
          <w:rFonts w:ascii="Cambria Math" w:hAnsi="Cambria Math" w:cs="Cambria Math"/>
        </w:rPr>
        <w:t>‐</w:t>
      </w:r>
      <w:r w:rsidRPr="002D0A4D">
        <w:rPr>
          <w:rStyle w:val="AERtextitalic"/>
        </w:rPr>
        <w:t>2021 Proposal</w:t>
      </w:r>
      <w:r>
        <w:t xml:space="preserve">, </w:t>
      </w:r>
      <w:r w:rsidRPr="00960F27">
        <w:t>March 2016</w:t>
      </w:r>
      <w:r>
        <w:t>, p. 2.</w:t>
      </w:r>
    </w:p>
  </w:footnote>
  <w:footnote w:id="144">
    <w:p w:rsidR="00702DD6" w:rsidRDefault="00702DD6" w:rsidP="0002109A">
      <w:pPr>
        <w:pStyle w:val="FootnoteText"/>
      </w:pPr>
      <w:r>
        <w:rPr>
          <w:rStyle w:val="FootnoteReference"/>
        </w:rPr>
        <w:footnoteRef/>
      </w:r>
      <w:r>
        <w:t xml:space="preserve"> </w:t>
      </w:r>
      <w:r>
        <w:tab/>
        <w:t xml:space="preserve">ActewAGL, </w:t>
      </w:r>
      <w:r w:rsidRPr="00D32AB6">
        <w:rPr>
          <w:rStyle w:val="AERtextitalic"/>
        </w:rPr>
        <w:t>Implications of recent Tribunal decisions for final decision and updates to the allowed rate of return and forecast inflation estimates</w:t>
      </w:r>
      <w:r>
        <w:t xml:space="preserve">, 12 May 2016 (LATE SUBMISSION). This included attachments: (1) ActewAGL, </w:t>
      </w:r>
      <w:r w:rsidRPr="00D32AB6">
        <w:rPr>
          <w:rStyle w:val="AERtextitalic"/>
        </w:rPr>
        <w:t>Implications of Tribunal decision for ActewAGL Distribution</w:t>
      </w:r>
      <w:r>
        <w:t xml:space="preserve">, 12 May 2016;  (2) ActewAGL, </w:t>
      </w:r>
      <w:r w:rsidRPr="00D32AB6">
        <w:rPr>
          <w:rStyle w:val="AERtextitalic"/>
        </w:rPr>
        <w:t>Updated rate of return and forecast inflation values</w:t>
      </w:r>
      <w:r>
        <w:t xml:space="preserve">, 12 May 2016; (4)  CEG, </w:t>
      </w:r>
      <w:r w:rsidRPr="00D32AB6">
        <w:rPr>
          <w:rStyle w:val="AERtextitalic"/>
        </w:rPr>
        <w:t>Memorandum: Cost of debt calculations</w:t>
      </w:r>
      <w:r>
        <w:t xml:space="preserve">, 11 May 2016; (5) CEG, </w:t>
      </w:r>
      <w:r w:rsidRPr="00D32AB6">
        <w:rPr>
          <w:rStyle w:val="AERtextitalic"/>
        </w:rPr>
        <w:t>Update to nominal risk free rate and expected inflation</w:t>
      </w:r>
      <w:r>
        <w:t xml:space="preserve">, May 2016; (6) ActewAGL, </w:t>
      </w:r>
      <w:r w:rsidRPr="00D32AB6">
        <w:rPr>
          <w:rStyle w:val="AERtextitalic"/>
        </w:rPr>
        <w:t>Index of materials referred to in Attachments 1 and 5 not previously provided to the AER</w:t>
      </w:r>
      <w:r>
        <w:t>, 12 May 2016.</w:t>
      </w:r>
    </w:p>
  </w:footnote>
  <w:footnote w:id="145">
    <w:p w:rsidR="00702DD6" w:rsidRDefault="00702DD6" w:rsidP="005C1DB5">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46">
    <w:p w:rsidR="00702DD6" w:rsidRDefault="00702DD6" w:rsidP="005C1DB5">
      <w:pPr>
        <w:pStyle w:val="FootnoteText"/>
      </w:pPr>
      <w:r>
        <w:rPr>
          <w:rStyle w:val="FootnoteReference"/>
        </w:rPr>
        <w:footnoteRef/>
      </w:r>
      <w:r>
        <w:t xml:space="preserve"> </w:t>
      </w:r>
      <w:r>
        <w:tab/>
        <w:t xml:space="preserve">Australian Competition Tribunal, </w:t>
      </w:r>
      <w:r w:rsidRPr="000756FD">
        <w:rPr>
          <w:rStyle w:val="AERtextitalic"/>
        </w:rPr>
        <w:t>Applications by Public Interest Advocacy Centre Ltd and Ausgrid [2016] ACompT 1</w:t>
      </w:r>
      <w:r>
        <w:t xml:space="preserve">, 26 February 2016, para 1,227. The Tribunal's reasons are set out in paras 870 to 940. Also see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80</w:t>
      </w:r>
      <w:r>
        <w:rPr>
          <w:rFonts w:cs="Arial"/>
        </w:rPr>
        <w:t>–</w:t>
      </w:r>
      <w:r>
        <w:t>83.</w:t>
      </w:r>
    </w:p>
  </w:footnote>
  <w:footnote w:id="147">
    <w:p w:rsidR="00702DD6" w:rsidRDefault="00702DD6" w:rsidP="005C1DB5">
      <w:pPr>
        <w:pStyle w:val="FootnoteText"/>
      </w:pPr>
      <w:r>
        <w:rPr>
          <w:rStyle w:val="FootnoteReference"/>
        </w:rPr>
        <w:footnoteRef/>
      </w:r>
      <w:r>
        <w:t xml:space="preserve"> </w:t>
      </w:r>
      <w:r>
        <w:tab/>
        <w:t>NGR, cl. 87(3); NER, cl. 6A.6.2(c) include similar provisions.</w:t>
      </w:r>
    </w:p>
  </w:footnote>
  <w:footnote w:id="148">
    <w:p w:rsidR="00702DD6" w:rsidRDefault="00702DD6" w:rsidP="005C1DB5">
      <w:pPr>
        <w:pStyle w:val="FootnoteText"/>
      </w:pPr>
      <w:r>
        <w:rPr>
          <w:rStyle w:val="FootnoteReference"/>
        </w:rPr>
        <w:footnoteRef/>
      </w:r>
      <w:r>
        <w:t xml:space="preserve"> </w:t>
      </w:r>
      <w:r>
        <w:tab/>
        <w:t>The transmission and gas rules mirror this provision in NER, cl. 6A.6.2(k)(4); NGR, cl. 87(11)(d).</w:t>
      </w:r>
    </w:p>
  </w:footnote>
  <w:footnote w:id="149">
    <w:p w:rsidR="00702DD6" w:rsidRPr="00D5405B" w:rsidRDefault="00702DD6" w:rsidP="00737E50">
      <w:pPr>
        <w:pStyle w:val="FootnoteText"/>
        <w:rPr>
          <w:rStyle w:val="AERtexthighlight"/>
        </w:rPr>
      </w:pPr>
      <w:r>
        <w:rPr>
          <w:rStyle w:val="FootnoteReference"/>
        </w:rPr>
        <w:footnoteRef/>
      </w:r>
      <w:r>
        <w:t xml:space="preserve"> </w:t>
      </w:r>
      <w:r>
        <w:tab/>
        <w:t>NER, cl. 6.</w:t>
      </w:r>
      <w:r w:rsidRPr="00DD0982">
        <w:t>5.2(d)</w:t>
      </w:r>
      <w:r>
        <w:t xml:space="preserve">; NGR, r. 87(4). </w:t>
      </w:r>
    </w:p>
  </w:footnote>
  <w:footnote w:id="150">
    <w:p w:rsidR="00702DD6" w:rsidRDefault="00702DD6" w:rsidP="00737E50">
      <w:pPr>
        <w:pStyle w:val="FootnoteText"/>
      </w:pPr>
      <w:r>
        <w:rPr>
          <w:rStyle w:val="FootnoteReference"/>
        </w:rPr>
        <w:footnoteRef/>
      </w:r>
      <w:r>
        <w:t xml:space="preserve"> </w:t>
      </w:r>
      <w:r>
        <w:tab/>
        <w:t xml:space="preserve">All the NSPs whose original and revised proposals we are currently assessing have proposed a gearing ratio consistent with the Guideline. </w:t>
      </w:r>
    </w:p>
  </w:footnote>
  <w:footnote w:id="151">
    <w:p w:rsidR="00702DD6" w:rsidRDefault="00702DD6" w:rsidP="00737E50">
      <w:pPr>
        <w:pStyle w:val="FootnoteText"/>
      </w:pPr>
      <w:r>
        <w:rPr>
          <w:rStyle w:val="FootnoteReference"/>
        </w:rPr>
        <w:footnoteRef/>
      </w:r>
      <w:r>
        <w:t xml:space="preserve"> </w:t>
      </w:r>
      <w:r>
        <w:tab/>
        <w:t>NER, cl. 6.5</w:t>
      </w:r>
      <w:r w:rsidRPr="009477CD">
        <w:t>.2(</w:t>
      </w:r>
      <w:r>
        <w:t>f–</w:t>
      </w:r>
      <w:r w:rsidRPr="009477CD">
        <w:t>g)</w:t>
      </w:r>
      <w:r>
        <w:t>; NER, cl. 6A.6.2(f–g); NGR, r. 87(2).</w:t>
      </w:r>
    </w:p>
  </w:footnote>
  <w:footnote w:id="152">
    <w:p w:rsidR="00702DD6" w:rsidRDefault="00702DD6" w:rsidP="00737E50">
      <w:pPr>
        <w:pStyle w:val="FootnoteText"/>
      </w:pPr>
      <w:r>
        <w:rPr>
          <w:rStyle w:val="FootnoteReference"/>
        </w:rPr>
        <w:footnoteRef/>
      </w:r>
      <w:r>
        <w:t xml:space="preserve"> </w:t>
      </w:r>
      <w:r>
        <w:tab/>
        <w:t>NER, cl. 6.5.2(c); NGR, r. 87(3).</w:t>
      </w:r>
    </w:p>
  </w:footnote>
  <w:footnote w:id="153">
    <w:p w:rsidR="00702DD6" w:rsidRDefault="00702DD6" w:rsidP="00033144">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54">
    <w:p w:rsidR="00702DD6" w:rsidRDefault="00702DD6" w:rsidP="00033144">
      <w:pPr>
        <w:pStyle w:val="FootnoteText"/>
      </w:pPr>
      <w:r>
        <w:rPr>
          <w:rStyle w:val="FootnoteReference"/>
        </w:rPr>
        <w:footnoteRef/>
      </w:r>
      <w:r>
        <w:t xml:space="preserve"> </w:t>
      </w:r>
      <w:r>
        <w:tab/>
        <w:t>As set out in NER cl.6; NER cl. 6A; NGR.</w:t>
      </w:r>
    </w:p>
  </w:footnote>
  <w:footnote w:id="155">
    <w:p w:rsidR="00702DD6" w:rsidRDefault="00702DD6" w:rsidP="00033144">
      <w:pPr>
        <w:pStyle w:val="FootnoteText"/>
      </w:pPr>
      <w:r>
        <w:rPr>
          <w:rStyle w:val="FootnoteReference"/>
        </w:rPr>
        <w:footnoteRef/>
      </w:r>
      <w:r>
        <w:t xml:space="preserve"> </w:t>
      </w:r>
      <w:r>
        <w:tab/>
        <w:t xml:space="preserve">See AER, </w:t>
      </w:r>
      <w:r>
        <w:rPr>
          <w:rStyle w:val="AERtextitalic"/>
        </w:rPr>
        <w:t>R</w:t>
      </w:r>
      <w:r w:rsidRPr="00EE78FA">
        <w:rPr>
          <w:rStyle w:val="AERtextitalic"/>
        </w:rPr>
        <w:t xml:space="preserve">ate of return guideline </w:t>
      </w:r>
      <w:r>
        <w:rPr>
          <w:rStyle w:val="AERtextitalic"/>
        </w:rPr>
        <w:t>e</w:t>
      </w:r>
      <w:r w:rsidRPr="00EE78FA">
        <w:rPr>
          <w:rStyle w:val="AERtextitalic"/>
        </w:rPr>
        <w:t>xplanatory statement (appendices)</w:t>
      </w:r>
      <w:r>
        <w:t>, 17 December 2013, pp. 12</w:t>
      </w:r>
      <w:r>
        <w:rPr>
          <w:rFonts w:cs="Gautami"/>
        </w:rPr>
        <w:t>–</w:t>
      </w:r>
      <w:r>
        <w:t>13.</w:t>
      </w:r>
    </w:p>
  </w:footnote>
  <w:footnote w:id="156">
    <w:p w:rsidR="00702DD6" w:rsidRDefault="00702DD6" w:rsidP="00033144">
      <w:pPr>
        <w:pStyle w:val="FootnoteText"/>
      </w:pPr>
      <w:r>
        <w:rPr>
          <w:rStyle w:val="FootnoteReference"/>
        </w:rPr>
        <w:footnoteRef/>
      </w:r>
      <w:r>
        <w:t xml:space="preserve"> </w:t>
      </w:r>
      <w:r>
        <w:tab/>
        <w:t xml:space="preserve">Our regulatory determinations and rate of return guidelines since 2009 have set an equity risk premium ranging from 5.2 per cent to 4.55 per cent [AER, </w:t>
      </w:r>
      <w:r w:rsidRPr="006C6F04">
        <w:rPr>
          <w:rStyle w:val="AERtextitalic"/>
        </w:rPr>
        <w:t>Final Decision</w:t>
      </w:r>
      <w:r>
        <w:t xml:space="preserve">, </w:t>
      </w:r>
      <w:r w:rsidRPr="00EE69A7">
        <w:rPr>
          <w:rStyle w:val="AERtextitalic"/>
        </w:rPr>
        <w:t>Electricity transmission and distribution network service providers, Review of the weighted average cost of capital (WACC) parameters</w:t>
      </w:r>
      <w:r>
        <w:t>, 1 May 2009].</w:t>
      </w:r>
    </w:p>
  </w:footnote>
  <w:footnote w:id="157">
    <w:p w:rsidR="00702DD6" w:rsidRDefault="00702DD6" w:rsidP="00033144">
      <w:pPr>
        <w:pStyle w:val="FootnoteText"/>
      </w:pPr>
      <w:r>
        <w:rPr>
          <w:rStyle w:val="FootnoteReference"/>
        </w:rPr>
        <w:footnoteRef/>
      </w:r>
      <w:r>
        <w:t xml:space="preserve"> </w:t>
      </w:r>
      <w:r>
        <w:tab/>
        <w:t>Between 2007–08 and 2013–14, t</w:t>
      </w:r>
      <w:r w:rsidRPr="00B005DF">
        <w:t xml:space="preserve">he </w:t>
      </w:r>
      <w:r>
        <w:t xml:space="preserve">regulated </w:t>
      </w:r>
      <w:r w:rsidRPr="00B005DF">
        <w:t xml:space="preserve">transmission and distribution </w:t>
      </w:r>
      <w:r>
        <w:t>service providers</w:t>
      </w:r>
      <w:r w:rsidRPr="00B005DF">
        <w:t xml:space="preserve"> across t</w:t>
      </w:r>
      <w:r>
        <w:t>he national electricity market</w:t>
      </w:r>
      <w:r w:rsidRPr="00B005DF">
        <w:t xml:space="preserve"> have invested</w:t>
      </w:r>
      <w:r>
        <w:t xml:space="preserve"> in the order of more than</w:t>
      </w:r>
      <w:r w:rsidRPr="00B005DF">
        <w:t xml:space="preserve"> </w:t>
      </w:r>
      <w:r>
        <w:t xml:space="preserve">$44 billion in capital expenditure. The annual capital expenditure has remained largely stable at around </w:t>
      </w:r>
      <w:r w:rsidRPr="00B005DF">
        <w:t>$6 billion</w:t>
      </w:r>
      <w:r>
        <w:t xml:space="preserve"> per year.</w:t>
      </w:r>
    </w:p>
  </w:footnote>
  <w:footnote w:id="158">
    <w:p w:rsidR="00702DD6" w:rsidRDefault="00702DD6" w:rsidP="00033144">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section pages 97 to 101 of Attachment 3 to our draft decision for ActewAGL.</w:t>
      </w:r>
    </w:p>
  </w:footnote>
  <w:footnote w:id="159">
    <w:p w:rsidR="00702DD6" w:rsidRDefault="00702DD6" w:rsidP="00033144">
      <w:pPr>
        <w:pStyle w:val="FootnoteText"/>
      </w:pPr>
      <w:r>
        <w:rPr>
          <w:rStyle w:val="FootnoteReference"/>
        </w:rPr>
        <w:footnoteRef/>
      </w:r>
      <w:r>
        <w:t xml:space="preserve"> </w:t>
      </w:r>
      <w:r>
        <w:tab/>
        <w:t xml:space="preserve">For more information on the Sharpe-Lintner CAPM, see section </w:t>
      </w:r>
      <w:r>
        <w:fldChar w:fldCharType="begin"/>
      </w:r>
      <w:r>
        <w:instrText xml:space="preserve"> REF _Ref451414916 \r \h </w:instrText>
      </w:r>
      <w:r>
        <w:fldChar w:fldCharType="separate"/>
      </w:r>
      <w:r>
        <w:t>B</w:t>
      </w:r>
      <w:r>
        <w:fldChar w:fldCharType="end"/>
      </w:r>
      <w:r>
        <w:t>.</w:t>
      </w:r>
    </w:p>
  </w:footnote>
  <w:footnote w:id="160">
    <w:p w:rsidR="00702DD6" w:rsidRDefault="00702DD6" w:rsidP="00033144">
      <w:pPr>
        <w:pStyle w:val="FootnoteText"/>
        <w:numPr>
          <w:ilvl w:val="0"/>
          <w:numId w:val="24"/>
        </w:numPr>
      </w:pPr>
      <w:r>
        <w:rPr>
          <w:rStyle w:val="FootnoteReference"/>
        </w:rPr>
        <w:footnoteRef/>
      </w:r>
      <w:r>
        <w:t xml:space="preserve"> </w:t>
      </w:r>
      <w:r>
        <w:tab/>
        <w:t>Calculated as: 7.1% = 2.57% + 0.7 * 6.</w:t>
      </w:r>
      <w:r w:rsidRPr="000A1A8C">
        <w:t>5%</w:t>
      </w:r>
      <w:r>
        <w:t xml:space="preserve">. For more information on the Sharpe-Lintner CAPM, see section </w:t>
      </w:r>
      <w:r>
        <w:fldChar w:fldCharType="begin"/>
      </w:r>
      <w:r>
        <w:instrText xml:space="preserve"> REF _Ref451414916 \r \h </w:instrText>
      </w:r>
      <w:r>
        <w:fldChar w:fldCharType="separate"/>
      </w:r>
      <w:r>
        <w:t>B</w:t>
      </w:r>
      <w:r>
        <w:fldChar w:fldCharType="end"/>
      </w:r>
      <w:r>
        <w:t>.</w:t>
      </w:r>
    </w:p>
  </w:footnote>
  <w:footnote w:id="161">
    <w:p w:rsidR="00702DD6" w:rsidRDefault="00702DD6" w:rsidP="00033144">
      <w:pPr>
        <w:pStyle w:val="FootnoteText"/>
      </w:pPr>
      <w:r>
        <w:rPr>
          <w:rStyle w:val="FootnoteReference"/>
        </w:rPr>
        <w:footnoteRef/>
      </w:r>
      <w:r>
        <w:t xml:space="preserve"> </w:t>
      </w:r>
      <w:r>
        <w:tab/>
        <w:t xml:space="preserve">Appendix  </w:t>
      </w:r>
      <w:r>
        <w:fldChar w:fldCharType="begin"/>
      </w:r>
      <w:r>
        <w:instrText xml:space="preserve"> REF _Ref451328110 \r \h </w:instrText>
      </w:r>
      <w:r>
        <w:fldChar w:fldCharType="separate"/>
      </w:r>
      <w:r>
        <w:t>L</w:t>
      </w:r>
      <w:r>
        <w:fldChar w:fldCharType="end"/>
      </w:r>
      <w:r>
        <w:t xml:space="preserve"> sets out the averaging period used in this decision.</w:t>
      </w:r>
    </w:p>
  </w:footnote>
  <w:footnote w:id="162">
    <w:p w:rsidR="00702DD6" w:rsidRDefault="00702DD6" w:rsidP="00033144">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w:t>
      </w:r>
    </w:p>
  </w:footnote>
  <w:footnote w:id="163">
    <w:p w:rsidR="00702DD6" w:rsidRDefault="00702DD6" w:rsidP="00033144">
      <w:pPr>
        <w:pStyle w:val="FootnoteText"/>
      </w:pPr>
      <w:r>
        <w:rPr>
          <w:rStyle w:val="FootnoteReference"/>
        </w:rPr>
        <w:footnoteRef/>
      </w:r>
      <w:r>
        <w:t xml:space="preserve"> </w:t>
      </w:r>
      <w:r>
        <w:tab/>
      </w:r>
      <w:r w:rsidRPr="007F7744">
        <w:t xml:space="preserve">ECCSA, </w:t>
      </w:r>
      <w:r w:rsidRPr="00D325AA">
        <w:rPr>
          <w:rStyle w:val="Emphasis"/>
        </w:rPr>
        <w:t xml:space="preserve">A response to the AER draft decision on AGN’s AA2016 revenue reset, </w:t>
      </w:r>
      <w:r w:rsidRPr="007F7744">
        <w:t>February 2016, p. 32</w:t>
      </w:r>
      <w:r>
        <w:t xml:space="preserve">–37; </w:t>
      </w:r>
      <w:r w:rsidRPr="007F7744">
        <w:t xml:space="preserve">VECUA, </w:t>
      </w:r>
      <w:r w:rsidRPr="00D325AA">
        <w:rPr>
          <w:rStyle w:val="Emphasis"/>
        </w:rPr>
        <w:t>Submission on the AER: AER preliminary 2016–20 revenue determinations for the Victorian DNSPs</w:t>
      </w:r>
      <w:r w:rsidRPr="007F7744">
        <w:t>, 6 January 2016</w:t>
      </w:r>
      <w:r>
        <w:t xml:space="preserve">, p. 2; </w:t>
      </w:r>
      <w:r w:rsidRPr="007F7744">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7F7744">
        <w:t>, February 2016</w:t>
      </w:r>
      <w:r>
        <w:t xml:space="preserve">, p. 41; </w:t>
      </w:r>
      <w:r w:rsidRPr="007F7744">
        <w:t xml:space="preserve">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7F7744">
        <w:t xml:space="preserve">, </w:t>
      </w:r>
      <w:r>
        <w:t xml:space="preserve">25 February 2016, </w:t>
      </w:r>
      <w:r w:rsidRPr="007F7744">
        <w:t>p</w:t>
      </w:r>
      <w:r>
        <w:t>p</w:t>
      </w:r>
      <w:r w:rsidRPr="007F7744">
        <w:t xml:space="preserve">. </w:t>
      </w:r>
      <w:r>
        <w:t xml:space="preserve">10, </w:t>
      </w:r>
      <w:r w:rsidRPr="007F7744">
        <w:t>30–31</w:t>
      </w:r>
      <w:r>
        <w:t>, 33</w:t>
      </w:r>
      <w:r w:rsidRPr="007F7744">
        <w:t>.</w:t>
      </w:r>
    </w:p>
  </w:footnote>
  <w:footnote w:id="164">
    <w:p w:rsidR="00702DD6" w:rsidRPr="00E97B82" w:rsidRDefault="00702DD6" w:rsidP="00033144">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3; </w:t>
      </w:r>
      <w:r w:rsidRPr="00E435AE">
        <w:t xml:space="preserve">Origin Energy, </w:t>
      </w:r>
      <w:r w:rsidRPr="00D325AA">
        <w:rPr>
          <w:rStyle w:val="Emphasis"/>
        </w:rPr>
        <w:t>Submission on AGN’s revised access arrangement for 2016–21</w:t>
      </w:r>
      <w:r w:rsidRPr="00E435AE">
        <w:t>, February 2016</w:t>
      </w:r>
      <w:r>
        <w:t xml:space="preserve">; Origin Energy, </w:t>
      </w:r>
      <w:r w:rsidRPr="00D325AA">
        <w:rPr>
          <w:rStyle w:val="Emphasis"/>
        </w:rPr>
        <w:t>Submission on the AER’s preliminary decisions on the Victorian distribution network service providers for 2016–20</w:t>
      </w:r>
      <w:r>
        <w:t>, 6</w:t>
      </w:r>
      <w:r w:rsidRPr="006C5EF3">
        <w:t xml:space="preserve"> January 2016</w:t>
      </w:r>
      <w:r>
        <w:t xml:space="preserve">, p. 3; </w:t>
      </w:r>
      <w:r w:rsidRPr="004C3DA9">
        <w:t xml:space="preserve">Origin Energy, </w:t>
      </w:r>
      <w:r w:rsidRPr="00D325AA">
        <w:rPr>
          <w:rStyle w:val="Emphasis"/>
        </w:rPr>
        <w:t>Submission on the Victorian networks’ revised proposals (for 2016–21)</w:t>
      </w:r>
      <w:r w:rsidRPr="004C3DA9">
        <w:t xml:space="preserve">, </w:t>
      </w:r>
      <w:r>
        <w:t xml:space="preserve">4 </w:t>
      </w:r>
      <w:r w:rsidRPr="004C3DA9">
        <w:t>February 2016</w:t>
      </w:r>
      <w:r>
        <w:t>.</w:t>
      </w:r>
    </w:p>
  </w:footnote>
  <w:footnote w:id="165">
    <w:p w:rsidR="00702DD6" w:rsidRDefault="00702DD6" w:rsidP="00033144">
      <w:pPr>
        <w:pStyle w:val="FootnoteText"/>
      </w:pPr>
      <w:r>
        <w:rPr>
          <w:rStyle w:val="FootnoteReference"/>
        </w:rPr>
        <w:footnoteRef/>
      </w:r>
      <w:r>
        <w:t xml:space="preserve"> </w:t>
      </w:r>
      <w:r>
        <w:tab/>
        <w:t xml:space="preserve">AGL, </w:t>
      </w:r>
      <w:r w:rsidRPr="00D325AA">
        <w:rPr>
          <w:rStyle w:val="Emphasis"/>
        </w:rPr>
        <w:t>Submission on the AER’s draft decision on AGN’s 2016–21 access arrangement</w:t>
      </w:r>
      <w:r>
        <w:t xml:space="preserve">, 4 </w:t>
      </w:r>
      <w:r w:rsidRPr="008F7C76">
        <w:t>February</w:t>
      </w:r>
      <w:r>
        <w:t xml:space="preserve"> 2016, p. 2</w:t>
      </w:r>
    </w:p>
  </w:footnote>
  <w:footnote w:id="166">
    <w:p w:rsidR="00702DD6" w:rsidRDefault="00702DD6" w:rsidP="00033144">
      <w:pPr>
        <w:pStyle w:val="FootnoteText"/>
      </w:pPr>
      <w:r>
        <w:rPr>
          <w:rStyle w:val="FootnoteReference"/>
        </w:rPr>
        <w:footnoteRef/>
      </w:r>
      <w:r>
        <w:t xml:space="preserve"> </w:t>
      </w:r>
      <w:r>
        <w:tab/>
      </w:r>
      <w:r w:rsidRPr="00D94BE5">
        <w:t xml:space="preserve">EUCV, </w:t>
      </w:r>
      <w:r w:rsidRPr="00D325AA">
        <w:rPr>
          <w:rStyle w:val="Emphasis"/>
        </w:rPr>
        <w:t>A response to AusNet revenue reset proposal for the 2017–2022 period</w:t>
      </w:r>
      <w:r w:rsidRPr="00D94BE5">
        <w:t>, 9 February 2016</w:t>
      </w:r>
      <w:r>
        <w:t>.</w:t>
      </w:r>
    </w:p>
  </w:footnote>
  <w:footnote w:id="167">
    <w:p w:rsidR="00702DD6" w:rsidRDefault="00702DD6" w:rsidP="00033144">
      <w:pPr>
        <w:pStyle w:val="FootnoteText"/>
      </w:pPr>
      <w:r>
        <w:rPr>
          <w:rStyle w:val="FootnoteReference"/>
        </w:rPr>
        <w:footnoteRef/>
      </w:r>
      <w:r>
        <w:t xml:space="preserve"> </w:t>
      </w:r>
      <w:r>
        <w:tab/>
      </w:r>
      <w:r w:rsidRPr="00ED6D11">
        <w:t xml:space="preserve">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ED6D11">
        <w:t xml:space="preserve">, </w:t>
      </w:r>
      <w:r>
        <w:t xml:space="preserve">February 2016, </w:t>
      </w:r>
      <w:r w:rsidRPr="00ED6D11">
        <w:t>p. 33</w:t>
      </w:r>
      <w:r>
        <w:t>.</w:t>
      </w:r>
    </w:p>
  </w:footnote>
  <w:footnote w:id="168">
    <w:p w:rsidR="00702DD6" w:rsidRDefault="00702DD6" w:rsidP="00033144">
      <w:pPr>
        <w:pStyle w:val="FootnoteText"/>
      </w:pPr>
      <w:r>
        <w:rPr>
          <w:rStyle w:val="FootnoteReference"/>
        </w:rPr>
        <w:footnoteRef/>
      </w:r>
      <w:r>
        <w:t xml:space="preserve"> </w:t>
      </w:r>
      <w:r>
        <w:tab/>
      </w:r>
      <w:r w:rsidRPr="003F7C15">
        <w:t xml:space="preserve"> </w:t>
      </w:r>
      <w:r w:rsidRPr="00C81C9E">
        <w:t xml:space="preserve">ECCSA, </w:t>
      </w:r>
      <w:r w:rsidRPr="00D325AA">
        <w:rPr>
          <w:rStyle w:val="Emphasis"/>
        </w:rPr>
        <w:t>A response to the AER draft decision on AGN’s AA2016 revenue rese</w:t>
      </w:r>
      <w:r w:rsidRPr="00C81C9E">
        <w:t>t, February 2016, p. 36</w:t>
      </w:r>
      <w:r>
        <w:t xml:space="preserve">; CCP (panel 3), </w:t>
      </w:r>
      <w:r w:rsidRPr="003509CE">
        <w:t>S</w:t>
      </w:r>
      <w:r w:rsidRPr="00D325AA">
        <w:rPr>
          <w:rStyle w:val="Emphasis"/>
        </w:rPr>
        <w:t>ubmission to the Australian Energy Regulator (AER): An overview Response to AER Preliminary Decisions and revised proposals from Victorian electricity distribution network service providers for a revenue reset for the 2016–2020 regulatory perio</w:t>
      </w:r>
      <w:r w:rsidRPr="003509CE">
        <w:t>d</w:t>
      </w:r>
      <w:r>
        <w:t>, February 2016, pp. 10 &amp; 29.</w:t>
      </w:r>
    </w:p>
  </w:footnote>
  <w:footnote w:id="169">
    <w:p w:rsidR="00702DD6" w:rsidRDefault="00702DD6" w:rsidP="00033144">
      <w:pPr>
        <w:pStyle w:val="FootnoteText"/>
      </w:pPr>
      <w:r>
        <w:rPr>
          <w:rStyle w:val="FootnoteReference"/>
        </w:rPr>
        <w:footnoteRef/>
      </w:r>
      <w:r>
        <w:t xml:space="preserve"> </w:t>
      </w:r>
      <w:r>
        <w:tab/>
      </w:r>
      <w:r w:rsidRPr="00C81C9E">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C81C9E">
        <w:t>, February 2016</w:t>
      </w:r>
      <w:r>
        <w:t xml:space="preserve">; </w:t>
      </w:r>
      <w:r w:rsidRPr="009751A6">
        <w:t xml:space="preserve">Origin Energy, </w:t>
      </w:r>
      <w:r w:rsidRPr="00D325AA">
        <w:rPr>
          <w:rStyle w:val="Emphasis"/>
        </w:rPr>
        <w:t>Submission on ActewAGL’s revised access arrangement for 2016–21</w:t>
      </w:r>
      <w:r w:rsidRPr="009751A6">
        <w:t>, 4 February 2016</w:t>
      </w:r>
      <w:r>
        <w:t xml:space="preserve">, p. 3; </w:t>
      </w:r>
      <w:r w:rsidRPr="00C81C9E">
        <w:t xml:space="preserve">Origin Energy, </w:t>
      </w:r>
      <w:r w:rsidRPr="00D325AA">
        <w:rPr>
          <w:rStyle w:val="Emphasis"/>
        </w:rPr>
        <w:t>Submission on AGN’s revised access arrangement for 2016–21</w:t>
      </w:r>
      <w:r w:rsidRPr="00C81C9E">
        <w:t xml:space="preserve">, February 2016; Origin Energy, </w:t>
      </w:r>
      <w:r w:rsidRPr="00D325AA">
        <w:rPr>
          <w:rStyle w:val="Emphasis"/>
        </w:rPr>
        <w:t>Submission on the AER’s preliminary decisions on the Victorian distribution network service providers for 2016–20</w:t>
      </w:r>
      <w:r w:rsidRPr="00C81C9E">
        <w:t>, 6 January 2016, p. 3</w:t>
      </w:r>
      <w:r>
        <w:t xml:space="preserve">; </w:t>
      </w:r>
      <w:r w:rsidRPr="00C81C9E">
        <w:t xml:space="preserve">Origin Energy, </w:t>
      </w:r>
      <w:r w:rsidRPr="00D325AA">
        <w:rPr>
          <w:rStyle w:val="Emphasis"/>
        </w:rPr>
        <w:t>Submission on the Victorian networks’ revised proposals (for 2016–21</w:t>
      </w:r>
      <w:r w:rsidRPr="00C81C9E">
        <w:t>), 4 February 2016</w:t>
      </w:r>
      <w:r>
        <w:t xml:space="preserve">; </w:t>
      </w:r>
      <w:r w:rsidRPr="00C81C9E">
        <w:t>VECUA</w:t>
      </w:r>
      <w:r w:rsidRPr="00D325AA">
        <w:rPr>
          <w:rStyle w:val="Emphasis"/>
        </w:rPr>
        <w:t>, Submission on the AER: AER preliminary 2016–20 revenue determinations for the Victorian DNSPs</w:t>
      </w:r>
      <w:r w:rsidRPr="00C81C9E">
        <w:t>, 6 January 2016, p</w:t>
      </w:r>
      <w:r>
        <w:t>p</w:t>
      </w:r>
      <w:r w:rsidRPr="00C81C9E">
        <w:t>. 2</w:t>
      </w:r>
      <w:r>
        <w:t xml:space="preserve">, 11–12; </w:t>
      </w:r>
      <w:r w:rsidRPr="00BA5498">
        <w:t xml:space="preserve">CCP (panel 3), </w:t>
      </w:r>
      <w:r w:rsidRPr="00BA5498">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BA5498">
        <w:t xml:space="preserve">, </w:t>
      </w:r>
      <w:r>
        <w:t xml:space="preserve">25 February 2016, </w:t>
      </w:r>
      <w:r w:rsidRPr="00BA5498">
        <w:t>p</w:t>
      </w:r>
      <w:r>
        <w:t>p</w:t>
      </w:r>
      <w:r w:rsidRPr="00BA5498">
        <w:t>. 30–31.</w:t>
      </w:r>
    </w:p>
  </w:footnote>
  <w:footnote w:id="170">
    <w:p w:rsidR="00702DD6" w:rsidRDefault="00702DD6" w:rsidP="00033144">
      <w:pPr>
        <w:pStyle w:val="FootnoteText"/>
      </w:pPr>
      <w:r>
        <w:rPr>
          <w:rStyle w:val="FootnoteReference"/>
        </w:rPr>
        <w:footnoteRef/>
      </w:r>
      <w:r>
        <w:t xml:space="preserve"> </w:t>
      </w:r>
      <w:r>
        <w:tab/>
        <w:t>Our</w:t>
      </w:r>
      <w:r w:rsidRPr="006657C4">
        <w:t xml:space="preserve"> conceptual </w:t>
      </w:r>
      <w:r>
        <w:t>analysis is a qualitative exploration</w:t>
      </w:r>
      <w:r w:rsidRPr="006657C4">
        <w:t xml:space="preserve"> </w:t>
      </w:r>
      <w:r>
        <w:t xml:space="preserve">of </w:t>
      </w:r>
      <w:r w:rsidRPr="006657C4">
        <w:t xml:space="preserve">the systematic risk for </w:t>
      </w:r>
      <w:r>
        <w:t>a</w:t>
      </w:r>
      <w:r w:rsidRPr="006657C4">
        <w:t xml:space="preserve"> benchmark efficient entity relative to the market average firm.</w:t>
      </w:r>
    </w:p>
  </w:footnote>
  <w:footnote w:id="171">
    <w:p w:rsidR="00702DD6" w:rsidRDefault="00702DD6" w:rsidP="00033144">
      <w:pPr>
        <w:pStyle w:val="FootnoteText"/>
      </w:pPr>
      <w:r>
        <w:rPr>
          <w:rStyle w:val="FootnoteReference"/>
        </w:rPr>
        <w:footnoteRef/>
      </w:r>
      <w:r>
        <w:t xml:space="preserve"> </w:t>
      </w:r>
      <w:r>
        <w:tab/>
        <w:t xml:space="preserve">We received many stakeholder submissions supporting our guideline approach including: </w:t>
      </w:r>
      <w:r w:rsidRPr="009751A6">
        <w:t>Origin Energy</w:t>
      </w:r>
      <w:r w:rsidRPr="00D325AA">
        <w:rPr>
          <w:rStyle w:val="Emphasis"/>
        </w:rPr>
        <w:t>, Submission on ActewAGL’s revised access arrangement for 2016–21</w:t>
      </w:r>
      <w:r w:rsidRPr="009751A6">
        <w:t>, 4 February 2016</w:t>
      </w:r>
      <w:r>
        <w:t xml:space="preserve">, p. 3; </w:t>
      </w:r>
      <w:r w:rsidRPr="003D4E86">
        <w:t xml:space="preserve">Origin Energy, </w:t>
      </w:r>
      <w:r w:rsidRPr="00D325AA">
        <w:rPr>
          <w:rStyle w:val="Emphasis"/>
        </w:rPr>
        <w:t>Submission on AGN’s revised access arrangement for 2016–21</w:t>
      </w:r>
      <w:r w:rsidRPr="003D4E86">
        <w:t xml:space="preserve">, February 2016; Origin Energy, </w:t>
      </w:r>
      <w:r w:rsidRPr="00D325AA">
        <w:rPr>
          <w:rStyle w:val="Emphasis"/>
        </w:rPr>
        <w:t>Submission on the AER’s preliminary decisions on the Victorian distribution network service providers for 2016–20</w:t>
      </w:r>
      <w:r w:rsidRPr="003D4E86">
        <w:t>, 6 January 2016, p. 3</w:t>
      </w:r>
      <w:r>
        <w:t xml:space="preserve">; </w:t>
      </w:r>
      <w:r w:rsidRPr="003D4E86">
        <w:t xml:space="preserve">Origin Energy, </w:t>
      </w:r>
      <w:r w:rsidRPr="00D325AA">
        <w:rPr>
          <w:rStyle w:val="Emphasis"/>
        </w:rPr>
        <w:t>Submission on the Victorian networks’ revised proposals (for 2016–21</w:t>
      </w:r>
      <w:r w:rsidRPr="003D4E86">
        <w:t>), 4 February 2016</w:t>
      </w:r>
      <w:r>
        <w:t xml:space="preserve">; AGL, </w:t>
      </w:r>
      <w:r w:rsidRPr="00D325AA">
        <w:rPr>
          <w:rStyle w:val="Emphasis"/>
        </w:rPr>
        <w:t>Submission on the AER’s draft decision on AGN’s 2016–21 access arrangement</w:t>
      </w:r>
      <w:r w:rsidRPr="003D4E86">
        <w:t>, 4 February 2016, p. 2</w:t>
      </w:r>
      <w:r>
        <w:t xml:space="preserve">; </w:t>
      </w:r>
      <w:r w:rsidRPr="00192848">
        <w:t xml:space="preserve">Victorian Government, </w:t>
      </w:r>
      <w:r w:rsidRPr="00D325AA">
        <w:rPr>
          <w:rStyle w:val="Emphasis"/>
        </w:rPr>
        <w:t>Submission on the Victorian electricity distribution network service providers’ revised regulatory proposals for 2016–20</w:t>
      </w:r>
      <w:r w:rsidRPr="00192848">
        <w:t>, 12 February 2016</w:t>
      </w:r>
      <w:r>
        <w:t xml:space="preserve">, p. 1–2; </w:t>
      </w:r>
      <w:r w:rsidRPr="00192848">
        <w:t xml:space="preserve">EUCV, </w:t>
      </w:r>
      <w:r w:rsidRPr="00D325AA">
        <w:rPr>
          <w:rStyle w:val="Emphasis"/>
        </w:rPr>
        <w:t>A response to AusNet revenue reset proposal for the 2017–2022 period</w:t>
      </w:r>
      <w:r w:rsidRPr="00192848">
        <w:t>, 9 February 2016</w:t>
      </w:r>
      <w:r>
        <w:t xml:space="preserve">; </w:t>
      </w:r>
      <w:r w:rsidRPr="00192848">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192848">
        <w:t>, February 2016</w:t>
      </w:r>
      <w:r>
        <w:t xml:space="preserve">;  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CCP (panel 8), </w:t>
      </w:r>
      <w:r w:rsidRPr="00D325AA">
        <w:rPr>
          <w:rStyle w:val="Emphasis"/>
        </w:rPr>
        <w:t>Advice to AER from Consumer Challenger Panel sub-panel 8 regarding the AER Draft Decision and Australian Gas Networks’ (SA) Revised Access Arrangement 2016–21 Proposal</w:t>
      </w:r>
      <w:r>
        <w:t>, 31 March 2016, p. 2.</w:t>
      </w:r>
    </w:p>
  </w:footnote>
  <w:footnote w:id="172">
    <w:p w:rsidR="00702DD6" w:rsidRDefault="00702DD6" w:rsidP="00033144">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73">
    <w:p w:rsidR="00702DD6" w:rsidRDefault="00702DD6" w:rsidP="00033144">
      <w:pPr>
        <w:pStyle w:val="FootnoteText"/>
      </w:pPr>
      <w:r>
        <w:rPr>
          <w:rStyle w:val="FootnoteReference"/>
        </w:rPr>
        <w:footnoteRef/>
      </w:r>
      <w:r>
        <w:t xml:space="preserve"> </w:t>
      </w:r>
      <w:r>
        <w:tab/>
        <w:t>As set out in NER cl.6; NER cl. 6A; NGR r.87.</w:t>
      </w:r>
    </w:p>
  </w:footnote>
  <w:footnote w:id="174">
    <w:p w:rsidR="00702DD6" w:rsidRDefault="00702DD6" w:rsidP="00033144">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75">
    <w:p w:rsidR="00702DD6" w:rsidRDefault="00702DD6" w:rsidP="00033144">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76">
    <w:p w:rsidR="00702DD6" w:rsidRDefault="00702DD6" w:rsidP="00033144">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r>
        <w:t xml:space="preserve"> This position was also supported by Partington, </w:t>
      </w:r>
      <w:r w:rsidRPr="00D325AA">
        <w:rPr>
          <w:rStyle w:val="AERtextitalic"/>
        </w:rPr>
        <w:t>Report to the AER: Return on equity (updated)</w:t>
      </w:r>
      <w:r>
        <w:t xml:space="preserve">, April 2015, p. 29; Partington and Satchell, </w:t>
      </w:r>
      <w:r w:rsidRPr="00D325AA">
        <w:rPr>
          <w:rStyle w:val="AERtextitalic"/>
        </w:rPr>
        <w:t>Report to the AER: Return of equity and comment on submissions in relation to JGN</w:t>
      </w:r>
      <w:r>
        <w:t xml:space="preserve">, May 2015, p. 7; and Partington and Satchell, </w:t>
      </w:r>
      <w:r w:rsidRPr="00D325AA">
        <w:rPr>
          <w:rStyle w:val="AERtextitalic"/>
        </w:rPr>
        <w:t>Report to the AER: Analysis of criticism of 2015 determinations</w:t>
      </w:r>
      <w:r>
        <w:t>, October 2015, pp. 17, 21.</w:t>
      </w:r>
    </w:p>
  </w:footnote>
  <w:footnote w:id="177">
    <w:p w:rsidR="00702DD6" w:rsidRDefault="00702DD6" w:rsidP="00033144">
      <w:pPr>
        <w:pStyle w:val="FootnoteText"/>
      </w:pPr>
      <w:r>
        <w:rPr>
          <w:rStyle w:val="FootnoteReference"/>
        </w:rPr>
        <w:footnoteRef/>
      </w:r>
      <w:r>
        <w:t xml:space="preserve"> </w:t>
      </w:r>
      <w:r>
        <w:tab/>
        <w:t>We note that our specification of these models (particularly the dividend growth model) may differ from that proposed by the service providers.</w:t>
      </w:r>
    </w:p>
  </w:footnote>
  <w:footnote w:id="178">
    <w:p w:rsidR="00702DD6" w:rsidRDefault="00702DD6" w:rsidP="00033144">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w:t>
      </w:r>
    </w:p>
  </w:footnote>
  <w:footnote w:id="179">
    <w:p w:rsidR="00702DD6" w:rsidRDefault="00702DD6" w:rsidP="00033144">
      <w:pPr>
        <w:pStyle w:val="FootnoteText"/>
      </w:pPr>
      <w:r>
        <w:rPr>
          <w:rStyle w:val="FootnoteReference"/>
        </w:rPr>
        <w:footnoteRef/>
      </w:r>
      <w:r>
        <w:t xml:space="preserve"> </w:t>
      </w:r>
      <w:r>
        <w:tab/>
      </w:r>
      <w:r w:rsidRPr="00177FBB">
        <w:t xml:space="preserve">There are some variations between the service providers </w:t>
      </w:r>
      <w:r>
        <w:t>on</w:t>
      </w:r>
      <w:r w:rsidRPr="00177FBB">
        <w:t xml:space="preserve"> weighting the estimates </w:t>
      </w:r>
      <w:r>
        <w:t xml:space="preserve">from the </w:t>
      </w:r>
      <w:r w:rsidRPr="00177FBB">
        <w:t xml:space="preserve">different </w:t>
      </w:r>
      <w:r>
        <w:t xml:space="preserve">models, </w:t>
      </w:r>
      <w:r w:rsidRPr="00177FBB">
        <w:t>but the general approach and rationale remain broadly consistent.</w:t>
      </w:r>
      <w:r>
        <w:t xml:space="preserve"> </w:t>
      </w:r>
    </w:p>
  </w:footnote>
  <w:footnote w:id="180">
    <w:p w:rsidR="00702DD6" w:rsidRDefault="00702DD6" w:rsidP="00033144">
      <w:pPr>
        <w:pStyle w:val="FootnoteText"/>
      </w:pPr>
      <w:r>
        <w:rPr>
          <w:rStyle w:val="FootnoteReference"/>
        </w:rPr>
        <w:footnoteRef/>
      </w:r>
      <w:r>
        <w:t xml:space="preserve"> </w:t>
      </w:r>
      <w:r>
        <w:tab/>
        <w:t xml:space="preserve">CitiPower, </w:t>
      </w:r>
      <w:r w:rsidRPr="001A0C41">
        <w:rPr>
          <w:rStyle w:val="AERtextitalic"/>
        </w:rPr>
        <w:t>Revised Regulatory Proposal 2016</w:t>
      </w:r>
      <w:r w:rsidRPr="001A0C41">
        <w:rPr>
          <w:rStyle w:val="AERtextitalic"/>
        </w:rPr>
        <w:softHyphen/>
        <w:t>–2020</w:t>
      </w:r>
      <w:r>
        <w:t>, January 2016, p. 284</w:t>
      </w:r>
      <w:r w:rsidRPr="00791180">
        <w:t xml:space="preserve">; Powercor, </w:t>
      </w:r>
      <w:r w:rsidRPr="00791180">
        <w:rPr>
          <w:rStyle w:val="Emphasis"/>
        </w:rPr>
        <w:t>Revised regulatory proposal 2016–2020,</w:t>
      </w:r>
      <w:r w:rsidRPr="00791180">
        <w:t xml:space="preserve"> January 2016, p. 278; ActewAGL, </w:t>
      </w:r>
      <w:r w:rsidRPr="00791180">
        <w:rPr>
          <w:rStyle w:val="Emphasis"/>
        </w:rPr>
        <w:t>Revised 2016–21 access ar</w:t>
      </w:r>
      <w:r>
        <w:rPr>
          <w:rStyle w:val="Emphasis"/>
        </w:rPr>
        <w:t>r</w:t>
      </w:r>
      <w:r w:rsidRPr="00791180">
        <w:rPr>
          <w:rStyle w:val="Emphasis"/>
        </w:rPr>
        <w:t>angement proposal Response to the AER's draft decision, Appendix 5.01 Detailed response to rate of return, gamma and inflation</w:t>
      </w:r>
      <w:r w:rsidRPr="00791180">
        <w:t xml:space="preserve">, January 2016, p. 54; United Energy, </w:t>
      </w:r>
      <w:r w:rsidRPr="00791180">
        <w:rPr>
          <w:rStyle w:val="Emphasis"/>
        </w:rPr>
        <w:t>Response to AER preliminary determination–Re: rate of return and gamma</w:t>
      </w:r>
      <w:r w:rsidRPr="00791180">
        <w:t xml:space="preserve">, 6 January 2016, pp. 77–78; AGN, </w:t>
      </w:r>
      <w:r w:rsidRPr="00791180">
        <w:rPr>
          <w:rStyle w:val="Emphasis"/>
        </w:rPr>
        <w:t>2016–17 to 2020/21 Access Arrangement information response to draft decision: Attachment 10.26 Response to draft decision: rate of return</w:t>
      </w:r>
      <w:r w:rsidRPr="00791180">
        <w:t xml:space="preserve">, January 2016, pp. 44–45;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43–44;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6 January 2016, pp. 38–39</w:t>
      </w:r>
      <w:r>
        <w:t>.</w:t>
      </w:r>
    </w:p>
  </w:footnote>
  <w:footnote w:id="181">
    <w:p w:rsidR="00702DD6" w:rsidRDefault="00702DD6" w:rsidP="00033144">
      <w:pPr>
        <w:pStyle w:val="FootnoteText"/>
      </w:pPr>
      <w:r>
        <w:rPr>
          <w:rStyle w:val="FootnoteReference"/>
        </w:rPr>
        <w:footnoteRef/>
      </w:r>
      <w:r>
        <w:t xml:space="preserve"> </w:t>
      </w:r>
      <w:r>
        <w:tab/>
        <w:t xml:space="preserve">Frontier, </w:t>
      </w:r>
      <w:r>
        <w:rPr>
          <w:rStyle w:val="Emphasis"/>
        </w:rPr>
        <w:t>The r</w:t>
      </w:r>
      <w:r w:rsidRPr="00D325AA">
        <w:rPr>
          <w:rStyle w:val="Emphasis"/>
        </w:rPr>
        <w:t>equired return on equity under a foundation model approach</w:t>
      </w:r>
      <w:r>
        <w:t>, January 2016, p. 55.</w:t>
      </w:r>
    </w:p>
  </w:footnote>
  <w:footnote w:id="182">
    <w:p w:rsidR="00702DD6" w:rsidRDefault="00702DD6" w:rsidP="00033144">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CitiPower, </w:t>
      </w:r>
      <w:r w:rsidRPr="00791180">
        <w:rPr>
          <w:rStyle w:val="AERtextitalic"/>
        </w:rPr>
        <w:t>Revised regulatory proposal 2016–2020</w:t>
      </w:r>
      <w:r w:rsidRPr="00791180">
        <w:t xml:space="preserve">, January 2016, pp. 267, 284–286, 324–326; Powercor, </w:t>
      </w:r>
      <w:r w:rsidRPr="00791180">
        <w:rPr>
          <w:rStyle w:val="Emphasis"/>
        </w:rPr>
        <w:t>Revised regulatory proposal 2016–2020,</w:t>
      </w:r>
      <w:r w:rsidRPr="00791180">
        <w:t xml:space="preserve"> January 2016, pp. 261, 278–280, 318–320;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52–72, 94–105; United Energy, </w:t>
      </w:r>
      <w:r w:rsidRPr="00791180">
        <w:rPr>
          <w:rStyle w:val="Emphasis"/>
        </w:rPr>
        <w:t>Response to AER preliminary determination–Re: rate of return and gamma</w:t>
      </w:r>
      <w:r w:rsidRPr="00791180">
        <w:t xml:space="preserve">, 6 January 2016, pp. 38–40, 77–78; AGN, </w:t>
      </w:r>
      <w:r w:rsidRPr="00791180">
        <w:rPr>
          <w:rStyle w:val="Emphasis"/>
        </w:rPr>
        <w:t>2016–17 to 2020/21 Access Arrangement information response to draft decision: Attachment 10.26 Response to draft decision: rate of return</w:t>
      </w:r>
      <w:r w:rsidRPr="00791180">
        <w:t xml:space="preserve">, January 2016, pp. 81–82;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43–45;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38–46, 50–52; APTNT, </w:t>
      </w:r>
      <w:r w:rsidRPr="00791180">
        <w:rPr>
          <w:rStyle w:val="Emphasis"/>
        </w:rPr>
        <w:t>Amadeus Gas Pipeline Access arrangement revised proposal: response to Draft Decision,</w:t>
      </w:r>
      <w:r w:rsidRPr="00791180">
        <w:t xml:space="preserve"> January 2016, pp. 56, 69–73.</w:t>
      </w:r>
    </w:p>
  </w:footnote>
  <w:footnote w:id="183">
    <w:p w:rsidR="00702DD6" w:rsidRDefault="00702DD6" w:rsidP="00033144">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Powercor, </w:t>
      </w:r>
      <w:r w:rsidRPr="00791180">
        <w:rPr>
          <w:rStyle w:val="Emphasis"/>
        </w:rPr>
        <w:t>Regulatory proposal 2016–2020,</w:t>
      </w:r>
      <w:r w:rsidRPr="00791180">
        <w:t xml:space="preserve"> April 2015, pp.206–210, 218, 227, 232–234; ActewAGL, </w:t>
      </w:r>
      <w:r w:rsidRPr="00791180">
        <w:rPr>
          <w:rStyle w:val="AERtextitalic"/>
        </w:rPr>
        <w:t>Access Arrangement Information for the 2016-21 ACT, Queanbeyan and Palerang Access Arrangement, Appendix 8.02: Return on equity-detailed proposal</w:t>
      </w:r>
      <w:r w:rsidRPr="00791180">
        <w:t xml:space="preserve">,  June 2015, pp. 1–5, 19–49; United Energy, </w:t>
      </w:r>
      <w:r w:rsidRPr="00791180">
        <w:rPr>
          <w:rStyle w:val="Emphasis"/>
        </w:rPr>
        <w:t>2016 to 2020 regulatory proposal</w:t>
      </w:r>
      <w:r w:rsidRPr="00791180">
        <w:t xml:space="preserve">, April 2015, pp. 113–123; AGN, </w:t>
      </w:r>
      <w:r w:rsidRPr="00791180">
        <w:rPr>
          <w:rStyle w:val="Emphasis"/>
        </w:rPr>
        <w:t>2016/17 to 2020/21 Access Arrangement information: Attachment 10.1 Rate of return</w:t>
      </w:r>
      <w:r w:rsidRPr="00791180">
        <w:t xml:space="preserve">, July 2015, pp. 8–27, 39–42; JEN (Vic), </w:t>
      </w:r>
      <w:r w:rsidRPr="00791180">
        <w:rPr>
          <w:rStyle w:val="Emphasis"/>
        </w:rPr>
        <w:t>2016–20 Electricity distribution price review regulatory proposal: Attachment 9-2 Rate of return proposal</w:t>
      </w:r>
      <w:r w:rsidRPr="00791180">
        <w:t>, 30 Ap</w:t>
      </w:r>
      <w:r>
        <w:t>ril 2015, pp. 19–20, 20–58; AusN</w:t>
      </w:r>
      <w:r w:rsidRPr="00791180">
        <w:t xml:space="preserve">et Services, </w:t>
      </w:r>
      <w:r w:rsidRPr="00791180">
        <w:rPr>
          <w:rStyle w:val="Emphasis"/>
        </w:rPr>
        <w:t>Regulatory proposal 2016–20</w:t>
      </w:r>
      <w:r w:rsidRPr="00791180">
        <w:t xml:space="preserve">, 30 April 2015, pp. 280–314; APTNT, </w:t>
      </w:r>
      <w:r w:rsidRPr="00791180">
        <w:rPr>
          <w:rStyle w:val="Emphasis"/>
        </w:rPr>
        <w:t>Amadeus Gas Pipeline access arrangement revision proposal</w:t>
      </w:r>
      <w:r w:rsidRPr="00791180">
        <w:t>, August 2015, pp. 112–131</w:t>
      </w:r>
      <w:r>
        <w:t>.</w:t>
      </w:r>
    </w:p>
  </w:footnote>
  <w:footnote w:id="184">
    <w:p w:rsidR="00702DD6" w:rsidRDefault="00702DD6" w:rsidP="00033144">
      <w:pPr>
        <w:pStyle w:val="FootnoteText"/>
      </w:pPr>
      <w:r>
        <w:rPr>
          <w:rStyle w:val="FootnoteReference"/>
        </w:rPr>
        <w:footnoteRef/>
      </w:r>
      <w:r>
        <w:t xml:space="preserve"> </w:t>
      </w:r>
      <w:r>
        <w:tab/>
        <w:t xml:space="preserve">CitiPower, </w:t>
      </w:r>
      <w:r w:rsidRPr="001A0C41">
        <w:rPr>
          <w:rStyle w:val="AERtextitalic"/>
        </w:rPr>
        <w:t>Revised Regulatory Proposal 2016</w:t>
      </w:r>
      <w:r w:rsidRPr="001A0C41">
        <w:rPr>
          <w:rStyle w:val="AERtextitalic"/>
        </w:rPr>
        <w:softHyphen/>
        <w:t>–2020</w:t>
      </w:r>
      <w:r>
        <w:t xml:space="preserve">, January 2016, p. 287; </w:t>
      </w:r>
      <w:r w:rsidRPr="00791180">
        <w:t xml:space="preserve">Powercor, </w:t>
      </w:r>
      <w:r w:rsidRPr="00791180">
        <w:rPr>
          <w:rStyle w:val="Emphasis"/>
        </w:rPr>
        <w:t>Revised regulatory proposal 2016–2020,</w:t>
      </w:r>
      <w:r w:rsidRPr="00791180">
        <w:t xml:space="preserve"> January 2016, p. 281; ActewAGL, </w:t>
      </w:r>
      <w:r w:rsidRPr="00791180">
        <w:rPr>
          <w:rStyle w:val="Emphasis"/>
        </w:rPr>
        <w:t xml:space="preserve">Revised 2016–21 access </w:t>
      </w:r>
      <w:r>
        <w:rPr>
          <w:rStyle w:val="Emphasis"/>
        </w:rPr>
        <w:t>arrangement</w:t>
      </w:r>
      <w:r w:rsidRPr="00791180">
        <w:rPr>
          <w:rStyle w:val="Emphasis"/>
        </w:rPr>
        <w:t xml:space="preserve"> proposal Response to the AER's draft decision, Appendix 5.01 Detailed response to rate of return, gamma and inflation</w:t>
      </w:r>
      <w:r w:rsidRPr="00791180">
        <w:t xml:space="preserve">, January 2016, pp. 54–65; United Energy, </w:t>
      </w:r>
      <w:r w:rsidRPr="00791180">
        <w:rPr>
          <w:rStyle w:val="Emphasis"/>
        </w:rPr>
        <w:t>Response to AER preliminary determination–Re: rate of return and gamma</w:t>
      </w:r>
      <w:r w:rsidRPr="00791180">
        <w:t xml:space="preserve">, 6 January 2016, pp. 40–46; AGN, </w:t>
      </w:r>
      <w:r w:rsidRPr="00791180">
        <w:rPr>
          <w:rStyle w:val="Emphasis"/>
        </w:rPr>
        <w:t xml:space="preserve">2016–17 to 2020/21 Access Arrangement </w:t>
      </w:r>
      <w:r>
        <w:rPr>
          <w:rStyle w:val="Emphasis"/>
        </w:rPr>
        <w:t>information</w:t>
      </w:r>
      <w:r w:rsidRPr="00791180">
        <w:rPr>
          <w:rStyle w:val="Emphasis"/>
        </w:rPr>
        <w:t xml:space="preserve"> response to draft decision: Attachment 10.26 Response to draft decision: rate of return</w:t>
      </w:r>
      <w:r w:rsidRPr="00791180">
        <w:t xml:space="preserve">, January 2016, pp. 47–49;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46–47; AusN</w:t>
      </w:r>
      <w:r w:rsidRPr="00791180">
        <w:t xml:space="preserve">et Services, </w:t>
      </w:r>
      <w:r w:rsidRPr="00791180">
        <w:rPr>
          <w:rStyle w:val="Emphasis"/>
        </w:rPr>
        <w:t xml:space="preserve">Electricity distribution price review 2016–20 Revised regulatory proposal: </w:t>
      </w:r>
      <w:r>
        <w:rPr>
          <w:rStyle w:val="Emphasis"/>
        </w:rPr>
        <w:t>Chapter</w:t>
      </w:r>
      <w:r w:rsidRPr="00791180">
        <w:rPr>
          <w:rStyle w:val="Emphasis"/>
        </w:rPr>
        <w:t xml:space="preserve"> 7 Rate of return &amp; gamma</w:t>
      </w:r>
      <w:r w:rsidRPr="00791180">
        <w:t xml:space="preserve">, 6 January 2016, pp. 41–46; APTNT, </w:t>
      </w:r>
      <w:r w:rsidRPr="00791180">
        <w:rPr>
          <w:rStyle w:val="Emphasis"/>
        </w:rPr>
        <w:t>Amadeus Gas Pipeline Access arrangement revised proposal: response to Draft Decision,</w:t>
      </w:r>
      <w:r w:rsidRPr="00791180">
        <w:t xml:space="preserve"> January 2016, pp. 69–73</w:t>
      </w:r>
      <w:r>
        <w:t>.</w:t>
      </w:r>
    </w:p>
  </w:footnote>
  <w:footnote w:id="185">
    <w:p w:rsidR="00702DD6" w:rsidRDefault="00702DD6" w:rsidP="00033144">
      <w:pPr>
        <w:pStyle w:val="FootnoteText"/>
      </w:pPr>
      <w:r>
        <w:rPr>
          <w:rStyle w:val="FootnoteReference"/>
        </w:rPr>
        <w:footnoteRef/>
      </w:r>
      <w:r>
        <w:t xml:space="preserve"> </w:t>
      </w:r>
      <w:r>
        <w:tab/>
      </w:r>
      <w:r w:rsidRPr="00177FBB">
        <w:t xml:space="preserve">Frontier Economics, The </w:t>
      </w:r>
      <w:r w:rsidRPr="00177FBB">
        <w:rPr>
          <w:rStyle w:val="AERtextitalic"/>
        </w:rPr>
        <w:t xml:space="preserve">required return on equity under a foundation model approach – Report prepared for Jemena </w:t>
      </w:r>
      <w:r>
        <w:rPr>
          <w:rStyle w:val="AERtextitalic"/>
        </w:rPr>
        <w:t>Electricity</w:t>
      </w:r>
      <w:r w:rsidRPr="00177FBB">
        <w:rPr>
          <w:rStyle w:val="AERtextitalic"/>
        </w:rPr>
        <w:t xml:space="preserve">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186">
    <w:p w:rsidR="00702DD6" w:rsidRDefault="00702DD6" w:rsidP="00033144">
      <w:pPr>
        <w:pStyle w:val="FootnoteText"/>
      </w:pPr>
      <w:r>
        <w:rPr>
          <w:rStyle w:val="FootnoteReference"/>
        </w:rPr>
        <w:footnoteRef/>
      </w:r>
      <w:r>
        <w:t xml:space="preserve"> </w:t>
      </w:r>
      <w:r>
        <w:tab/>
        <w:t>For both the construction of individual models, and the quantitative and/or qualitative methods to give weight to the models.</w:t>
      </w:r>
    </w:p>
  </w:footnote>
  <w:footnote w:id="187">
    <w:p w:rsidR="00702DD6" w:rsidRDefault="00702DD6" w:rsidP="00033144">
      <w:pPr>
        <w:pStyle w:val="FootnoteText"/>
      </w:pPr>
      <w:r>
        <w:rPr>
          <w:rStyle w:val="FootnoteReference"/>
        </w:rPr>
        <w:footnoteRef/>
      </w:r>
      <w:r>
        <w:t xml:space="preserve"> </w:t>
      </w:r>
      <w:r>
        <w:tab/>
        <w:t xml:space="preserve">For example, Partington noted that any return on equity estimate could be obtained from SFG’s DGM construction through judicious choice of input assumptions [Partington, </w:t>
      </w:r>
      <w:r w:rsidRPr="00E529BF">
        <w:rPr>
          <w:rStyle w:val="AERtextitalic"/>
        </w:rPr>
        <w:t>Report to the AER</w:t>
      </w:r>
      <w:r>
        <w:rPr>
          <w:rStyle w:val="AERtextitalic"/>
        </w:rPr>
        <w:t>: Return</w:t>
      </w:r>
      <w:r w:rsidRPr="00E529BF">
        <w:rPr>
          <w:rStyle w:val="AERtextitalic"/>
        </w:rPr>
        <w:t xml:space="preserve"> on </w:t>
      </w:r>
      <w:r>
        <w:rPr>
          <w:rStyle w:val="AERtextitalic"/>
        </w:rPr>
        <w:t>e</w:t>
      </w:r>
      <w:r w:rsidRPr="00E529BF">
        <w:rPr>
          <w:rStyle w:val="AERtextitalic"/>
        </w:rPr>
        <w:t>quity</w:t>
      </w:r>
      <w:r>
        <w:rPr>
          <w:rStyle w:val="AERtextitalic"/>
        </w:rPr>
        <w:t xml:space="preserve"> (updated)</w:t>
      </w:r>
      <w:r>
        <w:t xml:space="preserve">, April 2015, p. 54]. </w:t>
      </w:r>
    </w:p>
  </w:footnote>
  <w:footnote w:id="188">
    <w:p w:rsidR="00702DD6" w:rsidRDefault="00702DD6" w:rsidP="00033144">
      <w:pPr>
        <w:pStyle w:val="FootnoteText"/>
      </w:pPr>
      <w:r>
        <w:rPr>
          <w:rStyle w:val="FootnoteReference"/>
        </w:rPr>
        <w:footnoteRef/>
      </w:r>
      <w:r>
        <w:t xml:space="preserve"> </w:t>
      </w:r>
      <w:r>
        <w:tab/>
      </w:r>
      <w:r w:rsidRPr="00387DCE">
        <w:t xml:space="preserve">Partington and Satchell, </w:t>
      </w:r>
      <w:r w:rsidRPr="00D325AA">
        <w:rPr>
          <w:rStyle w:val="Emphasis"/>
        </w:rPr>
        <w:t>Report to the AER: Cost of equity issues–</w:t>
      </w:r>
      <w:r>
        <w:rPr>
          <w:rStyle w:val="Emphasis"/>
        </w:rPr>
        <w:t>2016 electricity and gas determinations</w:t>
      </w:r>
      <w:r w:rsidRPr="00387DCE">
        <w:t>, April 201</w:t>
      </w:r>
      <w:r>
        <w:t>6</w:t>
      </w:r>
      <w:r w:rsidRPr="00387DCE">
        <w:t>,</w:t>
      </w:r>
      <w:r>
        <w:t xml:space="preserve"> p. 47.</w:t>
      </w:r>
    </w:p>
  </w:footnote>
  <w:footnote w:id="189">
    <w:p w:rsidR="00702DD6" w:rsidRDefault="00702DD6" w:rsidP="00033144">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190">
    <w:p w:rsidR="00702DD6" w:rsidRDefault="00702DD6" w:rsidP="00033144">
      <w:pPr>
        <w:pStyle w:val="FootnoteText"/>
      </w:pPr>
      <w:r>
        <w:rPr>
          <w:rStyle w:val="FootnoteReference"/>
        </w:rPr>
        <w:footnoteRef/>
      </w:r>
      <w:r>
        <w:t xml:space="preserve"> </w:t>
      </w:r>
      <w:r>
        <w:tab/>
      </w:r>
      <w:r w:rsidRPr="000A57D5">
        <w:t xml:space="preserve">For example, see AER, </w:t>
      </w:r>
      <w:r w:rsidRPr="000A57D5">
        <w:rPr>
          <w:rStyle w:val="AERtextitalic"/>
        </w:rPr>
        <w:t>Preliminary decision: CitPower Determination 2016 to 2020: Attachment 3–Rate of return</w:t>
      </w:r>
      <w:r w:rsidRPr="000A57D5">
        <w:t>, October 2015, pp. 257–323</w:t>
      </w:r>
      <w:r>
        <w:t>;</w:t>
      </w:r>
      <w:r w:rsidRPr="000A57D5">
        <w:t>.</w:t>
      </w:r>
      <w:r>
        <w:t xml:space="preserve"> </w:t>
      </w:r>
      <w:r w:rsidRPr="00B55FA0">
        <w:t xml:space="preserve">AER, </w:t>
      </w:r>
      <w:r w:rsidRPr="00B55FA0">
        <w:rPr>
          <w:rStyle w:val="AERtextitalic"/>
        </w:rPr>
        <w:t>Powercor Preliminary Decision - Attachment 3: Rate of Return</w:t>
      </w:r>
      <w:r w:rsidRPr="00B55FA0">
        <w:t xml:space="preserve">, October 2015, pp. </w:t>
      </w:r>
      <w:r>
        <w:t>257–323</w:t>
      </w:r>
      <w:r w:rsidRPr="00B55FA0">
        <w:t xml:space="preserve">;  AER, </w:t>
      </w:r>
      <w:r w:rsidRPr="00B55FA0">
        <w:rPr>
          <w:rStyle w:val="Emphasis"/>
        </w:rPr>
        <w:t>Draft decision ActewAGL distribution determination 2016 to 2021: Attachment 3 – Rate of return</w:t>
      </w:r>
      <w:r w:rsidRPr="00B55FA0">
        <w:t xml:space="preserve">, November 2015, p. </w:t>
      </w:r>
      <w:r>
        <w:t>265–331</w:t>
      </w:r>
      <w:r w:rsidRPr="00B55FA0">
        <w:t xml:space="preserve">; AER, </w:t>
      </w:r>
      <w:r w:rsidRPr="00B55FA0">
        <w:rPr>
          <w:rStyle w:val="Emphasis"/>
        </w:rPr>
        <w:t>Preliminary decision United Energy determination 2016 to 2020: Attachment 3 – Rate of return</w:t>
      </w:r>
      <w:r w:rsidRPr="00B55FA0">
        <w:t xml:space="preserve">, October 2015, pp. </w:t>
      </w:r>
      <w:r>
        <w:t>253–320</w:t>
      </w:r>
      <w:r w:rsidRPr="00B55FA0">
        <w:t xml:space="preserve">; AER, </w:t>
      </w:r>
      <w:r w:rsidRPr="00B55FA0">
        <w:rPr>
          <w:rStyle w:val="Emphasis"/>
        </w:rPr>
        <w:t>Draft decision Australian Gas Networks access arrangement 2016 to 2021–Attachment 3: rate of return</w:t>
      </w:r>
      <w:r w:rsidRPr="00B55FA0">
        <w:t xml:space="preserve">, November 2015, pp. </w:t>
      </w:r>
      <w:r>
        <w:t>267</w:t>
      </w:r>
      <w:r w:rsidRPr="00B55FA0">
        <w:t>–</w:t>
      </w:r>
      <w:r>
        <w:t>333</w:t>
      </w:r>
      <w:r w:rsidRPr="00B55FA0">
        <w:t xml:space="preserve">; AER, </w:t>
      </w:r>
      <w:r w:rsidRPr="00B55FA0">
        <w:rPr>
          <w:rStyle w:val="Emphasis"/>
        </w:rPr>
        <w:t>Preliminary decision Jemena distribution determination 2016 to 2020: Attachment 3–Rate of return</w:t>
      </w:r>
      <w:r w:rsidRPr="00B55FA0">
        <w:t>, October 2015, pp. 2</w:t>
      </w:r>
      <w:r>
        <w:t>31</w:t>
      </w:r>
      <w:r w:rsidRPr="00B55FA0">
        <w:t>–</w:t>
      </w:r>
      <w:r>
        <w:t>327</w:t>
      </w:r>
      <w:r w:rsidRPr="00B55FA0">
        <w:t>; AER</w:t>
      </w:r>
      <w:r w:rsidRPr="00B55FA0">
        <w:rPr>
          <w:rStyle w:val="Emphasis"/>
        </w:rPr>
        <w:t>, Preliminary decision AusNet Services determination 2016 to 2020: Attachment 3–Rate of return</w:t>
      </w:r>
      <w:r w:rsidRPr="00B55FA0">
        <w:t xml:space="preserve">, October 2015, pp. </w:t>
      </w:r>
      <w:r>
        <w:t>260–326</w:t>
      </w:r>
      <w:r w:rsidRPr="00B55FA0">
        <w:t xml:space="preserve">; AER, </w:t>
      </w:r>
      <w:r w:rsidRPr="00B55FA0">
        <w:rPr>
          <w:rStyle w:val="Emphasis"/>
        </w:rPr>
        <w:t>Draft decision Amadeus Gas Pipeline access arrangement 2016 to 2021: Attachment 3</w:t>
      </w:r>
      <w:r w:rsidRPr="00B55FA0">
        <w:rPr>
          <w:rStyle w:val="Emphasis"/>
        </w:rPr>
        <w:softHyphen/>
        <w:t>–Rate of return</w:t>
      </w:r>
      <w:r w:rsidRPr="00B55FA0">
        <w:t xml:space="preserve">, November 2015, pp. </w:t>
      </w:r>
      <w:r>
        <w:t>264–330.</w:t>
      </w:r>
    </w:p>
  </w:footnote>
  <w:footnote w:id="191">
    <w:p w:rsidR="00702DD6" w:rsidRDefault="00702DD6" w:rsidP="00033144">
      <w:pPr>
        <w:pStyle w:val="FootnoteText"/>
      </w:pPr>
      <w:r>
        <w:rPr>
          <w:rStyle w:val="FootnoteReference"/>
        </w:rPr>
        <w:footnoteRef/>
      </w:r>
      <w:r>
        <w:t xml:space="preserve"> </w:t>
      </w:r>
      <w:r>
        <w:tab/>
      </w:r>
      <w:r w:rsidRPr="000A57D5">
        <w:t xml:space="preserve">See Brealey, Myers, Partington and Robinson, </w:t>
      </w:r>
      <w:r w:rsidRPr="000A57D5">
        <w:rPr>
          <w:rStyle w:val="AERtextitalic"/>
        </w:rPr>
        <w:t>Principles of corporate finance</w:t>
      </w:r>
      <w:r w:rsidRPr="000A57D5">
        <w:t xml:space="preserve">, McGraw Hill Australia, 2007, p. 216; Stephan Schaeffler and Christoph Weber, ‘The Cost of Equity of Network Operators – Empirical Evidence and Regulatory Practice’, </w:t>
      </w:r>
      <w:r w:rsidRPr="000A57D5">
        <w:rPr>
          <w:rStyle w:val="AERtextitalic"/>
        </w:rPr>
        <w:t>Competition and Regulation in Network Industries</w:t>
      </w:r>
      <w:r w:rsidRPr="000A57D5">
        <w:t xml:space="preserve">, 14(4), 2013, p. 386; McKenzie and Partington, </w:t>
      </w:r>
      <w:r w:rsidRPr="000A57D5">
        <w:rPr>
          <w:rStyle w:val="AERtextitalic"/>
        </w:rPr>
        <w:t>Report to the AER part A: Return on equity</w:t>
      </w:r>
      <w:r w:rsidRPr="000A57D5">
        <w:t xml:space="preserve">, October 2014, pp. 9–10; AER, </w:t>
      </w:r>
      <w:r w:rsidRPr="000A57D5">
        <w:rPr>
          <w:rStyle w:val="AERtextitalic"/>
        </w:rPr>
        <w:t>Explanatory statement rate of return guideline (appendices)</w:t>
      </w:r>
      <w:r w:rsidRPr="000A57D5">
        <w:t>, 17 December 2013, pp. 13–14.</w:t>
      </w:r>
    </w:p>
  </w:footnote>
  <w:footnote w:id="192">
    <w:p w:rsidR="00702DD6" w:rsidRDefault="00702DD6" w:rsidP="00033144">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292–298, 325–326</w:t>
      </w:r>
      <w:r w:rsidRPr="00791180">
        <w:t xml:space="preserve"> ; Powercor, </w:t>
      </w:r>
      <w:r w:rsidRPr="00791180">
        <w:rPr>
          <w:rStyle w:val="AERtextitalic"/>
        </w:rPr>
        <w:t>Revised regulatory proposal 2016–2020</w:t>
      </w:r>
      <w:r w:rsidRPr="00791180">
        <w:t xml:space="preserve">, January  2016, pp. 286–292, 319–320;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53–54, 64–72, 104–105; United Energy, </w:t>
      </w:r>
      <w:r w:rsidRPr="00791180">
        <w:rPr>
          <w:rStyle w:val="Emphasis"/>
        </w:rPr>
        <w:t>Response to AER preliminary determination–Re: rate of return and gamma</w:t>
      </w:r>
      <w:r w:rsidRPr="00791180">
        <w:t xml:space="preserve">, 6 January 2016, pp. 38–46, 77–78; AGN, </w:t>
      </w:r>
      <w:r w:rsidRPr="00791180">
        <w:rPr>
          <w:rStyle w:val="Emphasis"/>
        </w:rPr>
        <w:t>2016–17 to 2020/21 Access Arrangement information response to draft decision: Attachment 10.26 Response to draft decision: rate of return</w:t>
      </w:r>
      <w:r w:rsidRPr="00791180">
        <w:t xml:space="preserve">, January 2016, pp. 44–52, 81–82; ; JEN (Vic), </w:t>
      </w:r>
      <w:r w:rsidRPr="00791180">
        <w:rPr>
          <w:rStyle w:val="Emphasis"/>
        </w:rPr>
        <w:t>2016–20 Electricity distribution price review regulatory proposal revocation and substitution submission: Attachment 6–1 Rate of return, gamma, forecast inflation, and debt and equity raising costs,</w:t>
      </w:r>
      <w:r w:rsidRPr="00791180">
        <w:t xml:space="preserve"> 6 Janua</w:t>
      </w:r>
      <w:r>
        <w:t>ry 2016, pp. 43– 57, 83–84;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pp.38–46; APTNT, </w:t>
      </w:r>
      <w:r w:rsidRPr="00791180">
        <w:rPr>
          <w:rStyle w:val="Emphasis"/>
        </w:rPr>
        <w:t>Amadeus Gas Pipeline access arrangement revision proposal</w:t>
      </w:r>
      <w:r w:rsidRPr="00791180">
        <w:t>, August 2015, pp. 128–131.</w:t>
      </w:r>
    </w:p>
  </w:footnote>
  <w:footnote w:id="193">
    <w:p w:rsidR="00702DD6" w:rsidRDefault="00702DD6" w:rsidP="00033144">
      <w:pPr>
        <w:pStyle w:val="FootnoteText"/>
      </w:pPr>
      <w:r>
        <w:rPr>
          <w:rStyle w:val="FootnoteReference"/>
        </w:rPr>
        <w:footnoteRef/>
      </w:r>
      <w:r>
        <w:t xml:space="preserve"> </w:t>
      </w:r>
      <w:r>
        <w:tab/>
        <w:t xml:space="preserve">CitiPower, </w:t>
      </w:r>
      <w:r w:rsidRPr="001A0C41">
        <w:rPr>
          <w:rStyle w:val="AERtextitalic"/>
        </w:rPr>
        <w:t>Revised regulatory proposal 2016–2020</w:t>
      </w:r>
      <w:r>
        <w:t xml:space="preserve">, January  2016, pp. 292–298; </w:t>
      </w:r>
      <w:r w:rsidRPr="00791180">
        <w:t xml:space="preserve">; Powercor, </w:t>
      </w:r>
      <w:r w:rsidRPr="00791180">
        <w:rPr>
          <w:rStyle w:val="AERtextitalic"/>
        </w:rPr>
        <w:t>Revised regulatory proposal 2016–2020</w:t>
      </w:r>
      <w:r w:rsidRPr="00791180">
        <w:t xml:space="preserve">, January  2016, pp. 286–292; ; ActewAGL, </w:t>
      </w:r>
      <w:r w:rsidRPr="00791180">
        <w:rPr>
          <w:rStyle w:val="Emphasis"/>
        </w:rPr>
        <w:t>Revised 2016–21 access ar</w:t>
      </w:r>
      <w:r>
        <w:rPr>
          <w:rStyle w:val="Emphasis"/>
        </w:rPr>
        <w:t>r</w:t>
      </w:r>
      <w:r w:rsidRPr="00791180">
        <w:rPr>
          <w:rStyle w:val="Emphasis"/>
        </w:rPr>
        <w:t>angement proposal Response to the AER's draft decision, Appendix 5.01 Detailed response to rate of return, gamma and inflation</w:t>
      </w:r>
      <w:r w:rsidRPr="00791180">
        <w:t xml:space="preserve">, January 2016, pp. 64–72; United Energy, </w:t>
      </w:r>
      <w:r w:rsidRPr="00791180">
        <w:rPr>
          <w:rStyle w:val="Emphasis"/>
        </w:rPr>
        <w:t>Response to AER preliminary determination–Re: rate of return and gamma</w:t>
      </w:r>
      <w:r w:rsidRPr="00791180">
        <w:t xml:space="preserve">, 6 January 2016, pp. 38, 52; AGN, </w:t>
      </w:r>
      <w:r w:rsidRPr="00791180">
        <w:rPr>
          <w:rStyle w:val="Emphasis"/>
        </w:rPr>
        <w:t>2016–17 to 2020/21 Access Arrangement information response to draft decision: Attachment 10.26 Response to draft decision: rate of return</w:t>
      </w:r>
      <w:r w:rsidRPr="00791180">
        <w:t xml:space="preserve">, January 2016, pp. 47–52, 73–74; JEN (Vic), </w:t>
      </w:r>
      <w:r w:rsidRPr="00791180">
        <w:rPr>
          <w:rStyle w:val="Emphasis"/>
        </w:rPr>
        <w:t>2016–20 Electricity distribution price review regulatory proposal revocation and substitution submission: Attachment 6–1 Rate of return, gamma, forecast inflation, and debt and equity raising costs,</w:t>
      </w:r>
      <w:r w:rsidRPr="00791180">
        <w:t xml:space="preserve"> 6 Janua</w:t>
      </w:r>
      <w:r>
        <w:t>ry 2016, pp. 46–51, 51–57 ;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44–52; APTNT, </w:t>
      </w:r>
      <w:r w:rsidRPr="00791180">
        <w:rPr>
          <w:rStyle w:val="Emphasis"/>
        </w:rPr>
        <w:t>Amadeus Gas Pipeline Access arrangement revised proposal: response to Draft Decision,</w:t>
      </w:r>
      <w:r w:rsidRPr="00791180">
        <w:t xml:space="preserve"> January 2016, pp. 73; APTNT, </w:t>
      </w:r>
      <w:r w:rsidRPr="00791180">
        <w:rPr>
          <w:rStyle w:val="Emphasis"/>
        </w:rPr>
        <w:t>Amadeus Gas Pipeline access arrangement revision proposal</w:t>
      </w:r>
      <w:r w:rsidRPr="00791180">
        <w:t xml:space="preserve">, August 2015, pp. 128–131;  </w:t>
      </w:r>
      <w:r>
        <w:t xml:space="preserve">Frontier Economics, </w:t>
      </w:r>
      <w:r w:rsidRPr="001A0C41">
        <w:rPr>
          <w:rStyle w:val="AERtextitalic"/>
        </w:rPr>
        <w:t xml:space="preserve">The required return on equity under a foundation model approach – Report prepared for Jemena </w:t>
      </w:r>
      <w:r>
        <w:rPr>
          <w:rStyle w:val="AERtextitalic"/>
        </w:rPr>
        <w:t>Electricity</w:t>
      </w:r>
      <w:r w:rsidRPr="001A0C41">
        <w:rPr>
          <w:rStyle w:val="AERtextitalic"/>
        </w:rPr>
        <w:t xml:space="preserve"> Networks, ACTEWAGL Distribution, AusNet Services, Australian Gas Networks, Cit</w:t>
      </w:r>
      <w:r>
        <w:rPr>
          <w:rStyle w:val="AERtextitalic"/>
        </w:rPr>
        <w:t>iP</w:t>
      </w:r>
      <w:r w:rsidRPr="001A0C41">
        <w:rPr>
          <w:rStyle w:val="AERtextitalic"/>
        </w:rPr>
        <w:t>ower, Powercor and United Energy</w:t>
      </w:r>
      <w:r>
        <w:t>, January 2016, p. 21.</w:t>
      </w:r>
    </w:p>
  </w:footnote>
  <w:footnote w:id="194">
    <w:p w:rsidR="00702DD6" w:rsidRDefault="00702DD6" w:rsidP="00033144">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w:t>
      </w:r>
      <w:r w:rsidRPr="002A6826">
        <w:t xml:space="preserve"> estimates extrapolated out to ten years.</w:t>
      </w:r>
    </w:p>
  </w:footnote>
  <w:footnote w:id="195">
    <w:p w:rsidR="00702DD6" w:rsidRDefault="00702DD6" w:rsidP="00033144">
      <w:pPr>
        <w:pStyle w:val="FootnoteText"/>
      </w:pPr>
      <w:r>
        <w:rPr>
          <w:rStyle w:val="FootnoteReference"/>
        </w:rPr>
        <w:footnoteRef/>
      </w:r>
      <w:r>
        <w:t xml:space="preserve"> </w:t>
      </w:r>
      <w:r>
        <w:tab/>
      </w:r>
      <w:r w:rsidRPr="00463A41">
        <w:t>Partington</w:t>
      </w:r>
      <w:r>
        <w:t xml:space="preserve">, </w:t>
      </w:r>
      <w:r>
        <w:rPr>
          <w:rStyle w:val="AERtextitalic"/>
        </w:rPr>
        <w:t xml:space="preserve">Report to the AER: Return on equity (updated), </w:t>
      </w:r>
      <w:r w:rsidRPr="004F7EF6">
        <w:rPr>
          <w:rStyle w:val="AERtextitalic"/>
          <w:i w:val="0"/>
        </w:rPr>
        <w:t>April 2015</w:t>
      </w:r>
      <w:r>
        <w:t>, p. 14.</w:t>
      </w:r>
    </w:p>
  </w:footnote>
  <w:footnote w:id="196">
    <w:p w:rsidR="00702DD6" w:rsidRDefault="00702DD6" w:rsidP="00033144">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33, 40.</w:t>
      </w:r>
    </w:p>
  </w:footnote>
  <w:footnote w:id="197">
    <w:p w:rsidR="00702DD6" w:rsidRDefault="00702DD6" w:rsidP="00033144">
      <w:pPr>
        <w:pStyle w:val="FootnoteText"/>
      </w:pPr>
      <w:r>
        <w:rPr>
          <w:rStyle w:val="FootnoteReference"/>
        </w:rPr>
        <w:footnoteRef/>
      </w:r>
      <w:r>
        <w:t xml:space="preserve"> </w:t>
      </w:r>
      <w:r>
        <w:tab/>
        <w:t>The latter point was supported by the Australian Competition Tribunal ([2016] ACT 1 at 210). See Appendix A for more detail.</w:t>
      </w:r>
    </w:p>
  </w:footnote>
  <w:footnote w:id="198">
    <w:p w:rsidR="00702DD6" w:rsidRDefault="00702DD6" w:rsidP="00033144">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286–298;</w:t>
      </w:r>
      <w:r w:rsidRPr="00CE5AD1">
        <w:t xml:space="preserve"> Powercor, </w:t>
      </w:r>
      <w:r w:rsidRPr="00CE5AD1">
        <w:rPr>
          <w:rStyle w:val="AERtextitalic"/>
        </w:rPr>
        <w:t>Revised regulatory proposal 2016–2020</w:t>
      </w:r>
      <w:r w:rsidRPr="00CE5AD1">
        <w:t xml:space="preserve">, January  2016, pp. 280–292; ActewAGL, </w:t>
      </w:r>
      <w:r w:rsidRPr="00CE5AD1">
        <w:rPr>
          <w:rStyle w:val="Emphasis"/>
        </w:rPr>
        <w:t>Revised 2016–21 access a</w:t>
      </w:r>
      <w:r>
        <w:rPr>
          <w:rStyle w:val="Emphasis"/>
        </w:rPr>
        <w:t>r</w:t>
      </w:r>
      <w:r w:rsidRPr="00CE5AD1">
        <w:rPr>
          <w:rStyle w:val="Emphasis"/>
        </w:rPr>
        <w:t>rangement proposal Response to the AER's draft decision, Appendix 5.01 Detailed response to rate of return, gamma and inflation</w:t>
      </w:r>
      <w:r w:rsidRPr="00CE5AD1">
        <w:t xml:space="preserve">, January 2016, pp. 64–72; United Energy, </w:t>
      </w:r>
      <w:r w:rsidRPr="00CE5AD1">
        <w:rPr>
          <w:rStyle w:val="Emphasis"/>
        </w:rPr>
        <w:t>Response to AER preliminary determination–Re: rate of return and gamma</w:t>
      </w:r>
      <w:r w:rsidRPr="00CE5AD1">
        <w:t xml:space="preserve">, 6 January 2016, pp.40–46; AGN, </w:t>
      </w:r>
      <w:r w:rsidRPr="00CE5AD1">
        <w:rPr>
          <w:rStyle w:val="Emphasis"/>
        </w:rPr>
        <w:t>2016–17 to 2020/21 Access Arrangement information response to draft decision: Attachment 10.26 Response to draft decision: rate of return</w:t>
      </w:r>
      <w:r w:rsidRPr="00CE5AD1">
        <w:t xml:space="preserve">, January 2016, pp. pp. 47–52, 73–74; JEN (Vic), </w:t>
      </w:r>
      <w:r w:rsidRPr="00CE5AD1">
        <w:rPr>
          <w:rStyle w:val="Emphasis"/>
        </w:rPr>
        <w:t>2016–20 Electricity distribution price review regulatory proposal revocation and substitution submission: Attachment 6–1 Rate of return, gamma, forecast inflation, and debt and equity raising costs,</w:t>
      </w:r>
      <w:r>
        <w:t xml:space="preserve"> 6 January 2016, pp. 46–51; AusN</w:t>
      </w:r>
      <w:r w:rsidRPr="00CE5AD1">
        <w:t xml:space="preserve">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41–46; APTNT, </w:t>
      </w:r>
      <w:r w:rsidRPr="00CE5AD1">
        <w:rPr>
          <w:rStyle w:val="Emphasis"/>
        </w:rPr>
        <w:t>Amadeus Gas Pipeline Access arrangement revised proposal: response to Draft Decision,</w:t>
      </w:r>
      <w:r w:rsidRPr="00CE5AD1">
        <w:t xml:space="preserve"> January 2016, p. 70, 73; APTNT, </w:t>
      </w:r>
      <w:r w:rsidRPr="00CE5AD1">
        <w:rPr>
          <w:rStyle w:val="Emphasis"/>
        </w:rPr>
        <w:t>Amadeus Gas Pipeline access arrangement revision proposal</w:t>
      </w:r>
      <w:r w:rsidRPr="00CE5AD1">
        <w:t>, August 2015, p. 115–120</w:t>
      </w:r>
      <w:r>
        <w:t>.</w:t>
      </w:r>
      <w:r w:rsidRPr="00CE5AD1">
        <w:t xml:space="preserve">  </w:t>
      </w:r>
    </w:p>
  </w:footnote>
  <w:footnote w:id="199">
    <w:p w:rsidR="00702DD6" w:rsidRDefault="00702DD6" w:rsidP="00033144">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&amp; 39–45.</w:t>
      </w:r>
    </w:p>
  </w:footnote>
  <w:footnote w:id="200">
    <w:p w:rsidR="00702DD6" w:rsidRDefault="00702DD6" w:rsidP="00033144">
      <w:pPr>
        <w:pStyle w:val="FootnoteText"/>
      </w:pPr>
      <w:r>
        <w:rPr>
          <w:rStyle w:val="FootnoteReference"/>
        </w:rPr>
        <w:footnoteRef/>
      </w:r>
      <w:r>
        <w:t xml:space="preserve"> </w:t>
      </w:r>
      <w:r>
        <w:tab/>
      </w:r>
      <w:r w:rsidRPr="00387DCE">
        <w:t xml:space="preserve">Partington and Satchell, </w:t>
      </w:r>
      <w:r w:rsidRPr="00693E77">
        <w:rPr>
          <w:rStyle w:val="Emphasis"/>
        </w:rPr>
        <w:t>Report to the AER: Cost of equity issues–2016 electricity and gas determinations</w:t>
      </w:r>
      <w:r w:rsidRPr="00387DCE">
        <w:t>, April 201</w:t>
      </w:r>
      <w:r>
        <w:t>6</w:t>
      </w:r>
      <w:r w:rsidRPr="00387DCE">
        <w:t>,</w:t>
      </w:r>
      <w:r>
        <w:t xml:space="preserve"> p. 43.</w:t>
      </w:r>
    </w:p>
  </w:footnote>
  <w:footnote w:id="201">
    <w:p w:rsidR="00702DD6" w:rsidRDefault="00702DD6" w:rsidP="00033144">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 290</w:t>
      </w:r>
      <w:r w:rsidRPr="00CE5AD1">
        <w:t xml:space="preserve">; Powercor, </w:t>
      </w:r>
      <w:r w:rsidRPr="00CE5AD1">
        <w:rPr>
          <w:rStyle w:val="AERtextitalic"/>
        </w:rPr>
        <w:t>Revised regulatory proposal 2016–2020</w:t>
      </w:r>
      <w:r w:rsidRPr="00CE5AD1">
        <w:t xml:space="preserve">, January  2016, p. 284;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pp.62–64; United Energy, </w:t>
      </w:r>
      <w:r w:rsidRPr="00CE5AD1">
        <w:rPr>
          <w:rStyle w:val="Emphasis"/>
        </w:rPr>
        <w:t>Response to AER preliminary determination–Re: rate of return and gamma</w:t>
      </w:r>
      <w:r w:rsidRPr="00CE5AD1">
        <w:t xml:space="preserve">, 6 January 2016, pp. 45–46, 51; AGN, </w:t>
      </w:r>
      <w:r w:rsidRPr="00CE5AD1">
        <w:rPr>
          <w:rStyle w:val="Emphasis"/>
        </w:rPr>
        <w:t>2016–17 to 2020/21 Access Arrangement information response to draft decision: Attachment 10.26 Response to draft decision: rate of return</w:t>
      </w:r>
      <w:r w:rsidRPr="00CE5AD1">
        <w:t xml:space="preserve">, January 2016, pp. 49–52; JEN (Vic), </w:t>
      </w:r>
      <w:r w:rsidRPr="00CE5AD1">
        <w:rPr>
          <w:rStyle w:val="Emphasis"/>
        </w:rPr>
        <w:t>2016–20 Electricity distribution price review regulatory proposal revocation and substitution submission: Attachment 6–1 Rate of return, gamma, forecast inflation, and debt and equity raising costs,</w:t>
      </w:r>
      <w:r>
        <w:t xml:space="preserve"> 6 January 2016, pp. 48–51; AusN</w:t>
      </w:r>
      <w:r w:rsidRPr="00CE5AD1">
        <w:t xml:space="preserve">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45–46; APTNT, </w:t>
      </w:r>
      <w:r w:rsidRPr="00CE5AD1">
        <w:rPr>
          <w:rStyle w:val="Emphasis"/>
        </w:rPr>
        <w:t>Amadeus Gas Pipeline Access arrangement revised proposal: response to Draft Decision,</w:t>
      </w:r>
      <w:r w:rsidRPr="00CE5AD1">
        <w:t xml:space="preserve"> January 2016, p. 75</w:t>
      </w:r>
      <w:r>
        <w:t>.</w:t>
      </w:r>
    </w:p>
  </w:footnote>
  <w:footnote w:id="202">
    <w:p w:rsidR="00702DD6" w:rsidRDefault="00702DD6" w:rsidP="00033144">
      <w:pPr>
        <w:pStyle w:val="FootnoteText"/>
      </w:pPr>
      <w:r>
        <w:rPr>
          <w:rStyle w:val="FootnoteReference"/>
        </w:rPr>
        <w:footnoteRef/>
      </w:r>
      <w:r>
        <w:t xml:space="preserve"> </w:t>
      </w:r>
      <w:r>
        <w:tab/>
      </w:r>
      <w:r w:rsidRPr="00AE0672">
        <w:t xml:space="preserve">Incenta Economic Consulting, </w:t>
      </w:r>
      <w:r w:rsidRPr="00FD6327">
        <w:rPr>
          <w:rStyle w:val="AERtextitalic"/>
        </w:rPr>
        <w:t>Further update on the required return on equity from independent expert reports</w:t>
      </w:r>
      <w:r w:rsidRPr="00AE0672">
        <w:t>, February 2015, p. 3</w:t>
      </w:r>
      <w:r>
        <w:t>1.</w:t>
      </w:r>
    </w:p>
  </w:footnote>
  <w:footnote w:id="203">
    <w:p w:rsidR="00702DD6" w:rsidRDefault="00702DD6" w:rsidP="00033144">
      <w:pPr>
        <w:pStyle w:val="FootnoteText"/>
      </w:pPr>
      <w:r>
        <w:rPr>
          <w:rStyle w:val="FootnoteReference"/>
        </w:rPr>
        <w:footnoteRef/>
      </w:r>
      <w:r>
        <w:t xml:space="preserve"> </w:t>
      </w:r>
      <w:r>
        <w:tab/>
        <w:t>Frontier submitted that brokers do not mechanistically apply the Sharpe-Lintner CAPM and that this was evidenced by</w:t>
      </w:r>
      <w:r w:rsidRPr="0047603E">
        <w:t xml:space="preserve"> broker reports tend</w:t>
      </w:r>
      <w:r>
        <w:t>ing</w:t>
      </w:r>
      <w:r w:rsidRPr="0047603E">
        <w:t xml:space="preserve"> to estimate a higher risk free rate than the prevailing yield on Australian government securities </w:t>
      </w:r>
      <w:r>
        <w:t xml:space="preserve">with a 10-year term to maturity. Frontier Economics, </w:t>
      </w:r>
      <w:r w:rsidRPr="00FC730B">
        <w:rPr>
          <w:rStyle w:val="AERtextitalic"/>
        </w:rPr>
        <w:t>Key issues in estimating the return on equity for the benchmark efficient entity</w:t>
      </w:r>
      <w:r>
        <w:t>, June 2015, p. 58.</w:t>
      </w:r>
    </w:p>
  </w:footnote>
  <w:footnote w:id="204">
    <w:p w:rsidR="00702DD6" w:rsidRDefault="00702DD6" w:rsidP="00033144">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 286–298</w:t>
      </w:r>
      <w:r w:rsidRPr="00CE5AD1">
        <w:t xml:space="preserve">; Powercor, </w:t>
      </w:r>
      <w:r w:rsidRPr="00CE5AD1">
        <w:rPr>
          <w:rStyle w:val="AERtextitalic"/>
        </w:rPr>
        <w:t>Revised regulatory proposal 2016–2020</w:t>
      </w:r>
      <w:r w:rsidRPr="00CE5AD1">
        <w:t xml:space="preserve">, January  2016, pp. 280–292;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56–72; United Energy, </w:t>
      </w:r>
      <w:r w:rsidRPr="00CE5AD1">
        <w:rPr>
          <w:rStyle w:val="Emphasis"/>
        </w:rPr>
        <w:t>Response to AER preliminary determination–Re: rate of return and gamma</w:t>
      </w:r>
      <w:r w:rsidRPr="00CE5AD1">
        <w:t xml:space="preserve">, 6 January 2016, pp. 40–50; AGN, </w:t>
      </w:r>
      <w:r w:rsidRPr="00CE5AD1">
        <w:rPr>
          <w:rStyle w:val="Emphasis"/>
        </w:rPr>
        <w:t>2016–17 to 2020/21 Access Arrangement information response to draft decision: Attachment 10.26 Response to draft decision: rate of return</w:t>
      </w:r>
      <w:r w:rsidRPr="00CE5AD1">
        <w:t xml:space="preserve">, January 2016, pp. 47–49, 54–56;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46–48, 54–55;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41–46; APTNT, </w:t>
      </w:r>
      <w:r w:rsidRPr="00CE5AD1">
        <w:rPr>
          <w:rStyle w:val="Emphasis"/>
        </w:rPr>
        <w:t>Amadeus Gas Pipeline Access arrangement revised proposal: response to Draft Decision,</w:t>
      </w:r>
      <w:r w:rsidRPr="00CE5AD1">
        <w:t xml:space="preserve"> January 2016, p. 70–73</w:t>
      </w:r>
      <w:r>
        <w:t>.</w:t>
      </w:r>
    </w:p>
  </w:footnote>
  <w:footnote w:id="205">
    <w:p w:rsidR="00702DD6" w:rsidRDefault="00702DD6" w:rsidP="00033144">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 &amp; 47.</w:t>
      </w:r>
    </w:p>
  </w:footnote>
  <w:footnote w:id="206">
    <w:p w:rsidR="00702DD6" w:rsidRDefault="00702DD6" w:rsidP="00033144">
      <w:pPr>
        <w:pStyle w:val="FootnoteText"/>
      </w:pPr>
      <w:r>
        <w:rPr>
          <w:rStyle w:val="FootnoteReference"/>
        </w:rPr>
        <w:footnoteRef/>
      </w:r>
      <w:r>
        <w:t xml:space="preserve"> </w:t>
      </w:r>
      <w:r>
        <w:tab/>
        <w:t>CitiPower</w:t>
      </w:r>
      <w:r w:rsidRPr="001A0C41">
        <w:rPr>
          <w:rStyle w:val="AERtextitalic"/>
        </w:rPr>
        <w:t>, Revised regulatory proposal 2016–2020</w:t>
      </w:r>
      <w:r>
        <w:t>, January 2016, p. 296</w:t>
      </w:r>
      <w:r w:rsidRPr="00CE5AD1">
        <w:t xml:space="preserve">; Powercor, </w:t>
      </w:r>
      <w:r w:rsidRPr="00CE5AD1">
        <w:rPr>
          <w:rStyle w:val="AERtextitalic"/>
        </w:rPr>
        <w:t>Revised regulatory proposal 2016–2020</w:t>
      </w:r>
      <w:r w:rsidRPr="00CE5AD1">
        <w:t xml:space="preserve">, January  2016, p. 290;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69–70; United Energy, </w:t>
      </w:r>
      <w:r w:rsidRPr="00CE5AD1">
        <w:rPr>
          <w:rStyle w:val="Emphasis"/>
        </w:rPr>
        <w:t>Response to AER preliminary determination–Re: rate of return and gamma</w:t>
      </w:r>
      <w:r w:rsidRPr="00CE5AD1">
        <w:t xml:space="preserve">, 6 January 2016, pp.50–51; AGN, </w:t>
      </w:r>
      <w:r w:rsidRPr="00CE5AD1">
        <w:rPr>
          <w:rStyle w:val="Emphasis"/>
        </w:rPr>
        <w:t>2016–17 to 2020/21 Access Arrangement information response to draft decision: Attachment 10.26 Response to draft decision: rate of return</w:t>
      </w:r>
      <w:r w:rsidRPr="00CE5AD1">
        <w:t xml:space="preserve">, January 2016, pp. 48–49, 55–56;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54–56;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49–50; APTNT, </w:t>
      </w:r>
      <w:r w:rsidRPr="00CE5AD1">
        <w:rPr>
          <w:rStyle w:val="Emphasis"/>
        </w:rPr>
        <w:t>Amadeus Gas Pipeline access arrangement revision proposal</w:t>
      </w:r>
      <w:r w:rsidRPr="00CE5AD1">
        <w:t>, August 2015, p. 115–120, 123–128, 128–131</w:t>
      </w:r>
      <w:r>
        <w:t>.</w:t>
      </w:r>
    </w:p>
  </w:footnote>
  <w:footnote w:id="207">
    <w:p w:rsidR="00702DD6" w:rsidRDefault="00702DD6" w:rsidP="00033144">
      <w:pPr>
        <w:pStyle w:val="FootnoteText"/>
      </w:pPr>
      <w:r>
        <w:rPr>
          <w:rStyle w:val="FootnoteReference"/>
        </w:rPr>
        <w:footnoteRef/>
      </w:r>
      <w:r>
        <w:t xml:space="preserve"> </w:t>
      </w:r>
      <w:r>
        <w:tab/>
        <w:t xml:space="preserve">Service providers have previously submitted on the use of the Black CAPM by other regulators. For example, AusNet Services, </w:t>
      </w:r>
      <w:r w:rsidRPr="00D325AA">
        <w:rPr>
          <w:rStyle w:val="Emphasis"/>
        </w:rPr>
        <w:t>Regulatory proposal 2017–22</w:t>
      </w:r>
      <w:r>
        <w:t>, 30 October 2015, pp. 258–259.</w:t>
      </w:r>
    </w:p>
  </w:footnote>
  <w:footnote w:id="208">
    <w:p w:rsidR="00702DD6" w:rsidRDefault="00702DD6" w:rsidP="00033144">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 40 &amp; 47.</w:t>
      </w:r>
    </w:p>
  </w:footnote>
  <w:footnote w:id="209">
    <w:p w:rsidR="00702DD6" w:rsidRDefault="00702DD6" w:rsidP="00033144">
      <w:pPr>
        <w:pStyle w:val="FootnoteText"/>
      </w:pPr>
      <w:r>
        <w:rPr>
          <w:rStyle w:val="FootnoteReference"/>
        </w:rPr>
        <w:footnoteRef/>
      </w:r>
      <w:r>
        <w:t xml:space="preserve"> </w:t>
      </w:r>
      <w:r>
        <w:tab/>
      </w:r>
      <w:r w:rsidRPr="00CE5AD1">
        <w:t xml:space="preserve">CitiPower, </w:t>
      </w:r>
      <w:r w:rsidRPr="00CE5AD1">
        <w:rPr>
          <w:rStyle w:val="Emphasis"/>
        </w:rPr>
        <w:t>Revised regulatory proposal 2016–2020</w:t>
      </w:r>
      <w:r w:rsidRPr="00CE5AD1">
        <w:t xml:space="preserve">, January 2016, pp. 285, 297–298, 324–326; Powercor, </w:t>
      </w:r>
      <w:r w:rsidRPr="00CE5AD1">
        <w:rPr>
          <w:rStyle w:val="AERtextitalic"/>
        </w:rPr>
        <w:t>Revised regulatory proposal 2016–2020</w:t>
      </w:r>
      <w:r w:rsidRPr="00CE5AD1">
        <w:t xml:space="preserve">, January  2016, pp. 279, 291–292, 318–320;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54–56, 70–72, 104–106; United Energy, </w:t>
      </w:r>
      <w:r w:rsidRPr="00CE5AD1">
        <w:rPr>
          <w:rStyle w:val="Emphasis"/>
        </w:rPr>
        <w:t>Response to AER preliminary determination–Re: rate of return and gamma</w:t>
      </w:r>
      <w:r w:rsidRPr="00CE5AD1">
        <w:t xml:space="preserve">, 6 January 2016, pp. 38–40, 51–52, 77–78; AGN, </w:t>
      </w:r>
      <w:r w:rsidRPr="00CE5AD1">
        <w:rPr>
          <w:rStyle w:val="Emphasis"/>
        </w:rPr>
        <w:t>2016–17 to 2020/21 Access Arrangement information response to draft decision: Attachment 10.26 Response to draft decision: rate of return</w:t>
      </w:r>
      <w:r w:rsidRPr="00CE5AD1">
        <w:t xml:space="preserve">, January 2016, pp. 44–46, 56–58, 81–82;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42–45;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39–40; APTNT, </w:t>
      </w:r>
      <w:r w:rsidRPr="00CE5AD1">
        <w:rPr>
          <w:rStyle w:val="Emphasis"/>
        </w:rPr>
        <w:t>Amadeus Gas Pipeline access arrangement revision proposal</w:t>
      </w:r>
      <w:r w:rsidRPr="00CE5AD1">
        <w:t>, August 2015, pp. 122–123</w:t>
      </w:r>
      <w:r>
        <w:t>.</w:t>
      </w:r>
    </w:p>
  </w:footnote>
  <w:footnote w:id="210">
    <w:p w:rsidR="00702DD6" w:rsidRDefault="00702DD6" w:rsidP="00033144">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pp. 27–30.</w:t>
      </w:r>
    </w:p>
  </w:footnote>
  <w:footnote w:id="211">
    <w:p w:rsidR="00702DD6" w:rsidRDefault="00702DD6" w:rsidP="00033144">
      <w:pPr>
        <w:pStyle w:val="FootnoteText"/>
      </w:pPr>
      <w:r>
        <w:rPr>
          <w:rStyle w:val="FootnoteReference"/>
        </w:rPr>
        <w:footnoteRef/>
      </w:r>
      <w:r>
        <w:t xml:space="preserve"> </w:t>
      </w:r>
      <w:r>
        <w:tab/>
        <w:t>CitiP</w:t>
      </w:r>
      <w:r w:rsidRPr="00CE5AD1">
        <w:t xml:space="preserve">ower, Revised regulatory proposal 2016–2020, January 2016, p. 286–326; Powercor, </w:t>
      </w:r>
      <w:r w:rsidRPr="00CE5AD1">
        <w:rPr>
          <w:rStyle w:val="AERtextitalic"/>
        </w:rPr>
        <w:t>Revised regulatory proposal 2016–2020</w:t>
      </w:r>
      <w:r w:rsidRPr="00CE5AD1">
        <w:t xml:space="preserve">, January  2016, pp. 280–320;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56–105; United Energy, </w:t>
      </w:r>
      <w:r w:rsidRPr="00CE5AD1">
        <w:rPr>
          <w:rStyle w:val="Emphasis"/>
        </w:rPr>
        <w:t>Response to AER preliminary determination–Re: rate of return and gamma</w:t>
      </w:r>
      <w:r w:rsidRPr="00CE5AD1">
        <w:t xml:space="preserve">, 6 January 2016, pp. 40–78; AGN, </w:t>
      </w:r>
      <w:r w:rsidRPr="00CE5AD1">
        <w:rPr>
          <w:rStyle w:val="Emphasis"/>
        </w:rPr>
        <w:t>2016–17 to 2020/21 Access Arrangement information response to draft decision: Attachment 10.26 Response to draft decision: rate of return</w:t>
      </w:r>
      <w:r w:rsidRPr="00CE5AD1">
        <w:t xml:space="preserve">, January 2016, pp. 46–82;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46–84;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38–77; APTNT, </w:t>
      </w:r>
      <w:r w:rsidRPr="00CE5AD1">
        <w:rPr>
          <w:rStyle w:val="Emphasis"/>
        </w:rPr>
        <w:t>Amadeus Gas Pipeline Access arrangement revised proposal: response to Draft Decision,</w:t>
      </w:r>
      <w:r w:rsidRPr="00CE5AD1">
        <w:t xml:space="preserve"> January 2016, pp. 68–73</w:t>
      </w:r>
      <w:r>
        <w:t>.</w:t>
      </w:r>
    </w:p>
  </w:footnote>
  <w:footnote w:id="212">
    <w:p w:rsidR="00702DD6" w:rsidRDefault="00702DD6" w:rsidP="00FB2F4C">
      <w:pPr>
        <w:pStyle w:val="FootnoteText"/>
      </w:pPr>
      <w:r>
        <w:rPr>
          <w:rStyle w:val="FootnoteReference"/>
        </w:rPr>
        <w:footnoteRef/>
      </w:r>
      <w:r>
        <w:t xml:space="preserve"> </w:t>
      </w:r>
      <w:r>
        <w:tab/>
      </w:r>
      <w:r w:rsidRPr="00507540">
        <w:t>See section C.5 of appendix C—</w:t>
      </w:r>
      <w:r>
        <w:t>Market Risk Premium</w:t>
      </w:r>
      <w:r w:rsidRPr="00507540">
        <w:t xml:space="preserve"> for full reference list.</w:t>
      </w:r>
    </w:p>
  </w:footnote>
  <w:footnote w:id="213">
    <w:p w:rsidR="00702DD6" w:rsidRDefault="00702DD6" w:rsidP="00FB2F4C">
      <w:pPr>
        <w:pStyle w:val="FootnoteText"/>
      </w:pPr>
      <w:r>
        <w:rPr>
          <w:rStyle w:val="FootnoteReference"/>
        </w:rPr>
        <w:footnoteRef/>
      </w:r>
      <w:r>
        <w:t xml:space="preserve"> </w:t>
      </w:r>
      <w:r>
        <w:tab/>
      </w:r>
      <w:r w:rsidRPr="00507540">
        <w:t xml:space="preserve">VECUA, </w:t>
      </w:r>
      <w:r w:rsidRPr="00507540">
        <w:rPr>
          <w:rStyle w:val="Emphasis"/>
        </w:rPr>
        <w:t>Submission to the AER: AER preliminary 2016-20 revenue determinations for the Victorian DNSPs</w:t>
      </w:r>
      <w:r w:rsidRPr="00507540">
        <w:t>, 6 January 2016, p. 17</w:t>
      </w:r>
      <w:r>
        <w:t xml:space="preserve">; ECCSA, </w:t>
      </w:r>
      <w:r w:rsidRPr="00DA67DD">
        <w:rPr>
          <w:rStyle w:val="AERtextitalic"/>
        </w:rPr>
        <w:t>A response to the Australian Energy Regulator draft decision on Australian Gas Networks AA2016 revenue reset</w:t>
      </w:r>
      <w:r>
        <w:t xml:space="preserve">, February 2016, p. 36; </w:t>
      </w:r>
      <w:r w:rsidRPr="004D154B">
        <w:t xml:space="preserve">Origin Energy, </w:t>
      </w:r>
      <w:r w:rsidRPr="001C360C">
        <w:rPr>
          <w:rStyle w:val="AERtextitalic"/>
        </w:rPr>
        <w:t xml:space="preserve">Re: </w:t>
      </w:r>
      <w:r w:rsidRPr="00015F48">
        <w:rPr>
          <w:rStyle w:val="AERtextitalic"/>
        </w:rPr>
        <w:t>Submission to AER preliminary decision Victorian networks</w:t>
      </w:r>
      <w:r w:rsidRPr="004D154B">
        <w:t xml:space="preserve">, </w:t>
      </w:r>
      <w:r>
        <w:t>6 January 2016</w:t>
      </w:r>
      <w:r w:rsidRPr="004D154B">
        <w:t xml:space="preserve">, </w:t>
      </w:r>
      <w:r>
        <w:t xml:space="preserve">p. 3; CCP (subpanel 5), </w:t>
      </w:r>
      <w:r w:rsidRPr="00DA67DD">
        <w:rPr>
          <w:rStyle w:val="AERtextitalic"/>
        </w:rPr>
        <w:t>Transmission for the generations: Response to proposal by AusNet Services Transmission Group and AER issues paper</w:t>
      </w:r>
      <w:r>
        <w:t>, February 2016, p. 6</w:t>
      </w:r>
      <w:r w:rsidRPr="00507540">
        <w:t>. </w:t>
      </w:r>
    </w:p>
  </w:footnote>
  <w:footnote w:id="214">
    <w:p w:rsidR="00702DD6" w:rsidRDefault="00702DD6" w:rsidP="00FB2F4C">
      <w:pPr>
        <w:pStyle w:val="FootnoteText"/>
      </w:pPr>
      <w:r>
        <w:rPr>
          <w:rStyle w:val="FootnoteReference"/>
        </w:rPr>
        <w:footnoteRef/>
      </w:r>
      <w:r>
        <w:t xml:space="preserve"> </w:t>
      </w:r>
      <w:r>
        <w:tab/>
      </w:r>
      <w:r w:rsidRPr="00507540">
        <w:t xml:space="preserve">APTNT proposed a </w:t>
      </w:r>
      <w:r>
        <w:t>market risk premium</w:t>
      </w:r>
      <w:r w:rsidRPr="00507540">
        <w:t xml:space="preserve"> range of 7.48 to 8.58 per cent. See: APTNT, </w:t>
      </w:r>
      <w:r w:rsidRPr="00507540">
        <w:rPr>
          <w:rStyle w:val="Emphasis"/>
        </w:rPr>
        <w:t>Amadeus gas pipeline: revised proposal (AA information)</w:t>
      </w:r>
      <w:r w:rsidRPr="00507540">
        <w:t>, January 2016, p. 21.</w:t>
      </w:r>
    </w:p>
  </w:footnote>
  <w:footnote w:id="215">
    <w:p w:rsidR="00702DD6" w:rsidRDefault="00702DD6" w:rsidP="00FB2F4C">
      <w:pPr>
        <w:pStyle w:val="FootnoteText"/>
      </w:pPr>
      <w:r>
        <w:rPr>
          <w:rStyle w:val="FootnoteReference"/>
        </w:rPr>
        <w:footnoteRef/>
      </w:r>
      <w:r>
        <w:t xml:space="preserve"> </w:t>
      </w:r>
      <w:r>
        <w:tab/>
        <w:t xml:space="preserve">For more detail. See: section </w:t>
      </w:r>
      <w:r>
        <w:fldChar w:fldCharType="begin"/>
      </w:r>
      <w:r>
        <w:instrText xml:space="preserve"> REF _Ref448320174 \r \h </w:instrText>
      </w:r>
      <w:r>
        <w:fldChar w:fldCharType="separate"/>
      </w:r>
      <w:r>
        <w:t>C.3</w:t>
      </w:r>
      <w:r>
        <w:fldChar w:fldCharType="end"/>
      </w:r>
      <w:r>
        <w:t xml:space="preserve"> of this attachment; AER, </w:t>
      </w:r>
      <w:r w:rsidRPr="00AD44F5">
        <w:rPr>
          <w:rStyle w:val="Emphasis"/>
        </w:rPr>
        <w:t>Explanatory statement: Rate of return guideline (appendices)</w:t>
      </w:r>
      <w:r>
        <w:t xml:space="preserve">, 17 December 2013, p. 83; AER, </w:t>
      </w:r>
      <w:r w:rsidRPr="00AD44F5">
        <w:rPr>
          <w:rStyle w:val="Emphasis"/>
        </w:rPr>
        <w:t>Draft decision: SPI Networks access arrangement</w:t>
      </w:r>
      <w:r>
        <w:t xml:space="preserve">, September 2012, Appendix B.2.1. </w:t>
      </w:r>
    </w:p>
  </w:footnote>
  <w:footnote w:id="216">
    <w:p w:rsidR="00702DD6" w:rsidRDefault="00702DD6" w:rsidP="00FB2F4C">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 xml:space="preserve">12;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 p. 43.</w:t>
      </w:r>
    </w:p>
  </w:footnote>
  <w:footnote w:id="217">
    <w:p w:rsidR="00702DD6" w:rsidRDefault="00702DD6" w:rsidP="00FB2F4C">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51. Also see </w:t>
      </w:r>
      <w:r w:rsidRPr="00BA33A5">
        <w:t xml:space="preserve">Partington &amp; Satchell, </w:t>
      </w:r>
      <w:r w:rsidRPr="00BA33A5">
        <w:rPr>
          <w:rStyle w:val="AERtextitalic"/>
        </w:rPr>
        <w:t>Report to the AER: Analysis of criticism of 2015 determinations</w:t>
      </w:r>
      <w:r w:rsidRPr="00BA33A5">
        <w:t>, October 2015</w:t>
      </w:r>
      <w:r>
        <w:t>, p. 43.</w:t>
      </w:r>
    </w:p>
  </w:footnote>
  <w:footnote w:id="218">
    <w:p w:rsidR="00702DD6" w:rsidRDefault="00702DD6" w:rsidP="00FB2F4C">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 xml:space="preserve">6, p. 17. </w:t>
      </w:r>
    </w:p>
  </w:footnote>
  <w:footnote w:id="219">
    <w:p w:rsidR="00702DD6" w:rsidRDefault="00702DD6" w:rsidP="00FB2F4C">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6.</w:t>
      </w:r>
    </w:p>
  </w:footnote>
  <w:footnote w:id="220">
    <w:p w:rsidR="00702DD6" w:rsidRDefault="00702DD6" w:rsidP="00FB2F4C">
      <w:pPr>
        <w:pStyle w:val="FootnoteText"/>
      </w:pPr>
      <w:r>
        <w:rPr>
          <w:rStyle w:val="FootnoteReference"/>
        </w:rPr>
        <w:footnoteRef/>
      </w:r>
      <w:r>
        <w:t xml:space="preserve"> </w:t>
      </w:r>
      <w:r>
        <w:tab/>
        <w:t xml:space="preserve">ECCSA, </w:t>
      </w:r>
      <w:r w:rsidRPr="00DA67DD">
        <w:rPr>
          <w:rStyle w:val="AERtextitalic"/>
        </w:rPr>
        <w:t>A response to the Australian Energy Regulator draft decision on Australian Gas Networks AA2016 revenue reset</w:t>
      </w:r>
      <w:r>
        <w:t>, February 2016, p. 36.</w:t>
      </w:r>
    </w:p>
  </w:footnote>
  <w:footnote w:id="221">
    <w:p w:rsidR="00702DD6" w:rsidRDefault="00702DD6" w:rsidP="00FB2F4C">
      <w:pPr>
        <w:pStyle w:val="FootnoteText"/>
      </w:pPr>
      <w:r>
        <w:rPr>
          <w:rStyle w:val="FootnoteReference"/>
        </w:rPr>
        <w:footnoteRef/>
      </w:r>
      <w:r>
        <w:t xml:space="preserve"> </w:t>
      </w:r>
      <w:r>
        <w:tab/>
      </w:r>
      <w:r w:rsidRPr="004D154B">
        <w:t xml:space="preserve">Origin Energy, </w:t>
      </w:r>
      <w:r w:rsidRPr="001C360C">
        <w:rPr>
          <w:rStyle w:val="AERtextitalic"/>
        </w:rPr>
        <w:t xml:space="preserve">Re: </w:t>
      </w:r>
      <w:r w:rsidRPr="00015F48">
        <w:rPr>
          <w:rStyle w:val="AERtextitalic"/>
        </w:rPr>
        <w:t>Submission to AER preliminary decision Victorian networks</w:t>
      </w:r>
      <w:r w:rsidRPr="004D154B">
        <w:t xml:space="preserve">, </w:t>
      </w:r>
      <w:r>
        <w:t>6 January 2016</w:t>
      </w:r>
      <w:r w:rsidRPr="004D154B">
        <w:t xml:space="preserve">, </w:t>
      </w:r>
      <w:r>
        <w:t>p. 3.</w:t>
      </w:r>
    </w:p>
  </w:footnote>
  <w:footnote w:id="222">
    <w:p w:rsidR="00702DD6" w:rsidRDefault="00702DD6" w:rsidP="00FB2F4C">
      <w:pPr>
        <w:pStyle w:val="FootnoteText"/>
      </w:pPr>
      <w:r>
        <w:rPr>
          <w:rStyle w:val="FootnoteReference"/>
        </w:rPr>
        <w:footnoteRef/>
      </w:r>
      <w:r>
        <w:t xml:space="preserve"> </w:t>
      </w:r>
      <w:r>
        <w:tab/>
        <w:t xml:space="preserve">CCP (subpanel 5), </w:t>
      </w:r>
      <w:r w:rsidRPr="00DA67DD">
        <w:rPr>
          <w:rStyle w:val="AERtextitalic"/>
        </w:rPr>
        <w:t>Transmission for the generations: Response to proposal by AusNet Services Transmission Group and AER issues paper</w:t>
      </w:r>
      <w:r>
        <w:t>, February 2016, p. 6.</w:t>
      </w:r>
    </w:p>
  </w:footnote>
  <w:footnote w:id="223">
    <w:p w:rsidR="00702DD6" w:rsidRDefault="00702DD6" w:rsidP="00FB2F4C">
      <w:pPr>
        <w:pStyle w:val="FootnoteText"/>
      </w:pPr>
      <w:r>
        <w:rPr>
          <w:rStyle w:val="FootnoteReference"/>
        </w:rPr>
        <w:footnoteRef/>
      </w:r>
      <w:r>
        <w:t xml:space="preserve"> </w:t>
      </w:r>
      <w:r>
        <w:tab/>
        <w:t xml:space="preserve">See, for example, </w:t>
      </w:r>
      <w:r w:rsidRPr="00312C8A">
        <w:t xml:space="preserve">SFG, </w:t>
      </w:r>
      <w:r w:rsidRPr="00312C8A">
        <w:rPr>
          <w:rStyle w:val="AERtextitalic"/>
        </w:rPr>
        <w:t>The required return on equity for regulated gas and electricity network businesses</w:t>
      </w:r>
      <w:r>
        <w:t xml:space="preserve">, May 2014, pp. 8, 84. Service providers typically provided updated estimates based on this SFG approach and updated by Frontier Economics - see: Frontier Economics, </w:t>
      </w:r>
      <w:r w:rsidRPr="00DA67DD">
        <w:rPr>
          <w:rStyle w:val="AERtextitalic"/>
        </w:rPr>
        <w:t>The required return on equity under a foundation model approach</w:t>
      </w:r>
      <w:r>
        <w:t>, January 2016, p. 34.</w:t>
      </w:r>
    </w:p>
  </w:footnote>
  <w:footnote w:id="224">
    <w:p w:rsidR="00702DD6" w:rsidRDefault="00702DD6" w:rsidP="00FB2F4C">
      <w:pPr>
        <w:pStyle w:val="FootnoteText"/>
      </w:pPr>
      <w:r>
        <w:rPr>
          <w:rStyle w:val="FootnoteReference"/>
        </w:rPr>
        <w:footnoteRef/>
      </w:r>
      <w:r>
        <w:t xml:space="preserve"> </w:t>
      </w:r>
      <w:r>
        <w:tab/>
        <w:t>APTNT submitted that it did not use the Wright approach but rather "</w:t>
      </w:r>
      <w:r w:rsidRPr="00537CD2">
        <w:t>applies the model by making estimates of the expected return on the market, and of the risk free rate, and by estimating the market risk premium as the difference between the two</w:t>
      </w:r>
      <w:r>
        <w:t xml:space="preserve">". We do not consider that there is any substantive difference between APTNT's approach and the Wright approach. See: APTNT, </w:t>
      </w:r>
      <w:r w:rsidRPr="001C360C">
        <w:rPr>
          <w:rStyle w:val="AERtextitalic"/>
        </w:rPr>
        <w:t>Amadeus gas pipeline: Access arrangement revised proposal response to draft decision</w:t>
      </w:r>
      <w:r>
        <w:t>, January 2016, pp. 68, 75-77.</w:t>
      </w:r>
    </w:p>
  </w:footnote>
  <w:footnote w:id="225">
    <w:p w:rsidR="00702DD6" w:rsidRDefault="00702DD6" w:rsidP="00FB2F4C">
      <w:pPr>
        <w:pStyle w:val="FootnoteText"/>
      </w:pPr>
      <w:r>
        <w:rPr>
          <w:rStyle w:val="FootnoteReference"/>
        </w:rPr>
        <w:footnoteRef/>
      </w:r>
      <w:r>
        <w:t xml:space="preserve"> </w:t>
      </w:r>
      <w:r>
        <w:tab/>
        <w:t xml:space="preserve">APTNT, </w:t>
      </w:r>
      <w:r w:rsidRPr="001C360C">
        <w:rPr>
          <w:rStyle w:val="AERtextitalic"/>
        </w:rPr>
        <w:t>Amadeus gas pipeline: Access arrangement revised proposal response to draft decision</w:t>
      </w:r>
      <w:r>
        <w:t>, January 2016, pp. 75-77.</w:t>
      </w:r>
    </w:p>
  </w:footnote>
  <w:footnote w:id="226">
    <w:p w:rsidR="00702DD6" w:rsidRDefault="00702DD6" w:rsidP="00FB2F4C">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227">
    <w:p w:rsidR="00702DD6" w:rsidRDefault="00702DD6" w:rsidP="00FB2F4C">
      <w:pPr>
        <w:pStyle w:val="FootnoteText"/>
      </w:pPr>
      <w:r>
        <w:rPr>
          <w:rStyle w:val="FootnoteReference"/>
        </w:rPr>
        <w:footnoteRef/>
      </w:r>
      <w:r>
        <w:t xml:space="preserve"> </w:t>
      </w:r>
      <w:r>
        <w:tab/>
        <w:t xml:space="preserve">HoustonKemp, </w:t>
      </w:r>
      <w:r w:rsidRPr="009D472A">
        <w:rPr>
          <w:rStyle w:val="AERtextitalic"/>
        </w:rPr>
        <w:t>The cost of equity: Response to the AER's draft decisions for the Victorian electricity distributors, ActewAGL Distribution and Australian Gas Networks</w:t>
      </w:r>
      <w:r>
        <w:t>, January 2016, pp. 48.</w:t>
      </w:r>
    </w:p>
  </w:footnote>
  <w:footnote w:id="228">
    <w:p w:rsidR="00702DD6" w:rsidRDefault="00702DD6" w:rsidP="00FB2F4C">
      <w:pPr>
        <w:pStyle w:val="FootnoteText"/>
      </w:pPr>
      <w:r>
        <w:rPr>
          <w:rStyle w:val="FootnoteReference"/>
        </w:rPr>
        <w:footnoteRef/>
      </w:r>
      <w:r>
        <w:t xml:space="preserve"> </w:t>
      </w:r>
      <w:r>
        <w:tab/>
        <w:t>Frontier Economics, The relationship between government bond yields and the market risk premium, January 2016, p. 39.</w:t>
      </w:r>
    </w:p>
  </w:footnote>
  <w:footnote w:id="229">
    <w:p w:rsidR="00702DD6" w:rsidRDefault="00702DD6" w:rsidP="00FB2F4C">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230">
    <w:p w:rsidR="00702DD6" w:rsidRDefault="00702DD6" w:rsidP="00FB2F4C">
      <w:pPr>
        <w:pStyle w:val="FootnoteText"/>
      </w:pPr>
      <w:r>
        <w:rPr>
          <w:rStyle w:val="FootnoteReference"/>
        </w:rPr>
        <w:footnoteRef/>
      </w:r>
      <w:r>
        <w:t xml:space="preserve"> </w:t>
      </w:r>
      <w:r>
        <w:tab/>
      </w:r>
      <w:r w:rsidRPr="00652E04">
        <w:t xml:space="preserve">McKenzie and Partington, </w:t>
      </w:r>
      <w:r w:rsidRPr="00652E04">
        <w:rPr>
          <w:rStyle w:val="AERtextitalic"/>
        </w:rPr>
        <w:t>Report to the AER, Part A: Return on equity</w:t>
      </w:r>
      <w:r w:rsidRPr="00652E04">
        <w:t xml:space="preserve"> October</w:t>
      </w:r>
      <w:r w:rsidRPr="00652E04" w:rsidDel="008662AA">
        <w:t xml:space="preserve"> </w:t>
      </w:r>
      <w:r w:rsidRPr="00652E04">
        <w:t xml:space="preserve">2014, pp. 26, 31; Partington, </w:t>
      </w:r>
      <w:r w:rsidRPr="00652E04">
        <w:rPr>
          <w:rStyle w:val="AERtextitalic"/>
        </w:rPr>
        <w:t>Report to the AER: Return on equity (Updated)</w:t>
      </w:r>
      <w:r w:rsidRPr="00652E04">
        <w:t xml:space="preserve">, April 2015, pp. 46, 51; McKenzie and Partington, </w:t>
      </w:r>
      <w:r w:rsidRPr="00652E04">
        <w:rPr>
          <w:rStyle w:val="AERtextitalic"/>
        </w:rPr>
        <w:t>The DGM</w:t>
      </w:r>
      <w:r w:rsidRPr="00652E04">
        <w:t xml:space="preserve">, December 2013, pp. 8–9. Also see Partington &amp; Satchell, </w:t>
      </w:r>
      <w:r w:rsidRPr="00652E04">
        <w:rPr>
          <w:rStyle w:val="AERtextitalic"/>
        </w:rPr>
        <w:t>Report to the AER: Analysis of criticism of 2015 determinations</w:t>
      </w:r>
      <w:r w:rsidRPr="00652E04">
        <w:t>, October 2015, p. 43.</w:t>
      </w:r>
    </w:p>
  </w:footnote>
  <w:footnote w:id="231">
    <w:p w:rsidR="00702DD6" w:rsidRDefault="00702DD6" w:rsidP="00FB2F4C">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232">
    <w:p w:rsidR="00702DD6" w:rsidRDefault="00702DD6" w:rsidP="00FB2F4C">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233">
    <w:p w:rsidR="00702DD6" w:rsidRDefault="00702DD6" w:rsidP="00FB2F4C">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xml:space="preserve">, April 2016, pp. 49–52. </w:t>
      </w:r>
    </w:p>
  </w:footnote>
  <w:footnote w:id="234">
    <w:p w:rsidR="00702DD6" w:rsidRDefault="00702DD6" w:rsidP="00FB2F4C">
      <w:pPr>
        <w:pStyle w:val="FootnoteText"/>
      </w:pPr>
      <w:r>
        <w:rPr>
          <w:rStyle w:val="FootnoteReference"/>
        </w:rPr>
        <w:footnoteRef/>
      </w:r>
      <w:r>
        <w:t xml:space="preserve"> </w:t>
      </w:r>
      <w:r>
        <w:tab/>
      </w:r>
      <w:r w:rsidRPr="00D52A4F">
        <w:t xml:space="preserve">Partington &amp; Satchell, </w:t>
      </w:r>
      <w:r w:rsidRPr="00D52A4F">
        <w:rPr>
          <w:rStyle w:val="AERtextitalic"/>
        </w:rPr>
        <w:t>Report to the AER: Analysis of criticism of 2015 determinations</w:t>
      </w:r>
      <w:r w:rsidRPr="00D52A4F">
        <w:t>, October 2015, pp. 45–46.</w:t>
      </w:r>
    </w:p>
  </w:footnote>
  <w:footnote w:id="235">
    <w:p w:rsidR="00702DD6" w:rsidRDefault="00702DD6" w:rsidP="00FB2F4C">
      <w:pPr>
        <w:pStyle w:val="FootnoteText"/>
      </w:pPr>
      <w:r>
        <w:rPr>
          <w:rStyle w:val="FootnoteReference"/>
        </w:rPr>
        <w:footnoteRef/>
      </w:r>
      <w:r>
        <w:t xml:space="preserve"> </w:t>
      </w:r>
      <w:r>
        <w:tab/>
      </w:r>
      <w:r w:rsidRPr="004F4F21">
        <w:t xml:space="preserve">SFG, </w:t>
      </w:r>
      <w:r w:rsidRPr="00900963">
        <w:rPr>
          <w:rStyle w:val="AERtextitalic"/>
        </w:rPr>
        <w:t>Alternative versions of the dividend discount model and the implied cost of equity</w:t>
      </w:r>
      <w:r w:rsidRPr="004F4F21">
        <w:t>, 15 May 2014</w:t>
      </w:r>
      <w:r>
        <w:t xml:space="preserve">, p. 62–63;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 17; </w:t>
      </w:r>
      <w:r w:rsidRPr="004354C1">
        <w:t xml:space="preserve">SFG, </w:t>
      </w:r>
      <w:r w:rsidRPr="004354C1">
        <w:rPr>
          <w:rStyle w:val="AERtextitalic"/>
        </w:rPr>
        <w:t>The required return on equity for regulated gas and electricity network businesses</w:t>
      </w:r>
      <w:r w:rsidRPr="004354C1">
        <w:t xml:space="preserve">, 27 </w:t>
      </w:r>
      <w:r>
        <w:t>M</w:t>
      </w:r>
      <w:r w:rsidRPr="004354C1">
        <w:t>ay 2</w:t>
      </w:r>
      <w:r>
        <w:t>014, p.  41.</w:t>
      </w:r>
    </w:p>
  </w:footnote>
  <w:footnote w:id="236">
    <w:p w:rsidR="00702DD6" w:rsidRDefault="00702DD6" w:rsidP="006A1FD6">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237">
    <w:p w:rsidR="00702DD6" w:rsidRDefault="00702DD6" w:rsidP="006A1FD6">
      <w:pPr>
        <w:pStyle w:val="FootnoteText"/>
      </w:pPr>
      <w:r>
        <w:rPr>
          <w:rStyle w:val="FootnoteReference"/>
        </w:rPr>
        <w:footnoteRef/>
      </w:r>
      <w:r>
        <w:t xml:space="preserve"> </w:t>
      </w:r>
      <w:r>
        <w:tab/>
        <w:t>More precisely, reference services, see: NER, cl. 6.5.2(c). For electricity transmission network service providers the rules refer to prescribed transmission services, see NER, cl. 6A.6.2(c). For electricity distribution service providers the rules refer to standard control services, see: NER, cl. 6.5.2(c).</w:t>
      </w:r>
    </w:p>
  </w:footnote>
  <w:footnote w:id="238">
    <w:p w:rsidR="00702DD6" w:rsidRDefault="00702DD6" w:rsidP="006A1FD6">
      <w:pPr>
        <w:pStyle w:val="FootnoteText"/>
      </w:pPr>
      <w:r>
        <w:rPr>
          <w:rStyle w:val="FootnoteReference"/>
        </w:rPr>
        <w:footnoteRef/>
      </w:r>
      <w:r>
        <w:t xml:space="preserve"> </w:t>
      </w:r>
      <w:r>
        <w:tab/>
        <w:t>More precisely, an efficient business (or benchmark efficient entity) with a similar degree of risk as that which applies to ActewAGL in the provision of reference services.</w:t>
      </w:r>
    </w:p>
  </w:footnote>
  <w:footnote w:id="239">
    <w:p w:rsidR="00702DD6" w:rsidRDefault="00702DD6" w:rsidP="006A1FD6">
      <w:pPr>
        <w:pStyle w:val="FootnoteText"/>
      </w:pPr>
      <w:r>
        <w:rPr>
          <w:rStyle w:val="FootnoteReference"/>
        </w:rPr>
        <w:footnoteRef/>
      </w:r>
      <w:r>
        <w:t xml:space="preserve"> </w:t>
      </w:r>
      <w:r>
        <w:tab/>
        <w:t xml:space="preserve">See: </w:t>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31;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w:t>
      </w:r>
    </w:p>
  </w:footnote>
  <w:footnote w:id="240">
    <w:p w:rsidR="00702DD6" w:rsidRDefault="00702DD6" w:rsidP="006A1FD6">
      <w:pPr>
        <w:pStyle w:val="FootnoteText"/>
      </w:pPr>
      <w:r>
        <w:rPr>
          <w:rStyle w:val="FootnoteReference"/>
        </w:rPr>
        <w:footnoteRef/>
      </w:r>
      <w:r>
        <w:t xml:space="preserve"> </w:t>
      </w:r>
      <w:r>
        <w:tab/>
        <w:t>However, the Black CAPM replaces this with an assumption of unlimited ability to short sell stocks.</w:t>
      </w:r>
    </w:p>
  </w:footnote>
  <w:footnote w:id="241">
    <w:p w:rsidR="00702DD6" w:rsidRDefault="00702DD6" w:rsidP="006A1FD6">
      <w:pPr>
        <w:pStyle w:val="FootnoteText"/>
      </w:pPr>
      <w:r>
        <w:rPr>
          <w:rStyle w:val="FootnoteReference"/>
        </w:rPr>
        <w:footnoteRef/>
      </w:r>
      <w:r>
        <w:t xml:space="preserve"> </w:t>
      </w:r>
      <w:r>
        <w:tab/>
      </w:r>
      <w:r w:rsidRPr="002B7E9B">
        <w:rPr>
          <w:rStyle w:val="AERbody"/>
          <w:sz w:val="16"/>
        </w:rPr>
        <w:t xml:space="preserve">Stakeholders, particularly service providers, sought greater certainty of process. See: </w:t>
      </w:r>
      <w:r w:rsidRPr="002B7E9B">
        <w:t xml:space="preserve">AER, </w:t>
      </w:r>
      <w:r w:rsidRPr="002B7E9B">
        <w:rPr>
          <w:rStyle w:val="AERtextitalic"/>
        </w:rPr>
        <w:t>Explanatory statement: Rate of return guideline</w:t>
      </w:r>
      <w:r w:rsidRPr="002B7E9B">
        <w:t xml:space="preserve">, December 2013, p. 51; AEMC, </w:t>
      </w:r>
      <w:r w:rsidRPr="002B7E9B">
        <w:rPr>
          <w:rStyle w:val="AERtextitalic"/>
        </w:rPr>
        <w:t>Final rule determination</w:t>
      </w:r>
      <w:r w:rsidRPr="002B7E9B">
        <w:t xml:space="preserve">, November 2012, pp. 42–43, 45, 50; RARE Infrastructure Limited, </w:t>
      </w:r>
      <w:r w:rsidRPr="002B7E9B">
        <w:rPr>
          <w:rStyle w:val="AERtextitalic"/>
        </w:rPr>
        <w:t>Submission to AER’s rate of return guidelines consultation paper</w:t>
      </w:r>
      <w:r w:rsidRPr="002B7E9B">
        <w:t xml:space="preserve">, June 2013; The Financial Investor Group, </w:t>
      </w:r>
      <w:r w:rsidRPr="002B7E9B">
        <w:rPr>
          <w:rStyle w:val="AERtextitalic"/>
        </w:rPr>
        <w:t>Response to the AER’s rate of return guidelines consultation paper</w:t>
      </w:r>
      <w:r w:rsidRPr="002B7E9B">
        <w:t xml:space="preserve">, June 2013, p. 1; ENA, </w:t>
      </w:r>
      <w:r w:rsidRPr="002B7E9B">
        <w:rPr>
          <w:rStyle w:val="AERtextitalic"/>
        </w:rPr>
        <w:t>Submission to AER’s rate of return guidelines issues paper</w:t>
      </w:r>
      <w:r w:rsidRPr="002B7E9B">
        <w:t xml:space="preserve">, February 2013, p. 4; PIAC, </w:t>
      </w:r>
      <w:r w:rsidRPr="002B7E9B">
        <w:rPr>
          <w:rStyle w:val="AERtextitalic"/>
        </w:rPr>
        <w:t>Submission to AER’s rate of return guidelines issues paper</w:t>
      </w:r>
      <w:r w:rsidRPr="002B7E9B">
        <w:t>, February 2013, p. 17.</w:t>
      </w:r>
    </w:p>
  </w:footnote>
  <w:footnote w:id="242">
    <w:p w:rsidR="00702DD6" w:rsidRDefault="00702DD6" w:rsidP="006A1FD6">
      <w:pPr>
        <w:pStyle w:val="FootnoteText"/>
      </w:pPr>
      <w:r>
        <w:rPr>
          <w:rStyle w:val="FootnoteReference"/>
        </w:rPr>
        <w:footnoteRef/>
      </w:r>
      <w:r>
        <w:t xml:space="preserve"> </w:t>
      </w:r>
      <w:r>
        <w:tab/>
        <w:t xml:space="preserve">That is, determinations prior to the 2012 Rule change. From 2010 to early 2014,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243">
    <w:p w:rsidR="00702DD6" w:rsidRDefault="00702DD6" w:rsidP="006A1FD6">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p>
  </w:footnote>
  <w:footnote w:id="244">
    <w:p w:rsidR="00702DD6" w:rsidRDefault="00702DD6" w:rsidP="006A1FD6">
      <w:pPr>
        <w:pStyle w:val="FootnoteText"/>
      </w:pPr>
      <w:r>
        <w:rPr>
          <w:rStyle w:val="FootnoteReference"/>
        </w:rPr>
        <w:footnoteRef/>
      </w:r>
      <w:r>
        <w:t xml:space="preserve"> </w:t>
      </w:r>
      <w:r>
        <w:tab/>
        <w:t xml:space="preserve">As discussed in detail in section </w:t>
      </w:r>
      <w:r>
        <w:fldChar w:fldCharType="begin"/>
      </w:r>
      <w:r>
        <w:instrText xml:space="preserve"> REF _Ref446255169 \r \h </w:instrText>
      </w:r>
      <w:r>
        <w:fldChar w:fldCharType="separate"/>
      </w:r>
      <w:r>
        <w:t>G.1</w:t>
      </w:r>
      <w:r>
        <w:fldChar w:fldCharType="end"/>
      </w:r>
      <w:r>
        <w:t>,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are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245">
    <w:p w:rsidR="00702DD6" w:rsidRDefault="00702DD6" w:rsidP="006A1FD6">
      <w:pPr>
        <w:pStyle w:val="FootnoteText"/>
      </w:pPr>
      <w:r>
        <w:rPr>
          <w:rStyle w:val="FootnoteReference"/>
        </w:rPr>
        <w:footnoteRef/>
      </w:r>
      <w:r>
        <w:t xml:space="preserve"> </w:t>
      </w:r>
      <w:r>
        <w:tab/>
        <w:t>But does not support an estimate beyond our range. We hold this view based on:</w:t>
      </w:r>
    </w:p>
    <w:p w:rsidR="00702DD6" w:rsidRDefault="00702DD6" w:rsidP="006A1FD6">
      <w:pPr>
        <w:pStyle w:val="FootnoteText"/>
      </w:pPr>
      <w:r>
        <w:tab/>
        <w:t>(1) the outcome of our conceptual analysis that a business with a similar degree of risk as ActewAGL (in providing regulated services) is likely to have an equity beta less than one;</w:t>
      </w:r>
    </w:p>
    <w:p w:rsidR="00702DD6" w:rsidRDefault="00702DD6" w:rsidP="006A1FD6">
      <w:pPr>
        <w:pStyle w:val="FootnoteText"/>
      </w:pPr>
      <w:r>
        <w:tab/>
        <w:t>(2) our assessment of the relative merits of the material, and conclusion that greater weight should be placed on Australian empirical estimates than international estimates or the theory of the Black CAPM.</w:t>
      </w:r>
    </w:p>
  </w:footnote>
  <w:footnote w:id="246">
    <w:p w:rsidR="00702DD6" w:rsidRDefault="00702DD6" w:rsidP="006A1FD6">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CCP2 (Bruce Mountain), </w:t>
      </w:r>
      <w:r w:rsidRPr="002A70E8">
        <w:rPr>
          <w:rStyle w:val="AERtextitalic"/>
        </w:rPr>
        <w:t>Submission on the AER’s preliminary decisions for the Qld/SA distribution network service providers (2015-20</w:t>
      </w:r>
      <w:r>
        <w:rPr>
          <w:rStyle w:val="AERtextitalic"/>
        </w:rPr>
        <w:t>)</w:t>
      </w:r>
      <w:r w:rsidRPr="002A70E8">
        <w:rPr>
          <w:rStyle w:val="AERtextitalic"/>
        </w:rPr>
        <w:t xml:space="preserve">, </w:t>
      </w:r>
      <w:r w:rsidRPr="00E4101F">
        <w:rPr>
          <w:rStyle w:val="AERtextitalic"/>
          <w:i w:val="0"/>
        </w:rPr>
        <w:t>29 July 2015, pp</w:t>
      </w:r>
      <w:r w:rsidRPr="002A70E8">
        <w:rPr>
          <w:rStyle w:val="AERtextitalic"/>
          <w:i w:val="0"/>
        </w:rPr>
        <w:t>. 10-11</w:t>
      </w:r>
      <w:r>
        <w:t xml:space="preserve">; </w:t>
      </w:r>
      <w:r w:rsidRPr="004A4DF6">
        <w:t xml:space="preserve">Origin Energy, </w:t>
      </w:r>
      <w:r w:rsidRPr="004A4DF6">
        <w:rPr>
          <w:rStyle w:val="AERtextitalic"/>
        </w:rPr>
        <w:t>Submission on the AER’s preliminary decisions on the Victorian distribution network service providers for 2016–20</w:t>
      </w:r>
      <w:r w:rsidRPr="004A4DF6">
        <w:t>, 6 January 2016, p. 3</w:t>
      </w:r>
      <w:r>
        <w:t xml:space="preserve">. SFG/Frontier submitted 0.82 (under multiple model approach for return on equity) in SFG, </w:t>
      </w:r>
      <w:r w:rsidRPr="002C4DC1">
        <w:rPr>
          <w:rStyle w:val="AERtextitalic"/>
        </w:rPr>
        <w:t>The required return on equity for the benchmark efficient entity</w:t>
      </w:r>
      <w:r>
        <w:t xml:space="preserve">, 25 February 2015, p. 20; SFG, </w:t>
      </w:r>
      <w:r w:rsidRPr="0082349C">
        <w:rPr>
          <w:rStyle w:val="AERtextitalic"/>
        </w:rPr>
        <w:t>Beta and the Black capital asset pricing model</w:t>
      </w:r>
      <w:r>
        <w:t xml:space="preserve">, 13 February 2015, p. 4; and </w:t>
      </w:r>
      <w:r w:rsidRPr="004A4DF6">
        <w:t xml:space="preserve">Frontier, </w:t>
      </w:r>
      <w:r w:rsidRPr="004A4DF6">
        <w:rPr>
          <w:rStyle w:val="AERtextitalic"/>
        </w:rPr>
        <w:t>Estimating the equity beta for the benchmark efficient entity</w:t>
      </w:r>
      <w:r w:rsidRPr="004A4DF6">
        <w:t>, January 2016, p. 3</w:t>
      </w:r>
      <w:r>
        <w:t xml:space="preserve">. SFG/Frontier submitted 0.91 (under alternative 'foundation model' approaches for return on equity) in SFG, </w:t>
      </w:r>
      <w:r w:rsidRPr="008347D0">
        <w:rPr>
          <w:rStyle w:val="AERtextitalic"/>
        </w:rPr>
        <w:t>Beta and the Black capital asset pricing model</w:t>
      </w:r>
      <w:r w:rsidRPr="009B7797">
        <w:t>, 13 February 2015, p. 35</w:t>
      </w:r>
      <w:r>
        <w:t xml:space="preserve">; </w:t>
      </w:r>
      <w:r w:rsidRPr="004A4DF6">
        <w:t xml:space="preserve">Frontier, </w:t>
      </w:r>
      <w:r w:rsidRPr="004A4DF6">
        <w:rPr>
          <w:rStyle w:val="AERtextitalic"/>
        </w:rPr>
        <w:t>The required return on equity under a foundation model approach</w:t>
      </w:r>
      <w:r w:rsidRPr="004A4DF6">
        <w:t>, January 2016, p. 11</w:t>
      </w:r>
      <w:r>
        <w:t>.</w:t>
      </w:r>
    </w:p>
  </w:footnote>
  <w:footnote w:id="247">
    <w:p w:rsidR="00702DD6" w:rsidRDefault="00702DD6" w:rsidP="006A1FD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8.</w:t>
      </w:r>
    </w:p>
  </w:footnote>
  <w:footnote w:id="248">
    <w:p w:rsidR="00702DD6" w:rsidRDefault="00702DD6" w:rsidP="006A1FD6">
      <w:pPr>
        <w:pStyle w:val="FootnoteText"/>
      </w:pPr>
      <w:r>
        <w:rPr>
          <w:rStyle w:val="FootnoteReference"/>
        </w:rPr>
        <w:footnoteRef/>
      </w:r>
      <w:r>
        <w:t xml:space="preserve"> </w:t>
      </w:r>
      <w:r>
        <w:tab/>
        <w:t>NER, cl. 6.5.2(f); NER, cl. 6A.6.2(f); NGR, r. 87(6). NEL, s.16; NGL, s. 23.</w:t>
      </w:r>
    </w:p>
  </w:footnote>
  <w:footnote w:id="249">
    <w:p w:rsidR="00702DD6" w:rsidRDefault="00702DD6" w:rsidP="006A1FD6">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10–11; Frontier Economics, </w:t>
      </w:r>
      <w:r w:rsidRPr="00331E87">
        <w:rPr>
          <w:rStyle w:val="AERtextitalic"/>
        </w:rPr>
        <w:t>Estimating the equity beta for the benchmark efficient entity</w:t>
      </w:r>
      <w:r>
        <w:t xml:space="preserve">, January 2016, pp. 13–19. CitiPower, Powercor, United Energy, JEN, AusNet, AGN and ActewAGL submitted these reports with their initial and revised proposals respectively. Also see CitiPower, </w:t>
      </w:r>
      <w:r w:rsidRPr="0063316D">
        <w:rPr>
          <w:rStyle w:val="AERtextitalic"/>
        </w:rPr>
        <w:t>Revised proposal</w:t>
      </w:r>
      <w:r>
        <w:t xml:space="preserve">, January 2016, p. 311–312; Powercor, </w:t>
      </w:r>
      <w:r w:rsidRPr="00525CDC">
        <w:rPr>
          <w:rStyle w:val="AERtextitalic"/>
        </w:rPr>
        <w:t>Revised proposal</w:t>
      </w:r>
      <w:r>
        <w:t xml:space="preserve">, January 2016, pp. 305-306; United Energy, </w:t>
      </w:r>
      <w:r w:rsidRPr="00A2228D">
        <w:rPr>
          <w:rStyle w:val="AERtextitalic"/>
        </w:rPr>
        <w:t>Response to AER Preliminary Determination Re: Rate of return and gamma</w:t>
      </w:r>
      <w:r>
        <w:t xml:space="preserve">, January 2016, pp. 65-66; JEN, </w:t>
      </w:r>
      <w:r w:rsidRPr="00AC149B">
        <w:rPr>
          <w:rStyle w:val="AERtextitalic"/>
        </w:rPr>
        <w:t>Revocation and substitution submission attachment 6-1</w:t>
      </w:r>
      <w:r>
        <w:t xml:space="preserve">, January 2016, pp. 70-71; AusNet, </w:t>
      </w:r>
      <w:r w:rsidRPr="00CD12C8">
        <w:rPr>
          <w:rStyle w:val="AERtextitalic"/>
        </w:rPr>
        <w:t>Revised regulatory proposal</w:t>
      </w:r>
      <w:r>
        <w:t xml:space="preserve">, January 2016, pp. 64-65; AGN, </w:t>
      </w:r>
      <w:r w:rsidRPr="00CD12C8">
        <w:rPr>
          <w:rStyle w:val="AERtextitalic"/>
        </w:rPr>
        <w:t>Revised SA access arrangement information</w:t>
      </w:r>
      <w:r>
        <w:t xml:space="preserve"> attachment 10.26, January 2016, pp. 69-70; and ActewAGL, </w:t>
      </w:r>
      <w:r w:rsidRPr="00CD12C8">
        <w:rPr>
          <w:rStyle w:val="AERtextitalic"/>
        </w:rPr>
        <w:t>Revised 2016-21 access arrangement proposal appendix 5.01</w:t>
      </w:r>
      <w:r>
        <w:t>, January 2016, pp. 87-88.</w:t>
      </w:r>
    </w:p>
  </w:footnote>
  <w:footnote w:id="250">
    <w:p w:rsidR="00702DD6" w:rsidRDefault="00702DD6" w:rsidP="006A1FD6">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pp. 26–34. Also see CitiPower, </w:t>
      </w:r>
      <w:r w:rsidRPr="00525CDC">
        <w:rPr>
          <w:rStyle w:val="AERtextitalic"/>
        </w:rPr>
        <w:t>Revised proposal</w:t>
      </w:r>
      <w:r>
        <w:t>, January 2016, p. 312–314.</w:t>
      </w:r>
      <w:r w:rsidRPr="004855F0">
        <w:t xml:space="preserve"> </w:t>
      </w:r>
      <w:r>
        <w:t>Powercor, United Energy, JEN, AusNet, AGN and ActewAGL's revised proposals contain similar reasoning.</w:t>
      </w:r>
    </w:p>
    <w:p w:rsidR="00702DD6" w:rsidRDefault="00702DD6" w:rsidP="006A1FD6">
      <w:pPr>
        <w:pStyle w:val="FootnoteText"/>
      </w:pPr>
      <w:r>
        <w:tab/>
      </w:r>
      <w:r w:rsidRPr="00407167">
        <w:t xml:space="preserve">Powercor, </w:t>
      </w:r>
      <w:r w:rsidRPr="00407167">
        <w:rPr>
          <w:rStyle w:val="Emphasis"/>
        </w:rPr>
        <w:t>Revised regulatory proposal 2016–2020,</w:t>
      </w:r>
      <w:r w:rsidRPr="00407167">
        <w:t xml:space="preserve"> January 2016, pp. 306–308; ActewAGL, </w:t>
      </w:r>
      <w:r w:rsidRPr="00407167">
        <w:rPr>
          <w:rStyle w:val="Emphasis"/>
        </w:rPr>
        <w:t>Revised 2016–21 access arrangement proposal Response to the AER's draft decision, Appendix 5.01 Detailed response to rate of return, gamma and inflation</w:t>
      </w:r>
      <w:r w:rsidRPr="00407167">
        <w:t xml:space="preserve">, January 2016, pp. 88–91; United Energy, </w:t>
      </w:r>
      <w:r w:rsidRPr="00407167">
        <w:rPr>
          <w:rStyle w:val="Emphasis"/>
        </w:rPr>
        <w:t>Response to AER preliminary determination–Re: rate of return and gamma</w:t>
      </w:r>
      <w:r w:rsidRPr="00407167">
        <w:t xml:space="preserve">, 6 January 2016, pp. 66–68; AGN, </w:t>
      </w:r>
      <w:r w:rsidRPr="00407167">
        <w:rPr>
          <w:rStyle w:val="Emphasis"/>
        </w:rPr>
        <w:t>2016–17 to 2020/21 Access Arrangement information response to draft decision: Attachment 10.26 Response to draft decision: rate of return</w:t>
      </w:r>
      <w:r w:rsidRPr="00407167">
        <w:t xml:space="preserve">, January 2016, pp. 70–72; JEN (Vic), </w:t>
      </w:r>
      <w:r w:rsidRPr="00407167">
        <w:rPr>
          <w:rStyle w:val="Emphasis"/>
        </w:rPr>
        <w:t>2016–20 Electricity distribution price review regulatory proposal revocation and substitution submission: Attachment 6–1 Rate of return, gamma, forecast inflation, and debt and equity raising costs,</w:t>
      </w:r>
      <w:r w:rsidRPr="00407167">
        <w:t xml:space="preserve"> 6 January 2016, pp. 71–73; AusNet Services, </w:t>
      </w:r>
      <w:r w:rsidRPr="00407167">
        <w:rPr>
          <w:rStyle w:val="Emphasis"/>
        </w:rPr>
        <w:t>Electricity distribution price review 2016–20 Revised regulatory proposal: Chapter 7 Rate of return &amp; gamma</w:t>
      </w:r>
      <w:r w:rsidRPr="00407167">
        <w:t>, 6 January 2016, pp. 65–67.</w:t>
      </w:r>
    </w:p>
  </w:footnote>
  <w:footnote w:id="251">
    <w:p w:rsidR="00702DD6" w:rsidRDefault="00702DD6" w:rsidP="006A1FD6">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310. Powercor, United Energy, JEN, AusNet, AGN and ActewAGL's revised proposals contain similar reasoning . </w:t>
      </w:r>
    </w:p>
  </w:footnote>
  <w:footnote w:id="252">
    <w:p w:rsidR="00702DD6" w:rsidRDefault="00702DD6" w:rsidP="006A1FD6">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75–77, </w:t>
      </w:r>
      <w:r w:rsidRPr="00265193">
        <w:t xml:space="preserve">CCP2 (Bruce Mountain), </w:t>
      </w:r>
      <w:r w:rsidRPr="00EC2AA5">
        <w:rPr>
          <w:rStyle w:val="AERtextitalic"/>
        </w:rPr>
        <w:t>Submission on the AER’s preliminary decisions for the Qld/SA distribution network service providers (2015-20)</w:t>
      </w:r>
      <w:r>
        <w:t xml:space="preserve">, </w:t>
      </w:r>
      <w:r w:rsidRPr="00265193">
        <w:t>July 2015</w:t>
      </w:r>
      <w:r>
        <w:t xml:space="preserve">, pp. 9–10; CCP3, </w:t>
      </w:r>
      <w:r w:rsidRPr="005A113D">
        <w:rPr>
          <w:rStyle w:val="AERtextitalic"/>
        </w:rPr>
        <w:t>Response to AER preliminary decisions and revised proposals for Victorian electricity distribution network service providers for a revenue reset for the 2016-2020 regulatory period</w:t>
      </w:r>
      <w:r>
        <w:t xml:space="preserve">, </w:t>
      </w:r>
      <w:r w:rsidRPr="005A113D">
        <w:t>February 2016</w:t>
      </w:r>
      <w:r>
        <w:t>, pp. 92–93.</w:t>
      </w:r>
    </w:p>
  </w:footnote>
  <w:footnote w:id="253">
    <w:p w:rsidR="00702DD6" w:rsidRDefault="00702DD6" w:rsidP="006A1FD6">
      <w:pPr>
        <w:pStyle w:val="FootnoteText"/>
      </w:pPr>
      <w:r>
        <w:rPr>
          <w:rStyle w:val="FootnoteReference"/>
        </w:rPr>
        <w:footnoteRef/>
      </w:r>
      <w:r>
        <w:t xml:space="preserve"> </w:t>
      </w:r>
      <w:r>
        <w:tab/>
        <w:t xml:space="preserve">CitiPower, </w:t>
      </w:r>
      <w:r w:rsidRPr="00525CDC">
        <w:rPr>
          <w:rStyle w:val="AERtextitalic"/>
        </w:rPr>
        <w:t>Revised proposal</w:t>
      </w:r>
      <w:r>
        <w:t>, January 2016, pp. 310–311. Powercor, United Energy, JEN, AusNet, AGN and ActewAGL's revised proposals contain similar reasoning.</w:t>
      </w:r>
    </w:p>
    <w:p w:rsidR="00702DD6" w:rsidRDefault="00702DD6" w:rsidP="006A1FD6">
      <w:pPr>
        <w:pStyle w:val="FootnoteText"/>
      </w:pPr>
      <w:r>
        <w:tab/>
      </w:r>
      <w:r w:rsidRPr="00407167">
        <w:t xml:space="preserve">Powercor, </w:t>
      </w:r>
      <w:r w:rsidRPr="00407167">
        <w:rPr>
          <w:rStyle w:val="Emphasis"/>
        </w:rPr>
        <w:t>Revised regulatory proposal 2016–2020,</w:t>
      </w:r>
      <w:r w:rsidRPr="00407167">
        <w:t xml:space="preserve"> January 2016, pp. 304–305; ActewAGL, </w:t>
      </w:r>
      <w:r w:rsidRPr="00407167">
        <w:rPr>
          <w:rStyle w:val="Emphasis"/>
        </w:rPr>
        <w:t>Revised 2016–21 access arrangement proposal Response to the AER's draft decision, Appendix 5.01 Detailed response to rate of return, gamma and inflation</w:t>
      </w:r>
      <w:r w:rsidRPr="00407167">
        <w:t xml:space="preserve">, January 2016, pp. 87–88; United Energy, </w:t>
      </w:r>
      <w:r w:rsidRPr="00407167">
        <w:rPr>
          <w:rStyle w:val="Emphasis"/>
        </w:rPr>
        <w:t>Response to AER preliminary determination–Re: rate of return and gamma</w:t>
      </w:r>
      <w:r w:rsidRPr="00407167">
        <w:t xml:space="preserve">, 6 January 2016, pp. 64–65; AGN, </w:t>
      </w:r>
      <w:r w:rsidRPr="00407167">
        <w:rPr>
          <w:rStyle w:val="Emphasis"/>
        </w:rPr>
        <w:t>2016–17 to 2020/21 Access Arrangement information response to draft decision: Attachment 10.26 Response to draft decision: rate of return</w:t>
      </w:r>
      <w:r w:rsidRPr="00407167">
        <w:t xml:space="preserve">, January 2016, pp. 69–70; JEN (Vic), </w:t>
      </w:r>
      <w:r w:rsidRPr="00407167">
        <w:rPr>
          <w:rStyle w:val="Emphasis"/>
        </w:rPr>
        <w:t>2016–20 Electricity distribution price review regulatory proposal revocation and substitution submission: Attachment 6–1 Rate of return, gamma, forecast inflation, and debt and equity raising costs,</w:t>
      </w:r>
      <w:r w:rsidRPr="00407167">
        <w:t xml:space="preserve"> 6 January 2016, pp. 69–70; AusNet Services, </w:t>
      </w:r>
      <w:r w:rsidRPr="00407167">
        <w:rPr>
          <w:rStyle w:val="Emphasis"/>
        </w:rPr>
        <w:t>Electricity distribution price review 2016–20 Revised regulatory proposal: Chapter 7 Rate of return &amp; gamma</w:t>
      </w:r>
      <w:r w:rsidRPr="00407167">
        <w:t>, 6 January 2016, pp. 63–64.</w:t>
      </w:r>
    </w:p>
  </w:footnote>
  <w:footnote w:id="254">
    <w:p w:rsidR="00702DD6" w:rsidRDefault="00702DD6" w:rsidP="006A1FD6">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 4. </w:t>
      </w:r>
    </w:p>
  </w:footnote>
  <w:footnote w:id="255">
    <w:p w:rsidR="00702DD6" w:rsidRDefault="00702DD6" w:rsidP="006A1FD6">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33–34, 46–58. APTNT submitted this report with its initial proposal.</w:t>
      </w:r>
    </w:p>
  </w:footnote>
  <w:footnote w:id="256">
    <w:p w:rsidR="00702DD6" w:rsidRDefault="00702DD6" w:rsidP="006A1FD6">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29–30. </w:t>
      </w:r>
    </w:p>
  </w:footnote>
  <w:footnote w:id="257">
    <w:p w:rsidR="00702DD6" w:rsidRDefault="00702DD6" w:rsidP="006A1FD6">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46. CitiPower, Powercor, United Energy, JEN, AusNet, AGN and ActewAGL submitted this report with their revised proposals. Also see Frontier Economics, </w:t>
      </w:r>
      <w:r w:rsidRPr="00331E87">
        <w:rPr>
          <w:rStyle w:val="AERtextitalic"/>
        </w:rPr>
        <w:t>Estimating the equity beta for the benchmark efficient entity</w:t>
      </w:r>
      <w:r>
        <w:t>, January 2016, pp. 5–6.</w:t>
      </w:r>
    </w:p>
  </w:footnote>
  <w:footnote w:id="258">
    <w:p w:rsidR="00702DD6" w:rsidRDefault="00702DD6" w:rsidP="006A1FD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10.</w:t>
      </w:r>
    </w:p>
  </w:footnote>
  <w:footnote w:id="259">
    <w:p w:rsidR="00702DD6" w:rsidRDefault="00702DD6" w:rsidP="006A1FD6">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 91.</w:t>
      </w:r>
    </w:p>
  </w:footnote>
  <w:footnote w:id="260">
    <w:p w:rsidR="00702DD6" w:rsidRDefault="00702DD6" w:rsidP="006A1FD6">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Frontier Economics, </w:t>
      </w:r>
      <w:r w:rsidRPr="00A357BE">
        <w:rPr>
          <w:rStyle w:val="AERtextitalic"/>
        </w:rPr>
        <w:t>Estimating the equity beta for the benchmark efficient entity</w:t>
      </w:r>
      <w:r>
        <w:t>, January 2016, p</w:t>
      </w:r>
      <w:r w:rsidRPr="00A357BE">
        <w:t xml:space="preserve">. </w:t>
      </w:r>
      <w:r>
        <w:t xml:space="preserve">6;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May 2014, pp. 79–81.</w:t>
      </w:r>
    </w:p>
  </w:footnote>
  <w:footnote w:id="261">
    <w:p w:rsidR="00702DD6" w:rsidRDefault="00702DD6" w:rsidP="006A1FD6">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pp. 91-92.</w:t>
      </w:r>
    </w:p>
  </w:footnote>
  <w:footnote w:id="262">
    <w:p w:rsidR="00702DD6" w:rsidRDefault="00702DD6" w:rsidP="006A1FD6">
      <w:pPr>
        <w:pStyle w:val="FootnoteText"/>
      </w:pPr>
      <w:r>
        <w:rPr>
          <w:rStyle w:val="FootnoteReference"/>
        </w:rPr>
        <w:footnoteRef/>
      </w:r>
      <w:r>
        <w:t xml:space="preserve"> </w:t>
      </w:r>
      <w:r>
        <w:tab/>
        <w:t xml:space="preserve">See Henry, </w:t>
      </w:r>
      <w:r w:rsidRPr="00880024">
        <w:rPr>
          <w:rStyle w:val="AERtextitalic"/>
        </w:rPr>
        <w:t xml:space="preserve">Estimating </w:t>
      </w:r>
      <w:r w:rsidRPr="00316ED3">
        <w:rPr>
          <w:rStyle w:val="AERtextitalic"/>
        </w:rPr>
        <w:t>β</w:t>
      </w:r>
      <w:r w:rsidRPr="00880024">
        <w:rPr>
          <w:rStyle w:val="AERtextitalic"/>
        </w:rPr>
        <w:t>: An update</w:t>
      </w:r>
      <w:r>
        <w:t>, April 2014, p. 35.</w:t>
      </w:r>
    </w:p>
  </w:footnote>
  <w:footnote w:id="263">
    <w:p w:rsidR="00702DD6" w:rsidRDefault="00702DD6" w:rsidP="006A1FD6">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 31; Frontier Economics, </w:t>
      </w:r>
      <w:r w:rsidRPr="00331E87">
        <w:rPr>
          <w:rStyle w:val="AERtextitalic"/>
        </w:rPr>
        <w:t>Estimating the equity beta for the benchmark efficient entity</w:t>
      </w:r>
      <w:r>
        <w:t xml:space="preserve">, January 2016, pp. 4–5. </w:t>
      </w:r>
    </w:p>
  </w:footnote>
  <w:footnote w:id="264">
    <w:p w:rsidR="00702DD6" w:rsidRDefault="00702DD6" w:rsidP="006A1FD6">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39. Also see CitiPower, </w:t>
      </w:r>
      <w:r w:rsidRPr="00525CDC">
        <w:rPr>
          <w:rStyle w:val="AERtextitalic"/>
        </w:rPr>
        <w:t>Revised proposal</w:t>
      </w:r>
      <w:r>
        <w:t>, January 2016, pp. 314–315. Powercor, United Energy, JEN, AusNet, AGN and ActewAGL's revised proposals contain similar reasoning.</w:t>
      </w:r>
    </w:p>
    <w:p w:rsidR="00702DD6" w:rsidRDefault="00702DD6" w:rsidP="006A1FD6">
      <w:pPr>
        <w:pStyle w:val="FootnoteText"/>
      </w:pPr>
      <w:r>
        <w:tab/>
      </w:r>
      <w:r w:rsidRPr="00407167">
        <w:t xml:space="preserve">Powercor, </w:t>
      </w:r>
      <w:r w:rsidRPr="00407167">
        <w:rPr>
          <w:rStyle w:val="Emphasis"/>
        </w:rPr>
        <w:t>Revised regulatory proposal 2016–2020,</w:t>
      </w:r>
      <w:r w:rsidRPr="00407167">
        <w:t xml:space="preserve"> January 2016, pp. 308–309; ActewAGL, </w:t>
      </w:r>
      <w:r w:rsidRPr="00407167">
        <w:rPr>
          <w:rStyle w:val="Emphasis"/>
        </w:rPr>
        <w:t>Revised 2016–21 access arrangement proposal Response to the AER's draft decision, Appendix 5.01 Detailed response to rate of return, gamma and inflation</w:t>
      </w:r>
      <w:r w:rsidRPr="00407167">
        <w:t xml:space="preserve">, January 2016, pp. 91–92; United Energy, </w:t>
      </w:r>
      <w:r w:rsidRPr="00407167">
        <w:rPr>
          <w:rStyle w:val="Emphasis"/>
        </w:rPr>
        <w:t>Response to AER preliminary determination–Re: rate of return and gamma</w:t>
      </w:r>
      <w:r w:rsidRPr="00407167">
        <w:t xml:space="preserve">, 6 January 2016, p. 68; AGN, </w:t>
      </w:r>
      <w:r w:rsidRPr="00407167">
        <w:rPr>
          <w:rStyle w:val="Emphasis"/>
        </w:rPr>
        <w:t>2016–17 to 2020/21 Access Arrangement information response to draft decision: Attachment 10.26 Response to draft decision: rate of return</w:t>
      </w:r>
      <w:r w:rsidRPr="00407167">
        <w:t xml:space="preserve">, January 2016, pp. 72–73; JEN (Vic), </w:t>
      </w:r>
      <w:r w:rsidRPr="00407167">
        <w:rPr>
          <w:rStyle w:val="Emphasis"/>
        </w:rPr>
        <w:t>2016–20 Electricity distribution price review regulatory proposal revocation and substitution submission: Attachment 6–1 Rate of return, gamma, forecast inflation, and debt and equity raising costs,</w:t>
      </w:r>
      <w:r w:rsidRPr="00407167">
        <w:t xml:space="preserve"> 6 January 2016, pp. 73–74; AusNet Services, </w:t>
      </w:r>
      <w:r w:rsidRPr="00407167">
        <w:rPr>
          <w:rStyle w:val="Emphasis"/>
        </w:rPr>
        <w:t>Electricity distribution price review 2016–20 Revised regulatory proposal: Chapter 7 Rate of return &amp; gamma</w:t>
      </w:r>
      <w:r w:rsidRPr="00407167">
        <w:t>, 6 January 2016, p. 67.</w:t>
      </w:r>
    </w:p>
  </w:footnote>
  <w:footnote w:id="265">
    <w:p w:rsidR="00702DD6" w:rsidRDefault="00702DD6" w:rsidP="006A1FD6">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10–11. Also see CitiPower, </w:t>
      </w:r>
      <w:r w:rsidRPr="00525CDC">
        <w:rPr>
          <w:rStyle w:val="AERtextitalic"/>
        </w:rPr>
        <w:t>Revised proposal</w:t>
      </w:r>
      <w:r>
        <w:t>, January 2016, p. 311–312.</w:t>
      </w:r>
      <w:r w:rsidRPr="004855F0">
        <w:t xml:space="preserve"> </w:t>
      </w:r>
      <w:r>
        <w:t>Powercor, United Energy, JEN, AusNet, AGN and ActewAGL's revised proposals contain similar reasoning.</w:t>
      </w:r>
    </w:p>
    <w:p w:rsidR="00702DD6" w:rsidRDefault="00702DD6" w:rsidP="006A1FD6">
      <w:pPr>
        <w:pStyle w:val="FootnoteText"/>
      </w:pPr>
      <w:r>
        <w:tab/>
      </w:r>
      <w:r w:rsidRPr="00407167">
        <w:t xml:space="preserve">Powercor, </w:t>
      </w:r>
      <w:r w:rsidRPr="00407167">
        <w:rPr>
          <w:rStyle w:val="Emphasis"/>
        </w:rPr>
        <w:t>Revised regulatory proposal 2016–2020,</w:t>
      </w:r>
      <w:r w:rsidRPr="00407167">
        <w:t xml:space="preserve"> January 2016, pp. 305–308; ActewAGL, </w:t>
      </w:r>
      <w:r w:rsidRPr="00407167">
        <w:rPr>
          <w:rStyle w:val="Emphasis"/>
        </w:rPr>
        <w:t>Revised 2016–21 access arrangement proposal Response to the AER's draft decision, Appendix 5.01 Detailed response to rate of return, gamma and inflation</w:t>
      </w:r>
      <w:r w:rsidRPr="00407167">
        <w:t xml:space="preserve">, January 2016, pp. 87–89; United Energy, </w:t>
      </w:r>
      <w:r w:rsidRPr="00407167">
        <w:rPr>
          <w:rStyle w:val="Emphasis"/>
        </w:rPr>
        <w:t>Response to AER preliminary determination–Re: rate of return and gamma</w:t>
      </w:r>
      <w:r w:rsidRPr="00407167">
        <w:t xml:space="preserve">, 6 January 2016, pp. 65–66; AGN, </w:t>
      </w:r>
      <w:r w:rsidRPr="00407167">
        <w:rPr>
          <w:rStyle w:val="Emphasis"/>
        </w:rPr>
        <w:t>2016–17 to 2020/21 Access Arrangement information response to draft decision: Attachment 10.26 Response to draft decision: rate of return</w:t>
      </w:r>
      <w:r w:rsidRPr="00407167">
        <w:t xml:space="preserve">, January 2016, pp. 69–71; JEN (Vic), </w:t>
      </w:r>
      <w:r w:rsidRPr="00407167">
        <w:rPr>
          <w:rStyle w:val="Emphasis"/>
        </w:rPr>
        <w:t>2016–20 Electricity distribution price review regulatory proposal revocation and substitution submission: Attachment 6–1 Rate of return, gamma, forecast inflation, and debt and equity raising costs,</w:t>
      </w:r>
      <w:r w:rsidRPr="00407167">
        <w:t xml:space="preserve"> 6 January 2016, pp. 70–72; AusNet Services, </w:t>
      </w:r>
      <w:r w:rsidRPr="00407167">
        <w:rPr>
          <w:rStyle w:val="Emphasis"/>
        </w:rPr>
        <w:t>Electricity distribution price review 2016–20 Revised regulatory proposal: Chapter 7 Rate of return &amp; gamma</w:t>
      </w:r>
      <w:r w:rsidRPr="00407167">
        <w:t>, 6 January 2016, pp. 64–65.</w:t>
      </w:r>
    </w:p>
  </w:footnote>
  <w:footnote w:id="266">
    <w:p w:rsidR="00702DD6" w:rsidRDefault="00702DD6" w:rsidP="006A1FD6">
      <w:pPr>
        <w:pStyle w:val="FootnoteText"/>
      </w:pPr>
      <w:r>
        <w:rPr>
          <w:rStyle w:val="FootnoteReference"/>
        </w:rPr>
        <w:footnoteRef/>
      </w:r>
      <w:r>
        <w:t xml:space="preserve"> </w:t>
      </w:r>
      <w:r>
        <w:tab/>
      </w:r>
      <w:r w:rsidRPr="00C54839">
        <w:t xml:space="preserve">VECUA, </w:t>
      </w:r>
      <w:r w:rsidRPr="0063316D">
        <w:rPr>
          <w:rStyle w:val="AERtextitalic"/>
        </w:rPr>
        <w:t>Submission on the AER: AER preliminary 2016–20 revenue determinations for the Victorian DNSPs</w:t>
      </w:r>
      <w:r w:rsidRPr="00C54839">
        <w:t>, January 2016</w:t>
      </w:r>
      <w:r>
        <w:t>, pp. 17–18.</w:t>
      </w:r>
    </w:p>
  </w:footnote>
  <w:footnote w:id="267">
    <w:p w:rsidR="00702DD6" w:rsidRDefault="00702DD6" w:rsidP="006A1FD6">
      <w:pPr>
        <w:pStyle w:val="FootnoteText"/>
      </w:pPr>
      <w:r>
        <w:rPr>
          <w:rStyle w:val="FootnoteReference"/>
        </w:rPr>
        <w:footnoteRef/>
      </w:r>
      <w:r>
        <w:t xml:space="preserve"> </w:t>
      </w:r>
      <w:r>
        <w:tab/>
        <w:t xml:space="preserve">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pp. 89–94.</w:t>
      </w:r>
    </w:p>
  </w:footnote>
  <w:footnote w:id="268">
    <w:p w:rsidR="00702DD6" w:rsidRDefault="00702DD6" w:rsidP="006A1FD6">
      <w:pPr>
        <w:pStyle w:val="FootnoteText"/>
      </w:pPr>
      <w:r>
        <w:rPr>
          <w:rStyle w:val="FootnoteReference"/>
        </w:rPr>
        <w:footnoteRef/>
      </w:r>
      <w:r>
        <w:t xml:space="preserve"> </w:t>
      </w:r>
      <w:r>
        <w:tab/>
        <w:t xml:space="preserve">See Vo, Mero, Gellard, </w:t>
      </w:r>
      <w:r w:rsidRPr="005A113D">
        <w:rPr>
          <w:rStyle w:val="AERtextitalic"/>
        </w:rPr>
        <w:t>Equity beta for the Australian utilities is well below 1.0</w:t>
      </w:r>
      <w:r>
        <w:t xml:space="preserve">, March 2014. In this report, tables 1–12 and figures 1–8 appear to be the same as tables 19–29, 37, and figures 19–26 in the ERA's rate of return guideline (see ERA, </w:t>
      </w:r>
      <w:r w:rsidRPr="005A113D">
        <w:rPr>
          <w:rStyle w:val="AERtextitalic"/>
        </w:rPr>
        <w:t>Explanatory statement for the rate of return guidelines</w:t>
      </w:r>
      <w:r>
        <w:t xml:space="preserve">, December 2013, pp. 167–196).  </w:t>
      </w:r>
    </w:p>
  </w:footnote>
  <w:footnote w:id="269">
    <w:p w:rsidR="00702DD6" w:rsidRDefault="00702DD6" w:rsidP="006A1FD6">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12 January 2015, p. 8. CitiPower, Powercor, JEN and United Energy submitted this report with their initial proposals.</w:t>
      </w:r>
    </w:p>
  </w:footnote>
  <w:footnote w:id="270">
    <w:p w:rsidR="00702DD6" w:rsidRDefault="00702DD6" w:rsidP="006A1FD6">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46–50. </w:t>
      </w:r>
    </w:p>
  </w:footnote>
  <w:footnote w:id="271">
    <w:p w:rsidR="00702DD6" w:rsidRDefault="00702DD6" w:rsidP="006A1FD6">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50–51. </w:t>
      </w:r>
    </w:p>
  </w:footnote>
  <w:footnote w:id="272">
    <w:p w:rsidR="00702DD6" w:rsidRDefault="00702DD6" w:rsidP="006A1FD6">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xml:space="preserve">, January 2016, pp. 315–316; Powercor, </w:t>
      </w:r>
      <w:r w:rsidRPr="00525CDC">
        <w:rPr>
          <w:rStyle w:val="AERtextitalic"/>
        </w:rPr>
        <w:t>Revised proposal</w:t>
      </w:r>
      <w:r>
        <w:t xml:space="preserve">, January 2016, pp. 309-310; United Energy, </w:t>
      </w:r>
      <w:r w:rsidRPr="00AC149B">
        <w:rPr>
          <w:rStyle w:val="AERtextitalic"/>
        </w:rPr>
        <w:t>Response to AER preliminary decision re rate of return, gamma</w:t>
      </w:r>
      <w:r>
        <w:t xml:space="preserve">, January 2016, pp. 68-70; JEN, </w:t>
      </w:r>
      <w:r w:rsidRPr="00AC149B">
        <w:rPr>
          <w:rStyle w:val="AERtextitalic"/>
        </w:rPr>
        <w:t>Revocation and substitution submission attachment 6-1</w:t>
      </w:r>
      <w:r>
        <w:t xml:space="preserve">, January 2016, pp. 74-75; AusNet, </w:t>
      </w:r>
      <w:r w:rsidRPr="00CD12C8">
        <w:rPr>
          <w:rStyle w:val="AERtextitalic"/>
        </w:rPr>
        <w:t>Revised regulatory proposal</w:t>
      </w:r>
      <w:r>
        <w:t xml:space="preserve">, January 2016, pp. 7-67 to 7-69; AGN, </w:t>
      </w:r>
      <w:r w:rsidRPr="00CD12C8">
        <w:rPr>
          <w:rStyle w:val="AERtextitalic"/>
        </w:rPr>
        <w:t>Revised SA access arrangement information</w:t>
      </w:r>
      <w:r>
        <w:t>, January 2016, pp. 73-4;</w:t>
      </w:r>
      <w:r w:rsidRPr="009C72A1">
        <w:t xml:space="preserve"> </w:t>
      </w:r>
      <w:r>
        <w:t xml:space="preserve">ActewAGL, </w:t>
      </w:r>
      <w:r w:rsidRPr="00CD12C8">
        <w:rPr>
          <w:rStyle w:val="AERtextitalic"/>
        </w:rPr>
        <w:t>Revised 2016-21 access arrangement proposal appendix 5.01</w:t>
      </w:r>
      <w:r>
        <w:t>, January 2016, pp. 92-94.</w:t>
      </w:r>
    </w:p>
  </w:footnote>
  <w:footnote w:id="273">
    <w:p w:rsidR="00702DD6" w:rsidRDefault="00702DD6" w:rsidP="006A1FD6">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January 2016, pp. 315–316. Powercor, United Energy, JEN, AusNet, AGN and ActewAGL's revised proposals contain similar reasoning.</w:t>
      </w:r>
    </w:p>
    <w:p w:rsidR="00702DD6" w:rsidRDefault="00702DD6" w:rsidP="006A1FD6">
      <w:pPr>
        <w:pStyle w:val="FootnoteText"/>
      </w:pPr>
      <w:r>
        <w:tab/>
      </w:r>
      <w:r w:rsidRPr="00407167">
        <w:t xml:space="preserve">Powercor, </w:t>
      </w:r>
      <w:r w:rsidRPr="00407167">
        <w:rPr>
          <w:rStyle w:val="Emphasis"/>
        </w:rPr>
        <w:t>Revised regulatory proposal 2016–2020,</w:t>
      </w:r>
      <w:r w:rsidRPr="00407167">
        <w:t xml:space="preserve"> January 2016, pp. 309–310; ActewAGL, </w:t>
      </w:r>
      <w:r w:rsidRPr="00407167">
        <w:rPr>
          <w:rStyle w:val="Emphasis"/>
        </w:rPr>
        <w:t>Revised 2016–21 access arrangement proposal Response to the AER's draft decision, Appendix 5.01 Detailed response to rate of return, gamma and inflation</w:t>
      </w:r>
      <w:r w:rsidRPr="00407167">
        <w:t xml:space="preserve">, January 2016, pp. 93–94; United Energy, </w:t>
      </w:r>
      <w:r w:rsidRPr="00407167">
        <w:rPr>
          <w:rStyle w:val="Emphasis"/>
        </w:rPr>
        <w:t>Response to AER preliminary determination–Re: rate of return and gamma</w:t>
      </w:r>
      <w:r w:rsidRPr="00407167">
        <w:t xml:space="preserve">, 6 January 2016, pp. 69–70; AGN, </w:t>
      </w:r>
      <w:r w:rsidRPr="00407167">
        <w:rPr>
          <w:rStyle w:val="Emphasis"/>
        </w:rPr>
        <w:t>2016–17 to 2020/21 Access Arrangement information response to draft decision: Attachment 10.26 Response to draft decision: rate of return</w:t>
      </w:r>
      <w:r w:rsidRPr="00407167">
        <w:t xml:space="preserve">, January 2016, pp. 73–74; JEN (Vic), </w:t>
      </w:r>
      <w:r w:rsidRPr="00407167">
        <w:rPr>
          <w:rStyle w:val="Emphasis"/>
        </w:rPr>
        <w:t>2016–20 Electricity distribution price review regulatory proposal revocation and substitution submission: Attachment 6–1 Rate of return, gamma, forecast inflation, and debt and equity raising costs,</w:t>
      </w:r>
      <w:r w:rsidRPr="00407167">
        <w:t xml:space="preserve"> 6 January 2016, pp. 74–75; AusNet Services, </w:t>
      </w:r>
      <w:r w:rsidRPr="00407167">
        <w:rPr>
          <w:rStyle w:val="Emphasis"/>
        </w:rPr>
        <w:t>Electricity distribution price review 2016–20 Revised regulatory proposal: Chapter 7 Rate of return &amp; gamma</w:t>
      </w:r>
      <w:r w:rsidRPr="00407167">
        <w:t>, 6 January 2016, pp. 68–69.</w:t>
      </w:r>
    </w:p>
  </w:footnote>
  <w:footnote w:id="274">
    <w:p w:rsidR="00702DD6" w:rsidRDefault="00702DD6" w:rsidP="006A1FD6">
      <w:pPr>
        <w:pStyle w:val="FootnoteText"/>
      </w:pPr>
      <w:r>
        <w:rPr>
          <w:rStyle w:val="FootnoteReference"/>
        </w:rPr>
        <w:footnoteRef/>
      </w:r>
      <w:r>
        <w:t xml:space="preserve"> </w:t>
      </w:r>
      <w:r>
        <w:tab/>
        <w:t xml:space="preserve">In its report 'Beta and the Black CAPM', SFG recommends using empirical results from the Black CAPM to adjust the Sharpe-Lintner CAPM equity beta estimate to 0.91 (see SFG, </w:t>
      </w:r>
      <w:r w:rsidRPr="007D21B8">
        <w:rPr>
          <w:rStyle w:val="AERtextitalic"/>
        </w:rPr>
        <w:t>Beta and the Black capital asset pricing model</w:t>
      </w:r>
      <w:r>
        <w:t xml:space="preserve">, February 2015, pp. 32–35). In its report 'The required return on equity under a foundation model approach', Frontier Economics (previously SFG) recommends using empirical results from the Black CAPM to adjust the Sharpe-Lintner CAPM equity beta estimate for 'low beta bias', which results in an equity beta estimate of 0.88 (this excludes the subsequent adjustment for 'book-to-market bias using the Fama French model) (see Frontier, </w:t>
      </w:r>
      <w:r w:rsidRPr="00134A40">
        <w:rPr>
          <w:rStyle w:val="AERtextitalic"/>
        </w:rPr>
        <w:t>The required return on equity under a foundation model approach</w:t>
      </w:r>
      <w:r>
        <w:t>, January 2016, pp. 52–57).</w:t>
      </w:r>
    </w:p>
  </w:footnote>
  <w:footnote w:id="275">
    <w:p w:rsidR="00702DD6" w:rsidRDefault="00702DD6" w:rsidP="006A1FD6">
      <w:pPr>
        <w:pStyle w:val="FootnoteText"/>
      </w:pPr>
      <w:r>
        <w:rPr>
          <w:rStyle w:val="FootnoteReference"/>
        </w:rPr>
        <w:footnoteRef/>
      </w:r>
      <w:r>
        <w:t xml:space="preserve"> </w:t>
      </w:r>
      <w:r>
        <w:tab/>
        <w:t xml:space="preserve">See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xml:space="preserve">, p. 10;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89–90. </w:t>
      </w:r>
    </w:p>
  </w:footnote>
  <w:footnote w:id="276">
    <w:p w:rsidR="00702DD6" w:rsidRDefault="00702DD6" w:rsidP="006A1FD6">
      <w:pPr>
        <w:pStyle w:val="FootnoteText"/>
      </w:pPr>
      <w:r>
        <w:rPr>
          <w:rStyle w:val="FootnoteReference"/>
        </w:rPr>
        <w:footnoteRef/>
      </w:r>
      <w:r>
        <w:t xml:space="preserve"> </w:t>
      </w:r>
      <w:r>
        <w:tab/>
        <w:t>This assumption</w:t>
      </w:r>
      <w:r w:rsidRPr="00A55687">
        <w:t xml:space="preserve"> allows for unlimited borrowing and lending at the risk free rate.</w:t>
      </w:r>
      <w:r>
        <w:t xml:space="preserve"> However, the Black CAPM replaces this with an assumption of unlimited ability to short sell stocks.</w:t>
      </w:r>
    </w:p>
  </w:footnote>
  <w:footnote w:id="277">
    <w:p w:rsidR="00702DD6" w:rsidRDefault="00702DD6" w:rsidP="006A1FD6">
      <w:pPr>
        <w:pStyle w:val="FootnoteText"/>
      </w:pPr>
      <w:r>
        <w:rPr>
          <w:rStyle w:val="FootnoteReference"/>
        </w:rPr>
        <w:footnoteRef/>
      </w:r>
      <w:r>
        <w:t xml:space="preserve"> </w:t>
      </w:r>
      <w:r>
        <w:tab/>
        <w:t xml:space="preserve">Partington, </w:t>
      </w:r>
      <w:r w:rsidRPr="00E02203">
        <w:rPr>
          <w:rStyle w:val="AERtextitalic"/>
        </w:rPr>
        <w:t>Report to the AER: Return on equity (updated)</w:t>
      </w:r>
      <w:r>
        <w:t xml:space="preserve">, April 2015, p. 33; Handley, </w:t>
      </w:r>
      <w:r w:rsidRPr="00E02203">
        <w:rPr>
          <w:rStyle w:val="AERtextitalic"/>
        </w:rPr>
        <w:t>Advice on the return on equity</w:t>
      </w:r>
      <w:r>
        <w:t xml:space="preserve">, October 2014, p. 5. Both consultants reiterated their support for our foundation model approach in their subsequent reports (see Partington and Satchell, </w:t>
      </w:r>
      <w:r w:rsidRPr="00E02203">
        <w:rPr>
          <w:rStyle w:val="AERtextitalic"/>
        </w:rPr>
        <w:t>Return on equity and comment on submissions in relation to JGN</w:t>
      </w:r>
      <w:r>
        <w:t xml:space="preserve">, May 2015, p. 6; Partington and Satchell, </w:t>
      </w:r>
      <w:r w:rsidRPr="00E02203">
        <w:rPr>
          <w:rStyle w:val="AERtextitalic"/>
        </w:rPr>
        <w:t>Report to the AER: Analysis of criticism of 2015 determinations</w:t>
      </w:r>
      <w:r>
        <w:t xml:space="preserve">, October 2015, p. 15; Handley, </w:t>
      </w:r>
      <w:r w:rsidRPr="00E02203">
        <w:rPr>
          <w:rStyle w:val="AERtextitalic"/>
        </w:rPr>
        <w:t>Advice on the rate of return for the 2015 AER energy network determination for Jemena Gas Networks</w:t>
      </w:r>
      <w:r>
        <w:t xml:space="preserve">, May 2015, p. 28). </w:t>
      </w:r>
    </w:p>
  </w:footnote>
  <w:footnote w:id="278">
    <w:p w:rsidR="00702DD6" w:rsidRDefault="00702DD6" w:rsidP="006A1FD6">
      <w:pPr>
        <w:pStyle w:val="FootnoteText"/>
      </w:pPr>
      <w:r>
        <w:rPr>
          <w:rStyle w:val="FootnoteReference"/>
        </w:rPr>
        <w:footnoteRef/>
      </w:r>
      <w:r>
        <w:t xml:space="preserve"> </w:t>
      </w:r>
      <w:r>
        <w:tab/>
        <w:t xml:space="preserve">See </w:t>
      </w:r>
      <w:r w:rsidRPr="005C696D">
        <w:t xml:space="preserve">VECUA, </w:t>
      </w:r>
      <w:r w:rsidRPr="0063316D">
        <w:rPr>
          <w:rStyle w:val="AERtextitalic"/>
        </w:rPr>
        <w:t>Submission on the AER: AER preliminary 2016–20 revenue determinations for the Victorian DNSPs</w:t>
      </w:r>
      <w:r w:rsidRPr="005C696D">
        <w:t>, January 2016</w:t>
      </w:r>
      <w:r>
        <w:t xml:space="preserve">, p. 18;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 94–95.  </w:t>
      </w:r>
    </w:p>
  </w:footnote>
  <w:footnote w:id="279">
    <w:p w:rsidR="00702DD6" w:rsidRDefault="00702DD6" w:rsidP="006A1FD6">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w:t>
      </w:r>
      <w:r>
        <w:t>, December 2013, p. 33.</w:t>
      </w:r>
    </w:p>
  </w:footnote>
  <w:footnote w:id="280">
    <w:p w:rsidR="00702DD6" w:rsidRDefault="00702DD6" w:rsidP="006A1FD6">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CitiPower, Powercor, United Energy, JEN, AGN and ActewAGL submitted this report during the decision process.</w:t>
      </w:r>
    </w:p>
  </w:footnote>
  <w:footnote w:id="281">
    <w:p w:rsidR="00702DD6" w:rsidRDefault="00702DD6" w:rsidP="006A1FD6">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p>
  </w:footnote>
  <w:footnote w:id="282">
    <w:p w:rsidR="00702DD6" w:rsidRDefault="00702DD6" w:rsidP="006A1FD6">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6–7.</w:t>
      </w:r>
    </w:p>
  </w:footnote>
  <w:footnote w:id="283">
    <w:p w:rsidR="00702DD6" w:rsidRDefault="00702DD6" w:rsidP="006A1FD6">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xml:space="preserve">, June 2015, pp. 20–26. </w:t>
      </w:r>
    </w:p>
  </w:footnote>
  <w:footnote w:id="284">
    <w:p w:rsidR="00702DD6" w:rsidRDefault="00702DD6" w:rsidP="006A1FD6">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24–25.</w:t>
      </w:r>
    </w:p>
  </w:footnote>
  <w:footnote w:id="285">
    <w:p w:rsidR="00702DD6" w:rsidRDefault="00702DD6" w:rsidP="006A1FD6">
      <w:pPr>
        <w:pStyle w:val="FootnoteText"/>
      </w:pPr>
      <w:r>
        <w:rPr>
          <w:rStyle w:val="FootnoteReference"/>
        </w:rPr>
        <w:footnoteRef/>
      </w:r>
      <w:r>
        <w:t xml:space="preserve"> </w:t>
      </w:r>
      <w:r>
        <w:tab/>
        <w:t xml:space="preserve">AER, </w:t>
      </w:r>
      <w:r w:rsidRPr="008347D0">
        <w:rPr>
          <w:rStyle w:val="AERtextitalic"/>
        </w:rPr>
        <w:t>Equity beta issues paper</w:t>
      </w:r>
      <w:r>
        <w:t xml:space="preserve">, October 2013, p. 7. We provided similar reasoning in the final Guideline. See: AER, </w:t>
      </w:r>
      <w:r w:rsidRPr="008347D0">
        <w:rPr>
          <w:rStyle w:val="AERtextitalic"/>
        </w:rPr>
        <w:t>Explanatory statement to the rate of return guideline</w:t>
      </w:r>
      <w:r>
        <w:t>, December 2013, pp. 84–85.</w:t>
      </w:r>
    </w:p>
  </w:footnote>
  <w:footnote w:id="286">
    <w:p w:rsidR="00702DD6" w:rsidRDefault="00702DD6" w:rsidP="006A1FD6">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 entity</w:t>
      </w:r>
      <w:r>
        <w:t xml:space="preserve">, June 2015, pp. 20–25, 47–54. CitiPower, Powercor, United Energy, JEN, AGN and ActewAGL submitted this report during the decision process. </w:t>
      </w:r>
    </w:p>
    <w:p w:rsidR="00702DD6" w:rsidRDefault="00702DD6" w:rsidP="006A1FD6">
      <w:pPr>
        <w:pStyle w:val="FootnoteText"/>
      </w:pPr>
      <w:r>
        <w:tab/>
      </w:r>
      <w:r w:rsidRPr="00407167">
        <w:t xml:space="preserve">CitiPower, </w:t>
      </w:r>
      <w:r w:rsidRPr="00407167">
        <w:rPr>
          <w:rStyle w:val="AERtextitalic"/>
        </w:rPr>
        <w:t>Revised proposal</w:t>
      </w:r>
      <w:r w:rsidRPr="00407167">
        <w:t xml:space="preserve">, January 2016, pp. 311–313; Powercor, </w:t>
      </w:r>
      <w:r w:rsidRPr="00407167">
        <w:rPr>
          <w:rStyle w:val="Emphasis"/>
        </w:rPr>
        <w:t>Revised regulatory proposal 2016–2020,</w:t>
      </w:r>
      <w:r w:rsidRPr="00407167">
        <w:t xml:space="preserve"> January 2016, pp. 305–307; ActewAGL, </w:t>
      </w:r>
      <w:r w:rsidRPr="00407167">
        <w:rPr>
          <w:rStyle w:val="Emphasis"/>
        </w:rPr>
        <w:t>Revised 2016–21 access arrangement proposal Response to the AER's draft decision, Appendix 5.01 Detailed response to rate of return, gamma and inflation</w:t>
      </w:r>
      <w:r w:rsidRPr="00407167">
        <w:t xml:space="preserve">, January 2016, pp. 87–91; United Energy, </w:t>
      </w:r>
      <w:r w:rsidRPr="00407167">
        <w:rPr>
          <w:rStyle w:val="Emphasis"/>
        </w:rPr>
        <w:t>Response to AER preliminary determination–Re: rate of return and gamma</w:t>
      </w:r>
      <w:r w:rsidRPr="00407167">
        <w:t xml:space="preserve">, 6 January 2016, pp. 65–67; AGN, </w:t>
      </w:r>
      <w:r w:rsidRPr="00407167">
        <w:rPr>
          <w:rStyle w:val="Emphasis"/>
        </w:rPr>
        <w:t>2016–17 to 2020/21 Access Arrangement information response to draft decision: Attachment 10.26 Response to draft decision: rate of return</w:t>
      </w:r>
      <w:r w:rsidRPr="00407167">
        <w:t xml:space="preserve">, January 2016, pp. 69–71; JEN (Vic), </w:t>
      </w:r>
      <w:r w:rsidRPr="00407167">
        <w:rPr>
          <w:rStyle w:val="Emphasis"/>
        </w:rPr>
        <w:t>2016–20 Electricity distribution price review regulatory proposal revocation and substitution submission: Attachment 6–1 Rate of return, gamma, forecast inflation, and debt and equity raising costs,</w:t>
      </w:r>
      <w:r w:rsidRPr="00407167">
        <w:t xml:space="preserve"> 6 January 2016, pp. 70–72; AusNet Services, </w:t>
      </w:r>
      <w:r w:rsidRPr="00407167">
        <w:rPr>
          <w:rStyle w:val="Emphasis"/>
        </w:rPr>
        <w:t>Electricity distribution price review 2016–20 Revised regulatory proposal: Chapter 7 Rate of return &amp; gamma</w:t>
      </w:r>
      <w:r w:rsidRPr="00407167">
        <w:t>, 6 January 2016, pp. 64–66.</w:t>
      </w:r>
    </w:p>
    <w:p w:rsidR="00702DD6" w:rsidRDefault="00702DD6" w:rsidP="006A1FD6">
      <w:pPr>
        <w:pStyle w:val="FootnoteText"/>
      </w:pPr>
      <w:r>
        <w:tab/>
        <w:t xml:space="preserve">Also see Frontier Economics, </w:t>
      </w:r>
      <w:r>
        <w:rPr>
          <w:rStyle w:val="AERtextitalic"/>
        </w:rPr>
        <w:t>The required return on equity under a foundation model approach</w:t>
      </w:r>
      <w:r>
        <w:t>, January 2016, p. 39.</w:t>
      </w:r>
    </w:p>
  </w:footnote>
  <w:footnote w:id="287">
    <w:p w:rsidR="00702DD6" w:rsidRDefault="00702DD6" w:rsidP="006A1FD6">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65–66.</w:t>
      </w:r>
      <w:r w:rsidRPr="00BA2487">
        <w:t xml:space="preserve"> </w:t>
      </w:r>
      <w:r>
        <w:t xml:space="preserve">Also see CitiPower, </w:t>
      </w:r>
      <w:r w:rsidRPr="00525CDC">
        <w:rPr>
          <w:rStyle w:val="AERtextitalic"/>
        </w:rPr>
        <w:t>Revised proposal</w:t>
      </w:r>
      <w:r>
        <w:t xml:space="preserve">, January 2016, pp. 324–326; Powercor, </w:t>
      </w:r>
      <w:r w:rsidRPr="00525CDC">
        <w:rPr>
          <w:rStyle w:val="AERtextitalic"/>
        </w:rPr>
        <w:t>Revised proposal</w:t>
      </w:r>
      <w:r>
        <w:t xml:space="preserve">, January 2016, pp. 318-320; United Energy, </w:t>
      </w:r>
      <w:r w:rsidRPr="00A2228D">
        <w:rPr>
          <w:rStyle w:val="AERtextitalic"/>
        </w:rPr>
        <w:t>Response to AER Preliminary Determination Re: Rate of return and gamma</w:t>
      </w:r>
      <w:r>
        <w:t xml:space="preserve">, January 2016, pp. 77-78; JEN, </w:t>
      </w:r>
      <w:r w:rsidRPr="00AC149B">
        <w:rPr>
          <w:rStyle w:val="AERtextitalic"/>
        </w:rPr>
        <w:t>Revocation and substitution submission attachment 6-1</w:t>
      </w:r>
      <w:r>
        <w:t xml:space="preserve">, January 2016, pp. 83-84; AusNet, </w:t>
      </w:r>
      <w:r w:rsidRPr="00CD12C8">
        <w:rPr>
          <w:rStyle w:val="AERtextitalic"/>
        </w:rPr>
        <w:t>Revised regulatory proposal</w:t>
      </w:r>
      <w:r>
        <w:t xml:space="preserve">, January 2016, pp. 76-77; AGN, </w:t>
      </w:r>
      <w:r w:rsidRPr="00CD12C8">
        <w:rPr>
          <w:rStyle w:val="AERtextitalic"/>
        </w:rPr>
        <w:t>Revised SA access arrangement information</w:t>
      </w:r>
      <w:r>
        <w:t xml:space="preserve"> attachment 10.26, January 2016, pp. 81-82; and ActewAGL, </w:t>
      </w:r>
      <w:r w:rsidRPr="00CD12C8">
        <w:rPr>
          <w:rStyle w:val="AERtextitalic"/>
        </w:rPr>
        <w:t>Revised 2016-21 access arrangement proposal appendix 5.01</w:t>
      </w:r>
      <w:r>
        <w:t>, January 2016, pp. 104-105.</w:t>
      </w:r>
    </w:p>
  </w:footnote>
  <w:footnote w:id="288">
    <w:p w:rsidR="00702DD6" w:rsidRDefault="00702DD6" w:rsidP="006A1FD6">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64–65.</w:t>
      </w:r>
    </w:p>
  </w:footnote>
  <w:footnote w:id="289">
    <w:p w:rsidR="00702DD6" w:rsidRDefault="00702DD6" w:rsidP="006A1FD6">
      <w:pPr>
        <w:pStyle w:val="FootnoteText"/>
      </w:pPr>
      <w:r>
        <w:rPr>
          <w:rStyle w:val="FootnoteReference"/>
        </w:rPr>
        <w:footnoteRef/>
      </w:r>
      <w:r>
        <w:t xml:space="preserve"> </w:t>
      </w:r>
      <w:r>
        <w:tab/>
        <w:t xml:space="preserve">APTNT, </w:t>
      </w:r>
      <w:r w:rsidRPr="0063316D">
        <w:rPr>
          <w:rStyle w:val="AERtextitalic"/>
        </w:rPr>
        <w:t>Revised access arrangement proposal: Response to draft decision submission</w:t>
      </w:r>
      <w:r>
        <w:t xml:space="preserve">, January 2016, pp. 74–75. </w:t>
      </w:r>
    </w:p>
  </w:footnote>
  <w:footnote w:id="290">
    <w:p w:rsidR="00702DD6" w:rsidRDefault="00702DD6" w:rsidP="00033144">
      <w:pPr>
        <w:pStyle w:val="FootnoteText"/>
      </w:pPr>
      <w:r>
        <w:rPr>
          <w:rStyle w:val="FootnoteReference"/>
        </w:rPr>
        <w:footnoteRef/>
      </w:r>
      <w:r>
        <w:t xml:space="preserve"> </w:t>
      </w:r>
      <w:r>
        <w:tab/>
        <w:t>This includes broker reports, independent valuation reports, other regulators' decisions, the Wright approach and comparison between the return on equity and return on debt.</w:t>
      </w:r>
    </w:p>
  </w:footnote>
  <w:footnote w:id="291">
    <w:p w:rsidR="00702DD6" w:rsidRDefault="00702DD6" w:rsidP="00033144">
      <w:pPr>
        <w:pStyle w:val="FootnoteText"/>
      </w:pPr>
      <w:r>
        <w:rPr>
          <w:rStyle w:val="FootnoteReference"/>
        </w:rPr>
        <w:footnoteRef/>
      </w:r>
      <w:r>
        <w:t xml:space="preserve"> </w:t>
      </w:r>
      <w:r>
        <w:tab/>
        <w:t>In respect of the provision of network services. 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292">
    <w:p w:rsidR="00702DD6" w:rsidRDefault="00702DD6" w:rsidP="00033144">
      <w:pPr>
        <w:pStyle w:val="FootnoteText"/>
      </w:pPr>
      <w:r>
        <w:rPr>
          <w:rStyle w:val="FootnoteReference"/>
        </w:rPr>
        <w:footnoteRef/>
      </w:r>
      <w:r>
        <w:t xml:space="preserve"> </w:t>
      </w:r>
      <w:r>
        <w:tab/>
        <w:t xml:space="preserve">Or more precisely, a benchmark efficient entity with a similar degree of risk as </w:t>
      </w:r>
      <w:r w:rsidRPr="00F8641A">
        <w:rPr>
          <w:rStyle w:val="AERtextsize8"/>
        </w:rPr>
        <w:t>ActewAGL</w:t>
      </w:r>
      <w:r>
        <w:t xml:space="preserve"> in respect of the provision of reference services.</w:t>
      </w:r>
    </w:p>
  </w:footnote>
  <w:footnote w:id="293">
    <w:p w:rsidR="00702DD6" w:rsidRDefault="00702DD6" w:rsidP="00033144">
      <w:pPr>
        <w:pStyle w:val="FootnoteText"/>
      </w:pPr>
      <w:r>
        <w:rPr>
          <w:rStyle w:val="FootnoteReference"/>
        </w:rPr>
        <w:footnoteRef/>
      </w:r>
      <w:r>
        <w:t xml:space="preserve"> </w:t>
      </w:r>
      <w:r>
        <w:tab/>
        <w:t xml:space="preserve">The Rate of Return Guideline outlines the use of certain other material to inform our final estimate of the return on equity: the Wright approach, other regulators' estimates, broker returns, independent export reports and comparison with return on debt. See: AER, </w:t>
      </w:r>
      <w:r w:rsidRPr="00074148">
        <w:rPr>
          <w:rStyle w:val="Emphasis"/>
        </w:rPr>
        <w:t>Better Regulation: Explanatory Statement, Rate of Return Guideline</w:t>
      </w:r>
      <w:r>
        <w:t xml:space="preserve">, December 2013, p. 61. </w:t>
      </w:r>
    </w:p>
  </w:footnote>
  <w:footnote w:id="294">
    <w:p w:rsidR="00702DD6" w:rsidRDefault="00702DD6" w:rsidP="00033144">
      <w:pPr>
        <w:pStyle w:val="FootnoteText"/>
      </w:pPr>
      <w:r>
        <w:rPr>
          <w:rStyle w:val="FootnoteReference"/>
        </w:rPr>
        <w:footnoteRef/>
      </w:r>
      <w:r>
        <w:t xml:space="preserve"> </w:t>
      </w:r>
      <w:r>
        <w:tab/>
        <w:t>The other material include our construction of the Wright CAPM, other regulators' estimates, comparison with return on debt and relevant broker and independent expert reports.</w:t>
      </w:r>
    </w:p>
  </w:footnote>
  <w:footnote w:id="295">
    <w:p w:rsidR="00702DD6" w:rsidRDefault="00702DD6" w:rsidP="00033144">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296">
    <w:p w:rsidR="00702DD6" w:rsidRDefault="00702DD6" w:rsidP="00033144">
      <w:pPr>
        <w:pStyle w:val="FootnoteText"/>
      </w:pPr>
      <w:r>
        <w:rPr>
          <w:rStyle w:val="FootnoteReference"/>
        </w:rPr>
        <w:footnoteRef/>
      </w:r>
      <w:r>
        <w:t xml:space="preserve"> </w:t>
      </w:r>
      <w:r>
        <w:tab/>
        <w:t>CitiPower, Powercor, United Energy, AusNet Services (distribution), JEN (Vic),</w:t>
      </w:r>
      <w:r w:rsidRPr="00B752EE">
        <w:t xml:space="preserve"> </w:t>
      </w:r>
      <w:r>
        <w:t xml:space="preserve">ActewAGL, APTNT (Amadeus Gas Pipeline) and AGN. </w:t>
      </w:r>
    </w:p>
  </w:footnote>
  <w:footnote w:id="297">
    <w:p w:rsidR="00702DD6" w:rsidRDefault="00702DD6" w:rsidP="00033144">
      <w:pPr>
        <w:pStyle w:val="FootnoteText"/>
      </w:pPr>
      <w:r>
        <w:rPr>
          <w:rStyle w:val="FootnoteReference"/>
        </w:rPr>
        <w:footnoteRef/>
      </w:r>
      <w:r>
        <w:t xml:space="preserve"> </w:t>
      </w:r>
      <w:r>
        <w:tab/>
        <w:t xml:space="preserve">VECUA, </w:t>
      </w:r>
      <w:r w:rsidRPr="001A0C41">
        <w:rPr>
          <w:rStyle w:val="AERtextitalic"/>
        </w:rPr>
        <w:t>Submission to the AER: AER preliminary 2016–20 revenue determinations for the Victorian DNSPs</w:t>
      </w:r>
      <w:r>
        <w:t>, 6 January 2016.</w:t>
      </w:r>
    </w:p>
  </w:footnote>
  <w:footnote w:id="298">
    <w:p w:rsidR="00702DD6" w:rsidRDefault="00702DD6" w:rsidP="00033144">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B23FAA">
        <w:t xml:space="preserve">Origin Energy, </w:t>
      </w:r>
      <w:r w:rsidRPr="001A0C41">
        <w:rPr>
          <w:rStyle w:val="AERtextitalic"/>
        </w:rPr>
        <w:t>Submission on AGN’s revised access arrangement for 2016–21</w:t>
      </w:r>
      <w:r w:rsidRPr="00B23FAA">
        <w:t>, February 2016; Origin Energy, S</w:t>
      </w:r>
      <w:r w:rsidRPr="001A0C41">
        <w:rPr>
          <w:rStyle w:val="AERtextitalic"/>
        </w:rPr>
        <w:t>ubmission on the AER’s preliminary decisions on the Victorian distribution network service providers for 2016–20</w:t>
      </w:r>
      <w:r w:rsidRPr="00B23FAA">
        <w:t>, 6 January 2016, p. 3</w:t>
      </w:r>
      <w:r>
        <w:t xml:space="preserve">; </w:t>
      </w:r>
      <w:r w:rsidRPr="00B23FAA">
        <w:t xml:space="preserve">Origin Energy, </w:t>
      </w:r>
      <w:r w:rsidRPr="001A0C41">
        <w:rPr>
          <w:rStyle w:val="AERtextitalic"/>
        </w:rPr>
        <w:t>Submission on the Victorian networks’ revised proposals (for 2016–21)</w:t>
      </w:r>
      <w:r w:rsidRPr="00B23FAA">
        <w:t>, 4 February 2016</w:t>
      </w:r>
      <w:r>
        <w:t xml:space="preserve">. </w:t>
      </w:r>
    </w:p>
  </w:footnote>
  <w:footnote w:id="299">
    <w:p w:rsidR="00702DD6" w:rsidRDefault="00702DD6" w:rsidP="00033144">
      <w:pPr>
        <w:pStyle w:val="FootnoteText"/>
      </w:pPr>
      <w:r>
        <w:rPr>
          <w:rStyle w:val="FootnoteReference"/>
        </w:rPr>
        <w:footnoteRef/>
      </w:r>
      <w:r>
        <w:t xml:space="preserve"> </w:t>
      </w:r>
      <w:r>
        <w:tab/>
        <w:t xml:space="preserve">For more detail on our consideration of this material, see sections </w:t>
      </w:r>
      <w:r>
        <w:fldChar w:fldCharType="begin"/>
      </w:r>
      <w:r>
        <w:instrText xml:space="preserve"> REF _Ref445898024 \r \h </w:instrText>
      </w:r>
      <w:r>
        <w:fldChar w:fldCharType="separate"/>
      </w:r>
      <w:r>
        <w:t>F.2</w:t>
      </w:r>
      <w:r>
        <w:fldChar w:fldCharType="end"/>
      </w:r>
      <w:r>
        <w:t xml:space="preserve">, </w:t>
      </w:r>
      <w:r>
        <w:fldChar w:fldCharType="begin"/>
      </w:r>
      <w:r>
        <w:instrText xml:space="preserve"> REF _Ref451416171 \r \h </w:instrText>
      </w:r>
      <w:r>
        <w:fldChar w:fldCharType="separate"/>
      </w:r>
      <w:r>
        <w:t>F.3</w:t>
      </w:r>
      <w:r>
        <w:fldChar w:fldCharType="end"/>
      </w:r>
      <w:r>
        <w:t xml:space="preserve">, </w:t>
      </w:r>
      <w:r>
        <w:fldChar w:fldCharType="begin"/>
      </w:r>
      <w:r>
        <w:instrText xml:space="preserve"> REF _Ref451416189 \r \h </w:instrText>
      </w:r>
      <w:r>
        <w:fldChar w:fldCharType="separate"/>
      </w:r>
      <w:r>
        <w:t>F.4</w:t>
      </w:r>
      <w:r>
        <w:fldChar w:fldCharType="end"/>
      </w:r>
      <w:r>
        <w:t xml:space="preserve">, and </w:t>
      </w:r>
      <w:r>
        <w:fldChar w:fldCharType="begin"/>
      </w:r>
      <w:r>
        <w:instrText xml:space="preserve"> REF _Ref445926700 \r \h </w:instrText>
      </w:r>
      <w:r>
        <w:fldChar w:fldCharType="separate"/>
      </w:r>
      <w:r>
        <w:t>C.2</w:t>
      </w:r>
      <w:r>
        <w:fldChar w:fldCharType="end"/>
      </w:r>
      <w:r>
        <w:t xml:space="preserve"> respectively.</w:t>
      </w:r>
    </w:p>
  </w:footnote>
  <w:footnote w:id="300">
    <w:p w:rsidR="00702DD6" w:rsidRDefault="00702DD6" w:rsidP="00033144">
      <w:pPr>
        <w:pStyle w:val="FootnoteText"/>
      </w:pPr>
      <w:r>
        <w:rPr>
          <w:rStyle w:val="FootnoteReference"/>
        </w:rPr>
        <w:footnoteRef/>
      </w:r>
      <w:r>
        <w:t xml:space="preserve"> </w:t>
      </w:r>
      <w:r>
        <w:tab/>
        <w:t>Estimated as the difference between our estimate of the equity risk premium and the prevailing debt risk premium for March 2016.</w:t>
      </w:r>
    </w:p>
  </w:footnote>
  <w:footnote w:id="301">
    <w:p w:rsidR="00702DD6" w:rsidRDefault="00702DD6" w:rsidP="00033144">
      <w:pPr>
        <w:pStyle w:val="FootnoteText"/>
      </w:pPr>
      <w:r>
        <w:rPr>
          <w:rStyle w:val="FootnoteReference"/>
        </w:rPr>
        <w:footnoteRef/>
      </w:r>
      <w:r>
        <w:t xml:space="preserve"> </w:t>
      </w:r>
      <w:r>
        <w:tab/>
        <w:t xml:space="preserve">We consider that the expected return on debt is likely to exceed the expected return on equity during periods of financial distress because holders of debt are typically ranked ahead of equity holders in the event of bankruptcy. We also consider that </w:t>
      </w:r>
      <w:r w:rsidRPr="00B268EB">
        <w:t>equity and debt may face different types of risk. Inflation risk is one risk that is likely to affect debt more significantly than equity. Movements in the risk premia for these different types of risk may, theoretically, result in a</w:t>
      </w:r>
      <w:r>
        <w:t>n</w:t>
      </w:r>
      <w:r w:rsidRPr="00B268EB">
        <w:t xml:space="preserve"> </w:t>
      </w:r>
      <w:r>
        <w:t>expected return on debt that exceeds an expected return on equity.</w:t>
      </w:r>
    </w:p>
  </w:footnote>
  <w:footnote w:id="302">
    <w:p w:rsidR="00702DD6" w:rsidRDefault="00702DD6" w:rsidP="00033144">
      <w:pPr>
        <w:pStyle w:val="FootnoteText"/>
      </w:pPr>
      <w:r>
        <w:rPr>
          <w:rStyle w:val="FootnoteReference"/>
        </w:rPr>
        <w:footnoteRef/>
      </w:r>
      <w:r>
        <w:t xml:space="preserve"> </w:t>
      </w:r>
      <w:r>
        <w:tab/>
        <w:t xml:space="preserve">Due to the regulatory regime and the businesses' monopoly positions shielding them from systematic risk; as well as the measured prevailing debt yields likely overstating the expected return on debt due to default risk. For more information, see section pages 98 to 101 of Attachment 3 to our draft decision for </w:t>
      </w:r>
      <w:r w:rsidRPr="00F8641A">
        <w:rPr>
          <w:rStyle w:val="AERtextsize8"/>
        </w:rPr>
        <w:t>ActewAGL</w:t>
      </w:r>
      <w:r>
        <w:t>.</w:t>
      </w:r>
    </w:p>
  </w:footnote>
  <w:footnote w:id="303">
    <w:p w:rsidR="00702DD6" w:rsidRDefault="00702DD6" w:rsidP="00033144">
      <w:pPr>
        <w:pStyle w:val="FootnoteText"/>
      </w:pPr>
      <w:r>
        <w:rPr>
          <w:rStyle w:val="FootnoteReference"/>
        </w:rPr>
        <w:footnoteRef/>
      </w:r>
      <w:r>
        <w:t xml:space="preserve"> </w:t>
      </w:r>
      <w:r>
        <w:tab/>
        <w:t xml:space="preserve">RBA, </w:t>
      </w:r>
      <w:r w:rsidRPr="001A0C41">
        <w:rPr>
          <w:rStyle w:val="AERtextitalic"/>
        </w:rPr>
        <w:t>Statement on monetary policy</w:t>
      </w:r>
      <w:r>
        <w:t>, February 2016, p. 50.</w:t>
      </w:r>
    </w:p>
  </w:footnote>
  <w:footnote w:id="304">
    <w:p w:rsidR="00702DD6" w:rsidRDefault="00702DD6" w:rsidP="00033144">
      <w:pPr>
        <w:pStyle w:val="FootnoteText"/>
      </w:pPr>
      <w:r>
        <w:rPr>
          <w:rStyle w:val="FootnoteReference"/>
        </w:rPr>
        <w:footnoteRef/>
      </w:r>
      <w:r>
        <w:t xml:space="preserve"> </w:t>
      </w:r>
      <w:r>
        <w:tab/>
        <w:t xml:space="preserve">Due to the regulatory regime and the businesses' monopoly positions shielding them from systematic risk. For more information, see pages 98 to 101 of Attachment 3 to our draft decision for </w:t>
      </w:r>
      <w:r w:rsidRPr="004C7209">
        <w:rPr>
          <w:rStyle w:val="AERtextsize8"/>
        </w:rPr>
        <w:t>ActewAGL</w:t>
      </w:r>
      <w:r>
        <w:t>.</w:t>
      </w:r>
    </w:p>
  </w:footnote>
  <w:footnote w:id="305">
    <w:p w:rsidR="00702DD6" w:rsidRDefault="00702DD6" w:rsidP="00033144">
      <w:pPr>
        <w:pStyle w:val="FootnoteText"/>
      </w:pPr>
      <w:r>
        <w:rPr>
          <w:rStyle w:val="FootnoteReference"/>
        </w:rPr>
        <w:footnoteRef/>
      </w:r>
      <w:r>
        <w:t xml:space="preserve"> </w:t>
      </w:r>
      <w:r>
        <w:tab/>
        <w:t>The debt risk premium to CGS is calculated as the extrapolated effective annual yield to maturity on BBB related debt with 10 years to maturity less the effective annual yield to maturity on CGS with 10 years to maturity. BBB bond yields have been used instead of BBB+ because the RBA and Bloomberg quote BBB yields to maturity.</w:t>
      </w:r>
    </w:p>
  </w:footnote>
  <w:footnote w:id="306">
    <w:p w:rsidR="00702DD6" w:rsidRDefault="00702DD6" w:rsidP="00033144">
      <w:pPr>
        <w:pStyle w:val="FootnoteText"/>
      </w:pPr>
      <w:r>
        <w:rPr>
          <w:rStyle w:val="FootnoteReference"/>
        </w:rPr>
        <w:footnoteRef/>
      </w:r>
      <w:r>
        <w:t xml:space="preserve"> </w:t>
      </w:r>
      <w:r>
        <w:tab/>
        <w:t xml:space="preserve">See, for example, DUET, </w:t>
      </w:r>
      <w:r w:rsidRPr="001A0C41">
        <w:rPr>
          <w:rStyle w:val="AERtextitalic"/>
        </w:rPr>
        <w:t>Successful comp</w:t>
      </w:r>
      <w:r>
        <w:rPr>
          <w:rStyle w:val="AERtextitalic"/>
        </w:rPr>
        <w:t>le</w:t>
      </w:r>
      <w:r w:rsidRPr="001A0C41">
        <w:rPr>
          <w:rStyle w:val="AERtextitalic"/>
        </w:rPr>
        <w:t>tion of DUET's $200 million placement offer</w:t>
      </w:r>
      <w:r>
        <w:t xml:space="preserve">, 1 April 2016;  DUET, </w:t>
      </w:r>
      <w:r w:rsidRPr="001A0C41">
        <w:rPr>
          <w:rStyle w:val="AERtextitalic"/>
        </w:rPr>
        <w:t>DUET completes $1.67 billion placement and entitlement offer</w:t>
      </w:r>
      <w:r>
        <w:t xml:space="preserve">, 13 August 2015; DUET, </w:t>
      </w:r>
      <w:r w:rsidRPr="001A0C41">
        <w:rPr>
          <w:rStyle w:val="AERtextitalic"/>
        </w:rPr>
        <w:t>DU</w:t>
      </w:r>
      <w:r>
        <w:rPr>
          <w:rStyle w:val="AERtextitalic"/>
        </w:rPr>
        <w:t>E</w:t>
      </w:r>
      <w:r w:rsidRPr="001A0C41">
        <w:rPr>
          <w:rStyle w:val="AERtextitalic"/>
        </w:rPr>
        <w:t>T completes $396.7 million entitlement offer</w:t>
      </w:r>
      <w:r>
        <w:t xml:space="preserve">, December 2014; SP AusNet, </w:t>
      </w:r>
      <w:r w:rsidRPr="001A0C41">
        <w:rPr>
          <w:rStyle w:val="AERtextitalic"/>
        </w:rPr>
        <w:t>SP AusNet completes A$434 million Entitlement Offer</w:t>
      </w:r>
      <w:r>
        <w:t>, 15 June 2012.</w:t>
      </w:r>
    </w:p>
  </w:footnote>
  <w:footnote w:id="307">
    <w:p w:rsidR="00702DD6" w:rsidRDefault="00702DD6" w:rsidP="00033144">
      <w:pPr>
        <w:pStyle w:val="FootnoteText"/>
      </w:pPr>
      <w:r>
        <w:rPr>
          <w:rStyle w:val="FootnoteReference"/>
        </w:rPr>
        <w:footnoteRef/>
      </w:r>
      <w:r>
        <w:t xml:space="preserve"> </w:t>
      </w:r>
      <w:r>
        <w:tab/>
      </w:r>
      <w:r w:rsidRPr="003431CD">
        <w:t>RARE infrastructure submitted that "[t]here are many characteristics of the Australian Regulatory framework that makes its energy network potentially attractive investments" RARE Infrastructure, Letter to the AER, 13 February 2015</w:t>
      </w:r>
      <w:r>
        <w:t>.</w:t>
      </w:r>
    </w:p>
  </w:footnote>
  <w:footnote w:id="308">
    <w:p w:rsidR="00702DD6" w:rsidRDefault="00702DD6" w:rsidP="00033144">
      <w:pPr>
        <w:pStyle w:val="FootnoteText"/>
      </w:pPr>
      <w:r>
        <w:rPr>
          <w:rStyle w:val="FootnoteReference"/>
        </w:rPr>
        <w:footnoteRef/>
      </w:r>
      <w:r>
        <w:t xml:space="preserve"> </w:t>
      </w:r>
      <w:r>
        <w:tab/>
        <w:t>For details, see section L.1 of Confidential Appendix L in Attachment 3 to our draft decision.</w:t>
      </w:r>
    </w:p>
  </w:footnote>
  <w:footnote w:id="309">
    <w:p w:rsidR="00702DD6" w:rsidRDefault="00702DD6" w:rsidP="00033144">
      <w:pPr>
        <w:pStyle w:val="FootnoteText"/>
      </w:pPr>
      <w:r>
        <w:rPr>
          <w:rStyle w:val="FootnoteReference"/>
        </w:rPr>
        <w:footnoteRef/>
      </w:r>
      <w:r>
        <w:t xml:space="preserve"> </w:t>
      </w:r>
      <w:r>
        <w:tab/>
        <w:t xml:space="preserve">See section </w:t>
      </w:r>
      <w:r>
        <w:fldChar w:fldCharType="begin"/>
      </w:r>
      <w:r>
        <w:instrText xml:space="preserve"> REF _Ref451689915 \r \h </w:instrText>
      </w:r>
      <w:r>
        <w:fldChar w:fldCharType="separate"/>
      </w:r>
      <w:r>
        <w:t>E</w:t>
      </w:r>
      <w:r>
        <w:fldChar w:fldCharType="end"/>
      </w:r>
      <w:r>
        <w:t xml:space="preserve"> for further discussion.</w:t>
      </w:r>
    </w:p>
  </w:footnote>
  <w:footnote w:id="310">
    <w:p w:rsidR="00702DD6" w:rsidRDefault="00702DD6" w:rsidP="00033144">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311">
    <w:p w:rsidR="00702DD6" w:rsidRDefault="00702DD6" w:rsidP="00033144">
      <w:pPr>
        <w:pStyle w:val="FootnoteText"/>
      </w:pPr>
      <w:r>
        <w:rPr>
          <w:rStyle w:val="FootnoteReference"/>
        </w:rPr>
        <w:footnoteRef/>
      </w:r>
      <w:r>
        <w:t xml:space="preserve"> </w:t>
      </w:r>
      <w:r>
        <w:tab/>
        <w:t>Broker reports, independent expert reports, other regulators' estimates, comparison with return on debt and our construction of the Wright CAPM.</w:t>
      </w:r>
    </w:p>
  </w:footnote>
  <w:footnote w:id="312">
    <w:p w:rsidR="00702DD6" w:rsidRDefault="00702DD6" w:rsidP="00033144">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AGL, </w:t>
      </w:r>
      <w:r w:rsidRPr="001A0C41">
        <w:rPr>
          <w:rStyle w:val="AERtextitalic"/>
        </w:rPr>
        <w:t>Submission on the AER’s draft decision on AGN’s 2016–21 access arrangement</w:t>
      </w:r>
      <w:r w:rsidRPr="004177B1">
        <w:t>, 4 February 2016, p. 2</w:t>
      </w:r>
      <w:r>
        <w:t xml:space="preserve">; </w:t>
      </w:r>
      <w:r w:rsidRPr="004177B1">
        <w:t>Victorian Government, S</w:t>
      </w:r>
      <w:r w:rsidRPr="001A0C41">
        <w:rPr>
          <w:rStyle w:val="AERtextitalic"/>
        </w:rPr>
        <w:t>ubmission on the Victorian electricity distribution network service providers’ revised regulatory proposals for 2016–20</w:t>
      </w:r>
      <w:r w:rsidRPr="004177B1">
        <w:t>, 12 February 2016, p. 1–2</w:t>
      </w:r>
      <w:r>
        <w:t xml:space="preserve">; </w:t>
      </w:r>
      <w:r w:rsidRPr="004177B1">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4177B1">
        <w:t>, February 2016</w:t>
      </w:r>
      <w:r>
        <w:t xml:space="preserve">, p. 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EUCV</w:t>
      </w:r>
      <w:r w:rsidRPr="001A0C41">
        <w:rPr>
          <w:rStyle w:val="AERtextitalic"/>
        </w:rPr>
        <w:t>, A response to AusNet revenue reset proposal for the 2017–2022 period</w:t>
      </w:r>
      <w:r w:rsidRPr="001876F5">
        <w:t>, 9 February 2016</w:t>
      </w:r>
      <w:r>
        <w:t xml:space="preserve">, p. 40; CCP ( panel 8), </w:t>
      </w:r>
      <w:r w:rsidRPr="001A0C41">
        <w:rPr>
          <w:rStyle w:val="AERtextitalic"/>
        </w:rPr>
        <w:t xml:space="preserve">Advice to AER from Consumer Challenge Panel sub-panel 8 regarding the AER Daft Decision and Australian Gas </w:t>
      </w:r>
      <w:r>
        <w:rPr>
          <w:rStyle w:val="AERtextitalic"/>
        </w:rPr>
        <w:t>Networks' (SA) revised access a</w:t>
      </w:r>
      <w:r w:rsidRPr="001A0C41">
        <w:rPr>
          <w:rStyle w:val="AERtextitalic"/>
        </w:rPr>
        <w:t>rrangement 2016–2021 proposal</w:t>
      </w:r>
      <w:r>
        <w:t>, 32 March 2016, p. 2.</w:t>
      </w:r>
    </w:p>
  </w:footnote>
  <w:footnote w:id="313">
    <w:p w:rsidR="00702DD6" w:rsidRDefault="00702DD6" w:rsidP="00033144">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w:t>
      </w:r>
      <w:r w:rsidRPr="00F3489A">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F3489A">
        <w:t>, February 2016</w:t>
      </w:r>
      <w:r>
        <w:t xml:space="preserve">; </w:t>
      </w:r>
    </w:p>
  </w:footnote>
  <w:footnote w:id="314">
    <w:p w:rsidR="00702DD6" w:rsidRDefault="00702DD6" w:rsidP="00033144">
      <w:pPr>
        <w:pStyle w:val="FootnoteText"/>
      </w:pPr>
      <w:r>
        <w:rPr>
          <w:rStyle w:val="FootnoteReference"/>
        </w:rPr>
        <w:footnoteRef/>
      </w:r>
      <w:r>
        <w:t xml:space="preserve"> </w:t>
      </w:r>
      <w:r>
        <w:tab/>
        <w:t xml:space="preserve">AGL, </w:t>
      </w:r>
      <w:r w:rsidRPr="001A0C41">
        <w:rPr>
          <w:rStyle w:val="AERtextitalic"/>
        </w:rPr>
        <w:t>Submission on the AER’s draft decision on AGN’s 2016–21 access arrangement</w:t>
      </w:r>
      <w:r w:rsidRPr="00940B70">
        <w:t>, 4 February 2016, p. 2</w:t>
      </w:r>
      <w:r>
        <w:t xml:space="preserve">; </w:t>
      </w:r>
      <w:r w:rsidRPr="00B94AEE">
        <w:t xml:space="preserve">ECCSA, </w:t>
      </w:r>
      <w:r w:rsidRPr="001A0C41">
        <w:rPr>
          <w:rStyle w:val="AERtextitalic"/>
        </w:rPr>
        <w:t>A response to the AER draft decision on AGN’s AA2016 revenue reset</w:t>
      </w:r>
      <w:r w:rsidRPr="00B94AEE">
        <w:t>, February 2016, p. 36</w:t>
      </w:r>
      <w:r>
        <w:t xml:space="preserve">; </w:t>
      </w:r>
      <w:r w:rsidRPr="00B94AEE">
        <w:t xml:space="preserve">EUCV, </w:t>
      </w:r>
      <w:r w:rsidRPr="001A0C41">
        <w:rPr>
          <w:rStyle w:val="AERtextitalic"/>
        </w:rPr>
        <w:t>A response to AusNet revenue reset proposal for the 2017–2022 period, 9 February 2016</w:t>
      </w:r>
      <w:r>
        <w:t xml:space="preserve">, p. 40; </w:t>
      </w:r>
      <w:r w:rsidRPr="00B94AEE">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B94AEE">
        <w:t>, February 2016</w:t>
      </w:r>
      <w:r>
        <w:t xml:space="preserve">, p. 41;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25 February 2016. pp. 10 &amp; 29–30.</w:t>
      </w:r>
    </w:p>
  </w:footnote>
  <w:footnote w:id="315">
    <w:p w:rsidR="00702DD6" w:rsidRDefault="00702DD6" w:rsidP="00033144">
      <w:pPr>
        <w:pStyle w:val="FootnoteText"/>
      </w:pPr>
      <w:r>
        <w:rPr>
          <w:rStyle w:val="FootnoteReference"/>
        </w:rPr>
        <w:footnoteRef/>
      </w:r>
      <w:r>
        <w:t xml:space="preserve"> </w:t>
      </w:r>
      <w:r>
        <w:tab/>
      </w:r>
      <w:r w:rsidRPr="00856793">
        <w:t xml:space="preserve">ECCSA, </w:t>
      </w:r>
      <w:r w:rsidRPr="001A0C41">
        <w:rPr>
          <w:rStyle w:val="AERtextitalic"/>
        </w:rPr>
        <w:t>A response to the AER draft decision on AGN’s AA2016 revenue reset, February 2016</w:t>
      </w:r>
      <w:r w:rsidRPr="00856793">
        <w:t>, p. 36–37</w:t>
      </w:r>
      <w:r>
        <w:t xml:space="preserve">;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856793">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856793">
        <w:t>, February 2016</w:t>
      </w:r>
      <w:r>
        <w:t xml:space="preserve">, p. 40;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&amp; 29. </w:t>
      </w:r>
    </w:p>
  </w:footnote>
  <w:footnote w:id="316">
    <w:p w:rsidR="00702DD6" w:rsidRDefault="00702DD6" w:rsidP="00033144">
      <w:pPr>
        <w:pStyle w:val="FootnoteText"/>
      </w:pPr>
      <w:r>
        <w:rPr>
          <w:rStyle w:val="FootnoteReference"/>
        </w:rPr>
        <w:footnoteRef/>
      </w:r>
      <w:r>
        <w:t xml:space="preserve"> </w:t>
      </w:r>
      <w:r>
        <w:tab/>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DD0D03">
        <w:t xml:space="preserve">EUCV, </w:t>
      </w:r>
      <w:r w:rsidRPr="001A0C41">
        <w:rPr>
          <w:rStyle w:val="AERtextitalic"/>
        </w:rPr>
        <w:t>A response to AusNet revenue reset proposal for the 2017–2022 period</w:t>
      </w:r>
      <w:r w:rsidRPr="00DD0D03">
        <w:t>, 9 February 2016</w:t>
      </w:r>
      <w:r>
        <w:t xml:space="preserve">, pp. 40–41;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w:t>
      </w:r>
      <w:r w:rsidRPr="00CA64ED">
        <w:t xml:space="preserve">ECCSA, </w:t>
      </w:r>
      <w:r w:rsidRPr="001A0C41">
        <w:rPr>
          <w:rStyle w:val="AERtextitalic"/>
        </w:rPr>
        <w:t>A response to the AER draft decision on AGN’s AA2016 revenue reset,</w:t>
      </w:r>
      <w:r w:rsidRPr="00CA64ED">
        <w:t xml:space="preserve"> February 2016</w:t>
      </w:r>
      <w:r>
        <w:t>, pp. 36–37.</w:t>
      </w:r>
    </w:p>
  </w:footnote>
  <w:footnote w:id="317">
    <w:p w:rsidR="00702DD6" w:rsidRDefault="00702DD6" w:rsidP="00033144">
      <w:pPr>
        <w:pStyle w:val="FootnoteText"/>
      </w:pPr>
      <w:r>
        <w:rPr>
          <w:rStyle w:val="FootnoteReference"/>
        </w:rPr>
        <w:footnoteRef/>
      </w:r>
      <w:r>
        <w:t xml:space="preserve"> </w:t>
      </w:r>
      <w:r>
        <w:tab/>
        <w:t xml:space="preserve">ActewAGL, </w:t>
      </w:r>
      <w:r w:rsidRPr="001A0C41">
        <w:rPr>
          <w:rStyle w:val="AERtextitalic"/>
        </w:rPr>
        <w:t>Access arrangement information for the 2016–21 ACT, Queanbeyan and Palerang Access Arrangement, Appendix 8.05: Return on equity – detailed proposal</w:t>
      </w:r>
      <w:r>
        <w:t>, June 2015, p. 48.</w:t>
      </w:r>
    </w:p>
  </w:footnote>
  <w:footnote w:id="318">
    <w:p w:rsidR="00702DD6" w:rsidRDefault="00702DD6" w:rsidP="00033144">
      <w:pPr>
        <w:pStyle w:val="FootnoteText"/>
      </w:pPr>
      <w:r>
        <w:rPr>
          <w:rStyle w:val="FootnoteReference"/>
        </w:rPr>
        <w:footnoteRef/>
      </w:r>
      <w:r>
        <w:t xml:space="preserve"> </w:t>
      </w:r>
      <w:r>
        <w:tab/>
        <w:t xml:space="preserve">AER, </w:t>
      </w:r>
      <w:r w:rsidRPr="001A0C41">
        <w:rPr>
          <w:rStyle w:val="AERtextitalic"/>
        </w:rPr>
        <w:t>Preliminary decision: CitiPower determination 2016 to 2020: Attachment 3 – Rate of return</w:t>
      </w:r>
      <w:r>
        <w:t>, October 2015, p. 95;</w:t>
      </w:r>
      <w:r w:rsidRPr="00B55FA0">
        <w:t xml:space="preserve"> AER, </w:t>
      </w:r>
      <w:r w:rsidRPr="00B55FA0">
        <w:rPr>
          <w:rStyle w:val="AERtextitalic"/>
        </w:rPr>
        <w:t>Preliminary decision: Powercor determination 2016 to 2020: Attachment 3 – Rate of return</w:t>
      </w:r>
      <w:r w:rsidRPr="00B55FA0">
        <w:t xml:space="preserve">, November 2015, p. 95;  AER, </w:t>
      </w:r>
      <w:r w:rsidRPr="00B55FA0">
        <w:rPr>
          <w:rStyle w:val="Emphasis"/>
        </w:rPr>
        <w:t>Draft decision ActewAGL distribution determination 2016 to 2021: Attachment 3 – Rate of return</w:t>
      </w:r>
      <w:r w:rsidRPr="00B55FA0">
        <w:t xml:space="preserve">, November 2015, p. 97; AER, </w:t>
      </w:r>
      <w:r w:rsidRPr="00B55FA0">
        <w:rPr>
          <w:rStyle w:val="Emphasis"/>
        </w:rPr>
        <w:t>Preliminary decision United Energy determination 2016 to 2020: Attachment 3 – Rate of return</w:t>
      </w:r>
      <w:r w:rsidRPr="00B55FA0">
        <w:t xml:space="preserve">, October 2015, pp. 93–96; AER, </w:t>
      </w:r>
      <w:r w:rsidRPr="00B55FA0">
        <w:rPr>
          <w:rStyle w:val="Emphasis"/>
        </w:rPr>
        <w:t>Draft decision Australian Gas Networks access arrangement 2016 to 2021–Attachment 3: rate of return</w:t>
      </w:r>
      <w:r w:rsidRPr="00B55FA0">
        <w:t xml:space="preserve">, November 2015, pp. 95–100;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October 2015, pp. 96–98</w:t>
      </w:r>
      <w:r>
        <w:t xml:space="preserve">;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t>. 97–101.</w:t>
      </w:r>
    </w:p>
  </w:footnote>
  <w:footnote w:id="319">
    <w:p w:rsidR="00702DD6" w:rsidRDefault="00702DD6" w:rsidP="00033144">
      <w:pPr>
        <w:pStyle w:val="FootnoteText"/>
      </w:pPr>
      <w:r>
        <w:rPr>
          <w:rStyle w:val="FootnoteReference"/>
        </w:rPr>
        <w:footnoteRef/>
      </w:r>
      <w:r>
        <w:t xml:space="preserve"> </w:t>
      </w:r>
      <w:r>
        <w:tab/>
        <w:t xml:space="preserve">AER, </w:t>
      </w:r>
      <w:r w:rsidRPr="001A0C41">
        <w:rPr>
          <w:rStyle w:val="AERtextitalic"/>
        </w:rPr>
        <w:t>Better regulation: Explanatory statement–rate of return guideline, December 2013</w:t>
      </w:r>
      <w:r>
        <w:t xml:space="preserve">, p. 61; AER, </w:t>
      </w:r>
      <w:r w:rsidRPr="001A0C41">
        <w:rPr>
          <w:rStyle w:val="AERtextitalic"/>
        </w:rPr>
        <w:t>Preliminary decision: CitiPower determination 2016 to 2020: Attachment 3 – Rate of return</w:t>
      </w:r>
      <w:r>
        <w:t>, October 2015, p. 95;</w:t>
      </w:r>
      <w:r w:rsidRPr="00B55FA0">
        <w:t xml:space="preserve"> AER, </w:t>
      </w:r>
      <w:r w:rsidRPr="00B55FA0">
        <w:rPr>
          <w:rStyle w:val="AERtextitalic"/>
        </w:rPr>
        <w:t>Preliminary decision: Powercor determination 2016 to 2020: Attachment 3 – Rate of return</w:t>
      </w:r>
      <w:r w:rsidRPr="00B55FA0">
        <w:t xml:space="preserve">, November 2015, p. 95;  AER, </w:t>
      </w:r>
      <w:r w:rsidRPr="00B55FA0">
        <w:rPr>
          <w:rStyle w:val="Emphasis"/>
        </w:rPr>
        <w:t>Draft decision ActewAGL distribution determination 2016 to 2021: Attachment 3 – Rate of return</w:t>
      </w:r>
      <w:r w:rsidRPr="00B55FA0">
        <w:t xml:space="preserve">, November 2015, p. 97 AER, </w:t>
      </w:r>
      <w:r w:rsidRPr="00B55FA0">
        <w:rPr>
          <w:rStyle w:val="Emphasis"/>
        </w:rPr>
        <w:t>Preliminary decision United Energy determination 2016 to 2020: Attachment 3 – Rate of return</w:t>
      </w:r>
      <w:r w:rsidRPr="00B55FA0">
        <w:t xml:space="preserve">, October 2015, p. 93–96; AER, </w:t>
      </w:r>
      <w:r w:rsidRPr="00B55FA0">
        <w:rPr>
          <w:rStyle w:val="Emphasis"/>
        </w:rPr>
        <w:t>Draft decision Australian Gas Networks access arrangement 2016 to 2021–Attachment 3: rate of return</w:t>
      </w:r>
      <w:r w:rsidRPr="00B55FA0">
        <w:t xml:space="preserve">, November 2015, pp. 95–100;  AER, </w:t>
      </w:r>
      <w:r w:rsidRPr="00B55FA0">
        <w:rPr>
          <w:rStyle w:val="Emphasis"/>
        </w:rPr>
        <w:t>Preliminary decision Jemena distribution determination 2016 to 2020: Attachment 3–Rate of return</w:t>
      </w:r>
      <w:r w:rsidRPr="00B55FA0">
        <w:t xml:space="preserve">, October 2015, pp. 95–98;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October 2015, pp. 94–98</w:t>
      </w:r>
      <w:r>
        <w:t xml:space="preserve">;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rsidRPr="00B55FA0">
        <w:t>.</w:t>
      </w:r>
      <w:r>
        <w:t xml:space="preserve"> 96–101.</w:t>
      </w:r>
    </w:p>
  </w:footnote>
  <w:footnote w:id="320">
    <w:p w:rsidR="00702DD6" w:rsidRDefault="00702DD6" w:rsidP="00033144">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46–48</w:t>
      </w:r>
      <w:r w:rsidRPr="00831925">
        <w:t>.</w:t>
      </w:r>
    </w:p>
  </w:footnote>
  <w:footnote w:id="321">
    <w:p w:rsidR="00702DD6" w:rsidRDefault="00702DD6" w:rsidP="00033144">
      <w:pPr>
        <w:pStyle w:val="FootnoteText"/>
      </w:pPr>
      <w:r>
        <w:rPr>
          <w:rStyle w:val="FootnoteReference"/>
        </w:rPr>
        <w:footnoteRef/>
      </w:r>
      <w:r>
        <w:t xml:space="preserve"> </w:t>
      </w:r>
      <w:r>
        <w:tab/>
        <w:t xml:space="preserve">We consider that </w:t>
      </w:r>
      <w:r w:rsidRPr="004C7209">
        <w:rPr>
          <w:rStyle w:val="AERtextsize8"/>
        </w:rPr>
        <w:t>ActewAGL</w:t>
      </w:r>
      <w:r>
        <w:t xml:space="preserve"> would be shielded from systematic risk due to reasons such natural monopoly positions and limited demand risk.</w:t>
      </w:r>
    </w:p>
  </w:footnote>
  <w:footnote w:id="322">
    <w:p w:rsidR="00702DD6" w:rsidRDefault="00702DD6" w:rsidP="00033144">
      <w:pPr>
        <w:pStyle w:val="FootnoteText"/>
      </w:pPr>
      <w:r>
        <w:rPr>
          <w:rStyle w:val="FootnoteReference"/>
        </w:rPr>
        <w:footnoteRef/>
      </w:r>
      <w:r>
        <w:t xml:space="preserve"> </w:t>
      </w:r>
      <w:r>
        <w:tab/>
        <w:t xml:space="preserve">Frontier Economics, </w:t>
      </w:r>
      <w:r w:rsidRPr="00AB7811">
        <w:rPr>
          <w:rStyle w:val="AERtextitalic"/>
        </w:rPr>
        <w:t>The relationship between government bond yields and the market risk premium</w:t>
      </w:r>
      <w:r>
        <w:t>, January 2016, pp. 25–26.</w:t>
      </w:r>
    </w:p>
  </w:footnote>
  <w:footnote w:id="323">
    <w:p w:rsidR="00702DD6" w:rsidRDefault="00702DD6" w:rsidP="00033144">
      <w:pPr>
        <w:pStyle w:val="FootnoteText"/>
      </w:pPr>
      <w:r>
        <w:rPr>
          <w:rStyle w:val="FootnoteReference"/>
        </w:rPr>
        <w:footnoteRef/>
      </w:r>
      <w:r>
        <w:t xml:space="preserve"> </w:t>
      </w:r>
      <w:r>
        <w:tab/>
        <w:t xml:space="preserve">See: McKenzie &amp; Partington, </w:t>
      </w:r>
      <w:r w:rsidRPr="00C84E50">
        <w:rPr>
          <w:rStyle w:val="AERtextitalic"/>
        </w:rPr>
        <w:t>Report to the AER: relationship between the cost of debt and the cost of equity</w:t>
      </w:r>
      <w:r>
        <w:t xml:space="preserve">, 14 March 2013; Partington, </w:t>
      </w:r>
      <w:r w:rsidRPr="0092646A">
        <w:rPr>
          <w:rStyle w:val="AERtextitalic"/>
        </w:rPr>
        <w:t>Report to the AER: Return on Equity</w:t>
      </w:r>
      <w:r>
        <w:rPr>
          <w:rStyle w:val="AERtextitalic"/>
        </w:rPr>
        <w:t xml:space="preserve"> (updated)</w:t>
      </w:r>
      <w:r>
        <w:t>, April 2015, pp. 72–73.</w:t>
      </w:r>
    </w:p>
  </w:footnote>
  <w:footnote w:id="324">
    <w:p w:rsidR="00702DD6" w:rsidRDefault="00702DD6" w:rsidP="00033144">
      <w:pPr>
        <w:pStyle w:val="FootnoteText"/>
      </w:pPr>
      <w:r>
        <w:rPr>
          <w:rStyle w:val="FootnoteReference"/>
        </w:rPr>
        <w:footnoteRef/>
      </w:r>
      <w:r>
        <w:t xml:space="preserve"> </w:t>
      </w:r>
      <w:r>
        <w:tab/>
        <w:t xml:space="preserve">Frontier Economics, </w:t>
      </w:r>
      <w:r w:rsidRPr="00C31257">
        <w:rPr>
          <w:rStyle w:val="AERtextitalic"/>
        </w:rPr>
        <w:t>The required return on equity under a foundation model approach</w:t>
      </w:r>
      <w:r>
        <w:t>, January 2016, p. 69.</w:t>
      </w:r>
    </w:p>
  </w:footnote>
  <w:footnote w:id="325">
    <w:p w:rsidR="00702DD6" w:rsidRDefault="00702DD6" w:rsidP="00033144">
      <w:pPr>
        <w:pStyle w:val="FootnoteText"/>
      </w:pPr>
      <w:r>
        <w:rPr>
          <w:rStyle w:val="FootnoteReference"/>
        </w:rPr>
        <w:footnoteRef/>
      </w:r>
      <w:r>
        <w:t xml:space="preserve"> </w:t>
      </w:r>
      <w:r>
        <w:tab/>
        <w:t xml:space="preserve">Frontier Economics, </w:t>
      </w:r>
      <w:r w:rsidRPr="002F61BA">
        <w:rPr>
          <w:rStyle w:val="AERtextitalic"/>
        </w:rPr>
        <w:t>The required return on equity under a foundation model approach</w:t>
      </w:r>
      <w:r>
        <w:t>, January 2016, p. 34.</w:t>
      </w:r>
    </w:p>
  </w:footnote>
  <w:footnote w:id="326">
    <w:p w:rsidR="00702DD6" w:rsidRDefault="00702DD6" w:rsidP="00033144">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26</w:t>
      </w:r>
      <w:r>
        <w:rPr>
          <w:rFonts w:cs="Gautami"/>
        </w:rPr>
        <w:t>–</w:t>
      </w:r>
      <w:r>
        <w:t>27</w:t>
      </w:r>
      <w:r w:rsidRPr="00831925">
        <w:t>.</w:t>
      </w:r>
    </w:p>
  </w:footnote>
  <w:footnote w:id="327">
    <w:p w:rsidR="00702DD6" w:rsidRDefault="00702DD6" w:rsidP="00033144">
      <w:pPr>
        <w:pStyle w:val="FootnoteText"/>
      </w:pPr>
      <w:r>
        <w:rPr>
          <w:rStyle w:val="FootnoteReference"/>
        </w:rPr>
        <w:footnoteRef/>
      </w:r>
      <w:r>
        <w:t xml:space="preserve"> </w:t>
      </w:r>
      <w:r>
        <w:tab/>
        <w:t xml:space="preserve">AER, </w:t>
      </w:r>
      <w:r w:rsidRPr="001A0C41">
        <w:rPr>
          <w:rStyle w:val="AERtextitalic"/>
        </w:rPr>
        <w:t>Explanatory statement: Rate of return guideline (appendices),</w:t>
      </w:r>
      <w:r>
        <w:t xml:space="preserve"> December 2013, pp. 37–39.</w:t>
      </w:r>
    </w:p>
  </w:footnote>
  <w:footnote w:id="328">
    <w:p w:rsidR="00702DD6" w:rsidRDefault="00702DD6" w:rsidP="00033144">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299, 307–308; </w:t>
      </w:r>
      <w:r w:rsidRPr="00B55FA0">
        <w:t xml:space="preserve">Powercor, </w:t>
      </w:r>
      <w:r w:rsidRPr="00B55FA0">
        <w:rPr>
          <w:rStyle w:val="AERtextitalic"/>
        </w:rPr>
        <w:t>Revised regulatory proposal 2016–2020</w:t>
      </w:r>
      <w:r w:rsidRPr="00B55FA0">
        <w:t xml:space="preserve">, January  2016, pp. 293, 301–302;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72–74, 83–84; United Energy, </w:t>
      </w:r>
      <w:r w:rsidRPr="00B55FA0">
        <w:rPr>
          <w:rStyle w:val="Emphasis"/>
        </w:rPr>
        <w:t>Response to AER preliminary determination–Re: rate of return and gamma</w:t>
      </w:r>
      <w:r w:rsidRPr="00B55FA0">
        <w:t xml:space="preserve">, 6 January 2016, pp.53–54, 61–62; AGN, </w:t>
      </w:r>
      <w:r w:rsidRPr="00B55FA0">
        <w:rPr>
          <w:rStyle w:val="Emphasis"/>
        </w:rPr>
        <w:t>2016–17 to 2020/21 Access Arrangement information response to draft decision: Attachment 10.26 Response to draft decision: rate of return</w:t>
      </w:r>
      <w:r w:rsidRPr="00B55FA0">
        <w:t xml:space="preserve">, January 2016, pp, 75–78;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67, 76–79;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pp.70–74.</w:t>
      </w:r>
    </w:p>
  </w:footnote>
  <w:footnote w:id="329">
    <w:p w:rsidR="00702DD6" w:rsidRDefault="00702DD6" w:rsidP="00033144">
      <w:pPr>
        <w:pStyle w:val="FootnoteText"/>
      </w:pPr>
      <w:r>
        <w:rPr>
          <w:rStyle w:val="FootnoteReference"/>
        </w:rPr>
        <w:footnoteRef/>
      </w:r>
      <w:r>
        <w:t xml:space="preserve"> </w:t>
      </w:r>
      <w:r>
        <w:tab/>
        <w:t xml:space="preserve">HoustonKemp, </w:t>
      </w:r>
      <w:r w:rsidRPr="008860FD">
        <w:rPr>
          <w:rStyle w:val="AERtextitalic"/>
        </w:rPr>
        <w:t>The cost of equity: Response to the AER's draft decisions for the Victorian electricity distributors, ActewAGL Distribution and Australian Gas Networks</w:t>
      </w:r>
      <w:r>
        <w:t>, January 2016, p. 52–59.</w:t>
      </w:r>
    </w:p>
  </w:footnote>
  <w:footnote w:id="330">
    <w:p w:rsidR="00702DD6" w:rsidRDefault="00702DD6" w:rsidP="00033144">
      <w:pPr>
        <w:pStyle w:val="FootnoteText"/>
      </w:pPr>
      <w:r>
        <w:rPr>
          <w:rStyle w:val="FootnoteReference"/>
        </w:rPr>
        <w:footnoteRef/>
      </w:r>
      <w:r>
        <w:t xml:space="preserve"> </w:t>
      </w:r>
      <w:r>
        <w:tab/>
        <w:t xml:space="preserve">AER, </w:t>
      </w:r>
      <w:r w:rsidRPr="001A0C41">
        <w:rPr>
          <w:rStyle w:val="AERtextitalic"/>
        </w:rPr>
        <w:t>Preliminary decision: CitiPower determination 2016 to 2020: Attachment 3 – Rate of return</w:t>
      </w:r>
      <w:r>
        <w:t xml:space="preserve">, October 2015, pp. 100, 516 &amp; 521–526; </w:t>
      </w:r>
      <w:r w:rsidRPr="00B55FA0">
        <w:t xml:space="preserve">AER, </w:t>
      </w:r>
      <w:r w:rsidRPr="00B55FA0">
        <w:rPr>
          <w:rStyle w:val="AERtextitalic"/>
        </w:rPr>
        <w:t>Powercor Preliminary Decision - Attachment 3: Rate of Return</w:t>
      </w:r>
      <w:r w:rsidRPr="00B55FA0">
        <w:t xml:space="preserve">, October 2015, pp. 100, 516 &amp; 521–526;. AER, </w:t>
      </w:r>
      <w:r w:rsidRPr="00B55FA0">
        <w:rPr>
          <w:rStyle w:val="Emphasis"/>
        </w:rPr>
        <w:t>Draft decision ActewAGL distribution determination 2016 to 2021: Attachment 3 – Rate of return,</w:t>
      </w:r>
      <w:r w:rsidRPr="00B55FA0">
        <w:t xml:space="preserve"> November 2015, p. 101–105, 525–530; AER, </w:t>
      </w:r>
      <w:r w:rsidRPr="00B55FA0">
        <w:rPr>
          <w:rStyle w:val="Emphasis"/>
        </w:rPr>
        <w:t>Preliminary decision United Energy determination 2016 to 2020: Attachment 3 – Rate of return</w:t>
      </w:r>
      <w:r w:rsidRPr="00B55FA0">
        <w:t xml:space="preserve">, October 2015, pp. 99–102, 516–520, 524–537; AER, </w:t>
      </w:r>
      <w:r w:rsidRPr="00B55FA0">
        <w:rPr>
          <w:rStyle w:val="Emphasis"/>
        </w:rPr>
        <w:t>Draft decision Australian Gas Networks access arrangement 2016 to 2021–Attachment 3: rate of return</w:t>
      </w:r>
      <w:r w:rsidRPr="00B55FA0">
        <w:t xml:space="preserve">, November 2015, pp. 100–103, 521, 526, 530–544; AER, </w:t>
      </w:r>
      <w:r w:rsidRPr="00B55FA0">
        <w:rPr>
          <w:rStyle w:val="Emphasis"/>
        </w:rPr>
        <w:t>Preliminary decision Jemena distribution determination 2016 to 2020: Attachment 3–Rate of return</w:t>
      </w:r>
      <w:r w:rsidRPr="00B55FA0">
        <w:t xml:space="preserve">, October 2015, pp. 99–102, 516–520, 525–537; ;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xml:space="preserve">, October 2015, pp.  99–102, 522–529;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t xml:space="preserve">. 524–530; AER, </w:t>
      </w:r>
      <w:r w:rsidRPr="001A0C41">
        <w:rPr>
          <w:rStyle w:val="AERtextitalic"/>
        </w:rPr>
        <w:t>Explanatory statement: Rate of return guideline (appendices)</w:t>
      </w:r>
      <w:r>
        <w:t>, December 2013, pp. 40–42.</w:t>
      </w:r>
    </w:p>
  </w:footnote>
  <w:footnote w:id="331">
    <w:p w:rsidR="00702DD6" w:rsidRDefault="00702DD6" w:rsidP="00033144">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317–321; </w:t>
      </w:r>
      <w:r w:rsidRPr="00B55FA0">
        <w:t xml:space="preserve">; Powercor, </w:t>
      </w:r>
      <w:r w:rsidRPr="00B55FA0">
        <w:rPr>
          <w:rStyle w:val="AERtextitalic"/>
        </w:rPr>
        <w:t>Revised regulatory proposal 2016–2020</w:t>
      </w:r>
      <w:r w:rsidRPr="00B55FA0">
        <w:t xml:space="preserve">, January  2016, pp. 311–315;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96–101; United Energy, </w:t>
      </w:r>
      <w:r w:rsidRPr="00B55FA0">
        <w:rPr>
          <w:rStyle w:val="Emphasis"/>
        </w:rPr>
        <w:t>Response to AER preliminary determination–Re: rate of return and gamma</w:t>
      </w:r>
      <w:r w:rsidRPr="00B55FA0">
        <w:t xml:space="preserve">, 6 January 2016, pp. 71–74; AGN, </w:t>
      </w:r>
      <w:r w:rsidRPr="00B55FA0">
        <w:rPr>
          <w:rStyle w:val="Emphasis"/>
        </w:rPr>
        <w:t>2016–17 to 2020/21 Access Arrangement information response to draft decision: Attachment 10.26 Response to draft decision: rate of return</w:t>
      </w:r>
      <w:r w:rsidRPr="00B55FA0">
        <w:t xml:space="preserve">, January 2016, pp. 75–78 ;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76–80;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pp. 70–74.</w:t>
      </w:r>
    </w:p>
  </w:footnote>
  <w:footnote w:id="332">
    <w:p w:rsidR="00702DD6" w:rsidRDefault="00702DD6" w:rsidP="00033144">
      <w:pPr>
        <w:pStyle w:val="FootnoteText"/>
      </w:pPr>
      <w:r>
        <w:rPr>
          <w:rStyle w:val="FootnoteReference"/>
        </w:rPr>
        <w:footnoteRef/>
      </w:r>
      <w:r>
        <w:t xml:space="preserve"> </w:t>
      </w:r>
      <w:r>
        <w:tab/>
        <w:t xml:space="preserve">CitiPower, </w:t>
      </w:r>
      <w:r w:rsidRPr="00C31257">
        <w:rPr>
          <w:rStyle w:val="AERtextitalic"/>
        </w:rPr>
        <w:t>Revised regulatory proposal 2016–2020</w:t>
      </w:r>
      <w:r>
        <w:t>, p. 321</w:t>
      </w:r>
      <w:r w:rsidRPr="00B55FA0">
        <w:t xml:space="preserve">; Powercor, </w:t>
      </w:r>
      <w:r w:rsidRPr="00B55FA0">
        <w:rPr>
          <w:rStyle w:val="AERtextitalic"/>
        </w:rPr>
        <w:t>Revised regulatory proposal 2016–2020</w:t>
      </w:r>
      <w:r w:rsidRPr="00B55FA0">
        <w:t xml:space="preserve">, January  2016, p. 315;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100–101; United Energy, </w:t>
      </w:r>
      <w:r w:rsidRPr="00B55FA0">
        <w:rPr>
          <w:rStyle w:val="Emphasis"/>
        </w:rPr>
        <w:t>Response to AER preliminary determination–Re: rate of return and gamma</w:t>
      </w:r>
      <w:r w:rsidRPr="00B55FA0">
        <w:t xml:space="preserve">, 6 January 2016, p. 74; AGN, </w:t>
      </w:r>
      <w:r w:rsidRPr="00B55FA0">
        <w:rPr>
          <w:rStyle w:val="Emphasis"/>
        </w:rPr>
        <w:t>2016–17 to 2020/21 Access Arrangement information response to draft decision: Attachment 10.26 Response to draft decision: rate of return</w:t>
      </w:r>
      <w:r w:rsidRPr="00B55FA0">
        <w:t xml:space="preserve">, January 2016, p. 78 ;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80;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pp. 73–74.</w:t>
      </w:r>
    </w:p>
  </w:footnote>
  <w:footnote w:id="333">
    <w:p w:rsidR="00702DD6" w:rsidRDefault="00702DD6" w:rsidP="00033144">
      <w:pPr>
        <w:pStyle w:val="FootnoteText"/>
      </w:pPr>
      <w:r>
        <w:rPr>
          <w:rStyle w:val="FootnoteReference"/>
        </w:rPr>
        <w:footnoteRef/>
      </w:r>
      <w:r>
        <w:t xml:space="preserve"> </w:t>
      </w:r>
      <w:r>
        <w:tab/>
        <w:t xml:space="preserve">Frontier Economics, </w:t>
      </w:r>
      <w:r w:rsidRPr="00AB7811">
        <w:rPr>
          <w:rStyle w:val="AERtextitalic"/>
        </w:rPr>
        <w:t>The relationship between government bond yields and the market risk premium</w:t>
      </w:r>
      <w:r>
        <w:t>, January 2016, pp. 19</w:t>
      </w:r>
      <w:r>
        <w:noBreakHyphen/>
        <w:t>20.</w:t>
      </w:r>
    </w:p>
  </w:footnote>
  <w:footnote w:id="334">
    <w:p w:rsidR="00702DD6" w:rsidRDefault="00702DD6" w:rsidP="00033144">
      <w:pPr>
        <w:pStyle w:val="FootnoteText"/>
      </w:pPr>
      <w:r>
        <w:rPr>
          <w:rStyle w:val="FootnoteReference"/>
        </w:rPr>
        <w:footnoteRef/>
      </w:r>
      <w:r>
        <w:t xml:space="preserve"> </w:t>
      </w:r>
      <w:r>
        <w:tab/>
        <w:t xml:space="preserve">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 xml:space="preserve">EUCV, </w:t>
      </w:r>
      <w:r w:rsidRPr="001A0C41">
        <w:rPr>
          <w:rStyle w:val="AERtextitalic"/>
        </w:rPr>
        <w:t>A response to AusNet revenue reset proposal for the 2017–2022 period</w:t>
      </w:r>
      <w:r w:rsidRPr="001876F5">
        <w:t>, 9 February 2016</w:t>
      </w:r>
      <w:r>
        <w:t>, p. 40</w:t>
      </w:r>
    </w:p>
  </w:footnote>
  <w:footnote w:id="335">
    <w:p w:rsidR="00702DD6" w:rsidRDefault="00702DD6" w:rsidP="00033144">
      <w:pPr>
        <w:pStyle w:val="FootnoteText"/>
      </w:pPr>
      <w:r>
        <w:rPr>
          <w:rStyle w:val="FootnoteReference"/>
        </w:rPr>
        <w:footnoteRef/>
      </w:r>
      <w:r>
        <w:t xml:space="preserve"> </w:t>
      </w:r>
      <w:r>
        <w:tab/>
        <w:t xml:space="preserve">Or more precisely, a benchmark efficient entity with a similar degree of risk as </w:t>
      </w:r>
      <w:r w:rsidRPr="004C7209">
        <w:rPr>
          <w:rStyle w:val="AERtextsize8"/>
        </w:rPr>
        <w:t>ActewAGL</w:t>
      </w:r>
      <w:r>
        <w:t xml:space="preserve"> in respect of the provision of reference services.</w:t>
      </w:r>
    </w:p>
  </w:footnote>
  <w:footnote w:id="336">
    <w:p w:rsidR="00702DD6" w:rsidRDefault="00702DD6" w:rsidP="00033144">
      <w:pPr>
        <w:pStyle w:val="FootnoteText"/>
      </w:pPr>
      <w:r>
        <w:rPr>
          <w:rStyle w:val="FootnoteReference"/>
        </w:rPr>
        <w:footnoteRef/>
      </w:r>
      <w:r>
        <w:t xml:space="preserve"> </w:t>
      </w:r>
      <w:r>
        <w:tab/>
        <w:t>In accordance with our task under the NER and NGR.</w:t>
      </w:r>
      <w:r w:rsidRPr="00A71F09">
        <w:t xml:space="preserve"> </w:t>
      </w:r>
      <w:r>
        <w:t>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337">
    <w:p w:rsidR="00702DD6" w:rsidRDefault="00702DD6" w:rsidP="00033144">
      <w:pPr>
        <w:pStyle w:val="FootnoteText"/>
      </w:pPr>
      <w:r>
        <w:rPr>
          <w:rStyle w:val="FootnoteReference"/>
        </w:rPr>
        <w:footnoteRef/>
      </w:r>
      <w:r>
        <w:t xml:space="preserve"> </w:t>
      </w:r>
      <w:r>
        <w:tab/>
      </w:r>
      <w:r w:rsidRPr="007F0B12">
        <w:t xml:space="preserve">For a discussion, see AER, </w:t>
      </w:r>
      <w:r w:rsidRPr="007F0B12">
        <w:rPr>
          <w:rStyle w:val="AERtextitalic"/>
        </w:rPr>
        <w:t>Explanatory statement to the rate of return guideline (appendices)</w:t>
      </w:r>
      <w:r w:rsidRPr="007F0B12">
        <w:t xml:space="preserve">, 17 December 2013, pp. 25–26. Also see CEPA, </w:t>
      </w:r>
      <w:r w:rsidRPr="007F0B12">
        <w:rPr>
          <w:rStyle w:val="AERtextitalic"/>
        </w:rPr>
        <w:t>AER: Victorian gas networks market evidence paper</w:t>
      </w:r>
      <w:r w:rsidRPr="007F0B12">
        <w:t xml:space="preserve">, February 2013; McKenzie and Partington, </w:t>
      </w:r>
      <w:r w:rsidRPr="007F0B12">
        <w:rPr>
          <w:rStyle w:val="AERtextitalic"/>
        </w:rPr>
        <w:t>Review of the AER’s overall approach to the risk free rate and MRP</w:t>
      </w:r>
      <w:r w:rsidRPr="007F0B12">
        <w:t xml:space="preserve">, February 2013; Lally, </w:t>
      </w:r>
      <w:r w:rsidRPr="007F0B12">
        <w:rPr>
          <w:rStyle w:val="AERtextitalic"/>
        </w:rPr>
        <w:t>Review of the AER’s methodology</w:t>
      </w:r>
      <w:r w:rsidRPr="007F0B12">
        <w:t>, March 2013.</w:t>
      </w:r>
    </w:p>
  </w:footnote>
  <w:footnote w:id="338">
    <w:p w:rsidR="00702DD6" w:rsidRDefault="00702DD6" w:rsidP="00033144">
      <w:pPr>
        <w:pStyle w:val="FootnoteText"/>
      </w:pPr>
      <w:r>
        <w:rPr>
          <w:rStyle w:val="FootnoteReference"/>
        </w:rPr>
        <w:footnoteRef/>
      </w:r>
      <w:r>
        <w:t xml:space="preserve"> </w:t>
      </w:r>
      <w:r>
        <w:tab/>
        <w:t>Efficient financing costs for a benchmark efficient entity with a similar degree of risk as that which applies to the distribution network service provider in respect of the provision of standard control services. See: NER, cl. 6.5.2(c); NER, cl. 6A.6.2(c); NGR, r.87(3).</w:t>
      </w:r>
    </w:p>
  </w:footnote>
  <w:footnote w:id="339">
    <w:p w:rsidR="00702DD6" w:rsidRDefault="00702DD6" w:rsidP="00033144">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340">
    <w:p w:rsidR="00702DD6" w:rsidRDefault="00702DD6" w:rsidP="00033144">
      <w:pPr>
        <w:pStyle w:val="FootnoteText"/>
      </w:pPr>
      <w:r>
        <w:rPr>
          <w:rStyle w:val="FootnoteReference"/>
        </w:rPr>
        <w:footnoteRef/>
      </w:r>
      <w:r>
        <w:t xml:space="preserve"> </w:t>
      </w:r>
      <w:r>
        <w:tab/>
        <w:t xml:space="preserve">See AER, </w:t>
      </w:r>
      <w:r w:rsidRPr="002868D4">
        <w:rPr>
          <w:rStyle w:val="AERtextitalic"/>
        </w:rPr>
        <w:t>Explanatory statement: Rate of return guideline (appendices)</w:t>
      </w:r>
      <w:r>
        <w:t xml:space="preserve">, 17 December 2013, pp. 104–110; AER, </w:t>
      </w:r>
      <w:r w:rsidRPr="006063CB">
        <w:rPr>
          <w:rStyle w:val="AERtextitalic"/>
        </w:rPr>
        <w:t xml:space="preserve">Access arrangement </w:t>
      </w:r>
      <w:r>
        <w:rPr>
          <w:rStyle w:val="AERtextitalic"/>
        </w:rPr>
        <w:t>draft</w:t>
      </w:r>
      <w:r w:rsidRPr="006063CB">
        <w:rPr>
          <w:rStyle w:val="AERtextitalic"/>
        </w:rPr>
        <w:t xml:space="preserve"> decision: Multinet Gas (DB No. 1) Pty Ltd Multinet Gas (DB No. 2) Pty Ltd 2013–17—Part </w:t>
      </w:r>
      <w:r>
        <w:rPr>
          <w:rStyle w:val="AERtextitalic"/>
        </w:rPr>
        <w:t>2</w:t>
      </w:r>
      <w:r w:rsidRPr="006063CB">
        <w:rPr>
          <w:rStyle w:val="AERtextitalic"/>
        </w:rPr>
        <w:t xml:space="preserve">: </w:t>
      </w:r>
      <w:r>
        <w:rPr>
          <w:rStyle w:val="AERtextitalic"/>
        </w:rPr>
        <w:t>Attachments</w:t>
      </w:r>
      <w:r>
        <w:t xml:space="preserve">, September 2012, pp. 100–107; AER, </w:t>
      </w:r>
      <w:r w:rsidRPr="006063CB">
        <w:rPr>
          <w:rStyle w:val="AERtextitalic"/>
        </w:rPr>
        <w:t>Access arrangement final decision: Multinet Gas (DB No. 1) Pty Ltd Multinet Gas (DB No. 2) Pty Ltd 2013–17—Part 3: Appendices</w:t>
      </w:r>
      <w:r>
        <w:t xml:space="preserve">, March 2013, pp. 31–35; AER, </w:t>
      </w:r>
      <w:r w:rsidRPr="009E1CF5">
        <w:rPr>
          <w:rStyle w:val="AERtextitalic"/>
        </w:rPr>
        <w:t>Access arrangement final decision: APA GasNet Australia (Operations) Pty Ltd 2013–17: Part 3—Appendices</w:t>
      </w:r>
      <w:r>
        <w:t xml:space="preserve">, March 2013, pp. 32–38. </w:t>
      </w:r>
      <w:r w:rsidRPr="00B55FA0">
        <w:t xml:space="preserve">AER, </w:t>
      </w:r>
      <w:r w:rsidRPr="00B55FA0">
        <w:rPr>
          <w:rStyle w:val="Emphasis"/>
        </w:rPr>
        <w:t>Draft decision ActewAGL distribution determination 2016 to 2021: Attachment 3 – Rate of return</w:t>
      </w:r>
      <w:r w:rsidRPr="00B55FA0">
        <w:t>, November 2015, p. 275</w:t>
      </w:r>
    </w:p>
    <w:p w:rsidR="00702DD6" w:rsidRDefault="00702DD6" w:rsidP="00033144">
      <w:pPr>
        <w:pStyle w:val="FootnoteText"/>
      </w:pPr>
      <w:r>
        <w:tab/>
      </w:r>
      <w:r w:rsidRPr="003E0718">
        <w:t xml:space="preserve">McKenzie and Partington, </w:t>
      </w:r>
      <w:r w:rsidRPr="008347D0">
        <w:rPr>
          <w:rStyle w:val="AERtextitalic"/>
        </w:rPr>
        <w:t>Review of the AER’s overall approach to the risk free rate and market risk premium</w:t>
      </w:r>
      <w:r w:rsidRPr="003E0718">
        <w:t>, February 2013, pp. 6, 24.</w:t>
      </w:r>
    </w:p>
  </w:footnote>
  <w:footnote w:id="341">
    <w:p w:rsidR="00702DD6" w:rsidRDefault="00702DD6" w:rsidP="00033144">
      <w:pPr>
        <w:pStyle w:val="FootnoteText"/>
      </w:pPr>
      <w:r>
        <w:rPr>
          <w:rStyle w:val="FootnoteReference"/>
        </w:rPr>
        <w:footnoteRef/>
      </w:r>
      <w:r>
        <w:t xml:space="preserve"> </w:t>
      </w:r>
      <w:r>
        <w:tab/>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p>
  </w:footnote>
  <w:footnote w:id="342">
    <w:p w:rsidR="00702DD6" w:rsidRDefault="00702DD6" w:rsidP="00033144">
      <w:pPr>
        <w:pStyle w:val="FootnoteText"/>
      </w:pPr>
      <w:r>
        <w:rPr>
          <w:rStyle w:val="FootnoteReference"/>
        </w:rPr>
        <w:footnoteRef/>
      </w:r>
      <w:r>
        <w:t xml:space="preserve"> </w:t>
      </w:r>
      <w:r>
        <w:tab/>
        <w:t xml:space="preserve">Partington, </w:t>
      </w:r>
      <w:r w:rsidRPr="00B342F3">
        <w:rPr>
          <w:rStyle w:val="AERtextitalic"/>
        </w:rPr>
        <w:t>Report to the AER: Return on equity (Updated)</w:t>
      </w:r>
      <w:r>
        <w:t>, April 2015, p. 72.</w:t>
      </w:r>
    </w:p>
  </w:footnote>
  <w:footnote w:id="343">
    <w:p w:rsidR="00702DD6" w:rsidRDefault="00702DD6" w:rsidP="00033144">
      <w:pPr>
        <w:pStyle w:val="FootnoteText"/>
      </w:pPr>
      <w:r>
        <w:rPr>
          <w:rStyle w:val="FootnoteReference"/>
        </w:rPr>
        <w:footnoteRef/>
      </w:r>
      <w:r>
        <w:t xml:space="preserve"> </w:t>
      </w:r>
      <w:r>
        <w:tab/>
        <w:t xml:space="preserve">Partington, </w:t>
      </w:r>
      <w:r w:rsidRPr="00B27D98">
        <w:rPr>
          <w:rStyle w:val="AERtextitalic"/>
        </w:rPr>
        <w:t xml:space="preserve">Report to the AER: </w:t>
      </w:r>
      <w:r>
        <w:rPr>
          <w:rStyle w:val="AERtextitalic"/>
        </w:rPr>
        <w:t>Return on equity (updated), April 2015</w:t>
      </w:r>
      <w:r>
        <w:t>, p. 72.</w:t>
      </w:r>
    </w:p>
  </w:footnote>
  <w:footnote w:id="344">
    <w:p w:rsidR="00702DD6" w:rsidRDefault="00702DD6" w:rsidP="00033144">
      <w:pPr>
        <w:pStyle w:val="FootnoteText"/>
      </w:pPr>
      <w:r>
        <w:rPr>
          <w:rStyle w:val="FootnoteReference"/>
        </w:rPr>
        <w:footnoteRef/>
      </w:r>
      <w:r>
        <w:t xml:space="preserve"> </w:t>
      </w:r>
      <w:r>
        <w:tab/>
        <w:t xml:space="preserve">Partington, </w:t>
      </w:r>
      <w:r>
        <w:rPr>
          <w:rStyle w:val="AERtextitalic"/>
        </w:rPr>
        <w:t>Report to the AER: Return on equity (updated)</w:t>
      </w:r>
      <w:r>
        <w:t>, April 2015, p. 74.</w:t>
      </w:r>
    </w:p>
  </w:footnote>
  <w:footnote w:id="345">
    <w:p w:rsidR="00702DD6" w:rsidRDefault="00702DD6" w:rsidP="00033144">
      <w:pPr>
        <w:pStyle w:val="FootnoteText"/>
      </w:pPr>
      <w:r>
        <w:rPr>
          <w:rStyle w:val="FootnoteReference"/>
        </w:rPr>
        <w:footnoteRef/>
      </w:r>
      <w:r>
        <w:t xml:space="preserve"> </w:t>
      </w:r>
      <w:r>
        <w:tab/>
      </w:r>
      <w:r w:rsidRPr="00F15FFD">
        <w:t xml:space="preserve">Partington &amp; Satchell, </w:t>
      </w:r>
      <w:r w:rsidRPr="00665803">
        <w:rPr>
          <w:rStyle w:val="AERtextitalic"/>
        </w:rPr>
        <w:t>Report to the AER: Analysis of criticism of 2015 determinations</w:t>
      </w:r>
      <w:r w:rsidRPr="00F15FFD">
        <w:t>, October 2015</w:t>
      </w:r>
      <w:r>
        <w:t>, p. 17.</w:t>
      </w:r>
    </w:p>
  </w:footnote>
  <w:footnote w:id="346">
    <w:p w:rsidR="00702DD6" w:rsidRDefault="00702DD6" w:rsidP="00033144">
      <w:pPr>
        <w:pStyle w:val="FootnoteText"/>
      </w:pPr>
      <w:r>
        <w:rPr>
          <w:rStyle w:val="FootnoteReference"/>
        </w:rPr>
        <w:footnoteRef/>
      </w:r>
      <w:r>
        <w:t xml:space="preserve"> </w:t>
      </w:r>
      <w:r>
        <w:tab/>
        <w:t xml:space="preserve">For example, see </w:t>
      </w:r>
      <w:r w:rsidRPr="00C36099">
        <w:t xml:space="preserve">AER, </w:t>
      </w:r>
      <w:r w:rsidRPr="00C36099">
        <w:rPr>
          <w:rStyle w:val="Emphasis"/>
        </w:rPr>
        <w:t>Draft decision ActewAGL distribution determination 2016 to 2021: Attachment 3 – Rate of return</w:t>
      </w:r>
      <w:r w:rsidRPr="00C36099">
        <w:t>, November 2015, pp. 278–280.</w:t>
      </w:r>
    </w:p>
  </w:footnote>
  <w:footnote w:id="347">
    <w:p w:rsidR="00702DD6" w:rsidRDefault="00702DD6" w:rsidP="00033144">
      <w:pPr>
        <w:pStyle w:val="FootnoteText"/>
      </w:pPr>
      <w:r>
        <w:rPr>
          <w:rStyle w:val="FootnoteReference"/>
        </w:rPr>
        <w:footnoteRef/>
      </w:r>
      <w:r>
        <w:t xml:space="preserve"> </w:t>
      </w:r>
      <w:r>
        <w:tab/>
        <w:t xml:space="preserve">CitiPower, </w:t>
      </w:r>
      <w:r w:rsidRPr="00074148">
        <w:rPr>
          <w:rStyle w:val="Emphasis"/>
        </w:rPr>
        <w:t>Revised regulatory proposal 2016–2020</w:t>
      </w:r>
      <w:r>
        <w:t>, January 2016, p. 285</w:t>
      </w:r>
      <w:r w:rsidRPr="00C36099">
        <w:t xml:space="preserve">; Powercor, </w:t>
      </w:r>
      <w:r w:rsidRPr="00C36099">
        <w:rPr>
          <w:rStyle w:val="AERtextitalic"/>
        </w:rPr>
        <w:t>Revised regulatory proposal 2016–2020</w:t>
      </w:r>
      <w:r w:rsidRPr="00C36099">
        <w:t xml:space="preserve">, January  2016, p. 219;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54–56; United Energy, </w:t>
      </w:r>
      <w:r w:rsidRPr="00C36099">
        <w:rPr>
          <w:rStyle w:val="Emphasis"/>
        </w:rPr>
        <w:t>Response to AER preliminary determination–Re: rate of return and gamma</w:t>
      </w:r>
      <w:r w:rsidRPr="00C36099">
        <w:t xml:space="preserve">, 6 January 2016, pp. 38–40, 51–52; AGN, </w:t>
      </w:r>
      <w:r w:rsidRPr="00C36099">
        <w:rPr>
          <w:rStyle w:val="Emphasis"/>
        </w:rPr>
        <w:t>2016–17 to 2020/21 Access Arrangement information response to draft decision: Attachment 10.26 Response to draft decision: rate of return</w:t>
      </w:r>
      <w:r w:rsidRPr="00C36099">
        <w:t xml:space="preserve">, January 2016, pp. 45–46, 57–58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44–45, 56–58; AusNet Services, </w:t>
      </w:r>
      <w:r w:rsidRPr="00C36099">
        <w:rPr>
          <w:rStyle w:val="Emphasis"/>
        </w:rPr>
        <w:t>Electricity distribution price review 2016–20 Re</w:t>
      </w:r>
      <w:r>
        <w:rPr>
          <w:rStyle w:val="Emphasis"/>
        </w:rPr>
        <w:t>vised regulatory proposal: Chap</w:t>
      </w:r>
      <w:r w:rsidRPr="00C36099">
        <w:rPr>
          <w:rStyle w:val="Emphasis"/>
        </w:rPr>
        <w:t>ter 7 Rate of return &amp; gamma</w:t>
      </w:r>
      <w:r w:rsidRPr="00C36099">
        <w:t xml:space="preserve">, 6 January 2016, pp, 39–40, 50–52; APTNT, </w:t>
      </w:r>
      <w:r w:rsidRPr="00C36099">
        <w:rPr>
          <w:rStyle w:val="Emphasis"/>
        </w:rPr>
        <w:t>Amadeus Gas Pipeline Access arrangement revised proposal: response to Draft Decision,</w:t>
      </w:r>
      <w:r w:rsidRPr="00C36099">
        <w:t xml:space="preserve"> January 2016, pp. 76–77.</w:t>
      </w:r>
      <w:r>
        <w:t>.</w:t>
      </w:r>
    </w:p>
  </w:footnote>
  <w:footnote w:id="348">
    <w:p w:rsidR="00702DD6" w:rsidRDefault="00702DD6" w:rsidP="00033144">
      <w:pPr>
        <w:pStyle w:val="FootnoteText"/>
      </w:pPr>
      <w:r>
        <w:rPr>
          <w:rStyle w:val="FootnoteReference"/>
        </w:rPr>
        <w:footnoteRef/>
      </w:r>
      <w:r>
        <w:t xml:space="preserve"> </w:t>
      </w:r>
      <w:r>
        <w:tab/>
        <w:t xml:space="preserve">A 2014 article from McKinsey and a 2012 article from JP Morgan. </w:t>
      </w:r>
    </w:p>
  </w:footnote>
  <w:footnote w:id="349">
    <w:p w:rsidR="00702DD6" w:rsidRDefault="00702DD6" w:rsidP="00033144">
      <w:pPr>
        <w:pStyle w:val="FootnoteText"/>
      </w:pPr>
      <w:r>
        <w:rPr>
          <w:rStyle w:val="FootnoteReference"/>
        </w:rPr>
        <w:footnoteRef/>
      </w:r>
      <w:r>
        <w:t xml:space="preserve"> </w:t>
      </w:r>
      <w:r>
        <w:tab/>
        <w:t>A 2014 decision by the Federal Energy Regulatory Commission (FERC) in the United States.</w:t>
      </w:r>
    </w:p>
  </w:footnote>
  <w:footnote w:id="350">
    <w:p w:rsidR="00702DD6" w:rsidRDefault="00702DD6" w:rsidP="00033144">
      <w:pPr>
        <w:pStyle w:val="FootnoteText"/>
      </w:pPr>
      <w:r>
        <w:rPr>
          <w:rStyle w:val="FootnoteReference"/>
        </w:rPr>
        <w:footnoteRef/>
      </w:r>
      <w:r>
        <w:t xml:space="preserve"> </w:t>
      </w:r>
      <w:r>
        <w:tab/>
        <w:t xml:space="preserve">Frontier Economics, </w:t>
      </w:r>
      <w:r w:rsidRPr="00C31257">
        <w:rPr>
          <w:rStyle w:val="AERtextitalic"/>
        </w:rPr>
        <w:t>The relationship between government bond yields and the market risk premium</w:t>
      </w:r>
      <w:r>
        <w:t>, January 2016, pp. 21–25.</w:t>
      </w:r>
    </w:p>
  </w:footnote>
  <w:footnote w:id="351">
    <w:p w:rsidR="00702DD6" w:rsidRDefault="00702DD6" w:rsidP="00033144">
      <w:pPr>
        <w:pStyle w:val="FootnoteText"/>
      </w:pPr>
      <w:r>
        <w:rPr>
          <w:rStyle w:val="FootnoteReference"/>
        </w:rPr>
        <w:footnoteRef/>
      </w:r>
      <w:r>
        <w:t xml:space="preserve"> </w:t>
      </w:r>
      <w:r>
        <w:tab/>
      </w:r>
      <w:r w:rsidRPr="00C36099">
        <w:t xml:space="preserve">CitiPower, </w:t>
      </w:r>
      <w:r w:rsidRPr="00C36099">
        <w:rPr>
          <w:rStyle w:val="Emphasis"/>
        </w:rPr>
        <w:t>Revised regulatory proposal 2016–2020</w:t>
      </w:r>
      <w:r w:rsidRPr="00C36099">
        <w:t xml:space="preserve">, January 2016, pp. 307, 316; Powercor, </w:t>
      </w:r>
      <w:r w:rsidRPr="00C36099">
        <w:rPr>
          <w:rStyle w:val="AERtextitalic"/>
        </w:rPr>
        <w:t>Revised regulatory proposal 2016–2020</w:t>
      </w:r>
      <w:r w:rsidRPr="00C36099">
        <w:t xml:space="preserve">, January  2016, pp. 301, 310;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82–83; United Energy, </w:t>
      </w:r>
      <w:r w:rsidRPr="00C36099">
        <w:rPr>
          <w:rStyle w:val="Emphasis"/>
        </w:rPr>
        <w:t>Response to AER preliminary determination–Re: rate of return and gamma</w:t>
      </w:r>
      <w:r w:rsidRPr="00C36099">
        <w:t xml:space="preserve">, 6 January 2016, p. 60; AGN, </w:t>
      </w:r>
      <w:r w:rsidRPr="00C36099">
        <w:rPr>
          <w:rStyle w:val="Emphasis"/>
        </w:rPr>
        <w:t>2016–17 to 2020/21 Access Arrangement information response to draft decision: Attachment 10.26 Response to draft decision: rate of return</w:t>
      </w:r>
      <w:r w:rsidRPr="00C36099">
        <w:t xml:space="preserve">, January 2016, pp. 66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66–67;  AusNet Services, </w:t>
      </w:r>
      <w:r w:rsidRPr="00C36099">
        <w:rPr>
          <w:rStyle w:val="Emphasis"/>
        </w:rPr>
        <w:t>Electricity distribution price review 2016–20 R</w:t>
      </w:r>
      <w:r>
        <w:rPr>
          <w:rStyle w:val="Emphasis"/>
        </w:rPr>
        <w:t>evised regulatory proposal: Chap</w:t>
      </w:r>
      <w:r w:rsidRPr="00C36099">
        <w:rPr>
          <w:rStyle w:val="Emphasis"/>
        </w:rPr>
        <w:t>ter 7 Rate of return &amp; gamma</w:t>
      </w:r>
      <w:r w:rsidRPr="00C36099">
        <w:t xml:space="preserve">, 6 January 2016, pp. 59–60; APTNT, </w:t>
      </w:r>
      <w:r w:rsidRPr="00C36099">
        <w:rPr>
          <w:rStyle w:val="Emphasis"/>
        </w:rPr>
        <w:t>Amadeus Gas Pipeline Access arrangement revised proposal: response to Draft Decision,</w:t>
      </w:r>
      <w:r w:rsidRPr="00C36099">
        <w:t xml:space="preserve"> January 2016, pp. 66–68.</w:t>
      </w:r>
    </w:p>
  </w:footnote>
  <w:footnote w:id="352">
    <w:p w:rsidR="00702DD6" w:rsidRDefault="00702DD6" w:rsidP="00033144">
      <w:pPr>
        <w:pStyle w:val="FootnoteText"/>
      </w:pPr>
      <w:r>
        <w:rPr>
          <w:rStyle w:val="FootnoteReference"/>
        </w:rPr>
        <w:footnoteRef/>
      </w:r>
      <w:r>
        <w:t xml:space="preserve"> </w:t>
      </w:r>
      <w:r>
        <w:tab/>
        <w:t xml:space="preserve">Frontier, </w:t>
      </w:r>
      <w:r w:rsidRPr="00074148">
        <w:rPr>
          <w:rStyle w:val="Emphasis"/>
        </w:rPr>
        <w:t>The relationship between government bond yields and the market risk premium</w:t>
      </w:r>
      <w:r>
        <w:t>, January 2016, p. 13.</w:t>
      </w:r>
    </w:p>
  </w:footnote>
  <w:footnote w:id="353">
    <w:p w:rsidR="00702DD6" w:rsidRDefault="00702DD6" w:rsidP="00033144">
      <w:pPr>
        <w:pStyle w:val="FootnoteText"/>
        <w:ind w:left="0" w:firstLine="0"/>
      </w:pPr>
      <w:r>
        <w:rPr>
          <w:rStyle w:val="FootnoteReference"/>
        </w:rPr>
        <w:footnoteRef/>
      </w:r>
      <w:r>
        <w:t xml:space="preserve"> </w:t>
      </w:r>
      <w:r>
        <w:tab/>
        <w:t xml:space="preserve">Frontier, </w:t>
      </w:r>
      <w:r w:rsidRPr="00074148">
        <w:rPr>
          <w:rStyle w:val="Emphasis"/>
        </w:rPr>
        <w:t>The relationship between government bond yields and the market risk premium</w:t>
      </w:r>
      <w:r>
        <w:t>, January 2016, p. 14.</w:t>
      </w:r>
    </w:p>
  </w:footnote>
  <w:footnote w:id="354">
    <w:p w:rsidR="00702DD6" w:rsidRDefault="00702DD6" w:rsidP="00033144">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355">
    <w:p w:rsidR="00702DD6" w:rsidRDefault="00702DD6" w:rsidP="00033144">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pp.12-16.</w:t>
      </w:r>
    </w:p>
  </w:footnote>
  <w:footnote w:id="356">
    <w:p w:rsidR="00702DD6" w:rsidRDefault="00702DD6" w:rsidP="00033144">
      <w:pPr>
        <w:pStyle w:val="FootnoteText"/>
      </w:pPr>
      <w:r>
        <w:rPr>
          <w:rStyle w:val="FootnoteReference"/>
        </w:rPr>
        <w:footnoteRef/>
      </w:r>
      <w:r>
        <w:t xml:space="preserve"> </w:t>
      </w:r>
      <w:r>
        <w:tab/>
      </w:r>
      <w:r w:rsidRPr="0063511B">
        <w:t xml:space="preserve">McKinsey, </w:t>
      </w:r>
      <w:r w:rsidRPr="00074148">
        <w:rPr>
          <w:rStyle w:val="Emphasis"/>
        </w:rPr>
        <w:t>What effect has quantitative easing had on your share price</w:t>
      </w:r>
      <w:r w:rsidRPr="00D73AF9">
        <w:t>,</w:t>
      </w:r>
      <w:r>
        <w:t>2014, p. 17.</w:t>
      </w:r>
    </w:p>
  </w:footnote>
  <w:footnote w:id="357">
    <w:p w:rsidR="00702DD6" w:rsidRDefault="00702DD6" w:rsidP="00033144">
      <w:pPr>
        <w:pStyle w:val="FootnoteText"/>
      </w:pPr>
      <w:r>
        <w:rPr>
          <w:rStyle w:val="FootnoteReference"/>
        </w:rPr>
        <w:footnoteRef/>
      </w:r>
      <w:r>
        <w:t xml:space="preserve"> </w:t>
      </w:r>
      <w:r>
        <w:tab/>
        <w:t xml:space="preserve">See section C.7.2 of Attachment 3 to our draft decision for </w:t>
      </w:r>
      <w:r w:rsidRPr="004C7209">
        <w:rPr>
          <w:rStyle w:val="AERtextsize8"/>
        </w:rPr>
        <w:t>ActewAGL</w:t>
      </w:r>
      <w:r>
        <w:t>.</w:t>
      </w:r>
    </w:p>
  </w:footnote>
  <w:footnote w:id="358">
    <w:p w:rsidR="00702DD6" w:rsidRDefault="00702DD6" w:rsidP="00033144">
      <w:pPr>
        <w:pStyle w:val="FootnoteText"/>
      </w:pPr>
      <w:r>
        <w:rPr>
          <w:rStyle w:val="FootnoteReference"/>
        </w:rPr>
        <w:footnoteRef/>
      </w:r>
      <w:r>
        <w:t xml:space="preserve"> </w:t>
      </w:r>
      <w:r>
        <w:tab/>
        <w:t xml:space="preserve">RBA, </w:t>
      </w:r>
      <w:r w:rsidRPr="00074148">
        <w:rPr>
          <w:rStyle w:val="Emphasis"/>
        </w:rPr>
        <w:t>Bulletin - Firms' investment decisions and interest rates</w:t>
      </w:r>
      <w:r>
        <w:t>, June quarter 2015.</w:t>
      </w:r>
    </w:p>
  </w:footnote>
  <w:footnote w:id="359">
    <w:p w:rsidR="00702DD6" w:rsidRDefault="00702DD6" w:rsidP="00033144">
      <w:pPr>
        <w:pStyle w:val="FootnoteText"/>
      </w:pPr>
      <w:r>
        <w:rPr>
          <w:rStyle w:val="FootnoteReference"/>
        </w:rPr>
        <w:footnoteRef/>
      </w:r>
      <w:r>
        <w:t xml:space="preserve"> </w:t>
      </w:r>
      <w:r>
        <w:tab/>
        <w:t xml:space="preserve">McDonald, </w:t>
      </w:r>
      <w:r w:rsidRPr="00C766A5">
        <w:rPr>
          <w:rStyle w:val="AERtextitalic"/>
        </w:rPr>
        <w:t>Real options and rules of thumb in capital budgeting</w:t>
      </w:r>
      <w:r>
        <w:t>, Oxford University, 2000, p. 1.</w:t>
      </w:r>
    </w:p>
  </w:footnote>
  <w:footnote w:id="360">
    <w:p w:rsidR="00702DD6" w:rsidRDefault="00702DD6" w:rsidP="00033144">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xml:space="preserve">, June 2015, p. 3; 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361">
    <w:p w:rsidR="00702DD6" w:rsidRDefault="00702DD6" w:rsidP="00033144">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517.</w:t>
      </w:r>
    </w:p>
  </w:footnote>
  <w:footnote w:id="362">
    <w:p w:rsidR="00702DD6" w:rsidRDefault="00702DD6" w:rsidP="00033144">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363">
    <w:p w:rsidR="00702DD6" w:rsidRDefault="00702DD6" w:rsidP="00033144">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June 2015, p. 4.</w:t>
      </w:r>
    </w:p>
  </w:footnote>
  <w:footnote w:id="364">
    <w:p w:rsidR="00702DD6" w:rsidRDefault="00702DD6" w:rsidP="00033144">
      <w:pPr>
        <w:pStyle w:val="FootnoteText"/>
      </w:pPr>
      <w:r>
        <w:rPr>
          <w:rStyle w:val="FootnoteReference"/>
        </w:rPr>
        <w:footnoteRef/>
      </w:r>
      <w:r>
        <w:t xml:space="preserve"> </w:t>
      </w:r>
      <w:r>
        <w:tab/>
        <w:t>Assuming rational, well-functioning markets.</w:t>
      </w:r>
    </w:p>
  </w:footnote>
  <w:footnote w:id="365">
    <w:p w:rsidR="00702DD6" w:rsidRDefault="00702DD6" w:rsidP="00033144">
      <w:pPr>
        <w:pStyle w:val="FootnoteText"/>
      </w:pPr>
      <w:r>
        <w:rPr>
          <w:rStyle w:val="FootnoteReference"/>
        </w:rPr>
        <w:footnoteRef/>
      </w:r>
      <w:r>
        <w:t xml:space="preserve"> </w:t>
      </w:r>
      <w:r>
        <w:tab/>
        <w:t xml:space="preserve">Frontier Economics, </w:t>
      </w:r>
      <w:r w:rsidRPr="00074148">
        <w:rPr>
          <w:rStyle w:val="Emphasis"/>
        </w:rPr>
        <w:t>The relationship between government bond yields an</w:t>
      </w:r>
      <w:r>
        <w:rPr>
          <w:rStyle w:val="Emphasis"/>
        </w:rPr>
        <w:t>d</w:t>
      </w:r>
      <w:r w:rsidRPr="00074148">
        <w:rPr>
          <w:rStyle w:val="Emphasis"/>
        </w:rPr>
        <w:t xml:space="preserve"> the market risk premium</w:t>
      </w:r>
      <w:r>
        <w:t>, January 2016, p. 21.</w:t>
      </w:r>
    </w:p>
  </w:footnote>
  <w:footnote w:id="366">
    <w:p w:rsidR="00702DD6" w:rsidRDefault="00702DD6" w:rsidP="00033144">
      <w:pPr>
        <w:pStyle w:val="FootnoteText"/>
      </w:pPr>
      <w:r>
        <w:rPr>
          <w:rStyle w:val="FootnoteReference"/>
        </w:rPr>
        <w:footnoteRef/>
      </w:r>
      <w:r>
        <w:t xml:space="preserve"> </w:t>
      </w:r>
      <w:r>
        <w:tab/>
        <w:t xml:space="preserve">JP Morgan, </w:t>
      </w:r>
      <w:r w:rsidRPr="00074148">
        <w:rPr>
          <w:rStyle w:val="Emphasis"/>
        </w:rPr>
        <w:t>Musings on low cost of debt and high risk premia</w:t>
      </w:r>
      <w:r w:rsidRPr="003B72AC">
        <w:t xml:space="preserve">, </w:t>
      </w:r>
      <w:r>
        <w:t>April 2012, p. 2.</w:t>
      </w:r>
    </w:p>
  </w:footnote>
  <w:footnote w:id="367">
    <w:p w:rsidR="00702DD6" w:rsidRDefault="00702DD6" w:rsidP="00033144">
      <w:pPr>
        <w:pStyle w:val="FootnoteText"/>
      </w:pPr>
      <w:r>
        <w:rPr>
          <w:rStyle w:val="FootnoteReference"/>
        </w:rPr>
        <w:footnoteRef/>
      </w:r>
      <w:r>
        <w:t xml:space="preserve"> </w:t>
      </w:r>
      <w:r>
        <w:tab/>
      </w:r>
      <w:r w:rsidRPr="00C36099">
        <w:t xml:space="preserve">CitiPower, </w:t>
      </w:r>
      <w:r w:rsidRPr="00C36099">
        <w:rPr>
          <w:rStyle w:val="Emphasis"/>
        </w:rPr>
        <w:t>Revised regulatory proposal 2016–2020</w:t>
      </w:r>
      <w:r w:rsidRPr="00C36099">
        <w:t xml:space="preserve">, January 2016, pp. 307, 316; Powercor, </w:t>
      </w:r>
      <w:r w:rsidRPr="00C36099">
        <w:rPr>
          <w:rStyle w:val="AERtextitalic"/>
        </w:rPr>
        <w:t>Revised regulatory proposal 2016–2020</w:t>
      </w:r>
      <w:r w:rsidRPr="00C36099">
        <w:t xml:space="preserve">, January  2016, pp. 301, 310;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73–74, 83–84; United Energy, </w:t>
      </w:r>
      <w:r w:rsidRPr="00C36099">
        <w:rPr>
          <w:rStyle w:val="Emphasis"/>
        </w:rPr>
        <w:t>Response to AER preliminary determination–Re: rate of return and gamma</w:t>
      </w:r>
      <w:r w:rsidRPr="00C36099">
        <w:t xml:space="preserve">, 6 January 2016, pp. 53–54,61–62; AGN, </w:t>
      </w:r>
      <w:r w:rsidRPr="00C36099">
        <w:rPr>
          <w:rStyle w:val="Emphasis"/>
        </w:rPr>
        <w:t>2016–17 to 2020/21 Access Arrangement information response to draft decision: Attachment 10.26 Response to draft decision: rate of return</w:t>
      </w:r>
      <w:r w:rsidRPr="00C36099">
        <w:t xml:space="preserve">, January 2016, pp. 67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58–59, 67–68; AusNet Services, </w:t>
      </w:r>
      <w:r w:rsidRPr="00C36099">
        <w:rPr>
          <w:rStyle w:val="Emphasis"/>
        </w:rPr>
        <w:t>Electricity distribution price review 2016–20 Re</w:t>
      </w:r>
      <w:r>
        <w:rPr>
          <w:rStyle w:val="Emphasis"/>
        </w:rPr>
        <w:t>vised regulatory proposal: Chap</w:t>
      </w:r>
      <w:r w:rsidRPr="00C36099">
        <w:rPr>
          <w:rStyle w:val="Emphasis"/>
        </w:rPr>
        <w:t>ter 7 Rate of return &amp; gamma</w:t>
      </w:r>
      <w:r w:rsidRPr="00C36099">
        <w:t>, 6 January 2016, pp. 53, 70–73.</w:t>
      </w:r>
    </w:p>
  </w:footnote>
  <w:footnote w:id="368">
    <w:p w:rsidR="00702DD6" w:rsidRDefault="00702DD6" w:rsidP="00033144">
      <w:pPr>
        <w:pStyle w:val="FootnoteText"/>
      </w:pPr>
      <w:r>
        <w:rPr>
          <w:rStyle w:val="FootnoteReference"/>
        </w:rPr>
        <w:footnoteRef/>
      </w:r>
      <w:r>
        <w:t xml:space="preserve"> </w:t>
      </w:r>
      <w:r>
        <w:tab/>
        <w:t xml:space="preserve">HoustonKemp, </w:t>
      </w:r>
      <w:r w:rsidRPr="002F61BA">
        <w:rPr>
          <w:rStyle w:val="AERtextitalic"/>
        </w:rPr>
        <w:t>The cost of equity: Response to the AER's draft decisions for the Victorian electricity distributors, ActewAGL Distribution and Australian Gas Networks</w:t>
      </w:r>
      <w:r>
        <w:t xml:space="preserve">, January 2016, pp. xiii–xiv. </w:t>
      </w:r>
    </w:p>
  </w:footnote>
  <w:footnote w:id="369">
    <w:p w:rsidR="00702DD6" w:rsidRDefault="00702DD6" w:rsidP="00033144">
      <w:pPr>
        <w:pStyle w:val="FootnoteText"/>
      </w:pPr>
      <w:r>
        <w:rPr>
          <w:rStyle w:val="FootnoteReference"/>
        </w:rPr>
        <w:footnoteRef/>
      </w:r>
      <w:r>
        <w:t xml:space="preserve"> </w:t>
      </w:r>
      <w:r>
        <w:tab/>
      </w:r>
      <w:r w:rsidRPr="005D746C">
        <w:t>Partington</w:t>
      </w:r>
      <w:r>
        <w:t>, G.</w:t>
      </w:r>
      <w:r w:rsidRPr="005D746C">
        <w:t xml:space="preserve">, </w:t>
      </w:r>
      <w:r w:rsidRPr="00DB1D18">
        <w:rPr>
          <w:rStyle w:val="AERtextitalic"/>
        </w:rPr>
        <w:t>Report to the AER: Return on equity (Updated)</w:t>
      </w:r>
      <w:r w:rsidRPr="005D746C">
        <w:t>, April 2015, p. 28</w:t>
      </w:r>
      <w:r>
        <w:t>; Partington, G,</w:t>
      </w:r>
      <w:r w:rsidRPr="005D746C">
        <w:t xml:space="preserve"> Satchell</w:t>
      </w:r>
      <w:r>
        <w:t>, S.</w:t>
      </w:r>
      <w:r w:rsidRPr="005D746C">
        <w:t xml:space="preserve">, </w:t>
      </w:r>
      <w:r w:rsidRPr="00DB1D18">
        <w:rPr>
          <w:rStyle w:val="AERtextitalic"/>
        </w:rPr>
        <w:t>Report to the AER: Analysis of criticism of 2015 determinations</w:t>
      </w:r>
      <w:r w:rsidRPr="005D746C">
        <w:t>, October 2015, p. 36.</w:t>
      </w:r>
    </w:p>
  </w:footnote>
  <w:footnote w:id="370">
    <w:p w:rsidR="00702DD6" w:rsidRDefault="00702DD6" w:rsidP="00104749">
      <w:pPr>
        <w:pStyle w:val="FootnoteText"/>
      </w:pPr>
      <w:r>
        <w:rPr>
          <w:rStyle w:val="FootnoteReference"/>
        </w:rPr>
        <w:footnoteRef/>
      </w:r>
      <w:r>
        <w:t xml:space="preserve"> </w:t>
      </w:r>
      <w:r>
        <w:tab/>
      </w:r>
      <w:r w:rsidRPr="00851313">
        <w:t xml:space="preserve">ActewAGL, </w:t>
      </w:r>
      <w:r w:rsidRPr="00851313">
        <w:rPr>
          <w:rStyle w:val="AERtextitalic"/>
        </w:rPr>
        <w:t>Access arrangement information</w:t>
      </w:r>
      <w:r w:rsidRPr="00851313">
        <w:t>, January 2016</w:t>
      </w:r>
      <w:r>
        <w:t>, p. 44.</w:t>
      </w:r>
    </w:p>
  </w:footnote>
  <w:footnote w:id="371">
    <w:p w:rsidR="00702DD6" w:rsidRDefault="00702DD6" w:rsidP="007656EA">
      <w:pPr>
        <w:pStyle w:val="FootnoteText"/>
      </w:pPr>
      <w:r>
        <w:rPr>
          <w:rStyle w:val="FootnoteReference"/>
        </w:rPr>
        <w:footnoteRef/>
      </w:r>
      <w:r>
        <w:t xml:space="preserve"> </w:t>
      </w:r>
      <w:r>
        <w:tab/>
        <w:t>For clarity, that is 100% of the base rate and DRP components of the allowed return on debt.</w:t>
      </w:r>
    </w:p>
  </w:footnote>
  <w:footnote w:id="372">
    <w:p w:rsidR="00702DD6" w:rsidRDefault="00702DD6" w:rsidP="007656EA">
      <w:pPr>
        <w:pStyle w:val="FootnoteText"/>
      </w:pPr>
      <w:r>
        <w:rPr>
          <w:rStyle w:val="FootnoteReference"/>
        </w:rPr>
        <w:footnoteRef/>
      </w:r>
      <w:r>
        <w:t xml:space="preserve"> </w:t>
      </w:r>
      <w:r>
        <w:tab/>
      </w:r>
      <w:r w:rsidRPr="0039163B">
        <w:t xml:space="preserve">AER, </w:t>
      </w:r>
      <w:r w:rsidRPr="0039163B">
        <w:rPr>
          <w:rStyle w:val="AERtextitalic"/>
        </w:rPr>
        <w:t>Better regulation—Explanatory statement to the rate of return guideline</w:t>
      </w:r>
      <w:r w:rsidRPr="0039163B">
        <w:t xml:space="preserve">, December 2013, chapters 3, 7 and 8; AER, </w:t>
      </w:r>
      <w:r w:rsidRPr="0039163B">
        <w:rPr>
          <w:rStyle w:val="AERtextitalic"/>
        </w:rPr>
        <w:t>Better regulation—Explanatory statement to the rate of return guideline (appendices)</w:t>
      </w:r>
      <w:r w:rsidRPr="0039163B">
        <w:t xml:space="preserve">, December 2013, appendix G; AER, </w:t>
      </w:r>
      <w:r w:rsidRPr="0039163B">
        <w:rPr>
          <w:rStyle w:val="AERtextitalic"/>
        </w:rPr>
        <w:t>Better regulation—Rate of return guideline</w:t>
      </w:r>
      <w:r w:rsidRPr="0039163B">
        <w:t xml:space="preserve">, December 2013, chapters 3,6 and appendix B; AER, </w:t>
      </w:r>
      <w:r>
        <w:rPr>
          <w:rStyle w:val="AERtextitalic"/>
        </w:rPr>
        <w:t xml:space="preserve">Draft </w:t>
      </w:r>
      <w:r w:rsidRPr="00F4618D">
        <w:rPr>
          <w:rStyle w:val="AERtextitalic"/>
        </w:rPr>
        <w:t>decision—</w:t>
      </w:r>
      <w:r>
        <w:rPr>
          <w:rStyle w:val="AERtextitalic"/>
        </w:rPr>
        <w:t xml:space="preserve">ActewAGL Distribution, </w:t>
      </w:r>
      <w:r w:rsidRPr="00F4618D">
        <w:rPr>
          <w:rStyle w:val="AERtextitalic"/>
        </w:rPr>
        <w:t>Attachment 3: Rate of return</w:t>
      </w:r>
      <w:r>
        <w:t>,</w:t>
      </w:r>
      <w:r w:rsidRPr="0039163B">
        <w:t xml:space="preserve"> </w:t>
      </w:r>
      <w:r>
        <w:t xml:space="preserve">November </w:t>
      </w:r>
      <w:r w:rsidRPr="0039163B">
        <w:t>2015, section 3.4.2, and appendices G and I.</w:t>
      </w:r>
    </w:p>
  </w:footnote>
  <w:footnote w:id="373">
    <w:p w:rsidR="00702DD6" w:rsidRDefault="00702DD6" w:rsidP="007656EA">
      <w:pPr>
        <w:pStyle w:val="FootnoteText"/>
      </w:pPr>
      <w:r>
        <w:rPr>
          <w:rStyle w:val="FootnoteReference"/>
        </w:rPr>
        <w:footnoteRef/>
      </w:r>
      <w:r>
        <w:t xml:space="preserve"> </w:t>
      </w:r>
      <w:r>
        <w:tab/>
        <w:t>S</w:t>
      </w:r>
      <w:r w:rsidRPr="00AE0473">
        <w:t>uch as our full transition</w:t>
      </w:r>
      <w:r>
        <w:t>.</w:t>
      </w:r>
    </w:p>
  </w:footnote>
  <w:footnote w:id="374">
    <w:p w:rsidR="00702DD6" w:rsidRDefault="00702DD6" w:rsidP="00B07A7A">
      <w:pPr>
        <w:pStyle w:val="FootnoteText"/>
      </w:pPr>
      <w:r>
        <w:rPr>
          <w:rStyle w:val="FootnoteReference"/>
        </w:rPr>
        <w:footnoteRef/>
      </w:r>
      <w:r>
        <w:t xml:space="preserve"> </w:t>
      </w:r>
      <w:r>
        <w:tab/>
        <w:t>The first regulatory year is 2016 for the Victorian DNSPs and 2016</w:t>
      </w:r>
      <w:r>
        <w:rPr>
          <w:rFonts w:cs="Arial"/>
        </w:rPr>
        <w:t>–</w:t>
      </w:r>
      <w:r>
        <w:t>17 for ActewAGL, AGN and Amadeus. We do not report ActewAGL's interval of delay (2015</w:t>
      </w:r>
      <w:r>
        <w:rPr>
          <w:rFonts w:cs="Arial"/>
        </w:rPr>
        <w:t>–</w:t>
      </w:r>
      <w:r>
        <w:t>16).</w:t>
      </w:r>
    </w:p>
  </w:footnote>
  <w:footnote w:id="375">
    <w:p w:rsidR="00702DD6" w:rsidRDefault="00702DD6" w:rsidP="00B07A7A">
      <w:pPr>
        <w:pStyle w:val="FootnoteText"/>
      </w:pPr>
      <w:r>
        <w:rPr>
          <w:rStyle w:val="FootnoteReference"/>
        </w:rPr>
        <w:footnoteRef/>
      </w:r>
      <w:r>
        <w:t xml:space="preserve"> </w:t>
      </w:r>
      <w:r>
        <w:tab/>
        <w:t>APTNT initially proposed a hybrid transition under an assumption that a benchmark efficient entity would have hedged 1/3 of the base rate. APTNT only proposed one option (no transition) in its revised proposal.</w:t>
      </w:r>
    </w:p>
  </w:footnote>
  <w:footnote w:id="376">
    <w:p w:rsidR="00702DD6" w:rsidRDefault="00702DD6" w:rsidP="007656EA">
      <w:pPr>
        <w:pStyle w:val="FootnoteText"/>
      </w:pPr>
      <w:r>
        <w:rPr>
          <w:rStyle w:val="FootnoteReference"/>
        </w:rPr>
        <w:footnoteRef/>
      </w:r>
      <w:r>
        <w:t xml:space="preserve"> </w:t>
      </w:r>
      <w:r>
        <w:tab/>
      </w:r>
      <w:r w:rsidRPr="00F4618D">
        <w:t xml:space="preserve">This approach is consistent with the approach we proposed in the Guideline, and have maintained in determination processes since the Guideline. In the Guideline, we based our transition on the approach recommended by the Queensland Treasury Corporation (QTC) (see QTC, </w:t>
      </w:r>
      <w:r w:rsidRPr="00F4618D">
        <w:rPr>
          <w:rStyle w:val="AERtextitalic"/>
        </w:rPr>
        <w:t>Moving average approach–Detailed design issues</w:t>
      </w:r>
      <w:r w:rsidRPr="00F4618D">
        <w:t>, 8 June 2012). We refer to this as 'the QTC approach'.</w:t>
      </w:r>
    </w:p>
  </w:footnote>
  <w:footnote w:id="377">
    <w:p w:rsidR="00702DD6" w:rsidRDefault="00702DD6" w:rsidP="007656EA">
      <w:pPr>
        <w:pStyle w:val="FootnoteText"/>
      </w:pPr>
      <w:r>
        <w:rPr>
          <w:rStyle w:val="FootnoteReference"/>
        </w:rPr>
        <w:footnoteRef/>
      </w:r>
      <w:r>
        <w:t xml:space="preserve"> </w:t>
      </w:r>
      <w:r>
        <w:tab/>
        <w:t>This decision determines the return on debt methodology for the interval-of-delay (2015</w:t>
      </w:r>
      <w:r>
        <w:rPr>
          <w:rFonts w:cs="Arial"/>
        </w:rPr>
        <w:t>–</w:t>
      </w:r>
      <w:r>
        <w:t>16) and the 2016–21 access arrangement period. This period covers the first six years of the 10 year transition period. This decision also sets out our intended return on debt methodology for the remaining four years.</w:t>
      </w:r>
    </w:p>
  </w:footnote>
  <w:footnote w:id="378">
    <w:p w:rsidR="00702DD6" w:rsidRDefault="00702DD6" w:rsidP="007656EA">
      <w:pPr>
        <w:pStyle w:val="FootnoteText"/>
      </w:pPr>
      <w:r>
        <w:rPr>
          <w:rStyle w:val="FootnoteReference"/>
        </w:rPr>
        <w:footnoteRef/>
      </w:r>
      <w:r>
        <w:t xml:space="preserve"> </w:t>
      </w:r>
      <w:r>
        <w:tab/>
      </w:r>
      <w:r w:rsidRPr="000938BF">
        <w:t>NER cl. 6.5.2(l) and cl. 6A.6.2(l)</w:t>
      </w:r>
      <w:r>
        <w:t>and NGR, r.87(12). The return on debt methodology for the purposes of the annual update is set out in A</w:t>
      </w:r>
      <w:r w:rsidRPr="00901515">
        <w:t>ppendix</w:t>
      </w:r>
      <w:r w:rsidRPr="009114E9">
        <w:rPr>
          <w:rStyle w:val="AERbody"/>
          <w:sz w:val="16"/>
        </w:rPr>
        <w:t xml:space="preserve"> </w:t>
      </w:r>
      <w:r>
        <w:rPr>
          <w:rStyle w:val="AERbody"/>
          <w:sz w:val="16"/>
        </w:rPr>
        <w:fldChar w:fldCharType="begin"/>
      </w:r>
      <w:r>
        <w:rPr>
          <w:rStyle w:val="AERbody"/>
          <w:sz w:val="16"/>
        </w:rPr>
        <w:instrText xml:space="preserve"> REF _Ref451328212 \r \h </w:instrText>
      </w:r>
      <w:r>
        <w:rPr>
          <w:rStyle w:val="AERbody"/>
          <w:sz w:val="16"/>
        </w:rPr>
      </w:r>
      <w:r>
        <w:rPr>
          <w:rStyle w:val="AERbody"/>
          <w:sz w:val="16"/>
        </w:rPr>
        <w:fldChar w:fldCharType="separate"/>
      </w:r>
      <w:r>
        <w:rPr>
          <w:rStyle w:val="AERbody"/>
          <w:sz w:val="16"/>
        </w:rPr>
        <w:t>J</w:t>
      </w:r>
      <w:r>
        <w:rPr>
          <w:rStyle w:val="AERbody"/>
          <w:sz w:val="16"/>
        </w:rPr>
        <w:fldChar w:fldCharType="end"/>
      </w:r>
      <w:r>
        <w:rPr>
          <w:rStyle w:val="AERbody"/>
        </w:rPr>
        <w:t xml:space="preserve"> </w:t>
      </w:r>
      <w:r>
        <w:t>of this attachment 3.</w:t>
      </w:r>
    </w:p>
  </w:footnote>
  <w:footnote w:id="379">
    <w:p w:rsidR="00702DD6" w:rsidRDefault="00702DD6" w:rsidP="007656EA">
      <w:pPr>
        <w:pStyle w:val="FootnoteText"/>
      </w:pPr>
      <w:r>
        <w:rPr>
          <w:rStyle w:val="FootnoteReference"/>
        </w:rPr>
        <w:footnoteRef/>
      </w:r>
      <w:r>
        <w:t xml:space="preserve"> </w:t>
      </w:r>
      <w:r>
        <w:tab/>
        <w:t>That is ActewAGL Gas, Amadeus gas pipeline, Australian Gas Networks, AusNet Services, CitiPower, Jemena Electricity Networks and Powercor.</w:t>
      </w:r>
    </w:p>
  </w:footnote>
  <w:footnote w:id="380">
    <w:p w:rsidR="00702DD6" w:rsidRDefault="00702DD6" w:rsidP="007656EA">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381">
    <w:p w:rsidR="00702DD6" w:rsidRDefault="00702DD6" w:rsidP="007656EA">
      <w:pPr>
        <w:pStyle w:val="FootnoteText"/>
      </w:pPr>
      <w:r>
        <w:rPr>
          <w:rStyle w:val="FootnoteReference"/>
        </w:rPr>
        <w:footnoteRef/>
      </w:r>
      <w:r>
        <w:t xml:space="preserve"> </w:t>
      </w:r>
      <w:r>
        <w:tab/>
        <w:t xml:space="preserve">ActewAGL, </w:t>
      </w:r>
      <w:r w:rsidRPr="005772E3">
        <w:rPr>
          <w:rStyle w:val="AERtextitalic"/>
        </w:rPr>
        <w:t>Access arrangement information: Rate of return, gamma and inflation</w:t>
      </w:r>
      <w:r>
        <w:t xml:space="preserve">, June 2015, p. 5; AGN, </w:t>
      </w:r>
      <w:r w:rsidRPr="005772E3">
        <w:rPr>
          <w:rStyle w:val="AERtextitalic"/>
        </w:rPr>
        <w:t>Access arrangement information</w:t>
      </w:r>
      <w:r>
        <w:t xml:space="preserve">, July 2015, p. 10; APT Pipelines, </w:t>
      </w:r>
      <w:r w:rsidRPr="005772E3">
        <w:rPr>
          <w:rStyle w:val="AERtextitalic"/>
        </w:rPr>
        <w:t>Amadeus Gas Pipeline access arrangement information</w:t>
      </w:r>
      <w:r>
        <w:t xml:space="preserve">, June 2015, p. 29; AusNet Services, </w:t>
      </w:r>
      <w:r w:rsidRPr="005772E3">
        <w:rPr>
          <w:rStyle w:val="AERtextitalic"/>
        </w:rPr>
        <w:t>Regulatory proposal</w:t>
      </w:r>
      <w:r>
        <w:t xml:space="preserve">, April 2015, p. 279; CitiPower, </w:t>
      </w:r>
      <w:r w:rsidRPr="005772E3">
        <w:rPr>
          <w:rStyle w:val="AERtextitalic"/>
        </w:rPr>
        <w:t>Regulatory proposal</w:t>
      </w:r>
      <w:r>
        <w:t xml:space="preserve">, April 2015, p. 193; JEN, </w:t>
      </w:r>
      <w:r w:rsidRPr="005772E3">
        <w:rPr>
          <w:rStyle w:val="AERtextitalic"/>
        </w:rPr>
        <w:t>Regulatory proposal: Attachment 9-2 rate of return proposal</w:t>
      </w:r>
      <w:r>
        <w:t xml:space="preserve">, April 2015, p. 7; Powercor, </w:t>
      </w:r>
      <w:r w:rsidRPr="005772E3">
        <w:rPr>
          <w:rStyle w:val="AERtextitalic"/>
        </w:rPr>
        <w:t>Regulatory proposal</w:t>
      </w:r>
      <w:r>
        <w:t xml:space="preserve">, April 2015, p. 201; United Energy, </w:t>
      </w:r>
      <w:r w:rsidRPr="005772E3">
        <w:rPr>
          <w:rStyle w:val="AERtextitalic"/>
        </w:rPr>
        <w:t>Regulatory proposal</w:t>
      </w:r>
      <w:r>
        <w:t>, April 2015, p. 104.</w:t>
      </w:r>
    </w:p>
  </w:footnote>
  <w:footnote w:id="382">
    <w:p w:rsidR="00702DD6" w:rsidRDefault="00702DD6" w:rsidP="007656EA">
      <w:pPr>
        <w:pStyle w:val="FootnoteText"/>
      </w:pPr>
      <w:r>
        <w:rPr>
          <w:rStyle w:val="FootnoteReference"/>
        </w:rPr>
        <w:footnoteRef/>
      </w:r>
      <w:r>
        <w:t xml:space="preserve"> </w:t>
      </w:r>
      <w:r>
        <w:tab/>
        <w:t xml:space="preserve">ActewAGL, </w:t>
      </w:r>
      <w:r w:rsidRPr="00C067F7">
        <w:rPr>
          <w:rStyle w:val="AERtextitalic"/>
        </w:rPr>
        <w:t>Access arrangement information: Rate of return, gamma and inflation</w:t>
      </w:r>
      <w:r>
        <w:t xml:space="preserve">, June 2015, p. 15; AGN, </w:t>
      </w:r>
      <w:r w:rsidRPr="00C067F7">
        <w:rPr>
          <w:rStyle w:val="AERtextitalic"/>
        </w:rPr>
        <w:t>Access arrangement information</w:t>
      </w:r>
      <w:r>
        <w:t>, July 2015, pp. 174</w:t>
      </w:r>
      <w:r w:rsidRPr="00F536E9">
        <w:t>–</w:t>
      </w:r>
      <w:r>
        <w:t xml:space="preserve">175; APT Pipelines, </w:t>
      </w:r>
      <w:r w:rsidRPr="00C067F7">
        <w:rPr>
          <w:rStyle w:val="AERtextitalic"/>
        </w:rPr>
        <w:t>Amadeus Gas Pipeline access arrangement information</w:t>
      </w:r>
      <w:r>
        <w:t xml:space="preserve">, June 2015, p. 29; AusNet Services, </w:t>
      </w:r>
      <w:r w:rsidRPr="00C067F7">
        <w:rPr>
          <w:rStyle w:val="AERtextitalic"/>
        </w:rPr>
        <w:t>Regulatory proposal</w:t>
      </w:r>
      <w:r>
        <w:t xml:space="preserve">, April 2015, p. 279; CitiPower, </w:t>
      </w:r>
      <w:r w:rsidRPr="00C067F7">
        <w:rPr>
          <w:rStyle w:val="AERtextitalic"/>
        </w:rPr>
        <w:t>Regulatory proposal</w:t>
      </w:r>
      <w:r>
        <w:t xml:space="preserve">, April 2015, p. 193; JEN, </w:t>
      </w:r>
      <w:r w:rsidRPr="00C067F7">
        <w:rPr>
          <w:rStyle w:val="AERtextitalic"/>
        </w:rPr>
        <w:t>Regulatory proposal: Attachment 9-2 rate of return proposal</w:t>
      </w:r>
      <w:r>
        <w:t xml:space="preserve">, April 2015, p. 93; Powercor, </w:t>
      </w:r>
      <w:r w:rsidRPr="00C067F7">
        <w:rPr>
          <w:rStyle w:val="AERtextitalic"/>
        </w:rPr>
        <w:t>Regulatory proposal</w:t>
      </w:r>
      <w:r>
        <w:t xml:space="preserve">, April 2015, p. 201; United Energy, </w:t>
      </w:r>
      <w:r w:rsidRPr="00C067F7">
        <w:rPr>
          <w:rStyle w:val="AERtextitalic"/>
        </w:rPr>
        <w:t>Regulatory proposal</w:t>
      </w:r>
      <w:r>
        <w:t>, April 2015, p. 174.</w:t>
      </w:r>
    </w:p>
  </w:footnote>
  <w:footnote w:id="383">
    <w:p w:rsidR="00702DD6" w:rsidRDefault="00702DD6" w:rsidP="007656EA">
      <w:pPr>
        <w:pStyle w:val="FootnoteText"/>
      </w:pPr>
      <w:r>
        <w:rPr>
          <w:rStyle w:val="FootnoteReference"/>
        </w:rPr>
        <w:footnoteRef/>
      </w:r>
      <w:r>
        <w:t xml:space="preserve"> </w:t>
      </w:r>
      <w:r>
        <w:tab/>
        <w:t xml:space="preserve">AusNet Services, </w:t>
      </w:r>
      <w:r w:rsidRPr="00C067F7">
        <w:rPr>
          <w:rStyle w:val="AERtextitalic"/>
        </w:rPr>
        <w:t>Regulatory proposal</w:t>
      </w:r>
      <w:r>
        <w:t xml:space="preserve">, April 2015, p. 339; CitiPower, </w:t>
      </w:r>
      <w:r w:rsidRPr="00C067F7">
        <w:rPr>
          <w:rStyle w:val="AERtextitalic"/>
        </w:rPr>
        <w:t>Regulatory proposal</w:t>
      </w:r>
      <w:r>
        <w:t>, April 2015, pp. 233</w:t>
      </w:r>
      <w:r w:rsidRPr="00F536E9">
        <w:t>–</w:t>
      </w:r>
      <w:r>
        <w:t xml:space="preserve">4; Powercor, </w:t>
      </w:r>
      <w:r w:rsidRPr="00C067F7">
        <w:rPr>
          <w:rStyle w:val="AERtextitalic"/>
        </w:rPr>
        <w:t>Regulatory proposal</w:t>
      </w:r>
      <w:r>
        <w:t>, April 2015, pp. 241</w:t>
      </w:r>
      <w:r>
        <w:rPr>
          <w:rFonts w:cs="Arial"/>
        </w:rPr>
        <w:t>–</w:t>
      </w:r>
      <w:r>
        <w:t>2.</w:t>
      </w:r>
    </w:p>
  </w:footnote>
  <w:footnote w:id="384">
    <w:p w:rsidR="00702DD6" w:rsidRDefault="00702DD6" w:rsidP="007656EA">
      <w:pPr>
        <w:pStyle w:val="FootnoteText"/>
      </w:pPr>
      <w:r>
        <w:rPr>
          <w:rStyle w:val="FootnoteReference"/>
        </w:rPr>
        <w:footnoteRef/>
      </w:r>
      <w:r>
        <w:t xml:space="preserve"> </w:t>
      </w:r>
      <w:r>
        <w:tab/>
        <w:t>See Appendix G of attachment 3 in our preliminary decisions for AusNet Services, CitiPower, Jemena Electricity Networks and Powercor, and United Energy. Also see these sections of our draft decisions for ActewAGL Gas, Amadeus gas pipeline and Australian Gas Networks.</w:t>
      </w:r>
    </w:p>
  </w:footnote>
  <w:footnote w:id="385">
    <w:p w:rsidR="00702DD6" w:rsidRDefault="00702DD6" w:rsidP="007656E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January 2016, p. 335</w:t>
      </w:r>
      <w:r w:rsidRPr="00FA673F">
        <w:t>.</w:t>
      </w:r>
    </w:p>
  </w:footnote>
  <w:footnote w:id="386">
    <w:p w:rsidR="00702DD6" w:rsidRDefault="00702DD6" w:rsidP="007656E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w:t>
      </w:r>
      <w:r w:rsidRPr="00FA673F">
        <w:t xml:space="preserve"> </w:t>
      </w:r>
      <w:r>
        <w:t xml:space="preserve">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 258</w:t>
      </w:r>
      <w:r w:rsidRPr="007D612D">
        <w:t>–</w:t>
      </w:r>
      <w:r>
        <w:t xml:space="preserve">9; United Energy, </w:t>
      </w:r>
      <w:r w:rsidRPr="00DA2177">
        <w:rPr>
          <w:rStyle w:val="AERtextitalic"/>
        </w:rPr>
        <w:t>2016 to 2020 revised regulatory proposal</w:t>
      </w:r>
      <w:r>
        <w:t>, January 2016, p. 76</w:t>
      </w:r>
      <w:r w:rsidRPr="007D612D">
        <w:t>–</w:t>
      </w:r>
      <w:r>
        <w:t>8.</w:t>
      </w:r>
    </w:p>
  </w:footnote>
  <w:footnote w:id="387">
    <w:p w:rsidR="00702DD6" w:rsidRDefault="00702DD6" w:rsidP="007656EA">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388">
    <w:p w:rsidR="00702DD6" w:rsidRDefault="00702DD6" w:rsidP="007656EA">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389">
    <w:p w:rsidR="00702DD6" w:rsidRDefault="00702DD6" w:rsidP="007656EA">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January 2016, p. 2.</w:t>
      </w:r>
    </w:p>
  </w:footnote>
  <w:footnote w:id="390">
    <w:p w:rsidR="00702DD6" w:rsidRDefault="00702DD6" w:rsidP="007656E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January 2016, p. 335</w:t>
      </w:r>
      <w:r w:rsidRPr="00FA673F">
        <w:t>.</w:t>
      </w:r>
    </w:p>
  </w:footnote>
  <w:footnote w:id="391">
    <w:p w:rsidR="00702DD6" w:rsidRDefault="00702DD6" w:rsidP="007656EA">
      <w:pPr>
        <w:pStyle w:val="FootnoteText"/>
      </w:pPr>
      <w:r>
        <w:rPr>
          <w:rStyle w:val="FootnoteReference"/>
        </w:rPr>
        <w:footnoteRef/>
      </w:r>
      <w:r>
        <w:t xml:space="preserve"> </w:t>
      </w:r>
      <w:r>
        <w:tab/>
        <w:t xml:space="preserve">CEG, </w:t>
      </w:r>
      <w:r w:rsidRPr="002F6463">
        <w:rPr>
          <w:rStyle w:val="AERtextitalic"/>
        </w:rPr>
        <w:t>Critique of the AER's approach to transition</w:t>
      </w:r>
      <w:r>
        <w:t xml:space="preserve">, January 2016, p. 2; CEG, </w:t>
      </w:r>
      <w:r w:rsidRPr="002F6463">
        <w:rPr>
          <w:rStyle w:val="AERtextitalic"/>
        </w:rPr>
        <w:t>Efficient use of interest rate swaps to manage interest rate risk</w:t>
      </w:r>
      <w:r>
        <w:t>, June 2015, pp. 64, 91.</w:t>
      </w:r>
    </w:p>
  </w:footnote>
  <w:footnote w:id="392">
    <w:p w:rsidR="00702DD6" w:rsidRDefault="00702DD6" w:rsidP="007656EA">
      <w:pPr>
        <w:pStyle w:val="FootnoteText"/>
      </w:pPr>
      <w:r>
        <w:rPr>
          <w:rStyle w:val="FootnoteReference"/>
        </w:rPr>
        <w:footnoteRef/>
      </w:r>
      <w:r>
        <w:t xml:space="preserve"> </w:t>
      </w:r>
      <w:r>
        <w:tab/>
        <w:t xml:space="preserve">Service providers proposed allowed return on debts ranging from 7.7% to 7.92%. See </w:t>
      </w:r>
      <w:r w:rsidRPr="002E600D">
        <w:t xml:space="preserve">ActewAGL, </w:t>
      </w:r>
      <w:r w:rsidRPr="00452C44">
        <w:rPr>
          <w:rStyle w:val="AERtextitalic"/>
        </w:rPr>
        <w:t>Access arrangement information</w:t>
      </w:r>
      <w:r>
        <w:t>, January 2016, p. 44;</w:t>
      </w:r>
      <w:r w:rsidRPr="002E600D">
        <w:t xml:space="preserve"> AGN, </w:t>
      </w:r>
      <w:r w:rsidRPr="00452C44">
        <w:rPr>
          <w:rStyle w:val="AERtextitalic"/>
        </w:rPr>
        <w:t>Attachment 10.26 response to draft decision: Rate of return</w:t>
      </w:r>
      <w:r w:rsidRPr="002E600D">
        <w:t>, January 2016</w:t>
      </w:r>
      <w:r>
        <w:t xml:space="preserve">, p. 38; </w:t>
      </w:r>
      <w:r w:rsidRPr="00851313">
        <w:t xml:space="preserve">APA Group, </w:t>
      </w:r>
      <w:r w:rsidRPr="00851313">
        <w:rPr>
          <w:rStyle w:val="AERtextitalic"/>
        </w:rPr>
        <w:t>Amadeus Gas Pipeline access arrangement information</w:t>
      </w:r>
      <w:r>
        <w:t xml:space="preserve">, January 2016, p. 24; </w:t>
      </w:r>
      <w:r w:rsidRPr="002E600D">
        <w:t xml:space="preserve">AusNet Electricity Services, </w:t>
      </w:r>
      <w:r w:rsidRPr="00452C44">
        <w:rPr>
          <w:rStyle w:val="AERtextitalic"/>
        </w:rPr>
        <w:t>Revised regulatory proposa</w:t>
      </w:r>
      <w:r>
        <w:t>l, J</w:t>
      </w:r>
      <w:r w:rsidRPr="002E600D">
        <w:t>anuary 2016</w:t>
      </w:r>
      <w:r>
        <w:t xml:space="preserve">, p. 7-106; </w:t>
      </w:r>
      <w:r w:rsidRPr="002E600D">
        <w:t xml:space="preserve">CitiPower, </w:t>
      </w:r>
      <w:r w:rsidRPr="00452C44">
        <w:rPr>
          <w:rStyle w:val="AERtextitalic"/>
        </w:rPr>
        <w:t>Revised Regulatory Proposal 2016—2020</w:t>
      </w:r>
      <w:r>
        <w:t xml:space="preserve">, </w:t>
      </w:r>
      <w:r w:rsidRPr="002E600D">
        <w:t>January 2016</w:t>
      </w:r>
      <w:r>
        <w:t xml:space="preserve">, p. 261; </w:t>
      </w:r>
      <w:r w:rsidRPr="002E600D">
        <w:t xml:space="preserve">JEN, </w:t>
      </w:r>
      <w:r w:rsidRPr="00452C44">
        <w:rPr>
          <w:rStyle w:val="AERtextitalic"/>
        </w:rPr>
        <w:t>Attachment 6-1 rate of return, gamma, forecast inflation, and debt and equity raising costs</w:t>
      </w:r>
      <w:r>
        <w:t xml:space="preserve">, </w:t>
      </w:r>
      <w:r w:rsidRPr="002E600D">
        <w:t>January 2016</w:t>
      </w:r>
      <w:r>
        <w:t xml:space="preserve">, p. 35; </w:t>
      </w:r>
      <w:r w:rsidRPr="002E600D">
        <w:t xml:space="preserve">Powercor, </w:t>
      </w:r>
      <w:r w:rsidRPr="00452C44">
        <w:rPr>
          <w:rStyle w:val="AERtextitalic"/>
        </w:rPr>
        <w:t>Revised regulatory proposal 2016–20</w:t>
      </w:r>
      <w:r>
        <w:t xml:space="preserve">, </w:t>
      </w:r>
      <w:r w:rsidRPr="002E600D">
        <w:t>January 2016</w:t>
      </w:r>
      <w:r>
        <w:t>, p. 255;</w:t>
      </w:r>
      <w:r w:rsidRPr="002E600D">
        <w:t xml:space="preserve"> United Energy, </w:t>
      </w:r>
      <w:r w:rsidRPr="00452C44">
        <w:rPr>
          <w:rStyle w:val="AERtextitalic"/>
        </w:rPr>
        <w:t>2016 to 2020 revised regulatory proposal</w:t>
      </w:r>
      <w:r>
        <w:t xml:space="preserve">, </w:t>
      </w:r>
      <w:r w:rsidRPr="002E600D">
        <w:t>January 2016</w:t>
      </w:r>
      <w:r>
        <w:t>, p. 75.</w:t>
      </w:r>
    </w:p>
  </w:footnote>
  <w:footnote w:id="393">
    <w:p w:rsidR="00702DD6" w:rsidRDefault="00702DD6" w:rsidP="007656EA">
      <w:pPr>
        <w:pStyle w:val="FootnoteText"/>
      </w:pPr>
      <w:r>
        <w:rPr>
          <w:rStyle w:val="FootnoteReference"/>
        </w:rPr>
        <w:footnoteRef/>
      </w:r>
      <w:r>
        <w:t xml:space="preserve"> </w:t>
      </w:r>
      <w:r>
        <w:tab/>
        <w:t>CCP3 submits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 xml:space="preserve">Submission to the AER:  </w:t>
      </w:r>
      <w:r>
        <w:rPr>
          <w:rStyle w:val="AERtextitalic"/>
        </w:rPr>
        <w:t>A</w:t>
      </w:r>
      <w:r w:rsidRPr="006C2193">
        <w:rPr>
          <w:rStyle w:val="AERtextitalic"/>
        </w:rPr>
        <w:t>n Overview ― Response to AER Preliminary Decisions and revised proposals from Victorian electricity DNSPs for a revenue reset for the 2016</w:t>
      </w:r>
      <w:r>
        <w:rPr>
          <w:rStyle w:val="AERtextitalic"/>
          <w:rFonts w:cs="Arial"/>
        </w:rPr>
        <w:t>–</w:t>
      </w:r>
      <w:r w:rsidRPr="006C2193">
        <w:rPr>
          <w:rStyle w:val="AERtextitalic"/>
        </w:rPr>
        <w:t>2020 regulatory period</w:t>
      </w:r>
      <w:r>
        <w:t>, 22 February 2016, p. 34.</w:t>
      </w:r>
    </w:p>
  </w:footnote>
  <w:footnote w:id="394">
    <w:p w:rsidR="00702DD6" w:rsidRDefault="00702DD6" w:rsidP="007656EA">
      <w:pPr>
        <w:pStyle w:val="FootnoteText"/>
      </w:pPr>
      <w:r>
        <w:rPr>
          <w:rStyle w:val="FootnoteReference"/>
        </w:rPr>
        <w:footnoteRef/>
      </w:r>
      <w:r>
        <w:t xml:space="preserve"> </w:t>
      </w:r>
      <w:r>
        <w:tab/>
        <w:t>CCP3,</w:t>
      </w:r>
      <w:r w:rsidRPr="001C0350">
        <w:t xml:space="preserve"> </w:t>
      </w:r>
      <w:r w:rsidRPr="000E4FB4">
        <w:rPr>
          <w:rStyle w:val="AERtextitalic"/>
        </w:rPr>
        <w:t>Submission to the AER: An overview ― Response to AER Preliminary Decisions and revised proposals from Victorian electricity DNSPs</w:t>
      </w:r>
      <w:r>
        <w:t>, 22 February 2016, pp. 30</w:t>
      </w:r>
      <w:r w:rsidRPr="00FB4006">
        <w:t>–</w:t>
      </w:r>
      <w:r>
        <w:t xml:space="preserve">31; </w:t>
      </w:r>
      <w:r w:rsidRPr="00A54839">
        <w:t xml:space="preserve">Origin Energy, </w:t>
      </w:r>
      <w:r w:rsidRPr="000E4FB4">
        <w:rPr>
          <w:rStyle w:val="AERtextitalic"/>
        </w:rPr>
        <w:t>Submission on the Victorian networks’ revised proposals (for 2016–21)</w:t>
      </w:r>
      <w:r w:rsidRPr="00A54839">
        <w:t>, 4 February 2016</w:t>
      </w:r>
      <w:r>
        <w:t>, p. 1.</w:t>
      </w:r>
    </w:p>
  </w:footnote>
  <w:footnote w:id="395">
    <w:p w:rsidR="00702DD6" w:rsidRDefault="00702DD6" w:rsidP="007656EA">
      <w:pPr>
        <w:pStyle w:val="FootnoteText"/>
      </w:pPr>
      <w:r>
        <w:rPr>
          <w:rStyle w:val="FootnoteReference"/>
        </w:rPr>
        <w:footnoteRef/>
      </w:r>
      <w:r>
        <w:t xml:space="preserve"> </w:t>
      </w:r>
      <w:r>
        <w:tab/>
      </w:r>
      <w:r w:rsidRPr="00A54839">
        <w:t xml:space="preserve">SACOSS, </w:t>
      </w:r>
      <w:r w:rsidRPr="000E4FB4">
        <w:rPr>
          <w:rStyle w:val="AERtextitalic"/>
        </w:rPr>
        <w:t>Submission to the AER in response to AGN’s revised proposal for the 2016–2021 access arrangement</w:t>
      </w:r>
      <w:r w:rsidRPr="00A54839">
        <w:t>, February 2016</w:t>
      </w:r>
      <w:r>
        <w:t xml:space="preserve">, p. 10; </w:t>
      </w:r>
      <w:r w:rsidRPr="00A54839">
        <w:t xml:space="preserve">Minister for Industry, Energy and Resources Victorian Government, </w:t>
      </w:r>
      <w:r w:rsidRPr="000E4FB4">
        <w:rPr>
          <w:rStyle w:val="AERtextitalic"/>
        </w:rPr>
        <w:t>Submission to Victorian distribution businesses revised regulatory proposals (2016–20)</w:t>
      </w:r>
      <w:r w:rsidRPr="00A54839">
        <w:t>, 29 January 2016</w:t>
      </w:r>
      <w:r>
        <w:t xml:space="preserve">, p. 2; </w:t>
      </w:r>
      <w:r w:rsidRPr="00A54839">
        <w:t xml:space="preserve">Victorian Government, </w:t>
      </w:r>
      <w:r w:rsidRPr="000E4FB4">
        <w:rPr>
          <w:rStyle w:val="AERtextitalic"/>
        </w:rPr>
        <w:t>Submission on the Victorian electricity distribution network service providers’ revised regulatory proposals for 2016–20</w:t>
      </w:r>
      <w:r w:rsidRPr="00A54839">
        <w:t>, 12 February 2016</w:t>
      </w:r>
      <w:r>
        <w:t>, p.1</w:t>
      </w:r>
    </w:p>
  </w:footnote>
  <w:footnote w:id="396">
    <w:p w:rsidR="00702DD6" w:rsidRDefault="00702DD6" w:rsidP="007656EA">
      <w:pPr>
        <w:pStyle w:val="FootnoteText"/>
      </w:pPr>
      <w:r>
        <w:rPr>
          <w:rStyle w:val="FootnoteReference"/>
        </w:rPr>
        <w:footnoteRef/>
      </w:r>
      <w:r>
        <w:t xml:space="preserve"> </w:t>
      </w:r>
      <w:r>
        <w:tab/>
        <w:t xml:space="preserve">CCP3, </w:t>
      </w:r>
      <w:r w:rsidRPr="000E4FB4">
        <w:rPr>
          <w:rStyle w:val="AERtextitalic"/>
        </w:rPr>
        <w:t>Submission to the AER: An overview ― Response to AER Preliminary Decisions and revised proposals from Victorian electricity DNSPs</w:t>
      </w:r>
      <w:r>
        <w:t>, 22 February 2016, pp. 33</w:t>
      </w:r>
      <w:r w:rsidRPr="00FB4006">
        <w:t>–</w:t>
      </w:r>
      <w:r>
        <w:t>35.</w:t>
      </w:r>
    </w:p>
  </w:footnote>
  <w:footnote w:id="397">
    <w:p w:rsidR="00702DD6" w:rsidRDefault="00702DD6" w:rsidP="007656EA">
      <w:pPr>
        <w:pStyle w:val="FootnoteText"/>
      </w:pPr>
      <w:r>
        <w:rPr>
          <w:rStyle w:val="FootnoteReference"/>
        </w:rPr>
        <w:footnoteRef/>
      </w:r>
      <w:r>
        <w:t xml:space="preserve"> </w:t>
      </w:r>
      <w:r>
        <w:tab/>
      </w:r>
      <w:r w:rsidRPr="00F21B32">
        <w:t xml:space="preserve">By </w:t>
      </w:r>
      <w:r>
        <w:t xml:space="preserve">appropriate </w:t>
      </w:r>
      <w:r w:rsidRPr="00F21B32">
        <w:t xml:space="preserve">compensation we mean that the ex-ante return should be commensurate with the expected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t>.</w:t>
      </w:r>
    </w:p>
  </w:footnote>
  <w:footnote w:id="398">
    <w:p w:rsidR="00702DD6" w:rsidRDefault="00702DD6" w:rsidP="007656E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399">
    <w:p w:rsidR="00702DD6" w:rsidRDefault="00702DD6" w:rsidP="007656EA">
      <w:pPr>
        <w:pStyle w:val="FootnoteText"/>
      </w:pPr>
      <w:r>
        <w:rPr>
          <w:rStyle w:val="FootnoteReference"/>
        </w:rPr>
        <w:footnoteRef/>
      </w:r>
      <w:r>
        <w:t xml:space="preserve"> </w:t>
      </w:r>
      <w:r>
        <w:tab/>
        <w:t>For the RPPs see NEL, s. 7A; NGL, s. 24.</w:t>
      </w:r>
    </w:p>
  </w:footnote>
  <w:footnote w:id="400">
    <w:p w:rsidR="00702DD6" w:rsidRPr="00B57A7C" w:rsidRDefault="00702DD6" w:rsidP="007656EA">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401">
    <w:p w:rsidR="00702DD6" w:rsidRDefault="00702DD6" w:rsidP="007656EA">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rPr>
          <w:rStyle w:val="AERtextitalic"/>
        </w:rPr>
        <w:t xml:space="preserve"> (Appendices)</w:t>
      </w:r>
      <w:r>
        <w:t>, December 2013, p. 38.</w:t>
      </w:r>
    </w:p>
  </w:footnote>
  <w:footnote w:id="402">
    <w:p w:rsidR="00702DD6" w:rsidRDefault="00702DD6" w:rsidP="007656EA">
      <w:pPr>
        <w:pStyle w:val="FootnoteText"/>
      </w:pPr>
      <w:r>
        <w:rPr>
          <w:rStyle w:val="FootnoteReference"/>
        </w:rPr>
        <w:footnoteRef/>
      </w:r>
      <w:r>
        <w:t xml:space="preserve"> </w:t>
      </w:r>
      <w:r>
        <w:tab/>
      </w:r>
      <w:r w:rsidRPr="00A31070">
        <w:t xml:space="preserve">MEU, </w:t>
      </w:r>
      <w:r w:rsidRPr="005772E3">
        <w:rPr>
          <w:rStyle w:val="AERtextitalic"/>
        </w:rPr>
        <w:t>Submission to beta issues paper</w:t>
      </w:r>
      <w:r w:rsidRPr="00A31070">
        <w:t>, October 2013, p. 5</w:t>
      </w:r>
      <w:r>
        <w:t xml:space="preserve">; </w:t>
      </w:r>
      <w:r w:rsidRPr="00A31070">
        <w:t xml:space="preserve">PIAC, </w:t>
      </w:r>
      <w:r w:rsidRPr="005772E3">
        <w:rPr>
          <w:rStyle w:val="AERtextitalic"/>
        </w:rPr>
        <w:t>Submission to beta issues paper</w:t>
      </w:r>
      <w:r w:rsidRPr="00A31070">
        <w:t>, October 2013, pp. 6–7, 9–10.</w:t>
      </w:r>
    </w:p>
  </w:footnote>
  <w:footnote w:id="403">
    <w:p w:rsidR="00702DD6" w:rsidRDefault="00702DD6" w:rsidP="007656EA">
      <w:pPr>
        <w:pStyle w:val="FootnoteText"/>
      </w:pPr>
      <w:r>
        <w:rPr>
          <w:rStyle w:val="FootnoteReference"/>
        </w:rPr>
        <w:footnoteRef/>
      </w:r>
      <w:r>
        <w:t xml:space="preserve"> </w:t>
      </w:r>
      <w:r>
        <w:tab/>
      </w:r>
      <w:r w:rsidRPr="00A31070">
        <w:t xml:space="preserve">Frontier Economics, </w:t>
      </w:r>
      <w:r w:rsidRPr="005772E3">
        <w:rPr>
          <w:rStyle w:val="AERtextitalic"/>
        </w:rPr>
        <w:t>Assessing risk for regulated energy networks</w:t>
      </w:r>
      <w:r w:rsidRPr="00A31070">
        <w:t>, July 2013, p. 74.</w:t>
      </w:r>
    </w:p>
  </w:footnote>
  <w:footnote w:id="404">
    <w:p w:rsidR="00702DD6" w:rsidRDefault="00702DD6" w:rsidP="007656EA">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t>, December 2013, pp. 108</w:t>
      </w:r>
      <w:r>
        <w:rPr>
          <w:rFonts w:cs="Arial"/>
        </w:rPr>
        <w:t>–</w:t>
      </w:r>
      <w:r>
        <w:t>111.</w:t>
      </w:r>
    </w:p>
  </w:footnote>
  <w:footnote w:id="405">
    <w:p w:rsidR="00702DD6" w:rsidRDefault="00702DD6" w:rsidP="007656EA">
      <w:pPr>
        <w:pStyle w:val="FootnoteText"/>
      </w:pPr>
      <w:r>
        <w:rPr>
          <w:rStyle w:val="FootnoteReference"/>
        </w:rPr>
        <w:footnoteRef/>
      </w:r>
      <w:r>
        <w:t xml:space="preserve"> </w:t>
      </w:r>
      <w:r>
        <w:tab/>
        <w:t>Only a full transition is revenue neutral</w:t>
      </w:r>
      <w:r w:rsidRPr="00E14029">
        <w:t xml:space="preserve"> </w:t>
      </w:r>
      <w:r>
        <w:t xml:space="preserve">of the different transition paths before us. However, there are other possible revenue paths that are revenue neutral (in a present value sense) from the change in methodology. For example, this could include a lump sum transfer (see Appendix </w:t>
      </w:r>
      <w:r>
        <w:fldChar w:fldCharType="begin"/>
      </w:r>
      <w:r>
        <w:instrText xml:space="preserve"> REF _Ref451328229 \r \h </w:instrText>
      </w:r>
      <w:r>
        <w:fldChar w:fldCharType="separate"/>
      </w:r>
      <w:r>
        <w:t>H</w:t>
      </w:r>
      <w:r>
        <w:fldChar w:fldCharType="end"/>
      </w:r>
      <w:r>
        <w:t>).</w:t>
      </w:r>
    </w:p>
  </w:footnote>
  <w:footnote w:id="406">
    <w:p w:rsidR="00702DD6" w:rsidRDefault="00702DD6" w:rsidP="007656EA">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407">
    <w:p w:rsidR="00702DD6" w:rsidRDefault="00702DD6" w:rsidP="007656EA">
      <w:pPr>
        <w:pStyle w:val="FootnoteText"/>
      </w:pPr>
      <w:r>
        <w:rPr>
          <w:rStyle w:val="FootnoteReference"/>
        </w:rPr>
        <w:footnoteRef/>
      </w:r>
      <w:r>
        <w:t xml:space="preserve"> </w:t>
      </w:r>
      <w:r>
        <w:tab/>
        <w:t xml:space="preserve">SFG, </w:t>
      </w:r>
      <w:r w:rsidRPr="002F34FF">
        <w:t xml:space="preserve">Rule change proposals relating to the debt component of the regulatory rate of </w:t>
      </w:r>
      <w:r w:rsidRPr="006441AF">
        <w:t>return</w:t>
      </w:r>
      <w:r>
        <w:t xml:space="preserve">, </w:t>
      </w:r>
      <w:r w:rsidRPr="006441AF">
        <w:t>August</w:t>
      </w:r>
      <w:r>
        <w:t xml:space="preserve"> 2012, p. 46.</w:t>
      </w:r>
    </w:p>
  </w:footnote>
  <w:footnote w:id="408">
    <w:p w:rsidR="00702DD6" w:rsidRDefault="00702DD6" w:rsidP="007656EA">
      <w:pPr>
        <w:pStyle w:val="FootnoteText"/>
      </w:pPr>
      <w:r>
        <w:rPr>
          <w:rStyle w:val="FootnoteReference"/>
        </w:rPr>
        <w:footnoteRef/>
      </w:r>
      <w:r>
        <w:t xml:space="preserve"> </w:t>
      </w:r>
      <w:r>
        <w:tab/>
        <w:t xml:space="preserve">NER, cl.  </w:t>
      </w:r>
      <w:r w:rsidRPr="00F21B32">
        <w:t>6.5.3(k)(4)</w:t>
      </w:r>
      <w:r>
        <w:t>, states '</w:t>
      </w:r>
      <w:r w:rsidRPr="004871A6">
        <w:t>(k) In estimating the return on debt under paragraph (h), regard must be had to the following factors…</w:t>
      </w:r>
      <w:r>
        <w:t xml:space="preserve"> (4) </w:t>
      </w:r>
      <w:r w:rsidRPr="004871A6">
        <w:t>any impacts (including in relation to the costs of servicing debt across regulatory control periods) on a benchmark efficient entity referred to in the allowed rate of return objective that could arise as a result of changing the methodology that is used to estimate the return on debt from one regulatory control period to the next.</w:t>
      </w:r>
      <w:r>
        <w:t xml:space="preserve"> Also see NER, cl. 6A.6.2 (k) (4); NGR, cl. 87(12) (d).</w:t>
      </w:r>
    </w:p>
  </w:footnote>
  <w:footnote w:id="409">
    <w:p w:rsidR="00702DD6" w:rsidRDefault="00702DD6" w:rsidP="007656EA">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 ember 2012, p. 85.</w:t>
      </w:r>
    </w:p>
  </w:footnote>
  <w:footnote w:id="410">
    <w:p w:rsidR="00702DD6" w:rsidRDefault="00702DD6" w:rsidP="007656EA">
      <w:pPr>
        <w:pStyle w:val="FootnoteText"/>
      </w:pPr>
      <w:r>
        <w:rPr>
          <w:rStyle w:val="FootnoteReference"/>
        </w:rPr>
        <w:footnoteRef/>
      </w:r>
      <w:r>
        <w:t xml:space="preserve"> </w:t>
      </w:r>
      <w:r>
        <w:tab/>
        <w:t>As required under NER, cl. 5.5.2(h); NER, cl. 6A.6.2(h); NGR, cl. 87(8).</w:t>
      </w:r>
    </w:p>
  </w:footnote>
  <w:footnote w:id="411">
    <w:p w:rsidR="00702DD6" w:rsidRDefault="00702DD6" w:rsidP="007656EA">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412">
    <w:p w:rsidR="00702DD6" w:rsidRDefault="00702DD6" w:rsidP="007656EA">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413">
    <w:p w:rsidR="00702DD6" w:rsidRDefault="00702DD6" w:rsidP="007656EA">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pp. 427, 434.</w:t>
      </w:r>
    </w:p>
  </w:footnote>
  <w:footnote w:id="414">
    <w:p w:rsidR="00702DD6" w:rsidRDefault="00702DD6" w:rsidP="007656EA">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415">
    <w:p w:rsidR="00702DD6" w:rsidRDefault="00702DD6" w:rsidP="007656EA">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416">
    <w:p w:rsidR="00702DD6" w:rsidRDefault="00702DD6" w:rsidP="007656EA">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417">
    <w:p w:rsidR="00702DD6" w:rsidRDefault="00702DD6" w:rsidP="007656EA">
      <w:pPr>
        <w:pStyle w:val="FootnoteText"/>
      </w:pPr>
      <w:r>
        <w:rPr>
          <w:rStyle w:val="FootnoteReference"/>
        </w:rPr>
        <w:footnoteRef/>
      </w:r>
      <w:r>
        <w:t xml:space="preserve"> </w:t>
      </w:r>
      <w:r>
        <w:tab/>
      </w:r>
      <w:r w:rsidRPr="002E600D">
        <w:t xml:space="preserve">ActewAGL, </w:t>
      </w:r>
      <w:r w:rsidRPr="00452C44">
        <w:rPr>
          <w:rStyle w:val="AERtextitalic"/>
        </w:rPr>
        <w:t>Access arrangement information</w:t>
      </w:r>
      <w:r>
        <w:t>, January 2016, p. 35;</w:t>
      </w:r>
      <w:r w:rsidRPr="002E600D">
        <w:t xml:space="preserve"> AGN, </w:t>
      </w:r>
      <w:r w:rsidRPr="00452C44">
        <w:rPr>
          <w:rStyle w:val="AERtextitalic"/>
        </w:rPr>
        <w:t>Attachment 10.26 response to draft decision: Rate of return</w:t>
      </w:r>
      <w:r w:rsidRPr="002E600D">
        <w:t>, January 2016</w:t>
      </w:r>
      <w:r>
        <w:t xml:space="preserve">, p. 3; </w:t>
      </w:r>
      <w:r w:rsidRPr="002E600D">
        <w:t xml:space="preserve">AusNet Electricity Services, </w:t>
      </w:r>
      <w:r w:rsidRPr="00452C44">
        <w:rPr>
          <w:rStyle w:val="AERtextitalic"/>
        </w:rPr>
        <w:t>Revised regulatory proposa</w:t>
      </w:r>
      <w:r>
        <w:t>l, J</w:t>
      </w:r>
      <w:r w:rsidRPr="002E600D">
        <w:t>anuary 2016</w:t>
      </w:r>
      <w:r>
        <w:t xml:space="preserve">, p. 7-33; </w:t>
      </w:r>
      <w:r w:rsidRPr="002E600D">
        <w:t xml:space="preserve"> CitiPower, </w:t>
      </w:r>
      <w:r w:rsidRPr="00452C44">
        <w:rPr>
          <w:rStyle w:val="AERtextitalic"/>
        </w:rPr>
        <w:t>Revised Regulatory Proposal 2016—2020</w:t>
      </w:r>
      <w:r>
        <w:t xml:space="preserve">, </w:t>
      </w:r>
      <w:r w:rsidRPr="002E600D">
        <w:t>January 2016</w:t>
      </w:r>
      <w:r>
        <w:t xml:space="preserve">, p. 266; </w:t>
      </w:r>
      <w:r w:rsidRPr="002E600D">
        <w:t xml:space="preserve">JEN, </w:t>
      </w:r>
      <w:r w:rsidRPr="00452C44">
        <w:rPr>
          <w:rStyle w:val="AERtextitalic"/>
        </w:rPr>
        <w:t>Attachment 6-1 rate of return, gamma, forecast inflation, and debt and equity raising costs</w:t>
      </w:r>
      <w:r>
        <w:t xml:space="preserve">, </w:t>
      </w:r>
      <w:r w:rsidRPr="002E600D">
        <w:t>January 2016</w:t>
      </w:r>
      <w:r>
        <w:t xml:space="preserve">, p. 28; </w:t>
      </w:r>
      <w:r w:rsidRPr="002E600D">
        <w:t xml:space="preserve">Powercor, </w:t>
      </w:r>
      <w:r w:rsidRPr="00452C44">
        <w:rPr>
          <w:rStyle w:val="AERtextitalic"/>
        </w:rPr>
        <w:t>Revised regulatory proposal 2016–20</w:t>
      </w:r>
      <w:r>
        <w:t xml:space="preserve">, </w:t>
      </w:r>
      <w:r w:rsidRPr="002E600D">
        <w:t>January 2016</w:t>
      </w:r>
      <w:r>
        <w:t>, p. 260;</w:t>
      </w:r>
      <w:r w:rsidRPr="002E600D">
        <w:t xml:space="preserve"> United Energy, </w:t>
      </w:r>
      <w:r w:rsidRPr="00452C44">
        <w:rPr>
          <w:rStyle w:val="AERtextitalic"/>
        </w:rPr>
        <w:t>2016 to 2020 revised regulatory proposal</w:t>
      </w:r>
      <w:r>
        <w:t xml:space="preserve">, </w:t>
      </w:r>
      <w:r w:rsidRPr="002E600D">
        <w:t>January 2016</w:t>
      </w:r>
      <w:r>
        <w:t>, p. 79.</w:t>
      </w:r>
    </w:p>
  </w:footnote>
  <w:footnote w:id="418">
    <w:p w:rsidR="00702DD6" w:rsidRDefault="00702DD6" w:rsidP="007656EA">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January 2016, p. 2.</w:t>
      </w:r>
    </w:p>
  </w:footnote>
  <w:footnote w:id="419">
    <w:p w:rsidR="00702DD6" w:rsidRDefault="00702DD6" w:rsidP="007656EA">
      <w:pPr>
        <w:pStyle w:val="FootnoteText"/>
      </w:pPr>
      <w:r>
        <w:rPr>
          <w:rStyle w:val="FootnoteReference"/>
        </w:rPr>
        <w:footnoteRef/>
      </w:r>
      <w:r>
        <w:t xml:space="preserve"> </w:t>
      </w:r>
      <w:r>
        <w:tab/>
        <w:t xml:space="preserve">See HoustonKemp, </w:t>
      </w:r>
      <w:r w:rsidRPr="006C2193">
        <w:rPr>
          <w:rStyle w:val="AERtextitalic"/>
        </w:rPr>
        <w:t>Appropriate objective to guide the setting of the cost of debt allowance</w:t>
      </w:r>
      <w:r>
        <w:t xml:space="preserve">, 3 March 2015, p. 5; Expert Panel on Energy Access Pricing, </w:t>
      </w:r>
      <w:r w:rsidRPr="0070748E">
        <w:rPr>
          <w:rStyle w:val="AERtextitalic"/>
        </w:rPr>
        <w:t>Report to the M</w:t>
      </w:r>
      <w:r>
        <w:rPr>
          <w:rStyle w:val="AERtextitalic"/>
        </w:rPr>
        <w:t>inisterial Council on Energy</w:t>
      </w:r>
      <w:r>
        <w:t>, April 2006, p. 59.</w:t>
      </w:r>
    </w:p>
  </w:footnote>
  <w:footnote w:id="420">
    <w:p w:rsidR="00702DD6" w:rsidRDefault="00702DD6" w:rsidP="007656EA">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421">
    <w:p w:rsidR="00702DD6" w:rsidRDefault="00702DD6" w:rsidP="007656EA">
      <w:pPr>
        <w:pStyle w:val="FootnoteText"/>
      </w:pPr>
      <w:r>
        <w:rPr>
          <w:rStyle w:val="FootnoteReference"/>
        </w:rPr>
        <w:footnoteRef/>
      </w:r>
      <w:r>
        <w:t xml:space="preserve"> </w:t>
      </w:r>
      <w:r>
        <w:tab/>
        <w:t>The RPPs require we have regard to this effect on incentives. See NEL, s7A(3)(b); NGL,  s24(3)(b).</w:t>
      </w:r>
    </w:p>
  </w:footnote>
  <w:footnote w:id="422">
    <w:p w:rsidR="00702DD6" w:rsidRDefault="00702DD6" w:rsidP="007656EA">
      <w:pPr>
        <w:pStyle w:val="FootnoteText"/>
      </w:pPr>
      <w:r>
        <w:rPr>
          <w:rStyle w:val="FootnoteReference"/>
        </w:rPr>
        <w:footnoteRef/>
      </w:r>
      <w:r>
        <w:t xml:space="preserve"> </w:t>
      </w:r>
      <w:r>
        <w:tab/>
        <w:t xml:space="preserve">Lally, </w:t>
      </w:r>
      <w:r w:rsidRPr="006C2193">
        <w:rPr>
          <w:rStyle w:val="AERtextitalic"/>
        </w:rPr>
        <w:t>Review of submissions on the cost of debt</w:t>
      </w:r>
      <w:r>
        <w:t>, 21 April 2015, p. 25.</w:t>
      </w:r>
    </w:p>
  </w:footnote>
  <w:footnote w:id="423">
    <w:p w:rsidR="00702DD6" w:rsidRDefault="00702DD6" w:rsidP="007656EA">
      <w:pPr>
        <w:pStyle w:val="FootnoteText"/>
      </w:pPr>
      <w:r>
        <w:rPr>
          <w:rStyle w:val="FootnoteReference"/>
        </w:rPr>
        <w:footnoteRef/>
      </w:r>
      <w:r>
        <w:t xml:space="preserve"> </w:t>
      </w:r>
      <w:r>
        <w:tab/>
        <w:t xml:space="preserve">We have used the on-the-day approach to estimate the return on debt since 1998 where we interpreted our task as requiring us to derive a rate of return that was as up to date as possible at the time the access arrangement came into effect. See ACCC, </w:t>
      </w:r>
      <w:r w:rsidRPr="001C73AF">
        <w:rPr>
          <w:rStyle w:val="AERtextitalic"/>
        </w:rPr>
        <w:t>Victorian Gas Transmission Access Arrangements Final Decision</w:t>
      </w:r>
      <w:r>
        <w:t>, 6 October 1998, p. 49.</w:t>
      </w:r>
    </w:p>
  </w:footnote>
  <w:footnote w:id="424">
    <w:p w:rsidR="00702DD6" w:rsidRDefault="00702DD6" w:rsidP="007656EA">
      <w:pPr>
        <w:pStyle w:val="FootnoteText"/>
      </w:pPr>
      <w:r>
        <w:rPr>
          <w:rStyle w:val="FootnoteReference"/>
        </w:rPr>
        <w:footnoteRef/>
      </w:r>
      <w:r>
        <w:t xml:space="preserve"> </w:t>
      </w:r>
      <w:r>
        <w:tab/>
        <w:t>In particular, to the extent that the financial risks (including interest rate risk) arising from the on-the-day approach are systematic, they would be priced into investors' required return on equity. This would be compensated for in our equity beta estimate, which is calculated based on historical returns.</w:t>
      </w:r>
    </w:p>
  </w:footnote>
  <w:footnote w:id="425">
    <w:p w:rsidR="00702DD6" w:rsidRDefault="00702DD6" w:rsidP="007656EA">
      <w:pPr>
        <w:pStyle w:val="FootnoteText"/>
      </w:pPr>
      <w:r>
        <w:rPr>
          <w:rStyle w:val="FootnoteReference"/>
        </w:rPr>
        <w:footnoteRef/>
      </w:r>
      <w:r>
        <w:t xml:space="preserve"> </w:t>
      </w:r>
      <w:r>
        <w:tab/>
        <w:t xml:space="preserve">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sidRPr="008410DE">
        <w:rPr>
          <w:rStyle w:val="AERtextitalic"/>
        </w:rPr>
        <w:t>Directors' and financial report</w:t>
      </w:r>
      <w:r>
        <w:t xml:space="preserve">, 30 June 2014, p. 27; Spark Infrastructure, </w:t>
      </w:r>
      <w:r w:rsidRPr="00EB2DC2">
        <w:rPr>
          <w:rStyle w:val="AERtextitalic"/>
        </w:rPr>
        <w:t>Annual report 2012</w:t>
      </w:r>
      <w:r>
        <w:t xml:space="preserve">, p. 16; SP AusNet, </w:t>
      </w:r>
      <w:r w:rsidRPr="00012C61">
        <w:rPr>
          <w:rStyle w:val="AERtextitalic"/>
        </w:rPr>
        <w:t>Business review 2014: SP AusNet Distribution financial report</w:t>
      </w:r>
      <w:r>
        <w:t xml:space="preserve">, Note 19, p. 11. Spark Infrastructure cancelled its interest rate swaps in 2013. See Spark Infrastructure, </w:t>
      </w:r>
      <w:r w:rsidRPr="00BA1680">
        <w:rPr>
          <w:rStyle w:val="AERtextitalic"/>
        </w:rPr>
        <w:t>Annual Report 2013</w:t>
      </w:r>
      <w:r>
        <w:t>, p. 16.</w:t>
      </w:r>
    </w:p>
  </w:footnote>
  <w:footnote w:id="426">
    <w:p w:rsidR="00702DD6" w:rsidRDefault="00702DD6" w:rsidP="007656EA">
      <w:pPr>
        <w:pStyle w:val="FootnoteText"/>
      </w:pPr>
      <w:r>
        <w:rPr>
          <w:rStyle w:val="FootnoteReference"/>
        </w:rPr>
        <w:footnoteRef/>
      </w:r>
      <w:r>
        <w:t xml:space="preserve"> </w:t>
      </w:r>
      <w:r>
        <w:tab/>
        <w:t xml:space="preserve">For example, see AER, </w:t>
      </w:r>
      <w:r w:rsidRPr="00D1603D">
        <w:rPr>
          <w:rStyle w:val="AERtextitalic"/>
        </w:rPr>
        <w:t>Preliminary decision―CitiPower determination, Attachment 3: Rate of return</w:t>
      </w:r>
      <w:r>
        <w:t>, October 2015, pp. 190</w:t>
      </w:r>
      <w:r>
        <w:rPr>
          <w:rFonts w:cs="Arial"/>
        </w:rPr>
        <w:t>–</w:t>
      </w:r>
      <w:r>
        <w:t xml:space="preserve">2. Also see AER, </w:t>
      </w:r>
      <w:r w:rsidRPr="00D1603D">
        <w:rPr>
          <w:rStyle w:val="AERtextitalic"/>
        </w:rPr>
        <w:t>Explanatory statement to the rate of return guideline</w:t>
      </w:r>
      <w:r>
        <w:t xml:space="preserve">, December 2013, p. 166. </w:t>
      </w:r>
    </w:p>
  </w:footnote>
  <w:footnote w:id="427">
    <w:p w:rsidR="00702DD6" w:rsidRDefault="00702DD6" w:rsidP="007656EA">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t>, 13 February 2011, pp. 9</w:t>
      </w:r>
      <w:r>
        <w:rPr>
          <w:rFonts w:cs="Arial"/>
        </w:rPr>
        <w:t>–</w:t>
      </w:r>
      <w:r w:rsidRPr="00586A00">
        <w:t xml:space="preserve">10. </w:t>
      </w:r>
    </w:p>
  </w:footnote>
  <w:footnote w:id="428">
    <w:p w:rsidR="00702DD6" w:rsidRDefault="00702DD6" w:rsidP="002E06FB">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429">
    <w:p w:rsidR="00702DD6" w:rsidRDefault="00702DD6" w:rsidP="007656EA">
      <w:pPr>
        <w:pStyle w:val="FootnoteText"/>
      </w:pPr>
      <w:r>
        <w:rPr>
          <w:rStyle w:val="FootnoteReference"/>
        </w:rPr>
        <w:footnoteRef/>
      </w:r>
      <w:r>
        <w:t xml:space="preserve"> </w:t>
      </w:r>
      <w:r>
        <w:tab/>
        <w:t xml:space="preserve">For example, see AER, </w:t>
      </w:r>
      <w:r>
        <w:rPr>
          <w:rStyle w:val="AERtextitalic"/>
        </w:rPr>
        <w:t>draft</w:t>
      </w:r>
      <w:r w:rsidRPr="00D1603D">
        <w:rPr>
          <w:rStyle w:val="AERtextitalic"/>
        </w:rPr>
        <w:t xml:space="preserve"> decision―</w:t>
      </w:r>
      <w:r>
        <w:rPr>
          <w:rStyle w:val="AERtextitalic"/>
        </w:rPr>
        <w:t>ActewAGL distribution access arrangement</w:t>
      </w:r>
      <w:r w:rsidRPr="00D1603D">
        <w:rPr>
          <w:rStyle w:val="AERtextitalic"/>
        </w:rPr>
        <w:t>, Attachment 3: Rate of return</w:t>
      </w:r>
      <w:r>
        <w:t>, November 2015, pp. 200</w:t>
      </w:r>
      <w:r w:rsidRPr="00D1603D">
        <w:t>–</w:t>
      </w:r>
      <w:r>
        <w:t xml:space="preserve">4. Also see AER, </w:t>
      </w:r>
      <w:r w:rsidRPr="00D1603D">
        <w:rPr>
          <w:rStyle w:val="AERtextitalic"/>
        </w:rPr>
        <w:t>Explanatory statement to the rate of return guideline</w:t>
      </w:r>
      <w:r>
        <w:t>, December 2013, pp. 166</w:t>
      </w:r>
      <w:r>
        <w:rPr>
          <w:rFonts w:cs="Arial"/>
        </w:rPr>
        <w:t>–</w:t>
      </w:r>
      <w:r>
        <w:t>7.</w:t>
      </w:r>
    </w:p>
  </w:footnote>
  <w:footnote w:id="430">
    <w:p w:rsidR="00702DD6" w:rsidRDefault="00702DD6" w:rsidP="007656EA">
      <w:pPr>
        <w:pStyle w:val="FootnoteText"/>
      </w:pPr>
      <w:r>
        <w:rPr>
          <w:rStyle w:val="FootnoteReference"/>
        </w:rPr>
        <w:footnoteRef/>
      </w:r>
      <w:r>
        <w:t xml:space="preserve"> </w:t>
      </w:r>
      <w:r>
        <w:tab/>
      </w:r>
      <w:r w:rsidRPr="00756A0D">
        <w:t>No third party data series is available for the full 10 year historical period, meaning a mixture of data series for different time periods would be required. The RBA and Bloomberg (BVAL) data series commenced in January 2005 and April 2010 respectively.</w:t>
      </w:r>
      <w:r>
        <w:t xml:space="preserve"> The</w:t>
      </w:r>
      <w:r w:rsidRPr="00756A0D">
        <w:t xml:space="preserve"> Commonwealth Bank of Australia</w:t>
      </w:r>
      <w:r>
        <w:t xml:space="preserve"> </w:t>
      </w:r>
      <w:r w:rsidRPr="00756A0D">
        <w:t>Spectrum and Bloomberg fair value curve data series ceased publication in August 2010 and May 2014 respective</w:t>
      </w:r>
      <w:r>
        <w:t>ly.</w:t>
      </w:r>
    </w:p>
  </w:footnote>
  <w:footnote w:id="431">
    <w:p w:rsidR="00702DD6" w:rsidRDefault="00702DD6" w:rsidP="007656EA">
      <w:pPr>
        <w:pStyle w:val="FootnoteText"/>
      </w:pPr>
      <w:r>
        <w:rPr>
          <w:rStyle w:val="FootnoteReference"/>
        </w:rPr>
        <w:footnoteRef/>
      </w:r>
      <w:r>
        <w:t xml:space="preserve"> </w:t>
      </w:r>
      <w:r>
        <w:tab/>
      </w:r>
      <w:r w:rsidRPr="00756A0D">
        <w:t xml:space="preserve">Lally, M, </w:t>
      </w:r>
      <w:r w:rsidRPr="005772E3">
        <w:rPr>
          <w:rStyle w:val="AERtextitalic"/>
        </w:rPr>
        <w:t>Transitional arrangements for the cost of debt</w:t>
      </w:r>
      <w:r w:rsidRPr="00756A0D">
        <w:t>, November 2014, p. 15.</w:t>
      </w:r>
    </w:p>
  </w:footnote>
  <w:footnote w:id="432">
    <w:p w:rsidR="00702DD6" w:rsidRDefault="00702DD6" w:rsidP="00E64331">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AER, </w:t>
      </w:r>
      <w:r w:rsidRPr="00A5241A">
        <w:rPr>
          <w:rStyle w:val="AERtextitalic"/>
        </w:rPr>
        <w:t>Better regulation—Explanatory statement to the rate of return guideline</w:t>
      </w:r>
      <w:r>
        <w:t>, December 2013, pp. 135–147.</w:t>
      </w:r>
    </w:p>
  </w:footnote>
  <w:footnote w:id="433">
    <w:p w:rsidR="00702DD6" w:rsidRDefault="00702DD6" w:rsidP="00E64331">
      <w:pPr>
        <w:pStyle w:val="FootnoteText"/>
      </w:pPr>
      <w:r>
        <w:rPr>
          <w:rStyle w:val="FootnoteReference"/>
        </w:rPr>
        <w:footnoteRef/>
      </w:r>
      <w:r>
        <w:t xml:space="preserve"> </w:t>
      </w:r>
      <w:r>
        <w:tab/>
        <w:t xml:space="preserve">AER, </w:t>
      </w:r>
      <w:r w:rsidRPr="001E272C">
        <w:rPr>
          <w:rStyle w:val="AERtextitalic"/>
        </w:rPr>
        <w:t>Draft decision: A</w:t>
      </w:r>
      <w:r>
        <w:rPr>
          <w:rStyle w:val="AERtextitalic"/>
        </w:rPr>
        <w:t>ctewAGL Distribution</w:t>
      </w:r>
      <w:r w:rsidRPr="001E272C">
        <w:rPr>
          <w:rStyle w:val="AERtextitalic"/>
        </w:rPr>
        <w:t xml:space="preserve"> access arrangement 2016 to 2021, Attachment 3―Rate of return</w:t>
      </w:r>
      <w:r>
        <w:t>, November 2015, pp. 215</w:t>
      </w:r>
      <w:r>
        <w:rPr>
          <w:rFonts w:cs="Arial"/>
        </w:rPr>
        <w:t>–</w:t>
      </w:r>
      <w:r>
        <w:t>218.</w:t>
      </w:r>
    </w:p>
  </w:footnote>
  <w:footnote w:id="434">
    <w:p w:rsidR="00702DD6" w:rsidRDefault="00702DD6" w:rsidP="00E64331">
      <w:pPr>
        <w:pStyle w:val="FootnoteText"/>
      </w:pPr>
      <w:r>
        <w:rPr>
          <w:rStyle w:val="FootnoteReference"/>
        </w:rPr>
        <w:footnoteRef/>
      </w:r>
      <w:r>
        <w:t xml:space="preserve"> </w:t>
      </w:r>
      <w:r>
        <w:tab/>
      </w:r>
      <w:r w:rsidRPr="001012B9">
        <w:t xml:space="preserve">ActewAGL, </w:t>
      </w:r>
      <w:r w:rsidRPr="001E272C">
        <w:rPr>
          <w:rStyle w:val="AERtextitalic"/>
        </w:rPr>
        <w:t>Access arrangement information</w:t>
      </w:r>
      <w:r>
        <w:t xml:space="preserve">, January 2016, p. 15; </w:t>
      </w:r>
      <w:r w:rsidRPr="001012B9">
        <w:t xml:space="preserve">AGN, </w:t>
      </w:r>
      <w:r w:rsidRPr="001E272C">
        <w:rPr>
          <w:rStyle w:val="AERtextitalic"/>
        </w:rPr>
        <w:t>Attachment 10.26 response to draft decision: Rate of return</w:t>
      </w:r>
      <w:r>
        <w:t>, January 2016, p. 7; APTNT</w:t>
      </w:r>
      <w:r w:rsidRPr="001012B9">
        <w:t xml:space="preserve">, </w:t>
      </w:r>
      <w:r w:rsidRPr="001E272C">
        <w:rPr>
          <w:rStyle w:val="AERtextitalic"/>
        </w:rPr>
        <w:t>Amadeus Gas Pipeline access arrangement information</w:t>
      </w:r>
      <w:r>
        <w:t xml:space="preserve">, January 2016, p. 24; </w:t>
      </w:r>
      <w:r w:rsidRPr="001012B9">
        <w:t xml:space="preserve"> AusNet Electricity Services, </w:t>
      </w:r>
      <w:r w:rsidRPr="001E272C">
        <w:rPr>
          <w:rStyle w:val="AERtextitalic"/>
        </w:rPr>
        <w:t>Revised regulatory proposal</w:t>
      </w:r>
      <w:r>
        <w:t xml:space="preserve">, January 2016, p. 7-5; </w:t>
      </w:r>
      <w:r w:rsidRPr="001012B9">
        <w:t xml:space="preserve">CitiPower, </w:t>
      </w:r>
      <w:r w:rsidRPr="001E272C">
        <w:rPr>
          <w:rStyle w:val="AERtextitalic"/>
        </w:rPr>
        <w:t>Revised Regulatory Proposal 2016—2020</w:t>
      </w:r>
      <w:r>
        <w:t xml:space="preserve">, 6anuary 2016, p. 262; </w:t>
      </w:r>
      <w:r w:rsidRPr="001012B9">
        <w:t xml:space="preserve">JEN, </w:t>
      </w:r>
      <w:r w:rsidRPr="001E272C">
        <w:rPr>
          <w:rStyle w:val="AERtextitalic"/>
        </w:rPr>
        <w:t>Attachment 6-1 rate of return, gamma, forecast inflation, and debt and equity raising costs</w:t>
      </w:r>
      <w:r>
        <w:t xml:space="preserve">, </w:t>
      </w:r>
      <w:r w:rsidRPr="001012B9">
        <w:t>January 2016</w:t>
      </w:r>
      <w:r>
        <w:t xml:space="preserve">, p. xi; </w:t>
      </w:r>
      <w:r w:rsidRPr="001012B9">
        <w:t xml:space="preserve">Powercor, </w:t>
      </w:r>
      <w:r w:rsidRPr="001E272C">
        <w:rPr>
          <w:rStyle w:val="AERtextitalic"/>
        </w:rPr>
        <w:t>Revised regulatory proposal 2016–20</w:t>
      </w:r>
      <w:r>
        <w:t xml:space="preserve">, January 2016, p. 256; </w:t>
      </w:r>
      <w:r w:rsidRPr="001012B9">
        <w:t xml:space="preserve">United Energy, </w:t>
      </w:r>
      <w:r w:rsidRPr="001E272C">
        <w:rPr>
          <w:rStyle w:val="AERtextitalic"/>
        </w:rPr>
        <w:t>2016 to 2020 revised regulatory proposal</w:t>
      </w:r>
      <w:r>
        <w:t xml:space="preserve">, </w:t>
      </w:r>
      <w:r w:rsidRPr="001012B9">
        <w:t>January 2016</w:t>
      </w:r>
      <w:r>
        <w:t>, p. 79</w:t>
      </w:r>
      <w:r w:rsidRPr="001012B9">
        <w:t>.</w:t>
      </w:r>
    </w:p>
  </w:footnote>
  <w:footnote w:id="435">
    <w:p w:rsidR="00702DD6" w:rsidRDefault="00702DD6" w:rsidP="00E64331">
      <w:pPr>
        <w:pStyle w:val="FootnoteText"/>
      </w:pPr>
      <w:r>
        <w:rPr>
          <w:rStyle w:val="FootnoteReference"/>
        </w:rPr>
        <w:footnoteRef/>
      </w:r>
      <w:r>
        <w:t xml:space="preserve"> </w:t>
      </w:r>
      <w:r>
        <w:tab/>
        <w:t xml:space="preserve">ActewAGL, </w:t>
      </w:r>
      <w:r w:rsidRPr="00AA7B4A">
        <w:rPr>
          <w:rStyle w:val="AERtextitalic"/>
        </w:rPr>
        <w:t>Initial proposal—Appendix 8.01: Detailed return on debt proposal</w:t>
      </w:r>
      <w:r>
        <w:t xml:space="preserve">, June 2015, pp. 1,6; AGN, </w:t>
      </w:r>
      <w:r w:rsidRPr="00E80769">
        <w:rPr>
          <w:rStyle w:val="AERtextitalic"/>
        </w:rPr>
        <w:t>Initial proposal—Attachment 10.1: Rate of return</w:t>
      </w:r>
      <w:r>
        <w:t xml:space="preserve">, July 2015, pp. 51–52; APTNT, </w:t>
      </w:r>
      <w:r w:rsidRPr="005101BD">
        <w:rPr>
          <w:rStyle w:val="AERtextitalic"/>
        </w:rPr>
        <w:t>Initial proposal—Access arrangement information</w:t>
      </w:r>
      <w:r>
        <w:t xml:space="preserve">, August 2015, pp. 28–33; </w:t>
      </w:r>
      <w:r w:rsidRPr="00C57C95">
        <w:t xml:space="preserve">AusNet Services, </w:t>
      </w:r>
      <w:r w:rsidRPr="00707A75">
        <w:rPr>
          <w:rStyle w:val="AERtextitalic"/>
        </w:rPr>
        <w:t>Initia</w:t>
      </w:r>
      <w:r>
        <w:rPr>
          <w:rStyle w:val="AERtextitalic"/>
        </w:rPr>
        <w:t>l regulatory p</w:t>
      </w:r>
      <w:r w:rsidRPr="00707A75">
        <w:rPr>
          <w:rStyle w:val="AERtextitalic"/>
        </w:rPr>
        <w:t>roposal,</w:t>
      </w:r>
      <w:r>
        <w:t xml:space="preserve"> April 2015, pp. 3</w:t>
      </w:r>
      <w:r w:rsidRPr="00C57C95">
        <w:t>35</w:t>
      </w:r>
      <w:r>
        <w:t>–336</w:t>
      </w:r>
      <w:r w:rsidRPr="00C57C95">
        <w:t xml:space="preserve">; Citipower, </w:t>
      </w:r>
      <w:r>
        <w:rPr>
          <w:rStyle w:val="AERtextitalic"/>
        </w:rPr>
        <w:t>Initial regulatory p</w:t>
      </w:r>
      <w:r w:rsidRPr="00707A75">
        <w:rPr>
          <w:rStyle w:val="AERtextitalic"/>
        </w:rPr>
        <w:t>roposal</w:t>
      </w:r>
      <w:r>
        <w:t>, April 2015, p. 2</w:t>
      </w:r>
      <w:r w:rsidRPr="00C57C95">
        <w:t xml:space="preserve">27; </w:t>
      </w:r>
      <w:r>
        <w:t>JEN</w:t>
      </w:r>
      <w:r w:rsidRPr="00C57C95">
        <w:t xml:space="preserve">, </w:t>
      </w:r>
      <w:r>
        <w:rPr>
          <w:rStyle w:val="AERtextitalic"/>
        </w:rPr>
        <w:t>Initial regulatory p</w:t>
      </w:r>
      <w:r w:rsidRPr="00707A75">
        <w:rPr>
          <w:rStyle w:val="AERtextitalic"/>
        </w:rPr>
        <w:t>roposal</w:t>
      </w:r>
      <w:r>
        <w:rPr>
          <w:rStyle w:val="AERtextitalic"/>
        </w:rPr>
        <w:t>—Attachment 9.2: Rate of return proposal</w:t>
      </w:r>
      <w:r w:rsidRPr="00707A75">
        <w:rPr>
          <w:rStyle w:val="AERtextitalic"/>
        </w:rPr>
        <w:t>,</w:t>
      </w:r>
      <w:r>
        <w:t xml:space="preserve"> April 2015, pp. 88–89</w:t>
      </w:r>
      <w:r w:rsidRPr="00C57C95">
        <w:t xml:space="preserve">; Powercor, </w:t>
      </w:r>
      <w:r>
        <w:rPr>
          <w:rStyle w:val="AERtextitalic"/>
        </w:rPr>
        <w:t>Initial regulatory p</w:t>
      </w:r>
      <w:r w:rsidRPr="00707A75">
        <w:rPr>
          <w:rStyle w:val="AERtextitalic"/>
        </w:rPr>
        <w:t>roposal</w:t>
      </w:r>
      <w:r>
        <w:t>, April 2015, pp. 2</w:t>
      </w:r>
      <w:r w:rsidRPr="00C57C95">
        <w:t>35</w:t>
      </w:r>
      <w:r>
        <w:noBreakHyphen/>
      </w:r>
      <w:r w:rsidRPr="00C57C95">
        <w:t xml:space="preserve">236; United Energy, </w:t>
      </w:r>
      <w:r>
        <w:rPr>
          <w:rStyle w:val="AERtextitalic"/>
        </w:rPr>
        <w:t>Initial r</w:t>
      </w:r>
      <w:r w:rsidRPr="00707A75">
        <w:rPr>
          <w:rStyle w:val="AERtextitalic"/>
        </w:rPr>
        <w:t>egu</w:t>
      </w:r>
      <w:r>
        <w:rPr>
          <w:rStyle w:val="AERtextitalic"/>
        </w:rPr>
        <w:t>latory p</w:t>
      </w:r>
      <w:r w:rsidRPr="00707A75">
        <w:rPr>
          <w:rStyle w:val="AERtextitalic"/>
        </w:rPr>
        <w:t>roposal</w:t>
      </w:r>
      <w:r>
        <w:rPr>
          <w:rStyle w:val="AERtextitalic"/>
        </w:rPr>
        <w:t>—Attachment: Rate of return on debt</w:t>
      </w:r>
      <w:r w:rsidRPr="00C57C95">
        <w:t xml:space="preserve">, April 2015, </w:t>
      </w:r>
      <w:r>
        <w:t>pp. 4–6.</w:t>
      </w:r>
    </w:p>
  </w:footnote>
  <w:footnote w:id="436">
    <w:p w:rsidR="00702DD6" w:rsidRDefault="00702DD6" w:rsidP="00E64331">
      <w:pPr>
        <w:pStyle w:val="FootnoteText"/>
      </w:pPr>
      <w:r>
        <w:rPr>
          <w:rStyle w:val="FootnoteReference"/>
        </w:rPr>
        <w:footnoteRef/>
      </w:r>
      <w:r>
        <w:t xml:space="preserve"> </w:t>
      </w:r>
      <w:r>
        <w:tab/>
      </w:r>
      <w:r w:rsidRPr="00354D35">
        <w:t xml:space="preserve">NERA, </w:t>
      </w:r>
      <w:r w:rsidRPr="00354D35">
        <w:rPr>
          <w:rStyle w:val="AERtextitalic"/>
        </w:rPr>
        <w:t>Return on capital of a regulated electricity network,</w:t>
      </w:r>
      <w:r w:rsidRPr="00354D35">
        <w:t xml:space="preserve"> May 2014, p. ii; </w:t>
      </w:r>
      <w:r w:rsidRPr="00075A2A">
        <w:rPr>
          <w:rStyle w:val="AERtextitalic"/>
          <w:i w:val="0"/>
        </w:rPr>
        <w:t>CEG</w:t>
      </w:r>
      <w:r w:rsidRPr="00354D35">
        <w:rPr>
          <w:rStyle w:val="AERtextitalic"/>
        </w:rPr>
        <w:t>, WACC estimates, a report for NSW DNSPs</w:t>
      </w:r>
      <w:r w:rsidRPr="00354D35">
        <w:t>. May 2014, pp. 48–49.</w:t>
      </w:r>
    </w:p>
  </w:footnote>
  <w:footnote w:id="437">
    <w:p w:rsidR="00702DD6" w:rsidRPr="006F4CF4" w:rsidRDefault="00702DD6" w:rsidP="00E64331">
      <w:pPr>
        <w:pStyle w:val="FootnoteText"/>
        <w:rPr>
          <w:rStyle w:val="AERtextitalic"/>
          <w:i w:val="0"/>
        </w:rPr>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 </w:t>
      </w:r>
      <w:r w:rsidRPr="006F4CF4">
        <w:rPr>
          <w:rStyle w:val="AERtextitalic"/>
          <w:i w:val="0"/>
        </w:rPr>
        <w:t>July 2015, p. 8</w:t>
      </w:r>
      <w:r>
        <w:rPr>
          <w:rStyle w:val="AERtextitalic"/>
        </w:rPr>
        <w:t>.</w:t>
      </w:r>
    </w:p>
  </w:footnote>
  <w:footnote w:id="438">
    <w:p w:rsidR="00702DD6" w:rsidRDefault="00702DD6" w:rsidP="00E64331">
      <w:pPr>
        <w:pStyle w:val="FootnoteText"/>
      </w:pPr>
      <w:r>
        <w:rPr>
          <w:rStyle w:val="FootnoteReference"/>
        </w:rPr>
        <w:footnoteRef/>
      </w:r>
      <w:r>
        <w:t xml:space="preserve"> </w:t>
      </w:r>
      <w:r>
        <w:tab/>
        <w:t xml:space="preserve">CCP3, Submission to the AER: An </w:t>
      </w:r>
      <w:r w:rsidRPr="001C40BE">
        <w:rPr>
          <w:rStyle w:val="AERtextitalic"/>
        </w:rPr>
        <w:t>Overview ― Response to AER Preliminary Decisions and revised proposals from Victorian electricity DNSPs f</w:t>
      </w:r>
      <w:r>
        <w:rPr>
          <w:rStyle w:val="AERtextitalic"/>
        </w:rPr>
        <w:t>or a revenue reset for the 2016</w:t>
      </w:r>
      <w:r>
        <w:rPr>
          <w:rStyle w:val="AERtextitalic"/>
          <w:rFonts w:cs="Arial"/>
        </w:rPr>
        <w:t>–</w:t>
      </w:r>
      <w:r w:rsidRPr="001C40BE">
        <w:rPr>
          <w:rStyle w:val="AERtextitalic"/>
        </w:rPr>
        <w:t>2020 regulatory period</w:t>
      </w:r>
      <w:r>
        <w:t>, 22 February 2016, p. 29.</w:t>
      </w:r>
    </w:p>
  </w:footnote>
  <w:footnote w:id="439">
    <w:p w:rsidR="00702DD6" w:rsidRDefault="00702DD6" w:rsidP="00E64331">
      <w:pPr>
        <w:pStyle w:val="FootnoteText"/>
      </w:pPr>
      <w:r>
        <w:rPr>
          <w:rStyle w:val="FootnoteReference"/>
        </w:rPr>
        <w:footnoteRef/>
      </w:r>
      <w:r>
        <w:t xml:space="preserve"> </w:t>
      </w:r>
      <w:r>
        <w:tab/>
        <w:t xml:space="preserve">We have recognised this previously in AER, </w:t>
      </w:r>
      <w:r w:rsidRPr="001E272C">
        <w:rPr>
          <w:rStyle w:val="AERtextitalic"/>
        </w:rPr>
        <w:t>Draft decision: A</w:t>
      </w:r>
      <w:r>
        <w:rPr>
          <w:rStyle w:val="AERtextitalic"/>
        </w:rPr>
        <w:t>ctewAGL Distribution</w:t>
      </w:r>
      <w:r w:rsidRPr="001E272C">
        <w:rPr>
          <w:rStyle w:val="AERtextitalic"/>
        </w:rPr>
        <w:t xml:space="preserve"> access arrangement 2016 to 2021, Attachment 3―Rate of return</w:t>
      </w:r>
      <w:r>
        <w:t>, November 2015, p. 215.</w:t>
      </w:r>
    </w:p>
  </w:footnote>
  <w:footnote w:id="440">
    <w:p w:rsidR="00702DD6" w:rsidRDefault="00702DD6" w:rsidP="00E64331">
      <w:pPr>
        <w:pStyle w:val="FootnoteText"/>
      </w:pPr>
      <w:r>
        <w:rPr>
          <w:rStyle w:val="FootnoteReference"/>
        </w:rPr>
        <w:footnoteRef/>
      </w:r>
      <w:r>
        <w:t xml:space="preserve"> </w:t>
      </w:r>
      <w:r>
        <w:tab/>
        <w:t>For example, SAPN did not agree that the true benchmark debt term would likely to less than 10 years. SAPN,</w:t>
      </w:r>
      <w:r w:rsidRPr="00F52001">
        <w:t xml:space="preserve"> </w:t>
      </w:r>
      <w:r w:rsidRPr="00AA7B4A">
        <w:rPr>
          <w:rStyle w:val="AERtextitalic"/>
        </w:rPr>
        <w:t>Revised regulatory proposal</w:t>
      </w:r>
      <w:r w:rsidRPr="00F52001">
        <w:t xml:space="preserve">, June 2015, </w:t>
      </w:r>
      <w:r>
        <w:t>p. 381.</w:t>
      </w:r>
    </w:p>
  </w:footnote>
  <w:footnote w:id="441">
    <w:p w:rsidR="00702DD6" w:rsidRDefault="00702DD6" w:rsidP="00E64331">
      <w:pPr>
        <w:pStyle w:val="FootnoteText"/>
      </w:pPr>
      <w:r>
        <w:rPr>
          <w:rStyle w:val="FootnoteReference"/>
        </w:rPr>
        <w:footnoteRef/>
      </w:r>
      <w:r>
        <w:t xml:space="preserve"> </w:t>
      </w:r>
      <w:r>
        <w:tab/>
        <w:t xml:space="preserve">See for example, AER, </w:t>
      </w:r>
      <w:r w:rsidRPr="001E272C">
        <w:rPr>
          <w:rStyle w:val="AERtextitalic"/>
        </w:rPr>
        <w:t>Draft decision: A</w:t>
      </w:r>
      <w:r>
        <w:rPr>
          <w:rStyle w:val="AERtextitalic"/>
        </w:rPr>
        <w:t xml:space="preserve">ctewAGL Distribution </w:t>
      </w:r>
      <w:r w:rsidRPr="001E272C">
        <w:rPr>
          <w:rStyle w:val="AERtextitalic"/>
        </w:rPr>
        <w:t>access arrangement 2016 to 2021, Attachment 3―Rate of return</w:t>
      </w:r>
      <w:r>
        <w:t>, November 2015, pp. 215</w:t>
      </w:r>
      <w:r w:rsidRPr="00D51564">
        <w:t>–</w:t>
      </w:r>
      <w:r>
        <w:t>218.</w:t>
      </w:r>
    </w:p>
  </w:footnote>
  <w:footnote w:id="442">
    <w:p w:rsidR="00702DD6" w:rsidRDefault="00702DD6" w:rsidP="00E64331">
      <w:pPr>
        <w:pStyle w:val="FootnoteText"/>
      </w:pPr>
      <w:r>
        <w:rPr>
          <w:rStyle w:val="FootnoteReference"/>
        </w:rPr>
        <w:footnoteRef/>
      </w:r>
      <w:r>
        <w:t xml:space="preserve"> </w:t>
      </w:r>
      <w:r>
        <w:tab/>
        <w:t xml:space="preserve">ActewAGL, </w:t>
      </w:r>
      <w:r w:rsidRPr="003A5970">
        <w:rPr>
          <w:rStyle w:val="AERtextitalic"/>
        </w:rPr>
        <w:t>Access arrangement information</w:t>
      </w:r>
      <w:r>
        <w:t xml:space="preserve">, January 2016, p. 36; AGN, </w:t>
      </w:r>
      <w:r w:rsidRPr="003A5970">
        <w:rPr>
          <w:rStyle w:val="AERtextitalic"/>
        </w:rPr>
        <w:t>Attachment 10.26 response to draft decision: Rate of return</w:t>
      </w:r>
      <w:r>
        <w:t xml:space="preserve">, January 2016, p. 36; AusNet Electricity Services, </w:t>
      </w:r>
      <w:r w:rsidRPr="003A5970">
        <w:rPr>
          <w:rStyle w:val="AERtextitalic"/>
        </w:rPr>
        <w:t>Revised regulatory proposal</w:t>
      </w:r>
      <w:r>
        <w:t>, January 2016, p. 175;</w:t>
      </w:r>
      <w:r w:rsidRPr="009E6238">
        <w:t xml:space="preserve"> </w:t>
      </w:r>
      <w:r>
        <w:t xml:space="preserve">CitiPower, </w:t>
      </w:r>
      <w:r w:rsidRPr="003A5970">
        <w:rPr>
          <w:rStyle w:val="AERtextitalic"/>
        </w:rPr>
        <w:t>R</w:t>
      </w:r>
      <w:r>
        <w:rPr>
          <w:rStyle w:val="AERtextitalic"/>
        </w:rPr>
        <w:t>evised Regulatory Proposal 2016</w:t>
      </w:r>
      <w:r>
        <w:rPr>
          <w:rStyle w:val="AERtextitalic"/>
          <w:rFonts w:cs="Arial"/>
        </w:rPr>
        <w:t>–</w:t>
      </w:r>
      <w:r w:rsidRPr="003A5970">
        <w:rPr>
          <w:rStyle w:val="AERtextitalic"/>
        </w:rPr>
        <w:t>2020</w:t>
      </w:r>
      <w:r>
        <w:t>, January 2016, p. 344;</w:t>
      </w:r>
      <w:r w:rsidRPr="009E6238">
        <w:t xml:space="preserve"> </w:t>
      </w:r>
      <w:r>
        <w:t xml:space="preserve">JEN, </w:t>
      </w:r>
      <w:r w:rsidRPr="003A5970">
        <w:rPr>
          <w:rStyle w:val="AERtextitalic"/>
        </w:rPr>
        <w:t>Attachment 6-1 rate of return, gamma, forecast inflation, and debt and equity raising costs</w:t>
      </w:r>
      <w:r>
        <w:t>, January 2016, p. 29;</w:t>
      </w:r>
      <w:r w:rsidRPr="009E6238">
        <w:t xml:space="preserve"> </w:t>
      </w:r>
      <w:r>
        <w:t xml:space="preserve">Powercor, </w:t>
      </w:r>
      <w:r w:rsidRPr="003A5970">
        <w:rPr>
          <w:rStyle w:val="AERtextitalic"/>
        </w:rPr>
        <w:t>Revised regulatory proposal 2016–20</w:t>
      </w:r>
      <w:r>
        <w:t>, January 2016, p. 338.</w:t>
      </w:r>
      <w:r w:rsidRPr="001B1590">
        <w:t xml:space="preserve"> </w:t>
      </w:r>
      <w:r>
        <w:t xml:space="preserve">These service providers referenced a report considered during the Guideline development process. That is, </w:t>
      </w:r>
      <w:r w:rsidRPr="00354D0F">
        <w:t xml:space="preserve">PwC, </w:t>
      </w:r>
      <w:r>
        <w:t>ENA</w:t>
      </w:r>
      <w:r w:rsidRPr="00354D0F">
        <w:t xml:space="preserve">: </w:t>
      </w:r>
      <w:r w:rsidRPr="006F1A7F">
        <w:rPr>
          <w:rStyle w:val="AERtextitalic"/>
        </w:rPr>
        <w:t>Benchmark term of debt assumption</w:t>
      </w:r>
      <w:r w:rsidRPr="00354D0F">
        <w:t>, June 2013</w:t>
      </w:r>
      <w:r>
        <w:t>.</w:t>
      </w:r>
    </w:p>
  </w:footnote>
  <w:footnote w:id="443">
    <w:p w:rsidR="00702DD6" w:rsidRDefault="00702DD6" w:rsidP="00E64331">
      <w:pPr>
        <w:pStyle w:val="FootnoteText"/>
      </w:pPr>
      <w:r>
        <w:rPr>
          <w:rStyle w:val="FootnoteReference"/>
        </w:rPr>
        <w:footnoteRef/>
      </w:r>
      <w:r>
        <w:t xml:space="preserve"> </w:t>
      </w:r>
      <w:r>
        <w:tab/>
        <w:t>NER, cl. 6.5.2(b); NGR, r. 87(2).</w:t>
      </w:r>
    </w:p>
  </w:footnote>
  <w:footnote w:id="444">
    <w:p w:rsidR="00702DD6" w:rsidRDefault="00702DD6" w:rsidP="00E64331">
      <w:pPr>
        <w:pStyle w:val="FootnoteText"/>
      </w:pPr>
      <w:r>
        <w:rPr>
          <w:rStyle w:val="FootnoteReference"/>
        </w:rPr>
        <w:footnoteRef/>
      </w:r>
      <w:r>
        <w:t xml:space="preserve"> </w:t>
      </w:r>
      <w:r>
        <w:tab/>
      </w:r>
      <w:r w:rsidRPr="007B13EA">
        <w:t>Information was received from APA Group, AusNet Services, CitiPower, Dampier to Bunbury Pipeline, ElectraNet, Envestra, Jemena, Multinet, Powercor, SA Power Networks and United Energy.</w:t>
      </w:r>
    </w:p>
  </w:footnote>
  <w:footnote w:id="445">
    <w:p w:rsidR="00702DD6" w:rsidRDefault="00702DD6" w:rsidP="00E64331">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136.</w:t>
      </w:r>
    </w:p>
  </w:footnote>
  <w:footnote w:id="446">
    <w:p w:rsidR="00702DD6" w:rsidRDefault="00702DD6" w:rsidP="00E64331">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p.21; AER, </w:t>
      </w:r>
      <w:r w:rsidRPr="00A5241A">
        <w:rPr>
          <w:rStyle w:val="AERtextitalic"/>
        </w:rPr>
        <w:t>Better regulation—Explanatory statement to the rate of return guideline</w:t>
      </w:r>
      <w:r>
        <w:t xml:space="preserve">, December 2013, pp.152–157; AER, </w:t>
      </w:r>
      <w:r>
        <w:rPr>
          <w:rStyle w:val="AERtextitalic"/>
        </w:rPr>
        <w:t>Draft</w:t>
      </w:r>
      <w:r w:rsidRPr="00B96D23">
        <w:rPr>
          <w:rStyle w:val="AERtextitalic"/>
        </w:rPr>
        <w:t xml:space="preserve"> decision </w:t>
      </w:r>
      <w:r>
        <w:rPr>
          <w:rStyle w:val="AERtextitalic"/>
        </w:rPr>
        <w:t xml:space="preserve">ActewAGL </w:t>
      </w:r>
      <w:r w:rsidRPr="00B96D23">
        <w:rPr>
          <w:rStyle w:val="AERtextitalic"/>
        </w:rPr>
        <w:t xml:space="preserve">distribution </w:t>
      </w:r>
      <w:r>
        <w:rPr>
          <w:rStyle w:val="AERtextitalic"/>
        </w:rPr>
        <w:t>access arrangement</w:t>
      </w:r>
      <w:r w:rsidRPr="00B96D23">
        <w:rPr>
          <w:rStyle w:val="AERtextitalic"/>
        </w:rPr>
        <w:t xml:space="preserve"> - Attachment 3 - Rate of return</w:t>
      </w:r>
      <w:r>
        <w:t>, November 2015, p. 219.</w:t>
      </w:r>
    </w:p>
  </w:footnote>
  <w:footnote w:id="447">
    <w:p w:rsidR="00702DD6" w:rsidRDefault="00702DD6" w:rsidP="00E64331">
      <w:pPr>
        <w:pStyle w:val="FootnoteText"/>
      </w:pPr>
      <w:r>
        <w:rPr>
          <w:rStyle w:val="FootnoteReference"/>
        </w:rPr>
        <w:footnoteRef/>
      </w:r>
      <w:r>
        <w:t xml:space="preserve"> </w:t>
      </w:r>
      <w:r>
        <w:tab/>
        <w:t xml:space="preserve">Australian Competition Tribunal, </w:t>
      </w:r>
      <w:r w:rsidRPr="001C40BE">
        <w:rPr>
          <w:rStyle w:val="AERtextitalic"/>
        </w:rPr>
        <w:t>Applications by Public Interest Advocacy Centre Ltd and Ausgrid [2016] ACompT 1</w:t>
      </w:r>
      <w:r>
        <w:t>, 26 February 2016, para 993.</w:t>
      </w:r>
    </w:p>
  </w:footnote>
  <w:footnote w:id="448">
    <w:p w:rsidR="00702DD6" w:rsidRDefault="00702DD6" w:rsidP="00E64331">
      <w:pPr>
        <w:pStyle w:val="FootnoteText"/>
      </w:pPr>
      <w:r>
        <w:rPr>
          <w:rStyle w:val="FootnoteReference"/>
        </w:rPr>
        <w:footnoteRef/>
      </w:r>
      <w:r>
        <w:t xml:space="preserve"> </w:t>
      </w:r>
      <w:r>
        <w:tab/>
        <w:t xml:space="preserve">AusNet Services,  </w:t>
      </w:r>
      <w:r w:rsidRPr="00FA2361">
        <w:rPr>
          <w:rStyle w:val="AERtextitalic"/>
        </w:rPr>
        <w:t>Revised Proposal</w:t>
      </w:r>
      <w:r>
        <w:t>, January 2016, pp. 7</w:t>
      </w:r>
      <w:r>
        <w:rPr>
          <w:rFonts w:cs="Arial"/>
        </w:rPr>
        <w:t>–</w:t>
      </w:r>
      <w:r>
        <w:t xml:space="preserve">5; CitiPower, </w:t>
      </w:r>
      <w:r w:rsidRPr="00FA2361">
        <w:rPr>
          <w:rStyle w:val="AERtextitalic"/>
        </w:rPr>
        <w:t>Revised proposal 2016-20</w:t>
      </w:r>
      <w:r>
        <w:t xml:space="preserve">, January 2016, p. 328; Powercor, </w:t>
      </w:r>
      <w:r w:rsidRPr="00FA2361">
        <w:rPr>
          <w:rStyle w:val="AERtextitalic"/>
        </w:rPr>
        <w:t>Revised Regulatory Proposal</w:t>
      </w:r>
      <w:r>
        <w:t xml:space="preserve">, 2016-2020, January 2016, p. 260; </w:t>
      </w:r>
      <w:r w:rsidRPr="00FA2361">
        <w:rPr>
          <w:rStyle w:val="AERtextitalic"/>
        </w:rPr>
        <w:t>ActewAGL, Revised access arrangement information</w:t>
      </w:r>
      <w:r>
        <w:t xml:space="preserve">, January 2016, p. 24. </w:t>
      </w:r>
    </w:p>
  </w:footnote>
  <w:footnote w:id="449">
    <w:p w:rsidR="00702DD6" w:rsidRDefault="00702DD6" w:rsidP="00E64331">
      <w:pPr>
        <w:pStyle w:val="FootnoteText"/>
      </w:pPr>
      <w:r>
        <w:rPr>
          <w:rStyle w:val="FootnoteReference"/>
        </w:rPr>
        <w:footnoteRef/>
      </w:r>
      <w:r>
        <w:t xml:space="preserve"> </w:t>
      </w:r>
      <w:r>
        <w:tab/>
        <w:t xml:space="preserve">Jemena, </w:t>
      </w:r>
      <w:r w:rsidRPr="00FA2361">
        <w:rPr>
          <w:rStyle w:val="AERtextitalic"/>
        </w:rPr>
        <w:t>Attachment 06-01 Rate of return and gamma [PUBLIC]</w:t>
      </w:r>
      <w:r>
        <w:t xml:space="preserve">, January 2016, p. 13; AGN, </w:t>
      </w:r>
      <w:r w:rsidRPr="00FA2361">
        <w:rPr>
          <w:rStyle w:val="AERtextitalic"/>
        </w:rPr>
        <w:t>Attachment 10.26 Rate of Return [PUBLIC]</w:t>
      </w:r>
      <w:r>
        <w:t>, January 2016, p. 2.</w:t>
      </w:r>
    </w:p>
  </w:footnote>
  <w:footnote w:id="450">
    <w:p w:rsidR="00702DD6" w:rsidRDefault="00702DD6" w:rsidP="00E64331">
      <w:pPr>
        <w:pStyle w:val="FootnoteText"/>
      </w:pPr>
      <w:r>
        <w:rPr>
          <w:rStyle w:val="FootnoteReference"/>
        </w:rPr>
        <w:footnoteRef/>
      </w:r>
      <w:r>
        <w:t xml:space="preserve"> </w:t>
      </w:r>
      <w:r>
        <w:tab/>
      </w:r>
      <w:r w:rsidRPr="009765E9">
        <w:t xml:space="preserve">AusNet Transmission Group Pty Ltd, </w:t>
      </w:r>
      <w:r w:rsidRPr="001C40BE">
        <w:rPr>
          <w:rStyle w:val="AERtextitalic"/>
        </w:rPr>
        <w:t>Transmission Revenue Review 2017–2022 regulatory proposal</w:t>
      </w:r>
      <w:r>
        <w:t xml:space="preserve">, 30 October 2015, p. 191; United Energy, </w:t>
      </w:r>
      <w:r w:rsidRPr="00987910">
        <w:rPr>
          <w:rStyle w:val="AERtextitalic"/>
        </w:rPr>
        <w:t>Revised Regulatory Proposal, 2016-20</w:t>
      </w:r>
      <w:r>
        <w:t>, January 2016, p. 79.</w:t>
      </w:r>
    </w:p>
  </w:footnote>
  <w:footnote w:id="451">
    <w:p w:rsidR="00702DD6" w:rsidRDefault="00702DD6" w:rsidP="00E64331">
      <w:pPr>
        <w:pStyle w:val="FootnoteText"/>
      </w:pPr>
      <w:r>
        <w:rPr>
          <w:rStyle w:val="FootnoteReference"/>
        </w:rPr>
        <w:footnoteRef/>
      </w:r>
      <w:r>
        <w:t xml:space="preserve"> </w:t>
      </w:r>
      <w:r>
        <w:tab/>
        <w:t xml:space="preserve">APTNT, </w:t>
      </w:r>
      <w:r w:rsidRPr="00820ABF">
        <w:rPr>
          <w:rStyle w:val="AERtextitalic"/>
        </w:rPr>
        <w:t>Access Arrangement Revised Proposal Response to Draft Decision</w:t>
      </w:r>
      <w:r>
        <w:t>, January 2016, p. 88.</w:t>
      </w:r>
    </w:p>
  </w:footnote>
  <w:footnote w:id="452">
    <w:p w:rsidR="00702DD6" w:rsidRDefault="00702DD6" w:rsidP="00E64331">
      <w:pPr>
        <w:pStyle w:val="FootnoteText"/>
      </w:pPr>
      <w:r>
        <w:rPr>
          <w:rStyle w:val="FootnoteReference"/>
        </w:rPr>
        <w:footnoteRef/>
      </w:r>
      <w:r>
        <w:t xml:space="preserve"> </w:t>
      </w:r>
      <w:r>
        <w:tab/>
      </w:r>
      <w:r w:rsidRPr="009765E9">
        <w:t xml:space="preserve">Powerlink, </w:t>
      </w:r>
      <w:r w:rsidRPr="001C40BE">
        <w:rPr>
          <w:rStyle w:val="AERtextitalic"/>
        </w:rPr>
        <w:t>Queensland revenue proposal</w:t>
      </w:r>
      <w:r>
        <w:t xml:space="preserve">, January 2016; </w:t>
      </w:r>
      <w:r w:rsidRPr="009765E9">
        <w:t xml:space="preserve">TasNetworks, </w:t>
      </w:r>
      <w:r w:rsidRPr="001C40BE">
        <w:rPr>
          <w:rStyle w:val="AERtextitalic"/>
        </w:rPr>
        <w:t>Tasmanian distribution regulatory proposal: Regulatory control period 1 July 2017 to 30 June 2019</w:t>
      </w:r>
      <w:r w:rsidRPr="009765E9">
        <w:t>, 29 January 2016.</w:t>
      </w:r>
    </w:p>
  </w:footnote>
  <w:footnote w:id="453">
    <w:p w:rsidR="00702DD6" w:rsidRDefault="00702DD6" w:rsidP="00E64331">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454">
    <w:p w:rsidR="00702DD6" w:rsidRDefault="00702DD6" w:rsidP="00E64331">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sidRPr="009201D8">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 </w:t>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 first round of regulatory determinations under the new rules</w:t>
      </w:r>
      <w:r w:rsidRPr="00A55DDF">
        <w:t>, February 2015</w:t>
      </w:r>
      <w:r>
        <w:t>;</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2A3876">
        <w:t xml:space="preserve">, </w:t>
      </w:r>
      <w:r>
        <w:t xml:space="preserve">Ergon Energy, </w:t>
      </w:r>
      <w:r w:rsidRPr="00073F41">
        <w:rPr>
          <w:rStyle w:val="AERtextitalic"/>
        </w:rPr>
        <w:t>Appendix C: Rate of return, Regulatory proposal</w:t>
      </w:r>
      <w:r>
        <w:t>, October 2014, p. 123</w:t>
      </w:r>
      <w:r w:rsidRPr="00390F5A">
        <w:t>;</w:t>
      </w:r>
      <w:r>
        <w:t xml:space="preserve"> </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 xml:space="preserve">January 2015, p. 230;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455">
    <w:p w:rsidR="00702DD6" w:rsidRDefault="00702DD6" w:rsidP="00E64331">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t>, November 2014, pp. 28–3;</w:t>
      </w:r>
      <w:r w:rsidRPr="00284761">
        <w:t xml:space="preserve"> </w:t>
      </w:r>
      <w:r>
        <w:t xml:space="preserve">SACES, </w:t>
      </w:r>
      <w:r w:rsidRPr="00E05AA1">
        <w:rPr>
          <w:rStyle w:val="AERtextitalic"/>
        </w:rPr>
        <w:t>Independent estimates of the WACC for SAPN: Report commissioned by the SACOSS</w:t>
      </w:r>
      <w:r>
        <w:t>, January 2015, pp. 13</w:t>
      </w:r>
      <w:r w:rsidRPr="00284761">
        <w:t>–</w:t>
      </w:r>
      <w:r>
        <w:t>14.</w:t>
      </w:r>
    </w:p>
  </w:footnote>
  <w:footnote w:id="456">
    <w:p w:rsidR="00702DD6" w:rsidRDefault="00702DD6" w:rsidP="00E64331">
      <w:pPr>
        <w:pStyle w:val="FootnoteText"/>
      </w:pPr>
      <w:r>
        <w:rPr>
          <w:rStyle w:val="FootnoteReference"/>
        </w:rPr>
        <w:footnoteRef/>
      </w:r>
      <w:r>
        <w:t xml:space="preserve"> </w:t>
      </w:r>
      <w:r>
        <w:tab/>
        <w:t xml:space="preserve">CCIQ, </w:t>
      </w:r>
      <w:r w:rsidRPr="00D01FA2">
        <w:rPr>
          <w:rStyle w:val="AERtextitalic"/>
        </w:rPr>
        <w:t>Submission to the Australian Energy Regulator on Energex's regulatory proposal for the 2015-20 revenue determination</w:t>
      </w:r>
      <w:r>
        <w:t xml:space="preserve">, January 2015; ECCSA, </w:t>
      </w:r>
      <w:r w:rsidRPr="00D01FA2">
        <w:rPr>
          <w:rStyle w:val="AERtextitalic"/>
        </w:rPr>
        <w:t>AER review of SAPN application 2014: ECCSA response to AER's preliminary decision</w:t>
      </w:r>
      <w:r>
        <w:t>, June 2015.</w:t>
      </w:r>
    </w:p>
  </w:footnote>
  <w:footnote w:id="457">
    <w:p w:rsidR="00702DD6" w:rsidRDefault="00702DD6" w:rsidP="00E64331">
      <w:pPr>
        <w:pStyle w:val="FootnoteText"/>
      </w:pPr>
      <w:r>
        <w:rPr>
          <w:rStyle w:val="FootnoteReference"/>
        </w:rPr>
        <w:footnoteRef/>
      </w:r>
      <w:r>
        <w:t xml:space="preserve"> </w:t>
      </w:r>
      <w:r>
        <w:tab/>
      </w:r>
      <w:r w:rsidRPr="003E67D8">
        <w:t>ECCSA, A response to the AER draft decision on AGN’s AA2016 revenue reset, February 2016</w:t>
      </w:r>
      <w:r>
        <w:t>, p. 34.</w:t>
      </w:r>
    </w:p>
  </w:footnote>
  <w:footnote w:id="458">
    <w:p w:rsidR="00702DD6" w:rsidRDefault="00702DD6" w:rsidP="00E64331">
      <w:pPr>
        <w:pStyle w:val="FootnoteText"/>
      </w:pPr>
      <w:r>
        <w:rPr>
          <w:rStyle w:val="FootnoteReference"/>
        </w:rPr>
        <w:footnoteRef/>
      </w:r>
      <w:r>
        <w:t xml:space="preserve"> </w:t>
      </w:r>
      <w:r>
        <w:tab/>
        <w:t xml:space="preserve">ECCSA, </w:t>
      </w:r>
      <w:r w:rsidRPr="00D01FA2">
        <w:rPr>
          <w:rStyle w:val="AERtextitalic"/>
        </w:rPr>
        <w:t>AER review of SAPN application 2014: ECCSA response to AER's preliminary decision</w:t>
      </w:r>
      <w:r>
        <w:t>, June 2015</w:t>
      </w:r>
    </w:p>
  </w:footnote>
  <w:footnote w:id="459">
    <w:p w:rsidR="00702DD6" w:rsidRDefault="00702DD6" w:rsidP="00E64331">
      <w:pPr>
        <w:pStyle w:val="FootnoteText"/>
      </w:pPr>
      <w:r>
        <w:rPr>
          <w:rStyle w:val="FootnoteReference"/>
        </w:rPr>
        <w:footnoteRef/>
      </w:r>
      <w:r>
        <w:t xml:space="preserve"> </w:t>
      </w:r>
      <w:r>
        <w:tab/>
      </w:r>
      <w:r w:rsidRPr="001D5755">
        <w:t xml:space="preserve">VECUA, </w:t>
      </w:r>
      <w:r w:rsidRPr="001D5755">
        <w:rPr>
          <w:rStyle w:val="AERtextitalic"/>
        </w:rPr>
        <w:t>Submission to the AER: Victorian Distribution Networks' 2016-20 revenue proposals</w:t>
      </w:r>
      <w:r w:rsidRPr="00C364A0">
        <w:rPr>
          <w:rStyle w:val="AERtextitalic"/>
          <w:i w:val="0"/>
        </w:rPr>
        <w:t>, January 2016.</w:t>
      </w:r>
    </w:p>
  </w:footnote>
  <w:footnote w:id="460">
    <w:p w:rsidR="00702DD6" w:rsidRDefault="00702DD6" w:rsidP="00E64331">
      <w:pPr>
        <w:pStyle w:val="FootnoteText"/>
      </w:pPr>
      <w:r>
        <w:rPr>
          <w:rStyle w:val="FootnoteReference"/>
        </w:rPr>
        <w:footnoteRef/>
      </w:r>
      <w:r>
        <w:t xml:space="preserve"> </w:t>
      </w:r>
      <w:r>
        <w:tab/>
        <w:t xml:space="preserve">Victorian Energy Consumer and User Alliance (VECUA), </w:t>
      </w:r>
      <w:r w:rsidRPr="00FA2361">
        <w:rPr>
          <w:rStyle w:val="AERtextitalic"/>
        </w:rPr>
        <w:t>Submission to the AER - AER Preliminary 2016-20 Revenue Determinations for the Victorian DNSPs</w:t>
      </w:r>
      <w:r>
        <w:t>, January 2016, p. 18.</w:t>
      </w:r>
    </w:p>
  </w:footnote>
  <w:footnote w:id="461">
    <w:p w:rsidR="00702DD6" w:rsidRDefault="00702DD6" w:rsidP="00E64331">
      <w:pPr>
        <w:pStyle w:val="FootnoteText"/>
      </w:pPr>
      <w:r>
        <w:rPr>
          <w:rStyle w:val="FootnoteReference"/>
        </w:rPr>
        <w:footnoteRef/>
      </w:r>
      <w:r>
        <w:t xml:space="preserve"> </w:t>
      </w:r>
      <w:r>
        <w:tab/>
        <w:t xml:space="preserve">ActewAGL, AusNet Services and United Energy disagreed that our use of a broad BBB curve to estimate the return on debt was conservative in their favour. See </w:t>
      </w:r>
      <w:r w:rsidRPr="003E67D8">
        <w:t xml:space="preserve"> ActewAGL Distribution, </w:t>
      </w:r>
      <w:r w:rsidRPr="001C40BE">
        <w:rPr>
          <w:rStyle w:val="AERtextitalic"/>
        </w:rPr>
        <w:t>Attachment 3: Response to submission made to the AER by the VECUA dated 6 January 2016</w:t>
      </w:r>
      <w:r>
        <w:t xml:space="preserve">, p. 4; </w:t>
      </w:r>
      <w:r w:rsidRPr="003E67D8">
        <w:t xml:space="preserve">AusNet Services, </w:t>
      </w:r>
      <w:r w:rsidRPr="001C40BE">
        <w:rPr>
          <w:rStyle w:val="AERtextitalic"/>
        </w:rPr>
        <w:t>Response to submissions on the Victorian EDPR preliminary decision (2016–20)</w:t>
      </w:r>
      <w:r w:rsidRPr="003E67D8">
        <w:t>, 4 February 2016</w:t>
      </w:r>
      <w:r>
        <w:t>, pp. 22</w:t>
      </w:r>
      <w:r>
        <w:rPr>
          <w:rFonts w:cs="Arial"/>
        </w:rPr>
        <w:t>–</w:t>
      </w:r>
      <w:r>
        <w:t xml:space="preserve">7; </w:t>
      </w:r>
      <w:r w:rsidRPr="003E67D8">
        <w:t xml:space="preserve">United Energy, </w:t>
      </w:r>
      <w:r w:rsidRPr="001C40BE">
        <w:rPr>
          <w:rStyle w:val="AERtextitalic"/>
        </w:rPr>
        <w:t>Submission to the AER’s preliminary determination for United Energy (for 2016–20)</w:t>
      </w:r>
      <w:r w:rsidRPr="003E67D8">
        <w:t>, 4 February 2016</w:t>
      </w:r>
      <w:r>
        <w:t>, pp. 4</w:t>
      </w:r>
      <w:r>
        <w:rPr>
          <w:rFonts w:cs="Arial"/>
        </w:rPr>
        <w:t>–</w:t>
      </w:r>
      <w:r>
        <w:t>9.</w:t>
      </w:r>
    </w:p>
  </w:footnote>
  <w:footnote w:id="462">
    <w:p w:rsidR="00702DD6" w:rsidRDefault="00702DD6" w:rsidP="00E64331">
      <w:pPr>
        <w:pStyle w:val="FootnoteText"/>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w:t>
      </w:r>
      <w:r w:rsidRPr="00C364A0">
        <w:rPr>
          <w:rStyle w:val="AERtextitalic"/>
          <w:i w:val="0"/>
        </w:rPr>
        <w:t>, July 2015, p. 8</w:t>
      </w:r>
      <w:r>
        <w:rPr>
          <w:rStyle w:val="AERtextitalic"/>
        </w:rPr>
        <w:t>.</w:t>
      </w:r>
    </w:p>
  </w:footnote>
  <w:footnote w:id="463">
    <w:p w:rsidR="00702DD6" w:rsidRDefault="00702DD6" w:rsidP="00E64331">
      <w:pPr>
        <w:pStyle w:val="FootnoteText"/>
      </w:pPr>
      <w:r>
        <w:rPr>
          <w:rStyle w:val="FootnoteReference"/>
        </w:rPr>
        <w:footnoteRef/>
      </w:r>
      <w:r>
        <w:t xml:space="preserve"> </w:t>
      </w:r>
      <w:r>
        <w:tab/>
        <w:t xml:space="preserve">See, for example, AER, </w:t>
      </w:r>
      <w:r w:rsidRPr="00567323">
        <w:rPr>
          <w:rStyle w:val="AERtextitalic"/>
        </w:rPr>
        <w:t xml:space="preserve">Explanatory statement: Rate of return </w:t>
      </w:r>
      <w:r w:rsidRPr="00993283">
        <w:rPr>
          <w:rStyle w:val="AERtextitalic"/>
        </w:rPr>
        <w:t>guideline</w:t>
      </w:r>
      <w:r>
        <w:t>, December 2013, pp. 152</w:t>
      </w:r>
      <w:r>
        <w:rPr>
          <w:rFonts w:cs="Arial"/>
        </w:rPr>
        <w:t>–</w:t>
      </w:r>
      <w:r>
        <w:t xml:space="preserve">157; AER, </w:t>
      </w:r>
      <w:r w:rsidRPr="00567323">
        <w:rPr>
          <w:rStyle w:val="AERtextitalic"/>
        </w:rPr>
        <w:t>Explanatory statement: Rate of return guideline (appendixes)</w:t>
      </w:r>
      <w:r>
        <w:t>, December 2013, pp. 126</w:t>
      </w:r>
      <w:r>
        <w:rPr>
          <w:rFonts w:cs="Arial"/>
        </w:rPr>
        <w:t>–</w:t>
      </w:r>
      <w:r>
        <w:t>130.</w:t>
      </w:r>
    </w:p>
  </w:footnote>
  <w:footnote w:id="464">
    <w:p w:rsidR="00702DD6" w:rsidRDefault="00702DD6" w:rsidP="00E64331">
      <w:pPr>
        <w:pStyle w:val="FootnoteText"/>
      </w:pPr>
      <w:r>
        <w:rPr>
          <w:rStyle w:val="FootnoteReference"/>
        </w:rPr>
        <w:footnoteRef/>
      </w:r>
      <w:r>
        <w:t xml:space="preserve"> </w:t>
      </w:r>
      <w:r>
        <w:tab/>
        <w:t xml:space="preserve">AER, </w:t>
      </w:r>
      <w:r>
        <w:rPr>
          <w:rStyle w:val="AERtextitalic"/>
        </w:rPr>
        <w:t>Draft</w:t>
      </w:r>
      <w:r w:rsidRPr="00A81241">
        <w:rPr>
          <w:rStyle w:val="AERtextitalic"/>
        </w:rPr>
        <w:t xml:space="preserve"> decision </w:t>
      </w:r>
      <w:r>
        <w:rPr>
          <w:rStyle w:val="AERtextitalic"/>
        </w:rPr>
        <w:t>ActewAGL</w:t>
      </w:r>
      <w:r w:rsidRPr="00A81241">
        <w:rPr>
          <w:rStyle w:val="AERtextitalic"/>
        </w:rPr>
        <w:t xml:space="preserve"> distribution </w:t>
      </w:r>
      <w:r>
        <w:rPr>
          <w:rStyle w:val="AERtextitalic"/>
        </w:rPr>
        <w:t>access arrangement</w:t>
      </w:r>
      <w:r w:rsidRPr="00A81241">
        <w:rPr>
          <w:rStyle w:val="AERtextitalic"/>
        </w:rPr>
        <w:t xml:space="preserve"> - Attachment 3 - Rate of return</w:t>
      </w:r>
      <w:r>
        <w:t>, November 2015, p.222.</w:t>
      </w:r>
    </w:p>
  </w:footnote>
  <w:footnote w:id="465">
    <w:p w:rsidR="00702DD6" w:rsidRDefault="00702DD6" w:rsidP="00E64331">
      <w:pPr>
        <w:pStyle w:val="FootnoteText"/>
      </w:pPr>
      <w:r>
        <w:rPr>
          <w:rStyle w:val="FootnoteReference"/>
        </w:rPr>
        <w:footnoteRef/>
      </w:r>
      <w:r>
        <w:t xml:space="preserve"> </w:t>
      </w:r>
      <w:r>
        <w:tab/>
        <w:t xml:space="preserve">AER, </w:t>
      </w:r>
      <w:r>
        <w:rPr>
          <w:rStyle w:val="AERtextitalic"/>
        </w:rPr>
        <w:t>Draft</w:t>
      </w:r>
      <w:r w:rsidRPr="00A81241">
        <w:rPr>
          <w:rStyle w:val="AERtextitalic"/>
        </w:rPr>
        <w:t xml:space="preserve"> decision </w:t>
      </w:r>
      <w:r>
        <w:rPr>
          <w:rStyle w:val="AERtextitalic"/>
        </w:rPr>
        <w:t>ActewAGL</w:t>
      </w:r>
      <w:r w:rsidRPr="00A81241">
        <w:rPr>
          <w:rStyle w:val="AERtextitalic"/>
        </w:rPr>
        <w:t xml:space="preserve"> distribution </w:t>
      </w:r>
      <w:r>
        <w:rPr>
          <w:rStyle w:val="AERtextitalic"/>
        </w:rPr>
        <w:t>access arrangement</w:t>
      </w:r>
      <w:r w:rsidRPr="00A81241">
        <w:rPr>
          <w:rStyle w:val="AERtextitalic"/>
        </w:rPr>
        <w:t xml:space="preserve"> - Attachment 3 - Rate of return</w:t>
      </w:r>
      <w:r>
        <w:t>, November 2015, pp. 588</w:t>
      </w:r>
      <w:r>
        <w:rPr>
          <w:rFonts w:cs="Arial"/>
        </w:rPr>
        <w:t>–</w:t>
      </w:r>
      <w:r>
        <w:t>589.</w:t>
      </w:r>
    </w:p>
  </w:footnote>
  <w:footnote w:id="466">
    <w:p w:rsidR="00702DD6" w:rsidRDefault="00702DD6" w:rsidP="00E64331">
      <w:pPr>
        <w:pStyle w:val="FootnoteText"/>
      </w:pPr>
      <w:r>
        <w:rPr>
          <w:rStyle w:val="FootnoteReference"/>
        </w:rPr>
        <w:footnoteRef/>
      </w:r>
      <w:r>
        <w:t xml:space="preserve"> </w:t>
      </w:r>
      <w:r>
        <w:tab/>
        <w:t xml:space="preserve">These were put forward in </w:t>
      </w:r>
      <w:r w:rsidRPr="00451348">
        <w:t xml:space="preserve">CEG, </w:t>
      </w:r>
      <w:r w:rsidRPr="00A81241">
        <w:rPr>
          <w:rStyle w:val="AERtextitalic"/>
        </w:rPr>
        <w:t>Attachment 7.01: WACC estimates, a report for the NSW DNSPs</w:t>
      </w:r>
      <w:r w:rsidRPr="00451348">
        <w:t xml:space="preserve">, May 2014, p. 65; CEG, </w:t>
      </w:r>
      <w:r w:rsidRPr="00A81241">
        <w:rPr>
          <w:rStyle w:val="AERtextitalic"/>
        </w:rPr>
        <w:t>Memorandum: Factors relevant to estimating a trailing average cost of debt</w:t>
      </w:r>
      <w:r w:rsidRPr="00451348">
        <w:t>, 24 May 2014, pp. 14–15.</w:t>
      </w:r>
      <w:r>
        <w:t xml:space="preserve"> For our response, see AER, </w:t>
      </w:r>
      <w:r w:rsidRPr="0029036F">
        <w:rPr>
          <w:rStyle w:val="AERtextitalic"/>
        </w:rPr>
        <w:t>Draft decision: JGN access arrangement, Attachment 3</w:t>
      </w:r>
      <w:r>
        <w:t>, November 2014, pp. 295</w:t>
      </w:r>
      <w:r w:rsidRPr="00451348">
        <w:t>–</w:t>
      </w:r>
      <w:r>
        <w:t>297.</w:t>
      </w:r>
    </w:p>
  </w:footnote>
  <w:footnote w:id="467">
    <w:p w:rsidR="00702DD6" w:rsidRDefault="00702DD6" w:rsidP="00E64331">
      <w:pPr>
        <w:pStyle w:val="FootnoteText"/>
      </w:pPr>
      <w:r>
        <w:rPr>
          <w:rStyle w:val="FootnoteReference"/>
        </w:rPr>
        <w:footnoteRef/>
      </w:r>
      <w:r>
        <w:t xml:space="preserve"> </w:t>
      </w:r>
      <w:r>
        <w:tab/>
        <w:t xml:space="preserve">AusNet Services,  </w:t>
      </w:r>
      <w:r w:rsidRPr="0005122F">
        <w:rPr>
          <w:rStyle w:val="AERtextitalic"/>
        </w:rPr>
        <w:t>Revised Proposal</w:t>
      </w:r>
      <w:r>
        <w:t xml:space="preserve">, January 2016, pp. 7-33 to 7-35; CitiPower, </w:t>
      </w:r>
      <w:r w:rsidRPr="0005122F">
        <w:rPr>
          <w:rStyle w:val="AERtextitalic"/>
        </w:rPr>
        <w:t>Revised proposal 2016-20</w:t>
      </w:r>
      <w:r>
        <w:t xml:space="preserve">, January 2016, p. 344; Powercor, </w:t>
      </w:r>
      <w:r w:rsidRPr="0005122F">
        <w:rPr>
          <w:rStyle w:val="AERtextitalic"/>
        </w:rPr>
        <w:t>Revised Regulatory Proposal</w:t>
      </w:r>
      <w:r>
        <w:t xml:space="preserve">, 2016-2020, January 2016, p. 338; </w:t>
      </w:r>
      <w:r w:rsidRPr="0005122F">
        <w:rPr>
          <w:rStyle w:val="AERtextitalic"/>
        </w:rPr>
        <w:t>ActewAGL, Revised access arrangement information</w:t>
      </w:r>
      <w:r>
        <w:t xml:space="preserve">, January 2016, p.24; Jemena, </w:t>
      </w:r>
      <w:r w:rsidRPr="0005122F">
        <w:rPr>
          <w:rStyle w:val="AERtextitalic"/>
        </w:rPr>
        <w:t>Attachment 06-01 Rate of return and gamma [PUBLIC]</w:t>
      </w:r>
      <w:r>
        <w:t>, January 2016, pp. 28</w:t>
      </w:r>
      <w:r>
        <w:rPr>
          <w:rFonts w:cs="Arial"/>
        </w:rPr>
        <w:t>–</w:t>
      </w:r>
      <w:r>
        <w:t xml:space="preserve">29 ; AGN, </w:t>
      </w:r>
      <w:r w:rsidRPr="0005122F">
        <w:rPr>
          <w:rStyle w:val="AERtextitalic"/>
        </w:rPr>
        <w:t>Attachment 10.26 Rate of Return [PUBLIC]</w:t>
      </w:r>
      <w:r>
        <w:t xml:space="preserve">, January 2016, p. 7; United Energy, </w:t>
      </w:r>
      <w:r w:rsidRPr="00987910">
        <w:rPr>
          <w:rStyle w:val="AERtextitalic"/>
        </w:rPr>
        <w:t>Revised Regulatory Proposal, 2016-20</w:t>
      </w:r>
      <w:r>
        <w:t xml:space="preserve">, January 2016, p. 79; APTNT, </w:t>
      </w:r>
      <w:r w:rsidRPr="0005122F">
        <w:rPr>
          <w:rStyle w:val="AERtextitalic"/>
        </w:rPr>
        <w:t>Access Arrangement Revised Proposal Response to Draft Decision</w:t>
      </w:r>
      <w:r>
        <w:t>, January 2016, p. 88.</w:t>
      </w:r>
    </w:p>
  </w:footnote>
  <w:footnote w:id="468">
    <w:p w:rsidR="00702DD6" w:rsidRDefault="00702DD6" w:rsidP="00E64331">
      <w:pPr>
        <w:pStyle w:val="FootnoteText"/>
      </w:pPr>
      <w:r>
        <w:rPr>
          <w:rStyle w:val="FootnoteReference"/>
        </w:rPr>
        <w:footnoteRef/>
      </w:r>
      <w:r>
        <w:t xml:space="preserve"> </w:t>
      </w:r>
      <w:r>
        <w:tab/>
        <w:t>That is, Ergon Energy Corp Ltd.</w:t>
      </w:r>
    </w:p>
  </w:footnote>
  <w:footnote w:id="469">
    <w:p w:rsidR="00702DD6" w:rsidRDefault="00702DD6" w:rsidP="00E64331">
      <w:pPr>
        <w:pStyle w:val="FootnoteText"/>
      </w:pPr>
      <w:r>
        <w:rPr>
          <w:rStyle w:val="FootnoteReference"/>
        </w:rPr>
        <w:footnoteRef/>
      </w:r>
      <w:r>
        <w:t xml:space="preserve"> </w:t>
      </w:r>
      <w:r>
        <w:tab/>
        <w:t xml:space="preserve">AER, </w:t>
      </w:r>
      <w:r>
        <w:rPr>
          <w:rStyle w:val="AERtextitalic"/>
        </w:rPr>
        <w:t>Draft</w:t>
      </w:r>
      <w:r w:rsidRPr="00A81241">
        <w:rPr>
          <w:rStyle w:val="AERtextitalic"/>
        </w:rPr>
        <w:t xml:space="preserve"> decision </w:t>
      </w:r>
      <w:r>
        <w:rPr>
          <w:rStyle w:val="AERtextitalic"/>
        </w:rPr>
        <w:t>ActewAGL</w:t>
      </w:r>
      <w:r w:rsidRPr="00A81241">
        <w:rPr>
          <w:rStyle w:val="AERtextitalic"/>
        </w:rPr>
        <w:t xml:space="preserve"> distribution </w:t>
      </w:r>
      <w:r>
        <w:rPr>
          <w:rStyle w:val="AERtextitalic"/>
        </w:rPr>
        <w:t>access arrangement</w:t>
      </w:r>
      <w:r w:rsidRPr="00A81241">
        <w:rPr>
          <w:rStyle w:val="AERtextitalic"/>
        </w:rPr>
        <w:t xml:space="preserve"> - Attachment 3 - Rate of return</w:t>
      </w:r>
      <w:r>
        <w:t>, November 2015, pp. 603-605.</w:t>
      </w:r>
    </w:p>
  </w:footnote>
  <w:footnote w:id="470">
    <w:p w:rsidR="00702DD6" w:rsidRDefault="00702DD6" w:rsidP="00E64331">
      <w:pPr>
        <w:pStyle w:val="FootnoteText"/>
      </w:pPr>
      <w:r>
        <w:rPr>
          <w:rStyle w:val="FootnoteReference"/>
        </w:rPr>
        <w:footnoteRef/>
      </w:r>
      <w:r>
        <w:t xml:space="preserve"> </w:t>
      </w:r>
      <w:r>
        <w:tab/>
        <w:t xml:space="preserve">AER, </w:t>
      </w:r>
      <w:r>
        <w:rPr>
          <w:rStyle w:val="AERtextitalic"/>
        </w:rPr>
        <w:t>Draft</w:t>
      </w:r>
      <w:r w:rsidRPr="00A81241">
        <w:rPr>
          <w:rStyle w:val="AERtextitalic"/>
        </w:rPr>
        <w:t xml:space="preserve"> decision </w:t>
      </w:r>
      <w:r>
        <w:rPr>
          <w:rStyle w:val="AERtextitalic"/>
        </w:rPr>
        <w:t>ActewAGL</w:t>
      </w:r>
      <w:r w:rsidRPr="00A81241">
        <w:rPr>
          <w:rStyle w:val="AERtextitalic"/>
        </w:rPr>
        <w:t xml:space="preserve"> distribution </w:t>
      </w:r>
      <w:r>
        <w:rPr>
          <w:rStyle w:val="AERtextitalic"/>
        </w:rPr>
        <w:t>access arrangement</w:t>
      </w:r>
      <w:r w:rsidRPr="00A81241">
        <w:rPr>
          <w:rStyle w:val="AERtextitalic"/>
        </w:rPr>
        <w:t xml:space="preserve"> - Attachment 3 - Rate of return</w:t>
      </w:r>
      <w:r>
        <w:t>, November 2015, pp. 219-223, 598</w:t>
      </w:r>
      <w:r>
        <w:rPr>
          <w:rFonts w:cs="Arial"/>
        </w:rPr>
        <w:t>–</w:t>
      </w:r>
      <w:r>
        <w:t>605.</w:t>
      </w:r>
    </w:p>
  </w:footnote>
  <w:footnote w:id="471">
    <w:p w:rsidR="00702DD6" w:rsidRDefault="00702DD6" w:rsidP="00E64331">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xml:space="preserve">, December 2013, p.156; AER, </w:t>
      </w:r>
      <w:r>
        <w:rPr>
          <w:rStyle w:val="AERtextitalic"/>
        </w:rPr>
        <w:t>Draft</w:t>
      </w:r>
      <w:r w:rsidRPr="00A81241">
        <w:rPr>
          <w:rStyle w:val="AERtextitalic"/>
        </w:rPr>
        <w:t xml:space="preserve"> decision </w:t>
      </w:r>
      <w:r>
        <w:rPr>
          <w:rStyle w:val="AERtextitalic"/>
        </w:rPr>
        <w:t>ActewAGL</w:t>
      </w:r>
      <w:r w:rsidRPr="00A81241">
        <w:rPr>
          <w:rStyle w:val="AERtextitalic"/>
        </w:rPr>
        <w:t xml:space="preserve"> distribution </w:t>
      </w:r>
      <w:r>
        <w:rPr>
          <w:rStyle w:val="AERtextitalic"/>
        </w:rPr>
        <w:t>access arrangement</w:t>
      </w:r>
      <w:r w:rsidRPr="00A81241">
        <w:rPr>
          <w:rStyle w:val="AERtextitalic"/>
        </w:rPr>
        <w:t xml:space="preserve"> </w:t>
      </w:r>
      <w:r w:rsidRPr="00B96D23">
        <w:rPr>
          <w:rStyle w:val="AERtextitalic"/>
        </w:rPr>
        <w:t>- Attachment 3 - Rate of return</w:t>
      </w:r>
      <w:r>
        <w:t>, November 2015, p. 219.</w:t>
      </w:r>
    </w:p>
  </w:footnote>
  <w:footnote w:id="472">
    <w:p w:rsidR="00702DD6" w:rsidRDefault="00702DD6" w:rsidP="00E64331">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473">
    <w:p w:rsidR="00702DD6" w:rsidRDefault="00702DD6" w:rsidP="00E64331">
      <w:pPr>
        <w:pStyle w:val="FootnoteText"/>
      </w:pPr>
      <w:r>
        <w:rPr>
          <w:rStyle w:val="FootnoteReference"/>
        </w:rPr>
        <w:footnoteRef/>
      </w:r>
      <w:r>
        <w:t xml:space="preserve"> </w:t>
      </w:r>
      <w:r>
        <w:tab/>
      </w:r>
      <w:r w:rsidRPr="00C50D37">
        <w:t>AER</w:t>
      </w:r>
      <w:r>
        <w:t xml:space="preserve">, </w:t>
      </w:r>
      <w:r>
        <w:rPr>
          <w:rStyle w:val="AERtextitalic"/>
        </w:rPr>
        <w:t>Draft</w:t>
      </w:r>
      <w:r w:rsidRPr="00A81241">
        <w:rPr>
          <w:rStyle w:val="AERtextitalic"/>
        </w:rPr>
        <w:t xml:space="preserve"> decision </w:t>
      </w:r>
      <w:r>
        <w:rPr>
          <w:rStyle w:val="AERtextitalic"/>
        </w:rPr>
        <w:t>ActewAGL</w:t>
      </w:r>
      <w:r w:rsidRPr="00A81241">
        <w:rPr>
          <w:rStyle w:val="AERtextitalic"/>
        </w:rPr>
        <w:t xml:space="preserve"> distribution </w:t>
      </w:r>
      <w:r>
        <w:rPr>
          <w:rStyle w:val="AERtextitalic"/>
        </w:rPr>
        <w:t>access arrangement</w:t>
      </w:r>
      <w:r w:rsidRPr="00A81241">
        <w:rPr>
          <w:rStyle w:val="AERtextitalic"/>
        </w:rPr>
        <w:t xml:space="preserve"> </w:t>
      </w:r>
      <w:r w:rsidRPr="00FA2361">
        <w:rPr>
          <w:rStyle w:val="AERtextitalic"/>
        </w:rPr>
        <w:t>- Attachment 3 - Rate of return</w:t>
      </w:r>
      <w:r>
        <w:t xml:space="preserve">, November 2015, p. 222; </w:t>
      </w:r>
      <w:r w:rsidRPr="00C50D37">
        <w:t>AER</w:t>
      </w:r>
      <w:r>
        <w:t xml:space="preserve">, </w:t>
      </w:r>
      <w:r w:rsidRPr="00C50D37">
        <w:t xml:space="preserve"> </w:t>
      </w:r>
      <w:r>
        <w:rPr>
          <w:rStyle w:val="AERtextitalic"/>
        </w:rPr>
        <w:t>Final decision Ausgrid</w:t>
      </w:r>
      <w:r w:rsidRPr="00B96D23">
        <w:rPr>
          <w:rStyle w:val="AERtextitalic"/>
        </w:rPr>
        <w:t xml:space="preserve"> distribution determination - Attachment 3 - Rate of return</w:t>
      </w:r>
      <w:r>
        <w:t>, April 2015, p. 197.</w:t>
      </w:r>
    </w:p>
  </w:footnote>
  <w:footnote w:id="474">
    <w:p w:rsidR="00702DD6" w:rsidRDefault="00702DD6" w:rsidP="00E64331">
      <w:pPr>
        <w:pStyle w:val="FootnoteText"/>
      </w:pPr>
      <w:r>
        <w:rPr>
          <w:rStyle w:val="FootnoteReference"/>
        </w:rPr>
        <w:footnoteRef/>
      </w:r>
      <w:r>
        <w:t xml:space="preserve"> </w:t>
      </w:r>
      <w:r>
        <w:tab/>
        <w:t xml:space="preserve">AER, </w:t>
      </w:r>
      <w:r>
        <w:rPr>
          <w:rStyle w:val="AERtextitalic"/>
        </w:rPr>
        <w:t>Draft</w:t>
      </w:r>
      <w:r w:rsidRPr="00A81241">
        <w:rPr>
          <w:rStyle w:val="AERtextitalic"/>
        </w:rPr>
        <w:t xml:space="preserve"> decision </w:t>
      </w:r>
      <w:r>
        <w:rPr>
          <w:rStyle w:val="AERtextitalic"/>
        </w:rPr>
        <w:t>ActewAGL</w:t>
      </w:r>
      <w:r w:rsidRPr="00A81241">
        <w:rPr>
          <w:rStyle w:val="AERtextitalic"/>
        </w:rPr>
        <w:t xml:space="preserve"> distribution </w:t>
      </w:r>
      <w:r>
        <w:rPr>
          <w:rStyle w:val="AERtextitalic"/>
        </w:rPr>
        <w:t>access arrangement</w:t>
      </w:r>
      <w:r w:rsidRPr="00FA2361">
        <w:rPr>
          <w:rStyle w:val="AERtextitalic"/>
        </w:rPr>
        <w:t xml:space="preserve"> - Attachment 3 - Rate of return</w:t>
      </w:r>
      <w:r>
        <w:t>, October 2015, p. 599.</w:t>
      </w:r>
    </w:p>
  </w:footnote>
  <w:footnote w:id="475">
    <w:p w:rsidR="00702DD6" w:rsidRDefault="00702DD6" w:rsidP="00E64331">
      <w:pPr>
        <w:pStyle w:val="FootnoteText"/>
      </w:pPr>
      <w:r>
        <w:rPr>
          <w:rStyle w:val="FootnoteReference"/>
        </w:rPr>
        <w:footnoteRef/>
      </w:r>
      <w:r>
        <w:t xml:space="preserve"> </w:t>
      </w:r>
      <w:r>
        <w:tab/>
        <w:t xml:space="preserve">Spark Infrastructure, </w:t>
      </w:r>
      <w:r w:rsidRPr="00FA2361">
        <w:rPr>
          <w:rStyle w:val="AERtextitalic"/>
        </w:rPr>
        <w:t>Victoria Power Networks announces new joint funding vehicle for CitiPower and Powerco</w:t>
      </w:r>
      <w:r w:rsidRPr="00E63C04">
        <w:t>r</w:t>
      </w:r>
      <w:r>
        <w:t xml:space="preserve">, 2 November 2015, see </w:t>
      </w:r>
      <w:r w:rsidRPr="007706A6">
        <w:t>http://www.asx.com.au/asxpdf/20151102/pdf/432p758z1zn56z.pdf</w:t>
      </w:r>
      <w:r>
        <w:t>.</w:t>
      </w:r>
    </w:p>
  </w:footnote>
  <w:footnote w:id="476">
    <w:p w:rsidR="00702DD6" w:rsidRDefault="00702DD6" w:rsidP="008B6DB4">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130.</w:t>
      </w:r>
    </w:p>
  </w:footnote>
  <w:footnote w:id="477">
    <w:p w:rsidR="00702DD6" w:rsidRDefault="00702DD6" w:rsidP="008B6DB4">
      <w:pPr>
        <w:pStyle w:val="FootnoteText"/>
      </w:pPr>
      <w:r>
        <w:rPr>
          <w:rStyle w:val="FootnoteReference"/>
        </w:rPr>
        <w:footnoteRef/>
      </w:r>
      <w:r>
        <w:t xml:space="preserve"> </w:t>
      </w:r>
      <w:r>
        <w:tab/>
        <w:t>We explain this in the 'Response to key issues raised by stakeholders' section below.</w:t>
      </w:r>
    </w:p>
  </w:footnote>
  <w:footnote w:id="478">
    <w:p w:rsidR="00702DD6" w:rsidRDefault="00702DD6" w:rsidP="008B6DB4">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479">
    <w:p w:rsidR="00702DD6" w:rsidRDefault="00702DD6" w:rsidP="008B6DB4">
      <w:pPr>
        <w:pStyle w:val="FootnoteText"/>
      </w:pPr>
      <w:r>
        <w:rPr>
          <w:rStyle w:val="FootnoteReference"/>
        </w:rPr>
        <w:footnoteRef/>
      </w:r>
      <w:r>
        <w:t xml:space="preserve"> </w:t>
      </w:r>
      <w:r>
        <w:tab/>
      </w:r>
      <w:r w:rsidRPr="0084261F">
        <w:t>IPART</w:t>
      </w:r>
      <w:r>
        <w:t xml:space="preserve"> has switched from having its own approach to using an independent data service provider (the RBA). </w:t>
      </w:r>
      <w:r w:rsidRPr="0084261F">
        <w:t xml:space="preserve"> The ERA has developed its own bond yield approach and the QCA engaged PwC to develop </w:t>
      </w:r>
      <w:r>
        <w:t>its own</w:t>
      </w:r>
      <w:r w:rsidRPr="0084261F">
        <w:t xml:space="preserve"> econometric</w:t>
      </w:r>
      <w:r>
        <w:t>ally derived approach</w:t>
      </w:r>
      <w:r w:rsidRPr="0084261F">
        <w:t xml:space="preserve"> </w:t>
      </w:r>
      <w:r>
        <w:t xml:space="preserve">(and combines this with using a third party data series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480">
    <w:p w:rsidR="00702DD6" w:rsidRDefault="00702DD6" w:rsidP="008B6DB4">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481">
    <w:p w:rsidR="00702DD6" w:rsidRDefault="00702DD6" w:rsidP="008B6DB4">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482">
    <w:p w:rsidR="00702DD6" w:rsidRDefault="00702DD6" w:rsidP="008B6DB4">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483">
    <w:p w:rsidR="00702DD6" w:rsidRDefault="00702DD6" w:rsidP="008B6DB4">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 also 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484">
    <w:p w:rsidR="00702DD6" w:rsidRDefault="00702DD6" w:rsidP="008B6DB4">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485">
    <w:p w:rsidR="00702DD6" w:rsidRDefault="00702DD6" w:rsidP="008B6DB4">
      <w:pPr>
        <w:pStyle w:val="FootnoteText"/>
      </w:pPr>
      <w:r>
        <w:rPr>
          <w:rStyle w:val="FootnoteReference"/>
        </w:rPr>
        <w:footnoteRef/>
      </w:r>
      <w:r>
        <w:t xml:space="preserve"> </w:t>
      </w:r>
      <w:r>
        <w:tab/>
      </w:r>
      <w:r w:rsidRPr="00C57C95">
        <w:t xml:space="preserve">United Energy, </w:t>
      </w:r>
      <w:r>
        <w:rPr>
          <w:rStyle w:val="AERtextitalic"/>
        </w:rPr>
        <w:t>Initial r</w:t>
      </w:r>
      <w:r w:rsidRPr="00707A75">
        <w:rPr>
          <w:rStyle w:val="AERtextitalic"/>
        </w:rPr>
        <w:t>egu</w:t>
      </w:r>
      <w:r>
        <w:rPr>
          <w:rStyle w:val="AERtextitalic"/>
        </w:rPr>
        <w:t>latory p</w:t>
      </w:r>
      <w:r w:rsidRPr="00707A75">
        <w:rPr>
          <w:rStyle w:val="AERtextitalic"/>
        </w:rPr>
        <w:t>roposal</w:t>
      </w:r>
      <w:r>
        <w:rPr>
          <w:rStyle w:val="AERtextitalic"/>
        </w:rPr>
        <w:t>—Attachment: Rate of return on debt</w:t>
      </w:r>
      <w:r w:rsidRPr="00C57C95">
        <w:t xml:space="preserve">, April 2015, </w:t>
      </w:r>
      <w:r>
        <w:t xml:space="preserve">pp. 25–28; Esquant, </w:t>
      </w:r>
      <w:r w:rsidRPr="00051330">
        <w:rPr>
          <w:rStyle w:val="AERtextitalic"/>
        </w:rPr>
        <w:t>The development of yield curves, zero coupon yields, and par value yields for corporate bonds—A report prepared for United Energy and Multinet Gas in response to the AER's draft rate of return guideline</w:t>
      </w:r>
      <w:r>
        <w:t>, 17 October 2013.</w:t>
      </w:r>
    </w:p>
  </w:footnote>
  <w:footnote w:id="486">
    <w:p w:rsidR="00702DD6" w:rsidRDefault="00702DD6" w:rsidP="008B6DB4">
      <w:pPr>
        <w:pStyle w:val="FootnoteText"/>
      </w:pPr>
      <w:r>
        <w:rPr>
          <w:rStyle w:val="FootnoteReference"/>
        </w:rPr>
        <w:footnoteRef/>
      </w:r>
      <w:r>
        <w:t xml:space="preserve"> </w:t>
      </w:r>
      <w:r>
        <w:tab/>
        <w:t xml:space="preserve">Lally, </w:t>
      </w:r>
      <w:r w:rsidRPr="00FB2A2F">
        <w:rPr>
          <w:rStyle w:val="AERtextitalic"/>
        </w:rPr>
        <w:t>Review of submissions on implementation issues for the cost of debt</w:t>
      </w:r>
      <w:r>
        <w:t>, 18 October 2015, p. 23.</w:t>
      </w:r>
    </w:p>
  </w:footnote>
  <w:footnote w:id="487">
    <w:p w:rsidR="00702DD6" w:rsidRDefault="00702DD6" w:rsidP="008B6DB4">
      <w:pPr>
        <w:pStyle w:val="FootnoteText"/>
      </w:pPr>
      <w:r>
        <w:rPr>
          <w:rStyle w:val="FootnoteReference"/>
        </w:rPr>
        <w:footnoteRef/>
      </w:r>
      <w:r>
        <w:t xml:space="preserve"> </w:t>
      </w:r>
      <w:r>
        <w:tab/>
        <w:t xml:space="preserve">The RBA data series is available on the RBA's website in Statistical Table F3: </w:t>
      </w:r>
      <w:hyperlink r:id="rId10" w:anchor="interest-rates" w:history="1">
        <w:r w:rsidRPr="00E2692B">
          <w:rPr>
            <w:rStyle w:val="Hyperlink"/>
            <w:sz w:val="16"/>
          </w:rPr>
          <w:t>http://www.rba.gov.au/statistics/tables/index.html#interest-rates</w:t>
        </w:r>
      </w:hyperlink>
    </w:p>
  </w:footnote>
  <w:footnote w:id="488">
    <w:p w:rsidR="00702DD6" w:rsidRDefault="00702DD6" w:rsidP="008B6DB4">
      <w:pPr>
        <w:pStyle w:val="FootnoteText"/>
      </w:pPr>
      <w:r>
        <w:rPr>
          <w:rStyle w:val="FootnoteReference"/>
        </w:rPr>
        <w:footnoteRef/>
      </w:r>
      <w:r>
        <w:t xml:space="preserve"> </w:t>
      </w:r>
      <w:r>
        <w:tab/>
        <w:t xml:space="preserve">The BVAL data series is available through a licence service from Bloomberg under the code 'BVCSAB10 index'. </w:t>
      </w:r>
      <w:r w:rsidRPr="0084652D">
        <w:t>As of 14 April 2015, Bloomberg had revised its methodology for the BVAL curve and had recommenced publis</w:t>
      </w:r>
      <w:r>
        <w:t>hing a 10 year yield estimate.</w:t>
      </w:r>
    </w:p>
  </w:footnote>
  <w:footnote w:id="489">
    <w:p w:rsidR="00702DD6" w:rsidRDefault="00702DD6" w:rsidP="008B6DB4">
      <w:pPr>
        <w:pStyle w:val="FootnoteText"/>
      </w:pPr>
      <w:r>
        <w:rPr>
          <w:rStyle w:val="FootnoteReference"/>
        </w:rPr>
        <w:footnoteRef/>
      </w:r>
      <w:r>
        <w:t xml:space="preserve"> </w:t>
      </w:r>
      <w:r>
        <w:tab/>
        <w:t xml:space="preserve">While the RBA publishes an estimate for a 10 year ‘target’ term, the ‘effective’ term of the RBA’s estimate is commonly less than 10 years, and so requires extrapolation to produce a 10 year term. This is because the RBA’s method involves weighting bonds with less weight placed on bonds the further the term to maturity of the bond is from the 10 year target term. There are commonly more bonds with terms to maturity of less than 10 years than there are bonds with terms to maturity greater of than 10 years. As a result, the RBA’s methodology places greater weight on the collective pool of bonds with terms of less than 10 years, which results in the ‘effective’ (or average) term being less than the 10 year ‘target’ term of the RBA curve: see ACCC Regulatory Economic Unit, </w:t>
      </w:r>
      <w:r w:rsidRPr="00465D99">
        <w:rPr>
          <w:i/>
        </w:rPr>
        <w:t>Return on debt estimation: A review of the alternative third party data series</w:t>
      </w:r>
      <w:r>
        <w:t xml:space="preserve">, August 2014, pages 34–40. The Lally method of extrapolation is set out in Lally, </w:t>
      </w:r>
      <w:r w:rsidRPr="009C3F2D">
        <w:rPr>
          <w:rStyle w:val="AERtextitalic"/>
        </w:rPr>
        <w:t>Implementation issues for the cost of debt</w:t>
      </w:r>
      <w:r>
        <w:t>, 20 November 2014, pp.38–44.</w:t>
      </w:r>
    </w:p>
  </w:footnote>
  <w:footnote w:id="490">
    <w:p w:rsidR="00702DD6" w:rsidRDefault="00702DD6" w:rsidP="008B6DB4">
      <w:pPr>
        <w:pStyle w:val="FootnoteText"/>
      </w:pPr>
      <w:r>
        <w:rPr>
          <w:rStyle w:val="FootnoteReference"/>
        </w:rPr>
        <w:footnoteRef/>
      </w:r>
      <w:r>
        <w:t xml:space="preserve"> </w:t>
      </w:r>
      <w:r>
        <w:tab/>
      </w:r>
      <w:r w:rsidRPr="0084652D">
        <w:t>As</w:t>
      </w:r>
      <w:r>
        <w:t xml:space="preserve"> of 14 April 2015, Bloomberg </w:t>
      </w:r>
      <w:r w:rsidRPr="0084652D">
        <w:t>revised its method</w:t>
      </w:r>
      <w:r>
        <w:t>ology for the BVAL curve and has</w:t>
      </w:r>
      <w:r w:rsidRPr="0084652D">
        <w:t xml:space="preserve"> recommenced publishing a 10 year yield estimate.</w:t>
      </w:r>
      <w:r>
        <w:t xml:space="preserve"> In the current round of decisions, only Energex and Ergon Energy have averaging periods which commenced before 14 April 2015. Before 14 April 2015, the longest tenor estimate published by Bloomberg was either 5 or 7 years, depending on the dates, and therefore required extrapolation to produce a 10 year estimate. Accordingly, for Energex and Ergon Energy we have also applied an extrapolation adjustment to the Bloomberg data before 14 April 2015.</w:t>
      </w:r>
    </w:p>
  </w:footnote>
  <w:footnote w:id="491">
    <w:p w:rsidR="00702DD6" w:rsidRPr="00B85376" w:rsidRDefault="00702DD6" w:rsidP="008B6DB4">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rsidRPr="00B85376">
        <w:rPr>
          <w:rFonts w:cs="Arial"/>
          <w:szCs w:val="16"/>
        </w:rPr>
        <w:tab/>
      </w:r>
      <w:r>
        <w:t xml:space="preserve">AER, </w:t>
      </w:r>
      <w:r w:rsidRPr="00CE11C9">
        <w:rPr>
          <w:rStyle w:val="AERtextitalic"/>
        </w:rPr>
        <w:t>Final decision—JGN access arrangement 2015-20—Attachment 3—Rate of return</w:t>
      </w:r>
      <w:r>
        <w:t>, June 2015, pp.3-201 to 3-216.</w:t>
      </w:r>
    </w:p>
  </w:footnote>
  <w:footnote w:id="492">
    <w:p w:rsidR="00702DD6" w:rsidRDefault="00702DD6" w:rsidP="008B6DB4">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 However, the RBA curve requires several adjustments from its published form.</w:t>
      </w:r>
    </w:p>
  </w:footnote>
  <w:footnote w:id="493">
    <w:p w:rsidR="00702DD6" w:rsidRDefault="00702DD6" w:rsidP="008B6DB4">
      <w:pPr>
        <w:pStyle w:val="FootnoteText"/>
      </w:pPr>
      <w:r>
        <w:rPr>
          <w:rStyle w:val="FootnoteReference"/>
        </w:rPr>
        <w:footnoteRef/>
      </w:r>
      <w:r>
        <w:t xml:space="preserve"> </w:t>
      </w:r>
      <w:r>
        <w:tab/>
        <w:t xml:space="preserve">Lally, </w:t>
      </w:r>
      <w:r w:rsidRPr="00BC1CD1">
        <w:rPr>
          <w:rStyle w:val="AERtextitalic"/>
        </w:rPr>
        <w:t>Implementation issues for the cost of debt</w:t>
      </w:r>
      <w:r>
        <w:t xml:space="preserve">, 20 November 2014, p.3; Lally, </w:t>
      </w:r>
      <w:r w:rsidRPr="009C3F2D">
        <w:rPr>
          <w:rStyle w:val="AERtextitalic"/>
        </w:rPr>
        <w:t>Review of submissions on implementation issues for the cost of debt</w:t>
      </w:r>
      <w:r>
        <w:t>, 18 October 2015, 5.</w:t>
      </w:r>
    </w:p>
  </w:footnote>
  <w:footnote w:id="494">
    <w:p w:rsidR="00702DD6" w:rsidRDefault="00702DD6" w:rsidP="008B6DB4">
      <w:pPr>
        <w:pStyle w:val="FootnoteText"/>
      </w:pPr>
      <w:r>
        <w:rPr>
          <w:rStyle w:val="FootnoteReference"/>
        </w:rPr>
        <w:footnoteRef/>
      </w:r>
      <w:r>
        <w:t xml:space="preserve"> </w:t>
      </w:r>
      <w:r>
        <w:tab/>
        <w:t xml:space="preserve">Lally, </w:t>
      </w:r>
      <w:r w:rsidRPr="006B6F90">
        <w:rPr>
          <w:rStyle w:val="AERtextitalic"/>
        </w:rPr>
        <w:t>Implementation issues for the cost of debt</w:t>
      </w:r>
      <w:r>
        <w:t>, 20 November 2014, p. 5.</w:t>
      </w:r>
    </w:p>
  </w:footnote>
  <w:footnote w:id="495">
    <w:p w:rsidR="00702DD6" w:rsidRDefault="00702DD6" w:rsidP="008B6DB4">
      <w:pPr>
        <w:pStyle w:val="FootnoteText"/>
      </w:pPr>
      <w:r>
        <w:rPr>
          <w:rStyle w:val="FootnoteReference"/>
        </w:rPr>
        <w:footnoteRef/>
      </w:r>
      <w:r>
        <w:t xml:space="preserve"> </w:t>
      </w:r>
      <w:r>
        <w:tab/>
        <w:t xml:space="preserve">In this decision, the issue before the Tribunal was the choice between the Bloomberg fair value curve (BFVC) and the CBASpectrum curve, neither of which are currently published. See: </w:t>
      </w:r>
      <w:r w:rsidRPr="002452B3">
        <w:rPr>
          <w:rStyle w:val="AERtextitalic"/>
        </w:rPr>
        <w:t>Application by ActewAGL Distribution [2010] ACompT4</w:t>
      </w:r>
      <w:r>
        <w:t>, 17 September 2010, paragraph 78.</w:t>
      </w:r>
    </w:p>
  </w:footnote>
  <w:footnote w:id="496">
    <w:p w:rsidR="00702DD6" w:rsidRDefault="00702DD6" w:rsidP="008B6DB4">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497">
    <w:p w:rsidR="00702DD6" w:rsidRPr="00465D99" w:rsidRDefault="00702DD6" w:rsidP="008B6DB4">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19.</w:t>
      </w:r>
    </w:p>
  </w:footnote>
  <w:footnote w:id="498">
    <w:p w:rsidR="00702DD6" w:rsidRPr="00465D99" w:rsidRDefault="00702DD6" w:rsidP="008B6DB4">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3.</w:t>
      </w:r>
    </w:p>
  </w:footnote>
  <w:footnote w:id="499">
    <w:p w:rsidR="00702DD6" w:rsidRDefault="00702DD6" w:rsidP="008B6DB4">
      <w:pPr>
        <w:pStyle w:val="FootnoteText"/>
      </w:pPr>
      <w:r>
        <w:rPr>
          <w:rStyle w:val="FootnoteReference"/>
        </w:rPr>
        <w:footnoteRef/>
      </w:r>
      <w:r>
        <w:t xml:space="preserve"> </w:t>
      </w:r>
      <w:r>
        <w:tab/>
      </w:r>
      <w:r w:rsidRPr="009F0E67">
        <w:t xml:space="preserve">Identified by REU, </w:t>
      </w:r>
      <w:r w:rsidRPr="009F0E67">
        <w:rPr>
          <w:rStyle w:val="AERtextitalic"/>
        </w:rPr>
        <w:t>Return on debt estimation: A review of the alternative third party data series: Report for the AER</w:t>
      </w:r>
      <w:r w:rsidRPr="009F0E67">
        <w:t>, August 2014</w:t>
      </w:r>
      <w:r>
        <w:t xml:space="preserve">; </w:t>
      </w:r>
      <w:r w:rsidRPr="009F0E67">
        <w:t xml:space="preserve">and summarised by Lally, </w:t>
      </w:r>
      <w:r w:rsidRPr="009F0E67">
        <w:rPr>
          <w:rStyle w:val="AERtextitalic"/>
        </w:rPr>
        <w:t>Implementation issues with the cost of debt</w:t>
      </w:r>
      <w:r w:rsidRPr="009F0E67">
        <w:t>, November 2014</w:t>
      </w:r>
      <w:r>
        <w:t>,</w:t>
      </w:r>
      <w:r w:rsidRPr="009F0E67">
        <w:t xml:space="preserve"> </w:t>
      </w:r>
      <w:r>
        <w:t>pp.</w:t>
      </w:r>
      <w:r w:rsidRPr="009F0E67">
        <w:t xml:space="preserve"> </w:t>
      </w:r>
      <w:r>
        <w:t>7–</w:t>
      </w:r>
      <w:r w:rsidRPr="009F0E67">
        <w:t>8.</w:t>
      </w:r>
    </w:p>
  </w:footnote>
  <w:footnote w:id="500">
    <w:p w:rsidR="00702DD6" w:rsidRDefault="00702DD6" w:rsidP="008B6DB4">
      <w:pPr>
        <w:pStyle w:val="FootnoteText"/>
      </w:pPr>
      <w:r>
        <w:rPr>
          <w:rStyle w:val="FootnoteReference"/>
        </w:rPr>
        <w:footnoteRef/>
      </w:r>
      <w:r>
        <w:t xml:space="preserve"> </w:t>
      </w:r>
      <w:r>
        <w:tab/>
      </w:r>
      <w:r w:rsidRPr="009F0E67">
        <w:t xml:space="preserve">Set out by Lally, </w:t>
      </w:r>
      <w:r w:rsidRPr="009F0E67">
        <w:rPr>
          <w:rStyle w:val="AERtextitalic"/>
        </w:rPr>
        <w:t>Implementation issues with the cost of debt</w:t>
      </w:r>
      <w:r w:rsidRPr="009F0E67">
        <w:t>, November 2014</w:t>
      </w:r>
      <w:r>
        <w:t xml:space="preserve">, pp. </w:t>
      </w:r>
      <w:r w:rsidRPr="009F0E67">
        <w:t xml:space="preserve">8 to 19, and summarised on </w:t>
      </w:r>
      <w:r>
        <w:t>p.</w:t>
      </w:r>
      <w:r w:rsidRPr="009F0E67">
        <w:t xml:space="preserve"> 19.</w:t>
      </w:r>
    </w:p>
  </w:footnote>
  <w:footnote w:id="501">
    <w:p w:rsidR="00702DD6" w:rsidRDefault="00702DD6" w:rsidP="008B6DB4">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w:t>
      </w:r>
    </w:p>
  </w:footnote>
  <w:footnote w:id="502">
    <w:p w:rsidR="00702DD6" w:rsidRDefault="00702DD6" w:rsidP="008B6DB4">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pp.</w:t>
      </w:r>
      <w:r>
        <w:t>3-134 to 3-158, 3-301 to 3-308</w:t>
      </w:r>
      <w:r w:rsidRPr="00CE11C9">
        <w:t>.</w:t>
      </w:r>
    </w:p>
  </w:footnote>
  <w:footnote w:id="503">
    <w:p w:rsidR="00702DD6" w:rsidRDefault="00702DD6" w:rsidP="008B6DB4">
      <w:pPr>
        <w:pStyle w:val="FootnoteText"/>
      </w:pPr>
      <w:r>
        <w:rPr>
          <w:rStyle w:val="FootnoteReference"/>
        </w:rPr>
        <w:footnoteRef/>
      </w:r>
      <w:r>
        <w:t xml:space="preserve"> </w:t>
      </w:r>
      <w:r>
        <w:tab/>
        <w:t>[2016] ACompT 1 at 263</w:t>
      </w:r>
    </w:p>
  </w:footnote>
  <w:footnote w:id="504">
    <w:p w:rsidR="00702DD6" w:rsidRDefault="00702DD6" w:rsidP="008B6DB4">
      <w:pPr>
        <w:pStyle w:val="FootnoteText"/>
      </w:pPr>
      <w:r>
        <w:rPr>
          <w:rStyle w:val="FootnoteReference"/>
        </w:rPr>
        <w:footnoteRef/>
      </w:r>
      <w:r>
        <w:t xml:space="preserve"> </w:t>
      </w:r>
      <w:r>
        <w:tab/>
        <w:t>[2016] ACompT 1 at 265</w:t>
      </w:r>
    </w:p>
  </w:footnote>
  <w:footnote w:id="505">
    <w:p w:rsidR="00702DD6" w:rsidRDefault="00702DD6" w:rsidP="008B6DB4">
      <w:pPr>
        <w:pStyle w:val="FootnoteText"/>
      </w:pPr>
      <w:r>
        <w:rPr>
          <w:rStyle w:val="FootnoteReference"/>
        </w:rPr>
        <w:footnoteRef/>
      </w:r>
      <w:r>
        <w:t xml:space="preserve"> </w:t>
      </w:r>
      <w:r>
        <w:tab/>
        <w:t>[2016] ACompT 1 at 265-6</w:t>
      </w:r>
    </w:p>
  </w:footnote>
  <w:footnote w:id="506">
    <w:p w:rsidR="00702DD6" w:rsidRDefault="00702DD6" w:rsidP="008B6DB4">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5.</w:t>
      </w:r>
    </w:p>
  </w:footnote>
  <w:footnote w:id="507">
    <w:p w:rsidR="00702DD6" w:rsidRDefault="00702DD6" w:rsidP="008B6DB4">
      <w:pPr>
        <w:pStyle w:val="FootnoteText"/>
      </w:pPr>
      <w:r>
        <w:rPr>
          <w:rStyle w:val="FootnoteReference"/>
        </w:rPr>
        <w:footnoteRef/>
      </w:r>
      <w:r>
        <w:t xml:space="preserve"> </w:t>
      </w:r>
      <w:r>
        <w:tab/>
        <w:t xml:space="preserve">While this was ActewAGL's revised proposal, it made a late submission on 12 May 2016 in which it updated its position  to suggest that a simple average of the BVAL, RBA and Reuters curves would contribute to achievement of the allowed rate of return objective. AGN, </w:t>
      </w:r>
      <w:r w:rsidRPr="00186C53">
        <w:rPr>
          <w:rStyle w:val="AERtextitalic"/>
        </w:rPr>
        <w:t>Submission: Attachment 1: Implications of Tribunal decisions for ActewAGL Distribution</w:t>
      </w:r>
      <w:r>
        <w:t>, May 2016, p. 7.</w:t>
      </w:r>
    </w:p>
  </w:footnote>
  <w:footnote w:id="508">
    <w:p w:rsidR="00702DD6" w:rsidRDefault="00702DD6" w:rsidP="008B6DB4">
      <w:pPr>
        <w:pStyle w:val="FootnoteText"/>
      </w:pPr>
      <w:r>
        <w:rPr>
          <w:rStyle w:val="FootnoteReference"/>
        </w:rPr>
        <w:footnoteRef/>
      </w:r>
      <w:r>
        <w:t xml:space="preserve"> </w:t>
      </w:r>
      <w:r>
        <w:tab/>
        <w:t>Victorian electricity revised proposals—</w:t>
      </w:r>
      <w:r w:rsidRPr="005379ED">
        <w:t xml:space="preserve"> AusNet Services, </w:t>
      </w:r>
      <w:r w:rsidRPr="005379ED">
        <w:rPr>
          <w:rStyle w:val="AERtextitalic"/>
        </w:rPr>
        <w:t>Revised regulatory proposal</w:t>
      </w:r>
      <w:r w:rsidRPr="005379ED">
        <w:t>, January 2016, pp. 7-34–7-35</w:t>
      </w:r>
      <w:r w:rsidRPr="00C57C95">
        <w:t xml:space="preserve">; </w:t>
      </w:r>
      <w:r w:rsidRPr="005379ED">
        <w:t xml:space="preserve">CitiPower, </w:t>
      </w:r>
      <w:r w:rsidRPr="005379ED">
        <w:rPr>
          <w:rStyle w:val="AERtextitalic"/>
        </w:rPr>
        <w:t>Revised regulatory proposal</w:t>
      </w:r>
      <w:r w:rsidRPr="005379ED">
        <w:t>, January 2016, pp. 346–347</w:t>
      </w:r>
      <w:r w:rsidRPr="00C57C95">
        <w:t xml:space="preserve">; </w:t>
      </w:r>
      <w:r w:rsidRPr="005379ED">
        <w:t xml:space="preserve">JEN, </w:t>
      </w:r>
      <w:r w:rsidRPr="005379ED">
        <w:rPr>
          <w:rStyle w:val="AERtextitalic"/>
        </w:rPr>
        <w:t>Revised regulatory proposal: Attachment 6-1—Rate of return, gamma, forecast inflation, and debt and equity raising costs</w:t>
      </w:r>
      <w:r w:rsidRPr="005379ED">
        <w:t>, January 2016, pp. 29–34</w:t>
      </w:r>
      <w:r w:rsidRPr="00C57C95">
        <w:t xml:space="preserve">; </w:t>
      </w:r>
      <w:r w:rsidRPr="005379ED">
        <w:t xml:space="preserve">Powercor, </w:t>
      </w:r>
      <w:r w:rsidRPr="005379ED">
        <w:rPr>
          <w:rStyle w:val="AERtextitalic"/>
        </w:rPr>
        <w:t>Revised regulatory proposal</w:t>
      </w:r>
      <w:r w:rsidRPr="005379ED">
        <w:t>, January 2016, pp. 340–341</w:t>
      </w:r>
      <w:r w:rsidRPr="00C57C95">
        <w:t xml:space="preserve">; </w:t>
      </w:r>
      <w:r w:rsidRPr="005379ED">
        <w:t xml:space="preserve">United Energy, </w:t>
      </w:r>
      <w:r w:rsidRPr="005379ED">
        <w:rPr>
          <w:rStyle w:val="AERtextitalic"/>
        </w:rPr>
        <w:t>Revised regulatory proposal: Attachment 8-2—Response to AER preliminary determination re: rate of return and gamma</w:t>
      </w:r>
      <w:r w:rsidRPr="005379ED">
        <w:t>, January</w:t>
      </w:r>
      <w:r>
        <w:t xml:space="preserve"> </w:t>
      </w:r>
      <w:r w:rsidRPr="005379ED">
        <w:t>2016, pp. 20, 34–35</w:t>
      </w:r>
      <w:r>
        <w:t>. Gas revised access arrangement proposals—</w:t>
      </w:r>
      <w:r w:rsidRPr="005379ED">
        <w:t xml:space="preserve"> ActewAGL, </w:t>
      </w:r>
      <w:r w:rsidRPr="005379ED">
        <w:rPr>
          <w:rStyle w:val="AERtextitalic"/>
        </w:rPr>
        <w:t>Revised access arrangement proposal: Appendix 5.01—Rate of return, gamma and inflation</w:t>
      </w:r>
      <w:r w:rsidRPr="005379ED">
        <w:t>, January 2016, pp. 36–40</w:t>
      </w:r>
      <w:r>
        <w:t xml:space="preserve">; </w:t>
      </w:r>
      <w:r w:rsidRPr="005379ED">
        <w:t xml:space="preserve">AGN, </w:t>
      </w:r>
      <w:r w:rsidRPr="005379ED">
        <w:rPr>
          <w:rStyle w:val="AERtextitalic"/>
        </w:rPr>
        <w:t>Revised access arrangement proposal: Attachment 10.26—Response to draft decision: Rate of return</w:t>
      </w:r>
      <w:r w:rsidRPr="005379ED">
        <w:t>, January 2016, pp. 37–38</w:t>
      </w:r>
      <w:r>
        <w:t xml:space="preserve">; </w:t>
      </w:r>
      <w:r w:rsidRPr="005379ED">
        <w:t xml:space="preserve">APTNT (Amadeus gas pipeline), </w:t>
      </w:r>
      <w:r w:rsidRPr="005379ED">
        <w:rPr>
          <w:rStyle w:val="AERtextitalic"/>
        </w:rPr>
        <w:t>Revised access arrangement proposal: Response to draft decision—Submission</w:t>
      </w:r>
      <w:r w:rsidRPr="005379ED">
        <w:t>, January 2016, pp. 83–88</w:t>
      </w:r>
      <w:r>
        <w:t>.</w:t>
      </w:r>
    </w:p>
  </w:footnote>
  <w:footnote w:id="509">
    <w:p w:rsidR="00702DD6" w:rsidRDefault="00702DD6" w:rsidP="008B6DB4">
      <w:pPr>
        <w:pStyle w:val="FootnoteText"/>
      </w:pPr>
      <w:r>
        <w:rPr>
          <w:rStyle w:val="FootnoteReference"/>
        </w:rPr>
        <w:footnoteRef/>
      </w:r>
      <w:r>
        <w:t xml:space="preserve"> </w:t>
      </w:r>
      <w:r>
        <w:tab/>
      </w:r>
      <w:r w:rsidRPr="00F95704">
        <w:t>We recognise that this appeal considered our approach prior to Bloomberg publishing a 10 year BVAL estimate. However, we specified in our contingencies for the approach under appeal that we would adopt a 10 year estimate where Bloomberg resumed publication of it.</w:t>
      </w:r>
    </w:p>
  </w:footnote>
  <w:footnote w:id="510">
    <w:p w:rsidR="00702DD6" w:rsidRDefault="00702DD6" w:rsidP="008B6DB4">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141.</w:t>
      </w:r>
    </w:p>
  </w:footnote>
  <w:footnote w:id="511">
    <w:p w:rsidR="00702DD6" w:rsidRDefault="00702DD6" w:rsidP="008B6DB4">
      <w:pPr>
        <w:pStyle w:val="FootnoteText"/>
      </w:pPr>
      <w:r>
        <w:rPr>
          <w:rStyle w:val="FootnoteReference"/>
        </w:rPr>
        <w:footnoteRef/>
      </w:r>
      <w:r>
        <w:t xml:space="preserve"> </w:t>
      </w:r>
      <w:r>
        <w:tab/>
        <w:t>AER analysis, calculated using the RBA F3 data release—'aggregate measures of Australian corporate bond spreads and yields: non-financial corporate bonds'.</w:t>
      </w:r>
    </w:p>
  </w:footnote>
  <w:footnote w:id="512">
    <w:p w:rsidR="00702DD6" w:rsidRDefault="00702DD6" w:rsidP="008B6DB4">
      <w:pPr>
        <w:pStyle w:val="FootnoteText"/>
      </w:pPr>
      <w:r>
        <w:rPr>
          <w:rStyle w:val="FootnoteReference"/>
        </w:rPr>
        <w:footnoteRef/>
      </w:r>
      <w:r>
        <w:t xml:space="preserve"> </w:t>
      </w:r>
      <w:r>
        <w:tab/>
        <w:t xml:space="preserve">While this was ActewAGL's revised proposal, it made a late submission on 12 May 2016 in which it updated its position  to suggest that a simple average of the BVAL, RBA and Reuters curves would contribute to achievement of the allowed rate of return objective. AGN, </w:t>
      </w:r>
      <w:r w:rsidRPr="00186C53">
        <w:rPr>
          <w:rStyle w:val="AERtextitalic"/>
        </w:rPr>
        <w:t>Submission: Attachment 1: Implications of Tribunal decisions for ActewAGL Distribution</w:t>
      </w:r>
      <w:r>
        <w:t>, May 2016, p. 7.</w:t>
      </w:r>
    </w:p>
  </w:footnote>
  <w:footnote w:id="513">
    <w:p w:rsidR="00702DD6" w:rsidRDefault="00702DD6" w:rsidP="008B6DB4">
      <w:pPr>
        <w:pStyle w:val="FootnoteText"/>
      </w:pPr>
      <w:r>
        <w:rPr>
          <w:rStyle w:val="FootnoteReference"/>
        </w:rPr>
        <w:footnoteRef/>
      </w:r>
      <w:r>
        <w:t xml:space="preserve"> </w:t>
      </w:r>
      <w:r>
        <w:tab/>
        <w:t>NER, cll. 6.5.2(l) and 6A.6.2(l), NGR, r. 87(12).</w:t>
      </w:r>
    </w:p>
  </w:footnote>
  <w:footnote w:id="514">
    <w:p w:rsidR="00702DD6" w:rsidRDefault="00702DD6" w:rsidP="008B6DB4">
      <w:pPr>
        <w:pStyle w:val="FootnoteText"/>
      </w:pPr>
      <w:r>
        <w:rPr>
          <w:rStyle w:val="FootnoteReference"/>
        </w:rPr>
        <w:footnoteRef/>
      </w:r>
      <w:r>
        <w:t xml:space="preserve"> </w:t>
      </w:r>
      <w:r>
        <w:tab/>
      </w:r>
      <w:r w:rsidRPr="00B25EF6">
        <w:rPr>
          <w:rStyle w:val="AERtextitalic"/>
        </w:rPr>
        <w:t>Application by Jemena Gas Networks (NSW) Ltd (No 5) [2011] ACompT 10</w:t>
      </w:r>
      <w:r>
        <w:rPr>
          <w:rStyle w:val="AERtextitalic"/>
        </w:rPr>
        <w:t>.</w:t>
      </w:r>
    </w:p>
  </w:footnote>
  <w:footnote w:id="515">
    <w:p w:rsidR="00702DD6" w:rsidRDefault="00702DD6" w:rsidP="008B6DB4">
      <w:pPr>
        <w:pStyle w:val="FootnoteText"/>
      </w:pPr>
      <w:r>
        <w:rPr>
          <w:rStyle w:val="FootnoteReference"/>
        </w:rPr>
        <w:footnoteRef/>
      </w:r>
      <w:r>
        <w:t xml:space="preserve"> </w:t>
      </w:r>
      <w:r>
        <w:tab/>
      </w:r>
      <w:r w:rsidRPr="00B25EF6">
        <w:rPr>
          <w:rStyle w:val="AERtextitalic"/>
        </w:rPr>
        <w:t>Application by Jemena Gas Networks (NSW) Ltd (No 5) [2011] ACompT 10</w:t>
      </w:r>
      <w:r>
        <w:t xml:space="preserve"> at [83].</w:t>
      </w:r>
    </w:p>
  </w:footnote>
  <w:footnote w:id="516">
    <w:p w:rsidR="00702DD6" w:rsidRDefault="00702DD6" w:rsidP="008B6DB4">
      <w:pPr>
        <w:pStyle w:val="FootnoteText"/>
      </w:pPr>
      <w:r>
        <w:rPr>
          <w:rStyle w:val="FootnoteReference"/>
        </w:rPr>
        <w:footnoteRef/>
      </w:r>
      <w:r>
        <w:t xml:space="preserve"> </w:t>
      </w:r>
      <w:r>
        <w:tab/>
      </w:r>
      <w:r w:rsidRPr="00305172">
        <w:t>Application by ActewAGL Distribution</w:t>
      </w:r>
      <w:r w:rsidRPr="00B4791A">
        <w:t xml:space="preserve"> [2010] ACompT</w:t>
      </w:r>
      <w:r>
        <w:t xml:space="preserve"> </w:t>
      </w:r>
      <w:r w:rsidRPr="00B4791A">
        <w:t>4</w:t>
      </w:r>
      <w:r>
        <w:t xml:space="preserve"> at [78].</w:t>
      </w:r>
    </w:p>
  </w:footnote>
  <w:footnote w:id="517">
    <w:p w:rsidR="00702DD6" w:rsidRDefault="00702DD6" w:rsidP="008B6DB4">
      <w:pPr>
        <w:pStyle w:val="FootnoteText"/>
      </w:pPr>
      <w:r>
        <w:rPr>
          <w:rStyle w:val="FootnoteReference"/>
        </w:rPr>
        <w:footnoteRef/>
      </w:r>
      <w:r>
        <w:t xml:space="preserve"> </w:t>
      </w:r>
      <w:r>
        <w:tab/>
      </w:r>
      <w:r w:rsidRPr="00305172">
        <w:t>Application by ActewAGL Distribution</w:t>
      </w:r>
      <w:r w:rsidRPr="00B4791A">
        <w:t xml:space="preserve"> [2010] ACompT</w:t>
      </w:r>
      <w:r>
        <w:t xml:space="preserve"> </w:t>
      </w:r>
      <w:r w:rsidRPr="00B4791A">
        <w:t>4</w:t>
      </w:r>
      <w:r>
        <w:t xml:space="preserve"> at [67–68].</w:t>
      </w:r>
    </w:p>
  </w:footnote>
  <w:footnote w:id="518">
    <w:p w:rsidR="00702DD6" w:rsidRDefault="00702DD6" w:rsidP="008B6DB4">
      <w:pPr>
        <w:pStyle w:val="FootnoteText"/>
      </w:pPr>
      <w:r>
        <w:rPr>
          <w:rStyle w:val="FootnoteReference"/>
        </w:rPr>
        <w:footnoteRef/>
      </w:r>
      <w:r>
        <w:t xml:space="preserve"> </w:t>
      </w:r>
      <w:r>
        <w:tab/>
        <w:t>NER, cll. 6.5.2(l) and 6A.6.2(l), NGR, r. 87(12).</w:t>
      </w:r>
    </w:p>
  </w:footnote>
  <w:footnote w:id="519">
    <w:p w:rsidR="00702DD6" w:rsidRDefault="00702DD6" w:rsidP="008B6DB4">
      <w:pPr>
        <w:pStyle w:val="FootnoteText"/>
      </w:pPr>
      <w:r>
        <w:rPr>
          <w:rStyle w:val="FootnoteReference"/>
        </w:rPr>
        <w:footnoteRef/>
      </w:r>
      <w:r>
        <w:t xml:space="preserve"> </w:t>
      </w:r>
      <w:r>
        <w:tab/>
        <w:t>NER, cll. 6.5.2(l) and 6A.6.2(l), NGR, r. 87(12).</w:t>
      </w:r>
    </w:p>
  </w:footnote>
  <w:footnote w:id="520">
    <w:p w:rsidR="00702DD6" w:rsidRPr="00B85376" w:rsidRDefault="00702DD6" w:rsidP="008B6DB4">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tab/>
        <w:t>AEMC</w:t>
      </w:r>
      <w:r w:rsidRPr="003774C0">
        <w:t xml:space="preserve">, </w:t>
      </w:r>
      <w:r w:rsidRPr="00477FC6">
        <w:rPr>
          <w:rStyle w:val="AERtextitalic"/>
        </w:rPr>
        <w:t>Economic Regulation of Network Service Providers, and Price and Revenue Regulation of Gas Services, Final Position Paper</w:t>
      </w:r>
      <w:r>
        <w:t xml:space="preserve">, 29 November 2012, </w:t>
      </w:r>
      <w:r w:rsidRPr="00B85376">
        <w:rPr>
          <w:rFonts w:cs="Arial"/>
          <w:szCs w:val="16"/>
          <w:lang w:val="en-US"/>
        </w:rPr>
        <w:t>p 91.</w:t>
      </w:r>
    </w:p>
  </w:footnote>
  <w:footnote w:id="521">
    <w:p w:rsidR="00702DD6" w:rsidRDefault="00702DD6" w:rsidP="008B6DB4">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23.</w:t>
      </w:r>
    </w:p>
  </w:footnote>
  <w:footnote w:id="522">
    <w:p w:rsidR="00702DD6" w:rsidRDefault="00702DD6" w:rsidP="008B6DB4">
      <w:pPr>
        <w:pStyle w:val="FootnoteText"/>
      </w:pPr>
      <w:r>
        <w:rPr>
          <w:rStyle w:val="FootnoteReference"/>
        </w:rPr>
        <w:footnoteRef/>
      </w:r>
      <w:r>
        <w:t xml:space="preserve"> </w:t>
      </w:r>
      <w:r>
        <w:tab/>
        <w:t>For example: AER, Preliminary determination: Citipower—Attachment 3: Rate of return, October 2015, pp. 230–236. These reasons are common across all October/November 2015 determinations.</w:t>
      </w:r>
    </w:p>
  </w:footnote>
  <w:footnote w:id="523">
    <w:p w:rsidR="00702DD6" w:rsidRDefault="00702DD6" w:rsidP="008B6DB4">
      <w:pPr>
        <w:pStyle w:val="FootnoteText"/>
      </w:pPr>
      <w:r>
        <w:rPr>
          <w:rStyle w:val="FootnoteReference"/>
        </w:rPr>
        <w:footnoteRef/>
      </w:r>
      <w:r>
        <w:t xml:space="preserve">  </w:t>
      </w:r>
      <w:r>
        <w:tab/>
        <w:t xml:space="preserve">Australian Competition Tribunal, </w:t>
      </w:r>
      <w:r w:rsidRPr="008523DD">
        <w:rPr>
          <w:rStyle w:val="AERtextitalic"/>
        </w:rPr>
        <w:t>Application by Jemena Gas Networks (NSW) Ltd [2016] ACompT 5</w:t>
      </w:r>
      <w:r>
        <w:t>, March 2016, para 47.</w:t>
      </w:r>
    </w:p>
  </w:footnote>
  <w:footnote w:id="524">
    <w:p w:rsidR="00702DD6" w:rsidRDefault="00702DD6" w:rsidP="008B6DB4">
      <w:pPr>
        <w:pStyle w:val="FootnoteText"/>
      </w:pPr>
      <w:r>
        <w:rPr>
          <w:rStyle w:val="FootnoteReference"/>
        </w:rPr>
        <w:footnoteRef/>
      </w:r>
      <w:r>
        <w:t xml:space="preserve"> </w:t>
      </w:r>
      <w:r>
        <w:tab/>
        <w:t xml:space="preserve">For example, the difference between approaches over 2 June 2014 to 30 June 2014 was 0.22 basis points, or 0.0022 per cent. </w:t>
      </w:r>
    </w:p>
  </w:footnote>
  <w:footnote w:id="525">
    <w:p w:rsidR="00702DD6" w:rsidRDefault="00702DD6" w:rsidP="008B6DB4">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526">
    <w:p w:rsidR="00702DD6" w:rsidRDefault="00702DD6" w:rsidP="008B6DB4">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527">
    <w:p w:rsidR="00702DD6" w:rsidRDefault="00702DD6" w:rsidP="008B6DB4">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1" w:history="1">
        <w:r w:rsidRPr="005B5C16">
          <w:rPr>
            <w:rStyle w:val="Hyperlink"/>
            <w:color w:val="auto"/>
            <w:sz w:val="16"/>
            <w:u w:val="none"/>
          </w:rPr>
          <w:t>http://www.rba.gov.au/statistics/tables/xls/f03hist.xls</w:t>
        </w:r>
      </w:hyperlink>
      <w:r w:rsidRPr="005B5C16">
        <w:t>.</w:t>
      </w:r>
    </w:p>
  </w:footnote>
  <w:footnote w:id="528">
    <w:p w:rsidR="00702DD6" w:rsidRDefault="00702DD6" w:rsidP="008B6DB4">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529">
    <w:p w:rsidR="00702DD6" w:rsidRDefault="00702DD6" w:rsidP="008B6DB4">
      <w:pPr>
        <w:pStyle w:val="FootnoteText"/>
      </w:pPr>
      <w:r>
        <w:rPr>
          <w:rStyle w:val="FootnoteReference"/>
        </w:rPr>
        <w:footnoteRef/>
      </w:r>
      <w:r>
        <w:t xml:space="preserve"> </w:t>
      </w:r>
      <w:r>
        <w:tab/>
        <w:t>Specifically, from 15 September 2014 to 3 November 2014.</w:t>
      </w:r>
    </w:p>
  </w:footnote>
  <w:footnote w:id="530">
    <w:p w:rsidR="00702DD6" w:rsidRDefault="00702DD6" w:rsidP="008B6DB4">
      <w:pPr>
        <w:pStyle w:val="FootnoteText"/>
      </w:pPr>
      <w:r>
        <w:rPr>
          <w:rStyle w:val="FootnoteReference"/>
        </w:rPr>
        <w:footnoteRef/>
      </w:r>
      <w:r>
        <w:t xml:space="preserve"> </w:t>
      </w:r>
      <w:r>
        <w:tab/>
        <w:t>Specifically, 14 April 2015.</w:t>
      </w:r>
    </w:p>
  </w:footnote>
  <w:footnote w:id="531">
    <w:p w:rsidR="00702DD6" w:rsidRDefault="00702DD6" w:rsidP="008B6DB4">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532">
    <w:p w:rsidR="00702DD6" w:rsidRDefault="00702DD6" w:rsidP="008B6DB4">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533">
    <w:p w:rsidR="00702DD6" w:rsidRDefault="00702DD6" w:rsidP="008B6DB4">
      <w:pPr>
        <w:pStyle w:val="FootnoteText"/>
      </w:pPr>
      <w:r>
        <w:rPr>
          <w:rStyle w:val="FootnoteReference"/>
        </w:rPr>
        <w:footnoteRef/>
      </w:r>
      <w:r>
        <w:t xml:space="preserve"> </w:t>
      </w:r>
      <w:r>
        <w:tab/>
        <w:t xml:space="preserve">CitiPower, </w:t>
      </w:r>
      <w:r w:rsidRPr="00006E71">
        <w:rPr>
          <w:rStyle w:val="AERtextitalic"/>
        </w:rPr>
        <w:t>Revised regulatory proposal</w:t>
      </w:r>
      <w:r>
        <w:t xml:space="preserve">, January 2016, p. 341; Powercor, </w:t>
      </w:r>
      <w:r w:rsidRPr="00006E71">
        <w:rPr>
          <w:rStyle w:val="AERtextitalic"/>
        </w:rPr>
        <w:t>Revised regulatory proposal</w:t>
      </w:r>
      <w:r>
        <w:t>, January 2016, p. 340;</w:t>
      </w:r>
      <w:r w:rsidRPr="002C6820">
        <w:t xml:space="preserve"> CitiPower, </w:t>
      </w:r>
      <w:r w:rsidRPr="002C6820">
        <w:rPr>
          <w:rStyle w:val="AERtextitalic"/>
        </w:rPr>
        <w:t>Regulatory proposal</w:t>
      </w:r>
      <w:r w:rsidRPr="002C6820">
        <w:t xml:space="preserve">, April 2015, pp.234–235; Powercor, </w:t>
      </w:r>
      <w:r w:rsidRPr="002C6820">
        <w:rPr>
          <w:rStyle w:val="AERtextitalic"/>
        </w:rPr>
        <w:t>Regulatory proposal</w:t>
      </w:r>
      <w:r w:rsidRPr="002C6820">
        <w:t>, April 2015, pp.242–243</w:t>
      </w:r>
      <w:r>
        <w:t>.</w:t>
      </w:r>
    </w:p>
  </w:footnote>
  <w:footnote w:id="534">
    <w:p w:rsidR="00702DD6" w:rsidRDefault="00702DD6" w:rsidP="008B6DB4">
      <w:pPr>
        <w:pStyle w:val="FootnoteText"/>
      </w:pPr>
      <w:r>
        <w:rPr>
          <w:rStyle w:val="FootnoteReference"/>
        </w:rPr>
        <w:footnoteRef/>
      </w:r>
      <w:r>
        <w:t xml:space="preserve"> </w:t>
      </w:r>
      <w:r>
        <w:tab/>
      </w:r>
      <w:r w:rsidRPr="00C57C95">
        <w:t xml:space="preserve">AusNet Services, </w:t>
      </w:r>
      <w:r>
        <w:rPr>
          <w:rStyle w:val="AERtextitalic"/>
        </w:rPr>
        <w:t>Regulatory p</w:t>
      </w:r>
      <w:r w:rsidRPr="00707A75">
        <w:rPr>
          <w:rStyle w:val="AERtextitalic"/>
        </w:rPr>
        <w:t>roposal,</w:t>
      </w:r>
      <w:r>
        <w:t xml:space="preserve"> April 2015, pp.343–345.</w:t>
      </w:r>
    </w:p>
  </w:footnote>
  <w:footnote w:id="535">
    <w:p w:rsidR="00702DD6" w:rsidRDefault="00702DD6" w:rsidP="008B6DB4">
      <w:pPr>
        <w:pStyle w:val="FootnoteText"/>
      </w:pPr>
      <w:r>
        <w:rPr>
          <w:rStyle w:val="FootnoteReference"/>
        </w:rPr>
        <w:footnoteRef/>
      </w:r>
      <w:r>
        <w:t xml:space="preserve"> </w:t>
      </w:r>
      <w:r>
        <w:tab/>
        <w:t xml:space="preserve">AusNet Services, </w:t>
      </w:r>
      <w:r w:rsidRPr="00006E71">
        <w:rPr>
          <w:rStyle w:val="AERtextitalic"/>
        </w:rPr>
        <w:t>Revised regulatory proposal</w:t>
      </w:r>
      <w:r>
        <w:t>, January 2016, pp. 7-35.</w:t>
      </w:r>
    </w:p>
  </w:footnote>
  <w:footnote w:id="536">
    <w:p w:rsidR="00702DD6" w:rsidRDefault="00702DD6" w:rsidP="008B6DB4">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p.21.</w:t>
      </w:r>
    </w:p>
  </w:footnote>
  <w:footnote w:id="537">
    <w:p w:rsidR="00702DD6" w:rsidRDefault="00702DD6" w:rsidP="008B6DB4">
      <w:pPr>
        <w:pStyle w:val="FootnoteText"/>
      </w:pPr>
      <w:r>
        <w:rPr>
          <w:rStyle w:val="FootnoteReference"/>
        </w:rPr>
        <w:footnoteRef/>
      </w:r>
      <w:r>
        <w:t xml:space="preserve"> </w:t>
      </w:r>
      <w:r>
        <w:tab/>
        <w:t>Specifically, CEG concluded that the Bloomberg curve '</w:t>
      </w:r>
      <w:r w:rsidRPr="00E64CE2">
        <w:t xml:space="preserve"> would give rise to estimates that are inconsistent with standard predictions of finance theory in that it would impose a downward sloping term structure for credit spreads (and inconsistent with a clear upward slope where there is available data);</w:t>
      </w:r>
      <w:r>
        <w:t>'</w:t>
      </w:r>
    </w:p>
  </w:footnote>
  <w:footnote w:id="538">
    <w:p w:rsidR="00702DD6" w:rsidRDefault="00702DD6" w:rsidP="008B6DB4">
      <w:pPr>
        <w:pStyle w:val="FootnoteText"/>
      </w:pPr>
      <w:r>
        <w:rPr>
          <w:rStyle w:val="FootnoteReference"/>
        </w:rPr>
        <w:footnoteRef/>
      </w:r>
      <w:r>
        <w:t xml:space="preserve"> </w:t>
      </w:r>
      <w:r>
        <w:tab/>
        <w:t>Being pure expectations theory, market segmentation theory or preferred habitat theory.</w:t>
      </w:r>
    </w:p>
  </w:footnote>
  <w:footnote w:id="539">
    <w:p w:rsidR="00702DD6" w:rsidRDefault="00702DD6" w:rsidP="008B6DB4">
      <w:pPr>
        <w:pStyle w:val="FootnoteText"/>
      </w:pPr>
      <w:r>
        <w:rPr>
          <w:rStyle w:val="FootnoteReference"/>
        </w:rPr>
        <w:footnoteRef/>
      </w:r>
      <w:r>
        <w:t xml:space="preserve"> </w:t>
      </w:r>
      <w:r>
        <w:tab/>
        <w:t>See SA Power Networks</w:t>
      </w:r>
      <w:r w:rsidRPr="00F52001">
        <w:t xml:space="preserve">, </w:t>
      </w:r>
      <w:r w:rsidRPr="00AA7B4A">
        <w:rPr>
          <w:rStyle w:val="AERtextitalic"/>
        </w:rPr>
        <w:t>Revised regulatory proposal</w:t>
      </w:r>
      <w:r w:rsidRPr="00F52001">
        <w:t xml:space="preserve">, June 2015, </w:t>
      </w:r>
      <w:r>
        <w:t>pp.389–391.</w:t>
      </w:r>
    </w:p>
  </w:footnote>
  <w:footnote w:id="540">
    <w:p w:rsidR="00702DD6" w:rsidRDefault="00702DD6" w:rsidP="008B6DB4">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pp.13–15.</w:t>
      </w:r>
    </w:p>
  </w:footnote>
  <w:footnote w:id="541">
    <w:p w:rsidR="00702DD6" w:rsidRDefault="00702DD6" w:rsidP="008B6DB4">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542">
    <w:p w:rsidR="00702DD6" w:rsidRDefault="00702DD6" w:rsidP="008B6DB4">
      <w:pPr>
        <w:pStyle w:val="FootnoteText"/>
      </w:pPr>
      <w:r>
        <w:rPr>
          <w:rStyle w:val="FootnoteReference"/>
        </w:rPr>
        <w:footnoteRef/>
      </w:r>
      <w:r>
        <w:t xml:space="preserve"> </w:t>
      </w:r>
      <w:r>
        <w:tab/>
        <w:t>NER, cl. 6.5.2(l) and cl. 6A.6.2(l), NGR, r. 87(12).</w:t>
      </w:r>
    </w:p>
  </w:footnote>
  <w:footnote w:id="543">
    <w:p w:rsidR="00702DD6" w:rsidRDefault="00702DD6" w:rsidP="008B6DB4">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544">
    <w:p w:rsidR="00702DD6" w:rsidRDefault="00702DD6" w:rsidP="008B6DB4">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545">
    <w:p w:rsidR="00702DD6" w:rsidRDefault="00702DD6" w:rsidP="008B6DB4">
      <w:pPr>
        <w:pStyle w:val="FootnoteText"/>
      </w:pPr>
      <w:r>
        <w:rPr>
          <w:rStyle w:val="FootnoteReference"/>
        </w:rPr>
        <w:footnoteRef/>
      </w:r>
      <w:r>
        <w:t xml:space="preserve"> </w:t>
      </w:r>
      <w:r>
        <w:tab/>
        <w:t>Specifically, the spread to CGS.</w:t>
      </w:r>
    </w:p>
  </w:footnote>
  <w:footnote w:id="546">
    <w:p w:rsidR="00702DD6" w:rsidRDefault="00702DD6" w:rsidP="008B6DB4">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547">
    <w:p w:rsidR="00702DD6" w:rsidRDefault="00702DD6" w:rsidP="00391CC7">
      <w:pPr>
        <w:pStyle w:val="FootnoteText"/>
      </w:pPr>
      <w:r>
        <w:rPr>
          <w:rStyle w:val="FootnoteReference"/>
        </w:rPr>
        <w:footnoteRef/>
      </w:r>
      <w:r>
        <w:t xml:space="preserve"> </w:t>
      </w:r>
      <w:r>
        <w:tab/>
        <w:t xml:space="preserve">ActewAGL Gas, </w:t>
      </w:r>
      <w:r w:rsidRPr="00FE720E">
        <w:rPr>
          <w:rStyle w:val="AERtextitalic"/>
        </w:rPr>
        <w:t>Revised 2016-21 Access Arrangement P</w:t>
      </w:r>
      <w:r>
        <w:rPr>
          <w:rStyle w:val="AERtextitalic"/>
        </w:rPr>
        <w:t>roposal - Appendix 5.01</w:t>
      </w:r>
      <w:r>
        <w:t>, January 2016, p. 51.</w:t>
      </w:r>
    </w:p>
  </w:footnote>
  <w:footnote w:id="548">
    <w:p w:rsidR="00702DD6" w:rsidRDefault="00702DD6" w:rsidP="00391CC7">
      <w:pPr>
        <w:pStyle w:val="FootnoteText"/>
      </w:pPr>
      <w:r>
        <w:rPr>
          <w:rStyle w:val="FootnoteReference"/>
        </w:rPr>
        <w:footnoteRef/>
      </w:r>
      <w:r>
        <w:t xml:space="preserve"> </w:t>
      </w:r>
      <w:r>
        <w:tab/>
      </w:r>
      <w:r w:rsidRPr="0018148E">
        <w:t xml:space="preserve">The service providers' submissions on this topic </w:t>
      </w:r>
      <w:r>
        <w:t>submit that a new issue premium is</w:t>
      </w:r>
      <w:r w:rsidRPr="0018148E">
        <w:t xml:space="preserve"> a systematic difference betw</w:t>
      </w:r>
      <w:r>
        <w:t xml:space="preserve">een </w:t>
      </w:r>
      <w:r w:rsidRPr="0018148E">
        <w:t xml:space="preserve">yields at which </w:t>
      </w:r>
      <w:r>
        <w:t>firms issue</w:t>
      </w:r>
      <w:r w:rsidRPr="0018148E">
        <w:t xml:space="preserve"> bonds on the primary market</w:t>
      </w:r>
      <w:r>
        <w:t xml:space="preserve"> (which would determine their effective cost of debt) and </w:t>
      </w:r>
      <w:r w:rsidRPr="0018148E">
        <w:t>third party</w:t>
      </w:r>
      <w:r>
        <w:t xml:space="preserve"> benchmark</w:t>
      </w:r>
      <w:r w:rsidRPr="0018148E">
        <w:t xml:space="preserve"> yield curves</w:t>
      </w:r>
      <w:r>
        <w:t xml:space="preserve"> (which we use to estimate the debt allowance).</w:t>
      </w:r>
    </w:p>
  </w:footnote>
  <w:footnote w:id="549">
    <w:p w:rsidR="00702DD6" w:rsidRDefault="00702DD6" w:rsidP="00391CC7">
      <w:pPr>
        <w:pStyle w:val="FootnoteText"/>
      </w:pPr>
      <w:r>
        <w:rPr>
          <w:rStyle w:val="FootnoteReference"/>
        </w:rPr>
        <w:footnoteRef/>
      </w:r>
      <w:r>
        <w:t xml:space="preserve"> </w:t>
      </w:r>
      <w:r>
        <w:tab/>
      </w:r>
      <w:r w:rsidRPr="00DC7F5E">
        <w:t>NER, rules 6.5.2(c) and 6.5.2(h); NGR, rules 87(3) and 87(10).</w:t>
      </w:r>
    </w:p>
  </w:footnote>
  <w:footnote w:id="550">
    <w:p w:rsidR="00702DD6" w:rsidRDefault="00702DD6" w:rsidP="00391CC7">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551">
    <w:p w:rsidR="00702DD6" w:rsidRDefault="00702DD6" w:rsidP="00391CC7">
      <w:pPr>
        <w:pStyle w:val="FootnoteText"/>
      </w:pPr>
      <w:r>
        <w:rPr>
          <w:rStyle w:val="FootnoteReference"/>
        </w:rPr>
        <w:footnoteRef/>
      </w:r>
      <w:r>
        <w:t xml:space="preserve"> </w:t>
      </w:r>
      <w:r>
        <w:tab/>
        <w:t xml:space="preserve">We raised some concerns in AER, </w:t>
      </w:r>
      <w:r w:rsidRPr="00ED0DF8">
        <w:rPr>
          <w:rStyle w:val="AERtextitalic"/>
        </w:rPr>
        <w:t>SA Power Networks Preliminary Decision - Attachment 3: Rate of Return</w:t>
      </w:r>
      <w:r>
        <w:t xml:space="preserve">, April 2015, pp. 478-481. CEG responded to these concerns in CEG, </w:t>
      </w:r>
      <w:r w:rsidRPr="00642D33">
        <w:rPr>
          <w:rStyle w:val="AERtextitalic"/>
        </w:rPr>
        <w:t>Critique of AER Analysis of New Issue Premium</w:t>
      </w:r>
      <w:r>
        <w:t>, December 2015.</w:t>
      </w:r>
    </w:p>
  </w:footnote>
  <w:footnote w:id="552">
    <w:p w:rsidR="00702DD6" w:rsidRDefault="00702DD6" w:rsidP="00391CC7">
      <w:pPr>
        <w:pStyle w:val="FootnoteText"/>
      </w:pPr>
      <w:r>
        <w:rPr>
          <w:rStyle w:val="FootnoteReference"/>
        </w:rPr>
        <w:footnoteRef/>
      </w:r>
      <w:r>
        <w:t xml:space="preserve"> </w:t>
      </w:r>
      <w:r>
        <w:tab/>
        <w:t xml:space="preserve">AER, </w:t>
      </w:r>
      <w:r w:rsidRPr="00CD7956">
        <w:rPr>
          <w:rStyle w:val="AERtextitalic"/>
        </w:rPr>
        <w:t>Final decision: United Energy distribution determination - Attachment 3: Rate of return</w:t>
      </w:r>
      <w:r>
        <w:t>, May 2016.</w:t>
      </w:r>
    </w:p>
  </w:footnote>
  <w:footnote w:id="553">
    <w:p w:rsidR="00702DD6" w:rsidRDefault="00702DD6" w:rsidP="00047DC7">
      <w:pPr>
        <w:pStyle w:val="FootnoteText"/>
      </w:pPr>
      <w:r>
        <w:rPr>
          <w:rStyle w:val="FootnoteReference"/>
        </w:rPr>
        <w:footnoteRef/>
      </w:r>
      <w:r>
        <w:t xml:space="preserve"> </w:t>
      </w:r>
      <w:r>
        <w:tab/>
        <w:t>ActewAGL proposed the averaging period for the interval of delay period prospectively in its letter to the AER dated 10 April 2015 (see Director Regulatory Affairs and Pricing (ActewAGL)</w:t>
      </w:r>
      <w:r w:rsidRPr="007959AA">
        <w:t xml:space="preserve">, </w:t>
      </w:r>
      <w:r>
        <w:rPr>
          <w:rStyle w:val="AERtextitalic"/>
        </w:rPr>
        <w:t>Letter to AER: Averaging periods for ActewAGL Distribution gas network access arrangement (Confidential)</w:t>
      </w:r>
      <w:r w:rsidRPr="007959AA">
        <w:t xml:space="preserve">, </w:t>
      </w:r>
      <w:r>
        <w:t>10 April 2015).</w:t>
      </w:r>
    </w:p>
  </w:footnote>
  <w:footnote w:id="554">
    <w:p w:rsidR="00702DD6" w:rsidRDefault="00702DD6" w:rsidP="00047DC7">
      <w:pPr>
        <w:pStyle w:val="FootnoteText"/>
      </w:pPr>
      <w:r>
        <w:rPr>
          <w:rStyle w:val="FootnoteReference"/>
        </w:rPr>
        <w:footnoteRef/>
      </w:r>
      <w:r>
        <w:t xml:space="preserve"> </w:t>
      </w:r>
      <w:r>
        <w:tab/>
        <w:t xml:space="preserve">ActewAGL, </w:t>
      </w:r>
      <w:r w:rsidRPr="007D4970">
        <w:rPr>
          <w:rStyle w:val="AERtextitalic"/>
        </w:rPr>
        <w:t>Revised access arrangement proposal—Appendix 5.02: Rate of return—alternative proposal for return on debt averaging periods (Confidential)</w:t>
      </w:r>
      <w:r>
        <w:t xml:space="preserve">, January 2016, p. 1; ActewAGL, </w:t>
      </w:r>
      <w:r w:rsidRPr="00BF2C25">
        <w:rPr>
          <w:rStyle w:val="AERtextitalic"/>
        </w:rPr>
        <w:t>Revised access arrangement proposal—</w:t>
      </w:r>
      <w:r>
        <w:rPr>
          <w:rStyle w:val="AERtextitalic"/>
        </w:rPr>
        <w:t>Appendix 5.01: Detailed response to rate of return, gamma and inflation</w:t>
      </w:r>
      <w:r>
        <w:t xml:space="preserve">, January 2016, pp. 14–16, 46–47. Also see </w:t>
      </w:r>
      <w:r w:rsidRPr="00165880">
        <w:t xml:space="preserve">ActewAGL, </w:t>
      </w:r>
      <w:r w:rsidRPr="00165880">
        <w:rPr>
          <w:rStyle w:val="AERtextitalic"/>
        </w:rPr>
        <w:t>Access arrangement proposal—Appendix 8.01: Detailed return on debt proposal (confidential)</w:t>
      </w:r>
      <w:r w:rsidRPr="00165880">
        <w:t>, 1 July 2015, p</w:t>
      </w:r>
      <w:r>
        <w:t>p</w:t>
      </w:r>
      <w:r w:rsidRPr="00165880">
        <w:t xml:space="preserve">. </w:t>
      </w:r>
      <w:r>
        <w:t>17–</w:t>
      </w:r>
      <w:r w:rsidRPr="00165880">
        <w:t>18</w:t>
      </w:r>
      <w:r>
        <w:t xml:space="preserve">; </w:t>
      </w:r>
      <w:r w:rsidRPr="005E7ADE">
        <w:t xml:space="preserve">ActewAGL, </w:t>
      </w:r>
      <w:r w:rsidRPr="005E7ADE">
        <w:rPr>
          <w:rStyle w:val="AERtextitalic"/>
        </w:rPr>
        <w:t>Access arrangement proposal—Appendix 8.01: Detailed return on debt proposal</w:t>
      </w:r>
      <w:r w:rsidRPr="005E7ADE">
        <w:t>, 1 July 2015, p</w:t>
      </w:r>
      <w:r>
        <w:t>p</w:t>
      </w:r>
      <w:r w:rsidRPr="005E7ADE">
        <w:t xml:space="preserve">. </w:t>
      </w:r>
      <w:r>
        <w:t>14–</w:t>
      </w:r>
      <w:r w:rsidRPr="005E7ADE">
        <w:t>18</w:t>
      </w:r>
      <w:r>
        <w:t>.</w:t>
      </w:r>
    </w:p>
  </w:footnote>
  <w:footnote w:id="555">
    <w:p w:rsidR="00702DD6" w:rsidRDefault="00702DD6" w:rsidP="00047DC7">
      <w:pPr>
        <w:pStyle w:val="FootnoteText"/>
      </w:pPr>
      <w:r>
        <w:rPr>
          <w:rStyle w:val="FootnoteReference"/>
        </w:rPr>
        <w:footnoteRef/>
      </w:r>
      <w:r>
        <w:t xml:space="preserve"> </w:t>
      </w:r>
      <w:r>
        <w:tab/>
      </w:r>
      <w:r w:rsidRPr="00165880">
        <w:t xml:space="preserve">ActewAGL, </w:t>
      </w:r>
      <w:r w:rsidRPr="00165880">
        <w:rPr>
          <w:rStyle w:val="AERtextitalic"/>
        </w:rPr>
        <w:t>Access arrangement proposal—Appendix 8.01: Detailed return on debt proposal (confidential)</w:t>
      </w:r>
      <w:r w:rsidRPr="00165880">
        <w:t>, 1 July 2015, p. 18</w:t>
      </w:r>
      <w:r>
        <w:t>.</w:t>
      </w:r>
    </w:p>
  </w:footnote>
  <w:footnote w:id="556">
    <w:p w:rsidR="00702DD6" w:rsidRDefault="00702DD6" w:rsidP="00047DC7">
      <w:pPr>
        <w:pStyle w:val="FootnoteText"/>
      </w:pPr>
      <w:r>
        <w:rPr>
          <w:rStyle w:val="FootnoteReference"/>
        </w:rPr>
        <w:footnoteRef/>
      </w:r>
      <w:r>
        <w:t xml:space="preserve"> </w:t>
      </w:r>
      <w:r>
        <w:tab/>
        <w:t xml:space="preserve">ActewAGL, </w:t>
      </w:r>
      <w:r w:rsidRPr="00505CE5">
        <w:rPr>
          <w:rStyle w:val="AERtextitalic"/>
        </w:rPr>
        <w:t>Revised access arrangement proposal—Appendix 5.02: Rate of return—alternative proposal for return on debt averaging periods (Confidential)</w:t>
      </w:r>
      <w:r>
        <w:t>, January 2016.</w:t>
      </w:r>
    </w:p>
  </w:footnote>
  <w:footnote w:id="557">
    <w:p w:rsidR="00702DD6" w:rsidRDefault="00702DD6" w:rsidP="00DA4CFA">
      <w:pPr>
        <w:pStyle w:val="FootnoteText"/>
      </w:pPr>
      <w:r>
        <w:rPr>
          <w:rStyle w:val="FootnoteReference"/>
        </w:rPr>
        <w:footnoteRef/>
      </w:r>
      <w:r>
        <w:t xml:space="preserve"> </w:t>
      </w:r>
      <w:r>
        <w:tab/>
      </w:r>
      <w:r w:rsidRPr="00996B92">
        <w:t>At present, reference tariffs for 2015–16 are being set in accordance with the current access arrangement. We will true up</w:t>
      </w:r>
      <w:r>
        <w:t xml:space="preserve"> revenue from the 2015–16 interval of </w:t>
      </w:r>
      <w:r w:rsidRPr="00996B92">
        <w:t xml:space="preserve">delay year to reflect the rate of return we set in our final decision by adjusting tariffs across the 2016–21 access arrangement period. This issue is discussed further in the Overview </w:t>
      </w:r>
      <w:r>
        <w:t>attachment to</w:t>
      </w:r>
      <w:r w:rsidRPr="00996B92">
        <w:t xml:space="preserve"> this decision</w:t>
      </w:r>
      <w:r>
        <w:t>.</w:t>
      </w:r>
    </w:p>
  </w:footnote>
  <w:footnote w:id="558">
    <w:p w:rsidR="00702DD6" w:rsidRDefault="00702DD6" w:rsidP="00B543A7">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559">
    <w:p w:rsidR="00702DD6" w:rsidRDefault="00702DD6" w:rsidP="00B543A7">
      <w:pPr>
        <w:pStyle w:val="FootnoteText"/>
      </w:pPr>
      <w:r>
        <w:rPr>
          <w:rStyle w:val="FootnoteReference"/>
        </w:rPr>
        <w:footnoteRef/>
      </w:r>
      <w:r>
        <w:t xml:space="preserve"> </w:t>
      </w:r>
      <w:r>
        <w:tab/>
      </w:r>
      <w:r w:rsidRPr="007E60B1">
        <w:t>NER</w:t>
      </w:r>
      <w:r>
        <w:t>,</w:t>
      </w:r>
      <w:r w:rsidRPr="007E60B1">
        <w:t xml:space="preserve"> cl. 6.5.2(c)</w:t>
      </w:r>
      <w:r>
        <w:t xml:space="preserve"> and 6A.6.2(c); NGR, r. 87(3)</w:t>
      </w:r>
      <w:r w:rsidRPr="007E60B1">
        <w:t>.</w:t>
      </w:r>
    </w:p>
  </w:footnote>
  <w:footnote w:id="560">
    <w:p w:rsidR="00702DD6" w:rsidRDefault="00702DD6" w:rsidP="00B543A7">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561">
    <w:p w:rsidR="00702DD6" w:rsidRDefault="00702DD6" w:rsidP="00B543A7">
      <w:pPr>
        <w:pStyle w:val="FootnoteText"/>
      </w:pPr>
      <w:r>
        <w:rPr>
          <w:rStyle w:val="FootnoteReference"/>
        </w:rPr>
        <w:footnoteRef/>
      </w:r>
      <w:r>
        <w:t xml:space="preserve"> </w:t>
      </w:r>
      <w:r>
        <w:tab/>
        <w:t xml:space="preserve">This preferred timeframe does </w:t>
      </w:r>
      <w:r w:rsidRPr="007D10EB">
        <w:t xml:space="preserve">not apply to the </w:t>
      </w:r>
      <w:r>
        <w:t>first regulatory year in the regulatory control or access arrangement period</w:t>
      </w:r>
      <w:r w:rsidRPr="007D10EB">
        <w:t xml:space="preserve">. This is because the distribution determination </w:t>
      </w:r>
      <w:r>
        <w:t xml:space="preserve">or access arrangement </w:t>
      </w:r>
      <w:r w:rsidRPr="007D10EB">
        <w:t xml:space="preserve">will include the X factor for the first year, which will already incorporate the first year </w:t>
      </w:r>
      <w:r>
        <w:t xml:space="preserve">return on debt. Therefore, the annual debt update </w:t>
      </w:r>
      <w:r w:rsidRPr="007D10EB">
        <w:t xml:space="preserve">process will generally apply to the subsequent years of a regulatory control </w:t>
      </w:r>
      <w:r>
        <w:t xml:space="preserve">or access arrangement </w:t>
      </w:r>
      <w:r w:rsidRPr="007D10EB">
        <w:t>period.</w:t>
      </w:r>
    </w:p>
  </w:footnote>
  <w:footnote w:id="562">
    <w:p w:rsidR="00702DD6" w:rsidRDefault="00702DD6" w:rsidP="00B543A7">
      <w:pPr>
        <w:pStyle w:val="FootnoteText"/>
      </w:pPr>
      <w:r>
        <w:rPr>
          <w:rStyle w:val="FootnoteReference"/>
        </w:rPr>
        <w:footnoteRef/>
      </w:r>
      <w:r>
        <w:t xml:space="preserve"> </w:t>
      </w:r>
      <w:r>
        <w:tab/>
      </w:r>
      <w:r w:rsidRPr="00322722">
        <w:t xml:space="preserve">However, we are open to individual </w:t>
      </w:r>
      <w:r>
        <w:t>service providers</w:t>
      </w:r>
      <w:r w:rsidRPr="00322722">
        <w:t xml:space="preserve"> requiring a longer period (or requesting a shorter period) than 25 business days to accommodate their internal processes.</w:t>
      </w:r>
    </w:p>
  </w:footnote>
  <w:footnote w:id="563">
    <w:p w:rsidR="00702DD6" w:rsidRDefault="00702DD6" w:rsidP="006C744F">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rPr>
          <w:rStyle w:val="AERtextitalic"/>
        </w:rPr>
        <w:t>: Attachment 1</w:t>
      </w:r>
      <w:r>
        <w:t>, August 2015, p. 86.</w:t>
      </w:r>
    </w:p>
  </w:footnote>
  <w:footnote w:id="564">
    <w:p w:rsidR="00702DD6" w:rsidRDefault="00702DD6" w:rsidP="00CD4005">
      <w:pPr>
        <w:pStyle w:val="FootnoteText"/>
      </w:pPr>
      <w:r>
        <w:rPr>
          <w:rStyle w:val="FootnoteReference"/>
        </w:rPr>
        <w:footnoteRef/>
      </w:r>
      <w:r>
        <w:t xml:space="preserve"> </w:t>
      </w:r>
      <w:r>
        <w:tab/>
        <w:t xml:space="preserve">Australian Competition Tribunal, </w:t>
      </w:r>
      <w:r>
        <w:rPr>
          <w:rStyle w:val="AERtextitalic"/>
        </w:rPr>
        <w:t>Application by Jemena Gas Networks (NSW) Ltd [2016] ACompT5</w:t>
      </w:r>
      <w:r>
        <w:t>, 3 March 2016, para 87.</w:t>
      </w:r>
    </w:p>
  </w:footnote>
  <w:footnote w:id="565">
    <w:p w:rsidR="00702DD6" w:rsidRDefault="00702DD6" w:rsidP="006C744F">
      <w:pPr>
        <w:pStyle w:val="FootnoteText"/>
      </w:pPr>
      <w:r>
        <w:rPr>
          <w:rStyle w:val="FootnoteReference"/>
        </w:rPr>
        <w:footnoteRef/>
      </w:r>
      <w:r>
        <w:t xml:space="preserve"> </w:t>
      </w:r>
      <w:r>
        <w:tab/>
        <w:t xml:space="preserve">AER, </w:t>
      </w:r>
      <w:r w:rsidRPr="002C65E6">
        <w:rPr>
          <w:rStyle w:val="AERtextitalic"/>
        </w:rPr>
        <w:t>Better regulation—</w:t>
      </w:r>
      <w:r w:rsidRPr="0052137B">
        <w:rPr>
          <w:rStyle w:val="AERtextitalic"/>
        </w:rPr>
        <w:t>Rate of return guideline</w:t>
      </w:r>
      <w:r>
        <w:t>, December 2013, p. 21.</w:t>
      </w:r>
    </w:p>
  </w:footnote>
  <w:footnote w:id="566">
    <w:p w:rsidR="00702DD6" w:rsidRDefault="00702DD6" w:rsidP="006C744F">
      <w:pPr>
        <w:pStyle w:val="FootnoteText"/>
      </w:pPr>
      <w:r>
        <w:rPr>
          <w:rStyle w:val="FootnoteReference"/>
        </w:rPr>
        <w:footnoteRef/>
      </w:r>
      <w:r>
        <w:t xml:space="preserve"> </w:t>
      </w:r>
      <w:r>
        <w:tab/>
      </w:r>
      <w:r w:rsidRPr="00E8691B">
        <w:t>The electricity distribution service providers are required to submit to the AER a pricing proposal for each regulatory year of the regulatory control period. The gas distribution and transmission service providers are also required to submit to us an annual reference tariff variation proposal to meet the requirements of their specific access arrangements. As we are proposing to update a service providers' allowed return on debt estimates on an annual basis, the updated annual return on debt estimates should be submitted and approved by us in advance of a service providers' annual pricing/tariff proposals.</w:t>
      </w:r>
      <w:r>
        <w:t xml:space="preserve"> See: </w:t>
      </w:r>
      <w:r w:rsidRPr="00E8691B">
        <w:t xml:space="preserve">AER, </w:t>
      </w:r>
      <w:r w:rsidRPr="00E8691B">
        <w:rPr>
          <w:rStyle w:val="AERtextitalic"/>
        </w:rPr>
        <w:t>Explanatory statement to the draft rate of return guideline</w:t>
      </w:r>
      <w:r w:rsidRPr="00E8691B">
        <w:t>, August 2013, p. 103</w:t>
      </w:r>
      <w:r>
        <w:t>.</w:t>
      </w:r>
    </w:p>
  </w:footnote>
  <w:footnote w:id="567">
    <w:p w:rsidR="00702DD6" w:rsidRDefault="00702DD6" w:rsidP="006C744F">
      <w:pPr>
        <w:pStyle w:val="FootnoteText"/>
      </w:pPr>
      <w:r>
        <w:rPr>
          <w:rStyle w:val="FootnoteReference"/>
        </w:rPr>
        <w:footnoteRef/>
      </w:r>
      <w:r>
        <w:t xml:space="preserve"> </w:t>
      </w:r>
      <w:r>
        <w:tab/>
        <w:t>A further possible constraint on the start date is</w:t>
      </w:r>
      <w:r w:rsidRPr="00D76D56">
        <w:t>, as set out in the previous s</w:t>
      </w:r>
      <w:r>
        <w:t>ection, one of our Guideline conditions that</w:t>
      </w:r>
      <w:r w:rsidRPr="00D76D56">
        <w:t xml:space="preserve"> at the time it is nominated all dates in the averaging period must take place in the future.</w:t>
      </w:r>
    </w:p>
  </w:footnote>
  <w:footnote w:id="568">
    <w:p w:rsidR="00702DD6" w:rsidRDefault="00702DD6" w:rsidP="006C744F">
      <w:pPr>
        <w:pStyle w:val="FootnoteText"/>
      </w:pPr>
      <w:r>
        <w:rPr>
          <w:rStyle w:val="FootnoteReference"/>
        </w:rPr>
        <w:footnoteRef/>
      </w:r>
      <w:r>
        <w:t xml:space="preserve"> </w:t>
      </w:r>
      <w:r>
        <w:tab/>
        <w:t>This is consistent with ActewAGL's</w:t>
      </w:r>
      <w:r w:rsidRPr="00C873BD">
        <w:t xml:space="preserve"> access arrangement</w:t>
      </w:r>
      <w:r>
        <w:t xml:space="preserve"> information</w:t>
      </w:r>
      <w:r w:rsidRPr="00C873BD">
        <w:t>, which we</w:t>
      </w:r>
      <w:r>
        <w:t xml:space="preserve"> </w:t>
      </w:r>
      <w:r w:rsidRPr="00C873BD">
        <w:t>accept</w:t>
      </w:r>
      <w:r>
        <w:t>ed</w:t>
      </w:r>
      <w:r w:rsidRPr="00C873BD">
        <w:t xml:space="preserve"> in </w:t>
      </w:r>
      <w:r>
        <w:t>our</w:t>
      </w:r>
      <w:r w:rsidRPr="00C873BD">
        <w:t xml:space="preserve"> draft decision.</w:t>
      </w:r>
      <w:r>
        <w:t xml:space="preserve"> See ActewAGL, </w:t>
      </w:r>
      <w:r w:rsidRPr="0042144E">
        <w:rPr>
          <w:rStyle w:val="AERtextitalic"/>
        </w:rPr>
        <w:t xml:space="preserve">Access arrangement for the ACT, Queanbeyan and Palerang gas </w:t>
      </w:r>
      <w:r>
        <w:rPr>
          <w:rStyle w:val="AERtextitalic"/>
        </w:rPr>
        <w:t xml:space="preserve">distribution </w:t>
      </w:r>
      <w:r w:rsidRPr="0042144E">
        <w:rPr>
          <w:rStyle w:val="AERtextitalic"/>
        </w:rPr>
        <w:t>network: 1 July 2016–30 June 2021</w:t>
      </w:r>
      <w:r>
        <w:t xml:space="preserve">, 1 July 2015, p. 26; ActewAGL, </w:t>
      </w:r>
      <w:r w:rsidRPr="0042144E">
        <w:rPr>
          <w:rStyle w:val="AERtextitalic"/>
        </w:rPr>
        <w:t xml:space="preserve">Access arrangement for the ACT, Queanbeyan and Palerang gas </w:t>
      </w:r>
      <w:r>
        <w:rPr>
          <w:rStyle w:val="AERtextitalic"/>
        </w:rPr>
        <w:t xml:space="preserve">distribution </w:t>
      </w:r>
      <w:r w:rsidRPr="0042144E">
        <w:rPr>
          <w:rStyle w:val="AERtextitalic"/>
        </w:rPr>
        <w:t>network: 1 July 2016–30 June 2021</w:t>
      </w:r>
      <w:r>
        <w:t xml:space="preserve">, 6 January 2016, p. 25. </w:t>
      </w:r>
    </w:p>
  </w:footnote>
  <w:footnote w:id="569">
    <w:p w:rsidR="00702DD6" w:rsidRDefault="00702DD6" w:rsidP="00F24F66">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570">
    <w:p w:rsidR="00702DD6" w:rsidRDefault="00702DD6" w:rsidP="00F24F66">
      <w:pPr>
        <w:pStyle w:val="FootnoteText"/>
      </w:pPr>
      <w:r>
        <w:rPr>
          <w:rStyle w:val="FootnoteReference"/>
        </w:rPr>
        <w:footnoteRef/>
      </w:r>
      <w:r>
        <w:t xml:space="preserve"> </w:t>
      </w:r>
      <w:r>
        <w:tab/>
      </w:r>
      <w:r w:rsidRPr="007E60B1">
        <w:t>NER</w:t>
      </w:r>
      <w:r>
        <w:t>,</w:t>
      </w:r>
      <w:r w:rsidRPr="007E60B1">
        <w:t xml:space="preserve"> cl. 6.5.2(c)</w:t>
      </w:r>
      <w:r>
        <w:t xml:space="preserve"> and 6A.6.2(c); NGR, r. 87(3)</w:t>
      </w:r>
      <w:r w:rsidRPr="007E60B1">
        <w:t>.</w:t>
      </w:r>
    </w:p>
  </w:footnote>
  <w:footnote w:id="571">
    <w:p w:rsidR="00702DD6" w:rsidRDefault="00702DD6" w:rsidP="00F24F66">
      <w:pPr>
        <w:pStyle w:val="FootnoteText"/>
      </w:pPr>
      <w:r>
        <w:rPr>
          <w:rStyle w:val="FootnoteReference"/>
        </w:rPr>
        <w:footnoteRef/>
      </w:r>
      <w:r>
        <w:t xml:space="preserve"> </w:t>
      </w:r>
      <w:r>
        <w:tab/>
        <w:t xml:space="preserve">AER, </w:t>
      </w:r>
      <w:r w:rsidRPr="002C65E6">
        <w:rPr>
          <w:rStyle w:val="AERtextitalic"/>
        </w:rPr>
        <w:t>Explanatory statement to the proposed amendment: Electricity transmission and distribution network service providers—Post-tax revenue models (version 3)</w:t>
      </w:r>
      <w:r>
        <w:t>, 3 October 2014, pp. 16–17.</w:t>
      </w:r>
    </w:p>
  </w:footnote>
  <w:footnote w:id="572">
    <w:p w:rsidR="00702DD6" w:rsidRDefault="00702DD6" w:rsidP="00F24F66">
      <w:pPr>
        <w:pStyle w:val="FootnoteText"/>
      </w:pPr>
      <w:r>
        <w:rPr>
          <w:rStyle w:val="FootnoteReference"/>
        </w:rPr>
        <w:footnoteRef/>
      </w:r>
      <w:r>
        <w:t xml:space="preserve"> </w:t>
      </w:r>
      <w:r>
        <w:tab/>
        <w:t xml:space="preserve">AER, </w:t>
      </w:r>
      <w:r w:rsidRPr="00F366FC">
        <w:rPr>
          <w:rStyle w:val="AERtextitalic"/>
        </w:rPr>
        <w:t>Explanatory statement to the proposed amendment: Electricity transmission and distribution network service providers—Post-tax revenue models (version 3)</w:t>
      </w:r>
      <w:r>
        <w:t>, 3 October 2014, p. 17.</w:t>
      </w:r>
    </w:p>
  </w:footnote>
  <w:footnote w:id="573">
    <w:p w:rsidR="00702DD6" w:rsidRDefault="00702DD6" w:rsidP="00F24F66">
      <w:pPr>
        <w:pStyle w:val="FootnoteText"/>
      </w:pPr>
      <w:r>
        <w:rPr>
          <w:rStyle w:val="FootnoteReference"/>
        </w:rPr>
        <w:footnoteRef/>
      </w:r>
      <w:r>
        <w:t xml:space="preserve"> </w:t>
      </w:r>
      <w:r>
        <w:tab/>
        <w:t>NER, cl. 6.5.2(k</w:t>
      </w:r>
      <w:r w:rsidRPr="005F1830">
        <w:t>)</w:t>
      </w:r>
      <w:r>
        <w:t>(1) and 6A.6.2(k)(1); NGR, r. 87(11)(1)</w:t>
      </w:r>
      <w:r w:rsidRPr="005F1830">
        <w:t>.</w:t>
      </w:r>
    </w:p>
  </w:footnote>
  <w:footnote w:id="574">
    <w:p w:rsidR="00702DD6" w:rsidRDefault="00702DD6" w:rsidP="00F50842">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t>, 6 January 2016, p</w:t>
      </w:r>
      <w:r w:rsidRPr="00273F0E">
        <w:t xml:space="preserve">. </w:t>
      </w:r>
      <w:r>
        <w:t>384</w:t>
      </w:r>
      <w:r w:rsidRPr="00273F0E">
        <w:t xml:space="preserve">; Powercor, </w:t>
      </w:r>
      <w:r w:rsidRPr="00273F0E">
        <w:rPr>
          <w:rStyle w:val="AERtextitalic"/>
        </w:rPr>
        <w:t>Revised regulatory proposal 2016–2020</w:t>
      </w:r>
      <w:r>
        <w:t>, 6 January 2016, p</w:t>
      </w:r>
      <w:r w:rsidRPr="00273F0E">
        <w:t xml:space="preserve">. </w:t>
      </w:r>
      <w:r>
        <w:t>378</w:t>
      </w:r>
      <w:r w:rsidRPr="00273F0E">
        <w:t xml:space="preserve">; ActewAGL, </w:t>
      </w:r>
      <w:r w:rsidRPr="00273F0E">
        <w:rPr>
          <w:rStyle w:val="Emphasis"/>
        </w:rPr>
        <w:t>Revised 2016–21 access arrangement proposal</w:t>
      </w:r>
      <w:r>
        <w:rPr>
          <w:rStyle w:val="Emphasis"/>
        </w:rPr>
        <w:t>:</w:t>
      </w:r>
      <w:r w:rsidRPr="00273F0E">
        <w:rPr>
          <w:rStyle w:val="Emphasis"/>
        </w:rPr>
        <w:t xml:space="preserve"> Response to the AER's draft decision, Appendix 5.01</w:t>
      </w:r>
      <w:r>
        <w:rPr>
          <w:rStyle w:val="Emphasis"/>
        </w:rPr>
        <w:t>:</w:t>
      </w:r>
      <w:r w:rsidRPr="00273F0E">
        <w:rPr>
          <w:rStyle w:val="Emphasis"/>
        </w:rPr>
        <w:t xml:space="preserve"> Detailed response to rate of return, gamma and inflation</w:t>
      </w:r>
      <w:r w:rsidRPr="00273F0E">
        <w:t>,</w:t>
      </w:r>
      <w:r>
        <w:t xml:space="preserve"> 6 January 2016, p</w:t>
      </w:r>
      <w:r w:rsidRPr="00273F0E">
        <w:t xml:space="preserve">. </w:t>
      </w:r>
      <w:r>
        <w:t>138</w:t>
      </w:r>
      <w:r w:rsidRPr="00273F0E">
        <w:t xml:space="preserve">; United Energy, </w:t>
      </w:r>
      <w:r w:rsidRPr="00273F0E">
        <w:rPr>
          <w:rStyle w:val="Emphasis"/>
        </w:rPr>
        <w:t>Response to AER preliminary determination</w:t>
      </w:r>
      <w:r w:rsidRPr="005666DD">
        <w:t>—</w:t>
      </w:r>
      <w:r w:rsidRPr="00273F0E">
        <w:rPr>
          <w:rStyle w:val="Emphasis"/>
        </w:rPr>
        <w:t>Re: rate of return and gamma</w:t>
      </w:r>
      <w:r>
        <w:t>, 6 January 2016, p</w:t>
      </w:r>
      <w:r w:rsidRPr="00273F0E">
        <w:t>.</w:t>
      </w:r>
      <w:r>
        <w:t xml:space="preserve"> 106</w:t>
      </w:r>
      <w:r w:rsidRPr="00273F0E">
        <w:t xml:space="preserve">; AGN, </w:t>
      </w:r>
      <w:r>
        <w:rPr>
          <w:rStyle w:val="Emphasis"/>
        </w:rPr>
        <w:t>2016/</w:t>
      </w:r>
      <w:r w:rsidRPr="00273F0E">
        <w:rPr>
          <w:rStyle w:val="Emphasis"/>
        </w:rPr>
        <w:t>17 to 2020/21 Access Arrangemen</w:t>
      </w:r>
      <w:r>
        <w:rPr>
          <w:rStyle w:val="Emphasis"/>
        </w:rPr>
        <w:t>t i</w:t>
      </w:r>
      <w:r w:rsidRPr="00273F0E">
        <w:rPr>
          <w:rStyle w:val="Emphasis"/>
        </w:rPr>
        <w:t>nformation</w:t>
      </w:r>
      <w:r>
        <w:rPr>
          <w:rStyle w:val="Emphasis"/>
        </w:rPr>
        <w:t>:</w:t>
      </w:r>
      <w:r w:rsidRPr="00273F0E">
        <w:rPr>
          <w:rStyle w:val="Emphasis"/>
        </w:rPr>
        <w:t xml:space="preserve"> </w:t>
      </w:r>
      <w:r>
        <w:rPr>
          <w:rStyle w:val="Emphasis"/>
        </w:rPr>
        <w:t>Response to draft decision,</w:t>
      </w:r>
      <w:r w:rsidRPr="00273F0E">
        <w:rPr>
          <w:rStyle w:val="Emphasis"/>
        </w:rPr>
        <w:t xml:space="preserve"> Attachment 10.26</w:t>
      </w:r>
      <w:r>
        <w:rPr>
          <w:rStyle w:val="Emphasis"/>
        </w:rPr>
        <w:t>:</w:t>
      </w:r>
      <w:r w:rsidRPr="00273F0E">
        <w:rPr>
          <w:rStyle w:val="Emphasis"/>
        </w:rPr>
        <w:t xml:space="preserve"> </w:t>
      </w:r>
      <w:r>
        <w:rPr>
          <w:rStyle w:val="Emphasis"/>
        </w:rPr>
        <w:t>R</w:t>
      </w:r>
      <w:r w:rsidRPr="00273F0E">
        <w:rPr>
          <w:rStyle w:val="Emphasis"/>
        </w:rPr>
        <w:t>ate of return</w:t>
      </w:r>
      <w:r w:rsidRPr="00273F0E">
        <w:t xml:space="preserve">, </w:t>
      </w:r>
      <w:r>
        <w:t>6 January 2016, p</w:t>
      </w:r>
      <w:r w:rsidRPr="00273F0E">
        <w:t xml:space="preserve">. </w:t>
      </w:r>
      <w:r>
        <w:t>83</w:t>
      </w:r>
      <w:r w:rsidRPr="00273F0E">
        <w:t xml:space="preserve">; AusNet Services, </w:t>
      </w:r>
      <w:r w:rsidRPr="00273F0E">
        <w:rPr>
          <w:rStyle w:val="Emphasis"/>
        </w:rPr>
        <w:t>Electricity distribution price review</w:t>
      </w:r>
      <w:r>
        <w:rPr>
          <w:rStyle w:val="Emphasis"/>
        </w:rPr>
        <w:t xml:space="preserve"> 2016–20: Revised regulatory proposal,</w:t>
      </w:r>
      <w:r w:rsidRPr="00273F0E">
        <w:rPr>
          <w:rStyle w:val="Emphasis"/>
        </w:rPr>
        <w:t xml:space="preserve"> Chapter 7</w:t>
      </w:r>
      <w:r>
        <w:rPr>
          <w:rStyle w:val="Emphasis"/>
        </w:rPr>
        <w:t>:</w:t>
      </w:r>
      <w:r w:rsidRPr="00273F0E">
        <w:rPr>
          <w:rStyle w:val="Emphasis"/>
        </w:rPr>
        <w:t xml:space="preserve"> Rate of return &amp; gamma</w:t>
      </w:r>
      <w:r w:rsidRPr="00273F0E">
        <w:t xml:space="preserve">, 6 January 2016, pp. </w:t>
      </w:r>
      <w:r>
        <w:t>103. APTNT and Jemena did not make this claim.</w:t>
      </w:r>
    </w:p>
  </w:footnote>
  <w:footnote w:id="575">
    <w:p w:rsidR="00702DD6" w:rsidRDefault="00702DD6" w:rsidP="00F50842">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January 2016.</w:t>
      </w:r>
    </w:p>
  </w:footnote>
  <w:footnote w:id="576">
    <w:p w:rsidR="00702DD6" w:rsidRDefault="00702DD6" w:rsidP="00F50842">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January 2016, p. 22 (fn. 23).</w:t>
      </w:r>
    </w:p>
  </w:footnote>
  <w:footnote w:id="577">
    <w:p w:rsidR="00702DD6" w:rsidRDefault="00702DD6" w:rsidP="00F50842">
      <w:pPr>
        <w:pStyle w:val="FootnoteText"/>
      </w:pPr>
      <w:r>
        <w:rPr>
          <w:rStyle w:val="FootnoteReference"/>
        </w:rPr>
        <w:footnoteRef/>
      </w:r>
      <w:r>
        <w:t xml:space="preserve"> </w:t>
      </w:r>
      <w:r>
        <w:tab/>
        <w:t xml:space="preserve">ECCSA, </w:t>
      </w:r>
      <w:r w:rsidRPr="00DA67DD">
        <w:rPr>
          <w:rStyle w:val="AERtextitalic"/>
        </w:rPr>
        <w:t>A response to the Australian Energy Regulator draft decision on Australian Gas Networks AA2016 revenue reset</w:t>
      </w:r>
      <w:r>
        <w:t>, February 2016, p. 34.</w:t>
      </w:r>
    </w:p>
  </w:footnote>
  <w:footnote w:id="578">
    <w:p w:rsidR="00702DD6" w:rsidRDefault="00702DD6" w:rsidP="00F50842">
      <w:pPr>
        <w:pStyle w:val="FootnoteText"/>
      </w:pPr>
      <w:r>
        <w:rPr>
          <w:rStyle w:val="FootnoteReference"/>
        </w:rPr>
        <w:footnoteRef/>
      </w:r>
      <w:r>
        <w:t xml:space="preserve"> </w:t>
      </w:r>
      <w:r>
        <w:tab/>
      </w:r>
      <w:r w:rsidRPr="00F64B59">
        <w:t xml:space="preserve">CCP3, </w:t>
      </w:r>
      <w:r w:rsidRPr="00F64B59">
        <w:rPr>
          <w:rStyle w:val="AERtextitalic"/>
        </w:rPr>
        <w:t>Submission to t</w:t>
      </w:r>
      <w:r>
        <w:rPr>
          <w:rStyle w:val="AERtextitalic"/>
        </w:rPr>
        <w:t xml:space="preserve">he AER: </w:t>
      </w:r>
      <w:r w:rsidRPr="00F64B59">
        <w:rPr>
          <w:rStyle w:val="AERtextitalic"/>
        </w:rPr>
        <w:t>Response to AER Preliminary Decisions and revised proposals from Victorian electricity DNSPs for a revenue reset for the 2016–2020 regulatory period</w:t>
      </w:r>
      <w:r w:rsidRPr="00F64B59">
        <w:t>, February 2016</w:t>
      </w:r>
      <w:r>
        <w:t>, pp. 83, 94-95.</w:t>
      </w:r>
    </w:p>
  </w:footnote>
  <w:footnote w:id="579">
    <w:p w:rsidR="00702DD6" w:rsidRDefault="00702DD6" w:rsidP="00883C42">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580">
    <w:p w:rsidR="00702DD6" w:rsidRDefault="00702DD6" w:rsidP="00B07A7A">
      <w:pPr>
        <w:pStyle w:val="FootnoteText"/>
      </w:pPr>
      <w:r>
        <w:rPr>
          <w:rStyle w:val="FootnoteReference"/>
        </w:rPr>
        <w:footnoteRef/>
      </w:r>
      <w:r>
        <w:t xml:space="preserve"> </w:t>
      </w:r>
      <w:r>
        <w:tab/>
      </w:r>
      <w:r w:rsidRPr="001413ED">
        <w:t xml:space="preserve">AER, </w:t>
      </w:r>
      <w:r>
        <w:rPr>
          <w:rStyle w:val="AERtextitalic"/>
        </w:rPr>
        <w:t>Draft</w:t>
      </w:r>
      <w:r w:rsidRPr="00B26B3C">
        <w:rPr>
          <w:rStyle w:val="AERtextitalic"/>
        </w:rPr>
        <w:t xml:space="preserve"> decision </w:t>
      </w:r>
      <w:r>
        <w:rPr>
          <w:rStyle w:val="AERtextitalic"/>
        </w:rPr>
        <w:t xml:space="preserve">ActewAGL distribution </w:t>
      </w:r>
      <w:r w:rsidRPr="00B26B3C">
        <w:rPr>
          <w:rStyle w:val="AERtextitalic"/>
        </w:rPr>
        <w:t>determination, Attachment 3 Rate of return</w:t>
      </w:r>
      <w:r w:rsidRPr="001413ED">
        <w:t xml:space="preserve">, </w:t>
      </w:r>
      <w:r>
        <w:t xml:space="preserve">November </w:t>
      </w:r>
      <w:r w:rsidRPr="001413ED">
        <w:t>2015, p</w:t>
      </w:r>
      <w:r>
        <w:t>p</w:t>
      </w:r>
      <w:r w:rsidRPr="001413ED">
        <w:t xml:space="preserve">. </w:t>
      </w:r>
      <w:r>
        <w:t>263</w:t>
      </w:r>
      <w:r>
        <w:rPr>
          <w:rFonts w:cs="Arial"/>
        </w:rPr>
        <w:t>–</w:t>
      </w:r>
      <w:r>
        <w:t>4; ActewAGL</w:t>
      </w:r>
      <w:r w:rsidRPr="00E04B8A">
        <w:t xml:space="preserve">, </w:t>
      </w:r>
      <w:r>
        <w:rPr>
          <w:rStyle w:val="AERtextitalic"/>
        </w:rPr>
        <w:t>Submission to the AER: Rate of return, gamma and inflation</w:t>
      </w:r>
      <w:r w:rsidRPr="00E04B8A">
        <w:t>,</w:t>
      </w:r>
      <w:r>
        <w:t xml:space="preserve"> June 2015,</w:t>
      </w:r>
      <w:r w:rsidRPr="00E04B8A">
        <w:t xml:space="preserve"> p. </w:t>
      </w:r>
      <w:r>
        <w:t>19</w:t>
      </w:r>
      <w:r w:rsidRPr="00E04B8A">
        <w:t>.</w:t>
      </w:r>
    </w:p>
  </w:footnote>
  <w:footnote w:id="581">
    <w:p w:rsidR="00702DD6" w:rsidRDefault="00702DD6" w:rsidP="00B07A7A">
      <w:pPr>
        <w:pStyle w:val="FootnoteText"/>
      </w:pPr>
      <w:r>
        <w:rPr>
          <w:rStyle w:val="FootnoteReference"/>
        </w:rPr>
        <w:footnoteRef/>
      </w:r>
      <w:r>
        <w:t xml:space="preserve"> </w:t>
      </w:r>
      <w:r>
        <w:tab/>
        <w:t xml:space="preserve">Further, </w:t>
      </w:r>
      <w:r w:rsidRPr="007614B1">
        <w:t>RBA forecasts have been marginally more accurate than private sector forecasts</w:t>
      </w:r>
      <w:r>
        <w:t xml:space="preserve">. Tullip, P., Wallace, S., 'Estimates of uncertainty around the RBA’s forecasts’, </w:t>
      </w:r>
      <w:r w:rsidRPr="00EC657C">
        <w:rPr>
          <w:i/>
        </w:rPr>
        <w:t>RBA Research Discussion Paper – November 2012</w:t>
      </w:r>
      <w:r>
        <w:t xml:space="preserve">, RDP2012-07, p. 30. </w:t>
      </w:r>
    </w:p>
  </w:footnote>
  <w:footnote w:id="582">
    <w:p w:rsidR="00702DD6" w:rsidRDefault="00702DD6" w:rsidP="00B07A7A">
      <w:pPr>
        <w:pStyle w:val="FootnoteText"/>
      </w:pPr>
      <w:r>
        <w:rPr>
          <w:rStyle w:val="FootnoteReference"/>
        </w:rPr>
        <w:footnoteRef/>
      </w:r>
      <w:r>
        <w:t xml:space="preserve"> </w:t>
      </w:r>
      <w:r>
        <w:tab/>
      </w:r>
      <w:r w:rsidRPr="00F93084">
        <w:t xml:space="preserve">AER, </w:t>
      </w:r>
      <w:r w:rsidRPr="00F93084">
        <w:rPr>
          <w:rStyle w:val="AERtextitalic"/>
        </w:rPr>
        <w:t>Final decision: SP AusNet transmission determination 2008–9 to 2013–14</w:t>
      </w:r>
      <w:r>
        <w:t>, January 2008, pp. 103</w:t>
      </w:r>
      <w:r w:rsidRPr="00DD1454">
        <w:t>–</w:t>
      </w:r>
      <w:r>
        <w:t xml:space="preserve">4; </w:t>
      </w:r>
      <w:r w:rsidRPr="00F93084">
        <w:t xml:space="preserve">RBA, </w:t>
      </w:r>
      <w:r>
        <w:rPr>
          <w:rStyle w:val="AERtextitalic"/>
        </w:rPr>
        <w:t>L</w:t>
      </w:r>
      <w:r w:rsidRPr="00DD1454">
        <w:rPr>
          <w:rStyle w:val="AERtextitalic"/>
        </w:rPr>
        <w:t>etter to ACCC</w:t>
      </w:r>
      <w:r>
        <w:t xml:space="preserve">, 9 August 2007, p. 3; </w:t>
      </w:r>
      <w:r w:rsidRPr="00F93084">
        <w:t xml:space="preserve">Australian Treasury, </w:t>
      </w:r>
      <w:r w:rsidRPr="00DD1454">
        <w:rPr>
          <w:rStyle w:val="AERtextitalic"/>
        </w:rPr>
        <w:t>The Treasury bond yield as a proxy for the CAPM risk-free rate, Letter to ACCC</w:t>
      </w:r>
      <w:r w:rsidRPr="00F93084">
        <w:t>, 7 August 2007</w:t>
      </w:r>
      <w:r>
        <w:t xml:space="preserve">, </w:t>
      </w:r>
      <w:r w:rsidRPr="00F93084">
        <w:t>p.</w:t>
      </w:r>
      <w:r>
        <w:t xml:space="preserve"> </w:t>
      </w:r>
      <w:r w:rsidRPr="00F93084">
        <w:t>5.</w:t>
      </w:r>
    </w:p>
  </w:footnote>
  <w:footnote w:id="583">
    <w:p w:rsidR="00702DD6" w:rsidRDefault="00702DD6" w:rsidP="00B07A7A">
      <w:pPr>
        <w:pStyle w:val="FootnoteText"/>
      </w:pPr>
      <w:r>
        <w:rPr>
          <w:rStyle w:val="FootnoteReference"/>
        </w:rPr>
        <w:footnoteRef/>
      </w:r>
      <w:r>
        <w:t xml:space="preserve"> </w:t>
      </w:r>
      <w:r>
        <w:tab/>
      </w:r>
      <w:r w:rsidRPr="001413ED">
        <w:t xml:space="preserve">AER, </w:t>
      </w:r>
      <w:r>
        <w:rPr>
          <w:rStyle w:val="AERtextitalic"/>
        </w:rPr>
        <w:t>Draft</w:t>
      </w:r>
      <w:r w:rsidRPr="00B26B3C">
        <w:rPr>
          <w:rStyle w:val="AERtextitalic"/>
        </w:rPr>
        <w:t xml:space="preserve"> decision </w:t>
      </w:r>
      <w:r>
        <w:rPr>
          <w:rStyle w:val="AERtextitalic"/>
        </w:rPr>
        <w:t>ActewAGL distribution</w:t>
      </w:r>
      <w:r w:rsidRPr="00B26B3C">
        <w:rPr>
          <w:rStyle w:val="AERtextitalic"/>
        </w:rPr>
        <w:t xml:space="preserve"> determination, Attachment 3 Rate of return</w:t>
      </w:r>
      <w:r w:rsidRPr="001413ED">
        <w:t xml:space="preserve">, </w:t>
      </w:r>
      <w:r>
        <w:t>November 2015, p. 263</w:t>
      </w:r>
      <w:r w:rsidRPr="001413ED">
        <w:t>.</w:t>
      </w:r>
    </w:p>
  </w:footnote>
  <w:footnote w:id="584">
    <w:p w:rsidR="00702DD6" w:rsidRDefault="00702DD6" w:rsidP="00B07A7A">
      <w:pPr>
        <w:pStyle w:val="FootnoteText"/>
      </w:pPr>
      <w:r>
        <w:rPr>
          <w:rStyle w:val="FootnoteReference"/>
        </w:rPr>
        <w:footnoteRef/>
      </w:r>
      <w:r>
        <w:t xml:space="preserve"> </w:t>
      </w:r>
      <w:r>
        <w:tab/>
        <w:t>While the estimates and the footnotes in Table 3.38 of our draft decision included were correct, the header row included an error by indicating the first relevant inflation forecast was for end-June 2017. See AER,</w:t>
      </w:r>
      <w:r w:rsidRPr="003C08D3">
        <w:rPr>
          <w:rStyle w:val="AERtextitalic"/>
        </w:rPr>
        <w:t xml:space="preserve"> </w:t>
      </w:r>
      <w:r>
        <w:rPr>
          <w:rStyle w:val="AERtextitalic"/>
        </w:rPr>
        <w:t>Draft</w:t>
      </w:r>
      <w:r w:rsidRPr="00B26B3C">
        <w:rPr>
          <w:rStyle w:val="AERtextitalic"/>
        </w:rPr>
        <w:t xml:space="preserve"> decision </w:t>
      </w:r>
      <w:r>
        <w:rPr>
          <w:rStyle w:val="AERtextitalic"/>
        </w:rPr>
        <w:t xml:space="preserve">ActewAGL distribution </w:t>
      </w:r>
      <w:r w:rsidRPr="00B26B3C">
        <w:rPr>
          <w:rStyle w:val="AERtextitalic"/>
        </w:rPr>
        <w:t>determination, Attachment 3 Rate of return</w:t>
      </w:r>
      <w:r w:rsidRPr="001413ED">
        <w:t xml:space="preserve">, </w:t>
      </w:r>
      <w:r>
        <w:t xml:space="preserve">November </w:t>
      </w:r>
      <w:r w:rsidRPr="001413ED">
        <w:t>20</w:t>
      </w:r>
      <w:r>
        <w:t>15, p. 263.</w:t>
      </w:r>
    </w:p>
  </w:footnote>
  <w:footnote w:id="585">
    <w:p w:rsidR="00702DD6" w:rsidRDefault="00702DD6" w:rsidP="00B07A7A">
      <w:pPr>
        <w:pStyle w:val="FootnoteText"/>
      </w:pPr>
      <w:r>
        <w:rPr>
          <w:rStyle w:val="FootnoteReference"/>
        </w:rPr>
        <w:footnoteRef/>
      </w:r>
      <w:r>
        <w:t xml:space="preserve"> </w:t>
      </w:r>
      <w:r>
        <w:tab/>
        <w:t>ActewAGL</w:t>
      </w:r>
      <w:r w:rsidRPr="00E04B8A">
        <w:t xml:space="preserve">, </w:t>
      </w:r>
      <w:r>
        <w:rPr>
          <w:rStyle w:val="AERtextitalic"/>
        </w:rPr>
        <w:t>Submission to the AER: Rate of return, gamma and inflation</w:t>
      </w:r>
      <w:r w:rsidRPr="00E04B8A">
        <w:t>,</w:t>
      </w:r>
      <w:r>
        <w:t xml:space="preserve"> June 2015,</w:t>
      </w:r>
      <w:r w:rsidRPr="00E04B8A">
        <w:t xml:space="preserve"> p. </w:t>
      </w:r>
      <w:r>
        <w:t>20.</w:t>
      </w:r>
    </w:p>
  </w:footnote>
  <w:footnote w:id="586">
    <w:p w:rsidR="00702DD6" w:rsidRDefault="00702DD6" w:rsidP="00B07A7A">
      <w:pPr>
        <w:pStyle w:val="FootnoteText"/>
      </w:pPr>
      <w:r>
        <w:rPr>
          <w:rStyle w:val="FootnoteReference"/>
        </w:rPr>
        <w:footnoteRef/>
      </w:r>
      <w:r>
        <w:t xml:space="preserve"> </w:t>
      </w:r>
      <w:r>
        <w:tab/>
        <w:t xml:space="preserve">ActewAGL, </w:t>
      </w:r>
      <w:r>
        <w:rPr>
          <w:rStyle w:val="AERtextitalic"/>
        </w:rPr>
        <w:t>Appendix 5.01: Detailed response to rate of return, gamma and inflation</w:t>
      </w:r>
      <w:r>
        <w:t>, January 2016, p. 135.</w:t>
      </w:r>
    </w:p>
  </w:footnote>
  <w:footnote w:id="587">
    <w:p w:rsidR="00702DD6" w:rsidRDefault="00702DD6" w:rsidP="00B07A7A">
      <w:pPr>
        <w:pStyle w:val="FootnoteText"/>
      </w:pPr>
      <w:r>
        <w:rPr>
          <w:rStyle w:val="FootnoteReference"/>
        </w:rPr>
        <w:footnoteRef/>
      </w:r>
      <w:r>
        <w:t xml:space="preserve"> </w:t>
      </w:r>
      <w:r>
        <w:tab/>
      </w:r>
      <w:r w:rsidRPr="00A9475D">
        <w:t>The</w:t>
      </w:r>
      <w:r>
        <w:t xml:space="preserve"> breakeven approach entails estimating the inflation rate </w:t>
      </w:r>
      <w:r w:rsidRPr="00A9475D">
        <w:t>in which an investor would be indifferent between investing in nominal bonds and indexed bonds.</w:t>
      </w:r>
      <w:r>
        <w:t xml:space="preserve"> This inflation rate is </w:t>
      </w:r>
      <w:r w:rsidRPr="00A9475D">
        <w:t>implied from nominal and indexed bond yields of the same maturity.</w:t>
      </w:r>
      <w:r>
        <w:t xml:space="preserve"> </w:t>
      </w:r>
    </w:p>
  </w:footnote>
  <w:footnote w:id="588">
    <w:p w:rsidR="00702DD6" w:rsidRDefault="00702DD6" w:rsidP="00B07A7A">
      <w:pPr>
        <w:pStyle w:val="FootnoteText"/>
      </w:pPr>
      <w:r>
        <w:rPr>
          <w:rStyle w:val="FootnoteReference"/>
        </w:rPr>
        <w:footnoteRef/>
      </w:r>
      <w:r>
        <w:t xml:space="preserve"> </w:t>
      </w:r>
      <w:r>
        <w:tab/>
        <w:t xml:space="preserve">CEG, </w:t>
      </w:r>
      <w:r>
        <w:rPr>
          <w:rStyle w:val="AERtextitalic"/>
        </w:rPr>
        <w:t>M</w:t>
      </w:r>
      <w:r w:rsidRPr="00086BBC">
        <w:rPr>
          <w:rStyle w:val="AERtextitalic"/>
        </w:rPr>
        <w:t>emorandum</w:t>
      </w:r>
      <w:r>
        <w:rPr>
          <w:rStyle w:val="AERtextitalic"/>
        </w:rPr>
        <w:t xml:space="preserve"> to ActewAGL: </w:t>
      </w:r>
      <w:r w:rsidRPr="00086BBC">
        <w:rPr>
          <w:rStyle w:val="AERtextitalic"/>
        </w:rPr>
        <w:t xml:space="preserve">September 2015 cost of debt </w:t>
      </w:r>
      <w:r>
        <w:rPr>
          <w:rStyle w:val="AERtextitalic"/>
        </w:rPr>
        <w:t>and inflation forecasts</w:t>
      </w:r>
      <w:r>
        <w:t>, 4 January 2016, p. 3.</w:t>
      </w:r>
    </w:p>
  </w:footnote>
  <w:footnote w:id="589">
    <w:p w:rsidR="00702DD6" w:rsidRDefault="00702DD6" w:rsidP="00B07A7A">
      <w:pPr>
        <w:pStyle w:val="FootnoteText"/>
      </w:pPr>
      <w:r>
        <w:rPr>
          <w:rStyle w:val="FootnoteReference"/>
        </w:rPr>
        <w:footnoteRef/>
      </w:r>
      <w:r>
        <w:t xml:space="preserve"> </w:t>
      </w:r>
      <w:r>
        <w:tab/>
        <w:t xml:space="preserve">ActewAGL submitted a range of material over three months after the consultation period had closed on 4 February 2016. This left us limited time to consult on and respond to this submission. As such, other stakeholders were unable to consider and respond to this new material. See ActewAGL, </w:t>
      </w:r>
      <w:r w:rsidRPr="007D5B99">
        <w:rPr>
          <w:rStyle w:val="AERtextitalic"/>
        </w:rPr>
        <w:t>Attachment 2: Updated rate of return and forecast inflation values</w:t>
      </w:r>
      <w:r>
        <w:t>, 12 March 2016, pp. 3</w:t>
      </w:r>
      <w:r>
        <w:rPr>
          <w:rFonts w:cs="Arial"/>
        </w:rPr>
        <w:t>–</w:t>
      </w:r>
      <w:r>
        <w:t>5 (LATE SUBMISSION).</w:t>
      </w:r>
    </w:p>
  </w:footnote>
  <w:footnote w:id="590">
    <w:p w:rsidR="00702DD6" w:rsidRDefault="00702DD6" w:rsidP="00B07A7A">
      <w:pPr>
        <w:pStyle w:val="FootnoteText"/>
      </w:pPr>
      <w:r>
        <w:rPr>
          <w:rStyle w:val="FootnoteReference"/>
        </w:rPr>
        <w:footnoteRef/>
      </w:r>
      <w:r>
        <w:t xml:space="preserve"> </w:t>
      </w:r>
      <w:r>
        <w:tab/>
        <w:t xml:space="preserve">See CEG, </w:t>
      </w:r>
      <w:r w:rsidRPr="004F1947">
        <w:rPr>
          <w:rStyle w:val="AERtextitalic"/>
        </w:rPr>
        <w:t>Update to AER WACC parameters and expected inflation</w:t>
      </w:r>
      <w:r>
        <w:t xml:space="preserve">, May 2016. CEG provided a current estimate of inflation expectations of 1.48% (using 5/10 year weighting). It provided a 10 year estimate of 1.64%. It is worth noting that its 10 year estimate of inflation expectations (that is, to 2025) is lower than the RBA's central forecast for only a year away (see figure 1-3 on p. 9). In contrast to CEG's interpretation of the RBA's recent Statement of Monetary Policy, we consider this indicates that CEG's approach likely has shortcomings. </w:t>
      </w:r>
    </w:p>
  </w:footnote>
  <w:footnote w:id="591">
    <w:p w:rsidR="00702DD6" w:rsidRDefault="00702DD6" w:rsidP="00B07A7A">
      <w:pPr>
        <w:pStyle w:val="FootnoteText"/>
      </w:pPr>
      <w:r>
        <w:rPr>
          <w:rStyle w:val="FootnoteReference"/>
        </w:rPr>
        <w:footnoteRef/>
      </w:r>
      <w:r>
        <w:t xml:space="preserve"> </w:t>
      </w:r>
      <w:r>
        <w:tab/>
        <w:t>We consider we would need to adjust for biases if we estimated breakeven expected inflation using either interest swaps or indexed CGSs. However, some evidence indicates that inflation swaps might produce better estimates than indexed CGSs. For instance, i</w:t>
      </w:r>
      <w:r w:rsidRPr="00513EB9">
        <w:t xml:space="preserve">n February 2015, the RBA noted </w:t>
      </w:r>
      <w:r>
        <w:t xml:space="preserve">that </w:t>
      </w:r>
      <w:r w:rsidRPr="00513EB9">
        <w:t xml:space="preserve">fluctuations in market liquidity </w:t>
      </w:r>
      <w:r>
        <w:t>affect the inflation swap market</w:t>
      </w:r>
      <w:r w:rsidRPr="00513EB9">
        <w:t xml:space="preserve"> less </w:t>
      </w:r>
      <w:r>
        <w:t>than</w:t>
      </w:r>
      <w:r w:rsidRPr="00513EB9">
        <w:t xml:space="preserve"> </w:t>
      </w:r>
      <w:r>
        <w:t>the indexed CGS market</w:t>
      </w:r>
      <w:r w:rsidRPr="00513EB9">
        <w:t xml:space="preserve">. </w:t>
      </w:r>
      <w:r>
        <w:t>See RBA</w:t>
      </w:r>
      <w:r w:rsidRPr="00565371">
        <w:t xml:space="preserve">, </w:t>
      </w:r>
      <w:r w:rsidRPr="00CD79C5">
        <w:rPr>
          <w:rStyle w:val="AERtextitalic"/>
        </w:rPr>
        <w:t>Statement on Monetary Policy</w:t>
      </w:r>
      <w:r w:rsidRPr="00565371">
        <w:t>, February</w:t>
      </w:r>
      <w:r>
        <w:t xml:space="preserve"> 2015</w:t>
      </w:r>
      <w:r w:rsidRPr="00565371">
        <w:t>, p. 50</w:t>
      </w:r>
      <w:r>
        <w:t>. T</w:t>
      </w:r>
      <w:r w:rsidRPr="00513EB9">
        <w:t xml:space="preserve">he RBA </w:t>
      </w:r>
      <w:r>
        <w:t xml:space="preserve">previously found </w:t>
      </w:r>
      <w:r w:rsidRPr="00513EB9">
        <w:t>inflation swaps tend to be a more useful source of information on expected inflation in practice since (as of March 2012) there were few indexed CGS on issue and that the indexed CGS</w:t>
      </w:r>
      <w:r>
        <w:t xml:space="preserve">s were </w:t>
      </w:r>
      <w:r w:rsidRPr="00513EB9">
        <w:t>somewhat less liquid than nominal CGS</w:t>
      </w:r>
      <w:r>
        <w:t>s</w:t>
      </w:r>
      <w:r w:rsidRPr="00513EB9">
        <w:t xml:space="preserve">.  While the supply of indexed CGS has increased since the RBA’s finding, the liquidity of indexed CGS relative to that of nominal CGS appears not to have improved considerably.  </w:t>
      </w:r>
      <w:r>
        <w:t xml:space="preserve">See; </w:t>
      </w:r>
      <w:r w:rsidRPr="00565371">
        <w:t>Finlay</w:t>
      </w:r>
      <w:r>
        <w:t xml:space="preserve">, R., </w:t>
      </w:r>
      <w:r w:rsidRPr="00565371">
        <w:t>Olivan</w:t>
      </w:r>
      <w:r>
        <w:t>, D.</w:t>
      </w:r>
      <w:r w:rsidRPr="00565371">
        <w:t xml:space="preserve">, ‘Extracting Information from Financial Market Instruments’, </w:t>
      </w:r>
      <w:r w:rsidRPr="007D3879">
        <w:rPr>
          <w:rStyle w:val="AERtextitalic"/>
        </w:rPr>
        <w:t>RBA Bulletin</w:t>
      </w:r>
      <w:r w:rsidRPr="00565371">
        <w:t>, March Quarter</w:t>
      </w:r>
      <w:r>
        <w:t xml:space="preserve"> 2012</w:t>
      </w:r>
      <w:r w:rsidRPr="00565371">
        <w:t>, pp. 45-46.</w:t>
      </w:r>
    </w:p>
  </w:footnote>
  <w:footnote w:id="592">
    <w:p w:rsidR="00702DD6" w:rsidRDefault="00702DD6" w:rsidP="00B07A7A">
      <w:pPr>
        <w:pStyle w:val="FootnoteText"/>
      </w:pPr>
      <w:r>
        <w:rPr>
          <w:rStyle w:val="FootnoteReference"/>
        </w:rPr>
        <w:footnoteRef/>
      </w:r>
      <w:r>
        <w:t xml:space="preserve"> </w:t>
      </w:r>
      <w:r>
        <w:tab/>
        <w:t xml:space="preserve">CEG, </w:t>
      </w:r>
      <w:r>
        <w:rPr>
          <w:rStyle w:val="AERtextitalic"/>
        </w:rPr>
        <w:t>M</w:t>
      </w:r>
      <w:r w:rsidRPr="00086BBC">
        <w:rPr>
          <w:rStyle w:val="AERtextitalic"/>
        </w:rPr>
        <w:t>emorandum</w:t>
      </w:r>
      <w:r>
        <w:rPr>
          <w:rStyle w:val="AERtextitalic"/>
        </w:rPr>
        <w:t xml:space="preserve"> to ActewAGL: </w:t>
      </w:r>
      <w:r w:rsidRPr="00086BBC">
        <w:rPr>
          <w:rStyle w:val="AERtextitalic"/>
        </w:rPr>
        <w:t xml:space="preserve">September 2015 cost of debt </w:t>
      </w:r>
      <w:r>
        <w:rPr>
          <w:rStyle w:val="AERtextitalic"/>
        </w:rPr>
        <w:t>and inflation forecasts</w:t>
      </w:r>
      <w:r>
        <w:t>, 4 January 2016, p. 3.</w:t>
      </w:r>
    </w:p>
  </w:footnote>
  <w:footnote w:id="593">
    <w:p w:rsidR="00702DD6" w:rsidRDefault="00702DD6" w:rsidP="00B07A7A">
      <w:pPr>
        <w:pStyle w:val="FootnoteText"/>
      </w:pPr>
      <w:r>
        <w:rPr>
          <w:rStyle w:val="FootnoteReference"/>
        </w:rPr>
        <w:footnoteRef/>
      </w:r>
      <w:r>
        <w:t xml:space="preserve"> </w:t>
      </w:r>
      <w:r>
        <w:tab/>
        <w:t xml:space="preserve">CEG, </w:t>
      </w:r>
      <w:r>
        <w:rPr>
          <w:rStyle w:val="AERtextitalic"/>
        </w:rPr>
        <w:t>M</w:t>
      </w:r>
      <w:r w:rsidRPr="00086BBC">
        <w:rPr>
          <w:rStyle w:val="AERtextitalic"/>
        </w:rPr>
        <w:t>emorandum</w:t>
      </w:r>
      <w:r>
        <w:rPr>
          <w:rStyle w:val="AERtextitalic"/>
        </w:rPr>
        <w:t xml:space="preserve"> to ActewAGL: </w:t>
      </w:r>
      <w:r w:rsidRPr="00086BBC">
        <w:rPr>
          <w:rStyle w:val="AERtextitalic"/>
        </w:rPr>
        <w:t xml:space="preserve">September 2015 cost of debt </w:t>
      </w:r>
      <w:r>
        <w:rPr>
          <w:rStyle w:val="AERtextitalic"/>
        </w:rPr>
        <w:t>and inflation forecasts</w:t>
      </w:r>
      <w:r>
        <w:t>, 4  January 2016, p. 3.</w:t>
      </w:r>
    </w:p>
  </w:footnote>
  <w:footnote w:id="594">
    <w:p w:rsidR="00702DD6" w:rsidRDefault="00702DD6" w:rsidP="00B07A7A">
      <w:pPr>
        <w:pStyle w:val="FootnoteText"/>
      </w:pPr>
      <w:r>
        <w:rPr>
          <w:rStyle w:val="FootnoteReference"/>
        </w:rPr>
        <w:footnoteRef/>
      </w:r>
      <w:r>
        <w:t xml:space="preserve"> </w:t>
      </w:r>
      <w:r>
        <w:tab/>
        <w:t xml:space="preserve">CEG, </w:t>
      </w:r>
      <w:r>
        <w:rPr>
          <w:rStyle w:val="AERtextitalic"/>
        </w:rPr>
        <w:t>M</w:t>
      </w:r>
      <w:r w:rsidRPr="00086BBC">
        <w:rPr>
          <w:rStyle w:val="AERtextitalic"/>
        </w:rPr>
        <w:t>emorandum</w:t>
      </w:r>
      <w:r>
        <w:rPr>
          <w:rStyle w:val="AERtextitalic"/>
        </w:rPr>
        <w:t xml:space="preserve"> to ActewAGL: </w:t>
      </w:r>
      <w:r w:rsidRPr="00086BBC">
        <w:rPr>
          <w:rStyle w:val="AERtextitalic"/>
        </w:rPr>
        <w:t xml:space="preserve">September 2015 cost of debt </w:t>
      </w:r>
      <w:r>
        <w:rPr>
          <w:rStyle w:val="AERtextitalic"/>
        </w:rPr>
        <w:t>and inflation forecasts</w:t>
      </w:r>
      <w:r>
        <w:t>, 4 January 2016, pp. 3</w:t>
      </w:r>
      <w:r>
        <w:rPr>
          <w:rFonts w:cs="Arial"/>
        </w:rPr>
        <w:t>–</w:t>
      </w:r>
      <w:r>
        <w:t>4.</w:t>
      </w:r>
    </w:p>
  </w:footnote>
  <w:footnote w:id="595">
    <w:p w:rsidR="00702DD6" w:rsidRDefault="00702DD6" w:rsidP="00B07A7A">
      <w:pPr>
        <w:pStyle w:val="FootnoteText"/>
      </w:pPr>
      <w:r>
        <w:rPr>
          <w:rStyle w:val="FootnoteReference"/>
        </w:rPr>
        <w:footnoteRef/>
      </w:r>
      <w:r>
        <w:t xml:space="preserve"> </w:t>
      </w:r>
      <w:r>
        <w:tab/>
        <w:t xml:space="preserve">ActewAGL proposes the AER adopt a 10 year term in </w:t>
      </w:r>
      <w:r w:rsidRPr="006B14AF">
        <w:rPr>
          <w:rStyle w:val="AERtextitalic"/>
        </w:rPr>
        <w:t>Re</w:t>
      </w:r>
      <w:r>
        <w:rPr>
          <w:rStyle w:val="AERtextitalic"/>
        </w:rPr>
        <w:t>vised 2016-21 access arrangement proposal: Appendix 50.01 detailed response to rate of return, gamma and inflation</w:t>
      </w:r>
      <w:r>
        <w:t>, January 2016, p. 14.</w:t>
      </w:r>
    </w:p>
  </w:footnote>
  <w:footnote w:id="596">
    <w:p w:rsidR="00702DD6" w:rsidRDefault="00702DD6" w:rsidP="00B07A7A">
      <w:pPr>
        <w:pStyle w:val="FootnoteText"/>
      </w:pPr>
      <w:r>
        <w:rPr>
          <w:rStyle w:val="FootnoteReference"/>
        </w:rPr>
        <w:footnoteRef/>
      </w:r>
      <w:r>
        <w:t xml:space="preserve"> </w:t>
      </w:r>
      <w:r>
        <w:tab/>
        <w:t xml:space="preserve">CEG, </w:t>
      </w:r>
      <w:r w:rsidRPr="00E61DFD">
        <w:rPr>
          <w:rStyle w:val="AERtextitalic"/>
        </w:rPr>
        <w:t>A methodology for estimating expected inflation: A report for ElectraNet</w:t>
      </w:r>
      <w:r w:rsidRPr="00822045">
        <w:t>, 17 January 2008</w:t>
      </w:r>
      <w:r>
        <w:t>, p. 3.</w:t>
      </w:r>
    </w:p>
  </w:footnote>
  <w:footnote w:id="597">
    <w:p w:rsidR="00702DD6" w:rsidRDefault="00702DD6" w:rsidP="00B07A7A">
      <w:pPr>
        <w:pStyle w:val="FootnoteText"/>
      </w:pPr>
      <w:r>
        <w:rPr>
          <w:rStyle w:val="FootnoteReference"/>
        </w:rPr>
        <w:footnoteRef/>
      </w:r>
      <w:r>
        <w:t xml:space="preserve"> </w:t>
      </w:r>
      <w:r>
        <w:tab/>
        <w:t xml:space="preserve">NERA, </w:t>
      </w:r>
      <w:r w:rsidRPr="00E61DFD">
        <w:rPr>
          <w:rStyle w:val="AERtextitalic"/>
        </w:rPr>
        <w:t>AER SP AusNet draft determination: Inflation expectations - TransGrid</w:t>
      </w:r>
      <w:r w:rsidRPr="00822045">
        <w:t>, November 2007</w:t>
      </w:r>
      <w:r>
        <w:t>,</w:t>
      </w:r>
      <w:r w:rsidRPr="00822045">
        <w:t xml:space="preserve"> pp. 4–5.</w:t>
      </w:r>
    </w:p>
  </w:footnote>
  <w:footnote w:id="598">
    <w:p w:rsidR="00702DD6" w:rsidRDefault="00702DD6" w:rsidP="00702DD6">
      <w:pPr>
        <w:pStyle w:val="FootnoteText"/>
      </w:pPr>
      <w:r>
        <w:rPr>
          <w:rStyle w:val="FootnoteReference"/>
        </w:rPr>
        <w:footnoteRef/>
      </w:r>
      <w:r>
        <w:t xml:space="preserve"> </w:t>
      </w:r>
      <w:r>
        <w:tab/>
        <w:t xml:space="preserve">For example, in its report, CEG, </w:t>
      </w:r>
      <w:r w:rsidRPr="005E1601">
        <w:rPr>
          <w:rStyle w:val="AERtextitalic"/>
        </w:rPr>
        <w:t>Measuring expected inflation for the PTRM</w:t>
      </w:r>
      <w:r>
        <w:t>, June 2015, p. 7.</w:t>
      </w:r>
    </w:p>
  </w:footnote>
  <w:footnote w:id="599">
    <w:p w:rsidR="00702DD6" w:rsidRDefault="00702DD6" w:rsidP="00702DD6">
      <w:pPr>
        <w:pStyle w:val="FootnoteText"/>
      </w:pPr>
      <w:r>
        <w:rPr>
          <w:rStyle w:val="FootnoteReference"/>
        </w:rPr>
        <w:footnoteRef/>
      </w:r>
      <w:r>
        <w:t xml:space="preserve"> </w:t>
      </w:r>
      <w:r>
        <w:tab/>
        <w:t xml:space="preserve">CEG, </w:t>
      </w:r>
      <w:r w:rsidRPr="005E1601">
        <w:rPr>
          <w:rStyle w:val="AERtextitalic"/>
        </w:rPr>
        <w:t>Expected inflation estimation methodology: A report for Country Energy</w:t>
      </w:r>
      <w:r>
        <w:t>, April 2008, pp. 4.</w:t>
      </w:r>
    </w:p>
  </w:footnote>
  <w:footnote w:id="600">
    <w:p w:rsidR="00702DD6" w:rsidRDefault="00702DD6" w:rsidP="00702DD6">
      <w:pPr>
        <w:pStyle w:val="FootnoteText"/>
      </w:pPr>
      <w:r>
        <w:rPr>
          <w:rStyle w:val="FootnoteReference"/>
        </w:rPr>
        <w:footnoteRef/>
      </w:r>
      <w:r>
        <w:t xml:space="preserve"> </w:t>
      </w:r>
      <w:r>
        <w:tab/>
        <w:t xml:space="preserve">CEG, </w:t>
      </w:r>
      <w:r w:rsidRPr="005E1601">
        <w:rPr>
          <w:rStyle w:val="AERtextitalic"/>
        </w:rPr>
        <w:t>Expected inflation estimation methodology: A report for Country Energy</w:t>
      </w:r>
      <w:r>
        <w:t>, April 2008, pp. 4.</w:t>
      </w:r>
    </w:p>
  </w:footnote>
  <w:footnote w:id="601">
    <w:p w:rsidR="00702DD6" w:rsidRDefault="00702DD6" w:rsidP="00B07A7A">
      <w:pPr>
        <w:pStyle w:val="FootnoteText"/>
      </w:pPr>
      <w:r>
        <w:rPr>
          <w:rStyle w:val="FootnoteReference"/>
        </w:rPr>
        <w:footnoteRef/>
      </w:r>
      <w:r>
        <w:t xml:space="preserve"> </w:t>
      </w:r>
      <w:r>
        <w:tab/>
        <w:t xml:space="preserve">Tullip, P., Wallace, S., 'Estimates of uncertainty around the RBA’s forecasts’, </w:t>
      </w:r>
      <w:r w:rsidRPr="00EC657C">
        <w:rPr>
          <w:i/>
        </w:rPr>
        <w:t>RBA Research Discussion Paper – November 2012</w:t>
      </w:r>
      <w:r>
        <w:t xml:space="preserve">, RDP2012-07, p. 30. </w:t>
      </w:r>
    </w:p>
  </w:footnote>
  <w:footnote w:id="602">
    <w:p w:rsidR="00702DD6" w:rsidRDefault="00702DD6" w:rsidP="00B07A7A">
      <w:pPr>
        <w:pStyle w:val="FootnoteText"/>
      </w:pPr>
      <w:r>
        <w:rPr>
          <w:rStyle w:val="FootnoteReference"/>
        </w:rPr>
        <w:footnoteRef/>
      </w:r>
      <w:r>
        <w:t xml:space="preserve"> </w:t>
      </w:r>
      <w:r>
        <w:tab/>
      </w:r>
      <w:r w:rsidRPr="00F93084">
        <w:t xml:space="preserve">AER, </w:t>
      </w:r>
      <w:r w:rsidRPr="00F93084">
        <w:rPr>
          <w:rStyle w:val="AERtextitalic"/>
        </w:rPr>
        <w:t>Final decision: SP AusNet transmission determination 2008–9 to 2013–14</w:t>
      </w:r>
      <w:r>
        <w:t>, January 2008, pp. 103</w:t>
      </w:r>
      <w:r w:rsidRPr="00DD1454">
        <w:t>–</w:t>
      </w:r>
      <w:r>
        <w:t xml:space="preserve">4; </w:t>
      </w:r>
      <w:r w:rsidRPr="00F93084">
        <w:t xml:space="preserve">RBA, </w:t>
      </w:r>
      <w:r>
        <w:rPr>
          <w:rStyle w:val="AERtextitalic"/>
        </w:rPr>
        <w:t>L</w:t>
      </w:r>
      <w:r w:rsidRPr="00DD1454">
        <w:rPr>
          <w:rStyle w:val="AERtextitalic"/>
        </w:rPr>
        <w:t>etter to ACCC</w:t>
      </w:r>
      <w:r>
        <w:t xml:space="preserve">, 9 August 2007, p. 3; </w:t>
      </w:r>
      <w:r w:rsidRPr="00F93084">
        <w:t xml:space="preserve">Australian Treasury, </w:t>
      </w:r>
      <w:r w:rsidRPr="00DD1454">
        <w:rPr>
          <w:rStyle w:val="AERtextitalic"/>
        </w:rPr>
        <w:t>The Treasury bond yield as a proxy for the CAPM risk-free rate, Letter to ACCC</w:t>
      </w:r>
      <w:r w:rsidRPr="00F93084">
        <w:t>, 7 August 2007</w:t>
      </w:r>
      <w:r>
        <w:t xml:space="preserve">, </w:t>
      </w:r>
      <w:r w:rsidRPr="00F93084">
        <w:t>p.</w:t>
      </w:r>
      <w:r>
        <w:t xml:space="preserve"> </w:t>
      </w:r>
      <w:r w:rsidRPr="00F93084">
        <w:t>5.</w:t>
      </w:r>
    </w:p>
  </w:footnote>
  <w:footnote w:id="603">
    <w:p w:rsidR="00702DD6" w:rsidRDefault="00702DD6" w:rsidP="00B07A7A">
      <w:pPr>
        <w:pStyle w:val="FootnoteText"/>
      </w:pPr>
      <w:r>
        <w:rPr>
          <w:rStyle w:val="FootnoteReference"/>
        </w:rPr>
        <w:footnoteRef/>
      </w:r>
      <w:r>
        <w:t xml:space="preserve"> </w:t>
      </w:r>
      <w:r>
        <w:tab/>
        <w:t xml:space="preserve">For example, see Barne, M.L.; Bodie, Z.; Triest, R.K.; Wang, J.C., 'A TIPS scorecard: are they accomplishing their objectives?', </w:t>
      </w:r>
      <w:r w:rsidRPr="002803B6">
        <w:rPr>
          <w:rStyle w:val="AERtextitalic"/>
        </w:rPr>
        <w:t>Financial Analysts Journal</w:t>
      </w:r>
      <w:r>
        <w:t xml:space="preserve">, Vol. 66, No. 5, 2015, p. 70; D'Amico, S., Kim, D.H., Wei, M., 'Tips from TIPS: the informational content of Treasury inflation-protected security prices', </w:t>
      </w:r>
      <w:r w:rsidRPr="001711CB">
        <w:rPr>
          <w:rStyle w:val="AERtextitalic"/>
        </w:rPr>
        <w:t>Federal Reserve Board</w:t>
      </w:r>
      <w:r>
        <w:t>, Washington D.C., 2010</w:t>
      </w:r>
      <w:r>
        <w:rPr>
          <w:rFonts w:cs="Arial"/>
        </w:rPr>
        <w:t>–</w:t>
      </w:r>
      <w:r>
        <w:t>19 (Version December 2009), p. 2.</w:t>
      </w:r>
    </w:p>
  </w:footnote>
  <w:footnote w:id="604">
    <w:p w:rsidR="00702DD6" w:rsidRDefault="00702DD6" w:rsidP="00B07A7A">
      <w:pPr>
        <w:pStyle w:val="FootnoteText"/>
      </w:pPr>
      <w:r>
        <w:rPr>
          <w:rStyle w:val="FootnoteReference"/>
        </w:rPr>
        <w:footnoteRef/>
      </w:r>
      <w:r>
        <w:t xml:space="preserve"> </w:t>
      </w:r>
      <w:r>
        <w:tab/>
        <w:t xml:space="preserve">Scholtes, C., </w:t>
      </w:r>
      <w:r w:rsidRPr="00B0559D">
        <w:t xml:space="preserve">‘On market-based measures of inflation expectations’, </w:t>
      </w:r>
      <w:r w:rsidRPr="00B0559D">
        <w:rPr>
          <w:rStyle w:val="AERtextitalic"/>
        </w:rPr>
        <w:t>Bank of England Quarterly Bulletin</w:t>
      </w:r>
      <w:r>
        <w:t xml:space="preserve">, </w:t>
      </w:r>
      <w:r w:rsidRPr="00B0559D">
        <w:t>Spring</w:t>
      </w:r>
      <w:r>
        <w:t xml:space="preserve"> 2002</w:t>
      </w:r>
      <w:r w:rsidRPr="00B0559D">
        <w:t>, p. 71.</w:t>
      </w:r>
    </w:p>
  </w:footnote>
  <w:footnote w:id="605">
    <w:p w:rsidR="00702DD6" w:rsidRDefault="00702DD6" w:rsidP="00B07A7A">
      <w:pPr>
        <w:pStyle w:val="FootnoteText"/>
      </w:pPr>
      <w:r>
        <w:rPr>
          <w:rStyle w:val="FootnoteReference"/>
        </w:rPr>
        <w:footnoteRef/>
      </w:r>
      <w:r>
        <w:t xml:space="preserve"> </w:t>
      </w:r>
      <w:r>
        <w:tab/>
      </w:r>
      <w:r w:rsidRPr="00C048AF">
        <w:t xml:space="preserve">Examining the US bond market over 2000 to 2008, Grishchenko and Huang (2012) </w:t>
      </w:r>
      <w:r>
        <w:t xml:space="preserve">found the inflation risk premium to range </w:t>
      </w:r>
      <w:r w:rsidRPr="00C048AF">
        <w:t>from -0.16 to 0.10. They attribute</w:t>
      </w:r>
      <w:r>
        <w:t>d</w:t>
      </w:r>
      <w:r w:rsidRPr="00C048AF">
        <w:t xml:space="preserve"> the negative inflation risk premium embedded in nominal bonds to the deflation scare of 2002-2003 and the illiquidity of indexed bonds. Grishchenko</w:t>
      </w:r>
      <w:r>
        <w:t xml:space="preserve">, O., Huang,  J.Z. </w:t>
      </w:r>
      <w:r w:rsidRPr="00C048AF">
        <w:t>(2012), ‘Inflation Risk Premium: Evidence from the TIPS market’, Finance and Economics Discussion Series Divisions of Research and Statistics and Monetary Affairs, Federal Reserve Board, Washington, D.C. 2012-06, pp. 1-46. Campbell and Shiller also f</w:t>
      </w:r>
      <w:r>
        <w:t>ound</w:t>
      </w:r>
      <w:r w:rsidRPr="00C048AF">
        <w:t xml:space="preserve"> that with inflation positively correlated with stock prices during the US economic downturn (2009), the inflation risk premium in nominal Treasury bonds is likely negative. </w:t>
      </w:r>
      <w:r>
        <w:t xml:space="preserve">See </w:t>
      </w:r>
      <w:r w:rsidRPr="00C048AF">
        <w:t>Campbell,</w:t>
      </w:r>
      <w:r>
        <w:t xml:space="preserve"> J., </w:t>
      </w:r>
      <w:r w:rsidRPr="00C048AF">
        <w:t>Shiller</w:t>
      </w:r>
      <w:r>
        <w:t xml:space="preserve">, R., Viceira, L. </w:t>
      </w:r>
      <w:r w:rsidRPr="00C048AF">
        <w:t xml:space="preserve">(2009), ‘Understanding Inflation-Indexed Bond Markets’, </w:t>
      </w:r>
      <w:r w:rsidRPr="008B1038">
        <w:rPr>
          <w:rStyle w:val="AERtextitalic"/>
        </w:rPr>
        <w:t>Brookings Papers on Economic Activity</w:t>
      </w:r>
      <w:r w:rsidRPr="00C048AF">
        <w:t>, Spring 2009, p. 115.</w:t>
      </w:r>
    </w:p>
  </w:footnote>
  <w:footnote w:id="606">
    <w:p w:rsidR="00702DD6" w:rsidRDefault="00702DD6" w:rsidP="00B07A7A">
      <w:pPr>
        <w:pStyle w:val="FootnoteText"/>
      </w:pPr>
      <w:r>
        <w:rPr>
          <w:rStyle w:val="FootnoteReference"/>
        </w:rPr>
        <w:footnoteRef/>
      </w:r>
      <w:r>
        <w:t xml:space="preserve"> </w:t>
      </w:r>
      <w:r>
        <w:tab/>
      </w:r>
      <w:r w:rsidRPr="00973235">
        <w:t>Shen</w:t>
      </w:r>
      <w:r>
        <w:t>, P.,</w:t>
      </w:r>
      <w:r w:rsidRPr="00973235">
        <w:t xml:space="preserve"> </w:t>
      </w:r>
      <w:r>
        <w:t>Corning, J.</w:t>
      </w:r>
      <w:r w:rsidRPr="00973235">
        <w:t>, ‘Can TIPS Help Identify Lon</w:t>
      </w:r>
      <w:r>
        <w:t xml:space="preserve">g-Term Inflation Expectations?’, </w:t>
      </w:r>
      <w:r w:rsidRPr="00973235">
        <w:rPr>
          <w:rStyle w:val="AERtextitalic"/>
        </w:rPr>
        <w:t>Federal Reserve Bank of Kansas City, Economic Review</w:t>
      </w:r>
      <w:r w:rsidRPr="00973235">
        <w:t>, Fourth Quarter</w:t>
      </w:r>
      <w:r>
        <w:t xml:space="preserve"> 2001, pp. 61¬</w:t>
      </w:r>
      <w:r w:rsidRPr="00973235">
        <w:t>87.</w:t>
      </w:r>
    </w:p>
  </w:footnote>
  <w:footnote w:id="607">
    <w:p w:rsidR="00702DD6" w:rsidRDefault="00702DD6" w:rsidP="00B07A7A">
      <w:pPr>
        <w:pStyle w:val="FootnoteText"/>
      </w:pPr>
      <w:r>
        <w:rPr>
          <w:rStyle w:val="FootnoteReference"/>
        </w:rPr>
        <w:footnoteRef/>
      </w:r>
      <w:r>
        <w:t xml:space="preserve"> </w:t>
      </w:r>
      <w:r>
        <w:tab/>
      </w:r>
      <w:r w:rsidRPr="002A517F">
        <w:t>The RBA observed that because indexed CGS are indexed with a lag (of 4.5 to 5.5 months)</w:t>
      </w:r>
      <w:r>
        <w:t>,</w:t>
      </w:r>
      <w:r w:rsidRPr="002A517F">
        <w:t xml:space="preserve"> indexed CGS yields also reflect historical inflation not just future expected inflation. </w:t>
      </w:r>
      <w:r>
        <w:t xml:space="preserve">The RBA noted because of indexation lag, the high realised inflation rate during 2008 was reflected in the narrow breakeven inflation rate of 90 basis points during that year (based on a 2 year breakeven inflation rate), although other potential causes of the narrow breakeven rate were also identified, such as a possible increase in indexed bond liquidity premia. </w:t>
      </w:r>
      <w:r w:rsidRPr="002A517F">
        <w:t>The RBA had undertaken modelling to remove the index lag distortion from indexed bond yields in their estimation of expected inflation from the implied breakeven inflation rate.</w:t>
      </w:r>
      <w:r>
        <w:t xml:space="preserve"> </w:t>
      </w:r>
      <w:r w:rsidRPr="00973235">
        <w:t>Finlay</w:t>
      </w:r>
      <w:r>
        <w:t>, R,</w:t>
      </w:r>
      <w:r w:rsidRPr="00973235">
        <w:t xml:space="preserve"> Wende</w:t>
      </w:r>
      <w:r>
        <w:t>, S.</w:t>
      </w:r>
      <w:r w:rsidRPr="00973235">
        <w:t xml:space="preserve">, ‘Estimating Inflation Expectations with a Limited Number of Inflation-indexed Bonds’, </w:t>
      </w:r>
      <w:r w:rsidRPr="00973235">
        <w:rPr>
          <w:rStyle w:val="AERtextitalic"/>
        </w:rPr>
        <w:t>Resear</w:t>
      </w:r>
      <w:r>
        <w:rPr>
          <w:rStyle w:val="AERtextitalic"/>
        </w:rPr>
        <w:t xml:space="preserve">ch Discussion Paper: </w:t>
      </w:r>
      <w:r w:rsidRPr="00973235">
        <w:rPr>
          <w:rStyle w:val="AERtextitalic"/>
        </w:rPr>
        <w:t>Reserve Bank of Australia</w:t>
      </w:r>
      <w:r w:rsidRPr="00973235">
        <w:t>, RDP 2011-01, March</w:t>
      </w:r>
      <w:r>
        <w:t xml:space="preserve"> 2011</w:t>
      </w:r>
      <w:r w:rsidRPr="00973235">
        <w:t>, p</w:t>
      </w:r>
      <w:r>
        <w:t>p</w:t>
      </w:r>
      <w:r w:rsidRPr="00973235">
        <w:t>.</w:t>
      </w:r>
      <w:r>
        <w:t xml:space="preserve"> 17</w:t>
      </w:r>
      <w:r>
        <w:rPr>
          <w:rFonts w:cs="Arial"/>
        </w:rPr>
        <w:t>–</w:t>
      </w:r>
      <w:r>
        <w:t>18,</w:t>
      </w:r>
      <w:r w:rsidRPr="00973235">
        <w:t xml:space="preserve"> 20.</w:t>
      </w:r>
    </w:p>
  </w:footnote>
  <w:footnote w:id="608">
    <w:p w:rsidR="00702DD6" w:rsidRDefault="00702DD6" w:rsidP="00B07A7A">
      <w:pPr>
        <w:pStyle w:val="FootnoteText"/>
      </w:pPr>
      <w:r>
        <w:rPr>
          <w:rStyle w:val="FootnoteReference"/>
        </w:rPr>
        <w:footnoteRef/>
      </w:r>
      <w:r>
        <w:t xml:space="preserve"> </w:t>
      </w:r>
      <w:r>
        <w:tab/>
        <w:t xml:space="preserve">Grishchenko and Huang found </w:t>
      </w:r>
      <w:r w:rsidRPr="00973235">
        <w:t xml:space="preserve">the indexation lag of 3 months for 10 year indexed US treasuries added over 4 basis points to real yields. </w:t>
      </w:r>
      <w:r w:rsidRPr="00B0559D">
        <w:t>Grishchenko</w:t>
      </w:r>
      <w:r>
        <w:t>, O., Huang, J.Z.</w:t>
      </w:r>
      <w:r w:rsidRPr="00B0559D">
        <w:t>, ‘Inflation Risk Premium: Evidence from the TIPS market’, F</w:t>
      </w:r>
      <w:r w:rsidRPr="00716CBC">
        <w:rPr>
          <w:rStyle w:val="AERtextitalic"/>
        </w:rPr>
        <w:t>inance and Economics Discussion Series Divisions of Research and Statistics and Monetary Affairs</w:t>
      </w:r>
      <w:r>
        <w:t xml:space="preserve">, Federal Reserve Board: </w:t>
      </w:r>
      <w:r w:rsidRPr="00B0559D">
        <w:t>Was</w:t>
      </w:r>
      <w:r>
        <w:t>hington D.C., 2012, pp. 1</w:t>
      </w:r>
      <w:r w:rsidRPr="00973235">
        <w:t>–</w:t>
      </w:r>
      <w:r>
        <w:t>46</w:t>
      </w:r>
      <w:r w:rsidRPr="00B0559D">
        <w:t>.</w:t>
      </w:r>
    </w:p>
  </w:footnote>
  <w:footnote w:id="609">
    <w:p w:rsidR="00702DD6" w:rsidRDefault="00702DD6" w:rsidP="00B07A7A">
      <w:pPr>
        <w:pStyle w:val="FootnoteText"/>
      </w:pPr>
      <w:r>
        <w:rPr>
          <w:rStyle w:val="FootnoteReference"/>
        </w:rPr>
        <w:footnoteRef/>
      </w:r>
      <w:r>
        <w:t xml:space="preserve"> </w:t>
      </w:r>
      <w:r>
        <w:tab/>
        <w:t xml:space="preserve">CEG did not raise these issues in CEG, </w:t>
      </w:r>
      <w:r>
        <w:rPr>
          <w:rStyle w:val="AERtextitalic"/>
        </w:rPr>
        <w:t>M</w:t>
      </w:r>
      <w:r w:rsidRPr="00086BBC">
        <w:rPr>
          <w:rStyle w:val="AERtextitalic"/>
        </w:rPr>
        <w:t>emorandum</w:t>
      </w:r>
      <w:r>
        <w:rPr>
          <w:rStyle w:val="AERtextitalic"/>
        </w:rPr>
        <w:t xml:space="preserve"> to ActewAGL: </w:t>
      </w:r>
      <w:r w:rsidRPr="00086BBC">
        <w:rPr>
          <w:rStyle w:val="AERtextitalic"/>
        </w:rPr>
        <w:t xml:space="preserve">September 2015 cost of debt </w:t>
      </w:r>
      <w:r>
        <w:rPr>
          <w:rStyle w:val="AERtextitalic"/>
        </w:rPr>
        <w:t>and inflation forecasts</w:t>
      </w:r>
      <w:r>
        <w:t xml:space="preserve">, 4 January 2016 or in CEG, </w:t>
      </w:r>
      <w:r w:rsidRPr="00C57E79">
        <w:rPr>
          <w:rStyle w:val="AERtextitalic"/>
        </w:rPr>
        <w:t>Measuring expected inflation for the PTRM</w:t>
      </w:r>
      <w:r>
        <w:t xml:space="preserve">, January 2016. ActewAGL did not raise these in ActewAGL, </w:t>
      </w:r>
      <w:r w:rsidRPr="00B11F05">
        <w:rPr>
          <w:rStyle w:val="AERtextitalic"/>
        </w:rPr>
        <w:t>Revised regulator</w:t>
      </w:r>
      <w:r>
        <w:rPr>
          <w:rStyle w:val="AERtextitalic"/>
        </w:rPr>
        <w:t>y proposal: Appendix 5.01 rate of return, gamma, and inflation</w:t>
      </w:r>
      <w:r>
        <w:t>, January 2016, pp. 130</w:t>
      </w:r>
      <w:r>
        <w:rPr>
          <w:rFonts w:cs="Arial"/>
        </w:rPr>
        <w:t>–</w:t>
      </w:r>
      <w:r>
        <w:t>136.</w:t>
      </w:r>
    </w:p>
  </w:footnote>
  <w:footnote w:id="610">
    <w:p w:rsidR="00702DD6" w:rsidRDefault="00702DD6" w:rsidP="00B07A7A">
      <w:pPr>
        <w:pStyle w:val="FootnoteText"/>
      </w:pPr>
      <w:r>
        <w:rPr>
          <w:rStyle w:val="FootnoteReference"/>
        </w:rPr>
        <w:footnoteRef/>
      </w:r>
      <w:r>
        <w:t xml:space="preserve"> </w:t>
      </w:r>
      <w:r>
        <w:tab/>
      </w:r>
      <w:r w:rsidRPr="00E6433E">
        <w:t xml:space="preserve">CEG, </w:t>
      </w:r>
      <w:r w:rsidRPr="00E6433E">
        <w:rPr>
          <w:rStyle w:val="AERtextitalic"/>
        </w:rPr>
        <w:t>Expected inflation estimation methodology: A report for Country Energy</w:t>
      </w:r>
      <w:r w:rsidRPr="00E6433E">
        <w:t>, April 2008</w:t>
      </w:r>
      <w:r>
        <w:t xml:space="preserve">; </w:t>
      </w:r>
      <w:r w:rsidRPr="00E6433E">
        <w:t xml:space="preserve">Commonwealth Treasury, </w:t>
      </w:r>
      <w:r w:rsidRPr="00E6433E">
        <w:rPr>
          <w:rStyle w:val="AERtextitalic"/>
        </w:rPr>
        <w:t>Letter to Joe Dimasi, ACCC, ‘The Treasury Bond Yield As a Proxy For the CAPM Risk-Free Rate’</w:t>
      </w:r>
      <w:r w:rsidRPr="00E6433E">
        <w:t>, 7 August 2007</w:t>
      </w:r>
      <w:r>
        <w:t xml:space="preserve">; </w:t>
      </w:r>
      <w:r w:rsidRPr="00E6433E">
        <w:t xml:space="preserve">NERA, </w:t>
      </w:r>
      <w:r w:rsidRPr="00E6433E">
        <w:rPr>
          <w:rStyle w:val="AERtextitalic"/>
        </w:rPr>
        <w:t>Bias in the indexed CGS yields as a proxy for the CAPM risk free rate: A report for the ENA</w:t>
      </w:r>
      <w:r>
        <w:t xml:space="preserve">, March 2007; </w:t>
      </w:r>
      <w:r w:rsidRPr="00E6433E">
        <w:t xml:space="preserve">RBA, </w:t>
      </w:r>
      <w:r w:rsidRPr="00E6433E">
        <w:rPr>
          <w:rStyle w:val="AERtextitalic"/>
        </w:rPr>
        <w:t xml:space="preserve">Letter to Joe Dimasi, ACCC, Comments on a report prepared by NERA concerning the Commonwealth Government bond </w:t>
      </w:r>
      <w:r>
        <w:rPr>
          <w:rStyle w:val="AERtextitalic"/>
        </w:rPr>
        <w:t>market</w:t>
      </w:r>
      <w:r w:rsidRPr="00E6433E">
        <w:t>, 9 August 2007</w:t>
      </w:r>
      <w:r>
        <w:t>.</w:t>
      </w:r>
    </w:p>
  </w:footnote>
  <w:footnote w:id="611">
    <w:p w:rsidR="00702DD6" w:rsidRDefault="00702DD6" w:rsidP="00B07A7A">
      <w:pPr>
        <w:pStyle w:val="FootnoteText"/>
      </w:pPr>
      <w:r>
        <w:rPr>
          <w:rStyle w:val="FootnoteReference"/>
        </w:rPr>
        <w:footnoteRef/>
      </w:r>
      <w:r>
        <w:t xml:space="preserve"> </w:t>
      </w:r>
      <w:r>
        <w:tab/>
        <w:t xml:space="preserve">CEG, </w:t>
      </w:r>
      <w:r w:rsidRPr="000119CA">
        <w:rPr>
          <w:rStyle w:val="AERtextitalic"/>
        </w:rPr>
        <w:t>Measuring expected inflation for the PTRM</w:t>
      </w:r>
      <w:r>
        <w:t>, June 2015, pp. 6</w:t>
      </w:r>
      <w:r>
        <w:rPr>
          <w:rFonts w:cs="Arial"/>
        </w:rPr>
        <w:t>–</w:t>
      </w:r>
      <w:r>
        <w:t>7.</w:t>
      </w:r>
    </w:p>
  </w:footnote>
  <w:footnote w:id="612">
    <w:p w:rsidR="00702DD6" w:rsidRDefault="00702DD6" w:rsidP="00B07A7A">
      <w:pPr>
        <w:pStyle w:val="FootnoteText"/>
      </w:pPr>
      <w:r>
        <w:rPr>
          <w:rStyle w:val="FootnoteReference"/>
        </w:rPr>
        <w:footnoteRef/>
      </w:r>
      <w:r>
        <w:t xml:space="preserve"> </w:t>
      </w:r>
      <w:r>
        <w:tab/>
        <w:t>Australian Office of Financial Management, 'Treasury Indexed Bonds', 19 February 2016, accessed 25 February 2016, &lt;</w:t>
      </w:r>
      <w:r w:rsidRPr="008E62C4">
        <w:t>http://aofm.gov.au/ags/treasury-indexed-bonds/#Treasury_Indexed_Bonds_on_issue</w:t>
      </w:r>
      <w:r>
        <w:t>&gt;.</w:t>
      </w:r>
    </w:p>
  </w:footnote>
  <w:footnote w:id="613">
    <w:p w:rsidR="00702DD6" w:rsidRDefault="00702DD6" w:rsidP="00B07A7A">
      <w:pPr>
        <w:pStyle w:val="FootnoteText"/>
      </w:pPr>
      <w:r>
        <w:rPr>
          <w:rStyle w:val="FootnoteReference"/>
        </w:rPr>
        <w:footnoteRef/>
      </w:r>
      <w:r>
        <w:t xml:space="preserve"> </w:t>
      </w:r>
      <w:r>
        <w:tab/>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 p. 7.</w:t>
      </w:r>
    </w:p>
  </w:footnote>
  <w:footnote w:id="614">
    <w:p w:rsidR="00702DD6" w:rsidRDefault="00702DD6" w:rsidP="00B07A7A">
      <w:pPr>
        <w:pStyle w:val="FootnoteText"/>
      </w:pPr>
      <w:r>
        <w:rPr>
          <w:rStyle w:val="FootnoteReference"/>
        </w:rPr>
        <w:footnoteRef/>
      </w:r>
      <w:r>
        <w:t xml:space="preserve"> </w:t>
      </w:r>
      <w:r>
        <w:tab/>
        <w:t>In their estimate of t</w:t>
      </w:r>
      <w:r w:rsidRPr="006D254B">
        <w:t xml:space="preserve">he liquidity premia in the breakeven </w:t>
      </w:r>
      <w:r>
        <w:t xml:space="preserve">inflation </w:t>
      </w:r>
      <w:r w:rsidRPr="006D254B">
        <w:t>rate</w:t>
      </w:r>
      <w:r>
        <w:t>, Gurkaynak et al (2010) employed</w:t>
      </w:r>
      <w:r w:rsidRPr="006D254B">
        <w:t xml:space="preserve"> trading volume of indexed Treasuries expressed share of total indexed and nominal Treasuries to measure of the relative liquidity of indexed US Treasuries. </w:t>
      </w:r>
      <w:r>
        <w:t xml:space="preserve">See </w:t>
      </w:r>
      <w:r w:rsidRPr="006D254B">
        <w:t xml:space="preserve"> Gurkaynak, </w:t>
      </w:r>
      <w:r>
        <w:t xml:space="preserve">R., Sack, B., Wright, J. </w:t>
      </w:r>
      <w:r w:rsidRPr="006D254B">
        <w:t xml:space="preserve">(2010), ‘The TIPS Yield Curve and Inflation Compensation’, </w:t>
      </w:r>
      <w:r w:rsidRPr="006D254B">
        <w:rPr>
          <w:rStyle w:val="AERtextitalic"/>
        </w:rPr>
        <w:t>American Economic Journal: Macroeconomics</w:t>
      </w:r>
      <w:r w:rsidRPr="006D254B">
        <w:t>, 2(1), pp. 70-92</w:t>
      </w:r>
    </w:p>
  </w:footnote>
  <w:footnote w:id="615">
    <w:p w:rsidR="00702DD6" w:rsidRDefault="00702DD6" w:rsidP="00B07A7A">
      <w:pPr>
        <w:pStyle w:val="FootnoteText"/>
      </w:pPr>
      <w:r>
        <w:rPr>
          <w:rStyle w:val="FootnoteReference"/>
        </w:rPr>
        <w:footnoteRef/>
      </w:r>
      <w:r>
        <w:t xml:space="preserve"> </w:t>
      </w:r>
      <w:r>
        <w:tab/>
        <w:t>The a</w:t>
      </w:r>
      <w:r w:rsidRPr="006D254B">
        <w:t>nnual trading volume of indexed CGS as a share of total CGS more than doubled in 2007</w:t>
      </w:r>
      <w:r>
        <w:t xml:space="preserve">-08, but </w:t>
      </w:r>
      <w:r w:rsidRPr="006D254B">
        <w:t>returned to its 2007-08 share in 2011-12 as new tranches of nominal CGS were issued. Currently, the share is only modestly above 2007-08 levels.</w:t>
      </w:r>
      <w:r>
        <w:t xml:space="preserve"> See data reported in AFMA, </w:t>
      </w:r>
      <w:r w:rsidRPr="007D3879">
        <w:rPr>
          <w:rStyle w:val="AERtextitalic"/>
        </w:rPr>
        <w:t>2015 Australian financial markets report</w:t>
      </w:r>
      <w:r>
        <w:t>, pp. 20</w:t>
      </w:r>
      <w:r>
        <w:rPr>
          <w:rFonts w:cs="Arial"/>
        </w:rPr>
        <w:t>–</w:t>
      </w:r>
      <w:r>
        <w:t xml:space="preserve">21; AFMA, 2012 </w:t>
      </w:r>
      <w:r w:rsidRPr="007D3879">
        <w:rPr>
          <w:rStyle w:val="AERtextitalic"/>
        </w:rPr>
        <w:t>Australian financial markets report</w:t>
      </w:r>
      <w:r>
        <w:t>, pp. 18</w:t>
      </w:r>
      <w:r w:rsidRPr="00941B3E">
        <w:t>–</w:t>
      </w:r>
      <w:r>
        <w:t>20.</w:t>
      </w:r>
    </w:p>
  </w:footnote>
  <w:footnote w:id="616">
    <w:p w:rsidR="00702DD6" w:rsidRDefault="00702DD6" w:rsidP="00B07A7A">
      <w:pPr>
        <w:pStyle w:val="FootnoteText"/>
      </w:pPr>
      <w:r>
        <w:rPr>
          <w:rStyle w:val="FootnoteReference"/>
        </w:rPr>
        <w:footnoteRef/>
      </w:r>
      <w:r>
        <w:t xml:space="preserve"> </w:t>
      </w:r>
      <w:r>
        <w:tab/>
        <w:t xml:space="preserve">For instance, see </w:t>
      </w:r>
      <w:r w:rsidRPr="006D254B">
        <w:t xml:space="preserve">Gurkaynak, </w:t>
      </w:r>
      <w:r>
        <w:t xml:space="preserve">R., Sack, B., Wright, J. </w:t>
      </w:r>
      <w:r w:rsidRPr="006D254B">
        <w:t xml:space="preserve">(2010), ‘The TIPS Yield Curve and Inflation Compensation’, </w:t>
      </w:r>
      <w:r w:rsidRPr="006D254B">
        <w:rPr>
          <w:rStyle w:val="AERtextitalic"/>
        </w:rPr>
        <w:t>American Economic Journal: Macroeconomics</w:t>
      </w:r>
      <w:r>
        <w:t xml:space="preserve">, 2(1), pp. 87-89; </w:t>
      </w:r>
      <w:r w:rsidRPr="00F65925">
        <w:t>Shen</w:t>
      </w:r>
      <w:r>
        <w:t>, P.,</w:t>
      </w:r>
      <w:r w:rsidRPr="00F65925">
        <w:t xml:space="preserve"> Corning </w:t>
      </w:r>
      <w:r>
        <w:t xml:space="preserve">, J. </w:t>
      </w:r>
      <w:r w:rsidRPr="00F65925">
        <w:t xml:space="preserve">(2001), ‘Can TIPS Help Identify Long-Term Inflation Expectations?’ Federal Reserve Bank of Kansas City, </w:t>
      </w:r>
      <w:r w:rsidRPr="00F65925">
        <w:rPr>
          <w:rStyle w:val="AERtextitalic"/>
        </w:rPr>
        <w:t>Economic Review</w:t>
      </w:r>
      <w:r w:rsidRPr="00F65925">
        <w:t>, Fourth Quarter, p. 76.</w:t>
      </w:r>
    </w:p>
  </w:footnote>
  <w:footnote w:id="617">
    <w:p w:rsidR="00702DD6" w:rsidRDefault="00702DD6" w:rsidP="00B07A7A">
      <w:pPr>
        <w:pStyle w:val="FootnoteText"/>
      </w:pPr>
      <w:r>
        <w:rPr>
          <w:rStyle w:val="FootnoteReference"/>
        </w:rPr>
        <w:footnoteRef/>
      </w:r>
      <w:r>
        <w:t xml:space="preserve"> </w:t>
      </w:r>
      <w:r>
        <w:tab/>
        <w:t xml:space="preserve">CEG, </w:t>
      </w:r>
      <w:r w:rsidRPr="00C57E79">
        <w:rPr>
          <w:rStyle w:val="AERtextitalic"/>
        </w:rPr>
        <w:t>Measuring expected inflation for the PTRM</w:t>
      </w:r>
      <w:r>
        <w:t xml:space="preserve">, January 2016, p. 13; CEG, </w:t>
      </w:r>
      <w:r w:rsidRPr="001711CB">
        <w:rPr>
          <w:rStyle w:val="AERtextitalic"/>
        </w:rPr>
        <w:t>Measuring expected inflation for the PTRM</w:t>
      </w:r>
      <w:r>
        <w:t>, June 2015, pp. 16</w:t>
      </w:r>
      <w:r w:rsidRPr="00BB27E9">
        <w:t>–</w:t>
      </w:r>
      <w:r>
        <w:t xml:space="preserve">17.  CEG references </w:t>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w:t>
      </w:r>
      <w:r w:rsidRPr="00DA325E">
        <w:t xml:space="preserve"> </w:t>
      </w:r>
      <w:r>
        <w:t>This states: 'w</w:t>
      </w:r>
      <w:r w:rsidRPr="00DA325E">
        <w:t>hile inflation swap rates generally move</w:t>
      </w:r>
      <w:r>
        <w:t xml:space="preserve"> </w:t>
      </w:r>
      <w:r w:rsidRPr="00DA325E">
        <w:t>closely in line with bond market break-evens, they have typically been around 20 basis</w:t>
      </w:r>
      <w:r>
        <w:t xml:space="preserve"> </w:t>
      </w:r>
      <w:r w:rsidRPr="00DA325E">
        <w:t>points higher at the 10-year tenor</w:t>
      </w:r>
      <w:r>
        <w:t>', p. 14.  However, it also discusses how the breakeven approach has competing biases that vary, particularly over longer time periods (pp. 10</w:t>
      </w:r>
      <w:r w:rsidRPr="00BB27E9">
        <w:t>–</w:t>
      </w:r>
      <w:r>
        <w:t>11).</w:t>
      </w:r>
    </w:p>
  </w:footnote>
  <w:footnote w:id="618">
    <w:p w:rsidR="00702DD6" w:rsidRDefault="00702DD6" w:rsidP="00B07A7A">
      <w:pPr>
        <w:pStyle w:val="FootnoteText"/>
      </w:pPr>
      <w:r>
        <w:rPr>
          <w:rStyle w:val="FootnoteReference"/>
        </w:rPr>
        <w:footnoteRef/>
      </w:r>
      <w:r>
        <w:t xml:space="preserve"> </w:t>
      </w:r>
      <w:r>
        <w:tab/>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 p. 11; RBA</w:t>
      </w:r>
      <w:r w:rsidRPr="00717335">
        <w:t xml:space="preserve">, </w:t>
      </w:r>
      <w:r w:rsidRPr="00124922">
        <w:rPr>
          <w:rStyle w:val="AERtextitalic"/>
        </w:rPr>
        <w:t>Statement on Monetary Policy</w:t>
      </w:r>
      <w:r w:rsidRPr="00717335">
        <w:t>, February</w:t>
      </w:r>
      <w:r>
        <w:t xml:space="preserve"> 2015</w:t>
      </w:r>
      <w:r w:rsidRPr="00717335">
        <w:t>, p. 50; Haubrich</w:t>
      </w:r>
      <w:r>
        <w:t>,</w:t>
      </w:r>
      <w:r w:rsidRPr="00124922">
        <w:t xml:space="preserve"> </w:t>
      </w:r>
      <w:r w:rsidRPr="00717335">
        <w:t>J</w:t>
      </w:r>
      <w:r>
        <w:t>.</w:t>
      </w:r>
      <w:r w:rsidRPr="00717335">
        <w:t>, Pennachi</w:t>
      </w:r>
      <w:r>
        <w:t>,</w:t>
      </w:r>
      <w:r w:rsidRPr="00717335">
        <w:t xml:space="preserve"> G</w:t>
      </w:r>
      <w:r>
        <w:t xml:space="preserve">., </w:t>
      </w:r>
      <w:r w:rsidRPr="00717335">
        <w:t xml:space="preserve">Ritchken (2012), ‘Inflation Expectations, Real Rates, and Risk Premia: Evidence from Inflation Swaps’, </w:t>
      </w:r>
      <w:r w:rsidRPr="00124922">
        <w:rPr>
          <w:rStyle w:val="AERtextitalic"/>
        </w:rPr>
        <w:t>The Review of Financial Studies</w:t>
      </w:r>
      <w:r w:rsidRPr="00717335">
        <w:t>, 25(2), pp. 1590; Fleckenstein</w:t>
      </w:r>
      <w:r>
        <w:t>, M.</w:t>
      </w:r>
      <w:r w:rsidRPr="00717335">
        <w:t>, Longstaff</w:t>
      </w:r>
      <w:r>
        <w:t xml:space="preserve">, F., </w:t>
      </w:r>
      <w:r w:rsidRPr="00717335">
        <w:t>Lustig</w:t>
      </w:r>
      <w:r>
        <w:t>, H.</w:t>
      </w:r>
      <w:r w:rsidRPr="00717335">
        <w:t xml:space="preserve"> (2014), ‘The TIPS-Treasury Bonds Puzzle’, </w:t>
      </w:r>
      <w:r w:rsidRPr="00124922">
        <w:rPr>
          <w:rStyle w:val="AERtextitalic"/>
        </w:rPr>
        <w:t>The Journal of Finance</w:t>
      </w:r>
      <w:r w:rsidRPr="00717335">
        <w:t>, 69(5), October, pp. 2165-2167.</w:t>
      </w:r>
      <w:r>
        <w:t xml:space="preserve"> </w:t>
      </w:r>
      <w:r w:rsidRPr="00717335">
        <w:t xml:space="preserve">This was </w:t>
      </w:r>
      <w:r>
        <w:t xml:space="preserve">also </w:t>
      </w:r>
      <w:r w:rsidRPr="00717335">
        <w:t xml:space="preserve">observed by Campbell et al. (2009) during the height of the financial crisis. Campbell, </w:t>
      </w:r>
      <w:r>
        <w:t xml:space="preserve">J., </w:t>
      </w:r>
      <w:r w:rsidRPr="00717335">
        <w:t xml:space="preserve">Shiller </w:t>
      </w:r>
      <w:r>
        <w:t xml:space="preserve">, R., </w:t>
      </w:r>
      <w:r w:rsidRPr="00717335">
        <w:t>Viceira</w:t>
      </w:r>
      <w:r>
        <w:t xml:space="preserve">, L. </w:t>
      </w:r>
      <w:r w:rsidRPr="00717335">
        <w:t xml:space="preserve">(2009), ‘Understanding Inflation-Indexed Bond Markets’, </w:t>
      </w:r>
      <w:r w:rsidRPr="00124922">
        <w:rPr>
          <w:rStyle w:val="AERtextitalic"/>
        </w:rPr>
        <w:t>Brookings Papers on Economic Activity</w:t>
      </w:r>
      <w:r w:rsidRPr="00717335">
        <w:t>, Spring 2009, p. 109.</w:t>
      </w:r>
    </w:p>
  </w:footnote>
  <w:footnote w:id="619">
    <w:p w:rsidR="00702DD6" w:rsidRDefault="00702DD6" w:rsidP="00B07A7A">
      <w:pPr>
        <w:pStyle w:val="FootnoteText"/>
      </w:pPr>
      <w:r>
        <w:rPr>
          <w:rStyle w:val="FootnoteReference"/>
        </w:rPr>
        <w:footnoteRef/>
      </w:r>
      <w:r>
        <w:t xml:space="preserve"> </w:t>
      </w:r>
      <w:r>
        <w:tab/>
        <w:t xml:space="preserve">ActewAGL, </w:t>
      </w:r>
      <w:r>
        <w:rPr>
          <w:rStyle w:val="AERtextitalic"/>
        </w:rPr>
        <w:t>Access arrangement proposal, Appendix 5.01: Rate of return, gamma, and inflation,</w:t>
      </w:r>
      <w:r>
        <w:t xml:space="preserve"> January 2016, p. 135.</w:t>
      </w:r>
    </w:p>
  </w:footnote>
  <w:footnote w:id="620">
    <w:p w:rsidR="00702DD6" w:rsidRDefault="00702DD6" w:rsidP="00B07A7A">
      <w:pPr>
        <w:pStyle w:val="FootnoteText"/>
      </w:pPr>
      <w:r>
        <w:rPr>
          <w:rStyle w:val="FootnoteReference"/>
        </w:rPr>
        <w:footnoteRef/>
      </w:r>
      <w:r>
        <w:t xml:space="preserve"> </w:t>
      </w:r>
      <w:r>
        <w:tab/>
        <w:t>For instance, when developing the Guideline i</w:t>
      </w:r>
      <w:r w:rsidRPr="008769C3">
        <w:t>n 2013, stakeholders endorse</w:t>
      </w:r>
      <w:r>
        <w:t xml:space="preserve">d continuing the current method. See AER, </w:t>
      </w:r>
      <w:r w:rsidRPr="006C2136">
        <w:rPr>
          <w:rStyle w:val="AERtextitalic"/>
        </w:rPr>
        <w:t>Draft Rate of Return Guideline, Explanatory Statement</w:t>
      </w:r>
      <w:r>
        <w:t>, August 2013, p.152. Since that time, a number of service providers did not raise concerns with our current approach (For example: Amadeus Gas Pipeline, ActewAGL electricity distribution, Ausgrid, Directlink, Endeavour Energy, Energex, Essential Energy, Ergon Energy, JGN, TasNetworks, TransGrid). Since that time, a number of service providers raised concerns with the current approach but only proposed to depart from it in their revised proposals (For example: ActewAGL gas distribution, AGN, AusNet Services, JEN, SAPN and United Energy). CitiPower and Powercor raised concerns with the current approach but did not propose to depart from it in their revised proposals.</w:t>
      </w:r>
    </w:p>
  </w:footnote>
  <w:footnote w:id="621">
    <w:p w:rsidR="00702DD6" w:rsidRDefault="00702DD6" w:rsidP="00B07A7A">
      <w:pPr>
        <w:pStyle w:val="FootnoteText"/>
      </w:pPr>
      <w:r>
        <w:rPr>
          <w:rStyle w:val="FootnoteReference"/>
        </w:rPr>
        <w:footnoteRef/>
      </w:r>
      <w:r>
        <w:t xml:space="preserve"> </w:t>
      </w:r>
      <w:r>
        <w:tab/>
        <w:t xml:space="preserve">Cll. 6.4.2(b)(1) and </w:t>
      </w:r>
      <w:r w:rsidRPr="00E733D9">
        <w:t>6A.5.3(b)(1)</w:t>
      </w:r>
      <w:r>
        <w:t xml:space="preserve"> of the NER.</w:t>
      </w:r>
    </w:p>
  </w:footnote>
  <w:footnote w:id="622">
    <w:p w:rsidR="00702DD6" w:rsidRDefault="00702DD6" w:rsidP="00B07A7A">
      <w:pPr>
        <w:pStyle w:val="FootnoteText"/>
      </w:pPr>
      <w:r>
        <w:rPr>
          <w:rStyle w:val="FootnoteReference"/>
        </w:rPr>
        <w:footnoteRef/>
      </w:r>
      <w:r>
        <w:t xml:space="preserve"> </w:t>
      </w:r>
      <w:r>
        <w:tab/>
        <w:t>NER, cl 6.4.1(b) and NER. cl 6A.5.1(b).</w:t>
      </w:r>
    </w:p>
  </w:footnote>
  <w:footnote w:id="623">
    <w:p w:rsidR="00702DD6" w:rsidRDefault="00702DD6" w:rsidP="00B07A7A">
      <w:pPr>
        <w:pStyle w:val="FootnoteText"/>
      </w:pPr>
      <w:r>
        <w:rPr>
          <w:rStyle w:val="FootnoteReference"/>
        </w:rPr>
        <w:footnoteRef/>
      </w:r>
      <w:r>
        <w:t xml:space="preserve"> </w:t>
      </w:r>
      <w:r>
        <w:tab/>
        <w:t xml:space="preserve">AER, </w:t>
      </w:r>
      <w:r w:rsidRPr="006C2136">
        <w:rPr>
          <w:rStyle w:val="AERtextitalic"/>
        </w:rPr>
        <w:t>Draft Rate of Return Guideline, Explanatory Statement</w:t>
      </w:r>
      <w:r>
        <w:t>, August 2013, p.152.</w:t>
      </w:r>
    </w:p>
  </w:footnote>
  <w:footnote w:id="624">
    <w:p w:rsidR="00702DD6" w:rsidRDefault="00702DD6" w:rsidP="00B07A7A">
      <w:pPr>
        <w:pStyle w:val="FootnoteText"/>
      </w:pPr>
      <w:r>
        <w:rPr>
          <w:rStyle w:val="FootnoteReference"/>
        </w:rPr>
        <w:footnoteRef/>
      </w:r>
      <w:r>
        <w:t xml:space="preserve"> </w:t>
      </w:r>
      <w:r>
        <w:tab/>
        <w:t xml:space="preserve">ActewAGL, </w:t>
      </w:r>
      <w:r>
        <w:rPr>
          <w:rStyle w:val="AERtextitalic"/>
        </w:rPr>
        <w:t>Revised access arrangement proposal: Appendix 5.01 rate of return, gamma, and inflation</w:t>
      </w:r>
      <w:r>
        <w:t>, January 2016, p. 133.</w:t>
      </w:r>
    </w:p>
  </w:footnote>
  <w:footnote w:id="625">
    <w:p w:rsidR="00702DD6" w:rsidRDefault="00702DD6" w:rsidP="00421E06">
      <w:pPr>
        <w:pStyle w:val="FootnoteText"/>
      </w:pPr>
      <w:r>
        <w:rPr>
          <w:rStyle w:val="FootnoteReference"/>
        </w:rPr>
        <w:footnoteRef/>
      </w:r>
      <w:r>
        <w:t xml:space="preserve"> </w:t>
      </w:r>
      <w:r>
        <w:tab/>
        <w:t xml:space="preserve">Citipower, Revised Regulatory Proposal 2016–2020, January 2016, pp. 296–297; Powercor, Revised Regulatory Proposal 2016–2020, January 2016, pp. 291–292, JEN, Revised regulatory proposal - attachment 6.1, January 2016, pp.45, 49–50 ; NERA, </w:t>
      </w:r>
      <w:r w:rsidRPr="009957B6">
        <w:rPr>
          <w:rStyle w:val="AERtextitalic"/>
        </w:rPr>
        <w:t>The cost of equity: response to the AER's final decisions for the NSW and ACT Electricity Distributors, and for Jemena Gas Networks</w:t>
      </w:r>
      <w:r>
        <w:t xml:space="preserve">, June 2015; Frontier Economics, </w:t>
      </w:r>
      <w:r w:rsidRPr="009957B6">
        <w:rPr>
          <w:rStyle w:val="AERtextitalic"/>
        </w:rPr>
        <w:t>Key issues in estimating the return on equity for the benchmark efficient entity</w:t>
      </w:r>
      <w:r>
        <w:t>, June 2015, p. 7 &amp; 25.</w:t>
      </w:r>
    </w:p>
  </w:footnote>
  <w:footnote w:id="626">
    <w:p w:rsidR="00702DD6" w:rsidRDefault="00702DD6" w:rsidP="00421E06">
      <w:pPr>
        <w:pStyle w:val="FootnoteText"/>
      </w:pPr>
      <w:r>
        <w:rPr>
          <w:rStyle w:val="FootnoteReference"/>
        </w:rPr>
        <w:footnoteRef/>
      </w:r>
      <w:r>
        <w:t xml:space="preserve"> </w:t>
      </w:r>
      <w:r>
        <w:tab/>
        <w:t>AER, Rate of Return Guideline: Explanatory Statement, December 2013, p. 62.</w:t>
      </w:r>
    </w:p>
  </w:footnote>
  <w:footnote w:id="627">
    <w:p w:rsidR="00702DD6" w:rsidRDefault="00702DD6" w:rsidP="00421E06">
      <w:pPr>
        <w:pStyle w:val="FootnoteText"/>
      </w:pPr>
      <w:r>
        <w:rPr>
          <w:rStyle w:val="FootnoteReference"/>
        </w:rPr>
        <w:footnoteRef/>
      </w:r>
      <w:r>
        <w:t xml:space="preserve"> </w:t>
      </w:r>
      <w:r>
        <w:tab/>
        <w:t>[2016] ACT 1 at 180-222</w:t>
      </w:r>
    </w:p>
  </w:footnote>
  <w:footnote w:id="628">
    <w:p w:rsidR="00702DD6" w:rsidRDefault="00702DD6" w:rsidP="00421E06">
      <w:pPr>
        <w:pStyle w:val="FootnoteText"/>
      </w:pPr>
      <w:r>
        <w:rPr>
          <w:rStyle w:val="FootnoteReference"/>
        </w:rPr>
        <w:footnoteRef/>
      </w:r>
      <w:r>
        <w:t xml:space="preserve"> </w:t>
      </w:r>
      <w:r>
        <w:tab/>
        <w:t>[2016] ACT 1 at pp.200-201</w:t>
      </w:r>
    </w:p>
  </w:footnote>
  <w:footnote w:id="629">
    <w:p w:rsidR="00702DD6" w:rsidRDefault="00702DD6" w:rsidP="00421E06">
      <w:pPr>
        <w:pStyle w:val="FootnoteText"/>
      </w:pPr>
      <w:r>
        <w:rPr>
          <w:rStyle w:val="FootnoteReference"/>
        </w:rPr>
        <w:footnoteRef/>
      </w:r>
      <w:r>
        <w:t xml:space="preserve"> </w:t>
      </w:r>
      <w:r>
        <w:tab/>
        <w:t>[2016] ACT 1 at 219-221</w:t>
      </w:r>
    </w:p>
  </w:footnote>
  <w:footnote w:id="630">
    <w:p w:rsidR="00702DD6" w:rsidRDefault="00702DD6" w:rsidP="00CE01EE">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w:t>
      </w:r>
      <w:r>
        <w:rPr>
          <w:rStyle w:val="AERtextitalic"/>
        </w:rPr>
        <w:t>rn on equity-detailed proposal</w:t>
      </w:r>
      <w:r w:rsidRPr="002220FC">
        <w:t xml:space="preserve">,  June 2015, p. </w:t>
      </w:r>
      <w:r>
        <w:t>45–50</w:t>
      </w:r>
      <w:r w:rsidRPr="002220FC">
        <w:t xml:space="preserve">; </w:t>
      </w:r>
      <w:r>
        <w:t>APTNT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Jemena Electricity Networks (Vic) Ltd, </w:t>
      </w:r>
      <w:r w:rsidRPr="002220FC">
        <w:rPr>
          <w:rStyle w:val="AERtextitalic"/>
        </w:rPr>
        <w:t>2016-20 Electricity Distribution Price Review Regulatory Proposal, Attachment 9-2, Rate of return proposal,</w:t>
      </w:r>
      <w:r w:rsidRPr="002220FC">
        <w:t xml:space="preserve"> April 2015, p</w:t>
      </w:r>
      <w:r>
        <w:t xml:space="preserve">p. 81–85; </w:t>
      </w:r>
      <w:r w:rsidRPr="007520DA">
        <w:t xml:space="preserve">CitiPower, </w:t>
      </w:r>
      <w:r w:rsidRPr="007520DA">
        <w:rPr>
          <w:rStyle w:val="Emphasis"/>
        </w:rPr>
        <w:t>Revised regulatory proposal 2016–2020</w:t>
      </w:r>
      <w:r w:rsidRPr="007520DA">
        <w:t xml:space="preserve">, January 2016, pp. 267, 281–326; Powercor, </w:t>
      </w:r>
      <w:r w:rsidRPr="007520DA">
        <w:rPr>
          <w:rStyle w:val="Emphasis"/>
        </w:rPr>
        <w:t>Revised regulatory proposal 2016–2020,</w:t>
      </w:r>
      <w:r w:rsidRPr="007520DA">
        <w:t xml:space="preserve"> January 2016, pp. 261, 275–320;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104–105; United Energy, </w:t>
      </w:r>
      <w:r w:rsidRPr="007520DA">
        <w:rPr>
          <w:rStyle w:val="Emphasis"/>
        </w:rPr>
        <w:t>Response to AER preliminary determination–Re: rate of return and gamma</w:t>
      </w:r>
      <w:r w:rsidRPr="007520DA">
        <w:t xml:space="preserve">, 6 January 2016, pp.37–40, 52–78;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75–77.</w:t>
      </w:r>
    </w:p>
  </w:footnote>
  <w:footnote w:id="631">
    <w:p w:rsidR="00702DD6" w:rsidRDefault="00702DD6" w:rsidP="00CE01EE">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632">
    <w:p w:rsidR="00702DD6" w:rsidRDefault="00702DD6" w:rsidP="00CE01EE">
      <w:pPr>
        <w:pStyle w:val="FootnoteText"/>
      </w:pPr>
      <w:r>
        <w:rPr>
          <w:rStyle w:val="FootnoteReference"/>
        </w:rPr>
        <w:footnoteRef/>
      </w:r>
      <w:r>
        <w:t xml:space="preserve"> </w:t>
      </w:r>
      <w:r>
        <w:tab/>
        <w:t xml:space="preserve">See the 'Overall return on equity' subsection in section </w:t>
      </w:r>
      <w:r>
        <w:fldChar w:fldCharType="begin"/>
      </w:r>
      <w:r>
        <w:instrText xml:space="preserve"> REF _Ref451691090 \r \h </w:instrText>
      </w:r>
      <w:r>
        <w:fldChar w:fldCharType="separate"/>
      </w:r>
      <w:r>
        <w:t>3.4.1</w:t>
      </w:r>
      <w:r>
        <w:fldChar w:fldCharType="end"/>
      </w:r>
      <w:r>
        <w:t>.</w:t>
      </w:r>
    </w:p>
  </w:footnote>
  <w:footnote w:id="633">
    <w:p w:rsidR="00702DD6" w:rsidRDefault="00702DD6" w:rsidP="00CE01EE">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634">
    <w:p w:rsidR="00702DD6" w:rsidRDefault="00702DD6" w:rsidP="00CE01EE">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635">
    <w:p w:rsidR="00702DD6" w:rsidRDefault="00702DD6" w:rsidP="00CE01EE">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636">
    <w:p w:rsidR="00702DD6" w:rsidRDefault="00702DD6" w:rsidP="00CE01EE">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637">
    <w:p w:rsidR="00702DD6" w:rsidRDefault="00702DD6" w:rsidP="00CE01E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638">
    <w:p w:rsidR="00702DD6" w:rsidRDefault="00702DD6" w:rsidP="00CE01EE">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639">
    <w:p w:rsidR="00702DD6" w:rsidRDefault="00702DD6" w:rsidP="00CE01EE">
      <w:pPr>
        <w:pStyle w:val="FootnoteText"/>
      </w:pPr>
      <w:r>
        <w:rPr>
          <w:rStyle w:val="FootnoteReference"/>
        </w:rPr>
        <w:footnoteRef/>
      </w:r>
      <w:r>
        <w:t xml:space="preserve"> </w:t>
      </w:r>
      <w:r>
        <w:tab/>
        <w:t xml:space="preserve">Partington &amp; Satchell, </w:t>
      </w:r>
      <w:r>
        <w:rPr>
          <w:rStyle w:val="AERtextitalic"/>
        </w:rPr>
        <w:t xml:space="preserve">Report to the AER: Analysis of criticism of 2015 determinations, </w:t>
      </w:r>
      <w:r>
        <w:t>October 2015, p. 17–21.</w:t>
      </w:r>
    </w:p>
  </w:footnote>
  <w:footnote w:id="640">
    <w:p w:rsidR="00702DD6" w:rsidRDefault="00702DD6" w:rsidP="00CE01EE">
      <w:pPr>
        <w:pStyle w:val="FootnoteText"/>
      </w:pPr>
      <w:r>
        <w:rPr>
          <w:rStyle w:val="FootnoteReference"/>
        </w:rPr>
        <w:footnoteRef/>
      </w:r>
      <w:r>
        <w:t xml:space="preserve"> </w:t>
      </w:r>
      <w:r>
        <w:tab/>
        <w:t xml:space="preserve">We acknowledge the study by </w:t>
      </w:r>
      <w:r w:rsidRPr="002101A8">
        <w:t xml:space="preserve">Stephan Schaeffler and Christoph Weber </w:t>
      </w:r>
      <w:r>
        <w:t xml:space="preserve">that </w:t>
      </w:r>
      <w:r w:rsidRPr="002101A8">
        <w:t>examined the</w:t>
      </w:r>
      <w:r>
        <w:t xml:space="preserve"> use of other models in</w:t>
      </w:r>
      <w:r w:rsidRPr="002101A8">
        <w:t xml:space="preserve"> regulatory practices in 21 countries</w:t>
      </w:r>
      <w:r>
        <w:t xml:space="preserve"> [</w:t>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r>
        <w:t>]. The same study also concluded</w:t>
      </w:r>
      <w:r w:rsidRPr="001562D4">
        <w:t xml:space="preserve"> that the</w:t>
      </w:r>
      <w:r>
        <w:t>,</w:t>
      </w:r>
      <w:r w:rsidRPr="001562D4">
        <w:t xml:space="preserve"> ‘standard model for determining capital costs’ for energy businesses is the </w:t>
      </w:r>
      <w:r>
        <w:t>SL</w:t>
      </w:r>
      <w:r w:rsidRPr="001562D4">
        <w:t>CAPM</w:t>
      </w:r>
      <w:r>
        <w:t xml:space="preserve">. </w:t>
      </w:r>
      <w:r w:rsidRPr="00145F2E">
        <w:t>We also note the prevalence of the S</w:t>
      </w:r>
      <w:r>
        <w:t xml:space="preserve">harpe-Lintner </w:t>
      </w:r>
      <w:r w:rsidRPr="00145F2E">
        <w:t xml:space="preserve">CAPM in recent valuation reports. In all the reports we examined, only one did not use the </w:t>
      </w:r>
      <w:r>
        <w:t>model</w:t>
      </w:r>
      <w:r w:rsidRPr="00145F2E">
        <w:t xml:space="preserve">. All other reports used the </w:t>
      </w:r>
      <w:r>
        <w:t>model</w:t>
      </w:r>
      <w:r w:rsidRPr="00145F2E">
        <w:t xml:space="preserve"> as the initial or primary estimation method. Only five of the reports examined utilised an alternative estimation model (the dividend growth model), and four of these five reports used the alternative model as a cross-check on </w:t>
      </w:r>
      <w:r>
        <w:t xml:space="preserve">the primary estimate from the Sharpe-Lintner </w:t>
      </w:r>
      <w:r w:rsidRPr="00145F2E">
        <w:t>CAPM. Ten reports noted the theory size premiums associated with the Fama-French three-factor model, but none took the further step to estimate the Fama-French model. No reports discussed the Black CAPM. We consider that the current evidence from independent valuation repor</w:t>
      </w:r>
      <w:r>
        <w:t xml:space="preserve">ts supports our view that the Sharpe-Lintner </w:t>
      </w:r>
      <w:r w:rsidRPr="00145F2E">
        <w:t>CAPM is the clearly superior model to use as the foundation model.</w:t>
      </w:r>
    </w:p>
  </w:footnote>
  <w:footnote w:id="641">
    <w:p w:rsidR="00702DD6" w:rsidRDefault="00702DD6" w:rsidP="00CE01E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642">
    <w:p w:rsidR="00702DD6" w:rsidRDefault="00702DD6" w:rsidP="00CE01E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643">
    <w:p w:rsidR="00702DD6" w:rsidRDefault="00702DD6" w:rsidP="00CE01EE">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p.38.</w:t>
      </w:r>
    </w:p>
  </w:footnote>
  <w:footnote w:id="644">
    <w:p w:rsidR="00702DD6" w:rsidRDefault="00702DD6" w:rsidP="00CE01EE">
      <w:pPr>
        <w:pStyle w:val="FootnoteText"/>
      </w:pPr>
      <w:r>
        <w:rPr>
          <w:rStyle w:val="FootnoteReference"/>
        </w:rPr>
        <w:footnoteRef/>
      </w:r>
      <w:r>
        <w:t xml:space="preserve"> </w:t>
      </w:r>
      <w:r>
        <w:tab/>
        <w:t xml:space="preserve"> </w:t>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1; </w:t>
      </w:r>
      <w:r>
        <w:t>APTNT</w:t>
      </w:r>
      <w:r w:rsidRPr="000A4185">
        <w:t xml:space="preserve">, </w:t>
      </w:r>
      <w:r w:rsidRPr="000A4185">
        <w:rPr>
          <w:rStyle w:val="AERtextitalic"/>
        </w:rPr>
        <w:t>Amadeus Gas Pipeline: Access Arrangement Revision Proposal</w:t>
      </w:r>
      <w:r w:rsidRPr="000A4185">
        <w:t xml:space="preserve">, August 2015, p. 137; AGN, </w:t>
      </w:r>
      <w:r w:rsidRPr="000A4185">
        <w:rPr>
          <w:rStyle w:val="AERtextitalic"/>
        </w:rPr>
        <w:t>2016/17 to 2020/21 Access Arrangement Information, Attachment 10.1: Rate of Return</w:t>
      </w:r>
      <w:r w:rsidRPr="000A4185">
        <w:t xml:space="preserve">, July 2015, p. 8; AusNet Services, </w:t>
      </w:r>
      <w:r w:rsidRPr="000A4185">
        <w:rPr>
          <w:rStyle w:val="AERtextitalic"/>
        </w:rPr>
        <w:t>Regulatory proposal 2016-20</w:t>
      </w:r>
      <w:r w:rsidRPr="000A4185">
        <w:t xml:space="preserve">, 30 April 2015, p. 331; United Energy, </w:t>
      </w:r>
      <w:r w:rsidRPr="000A4185">
        <w:rPr>
          <w:rStyle w:val="AERtextitalic"/>
        </w:rPr>
        <w:t>2016 to 2020 Regulatory Proposal,</w:t>
      </w:r>
      <w:r w:rsidRPr="000A4185">
        <w:t xml:space="preserve"> April 2015, p. 121; CitiPower, </w:t>
      </w:r>
      <w:r w:rsidRPr="000A4185">
        <w:rPr>
          <w:rStyle w:val="AERtextitalic"/>
        </w:rPr>
        <w:t>Regulatory proposal 2016-2020</w:t>
      </w:r>
      <w:r w:rsidRPr="000A4185">
        <w:t>, April 2015, p. 223; Powercor,</w:t>
      </w:r>
      <w:r>
        <w:t xml:space="preserve"> </w:t>
      </w:r>
      <w:r w:rsidRPr="00391C78">
        <w:rPr>
          <w:rStyle w:val="AERtextitalic"/>
        </w:rPr>
        <w:t>Regulatory proposal 2016-2020</w:t>
      </w:r>
      <w:r w:rsidRPr="004B6B80">
        <w:t>, April 2015</w:t>
      </w:r>
      <w:r>
        <w:t xml:space="preserve">, p. 231; </w:t>
      </w:r>
      <w:r w:rsidRPr="000A4185">
        <w:t xml:space="preserve">Jemena Electricity Networks (Vic) Ltd, </w:t>
      </w:r>
      <w:r w:rsidRPr="000A4185">
        <w:rPr>
          <w:rStyle w:val="AERtextitalic"/>
        </w:rPr>
        <w:t>2016-20 Electricity Distribution Price Review Regulatory Proposal, Attachment 9-2, Rate of return proposal,</w:t>
      </w:r>
      <w:r w:rsidRPr="000A4185">
        <w:t xml:space="preserve"> April 2015, p. 84.</w:t>
      </w:r>
    </w:p>
    <w:p w:rsidR="00702DD6" w:rsidRDefault="00702DD6" w:rsidP="00CE01EE">
      <w:pPr>
        <w:pStyle w:val="FootnoteText"/>
      </w:pPr>
      <w:r>
        <w:tab/>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37–38, 40–78;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65–73;</w:t>
      </w:r>
    </w:p>
  </w:footnote>
  <w:footnote w:id="645">
    <w:p w:rsidR="00702DD6" w:rsidRPr="007520DA" w:rsidRDefault="00702DD6" w:rsidP="00CE01EE">
      <w:pPr>
        <w:pStyle w:val="FootnoteText"/>
      </w:pPr>
      <w:r>
        <w:rPr>
          <w:rStyle w:val="FootnoteReference"/>
        </w:rPr>
        <w:footnoteRef/>
      </w:r>
      <w:r>
        <w:t xml:space="preserve"> </w:t>
      </w:r>
      <w:r>
        <w:tab/>
      </w:r>
      <w:r w:rsidRPr="007520DA">
        <w:t xml:space="preserve">AGN, AusNet Services, CitiPower/Powercor, and United Energy each put forward a submission titled, </w:t>
      </w:r>
      <w:r w:rsidRPr="007520DA">
        <w:rPr>
          <w:rStyle w:val="AERtextitalic"/>
        </w:rPr>
        <w:t>Submission in relation to the first round of regulatory determination under the new rules</w:t>
      </w:r>
      <w:r w:rsidRPr="007520DA">
        <w:t xml:space="preserve"> in 13 February 2015; Several service providers also submitted NERA, </w:t>
      </w:r>
      <w:r w:rsidRPr="007520DA">
        <w:rPr>
          <w:rStyle w:val="AERtextitalic"/>
        </w:rPr>
        <w:t>Empirical performance of Sharpe–Lintner and Black CAPMs</w:t>
      </w:r>
      <w:r w:rsidRPr="007520DA">
        <w:t>, February 2015;</w:t>
      </w:r>
    </w:p>
    <w:p w:rsidR="00702DD6" w:rsidRDefault="00702DD6" w:rsidP="00CE01EE">
      <w:pPr>
        <w:pStyle w:val="FootnoteText"/>
      </w:pPr>
      <w:r w:rsidRPr="007520DA">
        <w:tab/>
        <w:t xml:space="preserve">Additionally, CitiPower/Powercor, Jemena Electricity Networks, United Energy, each put forward a submission titled </w:t>
      </w:r>
      <w:r w:rsidRPr="007520DA">
        <w:rPr>
          <w:rStyle w:val="AERtextitalic"/>
        </w:rPr>
        <w:t>Submission in relation to the current regulatory determination processes for SAPN, Energex, Ergon Energy, AGN in July 2015.</w:t>
      </w:r>
    </w:p>
  </w:footnote>
  <w:footnote w:id="646">
    <w:p w:rsidR="00702DD6" w:rsidRDefault="00702DD6" w:rsidP="00CE01EE">
      <w:pPr>
        <w:pStyle w:val="FootnoteText"/>
      </w:pPr>
      <w:r>
        <w:rPr>
          <w:rStyle w:val="FootnoteReference"/>
        </w:rPr>
        <w:footnoteRef/>
      </w:r>
      <w:r>
        <w:t xml:space="preserve"> </w:t>
      </w:r>
      <w:r>
        <w:tab/>
        <w:t>ActewAGL, Jemena Electricity Networks, AusNet Services, CitiPower/Powercor, APTNT, Australian Gas Networks (AGN) and United Energy.</w:t>
      </w:r>
    </w:p>
  </w:footnote>
  <w:footnote w:id="647">
    <w:p w:rsidR="00702DD6" w:rsidRDefault="00702DD6" w:rsidP="00CE01EE">
      <w:pPr>
        <w:pStyle w:val="FootnoteText"/>
      </w:pPr>
      <w:r>
        <w:rPr>
          <w:rStyle w:val="FootnoteReference"/>
        </w:rPr>
        <w:footnoteRef/>
      </w:r>
      <w:r>
        <w:t xml:space="preserve"> </w:t>
      </w:r>
      <w:r>
        <w:tab/>
        <w:t xml:space="preserve">Jemena Electricity Networks, AusNet Services, CitiPower/Powercor, APTNT, ActewAGL, Australian Gas Networks (AGN) and United Energy; </w:t>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42–75;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68–77.</w:t>
      </w:r>
    </w:p>
  </w:footnote>
  <w:footnote w:id="648">
    <w:p w:rsidR="00702DD6" w:rsidRDefault="00702DD6" w:rsidP="00CE01EE">
      <w:pPr>
        <w:pStyle w:val="FootnoteText"/>
      </w:pPr>
      <w:r>
        <w:rPr>
          <w:rStyle w:val="FootnoteReference"/>
        </w:rPr>
        <w:footnoteRef/>
      </w:r>
      <w:r>
        <w:t xml:space="preserve"> </w:t>
      </w:r>
      <w:r>
        <w:tab/>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w:t>
      </w:r>
      <w:r>
        <w:t>2</w:t>
      </w:r>
      <w:r w:rsidRPr="000A4185">
        <w:t xml:space="preserve">; AusNet Services, </w:t>
      </w:r>
      <w:r w:rsidRPr="000A4185">
        <w:rPr>
          <w:rStyle w:val="AERtextitalic"/>
        </w:rPr>
        <w:t>Regulatory proposal 2016-20</w:t>
      </w:r>
      <w:r w:rsidRPr="000A4185">
        <w:t>, 30 April 2015, p. 3</w:t>
      </w:r>
      <w:r>
        <w:t>11</w:t>
      </w:r>
      <w:r w:rsidRPr="000A4185">
        <w:t xml:space="preserve">; United Energy, </w:t>
      </w:r>
      <w:r w:rsidRPr="000A4185">
        <w:rPr>
          <w:rStyle w:val="AERtextitalic"/>
        </w:rPr>
        <w:t>2016 to 2020 Regulatory Proposal,</w:t>
      </w:r>
      <w:r w:rsidRPr="000A4185">
        <w:t xml:space="preserve"> April 2015, p. 1</w:t>
      </w:r>
      <w:r>
        <w:t>13</w:t>
      </w:r>
      <w:r w:rsidRPr="000A4185">
        <w:t xml:space="preserve">; CitiPower, </w:t>
      </w:r>
      <w:r w:rsidRPr="000A4185">
        <w:rPr>
          <w:rStyle w:val="AERtextitalic"/>
        </w:rPr>
        <w:t>Regulatory proposal 2016-2020</w:t>
      </w:r>
      <w:r w:rsidRPr="000A4185">
        <w:t>, April 2015, p. 2</w:t>
      </w:r>
      <w:r>
        <w:t>10</w:t>
      </w:r>
      <w:r w:rsidRPr="000A4185">
        <w:t>;</w:t>
      </w:r>
      <w:r>
        <w:t xml:space="preserve"> </w:t>
      </w:r>
      <w:r w:rsidRPr="000A4185">
        <w:t>Powercor,</w:t>
      </w:r>
      <w:r>
        <w:t xml:space="preserve"> </w:t>
      </w:r>
      <w:r w:rsidRPr="00391C78">
        <w:rPr>
          <w:rStyle w:val="AERtextitalic"/>
        </w:rPr>
        <w:t>Regulatory proposal 2016-2020</w:t>
      </w:r>
      <w:r w:rsidRPr="004B6B80">
        <w:t>, April 2015</w:t>
      </w:r>
      <w:r>
        <w:t xml:space="preserve">, p. 218; </w:t>
      </w:r>
      <w:r w:rsidRPr="000A4185">
        <w:t xml:space="preserve">Jemena Electricity Networks (Vic) Ltd, </w:t>
      </w:r>
      <w:r w:rsidRPr="000A4185">
        <w:rPr>
          <w:rStyle w:val="AERtextitalic"/>
        </w:rPr>
        <w:t>2016-20 Electricity Distribution Price Review Regulatory Proposal, Attachment 9-2, Rate of return proposal,</w:t>
      </w:r>
      <w:r>
        <w:t xml:space="preserve"> April 2015, p. 4;;</w:t>
      </w:r>
      <w:r w:rsidRPr="0083726D">
        <w:t xml:space="preserve"> CitiPower</w:t>
      </w:r>
      <w:r w:rsidRPr="0083726D">
        <w:rPr>
          <w:rStyle w:val="Emphasis"/>
        </w:rPr>
        <w:t>, Revised regulatory proposal 2016–2020</w:t>
      </w:r>
      <w:r w:rsidRPr="0083726D">
        <w:t xml:space="preserve">, January 2016, pp. 286–292; Powercor, </w:t>
      </w:r>
      <w:r w:rsidRPr="0083726D">
        <w:rPr>
          <w:rStyle w:val="Emphasis"/>
        </w:rPr>
        <w:t>Revised regulatory proposal 2016–2020,</w:t>
      </w:r>
      <w:r w:rsidRPr="0083726D">
        <w:t xml:space="preserve"> January 2016, pp. 280–286; ActewAGL, </w:t>
      </w:r>
      <w:r w:rsidRPr="0083726D">
        <w:rPr>
          <w:rStyle w:val="Emphasis"/>
        </w:rPr>
        <w:t>Revised 2016–21 access ar</w:t>
      </w:r>
      <w:r>
        <w:rPr>
          <w:rStyle w:val="Emphasis"/>
        </w:rPr>
        <w:t>r</w:t>
      </w:r>
      <w:r w:rsidRPr="0083726D">
        <w:rPr>
          <w:rStyle w:val="Emphasis"/>
        </w:rPr>
        <w:t>angement proposal Response to the AER's draft decision, Appendix 5.01 Detailed response to rate of return, gamma and inflation</w:t>
      </w:r>
      <w:r w:rsidRPr="0083726D">
        <w:t xml:space="preserve">, January 2016, pp. 57–64; United Energy, </w:t>
      </w:r>
      <w:r w:rsidRPr="0083726D">
        <w:rPr>
          <w:rStyle w:val="Emphasis"/>
        </w:rPr>
        <w:t>Response to AER preliminary determination–Re: rate of return and gamma</w:t>
      </w:r>
      <w:r w:rsidRPr="0083726D">
        <w:t xml:space="preserve">, 6 January 2016, pp. 45–46, 69–70; AGN, </w:t>
      </w:r>
      <w:r w:rsidRPr="0083726D">
        <w:rPr>
          <w:rStyle w:val="Emphasis"/>
        </w:rPr>
        <w:t>2016–17 to 2020/21 Access Arrangement information response to draft decision: Attachment 10.26 Response to draft decision: rate of return</w:t>
      </w:r>
      <w:r w:rsidRPr="0083726D">
        <w:t xml:space="preserve">, January 2016, pp. 50–52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49–51; AusNet Services, </w:t>
      </w:r>
      <w:r w:rsidRPr="0083726D">
        <w:rPr>
          <w:rStyle w:val="Emphasis"/>
        </w:rPr>
        <w:t>Electricity distribution price review 2016–20 Revised regulatory proposal: Chapter 7 Rate of return &amp; gamma</w:t>
      </w:r>
      <w:r w:rsidRPr="0083726D">
        <w:t xml:space="preserve">, 6 January 2016, pp. 44–47; APTNT, </w:t>
      </w:r>
      <w:r w:rsidRPr="0083726D">
        <w:rPr>
          <w:rStyle w:val="Emphasis"/>
        </w:rPr>
        <w:t>Amadeus Gas Pipeline Access arrangement revised proposal: response to Draft Decision,</w:t>
      </w:r>
      <w:r w:rsidRPr="0083726D">
        <w:t xml:space="preserve"> January 2016, pp. 68–73, 74–75; APTNT, </w:t>
      </w:r>
      <w:r w:rsidRPr="0083726D">
        <w:rPr>
          <w:rStyle w:val="Emphasis"/>
        </w:rPr>
        <w:t>Amadeus Gas Pipeline access arrangement revision proposal</w:t>
      </w:r>
      <w:r w:rsidRPr="0083726D">
        <w:t>, August 2015, p. 130.</w:t>
      </w:r>
    </w:p>
  </w:footnote>
  <w:footnote w:id="649">
    <w:p w:rsidR="00702DD6" w:rsidRDefault="00702DD6" w:rsidP="00CE01EE">
      <w:pPr>
        <w:pStyle w:val="FootnoteText"/>
      </w:pPr>
      <w:r>
        <w:rPr>
          <w:rStyle w:val="FootnoteReference"/>
        </w:rPr>
        <w:footnoteRef/>
      </w:r>
      <w:r>
        <w:t xml:space="preserve"> </w:t>
      </w:r>
      <w:r>
        <w:tab/>
        <w:t xml:space="preserve">For instance, several service providers submitted the consultant report, NERA, </w:t>
      </w:r>
      <w:r w:rsidRPr="003034B8">
        <w:rPr>
          <w:rStyle w:val="AERtextitalic"/>
        </w:rPr>
        <w:t>Empirical performance of Sharpe–Lintner and Black CAPMs</w:t>
      </w:r>
      <w:r>
        <w:t>, February 2015;.</w:t>
      </w:r>
    </w:p>
  </w:footnote>
  <w:footnote w:id="650">
    <w:p w:rsidR="00702DD6" w:rsidRDefault="00702DD6" w:rsidP="00CE01EE">
      <w:pPr>
        <w:pStyle w:val="FootnoteText"/>
      </w:pPr>
      <w:r>
        <w:rPr>
          <w:rStyle w:val="FootnoteReference"/>
        </w:rPr>
        <w:footnoteRef/>
      </w:r>
      <w:r>
        <w:t xml:space="preserve"> </w:t>
      </w:r>
      <w:r>
        <w:tab/>
        <w:t xml:space="preserve">Frontier Economics, </w:t>
      </w:r>
      <w:r w:rsidRPr="00E10673">
        <w:rPr>
          <w:rStyle w:val="AERtextitalic"/>
        </w:rPr>
        <w:t>Key issues in estimating the return on equity for the benchmark efficient entity</w:t>
      </w:r>
      <w:r>
        <w:t xml:space="preserve">, June 2015, pp. 7–10; NERA, </w:t>
      </w:r>
      <w:r w:rsidRPr="00E10673">
        <w:rPr>
          <w:rStyle w:val="AERtextitalic"/>
        </w:rPr>
        <w:t>The Cost of Equity: Response to the AER's Final Decisions for the NSW and ACT Electricity Distributors, and for Jemena Gas Networks</w:t>
      </w:r>
      <w:r>
        <w:t>, June 2015, p. ii.</w:t>
      </w:r>
    </w:p>
  </w:footnote>
  <w:footnote w:id="651">
    <w:p w:rsidR="00702DD6" w:rsidRDefault="00702DD6" w:rsidP="00CE01EE">
      <w:pPr>
        <w:pStyle w:val="FootnoteText"/>
      </w:pPr>
      <w:r>
        <w:rPr>
          <w:rStyle w:val="FootnoteReference"/>
        </w:rPr>
        <w:footnoteRef/>
      </w:r>
      <w:r>
        <w:t xml:space="preserve"> </w:t>
      </w:r>
      <w:r>
        <w:tab/>
        <w:t xml:space="preserve">For instance, the majority of service providers submitted that the return on equity estimated using the FFM, Black CAPM and DGM was higher than under the SLCAPM. For recent reports, see Frontier, </w:t>
      </w:r>
      <w:r w:rsidRPr="00892F96">
        <w:rPr>
          <w:rStyle w:val="AERtextitalic"/>
        </w:rPr>
        <w:t>An updated estimate of the required return on equity</w:t>
      </w:r>
      <w:r>
        <w:t>, June 2015.</w:t>
      </w:r>
    </w:p>
  </w:footnote>
  <w:footnote w:id="652">
    <w:p w:rsidR="00702DD6" w:rsidRDefault="00702DD6" w:rsidP="00CE01EE">
      <w:pPr>
        <w:pStyle w:val="FootnoteText"/>
      </w:pPr>
      <w:r>
        <w:rPr>
          <w:rStyle w:val="FootnoteReference"/>
        </w:rPr>
        <w:footnoteRef/>
      </w:r>
      <w:r>
        <w:t xml:space="preserve"> </w:t>
      </w:r>
      <w:r>
        <w:tab/>
        <w:t>NER clauses 6A.6.2 (g) and 6.5.2(g)</w:t>
      </w:r>
      <w:r w:rsidRPr="00C61D42">
        <w:t xml:space="preserve"> and NGR rule 87 (</w:t>
      </w:r>
      <w:r>
        <w:t>7).</w:t>
      </w:r>
      <w:r w:rsidRPr="00C61D42">
        <w:t xml:space="preserve"> </w:t>
      </w:r>
      <w:r w:rsidRPr="00146C6E">
        <w:t xml:space="preserve"> </w:t>
      </w:r>
      <w:r>
        <w:t xml:space="preserve"> </w:t>
      </w:r>
    </w:p>
  </w:footnote>
  <w:footnote w:id="653">
    <w:p w:rsidR="00702DD6" w:rsidRDefault="00702DD6" w:rsidP="00CE01EE">
      <w:pPr>
        <w:pStyle w:val="FootnoteText"/>
      </w:pPr>
      <w:r>
        <w:rPr>
          <w:rStyle w:val="FootnoteReference"/>
        </w:rPr>
        <w:footnoteRef/>
      </w:r>
      <w:r>
        <w:t xml:space="preserve"> </w:t>
      </w:r>
      <w:r>
        <w:tab/>
        <w:t>CitiP</w:t>
      </w:r>
      <w:r w:rsidRPr="0083726D">
        <w:t xml:space="preserve">ower, </w:t>
      </w:r>
      <w:r w:rsidRPr="0083726D">
        <w:rPr>
          <w:rStyle w:val="Emphasis"/>
        </w:rPr>
        <w:t>Revised Regulatory proposal 2016–2020</w:t>
      </w:r>
      <w:r w:rsidRPr="0083726D">
        <w:t xml:space="preserve">, January 2016, p. 286–289; Powercor, </w:t>
      </w:r>
      <w:r w:rsidRPr="0083726D">
        <w:rPr>
          <w:rStyle w:val="AERtextitalic"/>
        </w:rPr>
        <w:t>Revised regulatory proposal 2016–2020</w:t>
      </w:r>
      <w:r w:rsidRPr="0083726D">
        <w:t xml:space="preserve">, January  2016, p. 280–283; ActewAGL, </w:t>
      </w:r>
      <w:r w:rsidRPr="0083726D">
        <w:rPr>
          <w:rStyle w:val="Emphasis"/>
        </w:rPr>
        <w:t>Revised 2016–21 access arrangement proposal Response to the AER's draft decision, Appendix 5.01 Detailed response to rate of return, gamma and inflation</w:t>
      </w:r>
      <w:r w:rsidRPr="0083726D">
        <w:t xml:space="preserve">, January 2016, pp. 57–60; United Energy, </w:t>
      </w:r>
      <w:r w:rsidRPr="0083726D">
        <w:rPr>
          <w:rStyle w:val="Emphasis"/>
        </w:rPr>
        <w:t>Response to AER preliminary determination–Re: rate of return and gamma</w:t>
      </w:r>
      <w:r w:rsidRPr="0083726D">
        <w:t xml:space="preserve">, 6 January 2016, pp. 41–43; AGN, </w:t>
      </w:r>
      <w:r w:rsidRPr="0083726D">
        <w:rPr>
          <w:rStyle w:val="Emphasis"/>
        </w:rPr>
        <w:t>2016–17 to 2020/21 Access Arrangement information response to draft decision: Attachment 10.26 Response to draft decision: rate of return</w:t>
      </w:r>
      <w:r w:rsidRPr="0083726D">
        <w:t xml:space="preserve">, January 2016, pp. 47–49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46–48</w:t>
      </w:r>
      <w:r>
        <w:t xml:space="preserve">; </w:t>
      </w:r>
      <w:r w:rsidRPr="0083726D">
        <w:t xml:space="preserve">APTNT, </w:t>
      </w:r>
      <w:r w:rsidRPr="0083726D">
        <w:rPr>
          <w:rStyle w:val="Emphasis"/>
        </w:rPr>
        <w:t>Amadeus Gas Pipeline Access arrangement revised proposal: response to Draft Decision,</w:t>
      </w:r>
      <w:r w:rsidRPr="0083726D">
        <w:t xml:space="preserve"> January 2016, pp. 68–77</w:t>
      </w:r>
      <w:r>
        <w:t>.</w:t>
      </w:r>
    </w:p>
  </w:footnote>
  <w:footnote w:id="654">
    <w:p w:rsidR="00702DD6" w:rsidRDefault="00702DD6" w:rsidP="00CE01EE">
      <w:pPr>
        <w:pStyle w:val="FootnoteText"/>
      </w:pPr>
      <w:r>
        <w:rPr>
          <w:rStyle w:val="FootnoteReference"/>
        </w:rPr>
        <w:footnoteRef/>
      </w:r>
      <w:r>
        <w:t xml:space="preserve"> </w:t>
      </w:r>
      <w:r>
        <w:tab/>
      </w:r>
      <w:r w:rsidRPr="0083726D">
        <w:t xml:space="preserve">For example, see: Australian Competition Tribunal, </w:t>
      </w:r>
      <w:r w:rsidRPr="00536B64">
        <w:rPr>
          <w:rStyle w:val="AERtextitalic"/>
        </w:rPr>
        <w:t>Applications by Public Interest Advocacy Centre Ltd and Ausgrid [2016] ACompT 1</w:t>
      </w:r>
      <w:r w:rsidRPr="0083726D">
        <w:t xml:space="preserve">, 26 February 2016, paragraphs 713–717, 735, 757; APTNT, </w:t>
      </w:r>
      <w:r w:rsidRPr="0083726D">
        <w:rPr>
          <w:rStyle w:val="Emphasis"/>
        </w:rPr>
        <w:t>Amadeus Gas Pipeline Access arrangement revised proposal: response to Draft Decision,</w:t>
      </w:r>
      <w:r w:rsidRPr="0083726D">
        <w:t xml:space="preserve"> January 2016, pp. 68–73.</w:t>
      </w:r>
    </w:p>
  </w:footnote>
  <w:footnote w:id="655">
    <w:p w:rsidR="00702DD6" w:rsidRDefault="00702DD6" w:rsidP="00CE01EE">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xml:space="preserve">, p.38; </w:t>
      </w:r>
      <w:r w:rsidRPr="0083726D">
        <w:t xml:space="preserve">Origin Energy, </w:t>
      </w:r>
      <w:r w:rsidRPr="0083726D">
        <w:rPr>
          <w:rStyle w:val="AERtextitalic"/>
        </w:rPr>
        <w:t>Submission on ActewAGL’s revised access arrangement for 2016–21</w:t>
      </w:r>
      <w:r w:rsidRPr="0083726D">
        <w:t xml:space="preserve">, 4 February 2016, p. 3; Origin Energy, </w:t>
      </w:r>
      <w:r w:rsidRPr="0083726D">
        <w:rPr>
          <w:rStyle w:val="AERtextitalic"/>
        </w:rPr>
        <w:t>Submission on AGN’s revised access arrangement for 2016–21</w:t>
      </w:r>
      <w:r w:rsidRPr="0083726D">
        <w:t xml:space="preserve">, February 2016; Origin Energy, </w:t>
      </w:r>
      <w:r w:rsidRPr="0083726D">
        <w:rPr>
          <w:rStyle w:val="AERtextitalic"/>
        </w:rPr>
        <w:t>Submission on the AER’s preliminary decisions on the Victorian distribution network service providers for 2016–20</w:t>
      </w:r>
      <w:r w:rsidRPr="0083726D">
        <w:t xml:space="preserve">, 6 January 2016, p. 3; Origin Energy, </w:t>
      </w:r>
      <w:r w:rsidRPr="0083726D">
        <w:rPr>
          <w:rStyle w:val="AERtextitalic"/>
        </w:rPr>
        <w:t>Submission on the Victorian networks’ revised proposals (for 2016–21</w:t>
      </w:r>
      <w:r w:rsidRPr="0083726D">
        <w:t xml:space="preserve">), 4 February 2016; AGL, </w:t>
      </w:r>
      <w:r w:rsidRPr="0083726D">
        <w:rPr>
          <w:rStyle w:val="AERtextitalic"/>
        </w:rPr>
        <w:t>Submission on the AER’s draft decision on AGN’s 2016–21 access arrangement</w:t>
      </w:r>
      <w:r w:rsidRPr="0083726D">
        <w:t>, 4 February 2016, p. 2; Victorian Government, S</w:t>
      </w:r>
      <w:r w:rsidRPr="0083726D">
        <w:rPr>
          <w:rStyle w:val="AERtextitalic"/>
        </w:rPr>
        <w:t>ubmission on the Victorian electricity distribution network service providers’ revised regulatory proposals for 2016–20</w:t>
      </w:r>
      <w:r w:rsidRPr="0083726D">
        <w:t xml:space="preserve">, 12 February 2016, p. 1–2; CCP (panel 5), </w:t>
      </w:r>
      <w:r w:rsidRPr="0083726D">
        <w:rPr>
          <w:rStyle w:val="AERtextitalic"/>
        </w:rPr>
        <w:t>Transmission for the generations: Response to proposal by AusNet Services transmission group pty ltd and AER issues paper for AusNet Services transmission revenue review 2017–22</w:t>
      </w:r>
      <w:r w:rsidRPr="0083726D">
        <w:t xml:space="preserve">, February 2016, p. 41; CCP (panel 3), </w:t>
      </w:r>
      <w:r w:rsidRPr="0083726D">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rsidRPr="0083726D">
        <w:t>, 25 February 2016, p. 30; EUCV</w:t>
      </w:r>
      <w:r w:rsidRPr="0083726D">
        <w:rPr>
          <w:rStyle w:val="AERtextitalic"/>
        </w:rPr>
        <w:t>, A response to AusNet revenue reset proposal for the 2017–2022 period</w:t>
      </w:r>
      <w:r w:rsidRPr="0083726D">
        <w:t xml:space="preserve">, 9 February 2016, p. 40; CCP ( panel 8), </w:t>
      </w:r>
      <w:r w:rsidRPr="0083726D">
        <w:rPr>
          <w:rStyle w:val="AERtextitalic"/>
        </w:rPr>
        <w:t>Advice to AER from Consumer Challenge Panel sub-panel 8 regarding the AER Daft Decision and Australian Gas Networks' (SA) revised access arrangement 2016–2021 proposal</w:t>
      </w:r>
      <w:r w:rsidRPr="0083726D">
        <w:t>, 32 March 2016, p. 2.</w:t>
      </w:r>
    </w:p>
  </w:footnote>
  <w:footnote w:id="656">
    <w:p w:rsidR="00702DD6" w:rsidRDefault="00702DD6" w:rsidP="00CE01EE">
      <w:pPr>
        <w:pStyle w:val="FootnoteText"/>
      </w:pPr>
      <w:r>
        <w:rPr>
          <w:rStyle w:val="FootnoteReference"/>
        </w:rPr>
        <w:footnoteRef/>
      </w:r>
      <w:r>
        <w:t xml:space="preserve"> </w:t>
      </w:r>
      <w:r>
        <w:tab/>
        <w:t xml:space="preserve">For example, Alliance of Electricity Consumers, </w:t>
      </w:r>
      <w:r w:rsidRPr="00B67295">
        <w:rPr>
          <w:rStyle w:val="AERtextitalic"/>
        </w:rPr>
        <w:t>Submission to the AER's Preliminary Decision Queensland</w:t>
      </w:r>
      <w:r>
        <w:t xml:space="preserve">, 3 July 2015; </w:t>
      </w:r>
      <w:r w:rsidRPr="00271B32">
        <w:t xml:space="preserve">Alliance of Energy Consumers, </w:t>
      </w:r>
      <w:r w:rsidRPr="00B67295">
        <w:rPr>
          <w:rStyle w:val="AERtextitalic"/>
        </w:rPr>
        <w:t>Submission to Energex and Ergon Energy’s Revised Regulatory Proposals (Qld)</w:t>
      </w:r>
      <w:r w:rsidRPr="00271B32">
        <w:t>, 24 July 2015</w:t>
      </w:r>
      <w:r>
        <w:t xml:space="preserve">, p.9; </w:t>
      </w:r>
      <w:r w:rsidRPr="00B67295">
        <w:t xml:space="preserve">QCOSS, </w:t>
      </w:r>
      <w:r w:rsidRPr="00B67295">
        <w:rPr>
          <w:rStyle w:val="AERtextitalic"/>
        </w:rPr>
        <w:t>Response to Australian Energy Regulator Preliminary Decision for Queensland distributors 2015-2020</w:t>
      </w:r>
      <w:r w:rsidRPr="00B67295">
        <w:t>, 3 July 2015</w:t>
      </w:r>
      <w:r>
        <w:t xml:space="preserve">, p.20; </w:t>
      </w:r>
      <w:r w:rsidRPr="00262A71">
        <w:t>Total Environment Centre, S</w:t>
      </w:r>
      <w:r w:rsidRPr="00B67295">
        <w:rPr>
          <w:rStyle w:val="AERtextitalic"/>
        </w:rPr>
        <w:t>ubmission to the AER on the Preliminary Decisions on the QLD distributors’ Regulatory Proposals 2015</w:t>
      </w:r>
      <w:r w:rsidRPr="00EE7FE1">
        <w:rPr>
          <w:rStyle w:val="AERtextitalic"/>
          <w:rFonts w:ascii="Cambria Math" w:hAnsi="Cambria Math" w:cs="Cambria Math"/>
        </w:rPr>
        <w:t>‐</w:t>
      </w:r>
      <w:r w:rsidRPr="00B67295">
        <w:rPr>
          <w:rStyle w:val="AERtextitalic"/>
        </w:rPr>
        <w:t>20,</w:t>
      </w:r>
      <w:r w:rsidRPr="00262A71">
        <w:t xml:space="preserve"> 3 July 2015</w:t>
      </w:r>
      <w:r>
        <w:t xml:space="preserve">, p.8; </w:t>
      </w:r>
      <w:r w:rsidRPr="003B2CD0">
        <w:t xml:space="preserve">Cotton Australia, </w:t>
      </w:r>
      <w:r w:rsidRPr="00D9362F">
        <w:rPr>
          <w:rStyle w:val="AERtextitalic"/>
        </w:rPr>
        <w:t>AER Determination Ergon Energy</w:t>
      </w:r>
      <w:r w:rsidRPr="003B2CD0">
        <w:t>, 3 July 2015</w:t>
      </w:r>
      <w:r>
        <w:t xml:space="preserve">, p.2; </w:t>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xml:space="preserve">, p.11; </w:t>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xml:space="preserve">, p.11; </w:t>
      </w:r>
      <w:r w:rsidRPr="00E21D28">
        <w:t xml:space="preserve">QCOSS, </w:t>
      </w:r>
      <w:r w:rsidRPr="00AF0D78">
        <w:rPr>
          <w:rStyle w:val="AERtextitalic"/>
        </w:rPr>
        <w:t>Response to Australian Energy Regulator Preliminary Decision for Queensland distributors 2015-2020</w:t>
      </w:r>
      <w:r w:rsidRPr="00E21D28">
        <w:t>, 3 July 2015</w:t>
      </w:r>
      <w:r>
        <w:t xml:space="preserve">, p.21; </w:t>
      </w:r>
      <w:r w:rsidRPr="00B67A28">
        <w:t xml:space="preserve">Energy Users Association of Australia, </w:t>
      </w:r>
      <w:r w:rsidRPr="00AF0D78">
        <w:rPr>
          <w:rStyle w:val="AERtextitalic"/>
        </w:rPr>
        <w:t>Submission to AER draft determination and Energex’s revised revenue proposal 2015 to 2020</w:t>
      </w:r>
      <w:r w:rsidRPr="00B67A28">
        <w:t>, 24 July 2015</w:t>
      </w:r>
      <w:r>
        <w:t xml:space="preserve">, p.11; </w:t>
      </w:r>
      <w:r w:rsidRPr="00527772">
        <w:t xml:space="preserve">Canegrowers, </w:t>
      </w:r>
      <w:r w:rsidRPr="00AF0D78">
        <w:rPr>
          <w:rStyle w:val="AERtextitalic"/>
        </w:rPr>
        <w:t>AER Draft Determination: Ergon Energy and Energex - Network Distribution Resets 2015-2020, 3 July 2015</w:t>
      </w:r>
      <w:r>
        <w:t xml:space="preserve">, p.2; </w:t>
      </w:r>
      <w:r w:rsidRPr="00092C84">
        <w:t xml:space="preserve">ECCSA, </w:t>
      </w:r>
      <w:r w:rsidRPr="00092C84">
        <w:rPr>
          <w:rStyle w:val="Emphasis"/>
        </w:rPr>
        <w:t xml:space="preserve">A response to the AER draft decision on AGN’s AA2016 revenue reset, </w:t>
      </w:r>
      <w:r w:rsidRPr="00092C84">
        <w:t xml:space="preserve">February 2016, p. 32–37; VECUA, </w:t>
      </w:r>
      <w:r w:rsidRPr="00092C84">
        <w:rPr>
          <w:rStyle w:val="Emphasis"/>
        </w:rPr>
        <w:t>Submission on the AER: AER preliminary 2016–20 revenue determinations for the Victorian DNSPs</w:t>
      </w:r>
      <w:r w:rsidRPr="00092C84">
        <w:t xml:space="preserve">, 6 January 2016, p. 2; CCP (panel 5), </w:t>
      </w:r>
      <w:r w:rsidRPr="00092C84">
        <w:rPr>
          <w:rStyle w:val="Emphasis"/>
        </w:rPr>
        <w:t>Transmission for the generations: Response to proposal by AusNet Services transmission group pty ltd and AER issues paper for AusNet Services transmission revenue review 2017–22</w:t>
      </w:r>
      <w:r w:rsidRPr="00092C84">
        <w:t xml:space="preserve">, February 2016, p. 41; CCP (panel 3), </w:t>
      </w:r>
      <w:r w:rsidRPr="00092C84">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092C84">
        <w:t>, 25 February 2016, pp. 10, 30–31, 33</w:t>
      </w:r>
      <w:r>
        <w:t>.</w:t>
      </w:r>
    </w:p>
  </w:footnote>
  <w:footnote w:id="657">
    <w:p w:rsidR="00702DD6" w:rsidRDefault="00702DD6" w:rsidP="00CE01EE">
      <w:pPr>
        <w:pStyle w:val="FootnoteText"/>
      </w:pPr>
      <w:r>
        <w:rPr>
          <w:rStyle w:val="FootnoteReference"/>
        </w:rPr>
        <w:footnoteRef/>
      </w:r>
      <w:r>
        <w:t xml:space="preserve"> </w:t>
      </w:r>
      <w:r>
        <w:tab/>
      </w:r>
      <w:r>
        <w:rPr>
          <w:rFonts w:asciiTheme="minorHAnsi" w:hAnsiTheme="minorHAnsi" w:cstheme="minorHAnsi"/>
        </w:rPr>
        <w:t xml:space="preserve">AGL, </w:t>
      </w:r>
      <w:r w:rsidRPr="001F0A21">
        <w:rPr>
          <w:rFonts w:asciiTheme="minorHAnsi" w:hAnsiTheme="minorHAnsi" w:cstheme="minorHAnsi"/>
          <w:i/>
        </w:rPr>
        <w:t>Re: Australian Gas Networks (South Australia): Access Arrangement Proposal 2016-21</w:t>
      </w:r>
      <w:r>
        <w:rPr>
          <w:rFonts w:asciiTheme="minorHAnsi" w:hAnsiTheme="minorHAnsi" w:cstheme="minorHAnsi"/>
        </w:rPr>
        <w:t>, 10 August 2015, p. 2.</w:t>
      </w:r>
    </w:p>
  </w:footnote>
  <w:footnote w:id="658">
    <w:p w:rsidR="00702DD6" w:rsidRDefault="00702DD6" w:rsidP="00CE01EE">
      <w:pPr>
        <w:pStyle w:val="FootnoteText"/>
      </w:pPr>
      <w:r>
        <w:rPr>
          <w:rStyle w:val="FootnoteReference"/>
        </w:rPr>
        <w:footnoteRef/>
      </w:r>
      <w:r>
        <w:t xml:space="preserve"> </w:t>
      </w:r>
      <w:r>
        <w:tab/>
      </w:r>
      <w:r w:rsidRPr="007D16FD">
        <w:t>Alternative Technology Association</w:t>
      </w:r>
      <w:r>
        <w:t>,</w:t>
      </w:r>
      <w:r w:rsidRPr="007D16FD">
        <w:t xml:space="preserve"> </w:t>
      </w:r>
      <w:r w:rsidRPr="007D16FD">
        <w:rPr>
          <w:rStyle w:val="AERtextitalic"/>
        </w:rPr>
        <w:t>Submission on Australian Gas Networks (SA) Access Arrangement Proposal</w:t>
      </w:r>
      <w:r>
        <w:t>,</w:t>
      </w:r>
      <w:r w:rsidRPr="007D16FD">
        <w:t xml:space="preserve"> 10 August 2015</w:t>
      </w:r>
      <w:r>
        <w:t>, p.10.</w:t>
      </w:r>
    </w:p>
  </w:footnote>
  <w:footnote w:id="659">
    <w:p w:rsidR="00702DD6" w:rsidRDefault="00702DD6" w:rsidP="00CE01EE">
      <w:pPr>
        <w:pStyle w:val="FootnoteText"/>
      </w:pPr>
      <w:r>
        <w:rPr>
          <w:rStyle w:val="FootnoteReference"/>
        </w:rPr>
        <w:footnoteRef/>
      </w:r>
      <w:r>
        <w:t xml:space="preserve"> </w:t>
      </w:r>
      <w:r>
        <w:tab/>
      </w:r>
      <w:r w:rsidRPr="00925CE8">
        <w:t xml:space="preserve">Business SA, </w:t>
      </w:r>
      <w:r w:rsidRPr="00D9362F">
        <w:rPr>
          <w:rStyle w:val="AERtextitalic"/>
        </w:rPr>
        <w:t>Submission to AER on their preliminary decision, 3 July 2015</w:t>
      </w:r>
      <w:r>
        <w:t>, p.2.</w:t>
      </w:r>
    </w:p>
  </w:footnote>
  <w:footnote w:id="660">
    <w:p w:rsidR="00702DD6" w:rsidRDefault="00702DD6" w:rsidP="00CE01EE">
      <w:pPr>
        <w:pStyle w:val="FootnoteText"/>
      </w:pPr>
      <w:r>
        <w:rPr>
          <w:rStyle w:val="FootnoteReference"/>
        </w:rPr>
        <w:footnoteRef/>
      </w:r>
      <w:r>
        <w:t xml:space="preserve"> </w:t>
      </w:r>
      <w:r>
        <w:tab/>
      </w:r>
      <w:r w:rsidRPr="00D031A7">
        <w:t xml:space="preserve">Consumer Utilities Advocacy Centre, </w:t>
      </w:r>
      <w:r w:rsidRPr="00B862ED">
        <w:rPr>
          <w:rStyle w:val="AERtextitalic"/>
        </w:rPr>
        <w:t>RE Victorian electricity distribution pricing review (EDPR), 2016 to 2020</w:t>
      </w:r>
      <w:r w:rsidRPr="00D031A7">
        <w:t>, 13 July 2015</w:t>
      </w:r>
      <w:r>
        <w:t>, p.2.</w:t>
      </w:r>
    </w:p>
  </w:footnote>
  <w:footnote w:id="661">
    <w:p w:rsidR="00702DD6" w:rsidRDefault="00702DD6" w:rsidP="00CE01EE">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p.11.</w:t>
      </w:r>
    </w:p>
  </w:footnote>
  <w:footnote w:id="662">
    <w:p w:rsidR="00702DD6" w:rsidRDefault="00702DD6" w:rsidP="00CE01EE">
      <w:pPr>
        <w:pStyle w:val="FootnoteText"/>
      </w:pPr>
      <w:r>
        <w:rPr>
          <w:rStyle w:val="FootnoteReference"/>
        </w:rPr>
        <w:footnoteRef/>
      </w:r>
      <w:r>
        <w:t xml:space="preserve"> </w:t>
      </w:r>
      <w:r>
        <w:tab/>
      </w:r>
      <w:r w:rsidRPr="00E87254">
        <w:t xml:space="preserve">Energy Consumers Coalition of South Australia, </w:t>
      </w:r>
      <w:r w:rsidRPr="003A6DD5">
        <w:rPr>
          <w:rStyle w:val="AERtextitalic"/>
        </w:rPr>
        <w:t>Submission on SA Power Networks' revised proposal, 24 July 2015</w:t>
      </w:r>
      <w:r>
        <w:t>, p.6.</w:t>
      </w:r>
    </w:p>
  </w:footnote>
  <w:footnote w:id="663">
    <w:p w:rsidR="00702DD6" w:rsidRDefault="00702DD6" w:rsidP="00CE01EE">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p.66.</w:t>
      </w:r>
    </w:p>
  </w:footnote>
  <w:footnote w:id="664">
    <w:p w:rsidR="00702DD6" w:rsidRDefault="00702DD6" w:rsidP="00CE01EE">
      <w:pPr>
        <w:pStyle w:val="FootnoteText"/>
      </w:pPr>
      <w:r>
        <w:rPr>
          <w:rStyle w:val="FootnoteReference"/>
        </w:rPr>
        <w:footnoteRef/>
      </w:r>
      <w:r>
        <w:t xml:space="preserve"> </w:t>
      </w:r>
      <w:r>
        <w:tab/>
      </w:r>
      <w:r w:rsidRPr="00217EDF">
        <w:t xml:space="preserve">Energy Retailers Association of Australia, </w:t>
      </w:r>
      <w:r w:rsidRPr="00D9362F">
        <w:rPr>
          <w:rStyle w:val="AERtextitalic"/>
        </w:rPr>
        <w:t>Preliminary Decision SA Power Networks determination 2015-16 to 2019-20</w:t>
      </w:r>
      <w:r w:rsidRPr="00217EDF">
        <w:t>, 3 July 2015</w:t>
      </w:r>
      <w:r>
        <w:t>.</w:t>
      </w:r>
    </w:p>
  </w:footnote>
  <w:footnote w:id="665">
    <w:p w:rsidR="00702DD6" w:rsidRDefault="00702DD6" w:rsidP="00CE01EE">
      <w:pPr>
        <w:pStyle w:val="FootnoteText"/>
      </w:pPr>
      <w:r>
        <w:rPr>
          <w:rStyle w:val="FootnoteReference"/>
        </w:rPr>
        <w:footnoteRef/>
      </w:r>
      <w:r>
        <w:t xml:space="preserve"> </w:t>
      </w:r>
      <w:r>
        <w:tab/>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p.11.</w:t>
      </w:r>
    </w:p>
  </w:footnote>
  <w:footnote w:id="666">
    <w:p w:rsidR="00702DD6" w:rsidRDefault="00702DD6" w:rsidP="00CE01EE">
      <w:pPr>
        <w:pStyle w:val="FootnoteText"/>
      </w:pPr>
      <w:r>
        <w:rPr>
          <w:rStyle w:val="FootnoteReference"/>
        </w:rPr>
        <w:footnoteRef/>
      </w:r>
      <w:r>
        <w:t xml:space="preserve"> </w:t>
      </w:r>
      <w:r>
        <w:tab/>
      </w:r>
      <w:r w:rsidRPr="00336C97">
        <w:t xml:space="preserve">Origin Energy, </w:t>
      </w:r>
      <w:r w:rsidRPr="00B67295">
        <w:rPr>
          <w:rStyle w:val="AERtextitalic"/>
        </w:rPr>
        <w:t>Re Submission to Victorian Electricity Distributors Regulatory Proposals</w:t>
      </w:r>
      <w:r w:rsidRPr="00336C97">
        <w:t>, 13 July 2015</w:t>
      </w:r>
      <w:r>
        <w:t>, p.10.</w:t>
      </w:r>
    </w:p>
  </w:footnote>
  <w:footnote w:id="667">
    <w:p w:rsidR="00702DD6" w:rsidRDefault="00702DD6" w:rsidP="00CE01EE">
      <w:pPr>
        <w:pStyle w:val="FootnoteText"/>
      </w:pPr>
      <w:r>
        <w:rPr>
          <w:rStyle w:val="FootnoteReference"/>
        </w:rPr>
        <w:footnoteRef/>
      </w:r>
      <w:r>
        <w:t xml:space="preserve"> </w:t>
      </w:r>
      <w:r>
        <w:tab/>
        <w:t>O</w:t>
      </w:r>
      <w:r w:rsidRPr="00176A54">
        <w:t>r</w:t>
      </w:r>
      <w:r>
        <w:t>i</w:t>
      </w:r>
      <w:r w:rsidRPr="00176A54">
        <w:t xml:space="preserve">gin Energy, </w:t>
      </w:r>
      <w:r w:rsidRPr="00841CC4">
        <w:rPr>
          <w:rStyle w:val="AERtextitalic"/>
        </w:rPr>
        <w:t>Submission to AER preliminary decision SA Power Networks</w:t>
      </w:r>
      <w:r w:rsidRPr="00176A54">
        <w:t>, 3 July 2015</w:t>
      </w:r>
      <w:r>
        <w:t>.</w:t>
      </w:r>
    </w:p>
  </w:footnote>
  <w:footnote w:id="668">
    <w:p w:rsidR="00702DD6" w:rsidRDefault="00702DD6" w:rsidP="00CE01EE">
      <w:pPr>
        <w:pStyle w:val="FootnoteText"/>
      </w:pPr>
      <w:r>
        <w:rPr>
          <w:rStyle w:val="FootnoteReference"/>
        </w:rPr>
        <w:footnoteRef/>
      </w:r>
      <w:r>
        <w:t xml:space="preserve"> </w:t>
      </w:r>
      <w:r>
        <w:tab/>
      </w:r>
      <w:r w:rsidRPr="006072B5">
        <w:t>Origin</w:t>
      </w:r>
      <w:r>
        <w:t xml:space="preserve"> Energy,</w:t>
      </w:r>
      <w:r w:rsidRPr="006072B5">
        <w:t xml:space="preserve"> </w:t>
      </w:r>
      <w:r w:rsidRPr="006072B5">
        <w:rPr>
          <w:rStyle w:val="AERtextitalic"/>
        </w:rPr>
        <w:t xml:space="preserve">Submission on </w:t>
      </w:r>
      <w:r>
        <w:rPr>
          <w:rStyle w:val="AERtextitalic"/>
        </w:rPr>
        <w:t xml:space="preserve">Australian Gas Networks </w:t>
      </w:r>
      <w:r w:rsidRPr="006072B5">
        <w:rPr>
          <w:rStyle w:val="AERtextitalic"/>
        </w:rPr>
        <w:t xml:space="preserve"> Distribution 2016-21 Access Arrangement Proposal for ACT</w:t>
      </w:r>
      <w:r>
        <w:t xml:space="preserve">, </w:t>
      </w:r>
      <w:r w:rsidRPr="006072B5">
        <w:t>10 August 2015</w:t>
      </w:r>
      <w:r>
        <w:t>, p.5.</w:t>
      </w:r>
    </w:p>
  </w:footnote>
  <w:footnote w:id="669">
    <w:p w:rsidR="00702DD6" w:rsidRDefault="00702DD6" w:rsidP="00CE01EE">
      <w:pPr>
        <w:pStyle w:val="FootnoteText"/>
      </w:pPr>
      <w:r>
        <w:rPr>
          <w:rStyle w:val="FootnoteReference"/>
        </w:rPr>
        <w:footnoteRef/>
      </w:r>
      <w:r>
        <w:t xml:space="preserve"> </w:t>
      </w:r>
      <w:r>
        <w:tab/>
      </w:r>
      <w:r w:rsidRPr="00B67295">
        <w:t xml:space="preserve">QCOSS, </w:t>
      </w:r>
      <w:r w:rsidRPr="00B67295">
        <w:rPr>
          <w:rStyle w:val="AERtextitalic"/>
        </w:rPr>
        <w:t>Response to Australian Energy Regulator Preliminary Decision for Queensland distributors 2015-2020</w:t>
      </w:r>
      <w:r w:rsidRPr="00B67295">
        <w:t>, 3 July 2015</w:t>
      </w:r>
      <w:r>
        <w:t>, p.20.</w:t>
      </w:r>
    </w:p>
  </w:footnote>
  <w:footnote w:id="670">
    <w:p w:rsidR="00702DD6" w:rsidRDefault="00702DD6" w:rsidP="00CE01EE">
      <w:pPr>
        <w:pStyle w:val="FootnoteText"/>
      </w:pPr>
      <w:r>
        <w:rPr>
          <w:rStyle w:val="FootnoteReference"/>
        </w:rPr>
        <w:footnoteRef/>
      </w:r>
      <w:r>
        <w:t xml:space="preserve"> </w:t>
      </w:r>
      <w:r>
        <w:tab/>
      </w:r>
      <w:r w:rsidRPr="00E21D28">
        <w:t xml:space="preserve">QCOSS, </w:t>
      </w:r>
      <w:r w:rsidRPr="00AF0D78">
        <w:rPr>
          <w:rStyle w:val="AERtextitalic"/>
        </w:rPr>
        <w:t>Response to Australian Energy Regulator Preliminary Decision for Queensland distributors 2015-2020</w:t>
      </w:r>
      <w:r w:rsidRPr="00E21D28">
        <w:t>, 3 July 2015</w:t>
      </w:r>
      <w:r>
        <w:t>, p.21.</w:t>
      </w:r>
    </w:p>
  </w:footnote>
  <w:footnote w:id="671">
    <w:p w:rsidR="00702DD6" w:rsidRDefault="00702DD6" w:rsidP="00CE01EE">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p.3.</w:t>
      </w:r>
    </w:p>
  </w:footnote>
  <w:footnote w:id="672">
    <w:p w:rsidR="00702DD6" w:rsidRDefault="00702DD6" w:rsidP="00CE01EE">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p.10.</w:t>
      </w:r>
    </w:p>
  </w:footnote>
  <w:footnote w:id="673">
    <w:p w:rsidR="00702DD6" w:rsidRDefault="00702DD6" w:rsidP="00CE01EE">
      <w:pPr>
        <w:pStyle w:val="FootnoteText"/>
      </w:pPr>
      <w:r>
        <w:rPr>
          <w:rStyle w:val="FootnoteReference"/>
        </w:rPr>
        <w:footnoteRef/>
      </w:r>
      <w:r>
        <w:t xml:space="preserve"> </w:t>
      </w:r>
      <w:r>
        <w:tab/>
        <w:t xml:space="preserve">Henry 0.T., </w:t>
      </w:r>
      <w:r w:rsidRPr="00841CC4">
        <w:rPr>
          <w:rStyle w:val="AERtextitalic"/>
        </w:rPr>
        <w:t>Estimating Beta: An Update</w:t>
      </w:r>
      <w:r>
        <w:t>, April 2014.</w:t>
      </w:r>
    </w:p>
  </w:footnote>
  <w:footnote w:id="674">
    <w:p w:rsidR="00702DD6" w:rsidRDefault="00702DD6" w:rsidP="00CE01EE">
      <w:pPr>
        <w:pStyle w:val="FootnoteText"/>
      </w:pPr>
      <w:r>
        <w:rPr>
          <w:rStyle w:val="FootnoteReference"/>
        </w:rPr>
        <w:footnoteRef/>
      </w:r>
      <w:r>
        <w:t xml:space="preserve"> </w:t>
      </w:r>
      <w:r>
        <w:tab/>
      </w:r>
      <w:r w:rsidRPr="000168DD">
        <w:t xml:space="preserve">Victorian Energy Consumer and User Alliance, </w:t>
      </w:r>
      <w:r w:rsidRPr="00841CC4">
        <w:rPr>
          <w:rStyle w:val="AERtextitalic"/>
        </w:rPr>
        <w:t>Submission to the AER Victorian Distribution Networks’ 2016-20 Revenue Proposals</w:t>
      </w:r>
      <w:r w:rsidRPr="000168DD">
        <w:t>, 13 July 2015</w:t>
      </w:r>
      <w:r>
        <w:t>, p.11.</w:t>
      </w:r>
    </w:p>
  </w:footnote>
  <w:footnote w:id="675">
    <w:p w:rsidR="00702DD6" w:rsidRDefault="00702DD6" w:rsidP="00CE01EE">
      <w:pPr>
        <w:pStyle w:val="FootnoteText"/>
      </w:pPr>
      <w:r>
        <w:rPr>
          <w:rStyle w:val="FootnoteReference"/>
        </w:rPr>
        <w:footnoteRef/>
      </w:r>
      <w:r>
        <w:t xml:space="preserve"> </w:t>
      </w:r>
      <w:r>
        <w:tab/>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p.11.</w:t>
      </w:r>
    </w:p>
  </w:footnote>
  <w:footnote w:id="676">
    <w:p w:rsidR="00702DD6" w:rsidRDefault="00702DD6" w:rsidP="00CE01EE">
      <w:pPr>
        <w:pStyle w:val="FootnoteText"/>
      </w:pPr>
      <w:r>
        <w:rPr>
          <w:rStyle w:val="FootnoteReference"/>
        </w:rPr>
        <w:footnoteRef/>
      </w:r>
      <w:r>
        <w:t xml:space="preserve"> </w:t>
      </w:r>
      <w:r>
        <w:tab/>
      </w:r>
      <w:r w:rsidRPr="00EA4900">
        <w:t xml:space="preserve">CitiPower, </w:t>
      </w:r>
      <w:r w:rsidRPr="00EA4900">
        <w:rPr>
          <w:rStyle w:val="Emphasis"/>
        </w:rPr>
        <w:t>Revised regulatory proposal 2016–2020</w:t>
      </w:r>
      <w:r w:rsidRPr="00EA4900">
        <w:t xml:space="preserve">, January 2016, pp. 281–289; Powercor, </w:t>
      </w:r>
      <w:r w:rsidRPr="00EA4900">
        <w:rPr>
          <w:rStyle w:val="Emphasis"/>
        </w:rPr>
        <w:t>Revised regulatory proposal 2016–2020</w:t>
      </w:r>
      <w:r w:rsidRPr="00EA4900">
        <w:t xml:space="preserve">, January 2016, pp. 275–283; ActewAGL, </w:t>
      </w:r>
      <w:r w:rsidRPr="00EA4900">
        <w:rPr>
          <w:rStyle w:val="Emphasis"/>
        </w:rPr>
        <w:t>Revised 2016–21 access a</w:t>
      </w:r>
      <w:r>
        <w:rPr>
          <w:rStyle w:val="Emphasis"/>
        </w:rPr>
        <w:t>rr</w:t>
      </w:r>
      <w:r w:rsidRPr="00EA4900">
        <w:rPr>
          <w:rStyle w:val="Emphasis"/>
        </w:rPr>
        <w:t>angement proposal Response to the AER's draft decision, Appendix 5.01 Detailed response to rate of return, gamma and inflation</w:t>
      </w:r>
      <w:r w:rsidRPr="00EA4900">
        <w:t xml:space="preserve">, January 2016, pp. 57–72; United Energy, </w:t>
      </w:r>
      <w:r w:rsidRPr="00EA4900">
        <w:rPr>
          <w:rStyle w:val="Emphasis"/>
        </w:rPr>
        <w:t>Response to AER preliminary determination–Re: rate of return and gamma</w:t>
      </w:r>
      <w:r w:rsidRPr="00EA4900">
        <w:t xml:space="preserve">, 6 January 2016, pp.41–45; AGN, </w:t>
      </w:r>
      <w:r w:rsidRPr="00EA4900">
        <w:rPr>
          <w:rStyle w:val="Emphasis"/>
        </w:rPr>
        <w:t>2016–17 to 2020/21 Access Arrangement information response to draft decision: Attachment 10.26 Response to draft decision: rate of return</w:t>
      </w:r>
      <w:r w:rsidRPr="00EA4900">
        <w:t xml:space="preserve">, January 2016, pp. 46–49 ; JEN (Vic), </w:t>
      </w:r>
      <w:r w:rsidRPr="00EA4900">
        <w:rPr>
          <w:rStyle w:val="Emphasis"/>
        </w:rPr>
        <w:t>2016–20 Electricity distribution price review regulatory proposal revocation and substitution submission: Attachment 6–1 Rate of return, gamma, forecast inflation, and debt and equity raising costs,</w:t>
      </w:r>
      <w:r w:rsidRPr="00EA4900">
        <w:t xml:space="preserve"> 6 January 2016, pp. 46–49; AusNet Services, </w:t>
      </w:r>
      <w:r w:rsidRPr="00EA4900">
        <w:rPr>
          <w:rStyle w:val="Emphasis"/>
        </w:rPr>
        <w:t>Electricity distribution price review 2016–20 Revised regulatory proposal: Chapter 7 Rate of return &amp; gamma</w:t>
      </w:r>
      <w:r w:rsidRPr="00EA4900">
        <w:t xml:space="preserve">, 6 January 2016, pp. 41–49; APTNT, </w:t>
      </w:r>
      <w:r w:rsidRPr="00EA4900">
        <w:rPr>
          <w:rStyle w:val="Emphasis"/>
        </w:rPr>
        <w:t>Amadeus Gas Pipeline Access arrangement revised proposal: response to Draft Decision,</w:t>
      </w:r>
      <w:r w:rsidRPr="00EA4900">
        <w:t xml:space="preserve"> January 2016, pp. 68–73; APTNT, </w:t>
      </w:r>
      <w:r w:rsidRPr="00EA4900">
        <w:rPr>
          <w:rStyle w:val="Emphasis"/>
        </w:rPr>
        <w:t>Amadeus Gas Pipeline access arrangement revision proposal</w:t>
      </w:r>
      <w:r w:rsidRPr="00EA4900">
        <w:t>, August 2015, p. 110–130.</w:t>
      </w:r>
    </w:p>
  </w:footnote>
  <w:footnote w:id="677">
    <w:p w:rsidR="00702DD6" w:rsidRDefault="00702DD6" w:rsidP="00CE01E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678">
    <w:p w:rsidR="00702DD6" w:rsidRDefault="00702DD6" w:rsidP="00CE01E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679">
    <w:p w:rsidR="00702DD6" w:rsidRPr="00892F96" w:rsidRDefault="00702DD6" w:rsidP="00CE01EE">
      <w:pPr>
        <w:pStyle w:val="FootnoteText"/>
        <w:rPr>
          <w:rStyle w:val="AERtextitalic"/>
          <w:i w:val="0"/>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680">
    <w:p w:rsidR="00702DD6" w:rsidRDefault="00702DD6" w:rsidP="00CE01EE">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23–24.</w:t>
      </w:r>
    </w:p>
  </w:footnote>
  <w:footnote w:id="681">
    <w:p w:rsidR="00702DD6" w:rsidRPr="00892F96" w:rsidRDefault="00702DD6" w:rsidP="00CE01EE">
      <w:pPr>
        <w:pStyle w:val="FootnoteText"/>
        <w:rPr>
          <w:i/>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682">
    <w:p w:rsidR="00702DD6" w:rsidRDefault="00702DD6" w:rsidP="00CE01EE">
      <w:pPr>
        <w:pStyle w:val="FootnoteText"/>
      </w:pPr>
      <w:r>
        <w:rPr>
          <w:rStyle w:val="FootnoteReference"/>
        </w:rPr>
        <w:footnoteRef/>
      </w:r>
      <w:r>
        <w:t xml:space="preserve"> </w:t>
      </w:r>
      <w:r>
        <w:tab/>
      </w:r>
      <w:r w:rsidRPr="00C67AC4">
        <w:t xml:space="preserve">NERA, </w:t>
      </w:r>
      <w:r w:rsidRPr="00C67AC4">
        <w:rPr>
          <w:rStyle w:val="AERtextitalic"/>
        </w:rPr>
        <w:t>The Cost of Equity: Response to the AER's</w:t>
      </w:r>
      <w:r>
        <w:rPr>
          <w:rStyle w:val="AERtextitalic"/>
        </w:rPr>
        <w:t xml:space="preserve"> </w:t>
      </w:r>
      <w:r w:rsidRPr="00C67AC4">
        <w:rPr>
          <w:rStyle w:val="AERtextitalic"/>
        </w:rPr>
        <w:t>final decisions for the NSW and ACT Electricity Distributors, and for Jemena Gas Networks</w:t>
      </w:r>
      <w:r w:rsidRPr="00C67AC4">
        <w:t>, June 2015, p. 33 &amp; 37</w:t>
      </w:r>
    </w:p>
  </w:footnote>
  <w:footnote w:id="683">
    <w:p w:rsidR="00702DD6" w:rsidRDefault="00702DD6" w:rsidP="00CE01EE">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24.</w:t>
      </w:r>
    </w:p>
  </w:footnote>
  <w:footnote w:id="684">
    <w:p w:rsidR="00702DD6" w:rsidRDefault="00702DD6" w:rsidP="00CE01EE">
      <w:pPr>
        <w:pStyle w:val="FootnoteText"/>
      </w:pPr>
      <w:r>
        <w:rPr>
          <w:rStyle w:val="FootnoteReference"/>
        </w:rPr>
        <w:footnoteRef/>
      </w:r>
      <w:r>
        <w:t xml:space="preserve"> </w:t>
      </w:r>
      <w:r>
        <w:tab/>
        <w:t>Generalised least squares,</w:t>
      </w:r>
    </w:p>
  </w:footnote>
  <w:footnote w:id="685">
    <w:p w:rsidR="00702DD6" w:rsidRDefault="00702DD6" w:rsidP="00CE01EE">
      <w:pPr>
        <w:pStyle w:val="FootnoteText"/>
      </w:pPr>
      <w:r>
        <w:rPr>
          <w:rStyle w:val="FootnoteReference"/>
        </w:rPr>
        <w:footnoteRef/>
      </w:r>
      <w:r>
        <w:t xml:space="preserve"> </w:t>
      </w:r>
      <w:r>
        <w:tab/>
        <w:t xml:space="preserve">Partington and Satchell, </w:t>
      </w:r>
      <w:r w:rsidRPr="007045D6">
        <w:rPr>
          <w:rStyle w:val="AERtextitalic"/>
        </w:rPr>
        <w:t xml:space="preserve">Report to the AER: </w:t>
      </w:r>
      <w:r>
        <w:rPr>
          <w:rStyle w:val="AERtextitalic"/>
        </w:rPr>
        <w:t xml:space="preserve">Analysis of criticism of 2015 determinations, </w:t>
      </w:r>
      <w:r>
        <w:t>October 2015, p. 21.</w:t>
      </w:r>
    </w:p>
  </w:footnote>
  <w:footnote w:id="686">
    <w:p w:rsidR="00702DD6" w:rsidRDefault="00702DD6" w:rsidP="00CE01EE">
      <w:pPr>
        <w:pStyle w:val="FootnoteText"/>
      </w:pPr>
      <w:r>
        <w:rPr>
          <w:rStyle w:val="FootnoteReference"/>
        </w:rPr>
        <w:footnoteRef/>
      </w:r>
      <w:r>
        <w:t xml:space="preserve"> </w:t>
      </w:r>
      <w:r>
        <w:tab/>
        <w:t xml:space="preserve">HoustonKemp, </w:t>
      </w:r>
      <w:r w:rsidRPr="00EA4900">
        <w:rPr>
          <w:rStyle w:val="Emphasis"/>
        </w:rPr>
        <w:t>The cost of equity: response to the AER's draft decisions for the Victorian electricity distributors, ActewAGL Distribution and Australian Gas Networks</w:t>
      </w:r>
      <w:r w:rsidRPr="00EA4900">
        <w:t>, January 2016</w:t>
      </w:r>
      <w:r>
        <w:t>, p. 27.</w:t>
      </w:r>
    </w:p>
  </w:footnote>
  <w:footnote w:id="687">
    <w:p w:rsidR="00702DD6" w:rsidRDefault="00702DD6" w:rsidP="00CE01EE">
      <w:pPr>
        <w:pStyle w:val="FootnoteText"/>
      </w:pPr>
      <w:r>
        <w:rPr>
          <w:rStyle w:val="FootnoteReference"/>
        </w:rPr>
        <w:footnoteRef/>
      </w:r>
      <w:r>
        <w:t xml:space="preserve"> </w:t>
      </w:r>
      <w:r>
        <w:tab/>
        <w:t>Partington and Satchell, draft report, April 2015, pp. 46–47.</w:t>
      </w:r>
    </w:p>
  </w:footnote>
  <w:footnote w:id="688">
    <w:p w:rsidR="00702DD6" w:rsidRDefault="00702DD6" w:rsidP="00CE01EE">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689">
    <w:p w:rsidR="00702DD6" w:rsidRDefault="00702DD6" w:rsidP="00CE01EE">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690">
    <w:p w:rsidR="00702DD6" w:rsidRDefault="00702DD6" w:rsidP="00CE01EE">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691">
    <w:p w:rsidR="00702DD6" w:rsidRDefault="00702DD6" w:rsidP="00CE01EE">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xml:space="preserve">, May 2014, p. 92; </w:t>
      </w:r>
      <w:r>
        <w:tab/>
        <w:t xml:space="preserve">SFG, </w:t>
      </w:r>
      <w:r w:rsidRPr="00C9290A">
        <w:rPr>
          <w:rStyle w:val="AERtextitalic"/>
        </w:rPr>
        <w:t>Cost of Equity in the Black Capital Asset Pricing Model</w:t>
      </w:r>
      <w:r>
        <w:t>, 22 May 2014, p. 3.</w:t>
      </w:r>
    </w:p>
  </w:footnote>
  <w:footnote w:id="692">
    <w:p w:rsidR="00702DD6" w:rsidRDefault="00702DD6" w:rsidP="00CE01EE">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693">
    <w:p w:rsidR="00702DD6" w:rsidRDefault="00702DD6" w:rsidP="00CE01EE">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694">
    <w:p w:rsidR="00702DD6" w:rsidRDefault="00702DD6" w:rsidP="00CE01EE">
      <w:pPr>
        <w:pStyle w:val="FootnoteText"/>
      </w:pPr>
      <w:r>
        <w:rPr>
          <w:rStyle w:val="FootnoteReference"/>
        </w:rPr>
        <w:footnoteRef/>
      </w:r>
      <w:r>
        <w:t xml:space="preserve"> </w:t>
      </w:r>
      <w:r>
        <w:tab/>
        <w:t xml:space="preserve">Partington and Satchell, </w:t>
      </w:r>
      <w:r w:rsidRPr="00892F96">
        <w:rPr>
          <w:rStyle w:val="AERtextitalic"/>
        </w:rPr>
        <w:t>Report to the AER: Return of equity and comment on submissions in relation to JGN</w:t>
      </w:r>
      <w:r>
        <w:t xml:space="preserve">, May 2015, p. 16; Handley, </w:t>
      </w:r>
      <w:r w:rsidRPr="00892F96">
        <w:rPr>
          <w:rStyle w:val="AERtextitalic"/>
        </w:rPr>
        <w:t>Advice on the rate of return for the 2015 AER energy network determination for Jemena Gas Networks</w:t>
      </w:r>
      <w:r>
        <w:t>, 20 May 2015, p. 5.</w:t>
      </w:r>
    </w:p>
  </w:footnote>
  <w:footnote w:id="695">
    <w:p w:rsidR="00702DD6" w:rsidRDefault="00702DD6" w:rsidP="00CE01E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21.</w:t>
      </w:r>
    </w:p>
  </w:footnote>
  <w:footnote w:id="696">
    <w:p w:rsidR="00702DD6" w:rsidRDefault="00702DD6" w:rsidP="00CE01E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14.</w:t>
      </w:r>
    </w:p>
  </w:footnote>
  <w:footnote w:id="697">
    <w:p w:rsidR="00702DD6" w:rsidRDefault="00702DD6" w:rsidP="00CE01EE">
      <w:pPr>
        <w:pStyle w:val="FootnoteText"/>
      </w:pPr>
      <w:r>
        <w:rPr>
          <w:rStyle w:val="FootnoteReference"/>
        </w:rPr>
        <w:footnoteRef/>
      </w:r>
      <w:r>
        <w:t xml:space="preserve"> </w:t>
      </w:r>
      <w:r>
        <w:tab/>
        <w:t xml:space="preserve">HoustonKemp, </w:t>
      </w:r>
      <w:r w:rsidRPr="003C0BC3">
        <w:rPr>
          <w:rStyle w:val="Emphasis"/>
        </w:rPr>
        <w:t>The cost of equity: response to the AER's draft decisions for the Victorian electricity distributors, ActewAGL Distribution and Australian Gas Networks</w:t>
      </w:r>
      <w:r w:rsidRPr="003C0BC3">
        <w:t>, January 2016</w:t>
      </w:r>
      <w:r>
        <w:t>, p. 27.</w:t>
      </w:r>
    </w:p>
  </w:footnote>
  <w:footnote w:id="698">
    <w:p w:rsidR="00702DD6" w:rsidRDefault="00702DD6" w:rsidP="00CE01EE">
      <w:pPr>
        <w:pStyle w:val="FootnoteText"/>
      </w:pPr>
      <w:r>
        <w:rPr>
          <w:rStyle w:val="FootnoteReference"/>
        </w:rPr>
        <w:footnoteRef/>
      </w:r>
      <w:r>
        <w:t xml:space="preserve"> </w:t>
      </w:r>
      <w:r>
        <w:tab/>
        <w:t>Partington and Satchell, draft report, April 2015, p. 50.</w:t>
      </w:r>
    </w:p>
  </w:footnote>
  <w:footnote w:id="699">
    <w:p w:rsidR="00702DD6" w:rsidRDefault="00702DD6" w:rsidP="00CE01EE">
      <w:pPr>
        <w:pStyle w:val="FootnoteText"/>
      </w:pPr>
      <w:r>
        <w:rPr>
          <w:rStyle w:val="FootnoteReference"/>
        </w:rPr>
        <w:footnoteRef/>
      </w:r>
      <w:r>
        <w:t xml:space="preserve"> </w:t>
      </w:r>
      <w:r>
        <w:tab/>
        <w:t>Partington and Satchell, draft report, April 2015, p. 50.</w:t>
      </w:r>
    </w:p>
  </w:footnote>
  <w:footnote w:id="700">
    <w:p w:rsidR="00702DD6" w:rsidRDefault="00702DD6" w:rsidP="00CE01EE">
      <w:pPr>
        <w:pStyle w:val="FootnoteText"/>
      </w:pPr>
      <w:r>
        <w:rPr>
          <w:rStyle w:val="FootnoteReference"/>
        </w:rPr>
        <w:footnoteRef/>
      </w:r>
      <w:r>
        <w:t xml:space="preserve"> </w:t>
      </w:r>
      <w:r>
        <w:tab/>
        <w:t xml:space="preserve">Partington, </w:t>
      </w:r>
      <w:r>
        <w:rPr>
          <w:rStyle w:val="AERtextitalic"/>
        </w:rPr>
        <w:t>Report to the AER: Return on equity (updated), April 2015</w:t>
      </w:r>
      <w:r>
        <w:t>, pp. 33–34.</w:t>
      </w:r>
    </w:p>
  </w:footnote>
  <w:footnote w:id="701">
    <w:p w:rsidR="00702DD6" w:rsidRDefault="00702DD6" w:rsidP="00CE01E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22.</w:t>
      </w:r>
    </w:p>
  </w:footnote>
  <w:footnote w:id="702">
    <w:p w:rsidR="00702DD6" w:rsidRDefault="00702DD6" w:rsidP="00CE01EE">
      <w:pPr>
        <w:pStyle w:val="FootnoteText"/>
      </w:pPr>
      <w:r>
        <w:rPr>
          <w:rStyle w:val="FootnoteReference"/>
        </w:rPr>
        <w:footnoteRef/>
      </w:r>
      <w:r>
        <w:t xml:space="preserve"> </w:t>
      </w:r>
      <w:r>
        <w:tab/>
        <w:t>Partington and Satchell, draft report, April 2015, p. 45.</w:t>
      </w:r>
    </w:p>
  </w:footnote>
  <w:footnote w:id="703">
    <w:p w:rsidR="00702DD6" w:rsidRDefault="00702DD6" w:rsidP="00CE01EE">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704">
    <w:p w:rsidR="00702DD6" w:rsidRDefault="00702DD6" w:rsidP="00CE01E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22.</w:t>
      </w:r>
    </w:p>
  </w:footnote>
  <w:footnote w:id="705">
    <w:p w:rsidR="00702DD6" w:rsidRDefault="00702DD6" w:rsidP="00CE01EE">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t>, June 2013,</w:t>
      </w:r>
      <w:r w:rsidRPr="00F73F72">
        <w:t xml:space="preserve"> p. 25</w:t>
      </w:r>
      <w:r>
        <w:t>.</w:t>
      </w:r>
    </w:p>
  </w:footnote>
  <w:footnote w:id="706">
    <w:p w:rsidR="00702DD6" w:rsidRDefault="00702DD6" w:rsidP="00CE01EE">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707">
    <w:p w:rsidR="00702DD6" w:rsidRDefault="00702DD6" w:rsidP="00CE01EE">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708">
    <w:p w:rsidR="00702DD6" w:rsidRDefault="00702DD6" w:rsidP="00CE01EE">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709">
    <w:p w:rsidR="00702DD6" w:rsidRDefault="00702DD6" w:rsidP="00CE01EE">
      <w:pPr>
        <w:pStyle w:val="FootnoteText"/>
      </w:pPr>
      <w:r>
        <w:rPr>
          <w:rStyle w:val="FootnoteReference"/>
        </w:rPr>
        <w:footnoteRef/>
      </w:r>
      <w:r>
        <w:t xml:space="preserve"> </w:t>
      </w:r>
      <w:r>
        <w:tab/>
        <w:t>For more detail, see the 'use in practice' subsection in section A.3.3 of Attachment 3 to our draft decision for ActewAGL, which remains relevant here. No new material was submitted on this issue following our draft decision.</w:t>
      </w:r>
    </w:p>
  </w:footnote>
  <w:footnote w:id="710">
    <w:p w:rsidR="00702DD6" w:rsidRDefault="00702DD6" w:rsidP="00CE01EE">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711">
    <w:p w:rsidR="00702DD6" w:rsidRDefault="00702DD6" w:rsidP="00CE01E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712">
    <w:p w:rsidR="00702DD6" w:rsidRDefault="00702DD6" w:rsidP="00CE01EE">
      <w:pPr>
        <w:pStyle w:val="FootnoteText"/>
      </w:pPr>
      <w:r>
        <w:rPr>
          <w:rStyle w:val="FootnoteReference"/>
        </w:rPr>
        <w:footnoteRef/>
      </w:r>
      <w:r>
        <w:t xml:space="preserve"> </w:t>
      </w:r>
      <w:r>
        <w:tab/>
        <w:t>As the zero beta portfolio can take many years of data to estimate, while the current government bond rate is readily available. See:</w:t>
      </w:r>
      <w:r w:rsidRPr="008E0D8F">
        <w:t xml:space="preserve"> Partington &amp; Satchell, </w:t>
      </w:r>
      <w:r w:rsidRPr="008E0D8F">
        <w:rPr>
          <w:rStyle w:val="AERtextitalic"/>
        </w:rPr>
        <w:t xml:space="preserve">Report to the AER: Analysis of criticism of 2015 determinations, </w:t>
      </w:r>
      <w:r w:rsidRPr="008E0D8F">
        <w:t>October 2015</w:t>
      </w:r>
      <w:r>
        <w:t>, p. 20.</w:t>
      </w:r>
    </w:p>
  </w:footnote>
  <w:footnote w:id="713">
    <w:p w:rsidR="00702DD6" w:rsidRDefault="00702DD6" w:rsidP="00CE01EE">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714">
    <w:p w:rsidR="00702DD6" w:rsidRDefault="00702DD6" w:rsidP="00CE01EE">
      <w:pPr>
        <w:pStyle w:val="FootnoteText"/>
      </w:pPr>
      <w:r>
        <w:rPr>
          <w:rStyle w:val="FootnoteReference"/>
        </w:rPr>
        <w:footnoteRef/>
      </w:r>
      <w:r>
        <w:tab/>
      </w:r>
      <w:r w:rsidRPr="003061B8">
        <w:t xml:space="preserve">CitiPower, </w:t>
      </w:r>
      <w:r w:rsidRPr="003061B8">
        <w:rPr>
          <w:rStyle w:val="AERtextitalic"/>
        </w:rPr>
        <w:t>Regulatory proposal 2016-2020</w:t>
      </w:r>
      <w:r>
        <w:t>, April 2015, p. 205–212; C</w:t>
      </w:r>
      <w:r w:rsidRPr="003061B8">
        <w:t xml:space="preserve">itiPower, </w:t>
      </w:r>
      <w:r>
        <w:t>Revised r</w:t>
      </w:r>
      <w:r w:rsidRPr="003061B8">
        <w:rPr>
          <w:rStyle w:val="AERtextitalic"/>
        </w:rPr>
        <w:t>egulatory proposal 2016-2020</w:t>
      </w:r>
      <w:r>
        <w:t>, January 2016, p. 325–326;</w:t>
      </w:r>
      <w:r w:rsidRPr="00BC555B">
        <w:t xml:space="preserve"> Powercor, </w:t>
      </w:r>
      <w:r w:rsidRPr="00BC555B">
        <w:rPr>
          <w:rStyle w:val="Emphasis"/>
        </w:rPr>
        <w:t>Revised regulatory proposal 2016–2020</w:t>
      </w:r>
      <w:r w:rsidRPr="00BC555B">
        <w:t xml:space="preserve">, January 2016, pp. 319–320; ActewAGL, </w:t>
      </w:r>
      <w:r w:rsidRPr="00BC555B">
        <w:rPr>
          <w:rStyle w:val="Emphasis"/>
        </w:rPr>
        <w:t>Revised 2016–21 access arrangement proposal Response to the AER's draft decision, Appendix 5.01 Detailed response to rate of return, gamma and inflation</w:t>
      </w:r>
      <w:r w:rsidRPr="00BC555B">
        <w:t xml:space="preserve">, January 2016, pp. 104–105; United Energy, </w:t>
      </w:r>
      <w:r w:rsidRPr="00BC555B">
        <w:rPr>
          <w:rStyle w:val="Emphasis"/>
        </w:rPr>
        <w:t>Response to AER preliminary determination–Re: rate of return and gamma</w:t>
      </w:r>
      <w:r w:rsidRPr="00BC555B">
        <w:t xml:space="preserve">, 6 January 2016, pp. 37–38; AGN, </w:t>
      </w:r>
      <w:r w:rsidRPr="00BC555B">
        <w:rPr>
          <w:rStyle w:val="Emphasis"/>
        </w:rPr>
        <w:t>2016–17 to 2020/21 Access Arrangement information response to draft decision: Attachment 10.26 Response to draft decision: rate of return</w:t>
      </w:r>
      <w:r w:rsidRPr="00BC555B">
        <w:t xml:space="preserve">, January 2016, pp.  44–45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42–46, 83–84, 120–121;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73, 75–77.</w:t>
      </w:r>
    </w:p>
  </w:footnote>
  <w:footnote w:id="715">
    <w:p w:rsidR="00702DD6" w:rsidRDefault="00702DD6" w:rsidP="00CE01EE">
      <w:pPr>
        <w:pStyle w:val="FootnoteText"/>
      </w:pPr>
      <w:r>
        <w:rPr>
          <w:rStyle w:val="FootnoteReference"/>
        </w:rPr>
        <w:footnoteRef/>
      </w:r>
      <w:r>
        <w:t xml:space="preserve"> </w:t>
      </w:r>
      <w:r>
        <w:tab/>
      </w:r>
      <w:r w:rsidRPr="003061B8">
        <w:t xml:space="preserve">CitiPower, </w:t>
      </w:r>
      <w:r>
        <w:t>Revised r</w:t>
      </w:r>
      <w:r w:rsidRPr="003061B8">
        <w:rPr>
          <w:rStyle w:val="AERtextitalic"/>
        </w:rPr>
        <w:t>egulatory proposal 2016-2020</w:t>
      </w:r>
      <w:r>
        <w:t>, January 2016, p. 286–289;</w:t>
      </w:r>
      <w:r w:rsidRPr="00BC555B">
        <w:t xml:space="preserve"> Powercor, </w:t>
      </w:r>
      <w:r w:rsidRPr="00BC555B">
        <w:rPr>
          <w:rStyle w:val="Emphasis"/>
        </w:rPr>
        <w:t>Revised regulatory proposal 2016–2020</w:t>
      </w:r>
      <w:r w:rsidRPr="00BC555B">
        <w:t xml:space="preserve">, January 2016, pp. 280–282;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57–64;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46–48; AusNet Services, </w:t>
      </w:r>
      <w:r w:rsidRPr="00BC555B">
        <w:rPr>
          <w:rStyle w:val="Emphasis"/>
        </w:rPr>
        <w:t>Electricity distribution price review 2016–20 Revised regulatory proposal: Chapter 7 Rate of return &amp; gamma</w:t>
      </w:r>
      <w:r w:rsidRPr="00BC555B">
        <w:t xml:space="preserve">, 6 January 2016, pp. 41–43; APTNT, </w:t>
      </w:r>
      <w:r w:rsidRPr="00BC555B">
        <w:rPr>
          <w:rStyle w:val="Emphasis"/>
        </w:rPr>
        <w:t>Amadeus Gas Pipeline access arrangement revision proposal</w:t>
      </w:r>
      <w:r w:rsidRPr="00BC555B">
        <w:t>, August 2015, pp. 115–120</w:t>
      </w:r>
    </w:p>
  </w:footnote>
  <w:footnote w:id="716">
    <w:p w:rsidR="00702DD6" w:rsidRDefault="00702DD6" w:rsidP="00CE01EE">
      <w:pPr>
        <w:pStyle w:val="FootnoteText"/>
      </w:pPr>
      <w:r>
        <w:rPr>
          <w:rStyle w:val="FootnoteReference"/>
        </w:rPr>
        <w:footnoteRef/>
      </w:r>
      <w:r>
        <w:t xml:space="preserve"> </w:t>
      </w:r>
      <w:r>
        <w:tab/>
      </w:r>
      <w:r w:rsidRPr="003061B8">
        <w:t xml:space="preserve">CitiPower, </w:t>
      </w:r>
      <w:r w:rsidRPr="009554E5">
        <w:rPr>
          <w:rStyle w:val="Emphasis"/>
        </w:rPr>
        <w:t>Revised</w:t>
      </w:r>
      <w:r>
        <w:t xml:space="preserve"> r</w:t>
      </w:r>
      <w:r w:rsidRPr="003061B8">
        <w:rPr>
          <w:rStyle w:val="AERtextitalic"/>
        </w:rPr>
        <w:t>egulatory proposal 2016-2020</w:t>
      </w:r>
      <w:r>
        <w:t xml:space="preserve">, January 2016, p. 293–294; </w:t>
      </w:r>
      <w:r w:rsidRPr="00BC555B">
        <w:t xml:space="preserve">; Powercor, </w:t>
      </w:r>
      <w:r w:rsidRPr="00BC555B">
        <w:rPr>
          <w:rStyle w:val="Emphasis"/>
        </w:rPr>
        <w:t>Revised regulatory proposal 2016–2020</w:t>
      </w:r>
      <w:r w:rsidRPr="00BC555B">
        <w:t xml:space="preserve">, January 2016, pp. 287–288; ActewAGL, </w:t>
      </w:r>
      <w:r w:rsidRPr="00BC555B">
        <w:rPr>
          <w:rStyle w:val="Emphasis"/>
        </w:rPr>
        <w:t>Revised 2016–21 access arrangement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45–49; AGN, </w:t>
      </w:r>
      <w:r w:rsidRPr="00BC555B">
        <w:rPr>
          <w:rStyle w:val="Emphasis"/>
        </w:rPr>
        <w:t>2016–17 to 2020/21 Access Arrangement information response to draft decision: Attachment 10.26 Response to draft decision: rate of return</w:t>
      </w:r>
      <w:r w:rsidRPr="00BC555B">
        <w:t xml:space="preserve">, January 2016, pp. 54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pp.70 ; APTNT, </w:t>
      </w:r>
      <w:r w:rsidRPr="00BC555B">
        <w:rPr>
          <w:rStyle w:val="Emphasis"/>
        </w:rPr>
        <w:t>Amadeus Gas Pipeline access arrangement revision proposal</w:t>
      </w:r>
      <w:r w:rsidRPr="00BC555B">
        <w:t>, August 2015, pp. 115–120</w:t>
      </w:r>
      <w:r>
        <w:t>.</w:t>
      </w:r>
    </w:p>
  </w:footnote>
  <w:footnote w:id="717">
    <w:p w:rsidR="00702DD6" w:rsidRDefault="00702DD6" w:rsidP="00CE01EE">
      <w:pPr>
        <w:pStyle w:val="FootnoteText"/>
      </w:pPr>
      <w:r>
        <w:rPr>
          <w:rStyle w:val="FootnoteReference"/>
        </w:rPr>
        <w:footnoteRef/>
      </w:r>
      <w:r>
        <w:t xml:space="preserve"> </w:t>
      </w:r>
      <w:r>
        <w:tab/>
      </w:r>
      <w:r w:rsidRPr="003061B8">
        <w:t xml:space="preserve">CitiPower, </w:t>
      </w:r>
      <w:r w:rsidRPr="009554E5">
        <w:rPr>
          <w:rStyle w:val="Emphasis"/>
        </w:rPr>
        <w:t>Revised r</w:t>
      </w:r>
      <w:r w:rsidRPr="003061B8">
        <w:rPr>
          <w:rStyle w:val="AERtextitalic"/>
        </w:rPr>
        <w:t>egulatory proposal 2016-2020</w:t>
      </w:r>
      <w:r>
        <w:t>, January 2016, p. 285</w:t>
      </w:r>
      <w:r w:rsidRPr="00BC555B">
        <w:t xml:space="preserve">; Powercor, </w:t>
      </w:r>
      <w:r w:rsidRPr="00BC555B">
        <w:rPr>
          <w:rStyle w:val="Emphasis"/>
        </w:rPr>
        <w:t>Revised regulatory proposal 2016–2020</w:t>
      </w:r>
      <w:r w:rsidRPr="00BC555B">
        <w:t xml:space="preserve">, January 2016, p. 279;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54–56; United Energy, </w:t>
      </w:r>
      <w:r w:rsidRPr="00BC555B">
        <w:rPr>
          <w:rStyle w:val="Emphasis"/>
        </w:rPr>
        <w:t>Response to AER preliminary determination–Re: rate of return and gamma</w:t>
      </w:r>
      <w:r w:rsidRPr="00BC555B">
        <w:t xml:space="preserve">, 6 January 2016, pp. 37–40; AGN, </w:t>
      </w:r>
      <w:r w:rsidRPr="00BC555B">
        <w:rPr>
          <w:rStyle w:val="Emphasis"/>
        </w:rPr>
        <w:t>2016–17 to 2020/21 Access Arrangement information response to draft decision: Attachment 10.26 Response to draft decision: rate of return</w:t>
      </w:r>
      <w:r w:rsidRPr="00BC555B">
        <w:t xml:space="preserve">, January 2016, pp. 45–46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43–45;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39–40; APTNT, </w:t>
      </w:r>
      <w:r w:rsidRPr="00BC555B">
        <w:rPr>
          <w:rStyle w:val="Emphasis"/>
        </w:rPr>
        <w:t>Amadeus Gas Pipeline Access arrangement revised proposal: response to Draft Decision,</w:t>
      </w:r>
      <w:r w:rsidRPr="00BC555B">
        <w:t xml:space="preserve"> January 2016, pp. 73–77</w:t>
      </w:r>
      <w:r>
        <w:t>.</w:t>
      </w:r>
    </w:p>
  </w:footnote>
  <w:footnote w:id="718">
    <w:p w:rsidR="00702DD6" w:rsidRDefault="00702DD6" w:rsidP="00CE01EE">
      <w:pPr>
        <w:pStyle w:val="FootnoteText"/>
      </w:pPr>
      <w:r>
        <w:rPr>
          <w:rStyle w:val="FootnoteReference"/>
        </w:rPr>
        <w:footnoteRef/>
      </w:r>
      <w:r>
        <w:t xml:space="preserve"> </w:t>
      </w:r>
      <w:r>
        <w:tab/>
      </w:r>
      <w:r w:rsidRPr="003061B8">
        <w:t xml:space="preserve">CitiPower, </w:t>
      </w:r>
      <w:r w:rsidRPr="009554E5">
        <w:rPr>
          <w:rStyle w:val="Emphasis"/>
        </w:rPr>
        <w:t>Revised regulatory</w:t>
      </w:r>
      <w:r w:rsidRPr="003061B8">
        <w:rPr>
          <w:rStyle w:val="AERtextitalic"/>
        </w:rPr>
        <w:t xml:space="preserve"> proposal 2016-2020</w:t>
      </w:r>
      <w:r>
        <w:t xml:space="preserve">, January 2016, p. 296; </w:t>
      </w:r>
      <w:r w:rsidRPr="00BC555B">
        <w:t xml:space="preserve">Powercor, </w:t>
      </w:r>
      <w:r w:rsidRPr="00BC555B">
        <w:rPr>
          <w:rStyle w:val="Emphasis"/>
        </w:rPr>
        <w:t>Revised regulatory proposal 2016–2020</w:t>
      </w:r>
      <w:r w:rsidRPr="00BC555B">
        <w:t xml:space="preserve">, January 2016, p. 290;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69–70; United Energy, </w:t>
      </w:r>
      <w:r w:rsidRPr="00BC555B">
        <w:rPr>
          <w:rStyle w:val="Emphasis"/>
        </w:rPr>
        <w:t>Response to AER preliminary determination–Re: rate of return and gamma</w:t>
      </w:r>
      <w:r w:rsidRPr="00BC555B">
        <w:t xml:space="preserve">, 6 January 2016, pp.50–51; AGN, </w:t>
      </w:r>
      <w:r w:rsidRPr="00BC555B">
        <w:rPr>
          <w:rStyle w:val="Emphasis"/>
        </w:rPr>
        <w:t>2016–17 to 2020/21 Access Arrangement information response to draft decision: Attachment 10.26 Response to draft decision: rate of return</w:t>
      </w:r>
      <w:r w:rsidRPr="00BC555B">
        <w:t xml:space="preserve">, January 2016, p. 56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54–56; AusNet Services, </w:t>
      </w:r>
      <w:r w:rsidRPr="00BC555B">
        <w:rPr>
          <w:rStyle w:val="Emphasis"/>
        </w:rPr>
        <w:t>Electricity distribution price review 2016–20 Revised regulatory proposal: Chapter 7 Rate of return &amp; gamma</w:t>
      </w:r>
      <w:r w:rsidRPr="00BC555B">
        <w:t>, 6 January 2016, p. 50.</w:t>
      </w:r>
    </w:p>
  </w:footnote>
  <w:footnote w:id="719">
    <w:p w:rsidR="00702DD6" w:rsidRDefault="00702DD6" w:rsidP="00CE01E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pp. 44–45.</w:t>
      </w:r>
    </w:p>
  </w:footnote>
  <w:footnote w:id="720">
    <w:p w:rsidR="00702DD6" w:rsidRDefault="00702DD6" w:rsidP="00CE01EE">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25–26.</w:t>
      </w:r>
    </w:p>
  </w:footnote>
  <w:footnote w:id="721">
    <w:p w:rsidR="00702DD6" w:rsidRDefault="00702DD6" w:rsidP="00CE01EE">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19 &amp; 26.</w:t>
      </w:r>
    </w:p>
  </w:footnote>
  <w:footnote w:id="722">
    <w:p w:rsidR="00702DD6" w:rsidRDefault="00702DD6" w:rsidP="00CE01EE">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18.</w:t>
      </w:r>
    </w:p>
  </w:footnote>
  <w:footnote w:id="723">
    <w:p w:rsidR="00702DD6" w:rsidRDefault="00702DD6" w:rsidP="00CE01EE">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724">
    <w:p w:rsidR="00702DD6" w:rsidRDefault="00702DD6" w:rsidP="00CE01EE">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725">
    <w:p w:rsidR="00702DD6" w:rsidRDefault="00702DD6" w:rsidP="00CE01EE">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726">
    <w:p w:rsidR="00702DD6" w:rsidRDefault="00702DD6" w:rsidP="00CE01EE">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 xml:space="preserve">8; SFG, </w:t>
      </w:r>
      <w:r w:rsidRPr="009B298A">
        <w:rPr>
          <w:rStyle w:val="AERtextitalic"/>
        </w:rPr>
        <w:t>The foundation model approach of the Australian Energy Regulator to estimating the cost of equity</w:t>
      </w:r>
      <w:r>
        <w:t>, March 2015, p. 24.</w:t>
      </w:r>
    </w:p>
  </w:footnote>
  <w:footnote w:id="727">
    <w:p w:rsidR="00702DD6" w:rsidRDefault="00702DD6" w:rsidP="00CE01E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728">
    <w:p w:rsidR="00702DD6" w:rsidRDefault="00702DD6" w:rsidP="00CE01EE">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26.</w:t>
      </w:r>
    </w:p>
  </w:footnote>
  <w:footnote w:id="729">
    <w:p w:rsidR="00702DD6" w:rsidRDefault="00702DD6" w:rsidP="00CE01EE">
      <w:pPr>
        <w:pStyle w:val="FootnoteText"/>
      </w:pPr>
      <w:r>
        <w:rPr>
          <w:rStyle w:val="FootnoteReference"/>
        </w:rPr>
        <w:footnoteRef/>
      </w:r>
      <w:r>
        <w:t xml:space="preserve"> </w:t>
      </w:r>
      <w:r>
        <w:tab/>
        <w:t xml:space="preserve">NERA, </w:t>
      </w:r>
      <w:r w:rsidRPr="005406B9">
        <w:rPr>
          <w:rStyle w:val="AERtextitalic"/>
        </w:rPr>
        <w:t xml:space="preserve">The Black CAPM: A report for </w:t>
      </w:r>
      <w:r>
        <w:rPr>
          <w:rStyle w:val="AERtextitalic"/>
        </w:rPr>
        <w:t>APA Group</w:t>
      </w:r>
      <w:r w:rsidRPr="005406B9">
        <w:rPr>
          <w:rStyle w:val="AERtextitalic"/>
        </w:rPr>
        <w:t>, Envestra, Multinet and SP AusNet</w:t>
      </w:r>
      <w:r>
        <w:t>, March 2012. For a response to this submission, see McKenzie and Partington</w:t>
      </w:r>
      <w:r w:rsidRPr="005406B9">
        <w:rPr>
          <w:rStyle w:val="AERtextitalic"/>
        </w:rPr>
        <w:t>, Review of NERA report on the Black CAPM</w:t>
      </w:r>
      <w:r>
        <w:t>, 24 August 2012.</w:t>
      </w:r>
    </w:p>
  </w:footnote>
  <w:footnote w:id="730">
    <w:p w:rsidR="00702DD6" w:rsidRDefault="00702DD6" w:rsidP="00CE01EE">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731">
    <w:p w:rsidR="00702DD6" w:rsidRDefault="00702DD6" w:rsidP="00CE01EE">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732">
    <w:p w:rsidR="00702DD6" w:rsidRDefault="00702DD6" w:rsidP="00CE01EE">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733">
    <w:p w:rsidR="00702DD6" w:rsidRDefault="00702DD6" w:rsidP="00CE01E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24;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44.</w:t>
      </w:r>
    </w:p>
  </w:footnote>
  <w:footnote w:id="734">
    <w:p w:rsidR="00702DD6" w:rsidRDefault="00702DD6" w:rsidP="00CE01EE">
      <w:pPr>
        <w:pStyle w:val="FootnoteText"/>
      </w:pPr>
      <w:r>
        <w:rPr>
          <w:rStyle w:val="FootnoteReference"/>
        </w:rPr>
        <w:footnoteRef/>
      </w:r>
      <w:r>
        <w:t xml:space="preserve"> </w:t>
      </w:r>
      <w:r>
        <w:tab/>
        <w:t xml:space="preserve">SFG, </w:t>
      </w:r>
      <w:r w:rsidRPr="00950BE3">
        <w:rPr>
          <w:rStyle w:val="AERtextitalic"/>
        </w:rPr>
        <w:t>Beta and the Black CAPM</w:t>
      </w:r>
      <w:r>
        <w:t>, February 2015, pp. 19</w:t>
      </w:r>
      <w:r w:rsidRPr="005A1480">
        <w:t>–</w:t>
      </w:r>
      <w:r>
        <w:t>20.</w:t>
      </w:r>
    </w:p>
  </w:footnote>
  <w:footnote w:id="735">
    <w:p w:rsidR="00702DD6" w:rsidRDefault="00702DD6" w:rsidP="00CE01EE">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736">
    <w:p w:rsidR="00702DD6" w:rsidRDefault="00702DD6" w:rsidP="00CE01EE">
      <w:pPr>
        <w:pStyle w:val="FootnoteText"/>
      </w:pPr>
      <w:r>
        <w:rPr>
          <w:rStyle w:val="FootnoteReference"/>
        </w:rPr>
        <w:footnoteRef/>
      </w:r>
      <w:r>
        <w:t xml:space="preserve"> </w:t>
      </w:r>
      <w:r>
        <w:tab/>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320; AER, </w:t>
      </w:r>
      <w:r w:rsidRPr="00BC555B">
        <w:rPr>
          <w:rStyle w:val="Emphasis"/>
        </w:rPr>
        <w:t>Preliminary decision United Energy determination 2016 to 2020: Attachment 3 – Rate of return</w:t>
      </w:r>
      <w:r w:rsidRPr="00BC555B">
        <w:t xml:space="preserve">, October 2015, pp. 308–318; AER, </w:t>
      </w:r>
      <w:r w:rsidRPr="00BC555B">
        <w:rPr>
          <w:rStyle w:val="AERtextitalic"/>
        </w:rPr>
        <w:t>Explanatory statement rate of return guideline (appendices)</w:t>
      </w:r>
      <w:r w:rsidRPr="00BC555B">
        <w:t xml:space="preserve">, 17 December 2013, pp. 16–18; AER, </w:t>
      </w:r>
      <w:r w:rsidRPr="00BC555B">
        <w:rPr>
          <w:rStyle w:val="Emphasis"/>
        </w:rPr>
        <w:t>Draft decision Australian Gas Networks access arrangement 2016 to 2021–Attachment 3: rate of return</w:t>
      </w:r>
      <w:r w:rsidRPr="00BC555B">
        <w:t xml:space="preserve">, November 2015, pp. 313–322; AER, </w:t>
      </w:r>
      <w:r w:rsidRPr="00BC555B">
        <w:rPr>
          <w:rStyle w:val="Emphasis"/>
        </w:rPr>
        <w:t>Preliminary decision Jemena distribution determination 2016 to 2020: Attachment 3–Rate of return</w:t>
      </w:r>
      <w:r w:rsidRPr="00BC555B">
        <w:t>, October 2015, pp. 307–317; AER</w:t>
      </w:r>
      <w:r w:rsidRPr="00BC555B">
        <w:rPr>
          <w:rStyle w:val="Emphasis"/>
        </w:rPr>
        <w:t>, Preliminary decision AusNet Services determination 2016 to 2020: Attachment 3–Rate of return</w:t>
      </w:r>
      <w:r w:rsidRPr="00BC555B">
        <w:t xml:space="preserve">, October 2015, pp. 306–316; AER, </w:t>
      </w:r>
      <w:r w:rsidRPr="00BC555B">
        <w:rPr>
          <w:rStyle w:val="Emphasis"/>
        </w:rPr>
        <w:t>Draft decision Amadeus Gas Pipeline access arrangement 2016 to 2021: Attachment 3¬–Rate of return</w:t>
      </w:r>
      <w:r w:rsidRPr="00BC555B">
        <w:t>, November 2015, pp. 74–78.</w:t>
      </w:r>
    </w:p>
  </w:footnote>
  <w:footnote w:id="737">
    <w:p w:rsidR="00702DD6" w:rsidRDefault="00702DD6" w:rsidP="00CE01EE">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293; Powercor, </w:t>
      </w:r>
      <w:r w:rsidRPr="00BC555B">
        <w:rPr>
          <w:rStyle w:val="Emphasis"/>
        </w:rPr>
        <w:t>Revised regulatory proposal 2016–2020</w:t>
      </w:r>
      <w:r w:rsidRPr="00BC555B">
        <w:t xml:space="preserve">, January 2016, p. 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44–46, 51–52; AGN, </w:t>
      </w:r>
      <w:r w:rsidRPr="00BC555B">
        <w:rPr>
          <w:rStyle w:val="Emphasis"/>
        </w:rPr>
        <w:t>2016–17 to 2020/21 Access Arrangement information response to draft decision: Attachment 10.26 Response to draft decision: rate of return</w:t>
      </w:r>
      <w:r w:rsidRPr="00BC555B">
        <w:t xml:space="preserve">, January 2016, pp. 54–58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 70.</w:t>
      </w:r>
    </w:p>
  </w:footnote>
  <w:footnote w:id="738">
    <w:p w:rsidR="00702DD6" w:rsidRDefault="00702DD6" w:rsidP="00CE01EE">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290–293; Powercor, </w:t>
      </w:r>
      <w:r w:rsidRPr="00BC555B">
        <w:rPr>
          <w:rStyle w:val="Emphasis"/>
        </w:rPr>
        <w:t>Revised regulatory proposal 2016–2020</w:t>
      </w:r>
      <w:r w:rsidRPr="00BC555B">
        <w:t xml:space="preserve">, January 2016, p. 285–287;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pp.45–46, 48–49; AGN, </w:t>
      </w:r>
      <w:r w:rsidRPr="00BC555B">
        <w:rPr>
          <w:rStyle w:val="Emphasis"/>
        </w:rPr>
        <w:t>2016–17 to 2020/21 Access Arrangement information response to draft decision: Attachment 10.26 Response to draft decision: rate of return</w:t>
      </w:r>
      <w:r w:rsidRPr="00BC555B">
        <w:t xml:space="preserve">, January 2016, pp. 44,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69–73</w:t>
      </w:r>
      <w:r>
        <w:t>.</w:t>
      </w:r>
    </w:p>
  </w:footnote>
  <w:footnote w:id="739">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740">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39–45.</w:t>
      </w:r>
    </w:p>
  </w:footnote>
  <w:footnote w:id="741">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44–45.</w:t>
      </w:r>
    </w:p>
  </w:footnote>
  <w:footnote w:id="742">
    <w:p w:rsidR="00702DD6" w:rsidRDefault="00702DD6" w:rsidP="00CE01EE">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viii, 25–28.</w:t>
      </w:r>
    </w:p>
  </w:footnote>
  <w:footnote w:id="743">
    <w:p w:rsidR="00702DD6" w:rsidRDefault="00702DD6" w:rsidP="00CE01EE">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26.</w:t>
      </w:r>
    </w:p>
  </w:footnote>
  <w:footnote w:id="744">
    <w:p w:rsidR="00702DD6" w:rsidRDefault="00702DD6" w:rsidP="00CE01EE">
      <w:pPr>
        <w:pStyle w:val="FootnoteText"/>
      </w:pPr>
      <w:r>
        <w:rPr>
          <w:rStyle w:val="FootnoteReference"/>
        </w:rPr>
        <w:footnoteRef/>
      </w:r>
      <w:r>
        <w:t xml:space="preserve"> </w:t>
      </w:r>
      <w:r>
        <w:tab/>
        <w:t>HoustonKemp</w:t>
      </w:r>
      <w:r w:rsidRPr="001B55CE">
        <w:t xml:space="preserve"> use</w:t>
      </w:r>
      <w:r>
        <w:t>d</w:t>
      </w:r>
      <w:r w:rsidRPr="001B55CE">
        <w:t xml:space="preserve"> the largest 100 stocks from 1963 to 1973 and the largest 500 stocks from 1974 to 2014 </w:t>
      </w:r>
    </w:p>
  </w:footnote>
  <w:footnote w:id="745">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42–43.</w:t>
      </w:r>
    </w:p>
  </w:footnote>
  <w:footnote w:id="746">
    <w:p w:rsidR="00702DD6" w:rsidRDefault="00702DD6" w:rsidP="00CE01EE">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28.</w:t>
      </w:r>
    </w:p>
  </w:footnote>
  <w:footnote w:id="747">
    <w:p w:rsidR="00702DD6" w:rsidRDefault="00702DD6" w:rsidP="00CE01EE">
      <w:pPr>
        <w:pStyle w:val="FootnoteText"/>
      </w:pPr>
      <w:r>
        <w:rPr>
          <w:rStyle w:val="FootnoteReference"/>
        </w:rPr>
        <w:footnoteRef/>
      </w:r>
      <w:r>
        <w:t xml:space="preserve"> </w:t>
      </w:r>
      <w:r>
        <w:tab/>
        <w:t xml:space="preserve">McKenzie and Partington, </w:t>
      </w:r>
      <w:r w:rsidRPr="009554E5">
        <w:rPr>
          <w:rStyle w:val="Emphasis"/>
        </w:rPr>
        <w:t>Report to the AER part A: Return on equity</w:t>
      </w:r>
      <w:r>
        <w:t xml:space="preserve">, October 2014, p. 24; Partington, </w:t>
      </w:r>
      <w:r w:rsidRPr="009554E5">
        <w:rPr>
          <w:rStyle w:val="Emphasis"/>
        </w:rPr>
        <w:t>Report to the AER: Return on equity (updated), April 2015</w:t>
      </w:r>
      <w:r>
        <w:t xml:space="preserve">, p. 44; October 2015, p. 19; </w:t>
      </w:r>
      <w:r w:rsidRPr="00387DCE">
        <w:t xml:space="preserve">Partington and Satchell, </w:t>
      </w:r>
      <w:r>
        <w:rPr>
          <w:rStyle w:val="Emphasis"/>
        </w:rPr>
        <w:t>Report to the AER: Cost of equity issues–2016 electricity and gas determinations</w:t>
      </w:r>
      <w:r w:rsidRPr="009554E5">
        <w:rPr>
          <w:rStyle w:val="Emphasis"/>
        </w:rPr>
        <w:t>,</w:t>
      </w:r>
      <w:r w:rsidRPr="00387DCE">
        <w:t xml:space="preserve"> April 201</w:t>
      </w:r>
      <w:r>
        <w:t>6</w:t>
      </w:r>
      <w:r w:rsidRPr="00387DCE">
        <w:t>,</w:t>
      </w:r>
      <w:r>
        <w:t xml:space="preserve"> pp. 39–46. </w:t>
      </w:r>
    </w:p>
  </w:footnote>
  <w:footnote w:id="748">
    <w:p w:rsidR="00702DD6" w:rsidRDefault="00702DD6" w:rsidP="00CE01EE">
      <w:pPr>
        <w:pStyle w:val="FootnoteText"/>
      </w:pPr>
      <w:r>
        <w:rPr>
          <w:rStyle w:val="FootnoteReference"/>
        </w:rPr>
        <w:footnoteRef/>
      </w:r>
      <w:r>
        <w:t xml:space="preserve"> </w:t>
      </w:r>
      <w:r>
        <w:tab/>
        <w:t xml:space="preserve">AER, SAPN final decision: Attachment 3–Rate of return, October 2015, p. 76–79; </w:t>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316–325 ; AER, </w:t>
      </w:r>
      <w:r w:rsidRPr="00BC555B">
        <w:rPr>
          <w:rStyle w:val="Emphasis"/>
        </w:rPr>
        <w:t>Preliminary decision United Energy determination 2016 to 2020: Attachment 3 – Rate of return</w:t>
      </w:r>
      <w:r w:rsidRPr="00BC555B">
        <w:t xml:space="preserve">, October 2015, pp. 308–318 ; AER, </w:t>
      </w:r>
      <w:r w:rsidRPr="00BC555B">
        <w:rPr>
          <w:rStyle w:val="Emphasis"/>
        </w:rPr>
        <w:t>Draft decision Australian Gas Networks access arrangement 2016 to 2021–Attachment 3: rate of return</w:t>
      </w:r>
      <w:r w:rsidRPr="00BC555B">
        <w:t xml:space="preserve">, November 2015, , pp. 313–322; AER, </w:t>
      </w:r>
      <w:r w:rsidRPr="00BC555B">
        <w:rPr>
          <w:rStyle w:val="Emphasis"/>
        </w:rPr>
        <w:t>Preliminary decision Jemena distribution determination 2016 to 2020: Attachment 3–Rate of return</w:t>
      </w:r>
      <w:r w:rsidRPr="00BC555B">
        <w:t xml:space="preserve">, October 2015, pp. 311–313; AER, </w:t>
      </w:r>
      <w:r w:rsidRPr="00BC555B">
        <w:rPr>
          <w:rStyle w:val="AERtextitalic"/>
        </w:rPr>
        <w:t>Explanatory statement rate of return guideline (appendices)</w:t>
      </w:r>
      <w:r w:rsidRPr="00BC555B">
        <w:t>, 17 December 2013, pp. 16–18; AER</w:t>
      </w:r>
      <w:r w:rsidRPr="00BC555B">
        <w:rPr>
          <w:rStyle w:val="Emphasis"/>
        </w:rPr>
        <w:t>, Preliminary decision AusNet Services determination 2016 to 2020: Attachment 3–Rate of return</w:t>
      </w:r>
      <w:r w:rsidRPr="00BC555B">
        <w:t xml:space="preserve">, October 2015, pp. 75–78, 306–316; AER, </w:t>
      </w:r>
      <w:r w:rsidRPr="00BC555B">
        <w:rPr>
          <w:rStyle w:val="Emphasis"/>
        </w:rPr>
        <w:t>Draft decision Amadeus Gas Pipeline access arrangement 2016 to 2021: Attachment 3¬–Rate of return</w:t>
      </w:r>
      <w:r w:rsidRPr="00BC555B">
        <w:t>, November 2015, pp. 74–77, 310–319.</w:t>
      </w:r>
      <w:r>
        <w:t>.</w:t>
      </w:r>
    </w:p>
  </w:footnote>
  <w:footnote w:id="749">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44–45.</w:t>
      </w:r>
    </w:p>
  </w:footnote>
  <w:footnote w:id="750">
    <w:p w:rsidR="00702DD6" w:rsidRDefault="00702DD6" w:rsidP="00CE01EE">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sidRPr="00BC555B">
        <w:t xml:space="preserve"> January 2016</w:t>
      </w:r>
      <w:r>
        <w:t>, p. 18.</w:t>
      </w:r>
    </w:p>
  </w:footnote>
  <w:footnote w:id="751">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38–39.</w:t>
      </w:r>
    </w:p>
  </w:footnote>
  <w:footnote w:id="752">
    <w:p w:rsidR="00702DD6" w:rsidRDefault="00702DD6" w:rsidP="00CE01EE">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2015, pp. 115–120, 129–130.</w:t>
      </w:r>
    </w:p>
  </w:footnote>
  <w:footnote w:id="753">
    <w:p w:rsidR="00702DD6" w:rsidRDefault="00702DD6" w:rsidP="00CE01E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754">
    <w:p w:rsidR="00702DD6" w:rsidRDefault="00702DD6" w:rsidP="00CE01E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755">
    <w:p w:rsidR="00702DD6" w:rsidRDefault="00702DD6" w:rsidP="00CE01EE">
      <w:pPr>
        <w:pStyle w:val="FootnoteText"/>
      </w:pPr>
      <w:r>
        <w:rPr>
          <w:rStyle w:val="FootnoteReference"/>
        </w:rPr>
        <w:footnoteRef/>
      </w:r>
      <w:r>
        <w:t xml:space="preserve"> </w:t>
      </w:r>
      <w:r>
        <w:tab/>
        <w:t>Handley</w:t>
      </w:r>
      <w:r>
        <w:rPr>
          <w:rStyle w:val="AERtextitalic"/>
        </w:rPr>
        <w:t>, Report prepared for the AER: F</w:t>
      </w:r>
      <w:r w:rsidRPr="00E6588A">
        <w:rPr>
          <w:rStyle w:val="AERtextitalic"/>
        </w:rPr>
        <w:t>urther advice on the return on equity</w:t>
      </w:r>
      <w:r>
        <w:t>, April 2015, p. 6.</w:t>
      </w:r>
    </w:p>
  </w:footnote>
  <w:footnote w:id="756">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757">
    <w:p w:rsidR="00702DD6" w:rsidRDefault="00702DD6" w:rsidP="00CE01E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758">
    <w:p w:rsidR="00702DD6" w:rsidRDefault="00702DD6" w:rsidP="00CE01EE">
      <w:pPr>
        <w:pStyle w:val="FootnoteText"/>
      </w:pPr>
      <w:r>
        <w:rPr>
          <w:rStyle w:val="FootnoteReference"/>
        </w:rPr>
        <w:footnoteRef/>
      </w:r>
      <w:r>
        <w:t xml:space="preserve"> </w:t>
      </w:r>
      <w:r>
        <w:tab/>
        <w:t xml:space="preserve">Partington, </w:t>
      </w:r>
      <w:r>
        <w:rPr>
          <w:rStyle w:val="AERtextitalic"/>
        </w:rPr>
        <w:t>Report to the AER: Return on equity (updated), April 2015</w:t>
      </w:r>
      <w:r>
        <w:t>, p. 16.</w:t>
      </w:r>
    </w:p>
  </w:footnote>
  <w:footnote w:id="759">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760">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51.</w:t>
      </w:r>
    </w:p>
  </w:footnote>
  <w:footnote w:id="761">
    <w:p w:rsidR="00702DD6" w:rsidRDefault="00702DD6" w:rsidP="00CE01EE">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762">
    <w:p w:rsidR="00702DD6" w:rsidRDefault="00702DD6" w:rsidP="00CE01EE">
      <w:pPr>
        <w:pStyle w:val="FootnoteText"/>
      </w:pPr>
      <w:r>
        <w:rPr>
          <w:rStyle w:val="FootnoteReference"/>
        </w:rPr>
        <w:footnoteRef/>
      </w:r>
      <w:r>
        <w:t xml:space="preserve"> </w:t>
      </w:r>
      <w:r>
        <w:tab/>
        <w:t xml:space="preserve">For more detail, see section </w:t>
      </w:r>
      <w:r>
        <w:fldChar w:fldCharType="begin"/>
      </w:r>
      <w:r>
        <w:instrText xml:space="preserve"> REF _Ref451691090 \r \h </w:instrText>
      </w:r>
      <w:r>
        <w:fldChar w:fldCharType="separate"/>
      </w:r>
      <w:r>
        <w:t>3.4.1</w:t>
      </w:r>
      <w:r>
        <w:fldChar w:fldCharType="end"/>
      </w:r>
      <w:r>
        <w:t>.</w:t>
      </w:r>
    </w:p>
  </w:footnote>
  <w:footnote w:id="763">
    <w:p w:rsidR="00702DD6" w:rsidRDefault="00702DD6" w:rsidP="00CE01EE">
      <w:pPr>
        <w:pStyle w:val="FootnoteText"/>
      </w:pPr>
      <w:r>
        <w:rPr>
          <w:rStyle w:val="FootnoteReference"/>
        </w:rPr>
        <w:footnoteRef/>
      </w:r>
      <w:r>
        <w:t xml:space="preserve"> </w:t>
      </w:r>
      <w:r>
        <w:tab/>
        <w:t xml:space="preserve">John </w:t>
      </w:r>
      <w:r w:rsidRPr="00A54ED7">
        <w:t xml:space="preserve">Handley, </w:t>
      </w:r>
      <w:r w:rsidRPr="009554E5">
        <w:rPr>
          <w:rStyle w:val="Emphasis"/>
        </w:rPr>
        <w:t>Advice of the return on equity</w:t>
      </w:r>
      <w:r w:rsidRPr="00A54ED7">
        <w:t>, October 2014, p. 5</w:t>
      </w:r>
    </w:p>
  </w:footnote>
  <w:footnote w:id="764">
    <w:p w:rsidR="00702DD6" w:rsidRDefault="00702DD6" w:rsidP="00CE01EE">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765">
    <w:p w:rsidR="00702DD6" w:rsidRDefault="00702DD6" w:rsidP="00CE01EE">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766">
    <w:p w:rsidR="00702DD6" w:rsidRDefault="00702DD6" w:rsidP="00CE01EE">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24; Partington, </w:t>
      </w:r>
      <w:r>
        <w:rPr>
          <w:rStyle w:val="AERtextitalic"/>
        </w:rPr>
        <w:t>Report to the AER: Return on equity (updated), April 2015</w:t>
      </w:r>
      <w:r>
        <w:t>, p. 44.</w:t>
      </w:r>
    </w:p>
  </w:footnote>
  <w:footnote w:id="767">
    <w:p w:rsidR="00702DD6" w:rsidRDefault="00702DD6" w:rsidP="00CE01EE">
      <w:pPr>
        <w:pStyle w:val="FootnoteText"/>
      </w:pPr>
      <w:r>
        <w:rPr>
          <w:rStyle w:val="FootnoteReference"/>
        </w:rPr>
        <w:footnoteRef/>
      </w:r>
      <w:r>
        <w:t xml:space="preserve"> </w:t>
      </w:r>
      <w:r>
        <w:tab/>
      </w:r>
      <w:r w:rsidRPr="00D65707">
        <w:t xml:space="preserve">CitiPower, </w:t>
      </w:r>
      <w:r w:rsidRPr="00D65707">
        <w:rPr>
          <w:rStyle w:val="Emphasis"/>
        </w:rPr>
        <w:t>Revised regulatory proposal 2016–2020</w:t>
      </w:r>
      <w:r w:rsidRPr="00D65707">
        <w:t xml:space="preserve">, January 2016, pp. 290–292; Powercor, </w:t>
      </w:r>
      <w:r w:rsidRPr="00D65707">
        <w:rPr>
          <w:rStyle w:val="Emphasis"/>
        </w:rPr>
        <w:t>Revised regulatory proposal 2016–2020</w:t>
      </w:r>
      <w:r w:rsidRPr="00D65707">
        <w:t xml:space="preserve">, January 2016, pp. 284–286;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41–46, 51–52; AGN, </w:t>
      </w:r>
      <w:r w:rsidRPr="00D65707">
        <w:rPr>
          <w:rStyle w:val="Emphasis"/>
        </w:rPr>
        <w:t>2016–17 to 2020/21 Access Arrangement information response to draft decision: Attachment 10.26 Response to draft decision: rate of return</w:t>
      </w:r>
      <w:r w:rsidRPr="00D65707">
        <w:t xml:space="preserve">, January 2016, pp.51–52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 pp. 50–51; AusNet Services, </w:t>
      </w:r>
      <w:r w:rsidRPr="00D65707">
        <w:rPr>
          <w:rStyle w:val="Emphasis"/>
        </w:rPr>
        <w:t>Electricity distribution price review 2016–20 Revised regulatory proposal: Chapter 7 Rate of return &amp; gamma</w:t>
      </w:r>
      <w:r w:rsidRPr="00D65707">
        <w:t>, 6 January 2016, pp. 45–47.</w:t>
      </w:r>
    </w:p>
  </w:footnote>
  <w:footnote w:id="768">
    <w:p w:rsidR="00702DD6" w:rsidRDefault="00702DD6" w:rsidP="00CE01EE">
      <w:pPr>
        <w:pStyle w:val="FootnoteText"/>
      </w:pPr>
      <w:r>
        <w:rPr>
          <w:rStyle w:val="FootnoteReference"/>
        </w:rPr>
        <w:footnoteRef/>
      </w:r>
      <w:r>
        <w:t xml:space="preserve"> </w:t>
      </w:r>
      <w:r>
        <w:tab/>
      </w:r>
      <w:r w:rsidRPr="00D65707">
        <w:t>Citi</w:t>
      </w:r>
      <w:r>
        <w:t>P</w:t>
      </w:r>
      <w:r w:rsidRPr="00D65707">
        <w:t xml:space="preserve">ower, </w:t>
      </w:r>
      <w:r w:rsidRPr="00D65707">
        <w:rPr>
          <w:rStyle w:val="Emphasis"/>
        </w:rPr>
        <w:t>Revised regulatory proposal 2016–2020</w:t>
      </w:r>
      <w:r w:rsidRPr="00D65707">
        <w:t xml:space="preserve">, January 2016, p. 290; Powercor, </w:t>
      </w:r>
      <w:r w:rsidRPr="00D65707">
        <w:rPr>
          <w:rStyle w:val="AERtextitalic"/>
        </w:rPr>
        <w:t>Revised regulatory proposal 2016–2020</w:t>
      </w:r>
      <w:r w:rsidRPr="00D65707">
        <w:t xml:space="preserve">, January  2016, p. 284;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45–46; AGN, </w:t>
      </w:r>
      <w:r w:rsidRPr="00D65707">
        <w:rPr>
          <w:rStyle w:val="Emphasis"/>
        </w:rPr>
        <w:t>2016–17 to 2020/21 Access Arrangement information response to draft decision: Attachment 10.26 Response to draft decision: rate of return</w:t>
      </w:r>
      <w:r w:rsidRPr="00D65707">
        <w:t xml:space="preserve">, January 2016, pp. 51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2016,pp. 50–51; AusNet Services, </w:t>
      </w:r>
      <w:r w:rsidRPr="00D65707">
        <w:rPr>
          <w:rStyle w:val="Emphasis"/>
        </w:rPr>
        <w:t>Electricity distribution price review 2016–20 Revised regulatory proposal: Chapter 7 Rate of return &amp; gamma</w:t>
      </w:r>
      <w:r w:rsidRPr="00D65707">
        <w:t xml:space="preserve">, 6 January 2016, pp. 45–47; APTNT, </w:t>
      </w:r>
      <w:r w:rsidRPr="00D65707">
        <w:rPr>
          <w:rStyle w:val="Emphasis"/>
        </w:rPr>
        <w:t>Amadeus Gas Pipeline Access arrangement revised proposal: response to Draft Decision,</w:t>
      </w:r>
      <w:r w:rsidRPr="00D65707">
        <w:t xml:space="preserve"> January 2016, pp. 74–75</w:t>
      </w:r>
      <w:r>
        <w:t>.</w:t>
      </w:r>
    </w:p>
  </w:footnote>
  <w:footnote w:id="769">
    <w:p w:rsidR="00702DD6" w:rsidRDefault="00702DD6" w:rsidP="00CE01EE">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February 2015</w:t>
      </w:r>
      <w:r>
        <w:t xml:space="preserve">, p. 19; </w:t>
      </w:r>
      <w:r w:rsidRPr="00CF7B94">
        <w:t xml:space="preserve">Frontier Economics, </w:t>
      </w:r>
      <w:r w:rsidRPr="00CF7B94">
        <w:rPr>
          <w:rStyle w:val="AERtextitalic"/>
        </w:rPr>
        <w:t>Key issues in estimating the return on equity for the benchmark efficient entity</w:t>
      </w:r>
      <w:r>
        <w:t xml:space="preserve">, June 2015, p. 7; HoustonKemp, </w:t>
      </w:r>
      <w:r w:rsidRPr="009554E5">
        <w:rPr>
          <w:rStyle w:val="Emphasis"/>
        </w:rPr>
        <w:t>The cost of equity: response to the AER's draft decisions for the Victorian electricity distributors, ActewAGL Distribution and Australian Gas Networks</w:t>
      </w:r>
      <w:r>
        <w:t>, January 2016, p. 10.</w:t>
      </w:r>
    </w:p>
  </w:footnote>
  <w:footnote w:id="770">
    <w:p w:rsidR="00702DD6" w:rsidRDefault="00702DD6" w:rsidP="00CE01EE">
      <w:pPr>
        <w:pStyle w:val="FootnoteText"/>
      </w:pPr>
      <w:r>
        <w:rPr>
          <w:rStyle w:val="FootnoteReference"/>
        </w:rPr>
        <w:footnoteRef/>
      </w:r>
      <w:r>
        <w:t xml:space="preserve"> </w:t>
      </w:r>
      <w:r>
        <w:tab/>
        <w:t xml:space="preserve">HoustonKemp, </w:t>
      </w:r>
      <w:r w:rsidRPr="009554E5">
        <w:rPr>
          <w:rStyle w:val="Emphasis"/>
        </w:rPr>
        <w:t xml:space="preserve">The cost of equity: response to the AER's draft decisions for the Victorian electricity distributors, ActewAGL Distribution and Australian Gas Networks, </w:t>
      </w:r>
      <w:r>
        <w:t>January 2016, p. 9.</w:t>
      </w:r>
    </w:p>
  </w:footnote>
  <w:footnote w:id="771">
    <w:p w:rsidR="00702DD6" w:rsidRDefault="00702DD6" w:rsidP="00CE01EE">
      <w:pPr>
        <w:pStyle w:val="FootnoteText"/>
      </w:pPr>
      <w:r>
        <w:rPr>
          <w:rStyle w:val="FootnoteReference"/>
        </w:rPr>
        <w:footnoteRef/>
      </w:r>
      <w:r>
        <w:t xml:space="preserve"> </w:t>
      </w:r>
      <w:r>
        <w:tab/>
        <w:t xml:space="preserve">AER, SAPN final decision: Attachment 3–Rate of return, October 2015, p. 94–96. </w:t>
      </w:r>
      <w:r w:rsidRPr="00D65707">
        <w:t xml:space="preserve">; AER, </w:t>
      </w:r>
      <w:r w:rsidRPr="00D65707">
        <w:rPr>
          <w:rStyle w:val="AERtextitalic"/>
        </w:rPr>
        <w:t>CitiPower Preliminary Decision - Attachment 3: Rate of Return</w:t>
      </w:r>
      <w:r w:rsidRPr="00D65707">
        <w:t xml:space="preserve">, October 2015, pp91–93, 127–133; AER, </w:t>
      </w:r>
      <w:r w:rsidRPr="00D65707">
        <w:rPr>
          <w:rStyle w:val="AERtextitalic"/>
        </w:rPr>
        <w:t>Powercor Preliminary Decision - Attachment 3: Rate of Return</w:t>
      </w:r>
      <w:r w:rsidRPr="00D65707">
        <w:t xml:space="preserve">, October 2015, pp. 92–94, 127–133; AER, </w:t>
      </w:r>
      <w:r w:rsidRPr="00D65707">
        <w:rPr>
          <w:rStyle w:val="Emphasis"/>
        </w:rPr>
        <w:t>Draft decision ActewAGL distribution determination 2016 to 2021: Attachment 3 – Rate of return</w:t>
      </w:r>
      <w:r w:rsidRPr="00D65707">
        <w:t xml:space="preserve">, November 2015, pp. 94–97, 130–136; AER, </w:t>
      </w:r>
      <w:r w:rsidRPr="00D65707">
        <w:rPr>
          <w:rStyle w:val="Emphasis"/>
        </w:rPr>
        <w:t>Preliminary decision United Energy determination 2016 to 2020: Attachment 3 – Rate of return</w:t>
      </w:r>
      <w:r w:rsidRPr="00D65707">
        <w:t xml:space="preserve">, October 2015, pp. 92–94; AER, </w:t>
      </w:r>
      <w:r w:rsidRPr="00D65707">
        <w:rPr>
          <w:rStyle w:val="Emphasis"/>
        </w:rPr>
        <w:t>Draft decision Australian Gas Networks access arrangement 2016 to 2021–Attachment 3: rate of return</w:t>
      </w:r>
      <w:r w:rsidRPr="00D65707">
        <w:t xml:space="preserve">, November 2015, pp. 93–95; AER, </w:t>
      </w:r>
      <w:r w:rsidRPr="00D65707">
        <w:rPr>
          <w:rStyle w:val="Emphasis"/>
        </w:rPr>
        <w:t>Preliminary decision Jemena distribution determination 2016 to 2020: Attachment 3–Rate of return</w:t>
      </w:r>
      <w:r w:rsidRPr="00D65707">
        <w:t>, October 2015, pp. 92–94; AER</w:t>
      </w:r>
      <w:r w:rsidRPr="00D65707">
        <w:rPr>
          <w:rStyle w:val="Emphasis"/>
        </w:rPr>
        <w:t>, Preliminary decision AusNet Services determination 2016 to 2020: Attachment 3–Rate of return</w:t>
      </w:r>
      <w:r w:rsidRPr="00D65707">
        <w:t xml:space="preserve">, October 2015, pp. 92–94; AER, </w:t>
      </w:r>
      <w:r w:rsidRPr="00D65707">
        <w:rPr>
          <w:rStyle w:val="Emphasis"/>
        </w:rPr>
        <w:t>Draft decision Amadeus Gas Pipeline access arrangement 2016 to 2021: Attachment 3¬–Rate of return</w:t>
      </w:r>
      <w:r w:rsidRPr="00D65707">
        <w:t>, November 2015, pp. 93–95.</w:t>
      </w:r>
    </w:p>
  </w:footnote>
  <w:footnote w:id="772">
    <w:p w:rsidR="00702DD6" w:rsidRDefault="00702DD6" w:rsidP="00CE01EE">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w:t>
      </w:r>
      <w:r>
        <w:rPr>
          <w:rStyle w:val="AERtextitalic"/>
        </w:rPr>
        <w:t xml:space="preserve"> </w:t>
      </w:r>
      <w:r w:rsidRPr="00E83706">
        <w:rPr>
          <w:rStyle w:val="AERtextitalic"/>
        </w:rPr>
        <w:t>entity</w:t>
      </w:r>
      <w:r>
        <w:t xml:space="preserve">, June 2015, pp. 48–50, 61; Frontier, </w:t>
      </w:r>
      <w:r w:rsidRPr="00E85264">
        <w:rPr>
          <w:rStyle w:val="AERtextitalic"/>
        </w:rPr>
        <w:t>The required return on equity under a foundation model approach</w:t>
      </w:r>
      <w:r w:rsidRPr="00E85264">
        <w:t>, January 2016</w:t>
      </w:r>
      <w:r>
        <w:t>, pp. 40–41.</w:t>
      </w:r>
    </w:p>
  </w:footnote>
  <w:footnote w:id="773">
    <w:p w:rsidR="00702DD6" w:rsidRDefault="00702DD6" w:rsidP="00CE01EE">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64–67,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p. 10. QCOSS similarly</w:t>
      </w:r>
      <w:r w:rsidRPr="0095774A">
        <w:t xml:space="preserve"> disagreed with our use of the theory underlying the Black CAPM to inform the equity beta point estimate</w:t>
      </w:r>
      <w:r>
        <w:t xml:space="preserve"> (see </w:t>
      </w:r>
      <w:r w:rsidRPr="00E21D28">
        <w:t xml:space="preserve">QCOSS, </w:t>
      </w:r>
      <w:r w:rsidRPr="00AF0D78">
        <w:rPr>
          <w:rStyle w:val="AERtextitalic"/>
        </w:rPr>
        <w:t>Response to Australian Energy Regulator Preliminary Decision for Queensland distributors 2015-2020</w:t>
      </w:r>
      <w:r w:rsidRPr="00E21D28">
        <w:t>, 3 July 2015</w:t>
      </w:r>
      <w:r>
        <w:t>, pp. 22–24).</w:t>
      </w:r>
    </w:p>
  </w:footnote>
  <w:footnote w:id="774">
    <w:p w:rsidR="00702DD6" w:rsidRDefault="00702DD6" w:rsidP="00CE01EE">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 67.</w:t>
      </w:r>
    </w:p>
  </w:footnote>
  <w:footnote w:id="775">
    <w:p w:rsidR="00702DD6" w:rsidRDefault="00702DD6" w:rsidP="00CE01EE">
      <w:pPr>
        <w:pStyle w:val="FootnoteText"/>
      </w:pPr>
      <w:r>
        <w:rPr>
          <w:rStyle w:val="FootnoteReference"/>
        </w:rPr>
        <w:footnoteRef/>
      </w:r>
      <w:r>
        <w:t xml:space="preserve"> </w:t>
      </w:r>
      <w:r>
        <w:tab/>
        <w:t xml:space="preserve">In the Guideline we clearly explained why we use the theory underlying the Black CAPM to inform the equity beta point estimate. See AER, </w:t>
      </w:r>
      <w:r w:rsidRPr="000C60D2">
        <w:rPr>
          <w:rStyle w:val="AERtextitalic"/>
        </w:rPr>
        <w:t>Explanatory statement to the rate of return guideline (appendices)</w:t>
      </w:r>
      <w:r>
        <w:t xml:space="preserve">, December 2013, pp. 71–72. </w:t>
      </w:r>
    </w:p>
  </w:footnote>
  <w:footnote w:id="776">
    <w:p w:rsidR="00702DD6" w:rsidRDefault="00702DD6" w:rsidP="00CE01EE">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777">
    <w:p w:rsidR="00702DD6" w:rsidRDefault="00702DD6" w:rsidP="00CE01EE">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778">
    <w:p w:rsidR="00702DD6" w:rsidRDefault="00702DD6" w:rsidP="00CE01E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779">
    <w:p w:rsidR="00702DD6" w:rsidRDefault="00702DD6" w:rsidP="00CE01EE">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780">
    <w:p w:rsidR="00702DD6" w:rsidRDefault="00702DD6" w:rsidP="00CE01EE">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781">
    <w:p w:rsidR="00702DD6" w:rsidRDefault="00702DD6" w:rsidP="00CE01EE">
      <w:pPr>
        <w:pStyle w:val="FootnoteText"/>
      </w:pPr>
      <w:r>
        <w:rPr>
          <w:rStyle w:val="FootnoteReference"/>
        </w:rPr>
        <w:footnoteRef/>
      </w:r>
      <w:r>
        <w:t xml:space="preserve"> </w:t>
      </w:r>
      <w:r>
        <w:tab/>
        <w:t>For more discussion of the theoretical foundations of the Fama-French model, see the 'theoretical foundations' subsection in section A.3.2 of Attachment 3 to our draft decision for ActewAGL, which remains relevant here.</w:t>
      </w:r>
    </w:p>
  </w:footnote>
  <w:footnote w:id="782">
    <w:p w:rsidR="00702DD6" w:rsidRDefault="00702DD6" w:rsidP="00CE01EE">
      <w:pPr>
        <w:pStyle w:val="FootnoteText"/>
      </w:pPr>
      <w:r>
        <w:rPr>
          <w:rStyle w:val="FootnoteReference"/>
        </w:rPr>
        <w:footnoteRef/>
      </w:r>
      <w:r>
        <w:t xml:space="preserve"> </w:t>
      </w:r>
      <w:r>
        <w:tab/>
        <w:t>For more detail, see the 'use in practice' subsection in section A.3.2 of Attachment 3 to our draft decision for ActewAGL, which remains relevant here. No new material was submitted on this issue following our draft decision.</w:t>
      </w:r>
    </w:p>
  </w:footnote>
  <w:footnote w:id="783">
    <w:p w:rsidR="00702DD6" w:rsidRDefault="00702DD6" w:rsidP="00CE01EE">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r w:rsidRPr="00640FAA">
        <w:t xml:space="preserve"> </w:t>
      </w:r>
      <w:r>
        <w:t xml:space="preserve">Partington, </w:t>
      </w:r>
      <w:r>
        <w:rPr>
          <w:rStyle w:val="AERtextitalic"/>
        </w:rPr>
        <w:t>Report to the AER: Return on equity (updated), April 2015</w:t>
      </w:r>
      <w:r>
        <w:t xml:space="preserve">, p. 11; Partington &amp; Satchell, </w:t>
      </w:r>
      <w:r w:rsidRPr="00134BB5">
        <w:rPr>
          <w:rStyle w:val="AERtextitalic"/>
        </w:rPr>
        <w:t>Report to the AER: return on equity and comment on submissions in relation to JGN</w:t>
      </w:r>
      <w:r>
        <w:t>, May 2015, p. 6.</w:t>
      </w:r>
    </w:p>
  </w:footnote>
  <w:footnote w:id="784">
    <w:p w:rsidR="00702DD6" w:rsidRDefault="00702DD6" w:rsidP="00CE01E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sidRPr="003034B8">
        <w:rPr>
          <w:rStyle w:val="AERtextitalic"/>
        </w:rPr>
        <w:t>Further advice on the return on equity</w:t>
      </w:r>
      <w:r>
        <w:t>, March 2015, pp. 3</w:t>
      </w:r>
      <w:r>
        <w:rPr>
          <w:rFonts w:cs="Arial"/>
        </w:rPr>
        <w:t>–</w:t>
      </w:r>
      <w:r>
        <w:t>4;</w:t>
      </w:r>
      <w:r w:rsidRPr="00B130FA">
        <w:t xml:space="preserve"> </w:t>
      </w:r>
      <w:r>
        <w:t xml:space="preserve">Handley, </w:t>
      </w:r>
      <w:r w:rsidRPr="003A0654">
        <w:rPr>
          <w:rStyle w:val="AERtextitalic"/>
        </w:rPr>
        <w:t>Advice on the rate of return for the 2015 AER energy network determination for Jemena Gas Networks</w:t>
      </w:r>
      <w:r>
        <w:t>, 20 May 2015, pp. 24, 28.</w:t>
      </w:r>
    </w:p>
  </w:footnote>
  <w:footnote w:id="785">
    <w:p w:rsidR="00702DD6" w:rsidRDefault="00702DD6" w:rsidP="00CE01EE">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p.58.</w:t>
      </w:r>
    </w:p>
  </w:footnote>
  <w:footnote w:id="786">
    <w:p w:rsidR="00702DD6" w:rsidRDefault="00702DD6" w:rsidP="00CE01EE">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p.113</w:t>
      </w:r>
    </w:p>
  </w:footnote>
  <w:footnote w:id="787">
    <w:p w:rsidR="00702DD6" w:rsidRDefault="00702DD6" w:rsidP="00CE01EE">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p.10.</w:t>
      </w:r>
    </w:p>
  </w:footnote>
  <w:footnote w:id="788">
    <w:p w:rsidR="00702DD6" w:rsidRDefault="00702DD6" w:rsidP="00CE01E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289, 292, 294-295; Powercor, </w:t>
      </w:r>
      <w:r w:rsidRPr="00C45E85">
        <w:rPr>
          <w:rStyle w:val="Emphasis"/>
        </w:rPr>
        <w:t>Revised regulatory proposal 2016–2020,</w:t>
      </w:r>
      <w:r w:rsidRPr="00C45E85">
        <w:t xml:space="preserve"> January 2016, pp. 283, 286, 288–289;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57–72; United Energy, </w:t>
      </w:r>
      <w:r w:rsidRPr="00C45E85">
        <w:rPr>
          <w:rStyle w:val="Emphasis"/>
        </w:rPr>
        <w:t>Response to AER preliminary determination–Re: rate of return and gamma</w:t>
      </w:r>
      <w:r w:rsidRPr="00C45E85">
        <w:t xml:space="preserve">, 6 January 2016, pp. 41–52; AGN, </w:t>
      </w:r>
      <w:r w:rsidRPr="00C45E85">
        <w:rPr>
          <w:rStyle w:val="Emphasis"/>
        </w:rPr>
        <w:t>2016–17 to 2020/21 Access Arrangement information response to draft decision: Attachment 10.26 Response to draft decision: rate of return</w:t>
      </w:r>
      <w:r w:rsidRPr="00C45E85">
        <w:t xml:space="preserve">, January 2016, pp. 45–58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46–57; AusNet Services, </w:t>
      </w:r>
      <w:r w:rsidRPr="00C45E85">
        <w:rPr>
          <w:rStyle w:val="Emphasis"/>
        </w:rPr>
        <w:t>Electricity distribution price review 2016–20 Revised regulatory proposal: Chapter 7 Rate of return &amp; gamma</w:t>
      </w:r>
      <w:r w:rsidRPr="00C45E85">
        <w:t>, 6 January 2016, pp.41–50; APTNT</w:t>
      </w:r>
      <w:r w:rsidRPr="00C45E85">
        <w:rPr>
          <w:rStyle w:val="Emphasis"/>
        </w:rPr>
        <w:t>, Amadeus Gas Pipeline Access arrangement revised proposal: response to Draft Decision</w:t>
      </w:r>
      <w:r w:rsidRPr="00C45E85">
        <w:t xml:space="preserve">, January 2016, pp. 68–72; APTNT, </w:t>
      </w:r>
      <w:r w:rsidRPr="00C45E85">
        <w:rPr>
          <w:rStyle w:val="Emphasis"/>
        </w:rPr>
        <w:t>Amadeus Gas Pipeline access arrangement revision proposal</w:t>
      </w:r>
      <w:r w:rsidRPr="00C45E85">
        <w:t>, August 2015, pp. 126–128.</w:t>
      </w:r>
    </w:p>
  </w:footnote>
  <w:footnote w:id="789">
    <w:p w:rsidR="00702DD6" w:rsidRDefault="00702DD6" w:rsidP="00CE01EE">
      <w:pPr>
        <w:pStyle w:val="FootnoteText"/>
      </w:pPr>
      <w:r>
        <w:rPr>
          <w:rStyle w:val="FootnoteReference"/>
        </w:rPr>
        <w:footnoteRef/>
      </w:r>
      <w:r>
        <w:t xml:space="preserve"> </w:t>
      </w:r>
      <w:r>
        <w:tab/>
        <w:t xml:space="preserve"> Frontier Economics, </w:t>
      </w:r>
      <w:r w:rsidRPr="00E10673">
        <w:rPr>
          <w:rStyle w:val="AERtextitalic"/>
        </w:rPr>
        <w:t>Key issues in estimating the return on eq</w:t>
      </w:r>
      <w:r>
        <w:rPr>
          <w:rStyle w:val="AERtextitalic"/>
        </w:rPr>
        <w:t>u</w:t>
      </w:r>
      <w:r w:rsidRPr="00E10673">
        <w:rPr>
          <w:rStyle w:val="AERtextitalic"/>
        </w:rPr>
        <w:t>ity for the benchmark efficient entity</w:t>
      </w:r>
      <w:r>
        <w:t xml:space="preserve">, June 2015, pp. 18–19; NERA, </w:t>
      </w:r>
      <w:r w:rsidRPr="00E10673">
        <w:rPr>
          <w:rStyle w:val="AERtextitalic"/>
        </w:rPr>
        <w:t>The Cost of Equity: Response to the AER's</w:t>
      </w:r>
      <w:r>
        <w:rPr>
          <w:rStyle w:val="AERtextitalic"/>
        </w:rPr>
        <w:t xml:space="preserve"> </w:t>
      </w:r>
      <w:r w:rsidRPr="00E10673">
        <w:rPr>
          <w:rStyle w:val="AERtextitalic"/>
        </w:rPr>
        <w:t>final decisions for the NSW and ACT Electricity Distributors, and for Jemena Gas Networks</w:t>
      </w:r>
      <w:r>
        <w:t xml:space="preserve">, June 2015, pp. 34 &amp; 37;  </w:t>
      </w:r>
      <w:r w:rsidRPr="00177FBB">
        <w:t xml:space="preserve">Frontier Economics, The </w:t>
      </w:r>
      <w:r w:rsidRPr="00177FBB">
        <w:rPr>
          <w:rStyle w:val="AERtextitalic"/>
        </w:rPr>
        <w:t>required return on equity under a foundation model approach – Report prepared for Jemena Electricity Networks, ACTEWAGL Distribution, AusNet Services, Australian Gas Networks, Citipower, Powercor and United Energy</w:t>
      </w:r>
      <w:r w:rsidRPr="00177FBB">
        <w:t>, January 2016</w:t>
      </w:r>
      <w:r>
        <w:t>,p. 58-65</w:t>
      </w:r>
    </w:p>
  </w:footnote>
  <w:footnote w:id="790">
    <w:p w:rsidR="00702DD6" w:rsidRDefault="00702DD6" w:rsidP="00CE01E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5.</w:t>
      </w:r>
    </w:p>
  </w:footnote>
  <w:footnote w:id="791">
    <w:p w:rsidR="00702DD6" w:rsidRDefault="00702DD6" w:rsidP="00CE01E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27.</w:t>
      </w:r>
    </w:p>
  </w:footnote>
  <w:footnote w:id="792">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w:t>
      </w:r>
    </w:p>
  </w:footnote>
  <w:footnote w:id="793">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794">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795">
    <w:p w:rsidR="00702DD6" w:rsidRDefault="00702DD6" w:rsidP="00CE01E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 xml:space="preserve">17;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796">
    <w:p w:rsidR="00702DD6" w:rsidRDefault="00702DD6" w:rsidP="00CE01E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16;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797">
    <w:p w:rsidR="00702DD6" w:rsidRDefault="00702DD6" w:rsidP="00CE01EE">
      <w:pPr>
        <w:pStyle w:val="FootnoteText"/>
      </w:pPr>
      <w:r>
        <w:rPr>
          <w:rStyle w:val="FootnoteReference"/>
        </w:rPr>
        <w:footnoteRef/>
      </w:r>
      <w:r>
        <w:t xml:space="preserve"> </w:t>
      </w:r>
      <w:r>
        <w:tab/>
      </w:r>
      <w:r w:rsidRPr="00F15D94">
        <w:t xml:space="preserve">Partington and Satchell, </w:t>
      </w:r>
      <w:r w:rsidRPr="00F15D94">
        <w:rPr>
          <w:rStyle w:val="Emphasis"/>
        </w:rPr>
        <w:t>Report to the AER: Cost of equity issues–2016 electricity and gas determinations</w:t>
      </w:r>
      <w:r w:rsidRPr="00F15D94">
        <w:t>, April 2016,</w:t>
      </w:r>
      <w:r>
        <w:t xml:space="preserve"> pp. 32–34.</w:t>
      </w:r>
    </w:p>
  </w:footnote>
  <w:footnote w:id="798">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w:t>
      </w:r>
    </w:p>
  </w:footnote>
  <w:footnote w:id="799">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800">
    <w:p w:rsidR="00702DD6" w:rsidRDefault="00702DD6" w:rsidP="00CE01EE">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801">
    <w:p w:rsidR="00702DD6" w:rsidRDefault="00702DD6" w:rsidP="00CE01EE">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802">
    <w:p w:rsidR="00702DD6" w:rsidRDefault="00702DD6" w:rsidP="00CE01EE">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803">
    <w:p w:rsidR="00702DD6" w:rsidRDefault="00702DD6" w:rsidP="00CE01E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804">
    <w:p w:rsidR="00702DD6" w:rsidRDefault="00702DD6" w:rsidP="00CE01EE">
      <w:pPr>
        <w:pStyle w:val="FootnoteText"/>
      </w:pPr>
      <w:r>
        <w:rPr>
          <w:rStyle w:val="FootnoteReference"/>
        </w:rPr>
        <w:footnoteRef/>
      </w:r>
      <w:r>
        <w:t xml:space="preserve"> </w:t>
      </w:r>
      <w:r>
        <w:tab/>
      </w:r>
      <w:r w:rsidRPr="00636ECB">
        <w:t xml:space="preserve">AER, </w:t>
      </w:r>
      <w:r w:rsidRPr="00636ECB">
        <w:rPr>
          <w:rStyle w:val="AERtextitalic"/>
        </w:rPr>
        <w:t>Explanatory statement: Rate of return guideline</w:t>
      </w:r>
      <w:r w:rsidRPr="00636ECB">
        <w:t>, 17 December 2013, pp. 90–91</w:t>
      </w:r>
      <w:r>
        <w:t xml:space="preserve">; </w:t>
      </w:r>
      <w:r w:rsidRPr="009E3B2A">
        <w:t xml:space="preserve">Partington, </w:t>
      </w:r>
      <w:r w:rsidRPr="009E3B2A">
        <w:rPr>
          <w:rStyle w:val="AERtextitalic"/>
        </w:rPr>
        <w:t>Report to the AER: Return on equity (updated), April 2015</w:t>
      </w:r>
      <w:r w:rsidRPr="009E3B2A">
        <w:t xml:space="preserve">, p. 14; Partington &amp; Satchell, </w:t>
      </w:r>
      <w:r w:rsidRPr="009E3B2A">
        <w:rPr>
          <w:rStyle w:val="AERtextitalic"/>
        </w:rPr>
        <w:t>Report to the AER: return on equity and comment on submissions in relation to JGN</w:t>
      </w:r>
      <w:r w:rsidRPr="009E3B2A">
        <w:t>, May 2015, p. 6</w:t>
      </w:r>
      <w:r>
        <w:t xml:space="preserve">; </w:t>
      </w:r>
      <w:r w:rsidRPr="00636ECB">
        <w:t xml:space="preserve">Academic literature and reports submitted by service providers recognise that the available evidence for estimating the expected return on equity is imprecise and subject to varied interpretations. See for example R. Mehra and E. C. Prescott, The equity premium, A puzzle, </w:t>
      </w:r>
      <w:r w:rsidRPr="00636ECB">
        <w:rPr>
          <w:rStyle w:val="AERtextitalic"/>
        </w:rPr>
        <w:t>Journal of Monetary Economics</w:t>
      </w:r>
      <w:r w:rsidRPr="00636ECB">
        <w:t xml:space="preserve">, 15, 1985, pp. 145–161; A. Damodaran, </w:t>
      </w:r>
      <w:r w:rsidRPr="00636ECB">
        <w:rPr>
          <w:rStyle w:val="AERtextitalic"/>
        </w:rPr>
        <w:t>Equity Risk Premiums (ERP), Determinants, Estimation and Implications</w:t>
      </w:r>
      <w:r w:rsidRPr="00636ECB">
        <w:t xml:space="preserve">, September 2008, p. 1; J. S. Doran, E. I. Ronn and R. S. Goldberg, </w:t>
      </w:r>
      <w:r w:rsidRPr="00636ECB">
        <w:rPr>
          <w:rStyle w:val="AERtextitalic"/>
        </w:rPr>
        <w:t>A simple model for time–varying expected returns on the S&amp;P 500 Index</w:t>
      </w:r>
      <w:r w:rsidRPr="00636ECB">
        <w:t xml:space="preserve">, August 2005, pp. 2–3. For an example report from regulated entities, see: Officer and Bishop, </w:t>
      </w:r>
      <w:r w:rsidRPr="00636ECB">
        <w:rPr>
          <w:rStyle w:val="AERtextitalic"/>
        </w:rPr>
        <w:t>Market risk premium, a review paper</w:t>
      </w:r>
      <w:r w:rsidRPr="00636ECB">
        <w:t>, August 2008, pp. 3–4.</w:t>
      </w:r>
      <w:r w:rsidRPr="00636ECB" w:rsidDel="009E3B2A">
        <w:t xml:space="preserve"> </w:t>
      </w:r>
    </w:p>
  </w:footnote>
  <w:footnote w:id="805">
    <w:p w:rsidR="00702DD6" w:rsidRDefault="00702DD6" w:rsidP="00CE01EE">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806">
    <w:p w:rsidR="00702DD6" w:rsidRDefault="00702DD6" w:rsidP="00CE01E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 </w:t>
      </w:r>
      <w:r w:rsidRPr="00FF78F8">
        <w:t xml:space="preserve">Frontier Economics, </w:t>
      </w:r>
      <w:r w:rsidRPr="00FF78F8">
        <w:rPr>
          <w:rStyle w:val="AERtextitalic"/>
        </w:rPr>
        <w:t>Key issues in est</w:t>
      </w:r>
      <w:r>
        <w:rPr>
          <w:rStyle w:val="AERtextitalic"/>
        </w:rPr>
        <w:t>i</w:t>
      </w:r>
      <w:r w:rsidRPr="00FF78F8">
        <w:rPr>
          <w:rStyle w:val="AERtextitalic"/>
        </w:rPr>
        <w:t>mating the return on e</w:t>
      </w:r>
      <w:r>
        <w:rPr>
          <w:rStyle w:val="AERtextitalic"/>
        </w:rPr>
        <w:t>q</w:t>
      </w:r>
      <w:r w:rsidRPr="00FF78F8">
        <w:rPr>
          <w:rStyle w:val="AERtextitalic"/>
        </w:rPr>
        <w:t>uity for the benchmark efficient entity</w:t>
      </w:r>
      <w:r w:rsidRPr="00FF78F8">
        <w:t xml:space="preserve">, June 2015, p. </w:t>
      </w:r>
      <w:r>
        <w:t>7.</w:t>
      </w:r>
    </w:p>
  </w:footnote>
  <w:footnote w:id="807">
    <w:p w:rsidR="00702DD6" w:rsidRDefault="00702DD6" w:rsidP="00CE01EE">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808">
    <w:p w:rsidR="00702DD6" w:rsidRDefault="00702DD6" w:rsidP="00CE01EE">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xml:space="preserve">, p. 25. Partington reviewed submissions made after this report and concluded that they do not change his conclusions (see: Partington &amp; Satchell, </w:t>
      </w:r>
      <w:r w:rsidRPr="00134BB5">
        <w:rPr>
          <w:rStyle w:val="AERtextitalic"/>
        </w:rPr>
        <w:t>Report to the AER: return on equity and comment on submissions in relation to JGN</w:t>
      </w:r>
      <w:r>
        <w:t>, May 2015, p. 6).</w:t>
      </w:r>
    </w:p>
  </w:footnote>
  <w:footnote w:id="809">
    <w:p w:rsidR="00702DD6" w:rsidRDefault="00702DD6" w:rsidP="00CE01EE">
      <w:pPr>
        <w:pStyle w:val="FootnoteText"/>
      </w:pPr>
      <w:r>
        <w:rPr>
          <w:rStyle w:val="FootnoteReference"/>
        </w:rPr>
        <w:footnoteRef/>
      </w:r>
      <w:r>
        <w:t xml:space="preserve"> </w:t>
      </w:r>
      <w:r>
        <w:tab/>
      </w:r>
      <w:r w:rsidRPr="00924458">
        <w:t xml:space="preserve">NERA, </w:t>
      </w:r>
      <w:r w:rsidRPr="00924458">
        <w:rPr>
          <w:rStyle w:val="AERtextitalic"/>
        </w:rPr>
        <w:t>The Fama-French Three-Factor Model: A Report for the ENA</w:t>
      </w:r>
      <w:r w:rsidRPr="00924458">
        <w:t xml:space="preserve">, October, 2013, p. 24; NERA, </w:t>
      </w:r>
      <w:r w:rsidRPr="00924458">
        <w:rPr>
          <w:rStyle w:val="AERtextitalic"/>
        </w:rPr>
        <w:t>Return on Capital of a Regulated Electricity Network: A report for Ashurst</w:t>
      </w:r>
      <w:r w:rsidRPr="00924458">
        <w:t>, May 2014, pp. 99–103</w:t>
      </w:r>
      <w:r>
        <w:t>.</w:t>
      </w:r>
    </w:p>
  </w:footnote>
  <w:footnote w:id="810">
    <w:p w:rsidR="00702DD6" w:rsidRDefault="00702DD6" w:rsidP="00CE01E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811">
    <w:p w:rsidR="00702DD6" w:rsidRDefault="00702DD6" w:rsidP="00CE01EE">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812">
    <w:p w:rsidR="00702DD6" w:rsidRDefault="00702DD6" w:rsidP="00CE01E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813">
    <w:p w:rsidR="00702DD6" w:rsidRDefault="00702DD6" w:rsidP="00CE01EE">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814">
    <w:p w:rsidR="00702DD6" w:rsidRDefault="00702DD6" w:rsidP="00CE01E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815">
    <w:p w:rsidR="00702DD6" w:rsidRDefault="00702DD6" w:rsidP="00CE01EE">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816">
    <w:p w:rsidR="00702DD6" w:rsidRDefault="00702DD6" w:rsidP="00CE01EE">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817">
    <w:p w:rsidR="00702DD6" w:rsidRDefault="00702DD6" w:rsidP="00CE01EE">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Lewellen, Nagel and Shanken</w:t>
      </w:r>
      <w:r>
        <w:t>'s observation that, '</w:t>
      </w:r>
      <w:r w:rsidRPr="000B2150">
        <w:t>one gets the uneasy feeling that it seems a bit too easy to explain the size and B/M effects</w:t>
      </w:r>
      <w:r>
        <w:t>'. See Lewellen, Nagel and Shanken, '</w:t>
      </w:r>
      <w:r w:rsidRPr="000B2150">
        <w:t xml:space="preserve">‘A sceptical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818">
    <w:p w:rsidR="00702DD6" w:rsidRDefault="00702DD6" w:rsidP="00CE01E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294; ; Powercor, </w:t>
      </w:r>
      <w:r w:rsidRPr="00C45E85">
        <w:rPr>
          <w:rStyle w:val="Emphasis"/>
        </w:rPr>
        <w:t>Revised regulatory proposal 2016–2020,</w:t>
      </w:r>
      <w:r w:rsidRPr="00C45E85">
        <w:t xml:space="preserve"> January 2016, p. 288;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69; United Energy, </w:t>
      </w:r>
      <w:r w:rsidRPr="00C45E85">
        <w:rPr>
          <w:rStyle w:val="Emphasis"/>
        </w:rPr>
        <w:t>Response to AER preliminary determination–Re: rate of return and gamma</w:t>
      </w:r>
      <w:r w:rsidRPr="00C45E85">
        <w:t xml:space="preserve">, 6 January 2016, pp. 50; AGN, </w:t>
      </w:r>
      <w:r w:rsidRPr="00C45E85">
        <w:rPr>
          <w:rStyle w:val="Emphasis"/>
        </w:rPr>
        <w:t>2016–17 to 2020/21 Access Arrangement information response to draft decision: Attachment 10.26 Response to draft decision: rate of return</w:t>
      </w:r>
      <w:r w:rsidRPr="00C45E85">
        <w:t xml:space="preserve">, January 2016, pp. 55–56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55; AusNet Services, </w:t>
      </w:r>
      <w:r w:rsidRPr="00C45E85">
        <w:rPr>
          <w:rStyle w:val="Emphasis"/>
        </w:rPr>
        <w:t>Electricity distribution price review 2016–20 Revised regulatory proposal: Chapter 7 Rate of return &amp; gamma</w:t>
      </w:r>
      <w:r w:rsidRPr="00C45E85">
        <w:t xml:space="preserve">, 6 January 2016, pp, 49–50; APTNT, </w:t>
      </w:r>
      <w:r w:rsidRPr="00C45E85">
        <w:rPr>
          <w:rStyle w:val="Emphasis"/>
        </w:rPr>
        <w:t>Amadeus Gas Pipeline access arrangement revision proposal</w:t>
      </w:r>
      <w:r w:rsidRPr="00C45E85">
        <w:t>, August 2015, pp. 126–128.</w:t>
      </w:r>
    </w:p>
  </w:footnote>
  <w:footnote w:id="819">
    <w:p w:rsidR="00702DD6" w:rsidRDefault="00702DD6" w:rsidP="00CE01E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5.</w:t>
      </w:r>
    </w:p>
  </w:footnote>
  <w:footnote w:id="820">
    <w:p w:rsidR="00702DD6" w:rsidRDefault="00702DD6" w:rsidP="00CE01E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286, 292; Powercor, </w:t>
      </w:r>
      <w:r w:rsidRPr="00C45E85">
        <w:rPr>
          <w:rStyle w:val="Emphasis"/>
        </w:rPr>
        <w:t>Revised regulatory proposal 2016–2020,</w:t>
      </w:r>
      <w:r w:rsidRPr="00C45E85">
        <w:t xml:space="preserve"> January 2016, pp. 280, 286; ActewAGL, </w:t>
      </w:r>
      <w:r w:rsidRPr="00C45E85">
        <w:rPr>
          <w:rStyle w:val="Emphasis"/>
        </w:rPr>
        <w:t>Revised 2016–21 access ar</w:t>
      </w:r>
      <w:r>
        <w:rPr>
          <w:rStyle w:val="Emphasis"/>
        </w:rPr>
        <w:t>r</w:t>
      </w:r>
      <w:r w:rsidRPr="00C45E85">
        <w:rPr>
          <w:rStyle w:val="Emphasis"/>
        </w:rPr>
        <w:t>angement proposal Response to the AER's draft decision, Appendix 5.01 Detailed response to rate of return, gamma and inflation</w:t>
      </w:r>
      <w:r w:rsidRPr="00C45E85">
        <w:t xml:space="preserve">, January 2016, pp.57–60, 66–67; United Energy, </w:t>
      </w:r>
      <w:r w:rsidRPr="00C45E85">
        <w:rPr>
          <w:rStyle w:val="Emphasis"/>
        </w:rPr>
        <w:t>Response to AER preliminary determination–Re: rate of return and gamma</w:t>
      </w:r>
      <w:r w:rsidRPr="00C45E85">
        <w:t xml:space="preserve">, 6 January 2016, pp. 41–45, 50; AGN, </w:t>
      </w:r>
      <w:r w:rsidRPr="00C45E85">
        <w:rPr>
          <w:rStyle w:val="Emphasis"/>
        </w:rPr>
        <w:t>2016–17 to 2020/21 Access Arrangement information response to draft decision: Attachment 10.26 Response to draft decision: rate of return</w:t>
      </w:r>
      <w:r w:rsidRPr="00C45E85">
        <w:t xml:space="preserve">, January 2016, pp. 46–50, 54–55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46–51, 54–55; AusNet Services, </w:t>
      </w:r>
      <w:r w:rsidRPr="00C45E85">
        <w:rPr>
          <w:rStyle w:val="Emphasis"/>
        </w:rPr>
        <w:t>Electricity distribution price review 2016–20 Revised regulatory proposal: Chapter 7 Rate of return &amp; gamma</w:t>
      </w:r>
      <w:r w:rsidRPr="00C45E85">
        <w:t xml:space="preserve">, 6 January 2016, pp. 41–50; APTNT, </w:t>
      </w:r>
      <w:r w:rsidRPr="00C45E85">
        <w:rPr>
          <w:rStyle w:val="Emphasis"/>
        </w:rPr>
        <w:t>Amadeus Gas Pipeline Access arrangement revised proposal: response to Draft Decision,</w:t>
      </w:r>
      <w:r w:rsidRPr="00C45E85">
        <w:t xml:space="preserve"> January 2016, pp. 68–73.</w:t>
      </w:r>
    </w:p>
  </w:footnote>
  <w:footnote w:id="821">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40.</w:t>
      </w:r>
    </w:p>
  </w:footnote>
  <w:footnote w:id="822">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38. Partington and Satchell noted  that , f</w:t>
      </w:r>
      <w:r w:rsidRPr="00615EDE">
        <w:t>or example, adding a momentum factor to the Fama and French three factor (FF3) model improves the power of the model to forecast returns, but the regulated businesses while arguing for the FF3 model do not suggest that momentum determines the cost of capital for long term projects. Since momentum is short lived it is not appropriate as a determinant of equilibrium expected returns in the long term.</w:t>
      </w:r>
    </w:p>
  </w:footnote>
  <w:footnote w:id="823">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46–48.</w:t>
      </w:r>
    </w:p>
  </w:footnote>
  <w:footnote w:id="824">
    <w:p w:rsidR="00702DD6" w:rsidRDefault="00702DD6" w:rsidP="00CE01EE">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825">
    <w:p w:rsidR="00702DD6" w:rsidRDefault="00702DD6" w:rsidP="00CE01EE">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826">
    <w:p w:rsidR="00702DD6" w:rsidRDefault="00702DD6" w:rsidP="00CE01EE">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827">
    <w:p w:rsidR="00702DD6" w:rsidRDefault="00702DD6" w:rsidP="00CE01EE">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828">
    <w:p w:rsidR="00702DD6" w:rsidRDefault="00702DD6" w:rsidP="00CE01EE">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829">
    <w:p w:rsidR="00702DD6" w:rsidRDefault="00702DD6" w:rsidP="00CE01EE">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830">
    <w:p w:rsidR="00702DD6" w:rsidRDefault="00702DD6" w:rsidP="00CE01E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831">
    <w:p w:rsidR="00702DD6" w:rsidRDefault="00702DD6" w:rsidP="00CE01EE">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832">
    <w:p w:rsidR="00702DD6" w:rsidRDefault="00702DD6" w:rsidP="00CE01E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833">
    <w:p w:rsidR="00702DD6" w:rsidRDefault="00702DD6" w:rsidP="00CE01EE">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834">
    <w:p w:rsidR="00702DD6" w:rsidRDefault="00702DD6" w:rsidP="00CE01E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835">
    <w:p w:rsidR="00702DD6" w:rsidRDefault="00702DD6" w:rsidP="00CE01E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26–40; Partington, </w:t>
      </w:r>
      <w:r>
        <w:rPr>
          <w:rStyle w:val="AERtextitalic"/>
        </w:rPr>
        <w:t>Report to the AER: Return on equity (updated), April 2015</w:t>
      </w:r>
      <w:r>
        <w:t xml:space="preserve">, p. 12; Partington &amp; Satchell, </w:t>
      </w:r>
      <w:r w:rsidRPr="00134BB5">
        <w:rPr>
          <w:rStyle w:val="AERtextitalic"/>
        </w:rPr>
        <w:t>Report to the AER: return on equity and comment on submissions in relation to JGN</w:t>
      </w:r>
      <w:r>
        <w:t xml:space="preserve">, May 2015, p. 6; </w:t>
      </w:r>
      <w:r w:rsidRPr="008E0D8F">
        <w:t xml:space="preserve">Partington &amp; Satchell, </w:t>
      </w:r>
      <w:r w:rsidRPr="008E0D8F">
        <w:rPr>
          <w:rStyle w:val="AERtextitalic"/>
        </w:rPr>
        <w:t xml:space="preserve">Report to the AER: Analysis of criticism of 2015 determinations, </w:t>
      </w:r>
      <w:r w:rsidRPr="008E0D8F">
        <w:t>October 2015</w:t>
      </w:r>
      <w:r>
        <w:t xml:space="preserve">, p. 15.  </w:t>
      </w:r>
    </w:p>
  </w:footnote>
  <w:footnote w:id="836">
    <w:p w:rsidR="00702DD6" w:rsidRDefault="00702DD6" w:rsidP="00CE01E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39–40; Partington, </w:t>
      </w:r>
      <w:r>
        <w:rPr>
          <w:rStyle w:val="AERtextitalic"/>
        </w:rPr>
        <w:t>Report to the AER: Return on equity (updated), April 2015</w:t>
      </w:r>
      <w:r>
        <w:t>, pp. 58–59.</w:t>
      </w:r>
    </w:p>
  </w:footnote>
  <w:footnote w:id="837">
    <w:p w:rsidR="00702DD6" w:rsidRDefault="00702DD6" w:rsidP="00CE01E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 xml:space="preserve">36; Partington, </w:t>
      </w:r>
      <w:r>
        <w:rPr>
          <w:rStyle w:val="AERtextitalic"/>
        </w:rPr>
        <w:t>Report to the AER: Return on equity (updated), April 2015</w:t>
      </w:r>
      <w:r>
        <w:t>, pp. 46–56.</w:t>
      </w:r>
    </w:p>
  </w:footnote>
  <w:footnote w:id="838">
    <w:p w:rsidR="00702DD6" w:rsidRDefault="00702DD6" w:rsidP="00CE01EE">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839">
    <w:p w:rsidR="00702DD6" w:rsidRDefault="00702DD6" w:rsidP="00CE01EE">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840">
    <w:p w:rsidR="00702DD6" w:rsidRDefault="00702DD6" w:rsidP="00CE01EE">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841">
    <w:p w:rsidR="00702DD6" w:rsidRDefault="00702DD6" w:rsidP="00CE01EE">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842">
    <w:p w:rsidR="00702DD6" w:rsidRDefault="00702DD6" w:rsidP="00CE01EE">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843">
    <w:p w:rsidR="00702DD6" w:rsidRDefault="00702DD6" w:rsidP="00CE01E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pp. 286–298; Powercor, </w:t>
      </w:r>
      <w:r w:rsidRPr="00C45E85">
        <w:rPr>
          <w:rStyle w:val="Emphasis"/>
        </w:rPr>
        <w:t>Revised regulatory proposal 2016–2020</w:t>
      </w:r>
      <w:r w:rsidRPr="00C45E85">
        <w:t xml:space="preserve">, January 2016, pp. 280–292; ActewAGL, </w:t>
      </w:r>
      <w:r w:rsidRPr="00C45E85">
        <w:rPr>
          <w:rStyle w:val="Emphasis"/>
        </w:rPr>
        <w:t>Revised 2016–21 access arrangement proposal Response to the AER's draft decision, Appendix 5.01 Detailed response to rate of return, gamma and inflation</w:t>
      </w:r>
      <w:r w:rsidRPr="00C45E85">
        <w:t xml:space="preserve">, January 2016, pp. 64–72; United Energy, </w:t>
      </w:r>
      <w:r w:rsidRPr="00C45E85">
        <w:rPr>
          <w:rStyle w:val="Emphasis"/>
        </w:rPr>
        <w:t>Response to AER preliminary determination–Re: rate of return and gamma</w:t>
      </w:r>
      <w:r w:rsidRPr="00C45E85">
        <w:t xml:space="preserve">, 6 January 2016, pp. 47–52; AGN, </w:t>
      </w:r>
      <w:r w:rsidRPr="00C45E85">
        <w:rPr>
          <w:rStyle w:val="Emphasis"/>
        </w:rPr>
        <w:t>2016–17 to 2020/21 Access Arrangement information response to draft decision: Attachment 10.26 Response to draft decision: rate of return</w:t>
      </w:r>
      <w:r w:rsidRPr="00C45E85">
        <w:t xml:space="preserve">, January 2016, pp. 52–58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52–58; AusNet Services, </w:t>
      </w:r>
      <w:r w:rsidRPr="00C45E85">
        <w:rPr>
          <w:rStyle w:val="Emphasis"/>
        </w:rPr>
        <w:t>Electricity distribution price review 2016–20 Revised regulatory proposal: Chapter 7 Rate of return &amp; gamma</w:t>
      </w:r>
      <w:r w:rsidRPr="00C45E85">
        <w:t xml:space="preserve">, 6 January 2016, pp. 39–40, 46–52; APTNT, </w:t>
      </w:r>
      <w:r w:rsidRPr="00C45E85">
        <w:rPr>
          <w:rStyle w:val="Emphasis"/>
        </w:rPr>
        <w:t>Amadeus Gas Pipeline access arrangement revision proposal</w:t>
      </w:r>
      <w:r w:rsidRPr="00C45E85">
        <w:t>, August 2015, pp. 120–123.</w:t>
      </w:r>
      <w:r>
        <w:t xml:space="preserve">; </w:t>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January 2016</w:t>
      </w:r>
      <w:r>
        <w:t xml:space="preserve">, pp. 17-20 &amp; 28–31. Service providers instead submitted that our foundation model approach prevents us from having any real regard to the dividend growth model and to conclude erroneously that the Sharpe-Linter CAPM is the superior return on equity model and produces unbiased estimates. We respond to this submission in section </w:t>
      </w:r>
      <w:r>
        <w:fldChar w:fldCharType="begin"/>
      </w:r>
      <w:r>
        <w:instrText xml:space="preserve"> REF _Ref448871343 \r \h </w:instrText>
      </w:r>
      <w:r>
        <w:fldChar w:fldCharType="separate"/>
      </w:r>
      <w:r>
        <w:t>A</w:t>
      </w:r>
      <w:r>
        <w:fldChar w:fldCharType="end"/>
      </w:r>
      <w:r>
        <w:t xml:space="preserve">. Service providers also submitted that SFG's construction of the dividend growth model is robust, we assess SFG's model in section </w:t>
      </w:r>
      <w:r>
        <w:fldChar w:fldCharType="begin"/>
      </w:r>
      <w:r>
        <w:instrText xml:space="preserve"> REF _Ref449021062 \r \h </w:instrText>
      </w:r>
      <w:r>
        <w:fldChar w:fldCharType="separate"/>
      </w:r>
      <w:r>
        <w:t>B.4.1</w:t>
      </w:r>
      <w:r>
        <w:fldChar w:fldCharType="end"/>
      </w:r>
      <w:r>
        <w:t>.</w:t>
      </w:r>
    </w:p>
  </w:footnote>
  <w:footnote w:id="844">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27–28.</w:t>
      </w:r>
    </w:p>
  </w:footnote>
  <w:footnote w:id="845">
    <w:p w:rsidR="00702DD6" w:rsidRDefault="00702DD6" w:rsidP="00CE01EE">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846">
    <w:p w:rsidR="00702DD6" w:rsidRDefault="00702DD6" w:rsidP="00CE01EE">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Return on equity-detailed proposal, Submission to the Australian Energy Regulator</w:t>
      </w:r>
      <w:r w:rsidRPr="002220FC">
        <w:t xml:space="preserve">,  June 2015, p. </w:t>
      </w:r>
      <w:r>
        <w:t>45–50</w:t>
      </w:r>
      <w:r w:rsidRPr="002220FC">
        <w:t>; AP</w:t>
      </w:r>
      <w:r>
        <w:t>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Energex, </w:t>
      </w:r>
      <w:r w:rsidRPr="002220FC">
        <w:rPr>
          <w:rStyle w:val="AERtextitalic"/>
        </w:rPr>
        <w:t>2015-20 revised regulatory proposal</w:t>
      </w:r>
      <w:r w:rsidRPr="002220FC">
        <w:t xml:space="preserve">, July 2015, p. </w:t>
      </w:r>
      <w:r>
        <w:t>96–97 &amp; 101–103</w:t>
      </w:r>
      <w:r w:rsidRPr="002220FC">
        <w:t xml:space="preserve">; </w:t>
      </w:r>
      <w:r w:rsidRPr="001F096D">
        <w:t xml:space="preserve">Ergon Energy, </w:t>
      </w:r>
      <w:r w:rsidRPr="00391C78">
        <w:rPr>
          <w:rStyle w:val="AERtextitalic"/>
        </w:rPr>
        <w:t>Regulatory Proposal 2015-20 (revised),</w:t>
      </w:r>
      <w:r w:rsidRPr="001F096D">
        <w:t xml:space="preserve"> </w:t>
      </w:r>
      <w:r w:rsidRPr="00391C78">
        <w:rPr>
          <w:rStyle w:val="AERtextitalic"/>
        </w:rPr>
        <w:t>Appendix C: Rate of Return</w:t>
      </w:r>
      <w:r w:rsidRPr="001F096D">
        <w:t>, July 2015</w:t>
      </w:r>
      <w:r>
        <w:t xml:space="preserve">, p. 146–147; </w:t>
      </w:r>
      <w:r w:rsidRPr="002220FC">
        <w:t xml:space="preserve">SAPN, </w:t>
      </w:r>
      <w:r w:rsidRPr="002220FC">
        <w:rPr>
          <w:rStyle w:val="AERtextitalic"/>
        </w:rPr>
        <w:t>Revised Regulatory Proposal 2015-20</w:t>
      </w:r>
      <w:r w:rsidRPr="002220FC">
        <w:t>, July 2015, p. 3</w:t>
      </w:r>
      <w:r>
        <w:t>68</w:t>
      </w:r>
      <w:r w:rsidRPr="002220FC">
        <w:t xml:space="preserve">; Jemena Electricity Networks (Vic) Ltd, </w:t>
      </w:r>
      <w:r w:rsidRPr="002220FC">
        <w:rPr>
          <w:rStyle w:val="AERtextitalic"/>
        </w:rPr>
        <w:t>2016-20 Electricity Distribution Price Review Regulatory Proposal, Attachment 9-2, Rate of return proposal,</w:t>
      </w:r>
      <w:r w:rsidRPr="002220FC">
        <w:t xml:space="preserve"> April 2015, p</w:t>
      </w:r>
      <w:r>
        <w:t>. 81–85</w:t>
      </w:r>
      <w:r w:rsidRPr="002220FC">
        <w:t>.</w:t>
      </w:r>
    </w:p>
  </w:footnote>
  <w:footnote w:id="847">
    <w:p w:rsidR="00702DD6" w:rsidRDefault="00702DD6" w:rsidP="00CE01E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848">
    <w:p w:rsidR="00702DD6" w:rsidRDefault="00702DD6" w:rsidP="00CE01E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849">
    <w:p w:rsidR="00702DD6" w:rsidRDefault="00702DD6" w:rsidP="00CE01EE">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850">
    <w:p w:rsidR="00702DD6" w:rsidRDefault="00702DD6" w:rsidP="00CE01EE">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40–41.</w:t>
      </w:r>
    </w:p>
  </w:footnote>
  <w:footnote w:id="851">
    <w:p w:rsidR="00702DD6" w:rsidRDefault="00702DD6" w:rsidP="00CE01E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 xml:space="preserve">36; Partington, </w:t>
      </w:r>
      <w:r>
        <w:rPr>
          <w:rStyle w:val="AERtextitalic"/>
        </w:rPr>
        <w:t>Report to the AER: Return on equity (updated), April 2015</w:t>
      </w:r>
      <w:r>
        <w:t>, pp. 53–56.</w:t>
      </w:r>
    </w:p>
  </w:footnote>
  <w:footnote w:id="852">
    <w:p w:rsidR="00702DD6" w:rsidRDefault="00702DD6" w:rsidP="00CE01E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853">
    <w:p w:rsidR="00702DD6" w:rsidRDefault="00702DD6" w:rsidP="00CE01EE">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854">
    <w:p w:rsidR="00702DD6" w:rsidRDefault="00702DD6" w:rsidP="00CE01EE">
      <w:pPr>
        <w:pStyle w:val="FootnoteText"/>
      </w:pPr>
      <w:r>
        <w:rPr>
          <w:rStyle w:val="FootnoteReference"/>
        </w:rPr>
        <w:footnoteRef/>
      </w:r>
      <w:r>
        <w:t xml:space="preserve"> </w:t>
      </w:r>
      <w:r>
        <w:tab/>
        <w:t>We were unable were unable to replicate SFG's market risk premium, network risk premium and risk premium ratio series in Table 3 of its report because there appears to be an error in the risk free rate series presented by SFG. In Table 3 of SFG's report, the risk free rate series is identical to the market risk premium series. See: SFG,</w:t>
      </w:r>
      <w:r w:rsidRPr="00194089">
        <w:t xml:space="preserve"> </w:t>
      </w:r>
      <w:r w:rsidRPr="00194089">
        <w:rPr>
          <w:rStyle w:val="AERtextitalic"/>
        </w:rPr>
        <w:t>Share prices, the dividend discount model and the cost of equity for the market and a benchmark energy network</w:t>
      </w:r>
      <w:r w:rsidRPr="00194089">
        <w:t>, 13 February 2015</w:t>
      </w:r>
      <w:r>
        <w:t xml:space="preserve">, pp. 40–41 (table 3). We also note that this figure does not contain any more recent data as SFG has not updated its dividend growth model since its February 2015 report. </w:t>
      </w:r>
    </w:p>
  </w:footnote>
  <w:footnote w:id="855">
    <w:p w:rsidR="00702DD6" w:rsidRDefault="00702DD6" w:rsidP="00CE01EE">
      <w:pPr>
        <w:pStyle w:val="FootnoteText"/>
      </w:pPr>
      <w:r>
        <w:rPr>
          <w:rStyle w:val="FootnoteReference"/>
        </w:rPr>
        <w:footnoteRef/>
      </w:r>
      <w:r>
        <w:t xml:space="preserve"> </w:t>
      </w:r>
      <w:r>
        <w:tab/>
        <w:t xml:space="preserve">For example, see: Ausgrid, </w:t>
      </w:r>
      <w:r w:rsidRPr="005E5DB3">
        <w:rPr>
          <w:rStyle w:val="AERtextitalic"/>
        </w:rPr>
        <w:t>Regulatory proposal 1 July 2014 to 30 June 2019</w:t>
      </w:r>
      <w:r>
        <w:t>, 30 May 2014, p. 79.</w:t>
      </w:r>
    </w:p>
  </w:footnote>
  <w:footnote w:id="856">
    <w:p w:rsidR="00702DD6" w:rsidRDefault="00702DD6" w:rsidP="00CE01EE">
      <w:pPr>
        <w:pStyle w:val="FootnoteText"/>
      </w:pPr>
      <w:r>
        <w:rPr>
          <w:rStyle w:val="FootnoteReference"/>
        </w:rPr>
        <w:footnoteRef/>
      </w:r>
      <w:r>
        <w:t xml:space="preserve"> </w:t>
      </w:r>
      <w:r>
        <w:tab/>
      </w:r>
      <w:r w:rsidRPr="00C91846">
        <w:t xml:space="preserve">APTNT, </w:t>
      </w:r>
      <w:r w:rsidRPr="00C91846">
        <w:rPr>
          <w:rStyle w:val="AERtextitalic"/>
        </w:rPr>
        <w:t>Amadeus Gas Pipeline</w:t>
      </w:r>
      <w:r w:rsidRPr="00C91846">
        <w:t xml:space="preserve"> </w:t>
      </w:r>
      <w:r w:rsidRPr="00C91846">
        <w:rPr>
          <w:rStyle w:val="AERtextitalic"/>
        </w:rPr>
        <w:t>Access Arrangement Information Effective 1 July 2016 - 30 June 2021</w:t>
      </w:r>
      <w:r w:rsidRPr="00C91846">
        <w:t>, August 2015, p.</w:t>
      </w:r>
      <w:r>
        <w:t xml:space="preserve"> </w:t>
      </w:r>
      <w:r w:rsidRPr="00C91846">
        <w:t>21</w:t>
      </w:r>
      <w:r>
        <w:t xml:space="preserve">. However, </w:t>
      </w:r>
      <w:r w:rsidRPr="00273F0E">
        <w:t>APTNT proposed a DGM-based MRP in its January 2016 revised proposal</w:t>
      </w:r>
      <w:r>
        <w:t xml:space="preserve"> and argued that August 2015 proposal was not a Wright CAPM</w:t>
      </w:r>
      <w:r w:rsidRPr="00273F0E">
        <w:t xml:space="preserve">: APTNT, </w:t>
      </w:r>
      <w:r w:rsidRPr="00273F0E">
        <w:rPr>
          <w:rStyle w:val="Emphasis"/>
        </w:rPr>
        <w:t>Amadeus Gas Pipeline Access arrangement revised proposal: response to Draft Decision,</w:t>
      </w:r>
      <w:r w:rsidRPr="00273F0E">
        <w:t xml:space="preserve"> January 2016, pp. 75–77.</w:t>
      </w:r>
    </w:p>
  </w:footnote>
  <w:footnote w:id="857">
    <w:p w:rsidR="00702DD6" w:rsidRDefault="00702DD6" w:rsidP="00CE01EE">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January 2016, pp. 309–310; AER, </w:t>
      </w:r>
      <w:r w:rsidRPr="00273F0E">
        <w:rPr>
          <w:rStyle w:val="AERtextitalic"/>
        </w:rPr>
        <w:t>Preliminary decision: CitiPower determination 2016 to 2020: Attachment 3 – Rate of return</w:t>
      </w:r>
      <w:r w:rsidRPr="00273F0E">
        <w:t xml:space="preserve">, October 2015, p. 507–510; Powercor, </w:t>
      </w:r>
      <w:r w:rsidRPr="00273F0E">
        <w:rPr>
          <w:rStyle w:val="Emphasis"/>
        </w:rPr>
        <w:t>Revised regulatory proposal 2016–2020</w:t>
      </w:r>
      <w:r w:rsidRPr="00273F0E">
        <w:t xml:space="preserve">, January 2016, pp. 303–304; AER, </w:t>
      </w:r>
      <w:r w:rsidRPr="00273F0E">
        <w:rPr>
          <w:rStyle w:val="AERtextitalic"/>
        </w:rPr>
        <w:t>Powercor Preliminary Decision - Attachment 3: Rate of Return</w:t>
      </w:r>
      <w:r w:rsidRPr="00273F0E">
        <w:t xml:space="preserve">, October 2015, p. 507–508;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AER, </w:t>
      </w:r>
      <w:r w:rsidRPr="00273F0E">
        <w:rPr>
          <w:rStyle w:val="Emphasis"/>
        </w:rPr>
        <w:t>Draft decision ActewAGL distribution determination 2016 to 2021: Attachment 3 – Rate of return</w:t>
      </w:r>
      <w:r w:rsidRPr="00273F0E">
        <w:t xml:space="preserve">, November 2015, pp. 520–522; United Energy, </w:t>
      </w:r>
      <w:r w:rsidRPr="00273F0E">
        <w:rPr>
          <w:rStyle w:val="Emphasis"/>
        </w:rPr>
        <w:t>Response to AER preliminary determination–Re: rate of return and gamma</w:t>
      </w:r>
      <w:r w:rsidRPr="00273F0E">
        <w:t xml:space="preserve">, 6 January 2016, p. 61; AER, </w:t>
      </w:r>
      <w:r w:rsidRPr="00273F0E">
        <w:rPr>
          <w:rStyle w:val="Emphasis"/>
        </w:rPr>
        <w:t>Preliminary decision United Energy determination 2016 to 2020: Attachment 3 – Rate of return</w:t>
      </w:r>
      <w:r w:rsidRPr="00273F0E">
        <w:t xml:space="preserve">, October 2015, p. 510–512; AGN, </w:t>
      </w:r>
      <w:r w:rsidRPr="00273F0E">
        <w:rPr>
          <w:rStyle w:val="Emphasis"/>
        </w:rPr>
        <w:t>2016–17 to 2020/21 Access Arrangement information response to draft decision: Attachment 10.26 Response to draft decision: rate of return</w:t>
      </w:r>
      <w:r w:rsidRPr="00273F0E">
        <w:t xml:space="preserve">, January 2016, p. 66; AER, </w:t>
      </w:r>
      <w:r w:rsidRPr="00273F0E">
        <w:rPr>
          <w:rStyle w:val="Emphasis"/>
        </w:rPr>
        <w:t>Draft decision Australian Gas Networks access arrangement 2016 to 2021–Attachment 3: rate of return</w:t>
      </w:r>
      <w:r w:rsidRPr="00273F0E">
        <w:t>, November 2015, pp.  516–518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xml:space="preserve">. 519–522; See also: CEG, </w:t>
      </w:r>
      <w:r w:rsidRPr="009E0C30">
        <w:rPr>
          <w:rStyle w:val="AERtextitalic"/>
        </w:rPr>
        <w:t>WACC estimates: A report for NSW DNSPs</w:t>
      </w:r>
      <w:r>
        <w:t>, May 2014, pp. 6</w:t>
      </w:r>
      <w:r w:rsidRPr="00BA2690">
        <w:t>–</w:t>
      </w:r>
      <w:r>
        <w:t xml:space="preserve">10; CEG, </w:t>
      </w:r>
      <w:r w:rsidRPr="00655754">
        <w:rPr>
          <w:rStyle w:val="AERtextitalic"/>
        </w:rPr>
        <w:t>Estimating the cost of equity, equity beta and MRP</w:t>
      </w:r>
      <w:r>
        <w:t xml:space="preserve">, January 2015; NERA, </w:t>
      </w:r>
      <w:r>
        <w:rPr>
          <w:rStyle w:val="AERtextitalic"/>
        </w:rPr>
        <w:t>Return on Capital of a Regulated Electricity Network: A report for Ashurst</w:t>
      </w:r>
      <w:r>
        <w:t xml:space="preserve">, May 2014, p. 81; Frontier, </w:t>
      </w:r>
      <w:r w:rsidRPr="00704FE3">
        <w:rPr>
          <w:rStyle w:val="AERtextitalic"/>
        </w:rPr>
        <w:t>Key issues in estimating the return on equity for the benchmark efficient entity</w:t>
      </w:r>
      <w:r>
        <w:t>, June 2015, pp. 10, 28–32, 54–55;</w:t>
      </w:r>
      <w:r w:rsidRPr="00897699">
        <w:t xml:space="preserve"> </w:t>
      </w:r>
      <w:r>
        <w:t xml:space="preserve">Frontier Economics, </w:t>
      </w:r>
      <w:r w:rsidRPr="00B40B94">
        <w:rPr>
          <w:rStyle w:val="AERtextitalic"/>
        </w:rPr>
        <w:t>The required return on equity under a foundation model approach</w:t>
      </w:r>
      <w:r>
        <w:t>, January 2016, p. 34.</w:t>
      </w:r>
    </w:p>
  </w:footnote>
  <w:footnote w:id="858">
    <w:p w:rsidR="00702DD6" w:rsidRDefault="00702DD6" w:rsidP="00CE01EE">
      <w:pPr>
        <w:pStyle w:val="FootnoteText"/>
      </w:pPr>
      <w:r>
        <w:rPr>
          <w:rStyle w:val="FootnoteReference"/>
        </w:rPr>
        <w:footnoteRef/>
      </w:r>
      <w:r>
        <w:t xml:space="preserve"> </w:t>
      </w:r>
      <w:r>
        <w:tab/>
        <w:t xml:space="preserve">Bringham and Daves state, 'The CAPM is an ex 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859">
    <w:p w:rsidR="00702DD6" w:rsidRDefault="00702DD6" w:rsidP="00CE01EE">
      <w:pPr>
        <w:pStyle w:val="FootnoteText"/>
      </w:pPr>
      <w:r>
        <w:rPr>
          <w:rStyle w:val="FootnoteReference"/>
        </w:rPr>
        <w:footnoteRef/>
      </w:r>
      <w:r>
        <w:t xml:space="preserve"> </w:t>
      </w:r>
      <w:r>
        <w:tab/>
        <w:t xml:space="preserve">McKenzie and Partington advised 'the current market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860">
    <w:p w:rsidR="00702DD6" w:rsidRDefault="00702DD6" w:rsidP="00CE01EE">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861">
    <w:p w:rsidR="00702DD6" w:rsidRDefault="00702DD6" w:rsidP="00CE01EE">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pp.12-16.</w:t>
      </w:r>
    </w:p>
  </w:footnote>
  <w:footnote w:id="862">
    <w:p w:rsidR="00702DD6" w:rsidRDefault="00702DD6" w:rsidP="00CE01EE">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863">
    <w:p w:rsidR="00702DD6" w:rsidRDefault="00702DD6" w:rsidP="00CE01EE">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864">
    <w:p w:rsidR="00702DD6" w:rsidRDefault="00702DD6" w:rsidP="00CE01EE">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865">
    <w:p w:rsidR="00702DD6" w:rsidRDefault="00702DD6" w:rsidP="00CE01EE">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866">
    <w:p w:rsidR="00702DD6" w:rsidRDefault="00702DD6" w:rsidP="00CE01EE">
      <w:pPr>
        <w:pStyle w:val="FootnoteText"/>
      </w:pPr>
      <w:r>
        <w:rPr>
          <w:rStyle w:val="FootnoteReference"/>
        </w:rPr>
        <w:footnoteRef/>
      </w:r>
      <w:r>
        <w:t xml:space="preserve"> </w:t>
      </w:r>
      <w:r>
        <w:tab/>
        <w:t>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sidRPr="00261D90">
        <w:t xml:space="preserve"> </w:t>
      </w:r>
      <w:r>
        <w:t xml:space="preserve">and in our subsequent decisions. AER, </w:t>
      </w:r>
      <w:r w:rsidRPr="00ED444F">
        <w:rPr>
          <w:rStyle w:val="AERtextitalic"/>
        </w:rPr>
        <w:t>Explanatory statement to the rate of return guideline (appendices)</w:t>
      </w:r>
      <w:r>
        <w:t>, 17 December 2013, pp. 24</w:t>
      </w:r>
      <w:r>
        <w:rPr>
          <w:rFonts w:cs="Gautami"/>
        </w:rPr>
        <w:t>–</w:t>
      </w:r>
      <w:r>
        <w:t xml:space="preserve">28; AER, </w:t>
      </w:r>
      <w:r>
        <w:rPr>
          <w:rStyle w:val="AERtextitalic"/>
        </w:rPr>
        <w:t>Final</w:t>
      </w:r>
      <w:r w:rsidRPr="00137967">
        <w:rPr>
          <w:rStyle w:val="AERtextitalic"/>
        </w:rPr>
        <w:t xml:space="preserve"> decision </w:t>
      </w:r>
      <w:r>
        <w:rPr>
          <w:rStyle w:val="AERtextitalic"/>
        </w:rPr>
        <w:t>JGN Access arrangement 2015</w:t>
      </w:r>
      <w:r w:rsidRPr="002D2B43">
        <w:rPr>
          <w:rStyle w:val="AERtextitalic"/>
        </w:rPr>
        <w:t>–</w:t>
      </w:r>
      <w:r>
        <w:rPr>
          <w:rStyle w:val="AERtextitalic"/>
        </w:rPr>
        <w:t>20, Attachment 3</w:t>
      </w:r>
      <w:r>
        <w:t>, June 2015, pp. 83</w:t>
      </w:r>
      <w:r w:rsidRPr="001D46C6">
        <w:t>–</w:t>
      </w:r>
      <w:r>
        <w:t>88, 284–289.</w:t>
      </w:r>
    </w:p>
  </w:footnote>
  <w:footnote w:id="867">
    <w:p w:rsidR="00702DD6" w:rsidRDefault="00702DD6" w:rsidP="00CE01EE">
      <w:pPr>
        <w:pStyle w:val="FootnoteText"/>
      </w:pPr>
      <w:r>
        <w:rPr>
          <w:rStyle w:val="FootnoteReference"/>
        </w:rPr>
        <w:footnoteRef/>
      </w:r>
      <w:r>
        <w:t xml:space="preserve"> </w:t>
      </w:r>
      <w:r>
        <w:tab/>
        <w:t xml:space="preserve">CitiPower, </w:t>
      </w:r>
      <w:r w:rsidRPr="00B40B94">
        <w:rPr>
          <w:rStyle w:val="AERtextitalic"/>
        </w:rPr>
        <w:t>Revised regulatory proposal 2016–2020</w:t>
      </w:r>
      <w:r>
        <w:t xml:space="preserve">, January 2016, pp. 307, 309–310; </w:t>
      </w:r>
      <w:r w:rsidRPr="00273F0E">
        <w:t xml:space="preserve">Powercor, </w:t>
      </w:r>
      <w:r w:rsidRPr="00273F0E">
        <w:rPr>
          <w:rStyle w:val="Emphasis"/>
        </w:rPr>
        <w:t>Revised regulatory proposal 2016–2020</w:t>
      </w:r>
      <w:r w:rsidRPr="00273F0E">
        <w:t xml:space="preserve">, January 2016, pp. 301, 303–304;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United Energy, </w:t>
      </w:r>
      <w:r w:rsidRPr="00273F0E">
        <w:rPr>
          <w:rStyle w:val="Emphasis"/>
        </w:rPr>
        <w:t>Response to AER preliminary determination–Re: rate of return and gamma</w:t>
      </w:r>
      <w:r w:rsidRPr="00273F0E">
        <w:t xml:space="preserve">, 6 January 2016, p. 61; AGN, </w:t>
      </w:r>
      <w:r w:rsidRPr="00273F0E">
        <w:rPr>
          <w:rStyle w:val="Emphasis"/>
        </w:rPr>
        <w:t>2016–17 to 2020/21 Access Arrangement information response to draft decision: Attachment 10.26 Response to draft decision: rate of return</w:t>
      </w:r>
      <w:r w:rsidRPr="00273F0E">
        <w:t xml:space="preserve">, January 2016, pp. 66; JEN (Vic), </w:t>
      </w:r>
      <w:r w:rsidRPr="00273F0E">
        <w:rPr>
          <w:rStyle w:val="Emphasis"/>
        </w:rPr>
        <w:t>2016–20 Electricity distribution price review regulatory proposal revocation and substitution submission: Attachment 6–1 Rate of return, gamma, forecast inflation, and debt and equity raising costs,</w:t>
      </w:r>
      <w:r w:rsidRPr="00273F0E">
        <w:t xml:space="preserve"> 6 January 2016, pp. 66–67; AusNet Services, </w:t>
      </w:r>
      <w:r w:rsidRPr="00273F0E">
        <w:rPr>
          <w:rStyle w:val="Emphasis"/>
        </w:rPr>
        <w:t>Electricity distribution price review 2016–20 Revised regulatory proposal: Chapter 7 Rate of return &amp; gamma</w:t>
      </w:r>
      <w:r w:rsidRPr="00273F0E">
        <w:t xml:space="preserve">, 6 January 2016, pp.59–60; APTNT stated that it did not make submissions about the Wright approach in its original October 2015 submission. However, we note that APTNT's explanation of its original proposal for estimating the MRP is effectively an implementation of a Wright CAPM, see: </w:t>
      </w:r>
      <w:r w:rsidRPr="00273F0E">
        <w:rPr>
          <w:rStyle w:val="Emphasis"/>
        </w:rPr>
        <w:t>Amadeus Gas Pipeline Access arrangement revised proposal: response to Draft Decision,</w:t>
      </w:r>
      <w:r w:rsidRPr="00273F0E">
        <w:t xml:space="preserve"> January 2016, pp. 65–68.</w:t>
      </w:r>
    </w:p>
  </w:footnote>
  <w:footnote w:id="868">
    <w:p w:rsidR="00702DD6" w:rsidRDefault="00702DD6" w:rsidP="00CE01E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31.</w:t>
      </w:r>
    </w:p>
  </w:footnote>
  <w:footnote w:id="869">
    <w:p w:rsidR="00702DD6" w:rsidRDefault="00702DD6" w:rsidP="007C2B29">
      <w:pPr>
        <w:pStyle w:val="FootnoteText"/>
      </w:pPr>
      <w:r>
        <w:rPr>
          <w:rStyle w:val="FootnoteReference"/>
        </w:rPr>
        <w:footnoteRef/>
      </w:r>
      <w:r>
        <w:t xml:space="preserve"> </w:t>
      </w:r>
      <w:r>
        <w:tab/>
        <w:t>The Sharpe-Lintner CAPM is an equilibrium pricing model and hence the market risk premium parameter of the model should reflect the premium that investors require in a market in equilibrium. In this section, we examine returns that have been realised in practice, over periods in which the market may not have been in equilibrium. This data is used for practical reasons - the ex-ante required return of investors is not observable. We consider that realised returns remain a reliable indicator of investor expectations in market equilibrium.</w:t>
      </w:r>
    </w:p>
  </w:footnote>
  <w:footnote w:id="870">
    <w:p w:rsidR="00702DD6" w:rsidRDefault="00702DD6" w:rsidP="007C2B29">
      <w:pPr>
        <w:pStyle w:val="FootnoteText"/>
      </w:pPr>
      <w:r>
        <w:rPr>
          <w:rStyle w:val="FootnoteReference"/>
        </w:rPr>
        <w:footnoteRef/>
      </w:r>
      <w:r>
        <w:t xml:space="preserve"> </w:t>
      </w:r>
      <w:r>
        <w:tab/>
      </w:r>
      <w:r w:rsidRPr="00B63E65">
        <w:t xml:space="preserve">Brailsford, Handley, Maheswaran, ‘Re-examination of the historical equity risk premium in Australia’, </w:t>
      </w:r>
      <w:r w:rsidRPr="00B63E65">
        <w:rPr>
          <w:rStyle w:val="AERtextitalic"/>
        </w:rPr>
        <w:t>Accounting and Finance</w:t>
      </w:r>
      <w:r w:rsidRPr="00B63E65">
        <w:t>, Vol. 48, 2008, pp. 76–77, 85–86</w:t>
      </w:r>
      <w:r>
        <w:t>.</w:t>
      </w:r>
    </w:p>
  </w:footnote>
  <w:footnote w:id="871">
    <w:p w:rsidR="00702DD6" w:rsidRDefault="00702DD6" w:rsidP="007C2B29">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872">
    <w:p w:rsidR="00702DD6" w:rsidRDefault="00702DD6" w:rsidP="007C2B29">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873">
    <w:p w:rsidR="00702DD6" w:rsidRDefault="00702DD6" w:rsidP="007C2B29">
      <w:pPr>
        <w:pStyle w:val="FootnoteText"/>
      </w:pPr>
      <w:r>
        <w:rPr>
          <w:rStyle w:val="FootnoteReference"/>
        </w:rPr>
        <w:footnoteRef/>
      </w:r>
      <w:r>
        <w:t xml:space="preserve"> </w:t>
      </w:r>
      <w:r>
        <w:tab/>
        <w:t xml:space="preserve">See section </w:t>
      </w:r>
      <w:r>
        <w:fldChar w:fldCharType="begin"/>
      </w:r>
      <w:r>
        <w:instrText xml:space="preserve"> REF _Ref449018117 \r \h </w:instrText>
      </w:r>
      <w:r>
        <w:fldChar w:fldCharType="separate"/>
      </w:r>
      <w:r>
        <w:t>B.5</w:t>
      </w:r>
      <w:r>
        <w:fldChar w:fldCharType="end"/>
      </w:r>
      <w:r>
        <w:t xml:space="preserve"> for details on the Wright CAPM.</w:t>
      </w:r>
    </w:p>
  </w:footnote>
  <w:footnote w:id="874">
    <w:p w:rsidR="00702DD6" w:rsidRDefault="00702DD6" w:rsidP="007C2B29">
      <w:pPr>
        <w:pStyle w:val="FootnoteText"/>
      </w:pPr>
      <w:r>
        <w:rPr>
          <w:rStyle w:val="FootnoteReference"/>
        </w:rPr>
        <w:footnoteRef/>
      </w:r>
      <w:r>
        <w:t xml:space="preserve"> </w:t>
      </w:r>
      <w:r>
        <w:tab/>
        <w:t>Our risk free rate estimate is 2.94 per cent.</w:t>
      </w:r>
    </w:p>
  </w:footnote>
  <w:footnote w:id="875">
    <w:p w:rsidR="00702DD6" w:rsidRDefault="00702DD6" w:rsidP="007C2B29">
      <w:pPr>
        <w:pStyle w:val="FootnoteText"/>
      </w:pPr>
      <w:r>
        <w:rPr>
          <w:rStyle w:val="FootnoteReference"/>
        </w:rPr>
        <w:footnoteRef/>
      </w:r>
      <w:r>
        <w:t xml:space="preserve"> </w:t>
      </w:r>
      <w:r>
        <w:tab/>
        <w:t xml:space="preserve">Our estimated range for equity beta is 0.4 to 0.7. For more detail, see section </w:t>
      </w:r>
      <w:r>
        <w:fldChar w:fldCharType="begin"/>
      </w:r>
      <w:r>
        <w:instrText xml:space="preserve"> REF _Ref451691090 \r \h </w:instrText>
      </w:r>
      <w:r>
        <w:fldChar w:fldCharType="separate"/>
      </w:r>
      <w:r>
        <w:t>3.4.1</w:t>
      </w:r>
      <w:r>
        <w:fldChar w:fldCharType="end"/>
      </w:r>
      <w:r>
        <w:t>.</w:t>
      </w:r>
    </w:p>
  </w:footnote>
  <w:footnote w:id="876">
    <w:p w:rsidR="00702DD6" w:rsidRDefault="00702DD6" w:rsidP="007C2B29">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877">
    <w:p w:rsidR="00702DD6" w:rsidRDefault="00702DD6" w:rsidP="007C2B29">
      <w:pPr>
        <w:pStyle w:val="FootnoteText"/>
      </w:pPr>
      <w:r>
        <w:rPr>
          <w:rStyle w:val="FootnoteReference"/>
        </w:rPr>
        <w:footnoteRef/>
      </w:r>
      <w:r>
        <w:t xml:space="preserve"> </w:t>
      </w:r>
      <w:r>
        <w:tab/>
        <w:t xml:space="preserve">AER, </w:t>
      </w:r>
      <w:r w:rsidRPr="00E83706">
        <w:rPr>
          <w:rStyle w:val="AERtextitalic"/>
        </w:rPr>
        <w:t>Jemena Gas Networks final decision 2015-20</w:t>
      </w:r>
      <w:r>
        <w:rPr>
          <w:rStyle w:val="AERtextitalic"/>
        </w:rPr>
        <w:t>: Attachment 3—Rate of r</w:t>
      </w:r>
      <w:r w:rsidRPr="00E83706">
        <w:rPr>
          <w:rStyle w:val="AERtextitalic"/>
        </w:rPr>
        <w:t>eturn</w:t>
      </w:r>
      <w:r>
        <w:t>, June 2015, pp.333–338.</w:t>
      </w:r>
    </w:p>
  </w:footnote>
  <w:footnote w:id="878">
    <w:p w:rsidR="00702DD6" w:rsidRDefault="00702DD6" w:rsidP="007C2B29">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879">
    <w:p w:rsidR="00702DD6" w:rsidRDefault="00702DD6" w:rsidP="007C2B29">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880">
    <w:p w:rsidR="00702DD6" w:rsidRDefault="00702DD6" w:rsidP="007C2B29">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881">
    <w:p w:rsidR="00702DD6" w:rsidRDefault="00702DD6" w:rsidP="007C2B29">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r>
        <w:t xml:space="preserve">  Also see, Australian Competition Tribunal</w:t>
      </w:r>
      <w:r w:rsidRPr="00024F5D">
        <w:rPr>
          <w:rStyle w:val="AERtextitalic"/>
        </w:rPr>
        <w:t>, Application by Public interest Advocacy Centre Ltd and Ausgrid [2016] ACompT 1</w:t>
      </w:r>
      <w:r>
        <w:t>, 26 February 2016.</w:t>
      </w:r>
    </w:p>
  </w:footnote>
  <w:footnote w:id="882">
    <w:p w:rsidR="00702DD6" w:rsidRDefault="00702DD6" w:rsidP="007C2B29">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883">
    <w:p w:rsidR="00702DD6" w:rsidRDefault="00702DD6" w:rsidP="007C2B29">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884">
    <w:p w:rsidR="00702DD6" w:rsidRDefault="00702DD6" w:rsidP="007C2B29">
      <w:pPr>
        <w:pStyle w:val="FootnoteText"/>
      </w:pPr>
      <w:r>
        <w:rPr>
          <w:rStyle w:val="FootnoteReference"/>
        </w:rPr>
        <w:footnoteRef/>
      </w:r>
      <w:r>
        <w:t xml:space="preserve"> </w:t>
      </w:r>
      <w:r>
        <w:tab/>
        <w:t xml:space="preserve">See, for example: NERA, </w:t>
      </w:r>
      <w:r w:rsidRPr="009D2D21">
        <w:rPr>
          <w:rStyle w:val="AERtextitalic"/>
        </w:rPr>
        <w:t xml:space="preserve">Prevailing conditions and the market risk premium: A report for </w:t>
      </w:r>
      <w:r>
        <w:rPr>
          <w:rStyle w:val="AERtextitalic"/>
        </w:rPr>
        <w:t>APA Group</w:t>
      </w:r>
      <w:r w:rsidRPr="009D2D21">
        <w:rPr>
          <w:rStyle w:val="AERtextitalic"/>
        </w:rPr>
        <w:t>, Envestra, MultiNet and SP AusNet</w:t>
      </w:r>
      <w:r>
        <w:t xml:space="preserve">, March 2012, pp. 3–16; NERA, </w:t>
      </w:r>
      <w:r w:rsidRPr="009D2D21">
        <w:rPr>
          <w:rStyle w:val="AERtextitalic"/>
        </w:rPr>
        <w:t>The market, size and value premiums: A report for the Energy Networks Association</w:t>
      </w:r>
      <w:r>
        <w:t xml:space="preserve">, June 2013, pp. 25–30 (NERA, </w:t>
      </w:r>
      <w:r w:rsidRPr="009D2D21">
        <w:rPr>
          <w:rStyle w:val="AERtextitalic"/>
        </w:rPr>
        <w:t xml:space="preserve">The </w:t>
      </w:r>
      <w:r>
        <w:rPr>
          <w:rStyle w:val="AERtextitalic"/>
        </w:rPr>
        <w:t>market, size and value premiums</w:t>
      </w:r>
      <w:r>
        <w:t xml:space="preserve">, June 2013); NERA, </w:t>
      </w:r>
      <w:r w:rsidRPr="004D0611">
        <w:rPr>
          <w:rStyle w:val="AERtextitalic"/>
        </w:rPr>
        <w:t>Historical estim</w:t>
      </w:r>
      <w:r>
        <w:rPr>
          <w:rStyle w:val="AERtextitalic"/>
        </w:rPr>
        <w:t>ates of the market risk premium</w:t>
      </w:r>
      <w:r>
        <w:t xml:space="preserve">, February 2015, pp. 12–24. </w:t>
      </w:r>
    </w:p>
  </w:footnote>
  <w:footnote w:id="885">
    <w:p w:rsidR="00702DD6" w:rsidRDefault="00702DD6" w:rsidP="007C2B29">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14–28.</w:t>
      </w:r>
    </w:p>
  </w:footnote>
  <w:footnote w:id="886">
    <w:p w:rsidR="00702DD6" w:rsidRDefault="00702DD6" w:rsidP="007C2B29">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33-38.</w:t>
      </w:r>
    </w:p>
  </w:footnote>
  <w:footnote w:id="887">
    <w:p w:rsidR="00702DD6" w:rsidRDefault="00702DD6" w:rsidP="007C2B29">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 44.</w:t>
      </w:r>
    </w:p>
  </w:footnote>
  <w:footnote w:id="888">
    <w:p w:rsidR="00702DD6" w:rsidRDefault="00702DD6" w:rsidP="007C2B29">
      <w:pPr>
        <w:pStyle w:val="FootnoteText"/>
      </w:pPr>
      <w:r>
        <w:rPr>
          <w:rStyle w:val="FootnoteReference"/>
        </w:rPr>
        <w:footnoteRef/>
      </w:r>
      <w:r>
        <w:t xml:space="preserve"> </w:t>
      </w:r>
      <w:r>
        <w:tab/>
      </w:r>
      <w:r w:rsidRPr="00F9407B">
        <w:t xml:space="preserve">Partington and Satchell, </w:t>
      </w:r>
      <w:r w:rsidRPr="00F9407B">
        <w:rPr>
          <w:rStyle w:val="AERtextitalic"/>
        </w:rPr>
        <w:t>Report to the AER: Return on equity and comment on submissions in relation to JGN</w:t>
      </w:r>
      <w:r w:rsidRPr="00F9407B">
        <w:t>, May 2015, p. 17</w:t>
      </w:r>
      <w:r>
        <w:t>.</w:t>
      </w:r>
    </w:p>
  </w:footnote>
  <w:footnote w:id="889">
    <w:p w:rsidR="00702DD6" w:rsidRDefault="00702DD6" w:rsidP="007C2B29">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pp. 5–9.</w:t>
      </w:r>
    </w:p>
  </w:footnote>
  <w:footnote w:id="890">
    <w:p w:rsidR="00702DD6" w:rsidRDefault="00702DD6" w:rsidP="007C2B29">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 8.</w:t>
      </w:r>
    </w:p>
  </w:footnote>
  <w:footnote w:id="891">
    <w:p w:rsidR="00702DD6" w:rsidRDefault="00702DD6" w:rsidP="007C2B29">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892">
    <w:p w:rsidR="00702DD6" w:rsidRDefault="00702DD6" w:rsidP="007C2B29">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35.</w:t>
      </w:r>
    </w:p>
  </w:footnote>
  <w:footnote w:id="893">
    <w:p w:rsidR="00702DD6" w:rsidRDefault="00702DD6" w:rsidP="007C2B29">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894">
    <w:p w:rsidR="00702DD6" w:rsidRDefault="00702DD6" w:rsidP="007C2B29">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19–20.</w:t>
      </w:r>
    </w:p>
  </w:footnote>
  <w:footnote w:id="895">
    <w:p w:rsidR="00702DD6" w:rsidRDefault="00702DD6" w:rsidP="007C2B29">
      <w:pPr>
        <w:pStyle w:val="FootnoteText"/>
      </w:pPr>
      <w:r>
        <w:rPr>
          <w:rStyle w:val="FootnoteReference"/>
        </w:rPr>
        <w:footnoteRef/>
      </w:r>
      <w:r>
        <w:t xml:space="preserve"> </w:t>
      </w:r>
      <w:r>
        <w:tab/>
        <w:t xml:space="preserve">See </w:t>
      </w:r>
      <w:r w:rsidRPr="00007A3F">
        <w:t xml:space="preserve">SFG, </w:t>
      </w:r>
      <w:r w:rsidRPr="00AB7242">
        <w:rPr>
          <w:rStyle w:val="AERtextitalic"/>
        </w:rPr>
        <w:t>The required return on equity for the benchmark efficient entity</w:t>
      </w:r>
      <w:r>
        <w:t xml:space="preserve">, </w:t>
      </w:r>
      <w:r w:rsidRPr="00007A3F">
        <w:t>February 2015, p. 23</w:t>
      </w:r>
      <w:r>
        <w:t xml:space="preserve">; </w:t>
      </w:r>
      <w:r w:rsidRPr="00AB7242">
        <w:t xml:space="preserve">Frontier, </w:t>
      </w:r>
      <w:r w:rsidRPr="00AB7242">
        <w:rPr>
          <w:rStyle w:val="AERtextitalic"/>
        </w:rPr>
        <w:t>Key issues in estimating the return on equity for the benchmark efficient entity: Report prepared for ActewAGL Distribution, AGN, AusNet Services, CitiPower, Ergon, Energex, Jemena Electricity Networks, Powercor, SA Power Networks, and United Energy</w:t>
      </w:r>
      <w:r w:rsidRPr="00AB7242">
        <w:t>, June 2015</w:t>
      </w:r>
      <w:r>
        <w:t>, p. 62.</w:t>
      </w:r>
    </w:p>
  </w:footnote>
  <w:footnote w:id="896">
    <w:p w:rsidR="00702DD6" w:rsidRDefault="00702DD6" w:rsidP="007C2B29">
      <w:pPr>
        <w:pStyle w:val="FootnoteText"/>
      </w:pPr>
      <w:r>
        <w:rPr>
          <w:rStyle w:val="FootnoteReference"/>
        </w:rPr>
        <w:footnoteRef/>
      </w:r>
      <w:r>
        <w:t xml:space="preserve"> </w:t>
      </w:r>
      <w:r>
        <w:tab/>
      </w:r>
      <w:r w:rsidRPr="00007A3F">
        <w:t xml:space="preserve">SFG, </w:t>
      </w:r>
      <w:r w:rsidRPr="00AB7242">
        <w:rPr>
          <w:rStyle w:val="AERtextitalic"/>
        </w:rPr>
        <w:t>The required return on equity for regulated gas and electricity network businesses</w:t>
      </w:r>
      <w:r>
        <w:t xml:space="preserve">, </w:t>
      </w:r>
      <w:r w:rsidRPr="00007A3F">
        <w:t>May 2014, p</w:t>
      </w:r>
      <w:r>
        <w:t>p</w:t>
      </w:r>
      <w:r w:rsidRPr="00007A3F">
        <w:t xml:space="preserve">. </w:t>
      </w:r>
      <w:r>
        <w:t>44–</w:t>
      </w:r>
      <w:r w:rsidRPr="00007A3F">
        <w:t>49</w:t>
      </w:r>
      <w:r>
        <w:t>.</w:t>
      </w:r>
    </w:p>
  </w:footnote>
  <w:footnote w:id="897">
    <w:p w:rsidR="00702DD6" w:rsidRDefault="00702DD6" w:rsidP="007C2B29">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xml:space="preserve">, August 2012, appendix B section B.2.1; AER, </w:t>
      </w:r>
      <w:r w:rsidRPr="00E83706">
        <w:rPr>
          <w:rStyle w:val="AERtextitalic"/>
        </w:rPr>
        <w:t>Jemena Gas Networks final decision 2015-20</w:t>
      </w:r>
      <w:r>
        <w:rPr>
          <w:rStyle w:val="AERtextitalic"/>
        </w:rPr>
        <w:t>: Attachment 3—Rate of r</w:t>
      </w:r>
      <w:r w:rsidRPr="00E83706">
        <w:rPr>
          <w:rStyle w:val="AERtextitalic"/>
        </w:rPr>
        <w:t>eturn</w:t>
      </w:r>
      <w:r>
        <w:t>, June 2015, pp.333–338.</w:t>
      </w:r>
    </w:p>
  </w:footnote>
  <w:footnote w:id="898">
    <w:p w:rsidR="00702DD6" w:rsidRDefault="00702DD6" w:rsidP="007C2B29">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Also see NERA, </w:t>
      </w:r>
      <w:r w:rsidRPr="0070750B">
        <w:rPr>
          <w:rStyle w:val="AERtextitalic"/>
        </w:rPr>
        <w:t xml:space="preserve">Further assessment of the historical MRP: Response to the AER's final decisions for the NSW </w:t>
      </w:r>
      <w:r>
        <w:rPr>
          <w:rStyle w:val="AERtextitalic"/>
        </w:rPr>
        <w:t>and ACT electricity distributors</w:t>
      </w:r>
      <w:r>
        <w:t>, June 2015, p. 14.</w:t>
      </w:r>
    </w:p>
  </w:footnote>
  <w:footnote w:id="899">
    <w:p w:rsidR="00702DD6" w:rsidRDefault="00702DD6" w:rsidP="007C2B29">
      <w:pPr>
        <w:pStyle w:val="FootnoteText"/>
      </w:pPr>
      <w:r>
        <w:rPr>
          <w:rStyle w:val="FootnoteReference"/>
        </w:rPr>
        <w:footnoteRef/>
      </w:r>
      <w:r>
        <w:t xml:space="preserve"> </w:t>
      </w:r>
      <w:r>
        <w:tab/>
        <w:t xml:space="preserve">Partington and Satchell, </w:t>
      </w:r>
      <w:r w:rsidRPr="00F15DCC">
        <w:rPr>
          <w:rStyle w:val="AERtextitalic"/>
        </w:rPr>
        <w:t>Report to the AER: Return on equity and comment on submissions in relation to JGN</w:t>
      </w:r>
      <w:r>
        <w:t>, May 2015, p. 17.</w:t>
      </w:r>
    </w:p>
  </w:footnote>
  <w:footnote w:id="900">
    <w:p w:rsidR="00702DD6" w:rsidRDefault="00702DD6" w:rsidP="007C2B29">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901">
    <w:p w:rsidR="00702DD6" w:rsidRDefault="00702DD6" w:rsidP="007C2B29">
      <w:pPr>
        <w:pStyle w:val="FootnoteText"/>
      </w:pPr>
      <w:r>
        <w:rPr>
          <w:rStyle w:val="FootnoteReference"/>
        </w:rPr>
        <w:footnoteRef/>
      </w:r>
      <w:r>
        <w:t xml:space="preserve"> </w:t>
      </w:r>
      <w:r>
        <w:tab/>
      </w:r>
      <w:r w:rsidRPr="00915FAC">
        <w:t xml:space="preserve">Brailsford, Handley, Maheswaran, ‘Re-examination of the historical equity risk premium in Australia’, </w:t>
      </w:r>
      <w:r w:rsidRPr="00915FAC">
        <w:rPr>
          <w:rStyle w:val="AERtextitalic"/>
        </w:rPr>
        <w:t>Accounting and Finance</w:t>
      </w:r>
      <w:r w:rsidRPr="00915FAC">
        <w:t>, Vol. 48, 2008, pp. 79–81.</w:t>
      </w:r>
    </w:p>
  </w:footnote>
  <w:footnote w:id="902">
    <w:p w:rsidR="00702DD6" w:rsidRDefault="00702DD6" w:rsidP="007C2B29">
      <w:pPr>
        <w:pStyle w:val="FootnoteText"/>
      </w:pPr>
      <w:r>
        <w:rPr>
          <w:rStyle w:val="FootnoteReference"/>
        </w:rPr>
        <w:footnoteRef/>
      </w:r>
      <w:r>
        <w:t xml:space="preserve"> </w:t>
      </w:r>
      <w:r>
        <w:tab/>
      </w:r>
      <w:r w:rsidRPr="00915FAC">
        <w:t xml:space="preserve">NERA, </w:t>
      </w:r>
      <w:r w:rsidRPr="00915FAC">
        <w:rPr>
          <w:rStyle w:val="AERtextitalic"/>
        </w:rPr>
        <w:t>The market risk premium, analysis in response to the AER’s draft rate of return guideline: A report for the Energy Networks Association</w:t>
      </w:r>
      <w:r w:rsidRPr="00915FAC">
        <w:t xml:space="preserve">, 11 October 2013. (NERA, </w:t>
      </w:r>
      <w:r w:rsidRPr="00915FAC">
        <w:rPr>
          <w:rStyle w:val="AERtextitalic"/>
        </w:rPr>
        <w:t>Market risk premium for the ENA</w:t>
      </w:r>
      <w:r w:rsidRPr="00915FAC">
        <w:t xml:space="preserve">, October 2013); NERA, </w:t>
      </w:r>
      <w:r w:rsidRPr="00915FAC">
        <w:rPr>
          <w:rStyle w:val="AERtextitalic"/>
        </w:rPr>
        <w:t>The market size and value premiums</w:t>
      </w:r>
      <w:r w:rsidRPr="00915FAC">
        <w:t xml:space="preserve">, June 2013. This alternative adjustment was supported by SFG in its 2014 and 2015 reports for several service providers (see SFG, </w:t>
      </w:r>
      <w:r w:rsidRPr="00915FAC">
        <w:rPr>
          <w:rStyle w:val="AERtextitalic"/>
        </w:rPr>
        <w:t>The required return on equity for regulated gas and electricity network businesses</w:t>
      </w:r>
      <w:r w:rsidRPr="00915FAC">
        <w:t xml:space="preserve">, May 2014, pp. 49–50; SFG, </w:t>
      </w:r>
      <w:r w:rsidRPr="00915FAC">
        <w:rPr>
          <w:rStyle w:val="AERtextitalic"/>
        </w:rPr>
        <w:t>The required return on equity for the benchmark efficient entity</w:t>
      </w:r>
      <w:r w:rsidRPr="00915FAC">
        <w:t>, February 2015, pp. 49–52).</w:t>
      </w:r>
    </w:p>
  </w:footnote>
  <w:footnote w:id="903">
    <w:p w:rsidR="00702DD6" w:rsidRDefault="00702DD6" w:rsidP="007C2B29">
      <w:pPr>
        <w:pStyle w:val="FootnoteText"/>
      </w:pPr>
      <w:r>
        <w:rPr>
          <w:rStyle w:val="FootnoteReference"/>
        </w:rPr>
        <w:footnoteRef/>
      </w:r>
      <w:r>
        <w:t xml:space="preserve"> </w:t>
      </w:r>
      <w:r>
        <w:tab/>
      </w:r>
      <w:r w:rsidRPr="00D536CE">
        <w:t xml:space="preserve">NERA, </w:t>
      </w:r>
      <w:r w:rsidRPr="00900963">
        <w:rPr>
          <w:rStyle w:val="AERtextitalic"/>
        </w:rPr>
        <w:t>The market risk premium, analysis in response to the AER’s draft rate of return guideline: A report for the Energy Networks Association</w:t>
      </w:r>
      <w:r>
        <w:t>, 11 October 2013</w:t>
      </w:r>
      <w:r w:rsidRPr="00D536CE">
        <w:t xml:space="preserve">; </w:t>
      </w:r>
      <w:r>
        <w:t xml:space="preserve">NERA, </w:t>
      </w:r>
      <w:r w:rsidRPr="001E253F">
        <w:rPr>
          <w:rStyle w:val="AERtextitalic"/>
        </w:rPr>
        <w:t>The market size and value premiums</w:t>
      </w:r>
      <w:r>
        <w:t xml:space="preserve">, June 2013; NERA, </w:t>
      </w:r>
      <w:r w:rsidRPr="004D0611">
        <w:rPr>
          <w:rStyle w:val="AERtextitalic"/>
        </w:rPr>
        <w:t>Historical estim</w:t>
      </w:r>
      <w:r>
        <w:rPr>
          <w:rStyle w:val="AERtextitalic"/>
        </w:rPr>
        <w:t>ates of the market risk premium</w:t>
      </w:r>
      <w:r>
        <w:t>, February 2015, pp. i–vii</w:t>
      </w:r>
      <w:r w:rsidRPr="00B11FD5">
        <w:t xml:space="preserve"> </w:t>
      </w:r>
      <w:r>
        <w:t xml:space="preserve">; NERA, </w:t>
      </w:r>
      <w:r w:rsidRPr="0070750B">
        <w:rPr>
          <w:rStyle w:val="AERtextitalic"/>
        </w:rPr>
        <w:t xml:space="preserve">Further assessment of the historical </w:t>
      </w:r>
      <w:r>
        <w:rPr>
          <w:rStyle w:val="AERtextitalic"/>
        </w:rPr>
        <w:t>Market Risk Premium</w:t>
      </w:r>
      <w:r w:rsidRPr="0070750B">
        <w:rPr>
          <w:rStyle w:val="AERtextitalic"/>
        </w:rPr>
        <w:t xml:space="preserve">: Response to the AER's final decisions for the NSW </w:t>
      </w:r>
      <w:r>
        <w:rPr>
          <w:rStyle w:val="AERtextitalic"/>
        </w:rPr>
        <w:t>and ACT electricity distributors</w:t>
      </w:r>
      <w:r>
        <w:t xml:space="preserve">, June 2015, pp. 5, 8, 10. NERA's alternative adjustment was supported by SFG in its 2014 and 2015 reports for several service providers, see: SFG, </w:t>
      </w:r>
      <w:r w:rsidRPr="009A4E12">
        <w:rPr>
          <w:rStyle w:val="AERtextitalic"/>
        </w:rPr>
        <w:t>The required return on equity for regulated gas and electricity network businesses</w:t>
      </w:r>
      <w:r>
        <w:t xml:space="preserve">, May 2014, pp. 49–50; </w:t>
      </w:r>
      <w:r w:rsidRPr="002C4DC1">
        <w:t xml:space="preserve">SFG, </w:t>
      </w:r>
      <w:r w:rsidRPr="002C4DC1">
        <w:rPr>
          <w:rStyle w:val="AERtextitalic"/>
        </w:rPr>
        <w:t>The required return on equity for the benchmark efficient entity</w:t>
      </w:r>
      <w:r>
        <w:t xml:space="preserve">, </w:t>
      </w:r>
      <w:r w:rsidRPr="002C4DC1">
        <w:t>February 2015</w:t>
      </w:r>
      <w:r>
        <w:t>, pp. 49–52.</w:t>
      </w:r>
    </w:p>
  </w:footnote>
  <w:footnote w:id="904">
    <w:p w:rsidR="00702DD6" w:rsidRDefault="00702DD6" w:rsidP="007C2B29">
      <w:pPr>
        <w:pStyle w:val="FootnoteText"/>
      </w:pPr>
      <w:r>
        <w:rPr>
          <w:rStyle w:val="FootnoteReference"/>
        </w:rPr>
        <w:footnoteRef/>
      </w:r>
      <w:r>
        <w:t xml:space="preserve"> </w:t>
      </w:r>
      <w:r>
        <w:tab/>
        <w:t xml:space="preserve">AER, </w:t>
      </w:r>
      <w:r>
        <w:rPr>
          <w:rStyle w:val="Emphasis"/>
        </w:rPr>
        <w:t>Draft decision ActewAGL</w:t>
      </w:r>
      <w:r w:rsidRPr="002147A6">
        <w:rPr>
          <w:rStyle w:val="Emphasis"/>
        </w:rPr>
        <w:t xml:space="preserve"> </w:t>
      </w:r>
      <w:r>
        <w:rPr>
          <w:rStyle w:val="Emphasis"/>
        </w:rPr>
        <w:t>access arrangement</w:t>
      </w:r>
      <w:r w:rsidRPr="002147A6">
        <w:rPr>
          <w:rStyle w:val="Emphasis"/>
        </w:rPr>
        <w:t xml:space="preserve"> 2016 to 2020</w:t>
      </w:r>
      <w:r>
        <w:rPr>
          <w:rStyle w:val="Emphasis"/>
        </w:rPr>
        <w:t xml:space="preserve">: </w:t>
      </w:r>
      <w:r w:rsidRPr="00AD44F5">
        <w:rPr>
          <w:rStyle w:val="Emphasis"/>
        </w:rPr>
        <w:t>Attachment 3 - Rate of return</w:t>
      </w:r>
      <w:r>
        <w:t>, November 2015, pp. 385 - 390.</w:t>
      </w:r>
    </w:p>
  </w:footnote>
  <w:footnote w:id="905">
    <w:p w:rsidR="00702DD6" w:rsidRDefault="00702DD6" w:rsidP="007C2B2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906">
    <w:p w:rsidR="00702DD6" w:rsidRDefault="00702DD6" w:rsidP="007C2B29">
      <w:pPr>
        <w:pStyle w:val="FootnoteText"/>
      </w:pPr>
      <w:r>
        <w:rPr>
          <w:rStyle w:val="FootnoteReference"/>
        </w:rPr>
        <w:footnoteRef/>
      </w:r>
      <w:r>
        <w:t xml:space="preserve"> </w:t>
      </w:r>
      <w:r>
        <w:tab/>
        <w:t xml:space="preserve">Handley, </w:t>
      </w:r>
      <w:r w:rsidRPr="007F105A">
        <w:rPr>
          <w:rStyle w:val="AERtextitalic"/>
        </w:rPr>
        <w:t>Further advice on the return on equity</w:t>
      </w:r>
      <w:r>
        <w:t>, April 2015, p. 8. Houston Kemp notes that NERA's analysis is based on a sample of nine, rather than seven, data points. This does not alter Handley's argument.</w:t>
      </w:r>
    </w:p>
  </w:footnote>
  <w:footnote w:id="907">
    <w:p w:rsidR="00702DD6" w:rsidRDefault="00702DD6" w:rsidP="007C2B29">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908">
    <w:p w:rsidR="00702DD6" w:rsidRDefault="00702DD6" w:rsidP="007C2B29">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80-81.</w:t>
      </w:r>
    </w:p>
  </w:footnote>
  <w:footnote w:id="909">
    <w:p w:rsidR="00702DD6" w:rsidRDefault="00702DD6" w:rsidP="007C2B29">
      <w:pPr>
        <w:pStyle w:val="FootnoteText"/>
      </w:pPr>
      <w:r>
        <w:rPr>
          <w:rStyle w:val="FootnoteReference"/>
        </w:rPr>
        <w:footnoteRef/>
      </w:r>
      <w:r>
        <w:t xml:space="preserve"> </w:t>
      </w:r>
      <w:r>
        <w:tab/>
        <w:t xml:space="preserve">See NERA, </w:t>
      </w:r>
      <w:r w:rsidRPr="004D0611">
        <w:rPr>
          <w:rStyle w:val="AERtextitalic"/>
        </w:rPr>
        <w:t>Historical estim</w:t>
      </w:r>
      <w:r>
        <w:rPr>
          <w:rStyle w:val="AERtextitalic"/>
        </w:rPr>
        <w:t>ates of the market risk premium</w:t>
      </w:r>
      <w:r>
        <w:t>, February 2015, p. vi.</w:t>
      </w:r>
    </w:p>
  </w:footnote>
  <w:footnote w:id="910">
    <w:p w:rsidR="00702DD6" w:rsidRDefault="00702DD6" w:rsidP="007C2B29">
      <w:pPr>
        <w:pStyle w:val="FootnoteText"/>
      </w:pPr>
      <w:r>
        <w:rPr>
          <w:rStyle w:val="FootnoteReference"/>
        </w:rPr>
        <w:footnoteRef/>
      </w:r>
      <w:r>
        <w:t xml:space="preserve"> </w:t>
      </w:r>
      <w:r>
        <w:tab/>
      </w:r>
      <w:r w:rsidRPr="00C73AC0">
        <w:t xml:space="preserve">Handley, </w:t>
      </w:r>
      <w:r>
        <w:rPr>
          <w:rStyle w:val="AERtextitalic"/>
        </w:rPr>
        <w:t>Advice on the r</w:t>
      </w:r>
      <w:r w:rsidRPr="00C73AC0">
        <w:rPr>
          <w:rStyle w:val="AERtextitalic"/>
        </w:rPr>
        <w:t>eturn</w:t>
      </w:r>
      <w:r>
        <w:rPr>
          <w:rStyle w:val="AERtextitalic"/>
        </w:rPr>
        <w:t xml:space="preserve"> on e</w:t>
      </w:r>
      <w:r w:rsidRPr="00C73AC0">
        <w:rPr>
          <w:rStyle w:val="AERtextitalic"/>
        </w:rPr>
        <w:t>quity</w:t>
      </w:r>
      <w:r w:rsidRPr="00C73AC0">
        <w:t>, October 2014</w:t>
      </w:r>
      <w:r>
        <w:t>, p. 19</w:t>
      </w:r>
    </w:p>
  </w:footnote>
  <w:footnote w:id="911">
    <w:p w:rsidR="00702DD6" w:rsidRDefault="00702DD6" w:rsidP="007C2B29">
      <w:pPr>
        <w:pStyle w:val="FootnoteText"/>
      </w:pPr>
      <w:r>
        <w:rPr>
          <w:rStyle w:val="FootnoteReference"/>
        </w:rPr>
        <w:footnoteRef/>
      </w:r>
      <w:r>
        <w:t xml:space="preserve"> </w:t>
      </w:r>
      <w:r>
        <w:tab/>
        <w:t xml:space="preserve">Handley, </w:t>
      </w:r>
      <w:r w:rsidRPr="00E56D74">
        <w:rPr>
          <w:rStyle w:val="AERtextitalic"/>
        </w:rPr>
        <w:t>Advice on the rate of return for the 2015 AER energy network determination for Jemena Gas Networks</w:t>
      </w:r>
      <w:r>
        <w:t>, May 2015, p. 27.</w:t>
      </w:r>
    </w:p>
  </w:footnote>
  <w:footnote w:id="912">
    <w:p w:rsidR="00702DD6" w:rsidRDefault="00702DD6" w:rsidP="007C2B29">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913">
    <w:p w:rsidR="00702DD6" w:rsidRDefault="00702DD6" w:rsidP="007C2B29">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pp</w:t>
      </w:r>
      <w:r w:rsidRPr="00F05A72">
        <w:t xml:space="preserve">. </w:t>
      </w:r>
      <w:r>
        <w:t>76–77.</w:t>
      </w:r>
    </w:p>
  </w:footnote>
  <w:footnote w:id="914">
    <w:p w:rsidR="00702DD6" w:rsidRDefault="00702DD6" w:rsidP="007C2B29">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77.</w:t>
      </w:r>
    </w:p>
  </w:footnote>
  <w:footnote w:id="915">
    <w:p w:rsidR="00702DD6" w:rsidRDefault="00702DD6" w:rsidP="007C2B29">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916">
    <w:p w:rsidR="00702DD6" w:rsidRDefault="00702DD6" w:rsidP="007C2B29">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917">
    <w:p w:rsidR="00702DD6" w:rsidRDefault="00702DD6" w:rsidP="007C2B29">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918">
    <w:p w:rsidR="00702DD6" w:rsidRDefault="00702DD6" w:rsidP="007C2B29">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 p. 34; Partington, </w:t>
      </w:r>
      <w:r w:rsidRPr="002B4402">
        <w:rPr>
          <w:rStyle w:val="Emphasis"/>
        </w:rPr>
        <w:t>Report to the AER: Return on equity (Updated)</w:t>
      </w:r>
      <w:r>
        <w:t xml:space="preserve">, April 2015, p. 53; McKenzie and Partington, </w:t>
      </w:r>
      <w:r w:rsidRPr="002B4402">
        <w:rPr>
          <w:rStyle w:val="Emphasis"/>
        </w:rPr>
        <w:t>The DGM</w:t>
      </w:r>
      <w:r>
        <w:t xml:space="preserve">, December 2013, p. 24. </w:t>
      </w:r>
    </w:p>
  </w:footnote>
  <w:footnote w:id="919">
    <w:p w:rsidR="00702DD6" w:rsidRDefault="00702DD6" w:rsidP="007C2B29">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sidRPr="00B9639C">
        <w:rPr>
          <w:rStyle w:val="Emphasis"/>
        </w:rPr>
        <w:t>The DGM</w:t>
      </w:r>
      <w:r>
        <w:t xml:space="preserve">, December 2013, p. 15. Note McKenzie and Partington call the market value return on equity, the 'cost of equity'. </w:t>
      </w:r>
    </w:p>
  </w:footnote>
  <w:footnote w:id="920">
    <w:p w:rsidR="00702DD6" w:rsidRDefault="00702DD6" w:rsidP="007C2B29">
      <w:pPr>
        <w:pStyle w:val="FootnoteText"/>
      </w:pPr>
      <w:r>
        <w:rPr>
          <w:rStyle w:val="FootnoteReference"/>
        </w:rPr>
        <w:footnoteRef/>
      </w:r>
      <w:r>
        <w:t xml:space="preserve"> </w:t>
      </w:r>
      <w:r>
        <w:tab/>
        <w:t>A</w:t>
      </w:r>
      <w:r w:rsidRPr="00B4711B">
        <w:t>s applied in its 2014 report</w:t>
      </w:r>
      <w:r>
        <w:t xml:space="preserve">. SFG, </w:t>
      </w:r>
      <w:r>
        <w:rPr>
          <w:rStyle w:val="AERtextitalic"/>
        </w:rPr>
        <w:t>Alternative versions of the dividend discount model and the implied cost of equity</w:t>
      </w:r>
      <w:r>
        <w:t>, 15 May 2014.</w:t>
      </w:r>
    </w:p>
  </w:footnote>
  <w:footnote w:id="921">
    <w:p w:rsidR="00702DD6" w:rsidRDefault="00702DD6" w:rsidP="007C2B29">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w:t>
      </w:r>
    </w:p>
  </w:footnote>
  <w:footnote w:id="922">
    <w:p w:rsidR="00702DD6" w:rsidRDefault="00702DD6" w:rsidP="007C2B29">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923">
    <w:p w:rsidR="00702DD6" w:rsidRDefault="00702DD6" w:rsidP="007C2B29">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924">
    <w:p w:rsidR="00702DD6" w:rsidRDefault="00702DD6" w:rsidP="007C2B29">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925">
    <w:p w:rsidR="00702DD6" w:rsidRDefault="00702DD6" w:rsidP="007C2B29">
      <w:pPr>
        <w:pStyle w:val="FootnoteText"/>
      </w:pPr>
      <w:r>
        <w:rPr>
          <w:rStyle w:val="FootnoteReference"/>
        </w:rPr>
        <w:footnoteRef/>
      </w:r>
      <w:r>
        <w:t xml:space="preserve"> </w:t>
      </w:r>
      <w:r>
        <w:tab/>
        <w:t>Rather than target prices.</w:t>
      </w:r>
    </w:p>
  </w:footnote>
  <w:footnote w:id="926">
    <w:p w:rsidR="00702DD6" w:rsidRDefault="00702DD6" w:rsidP="007C2B29">
      <w:pPr>
        <w:pStyle w:val="FootnoteText"/>
      </w:pPr>
      <w:r>
        <w:rPr>
          <w:rStyle w:val="FootnoteReference"/>
        </w:rPr>
        <w:footnoteRef/>
      </w:r>
      <w:r>
        <w:t xml:space="preserve"> </w:t>
      </w:r>
      <w:r>
        <w:tab/>
        <w:t>Assumed to be 2.5 per cent, which is the mid-point of the RBA's target inflation band.</w:t>
      </w:r>
    </w:p>
  </w:footnote>
  <w:footnote w:id="927">
    <w:p w:rsidR="00702DD6" w:rsidRDefault="00702DD6" w:rsidP="007C2B29">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928">
    <w:p w:rsidR="00702DD6" w:rsidRDefault="00702DD6" w:rsidP="007C2B29">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929">
    <w:p w:rsidR="00702DD6" w:rsidRDefault="00702DD6" w:rsidP="007C2B29">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930">
    <w:p w:rsidR="00702DD6" w:rsidRDefault="00702DD6" w:rsidP="007C2B29">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931">
    <w:p w:rsidR="00702DD6" w:rsidRDefault="00702DD6" w:rsidP="007C2B29">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932">
    <w:p w:rsidR="00702DD6" w:rsidRDefault="00702DD6" w:rsidP="007C2B29">
      <w:pPr>
        <w:pStyle w:val="FootnoteText"/>
      </w:pPr>
      <w:r>
        <w:rPr>
          <w:rStyle w:val="FootnoteReference"/>
        </w:rPr>
        <w:footnoteRef/>
      </w:r>
      <w:r>
        <w:t xml:space="preserve"> </w:t>
      </w:r>
      <w:r>
        <w:tab/>
        <w:t>Although they use a different value for the assumed utilisation rate of imputation credits.</w:t>
      </w:r>
    </w:p>
  </w:footnote>
  <w:footnote w:id="933">
    <w:p w:rsidR="00702DD6" w:rsidRDefault="00702DD6" w:rsidP="007C2B29">
      <w:pPr>
        <w:pStyle w:val="FootnoteText"/>
      </w:pPr>
      <w:r>
        <w:rPr>
          <w:rStyle w:val="FootnoteReference"/>
        </w:rPr>
        <w:footnoteRef/>
      </w:r>
      <w:r>
        <w:t xml:space="preserve"> </w:t>
      </w:r>
      <w:r>
        <w:tab/>
        <w:t xml:space="preserve">ActewAGL adopts the market risk premium estimates of Frontier Economics, see: Frontier Economics, </w:t>
      </w:r>
      <w:r w:rsidRPr="00F85858">
        <w:rPr>
          <w:rStyle w:val="AERtextitalic"/>
        </w:rPr>
        <w:t>The required return on equity under a foundation model approach</w:t>
      </w:r>
      <w:r>
        <w:t>, January 2016, p. 37.</w:t>
      </w:r>
    </w:p>
  </w:footnote>
  <w:footnote w:id="934">
    <w:p w:rsidR="00702DD6" w:rsidRDefault="00702DD6" w:rsidP="007C2B29">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935">
    <w:p w:rsidR="00702DD6" w:rsidRDefault="00702DD6" w:rsidP="007C2B29">
      <w:pPr>
        <w:pStyle w:val="FootnoteText"/>
      </w:pPr>
      <w:r>
        <w:rPr>
          <w:rStyle w:val="FootnoteReference"/>
        </w:rPr>
        <w:footnoteRef/>
      </w:r>
      <w:r>
        <w:t xml:space="preserve"> </w:t>
      </w:r>
      <w:r>
        <w:tab/>
        <w:t>W</w:t>
      </w:r>
      <w:r w:rsidRPr="00477869">
        <w:t>hich is the share of the operating cash flow available for owners</w:t>
      </w:r>
      <w:r>
        <w:t xml:space="preserve">. See: 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xml:space="preserve">, p. 47.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936">
    <w:p w:rsidR="00702DD6" w:rsidRDefault="00702DD6" w:rsidP="007C2B29">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937">
    <w:p w:rsidR="00702DD6" w:rsidRDefault="00702DD6" w:rsidP="007C2B29">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938">
    <w:p w:rsidR="00702DD6" w:rsidRDefault="00702DD6" w:rsidP="007C2B29">
      <w:pPr>
        <w:pStyle w:val="FootnoteText"/>
      </w:pPr>
      <w:r>
        <w:rPr>
          <w:rStyle w:val="FootnoteReference"/>
        </w:rPr>
        <w:footnoteRef/>
      </w:r>
      <w:r>
        <w:t xml:space="preserve"> </w:t>
      </w:r>
      <w:r>
        <w:tab/>
        <w:t xml:space="preserve">Frontier Economics, </w:t>
      </w:r>
      <w:r w:rsidRPr="006E4497">
        <w:rPr>
          <w:rStyle w:val="AERtextitalic"/>
        </w:rPr>
        <w:t>The relationship between government bond yields and the market risk premium</w:t>
      </w:r>
      <w:r>
        <w:t>, January 2016, p. 39.</w:t>
      </w:r>
    </w:p>
  </w:footnote>
  <w:footnote w:id="939">
    <w:p w:rsidR="00702DD6" w:rsidRDefault="00702DD6" w:rsidP="007C2B29">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940">
    <w:p w:rsidR="00702DD6" w:rsidRDefault="00702DD6" w:rsidP="007C2B29">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941">
    <w:p w:rsidR="00702DD6" w:rsidRDefault="00702DD6" w:rsidP="007C2B29">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942">
    <w:p w:rsidR="00702DD6" w:rsidRDefault="00702DD6" w:rsidP="007C2B29">
      <w:pPr>
        <w:pStyle w:val="FootnoteText"/>
      </w:pPr>
      <w:r>
        <w:rPr>
          <w:rStyle w:val="FootnoteReference"/>
        </w:rPr>
        <w:footnoteRef/>
      </w:r>
      <w:r>
        <w:t xml:space="preserve"> </w:t>
      </w:r>
      <w:r>
        <w:tab/>
        <w:t xml:space="preserve">Frontier Economics, </w:t>
      </w:r>
      <w:r w:rsidRPr="00F85858">
        <w:rPr>
          <w:rStyle w:val="AERtextitalic"/>
        </w:rPr>
        <w:t>The relationship between government bond yields and the market risk premium</w:t>
      </w:r>
      <w:r>
        <w:t>, January 2016, p. 39.</w:t>
      </w:r>
    </w:p>
  </w:footnote>
  <w:footnote w:id="943">
    <w:p w:rsidR="00702DD6" w:rsidRDefault="00702DD6" w:rsidP="007C2B29">
      <w:pPr>
        <w:pStyle w:val="FootnoteText"/>
      </w:pPr>
      <w:r>
        <w:rPr>
          <w:rStyle w:val="FootnoteReference"/>
        </w:rPr>
        <w:footnoteRef/>
      </w:r>
      <w:r>
        <w:t xml:space="preserve"> </w:t>
      </w:r>
      <w:r>
        <w:tab/>
        <w:t>While t</w:t>
      </w:r>
      <w:r w:rsidRPr="00A0544B">
        <w:t>he JP Morgan report concerns the United States market</w:t>
      </w:r>
      <w:r>
        <w:t>,</w:t>
      </w:r>
      <w:r w:rsidRPr="00A0544B">
        <w:t xml:space="preserve"> </w:t>
      </w:r>
      <w:r>
        <w:t xml:space="preserve">Frontier referred to the report as providing insights transferrable to an Australian context (Frontier Economics, </w:t>
      </w:r>
      <w:r w:rsidRPr="00E76825">
        <w:rPr>
          <w:rStyle w:val="AERtextitalic"/>
        </w:rPr>
        <w:t>The relationship between government bond yields and the market risk premium</w:t>
      </w:r>
      <w:r>
        <w:t>, January 2016, p. 23).</w:t>
      </w:r>
    </w:p>
  </w:footnote>
  <w:footnote w:id="944">
    <w:p w:rsidR="00702DD6" w:rsidRDefault="00702DD6" w:rsidP="007C2B29">
      <w:pPr>
        <w:pStyle w:val="FootnoteText"/>
      </w:pPr>
      <w:r>
        <w:rPr>
          <w:rStyle w:val="FootnoteReference"/>
        </w:rPr>
        <w:footnoteRef/>
      </w:r>
      <w:r>
        <w:t xml:space="preserve"> </w:t>
      </w:r>
      <w:r>
        <w:tab/>
        <w:t xml:space="preserve">JP Morgan, </w:t>
      </w:r>
      <w:r w:rsidRPr="00E66299">
        <w:rPr>
          <w:rStyle w:val="Emphasis"/>
        </w:rPr>
        <w:t>Musing on low cost of debt and high risk premia</w:t>
      </w:r>
      <w:r>
        <w:t xml:space="preserve">, April 2012, pp. 2-3. </w:t>
      </w:r>
    </w:p>
  </w:footnote>
  <w:footnote w:id="945">
    <w:p w:rsidR="00702DD6" w:rsidRDefault="00702DD6" w:rsidP="007C2B29">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946">
    <w:p w:rsidR="00702DD6" w:rsidRDefault="00702DD6" w:rsidP="007C2B29">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947">
    <w:p w:rsidR="00702DD6" w:rsidRDefault="00702DD6" w:rsidP="007C2B29">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948">
    <w:p w:rsidR="00702DD6" w:rsidRDefault="00702DD6" w:rsidP="00AD0940">
      <w:pPr>
        <w:pStyle w:val="FootnoteText"/>
      </w:pPr>
      <w:r>
        <w:rPr>
          <w:rStyle w:val="FootnoteReference"/>
        </w:rPr>
        <w:footnoteRef/>
      </w:r>
      <w:r>
        <w:t xml:space="preserve"> </w:t>
      </w:r>
      <w:r>
        <w:tab/>
        <w:t xml:space="preserve">See: AER, </w:t>
      </w:r>
      <w:r w:rsidRPr="00EA536A">
        <w:t>Explanatory statement—Rate of return guideline</w:t>
      </w:r>
      <w:r>
        <w:t>, December 2013, pp. 94 and 97.</w:t>
      </w:r>
    </w:p>
  </w:footnote>
  <w:footnote w:id="949">
    <w:p w:rsidR="00702DD6" w:rsidRDefault="00702DD6" w:rsidP="00AD0940">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950">
    <w:p w:rsidR="00702DD6" w:rsidRDefault="00702DD6" w:rsidP="00AD0940">
      <w:pPr>
        <w:pStyle w:val="FootnoteText"/>
      </w:pPr>
      <w:r>
        <w:rPr>
          <w:rStyle w:val="FootnoteReference"/>
        </w:rPr>
        <w:footnoteRef/>
      </w:r>
      <w:r>
        <w:t xml:space="preserve"> </w:t>
      </w:r>
      <w:r>
        <w:tab/>
        <w:t xml:space="preserve">We note that, during the Guideline development process in 2013,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w:t>
      </w:r>
    </w:p>
  </w:footnote>
  <w:footnote w:id="951">
    <w:p w:rsidR="00702DD6" w:rsidRDefault="00702DD6" w:rsidP="00AD0940">
      <w:pPr>
        <w:pStyle w:val="FootnoteText"/>
      </w:pPr>
      <w:r>
        <w:rPr>
          <w:rStyle w:val="FootnoteReference"/>
        </w:rPr>
        <w:footnoteRef/>
      </w:r>
      <w:r>
        <w:t xml:space="preserve"> </w:t>
      </w:r>
      <w:r>
        <w:tab/>
        <w:t xml:space="preserve">See, Figure 3-6: Implied volatility (VIX) over time; Figure 3-7: Dividends yields; Figure 3-8 Australian bond spreads over government yields. </w:t>
      </w:r>
    </w:p>
  </w:footnote>
  <w:footnote w:id="952">
    <w:p w:rsidR="00702DD6" w:rsidRDefault="00702DD6" w:rsidP="00AD0940">
      <w:pPr>
        <w:pStyle w:val="FootnoteText"/>
      </w:pPr>
      <w:r>
        <w:rPr>
          <w:rStyle w:val="FootnoteReference"/>
        </w:rPr>
        <w:footnoteRef/>
      </w:r>
      <w:r>
        <w:t xml:space="preserve"> </w:t>
      </w:r>
      <w:r>
        <w:tab/>
        <w:t xml:space="preserve">See, Figure 3-9: </w:t>
      </w:r>
      <w:r w:rsidRPr="00866A7A">
        <w:t>State government bond spreads over government yields</w:t>
      </w:r>
      <w:r>
        <w:t xml:space="preserve">; Figure 3-10: Comparison of equity and debt premiums. </w:t>
      </w:r>
    </w:p>
  </w:footnote>
  <w:footnote w:id="953">
    <w:p w:rsidR="00702DD6" w:rsidRDefault="00702DD6" w:rsidP="00AD0940">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954">
    <w:p w:rsidR="00702DD6" w:rsidRDefault="00702DD6" w:rsidP="00AD0940">
      <w:pPr>
        <w:pStyle w:val="FootnoteText"/>
      </w:pPr>
      <w:r>
        <w:rPr>
          <w:rStyle w:val="FootnoteReference"/>
        </w:rPr>
        <w:footnoteRef/>
      </w:r>
      <w:r>
        <w:t xml:space="preserve"> </w:t>
      </w:r>
      <w:r>
        <w:tab/>
        <w:t xml:space="preserve">This averaging period is from </w:t>
      </w:r>
      <w:r w:rsidR="009601F9">
        <w:t xml:space="preserve">26 February 2016 to 24 March 2016. </w:t>
      </w:r>
      <w:r>
        <w:t xml:space="preserve"> </w:t>
      </w:r>
    </w:p>
  </w:footnote>
  <w:footnote w:id="955">
    <w:p w:rsidR="00702DD6" w:rsidRDefault="00702DD6" w:rsidP="00AD094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956">
    <w:p w:rsidR="00702DD6" w:rsidRDefault="00702DD6" w:rsidP="00AD0940">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957">
    <w:p w:rsidR="00702DD6" w:rsidRDefault="00702DD6" w:rsidP="00033144">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958">
    <w:p w:rsidR="00702DD6" w:rsidRDefault="00702DD6" w:rsidP="00033144">
      <w:pPr>
        <w:pStyle w:val="FootnoteText"/>
      </w:pPr>
      <w:r>
        <w:rPr>
          <w:rStyle w:val="FootnoteReference"/>
        </w:rPr>
        <w:footnoteRef/>
      </w:r>
      <w:r>
        <w:t xml:space="preserve"> </w:t>
      </w:r>
      <w:r>
        <w:tab/>
        <w:t>Efficient financing costs for a benchmark efficient entity with a similar degree of risk as that which applies to the distribution network service provider in respect of the provision of standard control services. See: NER, cl. 6.5.2(c); NER, cl. 6A.6.2(c); NGR, r.87(3).</w:t>
      </w:r>
    </w:p>
  </w:footnote>
  <w:footnote w:id="959">
    <w:p w:rsidR="00702DD6" w:rsidRDefault="00702DD6" w:rsidP="00033144">
      <w:pPr>
        <w:pStyle w:val="FootnoteText"/>
      </w:pPr>
      <w:r>
        <w:rPr>
          <w:rStyle w:val="FootnoteReference"/>
        </w:rPr>
        <w:footnoteRef/>
      </w:r>
      <w:r>
        <w:t xml:space="preserve"> </w:t>
      </w:r>
      <w:r>
        <w:tab/>
        <w:t xml:space="preserve">Based on the spread to CGS from our estimation of the cost of debt (based on an average of the RBA's data (on yield to maturity on BBB-rated corporate bonds with a ten year term and the Bloomberg BBB–rated AUD BVAL curve). </w:t>
      </w:r>
    </w:p>
  </w:footnote>
  <w:footnote w:id="960">
    <w:p w:rsidR="00702DD6" w:rsidRDefault="00702DD6" w:rsidP="00033144">
      <w:pPr>
        <w:pStyle w:val="FootnoteText"/>
      </w:pPr>
      <w:r>
        <w:rPr>
          <w:rStyle w:val="FootnoteReference"/>
        </w:rPr>
        <w:footnoteRef/>
      </w:r>
      <w:r>
        <w:t xml:space="preserve"> </w:t>
      </w:r>
      <w:r>
        <w:tab/>
        <w:t xml:space="preserve">Based on a proposed return on equity of 9.89 per cent and a proposed risk free rate of 2.75 per cent (see: </w:t>
      </w:r>
      <w:r w:rsidRPr="00273F0E">
        <w:t xml:space="preserve">ActewAGL, </w:t>
      </w:r>
      <w:r w:rsidRPr="00273F0E">
        <w:rPr>
          <w:rStyle w:val="Emphasis"/>
        </w:rPr>
        <w:t>Revised 2016–21 access ar</w:t>
      </w:r>
      <w:r>
        <w:rPr>
          <w:rStyle w:val="Emphasis"/>
        </w:rPr>
        <w:t>r</w:t>
      </w:r>
      <w:r w:rsidRPr="00273F0E">
        <w:rPr>
          <w:rStyle w:val="Emphasis"/>
        </w:rPr>
        <w:t>angement proposal Response to the AER's draft decision, Appendix 5.01 Detailed response to rate of return, gamma and inflation</w:t>
      </w:r>
      <w:r w:rsidRPr="00273F0E">
        <w:t>, January 2016, pp. 104–105, 142-14</w:t>
      </w:r>
      <w:r>
        <w:t>3).</w:t>
      </w:r>
    </w:p>
  </w:footnote>
  <w:footnote w:id="961">
    <w:p w:rsidR="00702DD6" w:rsidRDefault="00702DD6" w:rsidP="00033144">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962">
    <w:p w:rsidR="00702DD6" w:rsidRDefault="00702DD6" w:rsidP="00033144">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963">
    <w:p w:rsidR="00702DD6" w:rsidRDefault="00702DD6" w:rsidP="00033144">
      <w:pPr>
        <w:pStyle w:val="FootnoteText"/>
      </w:pPr>
      <w:r>
        <w:rPr>
          <w:rStyle w:val="FootnoteReference"/>
        </w:rPr>
        <w:footnoteRef/>
      </w:r>
      <w:r>
        <w:t xml:space="preserve"> </w:t>
      </w:r>
      <w:r>
        <w:tab/>
        <w:t xml:space="preserve">ActewAGL Gas Distribution, </w:t>
      </w:r>
      <w:r w:rsidRPr="00470748">
        <w:rPr>
          <w:rStyle w:val="AERtextitalic"/>
        </w:rPr>
        <w:t>Appendix 8.02: Return on Equity - detailed proposal</w:t>
      </w:r>
      <w:r>
        <w:t>, June 2015, p. 48.</w:t>
      </w:r>
    </w:p>
  </w:footnote>
  <w:footnote w:id="964">
    <w:p w:rsidR="00702DD6" w:rsidRDefault="00702DD6" w:rsidP="00033144">
      <w:pPr>
        <w:pStyle w:val="FootnoteText"/>
      </w:pPr>
      <w:r>
        <w:rPr>
          <w:rStyle w:val="FootnoteReference"/>
        </w:rPr>
        <w:footnoteRef/>
      </w:r>
      <w:r>
        <w:t xml:space="preserve"> </w:t>
      </w:r>
      <w:r>
        <w:tab/>
      </w:r>
      <w:r w:rsidRPr="00273F0E">
        <w:t xml:space="preserve">AER, </w:t>
      </w:r>
      <w:r>
        <w:rPr>
          <w:rStyle w:val="Emphasis"/>
        </w:rPr>
        <w:t>Better Regulation: Explana</w:t>
      </w:r>
      <w:r w:rsidRPr="00273F0E">
        <w:rPr>
          <w:rStyle w:val="Emphasis"/>
        </w:rPr>
        <w:t>t</w:t>
      </w:r>
      <w:r>
        <w:rPr>
          <w:rStyle w:val="Emphasis"/>
        </w:rPr>
        <w:t>o</w:t>
      </w:r>
      <w:r w:rsidRPr="00273F0E">
        <w:rPr>
          <w:rStyle w:val="Emphasis"/>
        </w:rPr>
        <w:t>ry Statement: Rate of return guideline (appendic</w:t>
      </w:r>
      <w:r>
        <w:rPr>
          <w:rStyle w:val="Emphasis"/>
        </w:rPr>
        <w:t>e</w:t>
      </w:r>
      <w:r w:rsidRPr="00273F0E">
        <w:rPr>
          <w:rStyle w:val="Emphasis"/>
        </w:rPr>
        <w:t>s)</w:t>
      </w:r>
      <w:r w:rsidRPr="00273F0E">
        <w:t xml:space="preserve">, December 2013, pp. 46–48;  AER, </w:t>
      </w:r>
      <w:r w:rsidRPr="00273F0E">
        <w:rPr>
          <w:rStyle w:val="Emphasis"/>
        </w:rPr>
        <w:t>Preliminary decision: CitiPower determination 2016 to 2020, Attachment 3–Rate of return</w:t>
      </w:r>
      <w:r w:rsidRPr="00273F0E">
        <w:t xml:space="preserve">,  October 2015, pp. 96–99; AER, </w:t>
      </w:r>
      <w:r w:rsidRPr="00273F0E">
        <w:rPr>
          <w:rStyle w:val="AERtextitalic"/>
        </w:rPr>
        <w:t>Powercor Preliminary Decision - Attachment 3: Rate of Return</w:t>
      </w:r>
      <w:r w:rsidRPr="00273F0E">
        <w:t xml:space="preserve">, October 2015, pp. 96–100; AER, </w:t>
      </w:r>
      <w:r w:rsidRPr="00273F0E">
        <w:rPr>
          <w:rStyle w:val="Emphasis"/>
        </w:rPr>
        <w:t>Draft decision ActewAGL distribution determination 2016 to 2021: Attachment 3 – Rate of return</w:t>
      </w:r>
      <w:r w:rsidRPr="00273F0E">
        <w:t xml:space="preserve">, November 2015, pp. 97–98; AER, </w:t>
      </w:r>
      <w:r w:rsidRPr="00273F0E">
        <w:rPr>
          <w:rStyle w:val="Emphasis"/>
        </w:rPr>
        <w:t>Preliminary decision United Energy determination 2016 to 2020: Attachment 3 – Rate of return</w:t>
      </w:r>
      <w:r w:rsidRPr="00273F0E">
        <w:t xml:space="preserve">, October 2015, pp. 94–99; AER, </w:t>
      </w:r>
      <w:r w:rsidRPr="00273F0E">
        <w:rPr>
          <w:rStyle w:val="Emphasis"/>
        </w:rPr>
        <w:t>Draft decision Australian Gas Networks Access Arrangement 2016 to 2021: Attachment 3 – Rate of return</w:t>
      </w:r>
      <w:r w:rsidRPr="00273F0E">
        <w:t xml:space="preserve">, November 2015, pp. 96–100; AER, </w:t>
      </w:r>
      <w:r w:rsidRPr="00273F0E">
        <w:rPr>
          <w:rStyle w:val="Emphasis"/>
        </w:rPr>
        <w:t>Preliminary decision Jemena distribution determination 2016 to 2020: Attachment 3–Rate of return</w:t>
      </w:r>
      <w:r w:rsidRPr="00273F0E">
        <w:t>, October 2015, pp. 94–98; AER</w:t>
      </w:r>
      <w:r w:rsidRPr="00273F0E">
        <w:rPr>
          <w:rStyle w:val="Emphasis"/>
        </w:rPr>
        <w:t>, Preliminary decision AusNet Services determination 2016 to 2020: Attachment 3–Rate of return</w:t>
      </w:r>
      <w:r w:rsidRPr="00273F0E">
        <w:t>, October 2015, pp. 94–98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97–100.</w:t>
      </w:r>
      <w:r w:rsidRPr="00EA690D" w:rsidDel="00273F0E">
        <w:t xml:space="preserve"> </w:t>
      </w:r>
      <w:r>
        <w:t>.</w:t>
      </w:r>
    </w:p>
  </w:footnote>
  <w:footnote w:id="965">
    <w:p w:rsidR="00702DD6" w:rsidRDefault="00702DD6" w:rsidP="00033144">
      <w:pPr>
        <w:pStyle w:val="FootnoteText"/>
      </w:pPr>
      <w:r>
        <w:rPr>
          <w:rStyle w:val="FootnoteReference"/>
        </w:rPr>
        <w:footnoteRef/>
      </w:r>
      <w:r>
        <w:t xml:space="preserve"> </w:t>
      </w:r>
      <w:r>
        <w:tab/>
        <w:t xml:space="preserve">Partington, </w:t>
      </w:r>
      <w:r w:rsidRPr="00D325AA">
        <w:rPr>
          <w:rStyle w:val="Emphasis"/>
        </w:rPr>
        <w:t>Report to the AER: Return on Equity (updated),</w:t>
      </w:r>
      <w:r>
        <w:t xml:space="preserve"> April 2015, p. 72.</w:t>
      </w:r>
    </w:p>
  </w:footnote>
  <w:footnote w:id="966">
    <w:p w:rsidR="00702DD6" w:rsidRDefault="00702DD6" w:rsidP="00033144">
      <w:pPr>
        <w:pStyle w:val="FootnoteText"/>
      </w:pPr>
      <w:r>
        <w:rPr>
          <w:rStyle w:val="FootnoteReference"/>
        </w:rPr>
        <w:footnoteRef/>
      </w:r>
      <w:r>
        <w:t xml:space="preserve"> </w:t>
      </w:r>
      <w:r>
        <w:tab/>
        <w:t xml:space="preserve">Note that the valuation reports show there is a general consensus among valuers on the estimation methods for the risk free rate. Valuers typically estimate the risk free rate as the current yield to maturity on long term (10 year) Australian government securities. We acknowledge that there is some evidence suggesting that there is a tendency for valuers to adopt risk free rates exceeding the yields on Australian government securities when these yields are low, but we consider this practice to be neither widespread nor persistent (see section </w:t>
      </w:r>
      <w:r>
        <w:fldChar w:fldCharType="begin"/>
      </w:r>
      <w:r>
        <w:instrText xml:space="preserve"> REF _Ref445933050 \r \h </w:instrText>
      </w:r>
      <w:r>
        <w:fldChar w:fldCharType="separate"/>
      </w:r>
      <w:r>
        <w:t>F.5</w:t>
      </w:r>
      <w:r>
        <w:fldChar w:fldCharType="end"/>
      </w:r>
      <w:r>
        <w:t xml:space="preserve"> for more detail). Therefore, we do not consider that removing the risk free rate and examining the equity risk premium will bias the results.</w:t>
      </w:r>
    </w:p>
  </w:footnote>
  <w:footnote w:id="967">
    <w:p w:rsidR="00702DD6" w:rsidRDefault="00702DD6" w:rsidP="00033144">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321; Powercor, </w:t>
      </w:r>
      <w:r w:rsidRPr="00C31257">
        <w:rPr>
          <w:rStyle w:val="AERtextitalic"/>
        </w:rPr>
        <w:t>Revised regulatory proposal 2016–2020</w:t>
      </w:r>
      <w:r>
        <w:t xml:space="preserve">, pp. 315; </w:t>
      </w:r>
      <w:r w:rsidRPr="003A546F">
        <w:t xml:space="preserve">JEN (Vic), </w:t>
      </w:r>
      <w:r w:rsidRPr="003A546F">
        <w:rPr>
          <w:rStyle w:val="Emphasis"/>
        </w:rPr>
        <w:t>2016–20 Electricity distribution price review regulatory proposal revocation and substitution submission: Attachment 6–1 Rate of return, gamma, forecast inflation, and debt and equity raising costs,</w:t>
      </w:r>
      <w:r w:rsidRPr="003A546F">
        <w:t xml:space="preserve"> 6 January 2016, p.</w:t>
      </w:r>
      <w:r>
        <w:t xml:space="preserve"> 80; </w:t>
      </w:r>
      <w:r w:rsidRPr="00EE7507">
        <w:t xml:space="preserve">AusNet Services, </w:t>
      </w:r>
      <w:r w:rsidRPr="00EE7507">
        <w:rPr>
          <w:rStyle w:val="Emphasis"/>
        </w:rPr>
        <w:t>Electricity distribution price review 2016–20 Revised regulatory proposal: Chapter 7 Rate of return &amp; gamma</w:t>
      </w:r>
      <w:r w:rsidRPr="00EE7507">
        <w:t>, 6 January 2016, pp.</w:t>
      </w:r>
      <w:r>
        <w:t xml:space="preserve"> 74–75, United Energy, </w:t>
      </w:r>
      <w:r w:rsidRPr="0047165F">
        <w:rPr>
          <w:rStyle w:val="AERtextitalic"/>
        </w:rPr>
        <w:t>Response to AER Preliminary Determination Re: Rate of return and gamma</w:t>
      </w:r>
      <w:r>
        <w:t xml:space="preserve">, January 2016, p. 75; </w:t>
      </w:r>
      <w:r w:rsidRPr="003203B3">
        <w:t xml:space="preserve">ActewAGL, </w:t>
      </w:r>
      <w:r w:rsidRPr="003203B3">
        <w:rPr>
          <w:rStyle w:val="Emphasis"/>
        </w:rPr>
        <w:t>Revised 2016–21 access arrangement proposal Response to the AER's draft decision, Appendix 5.01 Detailed response to rate of return, gamma and inflation</w:t>
      </w:r>
      <w:r w:rsidRPr="003203B3">
        <w:t>, January 2016, p.</w:t>
      </w:r>
      <w:r>
        <w:t xml:space="preserve"> 101; </w:t>
      </w:r>
      <w:r w:rsidRPr="00D33284">
        <w:t xml:space="preserve">AGN, </w:t>
      </w:r>
      <w:r w:rsidRPr="00D33284">
        <w:rPr>
          <w:rStyle w:val="Emphasis"/>
        </w:rPr>
        <w:t>2016–17 to 2020/21 Access Arrangement information response to draft decision: Attachment 10.26 Response to draft decision: rate of return</w:t>
      </w:r>
      <w:r w:rsidRPr="00D33284">
        <w:t xml:space="preserve">, January 2016, pp. </w:t>
      </w:r>
      <w:r>
        <w:t>78–79.</w:t>
      </w:r>
    </w:p>
  </w:footnote>
  <w:footnote w:id="968">
    <w:p w:rsidR="00702DD6" w:rsidRDefault="00702DD6" w:rsidP="00033144">
      <w:pPr>
        <w:pStyle w:val="FootnoteText"/>
      </w:pPr>
      <w:r>
        <w:rPr>
          <w:rStyle w:val="FootnoteReference"/>
        </w:rPr>
        <w:footnoteRef/>
      </w:r>
      <w:r>
        <w:t xml:space="preserve"> </w:t>
      </w:r>
      <w:r>
        <w:tab/>
        <w:t xml:space="preserve">McKenzie and Partington, </w:t>
      </w:r>
      <w:r w:rsidRPr="008253E6">
        <w:rPr>
          <w:rStyle w:val="AERtextitalic"/>
        </w:rPr>
        <w:t>Report to the AER: Part A: Return on Equity</w:t>
      </w:r>
      <w:r>
        <w:t>, October 2014, p. 46.</w:t>
      </w:r>
    </w:p>
  </w:footnote>
  <w:footnote w:id="969">
    <w:p w:rsidR="00702DD6" w:rsidRDefault="00702DD6" w:rsidP="00730CE8">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Fernandez, Ortiz, Acín, </w:t>
      </w:r>
      <w:r w:rsidRPr="00280362">
        <w:rPr>
          <w:rStyle w:val="AERtextitalic"/>
        </w:rPr>
        <w:t>Discount rate (risk-free rate and market risk premium) used for 41 countries in 2015: a survey</w:t>
      </w:r>
      <w:r>
        <w:t xml:space="preserve">, April 2015; </w:t>
      </w:r>
      <w:r w:rsidRPr="003D3E0E">
        <w:t xml:space="preserve">Asher and Hickling, </w:t>
      </w:r>
      <w:r>
        <w:rPr>
          <w:rStyle w:val="AERtextitalic"/>
        </w:rPr>
        <w:t>Equity Risk Premium Survey 2014</w:t>
      </w:r>
      <w:r w:rsidRPr="003D3E0E">
        <w:t>, Actuar</w:t>
      </w:r>
      <w:r>
        <w:t xml:space="preserve">ies Institute, April 2015;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footnote>
  <w:footnote w:id="970">
    <w:p w:rsidR="00702DD6" w:rsidRDefault="00702DD6" w:rsidP="00730CE8">
      <w:pPr>
        <w:pStyle w:val="FootnoteText"/>
      </w:pPr>
      <w:r>
        <w:rPr>
          <w:rStyle w:val="FootnoteReference"/>
        </w:rPr>
        <w:footnoteRef/>
      </w:r>
      <w:r>
        <w:t xml:space="preserve"> </w:t>
      </w:r>
      <w:r>
        <w:tab/>
        <w:t xml:space="preserve">As noted in: </w:t>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971">
    <w:p w:rsidR="00702DD6" w:rsidRDefault="00702DD6" w:rsidP="00730CE8">
      <w:pPr>
        <w:pStyle w:val="FootnoteText"/>
      </w:pPr>
      <w:r>
        <w:rPr>
          <w:rStyle w:val="FootnoteReference"/>
        </w:rPr>
        <w:footnoteRef/>
      </w:r>
      <w:r>
        <w:t xml:space="preserve"> </w:t>
      </w:r>
      <w:r>
        <w:tab/>
        <w:t xml:space="preserve">The KPMG valuation practices surveys do not clearly state the time period over which the survey was made. Fernandez, Ortiz, Acín, </w:t>
      </w:r>
      <w:r w:rsidRPr="00280362">
        <w:rPr>
          <w:rStyle w:val="AERtextitalic"/>
        </w:rPr>
        <w:t>Discount rate (risk-free rate and market risk premium) used for 41 countries in 2015: a survey</w:t>
      </w:r>
      <w:r>
        <w:t xml:space="preserve">, April 2015, p. 2;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972">
    <w:p w:rsidR="00702DD6" w:rsidRDefault="00702DD6" w:rsidP="00730CE8">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p. 2; Fernandez, Ortiz, Acín, </w:t>
      </w:r>
      <w:r w:rsidRPr="00280362">
        <w:rPr>
          <w:rStyle w:val="AERtextitalic"/>
        </w:rPr>
        <w:t>Discount rate (risk-free rate and market risk premium) used for 41 countries in 2015: a survey</w:t>
      </w:r>
      <w:r>
        <w:t xml:space="preserve">, April 2015, p. 3;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973">
    <w:p w:rsidR="00702DD6" w:rsidRDefault="00702DD6" w:rsidP="00730CE8">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974">
    <w:p w:rsidR="00702DD6" w:rsidRDefault="00702DD6" w:rsidP="00730CE8">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975">
    <w:p w:rsidR="00702DD6" w:rsidRDefault="00702DD6" w:rsidP="00730CE8">
      <w:pPr>
        <w:pStyle w:val="FootnoteText"/>
      </w:pPr>
      <w:r>
        <w:rPr>
          <w:rStyle w:val="FootnoteReference"/>
        </w:rPr>
        <w:footnoteRef/>
      </w:r>
      <w:r>
        <w:t xml:space="preserve"> </w:t>
      </w:r>
      <w:r>
        <w:tab/>
        <w:t>See: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xml:space="preserve">, February 2015, p. 26. Also, in a subsequent 2015 report for JGN, SFG submitted that survey evidence reflects historical information because the surveys we consider 'almost invariably' report an MRP of 6.0 per cent (see: SFG, </w:t>
      </w:r>
      <w:r w:rsidRPr="00DC6F79">
        <w:rPr>
          <w:rStyle w:val="AERtextitalic"/>
        </w:rPr>
        <w:t>Cost of equity: Update for Jemena G</w:t>
      </w:r>
      <w:r>
        <w:rPr>
          <w:rStyle w:val="AERtextitalic"/>
        </w:rPr>
        <w:t>as Networks' averaging period —</w:t>
      </w:r>
      <w:r w:rsidRPr="00DC6F79">
        <w:rPr>
          <w:rStyle w:val="AERtextitalic"/>
        </w:rPr>
        <w:t>19 January to 16 February 2015</w:t>
      </w:r>
      <w:r>
        <w:t xml:space="preserve">, 27 March 2015, p. 7). </w:t>
      </w:r>
    </w:p>
  </w:footnote>
  <w:footnote w:id="976">
    <w:p w:rsidR="00702DD6" w:rsidRDefault="00702DD6" w:rsidP="00730CE8">
      <w:pPr>
        <w:pStyle w:val="FootnoteText"/>
      </w:pPr>
      <w:r>
        <w:rPr>
          <w:rStyle w:val="FootnoteReference"/>
        </w:rPr>
        <w:footnoteRef/>
      </w:r>
      <w:r>
        <w:t xml:space="preserve"> </w:t>
      </w:r>
      <w:r>
        <w:tab/>
        <w:t xml:space="preserve">See, for example, </w:t>
      </w:r>
      <w:r w:rsidRPr="001C7307">
        <w:t>AusNet</w:t>
      </w:r>
      <w:r>
        <w:t xml:space="preserve"> Services</w:t>
      </w:r>
      <w:r w:rsidRPr="001C7307">
        <w:t xml:space="preserve">, </w:t>
      </w:r>
      <w:r>
        <w:rPr>
          <w:rStyle w:val="AERtextitalic"/>
        </w:rPr>
        <w:t>Regulatory proposal</w:t>
      </w:r>
      <w:r w:rsidRPr="001C7307">
        <w:t>, 30 April 2015</w:t>
      </w:r>
      <w:r>
        <w:t xml:space="preserve">, p. 324; </w:t>
      </w:r>
      <w:r w:rsidRPr="001C7307">
        <w:t xml:space="preserve">United Energy, </w:t>
      </w:r>
      <w:r>
        <w:rPr>
          <w:rStyle w:val="AERtextitalic"/>
        </w:rPr>
        <w:t>R</w:t>
      </w:r>
      <w:r w:rsidRPr="001C7307">
        <w:rPr>
          <w:rStyle w:val="AERtextitalic"/>
        </w:rPr>
        <w:t>egulatory proposal: Attachment—Return on equity</w:t>
      </w:r>
      <w:r w:rsidRPr="001C7307">
        <w:t>, April 2015</w:t>
      </w:r>
      <w:r>
        <w:t>, section 2.7.7.3; Jemena Electricity Networks,</w:t>
      </w:r>
      <w:r w:rsidRPr="001C7307">
        <w:t xml:space="preserve"> </w:t>
      </w:r>
      <w:r>
        <w:rPr>
          <w:rStyle w:val="AERtextitalic"/>
        </w:rPr>
        <w:t>Regulatory proposal</w:t>
      </w:r>
      <w:r w:rsidRPr="001C7307">
        <w:rPr>
          <w:rStyle w:val="AERtextitalic"/>
        </w:rPr>
        <w:t>: Attachment 9-2—Rate of return proposal,</w:t>
      </w:r>
      <w:r w:rsidRPr="001C7307">
        <w:t xml:space="preserve"> April 2015</w:t>
      </w:r>
      <w:r>
        <w:t xml:space="preserve">, p. 75; </w:t>
      </w:r>
      <w:r w:rsidRPr="00C852A1">
        <w:t xml:space="preserve">Federal Court of Australia (PA Keane Chief Justice), </w:t>
      </w:r>
      <w:r w:rsidRPr="00C852A1">
        <w:rPr>
          <w:rStyle w:val="AERtextitalic"/>
        </w:rPr>
        <w:t>Practice note CM 13: Survey evidence</w:t>
      </w:r>
      <w:r w:rsidRPr="00C852A1">
        <w:t>, 1 August 2011</w:t>
      </w:r>
      <w:r>
        <w:t>.</w:t>
      </w:r>
    </w:p>
  </w:footnote>
  <w:footnote w:id="977">
    <w:p w:rsidR="00702DD6" w:rsidRDefault="00702DD6" w:rsidP="00033144">
      <w:pPr>
        <w:pStyle w:val="FootnoteText"/>
      </w:pPr>
      <w:r>
        <w:rPr>
          <w:rStyle w:val="FootnoteReference"/>
        </w:rPr>
        <w:footnoteRef/>
      </w:r>
      <w:r>
        <w:t xml:space="preserve"> </w:t>
      </w:r>
      <w:r>
        <w:tab/>
        <w:t xml:space="preserve">The ranges given in </w:t>
      </w:r>
      <w:r>
        <w:fldChar w:fldCharType="begin"/>
      </w:r>
      <w:r>
        <w:instrText xml:space="preserve"> REF _Ref443644282 \h </w:instrText>
      </w:r>
      <w:r>
        <w:fldChar w:fldCharType="separate"/>
      </w:r>
      <w:r w:rsidRPr="00033144">
        <w:t xml:space="preserve">Table </w:t>
      </w:r>
      <w:r>
        <w:rPr>
          <w:noProof/>
        </w:rPr>
        <w:t>3</w:t>
      </w:r>
      <w:r w:rsidRPr="00033144">
        <w:noBreakHyphen/>
      </w:r>
      <w:r>
        <w:rPr>
          <w:noProof/>
        </w:rPr>
        <w:t>33</w:t>
      </w:r>
      <w:r>
        <w:fldChar w:fldCharType="end"/>
      </w:r>
      <w:r>
        <w:t xml:space="preserve"> capture the most recent report from each broker on each of the stated companies in this time period.</w:t>
      </w:r>
    </w:p>
  </w:footnote>
  <w:footnote w:id="978">
    <w:p w:rsidR="00702DD6" w:rsidRDefault="00702DD6" w:rsidP="00033144">
      <w:pPr>
        <w:pStyle w:val="FootnoteText"/>
      </w:pPr>
      <w:r>
        <w:rPr>
          <w:rStyle w:val="FootnoteReference"/>
        </w:rPr>
        <w:footnoteRef/>
      </w:r>
      <w:r>
        <w:t xml:space="preserve"> </w:t>
      </w:r>
      <w:r>
        <w:tab/>
      </w:r>
      <w:r w:rsidRPr="000D589B">
        <w:t xml:space="preserve">We note that the correction of a small number of errors in Incenta Economic Consulting’s analysis </w:t>
      </w:r>
      <w:r>
        <w:t xml:space="preserve">of valuation reports </w:t>
      </w:r>
      <w:r w:rsidRPr="000D589B">
        <w:t xml:space="preserve">resulted in material </w:t>
      </w:r>
      <w:r>
        <w:t>changes to its results</w:t>
      </w:r>
      <w:r w:rsidRPr="000D589B">
        <w:t>.</w:t>
      </w:r>
      <w:r>
        <w:t xml:space="preserve"> See: Incenta Economic Consulting, </w:t>
      </w:r>
      <w:r w:rsidRPr="002131E4">
        <w:rPr>
          <w:rStyle w:val="AERtextitalic"/>
        </w:rPr>
        <w:t>Addendum to report titled 'Update on evidence on the required return on equity from independent expert reports'</w:t>
      </w:r>
      <w:r>
        <w:t>, 20 August 2014, p. 1.</w:t>
      </w:r>
    </w:p>
  </w:footnote>
  <w:footnote w:id="979">
    <w:p w:rsidR="00702DD6" w:rsidRDefault="00702DD6" w:rsidP="00033144">
      <w:pPr>
        <w:pStyle w:val="FootnoteText"/>
      </w:pPr>
      <w:r>
        <w:rPr>
          <w:rStyle w:val="FootnoteReference"/>
        </w:rPr>
        <w:footnoteRef/>
      </w:r>
      <w:r>
        <w:t xml:space="preserve"> </w:t>
      </w:r>
      <w:r>
        <w:tab/>
        <w:t xml:space="preserve">The Thomson Reuters' Connect 4 database contains reports going back to 1991, but contains no reports between 1991 and 1998 for comparable electricity or gas network businesses. A list of the reports assessed in this report can be found in Table 3-20 of AER, </w:t>
      </w:r>
      <w:r w:rsidRPr="00B1506F">
        <w:rPr>
          <w:rStyle w:val="AERtextitalic"/>
        </w:rPr>
        <w:t>Draft Decision: TransGrid transmission determination</w:t>
      </w:r>
      <w:r>
        <w:t>, 2015–16 to 2017–18, Attachment 3–Rate of return, November 2014.</w:t>
      </w:r>
    </w:p>
  </w:footnote>
  <w:footnote w:id="980">
    <w:p w:rsidR="00702DD6" w:rsidRDefault="00702DD6" w:rsidP="00033144">
      <w:pPr>
        <w:pStyle w:val="FootnoteText"/>
      </w:pPr>
      <w:r>
        <w:rPr>
          <w:rStyle w:val="FootnoteReference"/>
        </w:rPr>
        <w:footnoteRef/>
      </w:r>
      <w:r>
        <w:t xml:space="preserve"> </w:t>
      </w:r>
      <w:r>
        <w:tab/>
      </w:r>
      <w:r w:rsidRPr="00273F0E">
        <w:t>See Appendix E.6. 'Return on equity estimates from other practitioners' in the October and November 2015 decisions for more detail.</w:t>
      </w:r>
    </w:p>
  </w:footnote>
  <w:footnote w:id="981">
    <w:p w:rsidR="00702DD6" w:rsidRDefault="00702DD6" w:rsidP="00033144">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982">
    <w:p w:rsidR="00702DD6" w:rsidRDefault="00702DD6" w:rsidP="00033144">
      <w:pPr>
        <w:pStyle w:val="FootnoteText"/>
      </w:pPr>
      <w:r>
        <w:rPr>
          <w:rStyle w:val="FootnoteReference"/>
        </w:rPr>
        <w:footnoteRef/>
      </w:r>
      <w:r>
        <w:t xml:space="preserve"> </w:t>
      </w:r>
      <w:r>
        <w:tab/>
      </w:r>
      <w:r w:rsidRPr="00A532F6">
        <w:t xml:space="preserve">Grant Samuel's submission in response to our November 2014 decisions provided some clarification about its use of uplifts and dividend imputation in its Envestra valuation report. However, we considered that this clarification did not </w:t>
      </w:r>
      <w:r>
        <w:t>affect</w:t>
      </w:r>
      <w:r w:rsidRPr="00A532F6">
        <w:t xml:space="preserve"> the fundamental premise of our concerns and hence did not support a change to our approach (for more detail, see sections E.3 and E.6 of Attachment 3 to CitiPower's draft decision). In its revised proposal, CitiPower submitted that our consideration of both imputation-adjusted estimates and unadjusted estimates is illogical given Grant Samuel's submission</w:t>
      </w:r>
      <w:r>
        <w:t xml:space="preserve"> [</w:t>
      </w:r>
      <w:r w:rsidRPr="00A532F6">
        <w:t xml:space="preserve">CitiPower, </w:t>
      </w:r>
      <w:r w:rsidRPr="00A532F6">
        <w:rPr>
          <w:rStyle w:val="AERtextitalic"/>
        </w:rPr>
        <w:t>Revised regulatory proposal 2016–2020</w:t>
      </w:r>
      <w:r w:rsidRPr="00A532F6">
        <w:t>, pp. 320</w:t>
      </w:r>
      <w:r>
        <w:t>]</w:t>
      </w:r>
      <w:r w:rsidRPr="00A532F6">
        <w:t>.</w:t>
      </w:r>
      <w:r>
        <w:t xml:space="preserve"> CitiPower provided no additional information about Grant Samuel's Envestra valuation report and hence our consideration of it is unchanged.</w:t>
      </w:r>
    </w:p>
  </w:footnote>
  <w:footnote w:id="983">
    <w:p w:rsidR="00702DD6" w:rsidRDefault="00702DD6" w:rsidP="00033144">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pp. 317–318; Powercor, </w:t>
      </w:r>
      <w:r w:rsidRPr="00273F0E">
        <w:rPr>
          <w:rStyle w:val="AERtextitalic"/>
        </w:rPr>
        <w:t>Revised regulatory proposal 2016–2020</w:t>
      </w:r>
      <w:r w:rsidRPr="00273F0E">
        <w:t xml:space="preserve">, pp. 311–312; ActewAGL, </w:t>
      </w:r>
      <w:r w:rsidRPr="00273F0E">
        <w:rPr>
          <w:rStyle w:val="Emphasis"/>
        </w:rPr>
        <w:t>Revised 2016–21 access arrangement proposal Response to the AER's draft decision, Appendix 5.01 Detailed response to rate of return, gamma and inflation</w:t>
      </w:r>
      <w:r w:rsidRPr="00273F0E">
        <w:t xml:space="preserve">, January 2016, pp. 96–98; United Energy, </w:t>
      </w:r>
      <w:r w:rsidRPr="00273F0E">
        <w:rPr>
          <w:rStyle w:val="Emphasis"/>
        </w:rPr>
        <w:t>Response to AER preliminary determination–Re: rate of return and gamma</w:t>
      </w:r>
      <w:r w:rsidRPr="00273F0E">
        <w:t xml:space="preserve">, 6 January 2016, pp.71–72; AGN, </w:t>
      </w:r>
      <w:r w:rsidRPr="00273F0E">
        <w:rPr>
          <w:rStyle w:val="Emphasis"/>
        </w:rPr>
        <w:t>2016–17 to 2020/21 Access Arrangement information response to draft decision: Attachment 10.26 Response to draft decision: rate of return</w:t>
      </w:r>
      <w:r w:rsidRPr="00273F0E">
        <w:t xml:space="preserve">, January 2016, pp. 75–76; AusNet Services, </w:t>
      </w:r>
      <w:r w:rsidRPr="00273F0E">
        <w:rPr>
          <w:rStyle w:val="Emphasis"/>
        </w:rPr>
        <w:t>Electricity distribution price review 2016–20 Revised regulatory proposal: Chapter 7 Rate of return &amp; gamma</w:t>
      </w:r>
      <w:r w:rsidRPr="00273F0E">
        <w:t>, 6 January 2016, pp. 70–72</w:t>
      </w:r>
    </w:p>
  </w:footnote>
  <w:footnote w:id="984">
    <w:p w:rsidR="00702DD6" w:rsidRDefault="00702DD6" w:rsidP="00033144">
      <w:pPr>
        <w:pStyle w:val="FootnoteText"/>
      </w:pPr>
      <w:r>
        <w:rPr>
          <w:rStyle w:val="FootnoteReference"/>
        </w:rPr>
        <w:footnoteRef/>
      </w:r>
      <w:r>
        <w:t xml:space="preserve"> </w:t>
      </w:r>
      <w:r>
        <w:tab/>
      </w:r>
      <w:r w:rsidRPr="0068037A">
        <w:t xml:space="preserve">Independent Pricing and Regulatory Tribunal, </w:t>
      </w:r>
      <w:r w:rsidRPr="00433835">
        <w:rPr>
          <w:rStyle w:val="AERtextitalic"/>
        </w:rPr>
        <w:t>Fact sheet: WACC biannual update</w:t>
      </w:r>
      <w:r w:rsidRPr="0068037A">
        <w:t>, August 2015</w:t>
      </w:r>
      <w:r>
        <w:t xml:space="preserve">; </w:t>
      </w:r>
      <w:r w:rsidRPr="0068037A">
        <w:t xml:space="preserve">Economic Regulatory Authority of Western Australia, </w:t>
      </w:r>
      <w:r w:rsidRPr="00433835">
        <w:rPr>
          <w:rStyle w:val="AERtextitalic"/>
        </w:rPr>
        <w:t>Review of the method for estimating the Weighted Average Cost of Capital for the Regulated Railway Networks</w:t>
      </w:r>
      <w:r w:rsidRPr="0068037A">
        <w:t>, 18 September 2015</w:t>
      </w:r>
      <w:r>
        <w:t xml:space="preserve">; </w:t>
      </w:r>
      <w:r w:rsidRPr="0068037A">
        <w:t xml:space="preserve">Queensland Competition Authority, </w:t>
      </w:r>
      <w:r w:rsidRPr="00433835">
        <w:rPr>
          <w:rStyle w:val="AERtextitalic"/>
        </w:rPr>
        <w:t>Queensland Rail's 2015 Draft Access Undertaking: Draft Decision</w:t>
      </w:r>
      <w:r w:rsidRPr="0068037A">
        <w:t>, October 2015</w:t>
      </w:r>
      <w:r>
        <w:t xml:space="preserve">; </w:t>
      </w:r>
      <w:r w:rsidRPr="0068037A">
        <w:t xml:space="preserve">Australian Competition and Consumer Commission, </w:t>
      </w:r>
      <w:r w:rsidRPr="00433835">
        <w:rPr>
          <w:rStyle w:val="AERtextitalic"/>
        </w:rPr>
        <w:t>Public inquiry into final access determinations for fixed line services: Final decision</w:t>
      </w:r>
      <w:r w:rsidRPr="0068037A">
        <w:t>, October 2015</w:t>
      </w:r>
      <w:r>
        <w:t xml:space="preserve">; </w:t>
      </w:r>
      <w:r w:rsidRPr="0068037A">
        <w:t xml:space="preserve">Queensland Competition Authority, </w:t>
      </w:r>
      <w:r w:rsidRPr="00433835">
        <w:rPr>
          <w:rStyle w:val="AERtextitalic"/>
        </w:rPr>
        <w:t>Aurizon Network 2014 Draft Access Undertaking — Volume IV: Maximum Allowable Revenue</w:t>
      </w:r>
      <w:r w:rsidRPr="0068037A">
        <w:t>, December 2015</w:t>
      </w:r>
      <w:r>
        <w:t xml:space="preserve">; </w:t>
      </w:r>
      <w:r w:rsidRPr="0068037A">
        <w:t xml:space="preserve">Australian Competition and Consumer Commission, </w:t>
      </w:r>
      <w:r w:rsidRPr="00433835">
        <w:rPr>
          <w:rStyle w:val="AERtextitalic"/>
        </w:rPr>
        <w:t>ACCC decision on Australian Postal Corporation 2015 price notification</w:t>
      </w:r>
      <w:r w:rsidRPr="0068037A">
        <w:t>, December 2015</w:t>
      </w:r>
      <w:r>
        <w:t xml:space="preserve">; </w:t>
      </w:r>
      <w:r w:rsidRPr="0068037A">
        <w:t xml:space="preserve">Economic Regulatory Authority of Western Australia, </w:t>
      </w:r>
      <w:r w:rsidRPr="00433835">
        <w:rPr>
          <w:rStyle w:val="AERtextitalic"/>
        </w:rPr>
        <w:t>Draft Decision on Proposed Revisions to the Access Arrangement for the Goldfields Gas Pipeline</w:t>
      </w:r>
      <w:r w:rsidRPr="0068037A">
        <w:t>, 17 December 2015</w:t>
      </w:r>
      <w:r>
        <w:t xml:space="preserve">; </w:t>
      </w:r>
      <w:r w:rsidRPr="0068037A">
        <w:t xml:space="preserve">Economic Regulatory Authority of Western Australia, </w:t>
      </w:r>
      <w:r w:rsidRPr="00433835">
        <w:rPr>
          <w:rStyle w:val="AERtextitalic"/>
        </w:rPr>
        <w:t>Draft Decision on Proposed Revisions to the Access Arrangement for the Dampier to Bunbury Natural Gas Pipeline 2016–2020</w:t>
      </w:r>
      <w:r w:rsidRPr="0068037A">
        <w:t>, 22 December 2015</w:t>
      </w:r>
      <w:r>
        <w:t xml:space="preserve">; </w:t>
      </w:r>
      <w:r w:rsidRPr="0068037A">
        <w:t xml:space="preserve">Independent Pricing and Regulatory Tribunal, </w:t>
      </w:r>
      <w:r w:rsidRPr="00433835">
        <w:rPr>
          <w:rStyle w:val="AERtextitalic"/>
        </w:rPr>
        <w:t>Fact sheet: WACC biannual update</w:t>
      </w:r>
      <w:r w:rsidRPr="0068037A">
        <w:t>, February 2016</w:t>
      </w:r>
      <w:r>
        <w:t xml:space="preserve">; </w:t>
      </w:r>
      <w:r w:rsidRPr="00904748">
        <w:t xml:space="preserve">ESCOSA, </w:t>
      </w:r>
      <w:r w:rsidRPr="00E37804">
        <w:rPr>
          <w:rStyle w:val="Emphasis"/>
        </w:rPr>
        <w:t>SA Water Regulatory Determination 2016 - Draft Determination: Statement of Reasons</w:t>
      </w:r>
      <w:r w:rsidRPr="00904748">
        <w:t>, February 2016</w:t>
      </w:r>
      <w:r>
        <w:t xml:space="preserve">; </w:t>
      </w:r>
      <w:r w:rsidRPr="00904748">
        <w:t xml:space="preserve">Essential Services Commission of Victoria, </w:t>
      </w:r>
      <w:r w:rsidRPr="00E37804">
        <w:rPr>
          <w:rStyle w:val="Emphasis"/>
        </w:rPr>
        <w:t>Goulburn-Murray Water Price Review 2016: Draft decisio</w:t>
      </w:r>
      <w:r w:rsidRPr="00904748">
        <w:t>n, February 2016</w:t>
      </w:r>
      <w:r>
        <w:t xml:space="preserve">; </w:t>
      </w:r>
      <w:r w:rsidRPr="008B7569">
        <w:t xml:space="preserve">Essential Services Commission of Victoria, </w:t>
      </w:r>
      <w:r w:rsidRPr="00E37804">
        <w:rPr>
          <w:rStyle w:val="Emphasis"/>
        </w:rPr>
        <w:t>Melbourne Water Price Review 2016: Draft Decision</w:t>
      </w:r>
      <w:r w:rsidRPr="008B7569">
        <w:t>, March 2016</w:t>
      </w:r>
      <w:r>
        <w:t xml:space="preserve">; </w:t>
      </w:r>
      <w:r w:rsidRPr="008B7569">
        <w:t xml:space="preserve">Independent Pricing and Regulatory Tribunal, </w:t>
      </w:r>
      <w:r w:rsidRPr="00E37804">
        <w:rPr>
          <w:rStyle w:val="Emphasis"/>
        </w:rPr>
        <w:t>Review of prices for Sydney Water Corporation from 1 July 2016 to 30 June 2020 - Draft report</w:t>
      </w:r>
      <w:r w:rsidRPr="008B7569">
        <w:t>, March 2016</w:t>
      </w:r>
      <w:r>
        <w:t xml:space="preserve">; </w:t>
      </w:r>
      <w:r w:rsidRPr="008B7569">
        <w:t xml:space="preserve">Independent Pricing and Regulatory Tribunal, </w:t>
      </w:r>
      <w:r w:rsidRPr="00E37804">
        <w:rPr>
          <w:rStyle w:val="Emphasis"/>
        </w:rPr>
        <w:t>Review of prices for Hunter Water Corporation from 1 July 2016 to 30 June 2020 - Draft report</w:t>
      </w:r>
      <w:r w:rsidRPr="008B7569">
        <w:t>, March 2016</w:t>
      </w:r>
      <w:r>
        <w:t xml:space="preserve">; </w:t>
      </w:r>
      <w:r w:rsidRPr="008B7569">
        <w:t xml:space="preserve">Independent Pricing and Regulatory Tribunal, </w:t>
      </w:r>
      <w:r w:rsidRPr="00E37804">
        <w:rPr>
          <w:rStyle w:val="Emphasis"/>
        </w:rPr>
        <w:t>Review of prices for WaterNSW from 1 July 2016 to 30 June 2020 - Draft report</w:t>
      </w:r>
      <w:r w:rsidRPr="008B7569">
        <w:t>, March 2016</w:t>
      </w:r>
      <w:r>
        <w:t>.</w:t>
      </w:r>
    </w:p>
  </w:footnote>
  <w:footnote w:id="985">
    <w:p w:rsidR="00702DD6" w:rsidRDefault="00702DD6" w:rsidP="00033144">
      <w:pPr>
        <w:pStyle w:val="FootnoteText"/>
      </w:pPr>
      <w:r>
        <w:rPr>
          <w:rStyle w:val="FootnoteReference"/>
        </w:rPr>
        <w:footnoteRef/>
      </w:r>
      <w:r>
        <w:t xml:space="preserve"> </w:t>
      </w:r>
      <w:r>
        <w:tab/>
        <w:t>Our</w:t>
      </w:r>
      <w:r w:rsidRPr="004A024B">
        <w:t xml:space="preserve"> April and June 2015</w:t>
      </w:r>
      <w:r>
        <w:t xml:space="preserve"> decisions examined decisions by other regulators from </w:t>
      </w:r>
      <w:r w:rsidRPr="00D445A8">
        <w:t>November 2014 to March 2015</w:t>
      </w:r>
      <w:r>
        <w:t>.</w:t>
      </w:r>
      <w:r w:rsidRPr="00D445A8">
        <w:t xml:space="preserve"> </w:t>
      </w:r>
      <w:r w:rsidRPr="003B2FE5">
        <w:t>Our October and November 2015 decisions examined decisions by other regulators from March to June 2015.</w:t>
      </w:r>
    </w:p>
  </w:footnote>
  <w:footnote w:id="986">
    <w:p w:rsidR="00702DD6" w:rsidRDefault="00702DD6" w:rsidP="00033144">
      <w:pPr>
        <w:pStyle w:val="FootnoteText"/>
      </w:pPr>
      <w:r>
        <w:rPr>
          <w:rStyle w:val="FootnoteReference"/>
        </w:rPr>
        <w:footnoteRef/>
      </w:r>
      <w:r>
        <w:t xml:space="preserve"> </w:t>
      </w:r>
      <w:r>
        <w:tab/>
        <w:t>Note that the risk characteristics of rail businesses such as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 xml:space="preserve"> Nevertheless, we have included these decisions for comparative purposes.</w:t>
      </w:r>
    </w:p>
  </w:footnote>
  <w:footnote w:id="987">
    <w:p w:rsidR="00702DD6" w:rsidRDefault="00702DD6" w:rsidP="00033144">
      <w:pPr>
        <w:pStyle w:val="FootnoteText"/>
      </w:pPr>
      <w:r>
        <w:rPr>
          <w:rStyle w:val="FootnoteReference"/>
        </w:rPr>
        <w:footnoteRef/>
      </w:r>
      <w:r>
        <w:t xml:space="preserve"> </w:t>
      </w:r>
      <w:r>
        <w:tab/>
      </w:r>
      <w:r w:rsidRPr="0068037A">
        <w:t xml:space="preserve">Independent Pricing and Regulatory Tribunal, </w:t>
      </w:r>
      <w:r w:rsidRPr="00433835">
        <w:rPr>
          <w:rStyle w:val="AERtextitalic"/>
        </w:rPr>
        <w:t>Fact sheet: WACC biannual update</w:t>
      </w:r>
      <w:r w:rsidRPr="0068037A">
        <w:t>, August 2015</w:t>
      </w:r>
      <w:r>
        <w:t xml:space="preserve">; </w:t>
      </w:r>
      <w:r w:rsidRPr="0068037A">
        <w:t xml:space="preserve">Economic Regulatory Authority of Western Australia, </w:t>
      </w:r>
      <w:r w:rsidRPr="00433835">
        <w:rPr>
          <w:rStyle w:val="AERtextitalic"/>
        </w:rPr>
        <w:t>Review of the method for estimating the Weighted Average Cost of Capital for the Regulated Railway Networks</w:t>
      </w:r>
      <w:r w:rsidRPr="0068037A">
        <w:t>, 18 September 2015</w:t>
      </w:r>
      <w:r>
        <w:t xml:space="preserve">; </w:t>
      </w:r>
      <w:r w:rsidRPr="0068037A">
        <w:t xml:space="preserve">Queensland Competition Authority, </w:t>
      </w:r>
      <w:r w:rsidRPr="00433835">
        <w:rPr>
          <w:rStyle w:val="AERtextitalic"/>
        </w:rPr>
        <w:t>Queensland Rail's 2015 Draft Access Undertaking: Draft Decision</w:t>
      </w:r>
      <w:r w:rsidRPr="0068037A">
        <w:t>, October 2015</w:t>
      </w:r>
      <w:r>
        <w:t xml:space="preserve">; </w:t>
      </w:r>
      <w:r w:rsidRPr="0068037A">
        <w:t xml:space="preserve">Australian Competition and Consumer Commission, </w:t>
      </w:r>
      <w:r w:rsidRPr="00433835">
        <w:rPr>
          <w:rStyle w:val="AERtextitalic"/>
        </w:rPr>
        <w:t>Public inquiry into final access determinations for fixed line services: Final decision</w:t>
      </w:r>
      <w:r w:rsidRPr="0068037A">
        <w:t>, October 2015</w:t>
      </w:r>
      <w:r>
        <w:t xml:space="preserve">; </w:t>
      </w:r>
      <w:r w:rsidRPr="0068037A">
        <w:t xml:space="preserve">Queensland Competition Authority, </w:t>
      </w:r>
      <w:r w:rsidRPr="00433835">
        <w:rPr>
          <w:rStyle w:val="AERtextitalic"/>
        </w:rPr>
        <w:t>Aurizon Network 2014 Draft Access Undertaking — Volume IV: Maximum Allowable Revenue</w:t>
      </w:r>
      <w:r w:rsidRPr="0068037A">
        <w:t>, December 2015</w:t>
      </w:r>
      <w:r>
        <w:t xml:space="preserve">; </w:t>
      </w:r>
      <w:r w:rsidRPr="0068037A">
        <w:t xml:space="preserve">Australian Competition and Consumer Commission, </w:t>
      </w:r>
      <w:r w:rsidRPr="00433835">
        <w:rPr>
          <w:rStyle w:val="AERtextitalic"/>
        </w:rPr>
        <w:t>ACCC decision on Australian Postal Corporation 2015 price notification</w:t>
      </w:r>
      <w:r w:rsidRPr="0068037A">
        <w:t>, December 2015</w:t>
      </w:r>
      <w:r>
        <w:t xml:space="preserve">; </w:t>
      </w:r>
      <w:r w:rsidRPr="0068037A">
        <w:t xml:space="preserve">Economic Regulatory Authority of Western Australia, </w:t>
      </w:r>
      <w:r w:rsidRPr="00433835">
        <w:rPr>
          <w:rStyle w:val="AERtextitalic"/>
        </w:rPr>
        <w:t>Draft Decision on Proposed Revisions to the Access Arrangement for the Goldfields Gas Pipeline</w:t>
      </w:r>
      <w:r w:rsidRPr="0068037A">
        <w:t>, 17 December 2015</w:t>
      </w:r>
      <w:r>
        <w:t xml:space="preserve">; </w:t>
      </w:r>
      <w:r w:rsidRPr="0068037A">
        <w:t xml:space="preserve">Economic Regulatory Authority of Western Australia, </w:t>
      </w:r>
      <w:r w:rsidRPr="00433835">
        <w:rPr>
          <w:rStyle w:val="AERtextitalic"/>
        </w:rPr>
        <w:t>Draft Decision on Proposed Revisions to the Access Arrangement for the Dampier to Bunbury Natural Gas Pipeline 2016–2020</w:t>
      </w:r>
      <w:r w:rsidRPr="0068037A">
        <w:t>, 22 December 2015</w:t>
      </w:r>
      <w:r>
        <w:t xml:space="preserve">; </w:t>
      </w:r>
      <w:r w:rsidRPr="0068037A">
        <w:t xml:space="preserve">Independent Pricing and Regulatory Tribunal, </w:t>
      </w:r>
      <w:r w:rsidRPr="00433835">
        <w:rPr>
          <w:rStyle w:val="AERtextitalic"/>
        </w:rPr>
        <w:t>Fact sheet: WACC biannual update</w:t>
      </w:r>
      <w:r w:rsidRPr="0068037A">
        <w:t>, February 2016</w:t>
      </w:r>
      <w:r>
        <w:t xml:space="preserve">; </w:t>
      </w:r>
      <w:r w:rsidRPr="00904748">
        <w:t xml:space="preserve">ESCOSA, </w:t>
      </w:r>
      <w:r w:rsidRPr="00E37804">
        <w:rPr>
          <w:rStyle w:val="Emphasis"/>
        </w:rPr>
        <w:t>SA Water Regulatory Determination 2016 - Draft Determination: Statement of Reasons</w:t>
      </w:r>
      <w:r w:rsidRPr="00904748">
        <w:t>, February 2016</w:t>
      </w:r>
      <w:r>
        <w:t xml:space="preserve">; </w:t>
      </w:r>
      <w:r w:rsidRPr="00904748">
        <w:t xml:space="preserve">Essential Services Commission of Victoria, </w:t>
      </w:r>
      <w:r w:rsidRPr="00E37804">
        <w:rPr>
          <w:rStyle w:val="Emphasis"/>
        </w:rPr>
        <w:t>Goulburn-Murray Water Price Review 2016: Draft decision</w:t>
      </w:r>
      <w:r w:rsidRPr="00904748">
        <w:t>, February 2016</w:t>
      </w:r>
      <w:r>
        <w:t xml:space="preserve">; </w:t>
      </w:r>
      <w:r w:rsidRPr="008B7569">
        <w:t xml:space="preserve">Essential Services Commission of Victoria, </w:t>
      </w:r>
      <w:r w:rsidRPr="008B7569">
        <w:rPr>
          <w:rStyle w:val="Emphasis"/>
        </w:rPr>
        <w:t>Melbourne Water Price Review 2016: Draft Decision</w:t>
      </w:r>
      <w:r w:rsidRPr="008B7569">
        <w:t xml:space="preserve">, March 2016; Independent Pricing and Regulatory Tribunal, </w:t>
      </w:r>
      <w:r w:rsidRPr="008B7569">
        <w:rPr>
          <w:rStyle w:val="Emphasis"/>
        </w:rPr>
        <w:t>Review of prices for Sydney Water Corporation from 1 July 2016 to 30 June 2020 - Draft report</w:t>
      </w:r>
      <w:r w:rsidRPr="008B7569">
        <w:t xml:space="preserve">, March 2016; Independent Pricing and Regulatory Tribunal, </w:t>
      </w:r>
      <w:r w:rsidRPr="008B7569">
        <w:rPr>
          <w:rStyle w:val="Emphasis"/>
        </w:rPr>
        <w:t>Review of prices for Hunter Water Corporation from 1 July 2016 to 30 June 2020 - Draft report</w:t>
      </w:r>
      <w:r w:rsidRPr="008B7569">
        <w:t xml:space="preserve">, March 2016; Independent Pricing and Regulatory Tribunal, </w:t>
      </w:r>
      <w:r w:rsidRPr="008B7569">
        <w:rPr>
          <w:rStyle w:val="Emphasis"/>
        </w:rPr>
        <w:t>Review of prices for WaterNSW from 1 July 2016 to 30 June 2020 - Draft report</w:t>
      </w:r>
      <w:r w:rsidRPr="008B7569">
        <w:t>, March 2016</w:t>
      </w:r>
      <w:r>
        <w:t>.</w:t>
      </w:r>
    </w:p>
  </w:footnote>
  <w:footnote w:id="988">
    <w:p w:rsidR="00702DD6" w:rsidRDefault="00702DD6" w:rsidP="00033144">
      <w:pPr>
        <w:pStyle w:val="FootnoteText"/>
      </w:pPr>
      <w:r>
        <w:rPr>
          <w:rStyle w:val="FootnoteReference"/>
        </w:rPr>
        <w:footnoteRef/>
      </w:r>
      <w:r>
        <w:t xml:space="preserve"> </w:t>
      </w:r>
      <w:r>
        <w:tab/>
      </w:r>
      <w:r w:rsidRPr="00981E28">
        <w:t xml:space="preserve">AER, </w:t>
      </w:r>
      <w:r>
        <w:rPr>
          <w:rStyle w:val="AERtextitalic"/>
        </w:rPr>
        <w:t xml:space="preserve">CitiPower </w:t>
      </w:r>
      <w:r w:rsidRPr="00981E28">
        <w:rPr>
          <w:rStyle w:val="AERtextitalic"/>
        </w:rPr>
        <w:t>Preliminary Decision - Attachment 3: Rate of Return</w:t>
      </w:r>
      <w:r w:rsidRPr="00981E28">
        <w:t xml:space="preserve">, </w:t>
      </w:r>
      <w:r>
        <w:t>October</w:t>
      </w:r>
      <w:r w:rsidRPr="00981E28">
        <w:t xml:space="preserve"> 2015, p</w:t>
      </w:r>
      <w:r>
        <w:t>p</w:t>
      </w:r>
      <w:r w:rsidRPr="00981E28">
        <w:t xml:space="preserve">. </w:t>
      </w:r>
      <w:r>
        <w:t>528-534</w:t>
      </w:r>
      <w:r w:rsidRPr="00EA690D">
        <w:t xml:space="preserve">; AER, </w:t>
      </w:r>
      <w:r w:rsidRPr="00EA690D">
        <w:rPr>
          <w:rStyle w:val="AERtextitalic"/>
        </w:rPr>
        <w:t>Powercor Preliminary Decision - Attachment 3: Rate of Return</w:t>
      </w:r>
      <w:r w:rsidRPr="00EA690D">
        <w:t xml:space="preserve">, October 2015, pp. 528–535; AER, </w:t>
      </w:r>
      <w:r w:rsidRPr="00EA690D">
        <w:rPr>
          <w:rStyle w:val="Emphasis"/>
        </w:rPr>
        <w:t>Draft decision ActewAGL distribution determination 2016 to 2021: Attachment 3 – Rate of return</w:t>
      </w:r>
      <w:r w:rsidRPr="00EA690D">
        <w:t xml:space="preserve">, November 2015, pp. 541–550; AER, </w:t>
      </w:r>
      <w:r w:rsidRPr="00EA690D">
        <w:rPr>
          <w:rStyle w:val="Emphasis"/>
        </w:rPr>
        <w:t>Preliminary decision United Energy determination 2016 to 2020: Attachment 3 – Rate of return</w:t>
      </w:r>
      <w:r w:rsidRPr="00EA690D">
        <w:t xml:space="preserve">, October 2015, pp. 270–272, 524–539; AER, </w:t>
      </w:r>
      <w:r w:rsidRPr="00EA690D">
        <w:rPr>
          <w:rStyle w:val="Emphasis"/>
        </w:rPr>
        <w:t>Draft decision Australian Gas Networks Access Arrangement 2016 to 2021: Attachment 3 – Rate of return</w:t>
      </w:r>
      <w:r w:rsidRPr="00EA690D">
        <w:t xml:space="preserve">, November 2015, pp. 275–277, 530–542; AER, </w:t>
      </w:r>
      <w:r w:rsidRPr="00EA690D">
        <w:rPr>
          <w:rStyle w:val="Emphasis"/>
        </w:rPr>
        <w:t>Preliminary decision Jemena distribution determination 2016 to 2020: Attachment 3–Rate of return</w:t>
      </w:r>
      <w:r w:rsidRPr="00EA690D">
        <w:t>, October 2015, pp. 269–271, 525–539; AER</w:t>
      </w:r>
      <w:r w:rsidRPr="00EA690D">
        <w:rPr>
          <w:rStyle w:val="Emphasis"/>
        </w:rPr>
        <w:t>, Preliminary decision AusNet Services determination 2016 to 2020: Attachment 3–Rate of return</w:t>
      </w:r>
      <w:r w:rsidRPr="00EA690D">
        <w:t>, October 2015, pp. 269–270, 529–535</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269–273.</w:t>
      </w:r>
    </w:p>
  </w:footnote>
  <w:footnote w:id="989">
    <w:p w:rsidR="00702DD6" w:rsidRDefault="00702DD6" w:rsidP="00033144">
      <w:pPr>
        <w:pStyle w:val="FootnoteText"/>
      </w:pPr>
      <w:r>
        <w:rPr>
          <w:rStyle w:val="FootnoteReference"/>
        </w:rPr>
        <w:footnoteRef/>
      </w:r>
      <w:r>
        <w:t xml:space="preserve"> </w:t>
      </w:r>
      <w:r>
        <w:tab/>
      </w:r>
      <w:r w:rsidRPr="005D746C">
        <w:t xml:space="preserve">Partington, </w:t>
      </w:r>
      <w:r w:rsidRPr="00DB1D18">
        <w:rPr>
          <w:rStyle w:val="AERtextitalic"/>
        </w:rPr>
        <w:t>Report to the AER: Return on equity (Updated)</w:t>
      </w:r>
      <w:r w:rsidRPr="005D746C">
        <w:t>, April 2015, p. 28</w:t>
      </w:r>
      <w:r>
        <w:t xml:space="preserve">; </w:t>
      </w:r>
      <w:r w:rsidRPr="005D746C">
        <w:t xml:space="preserve">Partington &amp; Satchell, </w:t>
      </w:r>
      <w:r w:rsidRPr="00DB1D18">
        <w:rPr>
          <w:rStyle w:val="AERtextitalic"/>
        </w:rPr>
        <w:t>Report to the AER: Analysis of criticism of 2015 determinations</w:t>
      </w:r>
      <w:r w:rsidRPr="005D746C">
        <w:t>, October 2015, p. 36.</w:t>
      </w:r>
    </w:p>
  </w:footnote>
  <w:footnote w:id="990">
    <w:p w:rsidR="00702DD6" w:rsidRPr="00D23304" w:rsidRDefault="00702DD6" w:rsidP="00033144">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w:t>
      </w:r>
      <w:r>
        <w:t>g</w:t>
      </w:r>
      <w:r>
        <w:rPr>
          <w:lang w:val="en-US"/>
        </w:rPr>
        <w:t>rid, AusNet Services, Australian Gas Networks, CitiPower, Endeavour Energy, Energex, Ergon</w:t>
      </w:r>
      <w:r>
        <w:t xml:space="preserve"> Energy</w:t>
      </w:r>
      <w:r>
        <w:rPr>
          <w:lang w:val="en-US"/>
        </w:rPr>
        <w:t>, Essential Energy, Powercor, SA Power Networks, and United Energy, February 2015, p. 19.</w:t>
      </w:r>
    </w:p>
  </w:footnote>
  <w:footnote w:id="991">
    <w:p w:rsidR="00702DD6" w:rsidRDefault="00702DD6" w:rsidP="00033144">
      <w:pPr>
        <w:pStyle w:val="FootnoteText"/>
      </w:pPr>
      <w:r>
        <w:rPr>
          <w:rStyle w:val="FootnoteReference"/>
        </w:rPr>
        <w:footnoteRef/>
      </w:r>
      <w:r>
        <w:t xml:space="preserve"> </w:t>
      </w:r>
      <w:r>
        <w:tab/>
        <w:t xml:space="preserve">Partington, </w:t>
      </w:r>
      <w:r w:rsidRPr="00B466AF">
        <w:rPr>
          <w:rStyle w:val="AERtextitalic"/>
        </w:rPr>
        <w:t>Repor</w:t>
      </w:r>
      <w:r>
        <w:rPr>
          <w:rStyle w:val="AERtextitalic"/>
        </w:rPr>
        <w:t>t to the AER: Return on equity </w:t>
      </w:r>
      <w:r w:rsidRPr="00B466AF">
        <w:rPr>
          <w:rStyle w:val="AERtextitalic"/>
        </w:rPr>
        <w:t>(Updated)</w:t>
      </w:r>
      <w:r>
        <w:t>,</w:t>
      </w:r>
      <w:r w:rsidRPr="00B466AF">
        <w:t xml:space="preserve"> April 2015</w:t>
      </w:r>
      <w:r>
        <w:t>, p. 28.</w:t>
      </w:r>
    </w:p>
  </w:footnote>
  <w:footnote w:id="992">
    <w:p w:rsidR="00702DD6" w:rsidRDefault="00702DD6" w:rsidP="00033144">
      <w:pPr>
        <w:pStyle w:val="FootnoteText"/>
      </w:pPr>
      <w:r>
        <w:rPr>
          <w:rStyle w:val="FootnoteReference"/>
        </w:rPr>
        <w:footnoteRef/>
      </w:r>
      <w:r>
        <w:t xml:space="preserve"> </w:t>
      </w:r>
      <w:r>
        <w:tab/>
      </w:r>
      <w:r w:rsidRPr="00A77612">
        <w:t xml:space="preserve">AER, </w:t>
      </w:r>
      <w:r w:rsidRPr="00A77612">
        <w:rPr>
          <w:rStyle w:val="Emphasis"/>
        </w:rPr>
        <w:t>Draft decision ActewAGL distribution determination 2016 to 2021: Attachment 3 – Rate of return</w:t>
      </w:r>
      <w:r w:rsidRPr="00A77612">
        <w:t>, November 2015, pp.</w:t>
      </w:r>
      <w:r>
        <w:t xml:space="preserve"> 525–549.</w:t>
      </w:r>
    </w:p>
    <w:p w:rsidR="00702DD6" w:rsidRDefault="00702DD6" w:rsidP="00033144">
      <w:pPr>
        <w:pStyle w:val="FootnoteText"/>
      </w:pPr>
    </w:p>
  </w:footnote>
  <w:footnote w:id="993">
    <w:p w:rsidR="00702DD6" w:rsidRDefault="00702DD6" w:rsidP="00033144">
      <w:pPr>
        <w:pStyle w:val="FootnoteText"/>
      </w:pPr>
      <w:r>
        <w:rPr>
          <w:rStyle w:val="FootnoteReference"/>
        </w:rPr>
        <w:footnoteRef/>
      </w:r>
      <w:r>
        <w:t xml:space="preserve"> </w:t>
      </w:r>
      <w:r>
        <w:tab/>
      </w:r>
      <w:r w:rsidRPr="00A85C79">
        <w:t xml:space="preserve">Incenta Economic Consulting, </w:t>
      </w:r>
      <w:r w:rsidRPr="00DB1D18">
        <w:rPr>
          <w:rStyle w:val="AERtextitalic"/>
        </w:rPr>
        <w:t>Further update on the required return on equity from independent expert reports</w:t>
      </w:r>
      <w:r w:rsidRPr="00A85C79">
        <w:t>, Report for Jemena Gas Networks, Jemena Elec</w:t>
      </w:r>
      <w:r>
        <w:t>tricity Networks, ActewAGL, Ausg</w:t>
      </w:r>
      <w:r w:rsidRPr="00A85C79">
        <w:t>rid, AusNet Services, Australian Gas Networks, CitiPower, Endeavour Energy, Energex, Ergon</w:t>
      </w:r>
      <w:r>
        <w:t xml:space="preserve"> Energy</w:t>
      </w:r>
      <w:r w:rsidRPr="00A85C79">
        <w:t>, Essential Energy, Powercor, SA Power Networks, and Uni</w:t>
      </w:r>
      <w:r>
        <w:t>ted Energy, February 2015, p. 33.</w:t>
      </w:r>
    </w:p>
  </w:footnote>
  <w:footnote w:id="994">
    <w:p w:rsidR="00702DD6" w:rsidRDefault="00702DD6" w:rsidP="00033144">
      <w:pPr>
        <w:pStyle w:val="FootnoteText"/>
      </w:pPr>
      <w:r>
        <w:rPr>
          <w:rStyle w:val="FootnoteReference"/>
        </w:rPr>
        <w:footnoteRef/>
      </w:r>
      <w:r>
        <w:t xml:space="preserve"> </w:t>
      </w:r>
      <w:r>
        <w:tab/>
      </w:r>
      <w:r w:rsidRPr="00234188">
        <w:t xml:space="preserve">Partington, </w:t>
      </w:r>
      <w:r w:rsidRPr="00D946D9">
        <w:rPr>
          <w:rStyle w:val="AERtextitalic"/>
        </w:rPr>
        <w:t>Report to the AER: Return on equity (Updated)</w:t>
      </w:r>
      <w:r>
        <w:t>,</w:t>
      </w:r>
      <w:r w:rsidRPr="00234188">
        <w:t xml:space="preserve"> April 2015</w:t>
      </w:r>
      <w:r>
        <w:t>, p. 64.</w:t>
      </w:r>
    </w:p>
  </w:footnote>
  <w:footnote w:id="995">
    <w:p w:rsidR="00702DD6" w:rsidRDefault="00702DD6" w:rsidP="00033144">
      <w:pPr>
        <w:pStyle w:val="FootnoteText"/>
      </w:pPr>
      <w:r>
        <w:rPr>
          <w:rStyle w:val="FootnoteReference"/>
        </w:rPr>
        <w:footnoteRef/>
      </w:r>
      <w:r>
        <w:t xml:space="preserve"> </w:t>
      </w:r>
      <w:r>
        <w:tab/>
        <w:t>In particular in comparison to the market return estimates from valuation reports excluding any adjustment for dividend imputation, which we consider to be the more appropriate series for our purposes (see section E.1.).</w:t>
      </w:r>
    </w:p>
  </w:footnote>
  <w:footnote w:id="996">
    <w:p w:rsidR="00702DD6" w:rsidRDefault="00702DD6" w:rsidP="00033144">
      <w:pPr>
        <w:pStyle w:val="FootnoteText"/>
      </w:pPr>
      <w:r>
        <w:rPr>
          <w:rStyle w:val="FootnoteReference"/>
        </w:rPr>
        <w:footnoteRef/>
      </w:r>
      <w:r>
        <w:t xml:space="preserve"> </w:t>
      </w:r>
      <w:r>
        <w:tab/>
        <w:t xml:space="preserve">NERA, </w:t>
      </w:r>
      <w:r w:rsidRPr="000A7131">
        <w:rPr>
          <w:rStyle w:val="AERtextitalic"/>
        </w:rPr>
        <w:t>The relationship between the market risk premium and risk free rate: evidence from independent expert reports</w:t>
      </w:r>
      <w:r>
        <w:t xml:space="preserve">, a report for United Energy, April 2015, p. 20; HoustonKemp, </w:t>
      </w:r>
      <w:r w:rsidRPr="00527D82">
        <w:rPr>
          <w:rStyle w:val="AERtextitalic"/>
        </w:rPr>
        <w:t>The cost of equity: Response to the AER's draft decisions for the Victorian electricity distributors, ActewAGL Distribution and Australian Gas Networks</w:t>
      </w:r>
      <w:r>
        <w:t>, January 2016, p. 59.</w:t>
      </w:r>
    </w:p>
  </w:footnote>
  <w:footnote w:id="997">
    <w:p w:rsidR="00702DD6" w:rsidRDefault="00702DD6" w:rsidP="00033144">
      <w:pPr>
        <w:pStyle w:val="FootnoteText"/>
      </w:pPr>
      <w:r>
        <w:rPr>
          <w:rStyle w:val="FootnoteReference"/>
        </w:rPr>
        <w:footnoteRef/>
      </w:r>
      <w:r>
        <w:t xml:space="preserve"> </w:t>
      </w:r>
      <w:r>
        <w:tab/>
        <w:t>HoustonKemp noted that o</w:t>
      </w:r>
      <w:r w:rsidRPr="00B14BB6">
        <w:t>nly 25 of the</w:t>
      </w:r>
      <w:r>
        <w:t xml:space="preserve"> 195 independent valuation reports </w:t>
      </w:r>
      <w:r w:rsidRPr="00B14BB6">
        <w:t xml:space="preserve">contained </w:t>
      </w:r>
      <w:r>
        <w:t xml:space="preserve">large </w:t>
      </w:r>
      <w:r w:rsidRPr="00B14BB6">
        <w:t>uplifts</w:t>
      </w:r>
      <w:r>
        <w:t xml:space="preserve"> to (at least 100 basis points above)</w:t>
      </w:r>
      <w:r w:rsidRPr="00B14BB6">
        <w:t xml:space="preserve"> the </w:t>
      </w:r>
      <w:r>
        <w:t>10 year CGS yield,</w:t>
      </w:r>
      <w:r w:rsidRPr="00B14BB6">
        <w:t xml:space="preserve"> </w:t>
      </w:r>
      <w:r>
        <w:t xml:space="preserve">while 147 of these reports did not contain adjustments to the risk free rate which were greater than 50 basis points (see: HoustonKemp, </w:t>
      </w:r>
      <w:r w:rsidRPr="00527D82">
        <w:rPr>
          <w:rStyle w:val="AERtextitalic"/>
        </w:rPr>
        <w:t>The cost of equity: Response to the AER's draft decisions for the Victorian electricity distributors, ActewAGL Distribution and Australian Gas Networks</w:t>
      </w:r>
      <w:r>
        <w:t>, January 2016, p. 59).</w:t>
      </w:r>
    </w:p>
  </w:footnote>
  <w:footnote w:id="998">
    <w:p w:rsidR="00702DD6" w:rsidRDefault="00702DD6" w:rsidP="00033144">
      <w:pPr>
        <w:pStyle w:val="FootnoteText"/>
      </w:pPr>
      <w:r>
        <w:rPr>
          <w:rStyle w:val="FootnoteReference"/>
        </w:rPr>
        <w:footnoteRef/>
      </w:r>
      <w:r>
        <w:t xml:space="preserve"> </w:t>
      </w:r>
      <w:r>
        <w:tab/>
        <w:t xml:space="preserve">Partington &amp; Satchell, </w:t>
      </w:r>
      <w:r w:rsidRPr="00002E4F">
        <w:rPr>
          <w:rStyle w:val="AERtextitalic"/>
        </w:rPr>
        <w:t>Report to the AER: Analysis of criticism of 2015 determinations</w:t>
      </w:r>
      <w:r>
        <w:t>, October 2015, p. 38.</w:t>
      </w:r>
    </w:p>
  </w:footnote>
  <w:footnote w:id="999">
    <w:p w:rsidR="00702DD6" w:rsidRDefault="00702DD6" w:rsidP="00033144">
      <w:pPr>
        <w:pStyle w:val="FootnoteText"/>
      </w:pPr>
      <w:r>
        <w:rPr>
          <w:rStyle w:val="FootnoteReference"/>
        </w:rPr>
        <w:footnoteRef/>
      </w:r>
      <w:r>
        <w:t xml:space="preserve"> </w:t>
      </w:r>
      <w:r>
        <w:tab/>
        <w:t xml:space="preserve">HoustonKemp, </w:t>
      </w:r>
      <w:r w:rsidRPr="00527D82">
        <w:rPr>
          <w:rStyle w:val="AERtextitalic"/>
        </w:rPr>
        <w:t>The cost of equity: Response to the AER's draft decisions for the Victorian electricity distributors, ActewAGL Distribution and Australian Gas Networks</w:t>
      </w:r>
      <w:r>
        <w:t xml:space="preserve">, January 2016, p. 60; </w:t>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1000">
    <w:p w:rsidR="00702DD6" w:rsidRDefault="00702DD6" w:rsidP="00033144">
      <w:pPr>
        <w:pStyle w:val="FootnoteText"/>
      </w:pPr>
      <w:r>
        <w:rPr>
          <w:rStyle w:val="FootnoteReference"/>
        </w:rPr>
        <w:footnoteRef/>
      </w:r>
      <w:r>
        <w:t xml:space="preserve"> </w:t>
      </w:r>
      <w:r>
        <w:tab/>
        <w:t xml:space="preserve">This is important because two firms write more than 40% of the reports that use a substantially increased risk free rate.” Furthermore, if we then construct the standard error based on an assumption of 100 observations (in terms of number of reports) rather than two observations (number of firms) we form an erroneous belief in the accuracy of our estimates. See: </w:t>
      </w:r>
      <w:r w:rsidRPr="00387DCE">
        <w:t xml:space="preserve">Partington and Satchell, </w:t>
      </w:r>
      <w:r>
        <w:t>Report to the AER: Cost of equity issues–2016 electricity and gas determinations</w:t>
      </w:r>
      <w:r w:rsidRPr="00387DCE">
        <w:t>, April 201</w:t>
      </w:r>
      <w:r>
        <w:t>6</w:t>
      </w:r>
      <w:r w:rsidRPr="00387DCE">
        <w:t>,</w:t>
      </w:r>
      <w:r>
        <w:t xml:space="preserve"> p. 49. </w:t>
      </w:r>
    </w:p>
  </w:footnote>
  <w:footnote w:id="1001">
    <w:p w:rsidR="00702DD6" w:rsidRDefault="00702DD6" w:rsidP="00033144">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1002">
    <w:p w:rsidR="00702DD6" w:rsidRDefault="00702DD6" w:rsidP="00033144">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1003">
    <w:p w:rsidR="00702DD6" w:rsidRDefault="00702DD6" w:rsidP="00033144">
      <w:pPr>
        <w:pStyle w:val="FootnoteText"/>
      </w:pPr>
      <w:r>
        <w:rPr>
          <w:rStyle w:val="FootnoteReference"/>
        </w:rPr>
        <w:footnoteRef/>
      </w:r>
      <w:r>
        <w:t xml:space="preserve"> </w:t>
      </w:r>
      <w:r>
        <w:tab/>
        <w:t xml:space="preserve">Partington &amp; Satchell, </w:t>
      </w:r>
      <w:r w:rsidRPr="00002E4F">
        <w:rPr>
          <w:rStyle w:val="AERtextitalic"/>
        </w:rPr>
        <w:t>Report to the AER: Analysis of criticism of 2015 determinations</w:t>
      </w:r>
      <w:r>
        <w:t>, October 2015, p. 36.</w:t>
      </w:r>
    </w:p>
  </w:footnote>
  <w:footnote w:id="1004">
    <w:p w:rsidR="00702DD6" w:rsidRDefault="00702DD6" w:rsidP="00033144">
      <w:pPr>
        <w:pStyle w:val="FootnoteText"/>
      </w:pPr>
      <w:r>
        <w:rPr>
          <w:rStyle w:val="FootnoteReference"/>
        </w:rPr>
        <w:footnoteRef/>
      </w:r>
      <w:r>
        <w:t xml:space="preserve"> </w:t>
      </w:r>
      <w:r>
        <w:tab/>
      </w:r>
      <w:r w:rsidRPr="00387DCE">
        <w:t xml:space="preserve">Partington and Satchell, </w:t>
      </w:r>
      <w:r>
        <w:t>Report to the AER: Cost of equity issues–2016 electricity and gas determinations</w:t>
      </w:r>
      <w:r w:rsidRPr="00387DCE">
        <w:t>, April 201</w:t>
      </w:r>
      <w:r>
        <w:t>6</w:t>
      </w:r>
      <w:r w:rsidRPr="00387DCE">
        <w:t>,</w:t>
      </w:r>
      <w:r>
        <w:t xml:space="preserve"> p. 50; HoustonKemp, </w:t>
      </w:r>
      <w:r w:rsidRPr="008860FD">
        <w:rPr>
          <w:rStyle w:val="AERtextitalic"/>
        </w:rPr>
        <w:t>The cost of equity: Response to the AER's draft decisions for the Victorian electricity distributors, ActewAGL Distribution and Australian Gas Networks</w:t>
      </w:r>
      <w:r>
        <w:t>, January 2016, p. 48.</w:t>
      </w:r>
    </w:p>
  </w:footnote>
  <w:footnote w:id="1005">
    <w:p w:rsidR="00702DD6" w:rsidRDefault="00702DD6" w:rsidP="00033144">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pp. 49–50.</w:t>
      </w:r>
    </w:p>
  </w:footnote>
  <w:footnote w:id="1006">
    <w:p w:rsidR="00702DD6" w:rsidRDefault="00702DD6" w:rsidP="00033144">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w:t>
      </w:r>
      <w:r w:rsidRPr="00ED0CF8">
        <w:t xml:space="preserve">pp. </w:t>
      </w:r>
      <w:r>
        <w:t>21</w:t>
      </w:r>
      <w:r w:rsidRPr="00ED0CF8">
        <w:t>–</w:t>
      </w:r>
      <w:r>
        <w:t>22.</w:t>
      </w:r>
    </w:p>
  </w:footnote>
  <w:footnote w:id="1007">
    <w:p w:rsidR="00702DD6" w:rsidRDefault="00702DD6" w:rsidP="00033144">
      <w:pPr>
        <w:pStyle w:val="FootnoteText"/>
      </w:pPr>
      <w:r>
        <w:rPr>
          <w:rStyle w:val="FootnoteReference"/>
        </w:rPr>
        <w:footnoteRef/>
      </w:r>
      <w:r>
        <w:t xml:space="preserve"> </w:t>
      </w:r>
      <w:r>
        <w:tab/>
        <w:t xml:space="preserve">NERA, </w:t>
      </w:r>
      <w:r w:rsidRPr="000A7131">
        <w:rPr>
          <w:rStyle w:val="AERtextitalic"/>
        </w:rPr>
        <w:t>The relationship between the market risk premium and risk free rate: evidence from independent expert reports</w:t>
      </w:r>
      <w:r>
        <w:t>, a report for United Energy, April 2015, p. 22.</w:t>
      </w:r>
    </w:p>
  </w:footnote>
  <w:footnote w:id="1008">
    <w:p w:rsidR="00702DD6" w:rsidRDefault="00702DD6" w:rsidP="00033144">
      <w:pPr>
        <w:pStyle w:val="FootnoteText"/>
      </w:pPr>
      <w:r>
        <w:rPr>
          <w:rStyle w:val="FootnoteReference"/>
        </w:rPr>
        <w:footnoteRef/>
      </w:r>
      <w:r>
        <w:t xml:space="preserve"> </w:t>
      </w:r>
      <w:r>
        <w:tab/>
        <w:t xml:space="preserve">HoustonKemp, </w:t>
      </w:r>
      <w:r w:rsidRPr="002F61BA">
        <w:rPr>
          <w:rStyle w:val="AERtextitalic"/>
        </w:rPr>
        <w:t>The cost of equity: Response to the AER's draft decisions for the Victorian electricity distributors, ActewAGL Distribution and Australian Gas Networks</w:t>
      </w:r>
      <w:r>
        <w:t>, January 2016, p. 47.</w:t>
      </w:r>
    </w:p>
  </w:footnote>
  <w:footnote w:id="1009">
    <w:p w:rsidR="00702DD6" w:rsidRDefault="00702DD6" w:rsidP="00033144">
      <w:pPr>
        <w:pStyle w:val="FootnoteText"/>
      </w:pPr>
      <w:r>
        <w:rPr>
          <w:rStyle w:val="FootnoteReference"/>
        </w:rPr>
        <w:footnoteRef/>
      </w:r>
      <w:r>
        <w:t xml:space="preserve"> </w:t>
      </w:r>
      <w:r>
        <w:tab/>
        <w:t xml:space="preserve">See also: Partington &amp; Satchell, </w:t>
      </w:r>
      <w:r w:rsidRPr="00002E4F">
        <w:rPr>
          <w:rStyle w:val="AERtextitalic"/>
        </w:rPr>
        <w:t>Report to the AER: Analysis of criticism of 2015 determinations</w:t>
      </w:r>
      <w:r>
        <w:t>, October 2015, pp. 53–55.</w:t>
      </w:r>
    </w:p>
  </w:footnote>
  <w:footnote w:id="1010">
    <w:p w:rsidR="00702DD6" w:rsidRDefault="00702DD6" w:rsidP="00701AAF">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011">
    <w:p w:rsidR="00702DD6" w:rsidRDefault="00702DD6" w:rsidP="00701AAF">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1012">
    <w:p w:rsidR="00702DD6" w:rsidRDefault="00702DD6" w:rsidP="00701AAF">
      <w:pPr>
        <w:pStyle w:val="FootnoteText"/>
      </w:pPr>
      <w:r>
        <w:rPr>
          <w:rStyle w:val="FootnoteReference"/>
        </w:rPr>
        <w:footnoteRef/>
      </w:r>
      <w:r>
        <w:t xml:space="preserve"> </w:t>
      </w:r>
      <w:r>
        <w:tab/>
        <w:t>NER, cll. 6A.6.2(g)</w:t>
      </w:r>
      <w:r w:rsidRPr="00374D0C">
        <w:t xml:space="preserve"> </w:t>
      </w:r>
      <w:r>
        <w:t xml:space="preserve">and 6.5.2(g); NGR, rule 87(7). It is the most recent AER report. </w:t>
      </w:r>
    </w:p>
  </w:footnote>
  <w:footnote w:id="1013">
    <w:p w:rsidR="00702DD6" w:rsidRDefault="00702DD6" w:rsidP="00701AAF">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1014">
    <w:p w:rsidR="00702DD6" w:rsidRDefault="00702DD6" w:rsidP="00701AAF">
      <w:pPr>
        <w:pStyle w:val="FootnoteText"/>
      </w:pPr>
      <w:r>
        <w:rPr>
          <w:rStyle w:val="FootnoteReference"/>
        </w:rPr>
        <w:footnoteRef/>
      </w:r>
      <w:r>
        <w:t xml:space="preserve"> </w:t>
      </w:r>
      <w:r>
        <w:tab/>
        <w:t xml:space="preserve">See, for example, AER, </w:t>
      </w:r>
      <w:r>
        <w:rPr>
          <w:rStyle w:val="AERtextitalic"/>
        </w:rPr>
        <w:t>Draft</w:t>
      </w:r>
      <w:r w:rsidRPr="00834892">
        <w:rPr>
          <w:rStyle w:val="AERtextitalic"/>
        </w:rPr>
        <w:t xml:space="preserve"> decision: </w:t>
      </w:r>
      <w:r>
        <w:rPr>
          <w:rStyle w:val="AERtextitalic"/>
        </w:rPr>
        <w:t>ActewAGL Distribution Access Arrangement</w:t>
      </w:r>
      <w:r w:rsidRPr="00834892">
        <w:rPr>
          <w:rStyle w:val="AERtextitalic"/>
        </w:rPr>
        <w:t xml:space="preserve"> 2016 to 202</w:t>
      </w:r>
      <w:r>
        <w:rPr>
          <w:rStyle w:val="AERtextitalic"/>
        </w:rPr>
        <w:t>1</w:t>
      </w:r>
      <w:r w:rsidRPr="00834892">
        <w:rPr>
          <w:rStyle w:val="AERtextitalic"/>
        </w:rPr>
        <w:t>—Attachment 3: Rate of return</w:t>
      </w:r>
      <w:r>
        <w:t>, November 2015, section D.2.2.</w:t>
      </w:r>
    </w:p>
  </w:footnote>
  <w:footnote w:id="1015">
    <w:p w:rsidR="00702DD6" w:rsidRDefault="00702DD6" w:rsidP="00701AAF">
      <w:pPr>
        <w:pStyle w:val="FootnoteText"/>
      </w:pPr>
      <w:r>
        <w:rPr>
          <w:rStyle w:val="FootnoteReference"/>
        </w:rPr>
        <w:footnoteRef/>
      </w:r>
      <w:r>
        <w:t xml:space="preserve"> </w:t>
      </w:r>
      <w:r>
        <w:tab/>
        <w:t>R</w:t>
      </w:r>
      <w:r w:rsidRPr="00D20501">
        <w:t>aw equity beta estimates are those that are observed from the initial regression</w:t>
      </w:r>
    </w:p>
  </w:footnote>
  <w:footnote w:id="1016">
    <w:p w:rsidR="00702DD6" w:rsidRDefault="00702DD6" w:rsidP="00701AAF">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1017">
    <w:p w:rsidR="00702DD6" w:rsidRDefault="00702DD6" w:rsidP="00701AAF">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1018">
    <w:p w:rsidR="00702DD6" w:rsidRDefault="00702DD6" w:rsidP="00701AAF">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1019">
    <w:p w:rsidR="00702DD6" w:rsidRDefault="00702DD6" w:rsidP="00701AAF">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1020">
    <w:p w:rsidR="00702DD6" w:rsidRDefault="00702DD6" w:rsidP="00701AAF">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We consider fixed weight portfolio estimates (equal weighting and value weighting) and averages of individual firm estimates.</w:t>
      </w:r>
    </w:p>
  </w:footnote>
  <w:footnote w:id="1021">
    <w:p w:rsidR="00702DD6" w:rsidRDefault="00702DD6" w:rsidP="00701AAF">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022">
    <w:p w:rsidR="00702DD6" w:rsidRDefault="00702DD6" w:rsidP="00701AAF">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023">
    <w:p w:rsidR="00702DD6" w:rsidRDefault="00702DD6" w:rsidP="00701AAF">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024">
    <w:p w:rsidR="00702DD6" w:rsidRDefault="00702DD6" w:rsidP="00701AAF">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1025">
    <w:p w:rsidR="00702DD6" w:rsidRDefault="00702DD6" w:rsidP="00701AAF">
      <w:pPr>
        <w:pStyle w:val="FootnoteText"/>
      </w:pPr>
      <w:r>
        <w:rPr>
          <w:rStyle w:val="FootnoteReference"/>
        </w:rPr>
        <w:footnoteRef/>
      </w:r>
      <w:r>
        <w:t xml:space="preserve"> </w:t>
      </w:r>
      <w:r>
        <w:tab/>
        <w:t>A</w:t>
      </w:r>
      <w:r w:rsidRPr="00354781">
        <w:t xml:space="preserve">s set out in section D.2.2 of Attachment 3 to </w:t>
      </w:r>
      <w:r>
        <w:t>ActewAGL's draft</w:t>
      </w:r>
      <w:r w:rsidRPr="00354781">
        <w:t xml:space="preserve"> decision</w:t>
      </w:r>
      <w:r>
        <w:t>.</w:t>
      </w:r>
    </w:p>
  </w:footnote>
  <w:footnote w:id="1026">
    <w:p w:rsidR="00702DD6" w:rsidRDefault="00702DD6" w:rsidP="00701AAF">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April 2014.</w:t>
      </w:r>
    </w:p>
  </w:footnote>
  <w:footnote w:id="1027">
    <w:p w:rsidR="00702DD6" w:rsidRDefault="00702DD6" w:rsidP="00701AAF">
      <w:pPr>
        <w:pStyle w:val="FootnoteText"/>
      </w:pPr>
      <w:r>
        <w:rPr>
          <w:rStyle w:val="FootnoteReference"/>
        </w:rPr>
        <w:footnoteRef/>
      </w:r>
      <w:r>
        <w:t xml:space="preserve"> </w:t>
      </w:r>
      <w:r>
        <w:tab/>
        <w:t xml:space="preserve">This range includes raw and re-levered equity beta estimates. The re-levered estimates presented have been calculated using the Brealey-Myers formula set out in our recent decisions (see, for example, AER, </w:t>
      </w:r>
      <w:r>
        <w:rPr>
          <w:rStyle w:val="AERtextitalic"/>
        </w:rPr>
        <w:t>Draft</w:t>
      </w:r>
      <w:r w:rsidRPr="00834892">
        <w:rPr>
          <w:rStyle w:val="AERtextitalic"/>
        </w:rPr>
        <w:t xml:space="preserve"> decision: </w:t>
      </w:r>
      <w:r>
        <w:rPr>
          <w:rStyle w:val="AERtextitalic"/>
        </w:rPr>
        <w:t>ActewAGL Distribution Access Arrangement</w:t>
      </w:r>
      <w:r w:rsidRPr="00834892">
        <w:rPr>
          <w:rStyle w:val="AERtextitalic"/>
        </w:rPr>
        <w:t xml:space="preserve"> 2016 to 202</w:t>
      </w:r>
      <w:r>
        <w:rPr>
          <w:rStyle w:val="AERtextitalic"/>
        </w:rPr>
        <w:t>1</w:t>
      </w:r>
      <w:r w:rsidRPr="00834892">
        <w:rPr>
          <w:rStyle w:val="AERtextitalic"/>
        </w:rPr>
        <w:t>—Attachment 3: Rate of return</w:t>
      </w:r>
      <w:r>
        <w:t>, November 2015, section D.2.2)</w:t>
      </w:r>
      <w:r w:rsidRPr="00B23FBA">
        <w:t xml:space="preserve">. </w:t>
      </w:r>
      <w:r>
        <w:t>Also, the studies we consider in this section are largely the same as those considered in our recent decisions.</w:t>
      </w:r>
    </w:p>
  </w:footnote>
  <w:footnote w:id="1028">
    <w:p w:rsidR="00702DD6" w:rsidRDefault="00702DD6" w:rsidP="00701AAF">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029">
    <w:p w:rsidR="00702DD6" w:rsidRDefault="00702DD6" w:rsidP="00701AAF">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1030">
    <w:p w:rsidR="00702DD6" w:rsidRDefault="00702DD6" w:rsidP="00701AAF">
      <w:pPr>
        <w:pStyle w:val="FootnoteText"/>
      </w:pPr>
      <w:r>
        <w:rPr>
          <w:rStyle w:val="FootnoteReference"/>
        </w:rPr>
        <w:footnoteRef/>
      </w:r>
      <w:r>
        <w:t xml:space="preserve"> </w:t>
      </w:r>
      <w:r>
        <w:tab/>
        <w:t xml:space="preserve">See, for example, SFG, </w:t>
      </w:r>
      <w:r w:rsidRPr="00B12036">
        <w:rPr>
          <w:rStyle w:val="AERtextitalic"/>
        </w:rPr>
        <w:t>Equity beta</w:t>
      </w:r>
      <w:r>
        <w:t xml:space="preserve">, May 2014, pp. 2–3; SFG, </w:t>
      </w:r>
      <w:r w:rsidRPr="00360306">
        <w:rPr>
          <w:rStyle w:val="AERtextitalic"/>
        </w:rPr>
        <w:t>The required return on equity for regulated gas and electricity network businesses</w:t>
      </w:r>
      <w:r>
        <w:t xml:space="preserve">, May 2014, pp. 84–85; CEG, </w:t>
      </w:r>
      <w:r w:rsidRPr="00360306">
        <w:rPr>
          <w:rStyle w:val="AERtextitalic"/>
        </w:rPr>
        <w:t>WACC estimates</w:t>
      </w:r>
      <w:r>
        <w:t xml:space="preserve">, May 2014, pp. 7–10; SFG, </w:t>
      </w:r>
      <w:r w:rsidRPr="0082349C">
        <w:rPr>
          <w:rStyle w:val="AERtextitalic"/>
        </w:rPr>
        <w:t>Beta and the Black capital asset pricing model</w:t>
      </w:r>
      <w:r>
        <w:t xml:space="preserve">, 13 February 2015, pp. 4, 10–12; SFG, </w:t>
      </w:r>
      <w:r w:rsidRPr="00360306">
        <w:rPr>
          <w:rStyle w:val="AERtextitalic"/>
        </w:rPr>
        <w:t>The required return on equity for the benchmark efficient entity</w:t>
      </w:r>
      <w:r>
        <w:t xml:space="preserve">, February 2015, pp. 19–20; CEG, </w:t>
      </w:r>
      <w:r w:rsidRPr="00360306">
        <w:rPr>
          <w:rStyle w:val="AERtextitalic"/>
        </w:rPr>
        <w:t>Estimating the cost of equity, equity beta and MRP, January 2015</w:t>
      </w:r>
      <w:r>
        <w:t xml:space="preserve">, pp. 33–34; Frontier Economics, </w:t>
      </w:r>
      <w:r w:rsidRPr="00360306">
        <w:rPr>
          <w:rStyle w:val="AERtextitalic"/>
        </w:rPr>
        <w:t>Key issues in estimating the return on equity for the benchmark efficient entity</w:t>
      </w:r>
      <w:r>
        <w:t xml:space="preserve">, June 2015, pp. 47–48, 50–51; Frontier Economics, </w:t>
      </w:r>
      <w:r>
        <w:rPr>
          <w:rStyle w:val="AERtextitalic"/>
        </w:rPr>
        <w:t>Estimating the equity beta for the benchmark efficient entity</w:t>
      </w:r>
      <w:r>
        <w:t xml:space="preserve">, January 2016, pp. 2–3; Frontier Economics, </w:t>
      </w:r>
      <w:r>
        <w:rPr>
          <w:rStyle w:val="AERtextitalic"/>
        </w:rPr>
        <w:t>The required return on equity under a foundation model approach</w:t>
      </w:r>
      <w:r>
        <w:t>, January 2016, pp. 39–40, 42–44.</w:t>
      </w:r>
    </w:p>
  </w:footnote>
  <w:footnote w:id="1031">
    <w:p w:rsidR="00702DD6" w:rsidRDefault="00702DD6" w:rsidP="00701AAF">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20–25, 34.</w:t>
      </w:r>
    </w:p>
  </w:footnote>
  <w:footnote w:id="1032">
    <w:p w:rsidR="00702DD6" w:rsidRDefault="00702DD6" w:rsidP="00701AAF">
      <w:pPr>
        <w:pStyle w:val="FootnoteText"/>
      </w:pPr>
      <w:r>
        <w:rPr>
          <w:rStyle w:val="FootnoteReference"/>
        </w:rPr>
        <w:footnoteRef/>
      </w:r>
      <w:r>
        <w:t xml:space="preserve"> </w:t>
      </w:r>
      <w:r>
        <w:tab/>
        <w:t>See, for example, sections D.2.1 and D.2.3 of Attachment 3 to our draft decision for ActewAGL. In these decisions we also responded to submissions from other stakeholders that suggested the equity beta estimates in Henry's 2014 report cluster around a range of 0.3 to 0.5.</w:t>
      </w:r>
    </w:p>
  </w:footnote>
  <w:footnote w:id="1033">
    <w:p w:rsidR="00702DD6" w:rsidRDefault="00702DD6" w:rsidP="00701AAF">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034">
    <w:p w:rsidR="00702DD6" w:rsidRDefault="00702DD6" w:rsidP="00701AAF">
      <w:pPr>
        <w:pStyle w:val="FootnoteText"/>
      </w:pPr>
      <w:r>
        <w:rPr>
          <w:rStyle w:val="FootnoteReference"/>
        </w:rPr>
        <w:footnoteRef/>
      </w:r>
      <w:r>
        <w:t xml:space="preserve">   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035">
    <w:p w:rsidR="00702DD6" w:rsidRDefault="00702DD6" w:rsidP="00701AAF">
      <w:pPr>
        <w:pStyle w:val="FootnoteText"/>
      </w:pPr>
      <w:r>
        <w:rPr>
          <w:rStyle w:val="FootnoteReference"/>
        </w:rPr>
        <w:footnoteRef/>
      </w:r>
      <w:r>
        <w:t xml:space="preserve"> </w:t>
      </w:r>
      <w:r>
        <w:tab/>
      </w:r>
      <w:r w:rsidRPr="00D332F8">
        <w:t>SFG used the same Australian energy network firms in its comparator set of Australian (and US energy) firms</w:t>
      </w:r>
      <w:r>
        <w:t xml:space="preserve"> (see SFG, </w:t>
      </w:r>
      <w:r w:rsidRPr="005214A2">
        <w:rPr>
          <w:rStyle w:val="AERtextitalic"/>
        </w:rPr>
        <w:t>Regression-based estimates of risk parameters for the benchmark firm</w:t>
      </w:r>
      <w:r>
        <w:t>, June 2013, p. 9)</w:t>
      </w:r>
      <w:r w:rsidRPr="00D332F8">
        <w:t>.</w:t>
      </w:r>
      <w:r>
        <w:t xml:space="preserve"> </w:t>
      </w:r>
    </w:p>
  </w:footnote>
  <w:footnote w:id="1036">
    <w:p w:rsidR="00702DD6" w:rsidRDefault="00702DD6" w:rsidP="00701AAF">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037">
    <w:p w:rsidR="00702DD6" w:rsidRDefault="00702DD6" w:rsidP="00701AAF">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038">
    <w:p w:rsidR="00702DD6" w:rsidRDefault="00702DD6" w:rsidP="00701AAF">
      <w:pPr>
        <w:pStyle w:val="FootnoteText"/>
      </w:pPr>
      <w:r>
        <w:rPr>
          <w:rStyle w:val="FootnoteReference"/>
        </w:rPr>
        <w:footnoteRef/>
      </w:r>
      <w:r>
        <w:t xml:space="preserve"> </w:t>
      </w:r>
      <w:r>
        <w:tab/>
        <w:t xml:space="preserve">See: </w:t>
      </w:r>
      <w:hyperlink r:id="rId12" w:history="1">
        <w:r w:rsidRPr="007C34AE">
          <w:rPr>
            <w:rStyle w:val="Hyperlink"/>
            <w:color w:val="auto"/>
            <w:sz w:val="16"/>
            <w:u w:val="none"/>
          </w:rPr>
          <w:t>http://www.asx.com.au/asx/statistics/announcements.do?by=asxCode&amp;asxCode=ENV&amp;timeframe=Y&amp;year=2014</w:t>
        </w:r>
      </w:hyperlink>
      <w:r>
        <w:t xml:space="preserve">. </w:t>
      </w:r>
    </w:p>
  </w:footnote>
  <w:footnote w:id="1039">
    <w:p w:rsidR="00702DD6" w:rsidRDefault="00702DD6" w:rsidP="00701AAF">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040">
    <w:p w:rsidR="00702DD6" w:rsidRDefault="00702DD6" w:rsidP="00701AAF">
      <w:pPr>
        <w:pStyle w:val="FootnoteText"/>
      </w:pPr>
      <w:r>
        <w:rPr>
          <w:rStyle w:val="FootnoteReference"/>
        </w:rPr>
        <w:footnoteRef/>
      </w:r>
      <w:r>
        <w:t xml:space="preserve"> </w:t>
      </w:r>
      <w:r>
        <w:tab/>
        <w:t xml:space="preserve">APA Group, </w:t>
      </w:r>
      <w:r>
        <w:rPr>
          <w:rStyle w:val="AERtextitalic"/>
        </w:rPr>
        <w:t>Annual report 2015: Connecting markets creating opportunities</w:t>
      </w:r>
      <w:r>
        <w:t>, pp. 7, 18.</w:t>
      </w:r>
    </w:p>
  </w:footnote>
  <w:footnote w:id="1041">
    <w:p w:rsidR="00702DD6" w:rsidRDefault="00702DD6" w:rsidP="00701AAF">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5</w:t>
      </w:r>
      <w:r>
        <w:t>, p. 3.</w:t>
      </w:r>
    </w:p>
  </w:footnote>
  <w:footnote w:id="1042">
    <w:p w:rsidR="00702DD6" w:rsidRDefault="00702DD6" w:rsidP="00701AAF">
      <w:pPr>
        <w:pStyle w:val="FootnoteText"/>
      </w:pPr>
      <w:r>
        <w:rPr>
          <w:rStyle w:val="FootnoteReference"/>
        </w:rPr>
        <w:footnoteRef/>
      </w:r>
      <w:r>
        <w:t xml:space="preserve"> </w:t>
      </w:r>
      <w:r>
        <w:tab/>
        <w:t xml:space="preserve">AusNet Services, </w:t>
      </w:r>
      <w:r>
        <w:rPr>
          <w:rStyle w:val="AERtextitalic"/>
        </w:rPr>
        <w:t>Statutory annual report 2015</w:t>
      </w:r>
      <w:r>
        <w:t>, p. 22.</w:t>
      </w:r>
    </w:p>
  </w:footnote>
  <w:footnote w:id="1043">
    <w:p w:rsidR="00702DD6" w:rsidRDefault="00702DD6" w:rsidP="00701AAF">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3"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4"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5" w:history="1">
        <w:r w:rsidRPr="006558B8">
          <w:rPr>
            <w:rStyle w:val="Hyperlink"/>
            <w:color w:val="auto"/>
            <w:sz w:val="16"/>
            <w:u w:val="none"/>
          </w:rPr>
          <w:t>http://www.aer.gov.au/node/5219</w:t>
        </w:r>
      </w:hyperlink>
      <w:r>
        <w:t>.</w:t>
      </w:r>
    </w:p>
  </w:footnote>
  <w:footnote w:id="1044">
    <w:p w:rsidR="00702DD6" w:rsidRDefault="00702DD6" w:rsidP="00701AAF">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045">
    <w:p w:rsidR="00702DD6" w:rsidRDefault="00702DD6" w:rsidP="00701AAF">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046">
    <w:p w:rsidR="00702DD6" w:rsidRDefault="00702DD6" w:rsidP="00701AAF">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xml:space="preserve">, July 2013, pp. </w:t>
      </w:r>
      <w:r>
        <w:t>3–4</w:t>
      </w:r>
      <w:r w:rsidRPr="00C24641">
        <w:t>.</w:t>
      </w:r>
    </w:p>
  </w:footnote>
  <w:footnote w:id="1047">
    <w:p w:rsidR="00702DD6" w:rsidRDefault="00702DD6" w:rsidP="00701AAF">
      <w:pPr>
        <w:pStyle w:val="FootnoteText"/>
      </w:pPr>
      <w:r>
        <w:rPr>
          <w:rStyle w:val="FootnoteReference"/>
        </w:rPr>
        <w:footnoteRef/>
      </w:r>
      <w:r>
        <w:t xml:space="preserve"> </w:t>
      </w:r>
      <w:r>
        <w:tab/>
        <w:t xml:space="preserve">See, for example, Frontier, </w:t>
      </w:r>
      <w:r w:rsidRPr="00EC4716">
        <w:rPr>
          <w:rStyle w:val="AERtextitalic"/>
        </w:rPr>
        <w:t>Estimating the equity beta for the benchmark efficient entity</w:t>
      </w:r>
      <w:r>
        <w:t xml:space="preserve">, January 2016, pp. 13–19; SFG, </w:t>
      </w:r>
      <w:r w:rsidRPr="00EC4716">
        <w:rPr>
          <w:rStyle w:val="AERtextitalic"/>
        </w:rPr>
        <w:t>Beta and the Black capital asset pricing model</w:t>
      </w:r>
      <w:r>
        <w:t xml:space="preserve">, February 2015, pp. 10–11; CEG, </w:t>
      </w:r>
      <w:r w:rsidRPr="00EC4716">
        <w:rPr>
          <w:rStyle w:val="AERtextitalic"/>
        </w:rPr>
        <w:t>Estimating the cost of equity, equity beta and MRP</w:t>
      </w:r>
      <w:r>
        <w:t xml:space="preserve">, January 2015, pp. 33–34; CEG, </w:t>
      </w:r>
      <w:r w:rsidRPr="00EC4716">
        <w:rPr>
          <w:rStyle w:val="AERtextitalic"/>
        </w:rPr>
        <w:t>WACC estimates</w:t>
      </w:r>
      <w:r>
        <w:t xml:space="preserve">, May 2014, pp. 7–10; SFG, </w:t>
      </w:r>
      <w:r w:rsidRPr="00EC4716">
        <w:rPr>
          <w:rStyle w:val="AERtextitalic"/>
        </w:rPr>
        <w:t>Equity beta</w:t>
      </w:r>
      <w:r>
        <w:t>, May 2014, pp. 3–4, 13–15, 28–31. In its 2014 report, SFG considered the dispersion of equity beta estimates. It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xml:space="preserve">, June 2013, p. 5). </w:t>
      </w:r>
    </w:p>
  </w:footnote>
  <w:footnote w:id="1048">
    <w:p w:rsidR="00702DD6" w:rsidRDefault="00702DD6" w:rsidP="00701AAF">
      <w:pPr>
        <w:pStyle w:val="FootnoteText"/>
      </w:pPr>
      <w:r>
        <w:rPr>
          <w:rStyle w:val="FootnoteReference"/>
        </w:rPr>
        <w:footnoteRef/>
      </w:r>
      <w:r>
        <w:t xml:space="preserve"> </w:t>
      </w:r>
      <w:r>
        <w:tab/>
        <w:t xml:space="preserve">See, for example, </w:t>
      </w:r>
      <w:r w:rsidRPr="00471174">
        <w:t xml:space="preserve">Frontier, </w:t>
      </w:r>
      <w:r w:rsidRPr="00471174">
        <w:rPr>
          <w:rStyle w:val="AERtextitalic"/>
        </w:rPr>
        <w:t>Estimating the equity beta for the benchmark efficient entity</w:t>
      </w:r>
      <w:r w:rsidRPr="00471174">
        <w:t>, January 2016</w:t>
      </w:r>
      <w:r>
        <w:t xml:space="preserve">, p. 34; </w:t>
      </w:r>
      <w:r w:rsidRPr="00471174">
        <w:t xml:space="preserve">CEG, </w:t>
      </w:r>
      <w:r w:rsidRPr="00471174">
        <w:rPr>
          <w:rStyle w:val="AERtextitalic"/>
        </w:rPr>
        <w:t>WACC estimates</w:t>
      </w:r>
      <w:r w:rsidRPr="00471174">
        <w:t>, May 2014, pp. 7–10</w:t>
      </w:r>
      <w:r>
        <w:t xml:space="preserve">; SFG, </w:t>
      </w:r>
      <w:r w:rsidRPr="005F7C32">
        <w:rPr>
          <w:rStyle w:val="AERtextitalic"/>
        </w:rPr>
        <w:t>Equity beta</w:t>
      </w:r>
      <w:r>
        <w:t>, May 2014, p</w:t>
      </w:r>
      <w:r w:rsidRPr="00F26CD7">
        <w:t>.</w:t>
      </w:r>
      <w:r>
        <w:t xml:space="preserve"> 13</w:t>
      </w:r>
      <w:r w:rsidRPr="00F26CD7">
        <w:t>.</w:t>
      </w:r>
    </w:p>
  </w:footnote>
  <w:footnote w:id="1049">
    <w:p w:rsidR="00702DD6" w:rsidRDefault="00702DD6" w:rsidP="00701AAF">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050">
    <w:p w:rsidR="00702DD6" w:rsidRDefault="00702DD6" w:rsidP="00701AAF">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051">
    <w:p w:rsidR="00702DD6" w:rsidRDefault="00702DD6" w:rsidP="00701AAF">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052">
    <w:p w:rsidR="00702DD6" w:rsidRDefault="00702DD6" w:rsidP="00701AAF">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053">
    <w:p w:rsidR="00702DD6" w:rsidRDefault="00702DD6" w:rsidP="00701AAF">
      <w:pPr>
        <w:pStyle w:val="FootnoteText"/>
      </w:pPr>
      <w:r>
        <w:rPr>
          <w:rStyle w:val="FootnoteReference"/>
        </w:rPr>
        <w:footnoteRef/>
      </w:r>
      <w:r>
        <w:t xml:space="preserve"> </w:t>
      </w:r>
      <w:r>
        <w:tab/>
      </w:r>
      <w:r w:rsidRPr="00176251">
        <w:t xml:space="preserve">Frontier Economics, </w:t>
      </w:r>
      <w:r w:rsidRPr="00176251">
        <w:rPr>
          <w:rStyle w:val="AERtextitalic"/>
        </w:rPr>
        <w:t>Estimating the equity beta for the benchmark efficient entity</w:t>
      </w:r>
      <w:r>
        <w:t>, January 2016, pp. 13–19</w:t>
      </w:r>
      <w:r w:rsidRPr="00176251">
        <w:t>.</w:t>
      </w:r>
    </w:p>
  </w:footnote>
  <w:footnote w:id="1054">
    <w:p w:rsidR="00702DD6" w:rsidRDefault="00702DD6" w:rsidP="00701AAF">
      <w:pPr>
        <w:pStyle w:val="FootnoteText"/>
      </w:pPr>
      <w:r>
        <w:rPr>
          <w:rStyle w:val="FootnoteReference"/>
        </w:rPr>
        <w:footnoteRef/>
      </w:r>
      <w:r>
        <w:t xml:space="preserve"> </w:t>
      </w:r>
      <w:r>
        <w:tab/>
        <w:t xml:space="preserve">For example, the precision and stability of equity beta estimates based on </w:t>
      </w:r>
      <w:r w:rsidRPr="000502B3">
        <w:t>Australian energy network firms</w:t>
      </w:r>
      <w:r>
        <w:t xml:space="preserve"> has been discussed in </w:t>
      </w:r>
      <w:r w:rsidRPr="000502B3">
        <w:t xml:space="preserve">SFG, </w:t>
      </w:r>
      <w:r w:rsidRPr="000502B3">
        <w:rPr>
          <w:rStyle w:val="AERtextitalic"/>
        </w:rPr>
        <w:t>Equity beta</w:t>
      </w:r>
      <w:r w:rsidRPr="000502B3">
        <w:t>, May 2014, pp. 3–4, 13–15, 28–31</w:t>
      </w:r>
      <w:r>
        <w:t xml:space="preserve">; </w:t>
      </w:r>
      <w:r w:rsidRPr="000502B3">
        <w:t xml:space="preserve">Brooks, Diamond, Gray and Hall, </w:t>
      </w:r>
      <w:r w:rsidRPr="000502B3">
        <w:rPr>
          <w:rStyle w:val="AERtextitalic"/>
        </w:rPr>
        <w:t>Assessing the reliability of regression-based estimates of risk</w:t>
      </w:r>
      <w:r w:rsidRPr="000502B3">
        <w:t>, June 2013</w:t>
      </w:r>
      <w:r>
        <w:t xml:space="preserve">, pp. 2, 9–15; and </w:t>
      </w:r>
      <w:r w:rsidRPr="00790167">
        <w:t xml:space="preserve">SFG, </w:t>
      </w:r>
      <w:r w:rsidRPr="00790167">
        <w:rPr>
          <w:rStyle w:val="AERtextitalic"/>
        </w:rPr>
        <w:t>Beta and the Black capital asset pricing model</w:t>
      </w:r>
      <w:r w:rsidRPr="00790167">
        <w:t>, February 2015, pp. 10–11</w:t>
      </w:r>
      <w:r>
        <w:t xml:space="preserve">. </w:t>
      </w:r>
    </w:p>
  </w:footnote>
  <w:footnote w:id="1055">
    <w:p w:rsidR="00702DD6" w:rsidRDefault="00702DD6" w:rsidP="00701AAF">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11–</w:t>
      </w:r>
      <w:r>
        <w:softHyphen/>
        <w:t>12, 15.</w:t>
      </w:r>
    </w:p>
  </w:footnote>
  <w:footnote w:id="1056">
    <w:p w:rsidR="00702DD6" w:rsidRDefault="00702DD6" w:rsidP="00701AAF">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057">
    <w:p w:rsidR="00702DD6" w:rsidRDefault="00702DD6" w:rsidP="00701AAF">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xml:space="preserve">, January 2016, pp. 17–18. </w:t>
      </w:r>
    </w:p>
  </w:footnote>
  <w:footnote w:id="1058">
    <w:p w:rsidR="00702DD6" w:rsidRDefault="00702DD6" w:rsidP="00701AAF">
      <w:pPr>
        <w:pStyle w:val="FootnoteText"/>
      </w:pPr>
      <w:r>
        <w:rPr>
          <w:rStyle w:val="FootnoteReference"/>
        </w:rPr>
        <w:footnoteRef/>
      </w:r>
      <w:r>
        <w:t xml:space="preserve"> </w:t>
      </w:r>
      <w:r>
        <w:tab/>
        <w:t xml:space="preserve">For example, SFG states that, 'Because there are so many methodological choices to be made, it is common practice to consider the sensitivity of beta estimates to the different choices that might be made.' (see </w:t>
      </w:r>
      <w:r w:rsidRPr="00EA0B17">
        <w:t xml:space="preserve">SFG, </w:t>
      </w:r>
      <w:r w:rsidRPr="00EA0B17">
        <w:rPr>
          <w:rStyle w:val="AERtextitalic"/>
        </w:rPr>
        <w:t>Equity beta</w:t>
      </w:r>
      <w:r w:rsidRPr="00EA0B17">
        <w:t>, May 2014, p.</w:t>
      </w:r>
      <w:r>
        <w:t xml:space="preserve"> 9).</w:t>
      </w:r>
    </w:p>
  </w:footnote>
  <w:footnote w:id="1059">
    <w:p w:rsidR="00702DD6" w:rsidRDefault="00702DD6" w:rsidP="00701AAF">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7.</w:t>
      </w:r>
    </w:p>
  </w:footnote>
  <w:footnote w:id="1060">
    <w:p w:rsidR="00702DD6" w:rsidRDefault="00702DD6" w:rsidP="00701AAF">
      <w:pPr>
        <w:pStyle w:val="FootnoteText"/>
      </w:pPr>
      <w:r>
        <w:rPr>
          <w:rStyle w:val="FootnoteReference"/>
        </w:rPr>
        <w:footnoteRef/>
      </w:r>
      <w:r>
        <w:t xml:space="preserve"> </w:t>
      </w:r>
      <w:r>
        <w:tab/>
        <w:t>NER, cll. 6.5.2(f) and 6A.6.2(f); NGR, rule 87(6).</w:t>
      </w:r>
    </w:p>
  </w:footnote>
  <w:footnote w:id="1061">
    <w:p w:rsidR="00702DD6" w:rsidRDefault="00702DD6" w:rsidP="00701AAF">
      <w:pPr>
        <w:pStyle w:val="FootnoteText"/>
      </w:pPr>
      <w:r>
        <w:rPr>
          <w:rStyle w:val="FootnoteReference"/>
        </w:rPr>
        <w:footnoteRef/>
      </w:r>
      <w:r>
        <w:t xml:space="preserve"> </w:t>
      </w:r>
      <w:r>
        <w:tab/>
        <w:t>This is supported by Partington and Satchell</w:t>
      </w:r>
      <w:r w:rsidRPr="00BC7B9A">
        <w:t>.</w:t>
      </w:r>
      <w:r>
        <w:t xml:space="preserve"> See Partington and Satchell, </w:t>
      </w:r>
      <w:r w:rsidRPr="00F151A8">
        <w:rPr>
          <w:rStyle w:val="AERtextitalic"/>
        </w:rPr>
        <w:t>Report to the AER: Cost of equity issues</w:t>
      </w:r>
      <w:r>
        <w:rPr>
          <w:rStyle w:val="AERtextitalic"/>
        </w:rPr>
        <w:t xml:space="preserve"> 2016 electricity and gas determinations</w:t>
      </w:r>
      <w:r>
        <w:t>, April 2016, p. 11. They stated, '</w:t>
      </w:r>
      <w:r w:rsidRPr="00DC3465">
        <w:t>Considerable caution in reaching conclusions about beta needs to be exercised when the comparators are drawn from overseas countries. This is because of differences in industry structure, technology, the nature of competition, the economic environment and regulatory and tax systems</w:t>
      </w:r>
      <w:r>
        <w:t>'</w:t>
      </w:r>
      <w:r w:rsidRPr="00DC3465">
        <w:t>.</w:t>
      </w:r>
    </w:p>
  </w:footnote>
  <w:footnote w:id="1062">
    <w:p w:rsidR="00702DD6" w:rsidRDefault="00702DD6" w:rsidP="00701AAF">
      <w:pPr>
        <w:pStyle w:val="FootnoteText"/>
      </w:pPr>
      <w:r>
        <w:rPr>
          <w:rStyle w:val="FootnoteReference"/>
        </w:rPr>
        <w:footnoteRef/>
      </w:r>
      <w:r>
        <w:t xml:space="preserve"> </w:t>
      </w:r>
      <w:r>
        <w:tab/>
      </w:r>
      <w:r w:rsidRPr="00C24641">
        <w:t>We implement the S</w:t>
      </w:r>
      <w:r>
        <w:t>harpe-</w:t>
      </w:r>
      <w:r w:rsidRPr="00C24641">
        <w:t>L</w:t>
      </w:r>
      <w:r>
        <w:t xml:space="preserve">intner </w:t>
      </w:r>
      <w:r w:rsidRPr="00C24641">
        <w:t>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063">
    <w:p w:rsidR="00702DD6" w:rsidRDefault="00702DD6" w:rsidP="00701AAF">
      <w:pPr>
        <w:pStyle w:val="FootnoteText"/>
      </w:pPr>
      <w:r>
        <w:rPr>
          <w:rStyle w:val="FootnoteReference"/>
        </w:rPr>
        <w:footnoteRef/>
      </w:r>
      <w:r>
        <w:t xml:space="preserve"> </w:t>
      </w:r>
      <w:r>
        <w:tab/>
        <w:t xml:space="preserve">See </w:t>
      </w:r>
      <w:r w:rsidRPr="00C24641">
        <w:t xml:space="preserve">Handley, </w:t>
      </w:r>
      <w:r w:rsidRPr="00C24641">
        <w:rPr>
          <w:rStyle w:val="AERtextitalic"/>
        </w:rPr>
        <w:t>Advice on the return on equity</w:t>
      </w:r>
      <w:r>
        <w:t xml:space="preserve">, October 2014, p. 24; Partington and Satchell, </w:t>
      </w:r>
      <w:r w:rsidRPr="00F151A8">
        <w:rPr>
          <w:rStyle w:val="AERtextitalic"/>
        </w:rPr>
        <w:t>Report to the AER: Cost of equity issues</w:t>
      </w:r>
      <w:r>
        <w:rPr>
          <w:rStyle w:val="AERtextitalic"/>
        </w:rPr>
        <w:t xml:space="preserve"> 2016 electricity and gas determinations</w:t>
      </w:r>
      <w:r>
        <w:t>, April 2016, p. 16.</w:t>
      </w:r>
    </w:p>
  </w:footnote>
  <w:footnote w:id="1064">
    <w:p w:rsidR="00702DD6" w:rsidRDefault="00702DD6" w:rsidP="00701AAF">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065">
    <w:p w:rsidR="00702DD6" w:rsidRDefault="00702DD6" w:rsidP="00701AAF">
      <w:pPr>
        <w:pStyle w:val="FootnoteText"/>
      </w:pPr>
      <w:r>
        <w:rPr>
          <w:rStyle w:val="FootnoteReference"/>
        </w:rPr>
        <w:footnoteRef/>
      </w:r>
      <w:r>
        <w:t xml:space="preserve"> </w:t>
      </w:r>
      <w:r>
        <w:tab/>
        <w:t xml:space="preserve">This is supported by Handley and Partington and Satchell. See </w:t>
      </w:r>
      <w:r w:rsidRPr="00C24641">
        <w:t xml:space="preserve">Handley, </w:t>
      </w:r>
      <w:r w:rsidRPr="00C24641">
        <w:rPr>
          <w:rStyle w:val="AERtextitalic"/>
        </w:rPr>
        <w:t>Advice on the return on equity</w:t>
      </w:r>
      <w:r w:rsidRPr="00C24641">
        <w:t>, October 2014, pp. 23–24</w:t>
      </w:r>
      <w:r>
        <w:t xml:space="preserve">; Partington and Satchell, </w:t>
      </w:r>
      <w:r w:rsidRPr="00F151A8">
        <w:rPr>
          <w:rStyle w:val="AERtextitalic"/>
        </w:rPr>
        <w:t>Report to the AER: Cost of equity issues</w:t>
      </w:r>
      <w:r>
        <w:rPr>
          <w:rStyle w:val="AERtextitalic"/>
        </w:rPr>
        <w:t xml:space="preserve"> 2016 electricity and gas determinations</w:t>
      </w:r>
      <w:r>
        <w:t>, April 2016, p. 16</w:t>
      </w:r>
      <w:r w:rsidRPr="00C24641">
        <w:t>.</w:t>
      </w:r>
      <w:r w:rsidRPr="00D21D59">
        <w:t xml:space="preserve"> </w:t>
      </w:r>
      <w:r>
        <w:t xml:space="preserve">In his May 2015 report, Handley concluded that he does not consider it necessary to change any of the findings in his earlier (2014) report. See: Handley, </w:t>
      </w:r>
      <w:r w:rsidRPr="005E55CC">
        <w:rPr>
          <w:rStyle w:val="AERtextitalic"/>
        </w:rPr>
        <w:t>Advice on the rate of return for the 2015 AER energy network determination for Jemena Gas Networks</w:t>
      </w:r>
      <w:r>
        <w:t>, 20 May 2015, p. 28.</w:t>
      </w:r>
    </w:p>
  </w:footnote>
  <w:footnote w:id="1066">
    <w:p w:rsidR="00702DD6" w:rsidRDefault="00702DD6" w:rsidP="00701AAF">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r w:rsidRPr="006C31CF">
        <w:t xml:space="preserve"> </w:t>
      </w:r>
    </w:p>
  </w:footnote>
  <w:footnote w:id="1067">
    <w:p w:rsidR="00702DD6" w:rsidRDefault="00702DD6" w:rsidP="00701AAF">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068">
    <w:p w:rsidR="00702DD6" w:rsidRDefault="00702DD6" w:rsidP="00701AAF">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069">
    <w:p w:rsidR="00702DD6" w:rsidRDefault="00702DD6" w:rsidP="00701AAF">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070">
    <w:p w:rsidR="00702DD6" w:rsidRDefault="00702DD6" w:rsidP="00701AAF">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071">
    <w:p w:rsidR="00702DD6" w:rsidRDefault="00702DD6" w:rsidP="00701AAF">
      <w:pPr>
        <w:pStyle w:val="FootnoteText"/>
      </w:pPr>
      <w:r>
        <w:rPr>
          <w:rStyle w:val="FootnoteReference"/>
        </w:rPr>
        <w:footnoteRef/>
      </w:r>
      <w:r>
        <w:t xml:space="preserve"> </w:t>
      </w:r>
      <w:r>
        <w:tab/>
        <w:t xml:space="preserve">SFG, </w:t>
      </w:r>
      <w:r w:rsidRPr="00227F2F">
        <w:rPr>
          <w:rStyle w:val="AERtextitalic"/>
        </w:rPr>
        <w:t>Equity beta</w:t>
      </w:r>
      <w:r>
        <w:t xml:space="preserve">, May 2014, p. 28–31; CEG, </w:t>
      </w:r>
      <w:r w:rsidRPr="00EC4716">
        <w:rPr>
          <w:rStyle w:val="AERtextitalic"/>
        </w:rPr>
        <w:t>WACC estimates</w:t>
      </w:r>
      <w:r>
        <w:t xml:space="preserve">, May 2014, pp. 7–10; SFG, </w:t>
      </w:r>
      <w:r w:rsidRPr="0082349C">
        <w:rPr>
          <w:rStyle w:val="AERtextitalic"/>
        </w:rPr>
        <w:t>Beta and the Black capital asset pricing model</w:t>
      </w:r>
      <w:r>
        <w:t xml:space="preserve">, February 2015, pp. 10–12;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January 2016, pp. 13–19.</w:t>
      </w:r>
    </w:p>
  </w:footnote>
  <w:footnote w:id="1072">
    <w:p w:rsidR="00702DD6" w:rsidRDefault="00702DD6" w:rsidP="00701AAF">
      <w:pPr>
        <w:pStyle w:val="FootnoteText"/>
      </w:pPr>
      <w:r>
        <w:rPr>
          <w:rStyle w:val="FootnoteReference"/>
        </w:rPr>
        <w:footnoteRef/>
      </w:r>
      <w:r>
        <w:t xml:space="preserve"> </w:t>
      </w:r>
      <w:r>
        <w:tab/>
        <w:t xml:space="preserve">SFG, </w:t>
      </w:r>
      <w:r w:rsidRPr="003812DC">
        <w:rPr>
          <w:rStyle w:val="AERtextitalic"/>
        </w:rPr>
        <w:t>Equity beta</w:t>
      </w:r>
      <w:r>
        <w:t xml:space="preserve">, May 2014, pp. 31–34, 40; CEG, </w:t>
      </w:r>
      <w:r w:rsidRPr="00EC4716">
        <w:rPr>
          <w:rStyle w:val="AERtextitalic"/>
        </w:rPr>
        <w:t>WACC estimates</w:t>
      </w:r>
      <w:r>
        <w:t xml:space="preserve">, May 2014, pp. 8–10;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xml:space="preserve">, January 2016, pp. 29–31; Frontier Economics, </w:t>
      </w:r>
      <w:r>
        <w:rPr>
          <w:rStyle w:val="AERtextitalic"/>
        </w:rPr>
        <w:t>The required return on equity under a foundation model approach</w:t>
      </w:r>
      <w:r>
        <w:t>, January 2016, p. 44.</w:t>
      </w:r>
    </w:p>
  </w:footnote>
  <w:footnote w:id="1073">
    <w:p w:rsidR="00702DD6" w:rsidRDefault="00702DD6" w:rsidP="00701AAF">
      <w:pPr>
        <w:pStyle w:val="FootnoteText"/>
      </w:pPr>
      <w:r>
        <w:rPr>
          <w:rStyle w:val="FootnoteReference"/>
        </w:rPr>
        <w:footnoteRef/>
      </w:r>
      <w:r>
        <w:t xml:space="preserve"> </w:t>
      </w:r>
      <w:r>
        <w:tab/>
        <w:t xml:space="preserve">Nor do we consider </w:t>
      </w:r>
      <w:r w:rsidRPr="00872992">
        <w:t>our Australian empirical equity beta estimates are unreliable</w:t>
      </w:r>
      <w:r>
        <w:t xml:space="preserve"> (see section </w:t>
      </w:r>
      <w:r>
        <w:fldChar w:fldCharType="begin"/>
      </w:r>
      <w:r>
        <w:instrText xml:space="preserve"> REF _Ref446254453 \r \h </w:instrText>
      </w:r>
      <w:r>
        <w:fldChar w:fldCharType="separate"/>
      </w:r>
      <w:r>
        <w:t>G.4.2</w:t>
      </w:r>
      <w:r>
        <w:fldChar w:fldCharType="end"/>
      </w:r>
      <w:r>
        <w:t>)</w:t>
      </w:r>
      <w:r w:rsidRPr="00872992">
        <w:t>.</w:t>
      </w:r>
    </w:p>
  </w:footnote>
  <w:footnote w:id="1074">
    <w:p w:rsidR="00702DD6" w:rsidRDefault="00702DD6" w:rsidP="00701AAF">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075">
    <w:p w:rsidR="00702DD6" w:rsidRDefault="00702DD6" w:rsidP="00701AAF">
      <w:pPr>
        <w:pStyle w:val="FootnoteText"/>
      </w:pPr>
      <w:r>
        <w:rPr>
          <w:rStyle w:val="FootnoteReference"/>
        </w:rPr>
        <w:footnoteRef/>
      </w:r>
      <w:r>
        <w:t xml:space="preserve"> </w:t>
      </w:r>
      <w:r>
        <w:tab/>
        <w:t>See, for example, section D.2.1 of attachment 3 to our draft decision for ActewAGL (under the heading 'International comparators').</w:t>
      </w:r>
    </w:p>
  </w:footnote>
  <w:footnote w:id="1076">
    <w:p w:rsidR="00702DD6" w:rsidRDefault="00702DD6" w:rsidP="00701AAF">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15–16.</w:t>
      </w:r>
    </w:p>
  </w:footnote>
  <w:footnote w:id="1077">
    <w:p w:rsidR="00702DD6" w:rsidRDefault="00702DD6" w:rsidP="00701AAF">
      <w:pPr>
        <w:pStyle w:val="FootnoteText"/>
      </w:pPr>
      <w:r>
        <w:rPr>
          <w:rStyle w:val="FootnoteReference"/>
        </w:rPr>
        <w:footnoteRef/>
      </w:r>
      <w:r>
        <w:t xml:space="preserve"> </w:t>
      </w:r>
      <w:r>
        <w:tab/>
        <w:t xml:space="preserve">See, for example, </w:t>
      </w:r>
      <w:r w:rsidRPr="004D154B">
        <w:t>Origin Energy</w:t>
      </w:r>
      <w:r w:rsidRPr="00B67295">
        <w:rPr>
          <w:rStyle w:val="AERtextitalic"/>
        </w:rPr>
        <w:t xml:space="preserve">, Submission to </w:t>
      </w:r>
      <w:r>
        <w:rPr>
          <w:rStyle w:val="AERtextitalic"/>
        </w:rPr>
        <w:t>Victorian electricity distributors regulatory proposals</w:t>
      </w:r>
      <w:r w:rsidRPr="004D154B">
        <w:t>, 3 July 2015</w:t>
      </w:r>
      <w:r>
        <w:t xml:space="preserve">, pp. 10–11. Also see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1078">
    <w:p w:rsidR="00702DD6" w:rsidRDefault="00702DD6" w:rsidP="00701AAF">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pp. 70–71.</w:t>
      </w:r>
    </w:p>
  </w:footnote>
  <w:footnote w:id="1079">
    <w:p w:rsidR="00702DD6" w:rsidRDefault="00702DD6" w:rsidP="00701AAF">
      <w:pPr>
        <w:pStyle w:val="FootnoteText"/>
      </w:pPr>
      <w:r>
        <w:rPr>
          <w:rStyle w:val="FootnoteReference"/>
        </w:rPr>
        <w:footnoteRef/>
      </w:r>
      <w:r>
        <w:t xml:space="preserve"> </w:t>
      </w:r>
      <w:r>
        <w:tab/>
        <w:t xml:space="preserve">Frontier Economics also proposed international energy firms be included. See: Frontier Economics, </w:t>
      </w:r>
      <w:r>
        <w:rPr>
          <w:rStyle w:val="AERtextitalic"/>
        </w:rPr>
        <w:t>Estimating the equity beta for the benchmark efficient entity</w:t>
      </w:r>
      <w:r>
        <w:t>, January 2016, pp. 2–3.</w:t>
      </w:r>
    </w:p>
  </w:footnote>
  <w:footnote w:id="1080">
    <w:p w:rsidR="00702DD6" w:rsidRDefault="00702DD6" w:rsidP="00701AAF">
      <w:pPr>
        <w:pStyle w:val="FootnoteText"/>
      </w:pPr>
      <w:r>
        <w:rPr>
          <w:rStyle w:val="FootnoteReference"/>
        </w:rPr>
        <w:footnoteRef/>
      </w:r>
      <w:r>
        <w:t xml:space="preserve"> </w:t>
      </w:r>
      <w:r>
        <w:tab/>
        <w:t xml:space="preserve">Although it excluded two of these from its analysis because they have been engaged in merger activity (see Frontier Economics, </w:t>
      </w:r>
      <w:r>
        <w:rPr>
          <w:rStyle w:val="AERtextitalic"/>
        </w:rPr>
        <w:t>Estimating the equity beta for the benchmark efficient entity</w:t>
      </w:r>
      <w:r>
        <w:t>, January 2016, p. 21).</w:t>
      </w:r>
    </w:p>
  </w:footnote>
  <w:footnote w:id="1081">
    <w:p w:rsidR="00702DD6" w:rsidRDefault="00702DD6" w:rsidP="00701AAF">
      <w:pPr>
        <w:pStyle w:val="FootnoteText"/>
      </w:pPr>
      <w:r>
        <w:rPr>
          <w:rStyle w:val="FootnoteReference"/>
        </w:rPr>
        <w:footnoteRef/>
      </w:r>
      <w:r>
        <w:t xml:space="preserve"> </w:t>
      </w:r>
      <w:r>
        <w:tab/>
        <w:t xml:space="preserve">Specifically, Frontier considered the average and portfolio estimates (10 year rolling beta estimates) are more stable over time and have tighter confidence intervals (see Frontier Economics, </w:t>
      </w:r>
      <w:r>
        <w:rPr>
          <w:rStyle w:val="AERtextitalic"/>
        </w:rPr>
        <w:t>Estimating the equity beta for the benchmark efficient entity</w:t>
      </w:r>
      <w:r>
        <w:t xml:space="preserve">, January 2016, p. 24–25, 31–33). We respond to this in section </w:t>
      </w:r>
      <w:r>
        <w:fldChar w:fldCharType="begin"/>
      </w:r>
      <w:r>
        <w:instrText xml:space="preserve"> REF _Ref446254453 \r \h </w:instrText>
      </w:r>
      <w:r>
        <w:fldChar w:fldCharType="separate"/>
      </w:r>
      <w:r>
        <w:t>G.4.2</w:t>
      </w:r>
      <w:r>
        <w:fldChar w:fldCharType="end"/>
      </w:r>
      <w:r>
        <w:t>.</w:t>
      </w:r>
    </w:p>
  </w:footnote>
  <w:footnote w:id="1082">
    <w:p w:rsidR="00702DD6" w:rsidRDefault="00702DD6" w:rsidP="00701AAF">
      <w:pPr>
        <w:pStyle w:val="FootnoteText"/>
      </w:pPr>
      <w:r>
        <w:rPr>
          <w:rStyle w:val="FootnoteReference"/>
        </w:rPr>
        <w:footnoteRef/>
      </w:r>
      <w:r>
        <w:t xml:space="preserve"> </w:t>
      </w:r>
      <w:r>
        <w:tab/>
        <w:t>That is, the National Electricity Law and Rules, and the National Gas Law and Rules.</w:t>
      </w:r>
    </w:p>
  </w:footnote>
  <w:footnote w:id="1083">
    <w:p w:rsidR="00702DD6" w:rsidRDefault="00702DD6" w:rsidP="00701AAF">
      <w:pPr>
        <w:pStyle w:val="FootnoteText"/>
      </w:pPr>
      <w:r>
        <w:rPr>
          <w:rStyle w:val="FootnoteReference"/>
        </w:rPr>
        <w:footnoteRef/>
      </w:r>
      <w:r>
        <w:t xml:space="preserve"> </w:t>
      </w:r>
      <w:r>
        <w:tab/>
        <w:t xml:space="preserve">For example, Sydney Airport and Transurban are listed infrastructure firms that are not subject to direct price/revenue regulation. Sydney Airport is subject only to price and quality monitoring by the ACCC (see Department of Infrastructure and Regional Development, </w:t>
      </w:r>
      <w:r w:rsidRPr="00CB3D02">
        <w:rPr>
          <w:rStyle w:val="AERtextitalic"/>
        </w:rPr>
        <w:t>Economic regulation</w:t>
      </w:r>
      <w:r>
        <w:t>, last updated 12 June 2014, viewed 23 February 2016,</w:t>
      </w:r>
      <w:r w:rsidRPr="00CB3D02">
        <w:t xml:space="preserve"> </w:t>
      </w:r>
      <w:hyperlink r:id="rId16" w:history="1">
        <w:r w:rsidRPr="00C20D81">
          <w:rPr>
            <w:rStyle w:val="Hyperlink"/>
            <w:sz w:val="16"/>
          </w:rPr>
          <w:t>https://infrastructure.gov.au/aviation/airport/airport_economic_regulation/economic_regulation.aspx</w:t>
        </w:r>
      </w:hyperlink>
      <w:r>
        <w:t>). 79% of Transurban's assets are concession assets, 'r</w:t>
      </w:r>
      <w:r w:rsidRPr="005C7A81">
        <w:t>epresenting the</w:t>
      </w:r>
      <w:r>
        <w:t xml:space="preserve"> </w:t>
      </w:r>
      <w:r w:rsidRPr="005C7A81">
        <w:t>provision by Government entities for the right to toll customers for the use of the assets</w:t>
      </w:r>
      <w:r>
        <w:t xml:space="preserve">' (see Transurban, </w:t>
      </w:r>
      <w:r w:rsidRPr="00CB3D02">
        <w:rPr>
          <w:rStyle w:val="AERtextitalic"/>
        </w:rPr>
        <w:t>2015 Transurban annual report</w:t>
      </w:r>
      <w:r>
        <w:t xml:space="preserve"> (for the year ended 30 June 2015), p. 11)</w:t>
      </w:r>
      <w:r w:rsidRPr="005C7A81">
        <w:t>.</w:t>
      </w:r>
      <w:r>
        <w:t xml:space="preserve"> Both of these types of regulation are very different to direct price/revenue cap regulation.</w:t>
      </w:r>
    </w:p>
  </w:footnote>
  <w:footnote w:id="1084">
    <w:p w:rsidR="00702DD6" w:rsidRDefault="00702DD6" w:rsidP="00701AAF">
      <w:pPr>
        <w:pStyle w:val="FootnoteText"/>
      </w:pPr>
      <w:r>
        <w:rPr>
          <w:rStyle w:val="FootnoteReference"/>
        </w:rPr>
        <w:footnoteRef/>
      </w:r>
      <w:r>
        <w:t xml:space="preserve"> </w:t>
      </w:r>
      <w:r>
        <w:tab/>
        <w:t xml:space="preserve">For example, Telstra provides a range of services, categorised into segments such as Telstra Retail, Global Enterprise and Services, Telstra Wholesale and Telstra Operations. See Telstra, </w:t>
      </w:r>
      <w:r w:rsidRPr="00947538">
        <w:rPr>
          <w:rStyle w:val="AERtextitalic"/>
        </w:rPr>
        <w:t>Our brilliant connected future: Telstra annual report 2015</w:t>
      </w:r>
      <w:r>
        <w:t xml:space="preserve">, pp. 21–22. </w:t>
      </w:r>
    </w:p>
  </w:footnote>
  <w:footnote w:id="1085">
    <w:p w:rsidR="00702DD6" w:rsidRDefault="00702DD6" w:rsidP="00701AAF">
      <w:pPr>
        <w:pStyle w:val="FootnoteText"/>
      </w:pPr>
      <w:r>
        <w:rPr>
          <w:rStyle w:val="FootnoteReference"/>
        </w:rPr>
        <w:footnoteRef/>
      </w:r>
      <w:r>
        <w:t xml:space="preserve"> </w:t>
      </w:r>
      <w:r>
        <w:tab/>
        <w:t xml:space="preserve">The Kolmogorov-Smirnov test </w:t>
      </w:r>
      <w:r w:rsidRPr="00AF3698">
        <w:t xml:space="preserve">tests whether two samples have the same distribution function; and </w:t>
      </w:r>
      <w:r>
        <w:t>the</w:t>
      </w:r>
      <w:r w:rsidRPr="00AF3698">
        <w:t xml:space="preserve"> t-test tests whether two samples come from populations that have the same mean</w:t>
      </w:r>
      <w:r>
        <w:t xml:space="preserve">. See Frontier Economics, </w:t>
      </w:r>
      <w:r>
        <w:rPr>
          <w:rStyle w:val="AERtextitalic"/>
        </w:rPr>
        <w:t>Estimating the equity beta for the benchmark efficient entity</w:t>
      </w:r>
      <w:r>
        <w:t>, January 2016, p. 7.</w:t>
      </w:r>
    </w:p>
  </w:footnote>
  <w:footnote w:id="1086">
    <w:p w:rsidR="00702DD6" w:rsidRDefault="00702DD6" w:rsidP="00701AAF">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22–24, 29–31.</w:t>
      </w:r>
    </w:p>
  </w:footnote>
  <w:footnote w:id="1087">
    <w:p w:rsidR="00702DD6" w:rsidRDefault="00702DD6" w:rsidP="00701AAF">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13.</w:t>
      </w:r>
    </w:p>
  </w:footnote>
  <w:footnote w:id="1088">
    <w:p w:rsidR="00702DD6" w:rsidRDefault="00702DD6" w:rsidP="00701AAF">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13–14.</w:t>
      </w:r>
    </w:p>
  </w:footnote>
  <w:footnote w:id="1089">
    <w:p w:rsidR="00702DD6" w:rsidRDefault="00702DD6" w:rsidP="00701AAF">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090">
    <w:p w:rsidR="00702DD6" w:rsidRDefault="00702DD6" w:rsidP="00701AAF">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31 (Table 11).</w:t>
      </w:r>
    </w:p>
  </w:footnote>
  <w:footnote w:id="1091">
    <w:p w:rsidR="00702DD6" w:rsidRDefault="00702DD6" w:rsidP="00701AAF">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20.</w:t>
      </w:r>
    </w:p>
  </w:footnote>
  <w:footnote w:id="1092">
    <w:p w:rsidR="00702DD6" w:rsidRDefault="00702DD6" w:rsidP="00701AAF">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34.</w:t>
      </w:r>
    </w:p>
  </w:footnote>
  <w:footnote w:id="1093">
    <w:p w:rsidR="00702DD6" w:rsidRDefault="00702DD6" w:rsidP="00701AAF">
      <w:pPr>
        <w:pStyle w:val="FootnoteText"/>
      </w:pPr>
      <w:r>
        <w:rPr>
          <w:rStyle w:val="FootnoteReference"/>
        </w:rPr>
        <w:footnoteRef/>
      </w:r>
      <w:r>
        <w:t xml:space="preserve"> </w:t>
      </w:r>
      <w:r>
        <w:tab/>
        <w:t xml:space="preserve">See Frontier Economics, </w:t>
      </w:r>
      <w:r>
        <w:rPr>
          <w:rStyle w:val="AERtextitalic"/>
        </w:rPr>
        <w:t>Estimating the equity beta for the benchmark efficient entity</w:t>
      </w:r>
      <w:r>
        <w:t>, January 2016, p. 21. This range is based on the raw and re-levered estimates presented in this report and excludes Asciano and Qube (as Frontier does).</w:t>
      </w:r>
    </w:p>
  </w:footnote>
  <w:footnote w:id="1094">
    <w:p w:rsidR="00702DD6" w:rsidRDefault="00702DD6" w:rsidP="00BB7CBA">
      <w:pPr>
        <w:pStyle w:val="FootnoteText"/>
      </w:pPr>
      <w:r>
        <w:rPr>
          <w:rStyle w:val="FootnoteReference"/>
        </w:rPr>
        <w:footnoteRef/>
      </w:r>
      <w:r>
        <w:t xml:space="preserve"> </w:t>
      </w:r>
      <w:r>
        <w:tab/>
        <w:t>For clarity, that is 100% of the base rate and DRP components of the allowed return on debt.</w:t>
      </w:r>
    </w:p>
  </w:footnote>
  <w:footnote w:id="1095">
    <w:p w:rsidR="00702DD6" w:rsidRDefault="00702DD6" w:rsidP="00BB7CBA">
      <w:pPr>
        <w:pStyle w:val="FootnoteText"/>
      </w:pPr>
      <w:r>
        <w:rPr>
          <w:rStyle w:val="FootnoteReference"/>
        </w:rPr>
        <w:footnoteRef/>
      </w:r>
      <w:r>
        <w:t xml:space="preserve"> </w:t>
      </w:r>
      <w:r>
        <w:tab/>
        <w:t>The service providers referred to are Australian Gas Networks (AGN), ActewAGL gas distribution, APTNT, Jemena Electricity Networks (JEN), United Energy, AusNet Services, CitiPower and Powercor.</w:t>
      </w:r>
    </w:p>
  </w:footnote>
  <w:footnote w:id="1096">
    <w:p w:rsidR="00702DD6" w:rsidRDefault="00702DD6" w:rsidP="00BB7CBA">
      <w:pPr>
        <w:pStyle w:val="FootnoteText"/>
      </w:pPr>
      <w:r>
        <w:rPr>
          <w:rStyle w:val="FootnoteReference"/>
        </w:rPr>
        <w:footnoteRef/>
      </w:r>
      <w:r>
        <w:t xml:space="preserve"> </w:t>
      </w:r>
      <w:r>
        <w:tab/>
        <w:t xml:space="preserve">CEG, </w:t>
      </w:r>
      <w:r w:rsidRPr="006A6F9F">
        <w:rPr>
          <w:rStyle w:val="AERtextitalic"/>
        </w:rPr>
        <w:t>Critique of the AER's approach to transition</w:t>
      </w:r>
      <w:r>
        <w:t>, January 2016.</w:t>
      </w:r>
    </w:p>
  </w:footnote>
  <w:footnote w:id="1097">
    <w:p w:rsidR="00702DD6" w:rsidRDefault="00702DD6" w:rsidP="00BB7CBA">
      <w:pPr>
        <w:pStyle w:val="FootnoteText"/>
      </w:pPr>
      <w:r>
        <w:rPr>
          <w:rStyle w:val="FootnoteReference"/>
        </w:rPr>
        <w:footnoteRef/>
      </w:r>
      <w:r>
        <w:t xml:space="preserve"> </w:t>
      </w:r>
      <w:r>
        <w:tab/>
        <w:t>NER, cl. 6.5.2(c); NER, cl. 6A.6.2(c); NGR, r. 87(3).</w:t>
      </w:r>
    </w:p>
  </w:footnote>
  <w:footnote w:id="1098">
    <w:p w:rsidR="00702DD6" w:rsidRDefault="00702DD6" w:rsidP="00BB7CBA">
      <w:pPr>
        <w:pStyle w:val="FootnoteText"/>
      </w:pPr>
      <w:r>
        <w:rPr>
          <w:rStyle w:val="FootnoteReference"/>
        </w:rPr>
        <w:footnoteRef/>
      </w:r>
      <w:r>
        <w:t xml:space="preserve"> </w:t>
      </w:r>
      <w:r>
        <w:tab/>
        <w:t xml:space="preserve">See Productivity Commission, </w:t>
      </w:r>
      <w:r w:rsidRPr="00B814E2">
        <w:rPr>
          <w:rStyle w:val="AERtextitalic"/>
        </w:rPr>
        <w:t>On efficiency and effectiveness: Some definitions</w:t>
      </w:r>
      <w:r>
        <w:t>, May 2013, p. 3</w:t>
      </w:r>
    </w:p>
  </w:footnote>
  <w:footnote w:id="1099">
    <w:p w:rsidR="00702DD6" w:rsidRDefault="00702DD6" w:rsidP="00BB7CBA">
      <w:pPr>
        <w:pStyle w:val="FootnoteText"/>
      </w:pPr>
      <w:r>
        <w:rPr>
          <w:rStyle w:val="FootnoteReference"/>
        </w:rPr>
        <w:footnoteRef/>
      </w:r>
      <w:r>
        <w:t xml:space="preserve"> </w:t>
      </w:r>
      <w:r>
        <w:tab/>
        <w:t xml:space="preserve">We have previously discussed this in AER, </w:t>
      </w:r>
      <w:r w:rsidRPr="006757DF">
        <w:rPr>
          <w:rStyle w:val="AERtextitalic"/>
        </w:rPr>
        <w:t>Better regulation: Rate of return guidelines consultation paper</w:t>
      </w:r>
      <w:r>
        <w:t>, May 2013, pp. 75</w:t>
      </w:r>
      <w:r>
        <w:rPr>
          <w:rFonts w:cs="Arial"/>
        </w:rPr>
        <w:t>–</w:t>
      </w:r>
      <w:r>
        <w:t>6.</w:t>
      </w:r>
    </w:p>
  </w:footnote>
  <w:footnote w:id="1100">
    <w:p w:rsidR="00702DD6" w:rsidRDefault="00702DD6" w:rsidP="00BB7CBA">
      <w:pPr>
        <w:pStyle w:val="FootnoteText"/>
      </w:pPr>
      <w:r>
        <w:rPr>
          <w:rStyle w:val="FootnoteReference"/>
        </w:rPr>
        <w:footnoteRef/>
      </w:r>
      <w:r>
        <w:t xml:space="preserve"> </w:t>
      </w:r>
      <w:r>
        <w:tab/>
        <w:t>We note the cost of debt (from a firm's perspective) is also known as investors' required rate of return on debt (from an investors' perspective).</w:t>
      </w:r>
    </w:p>
  </w:footnote>
  <w:footnote w:id="1101">
    <w:p w:rsidR="00702DD6" w:rsidRDefault="00702DD6" w:rsidP="00BB7CBA">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1102">
    <w:p w:rsidR="00702DD6" w:rsidRDefault="00702DD6" w:rsidP="00BB7CB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103">
    <w:p w:rsidR="00702DD6" w:rsidRDefault="00702DD6" w:rsidP="00BB7CBA">
      <w:pPr>
        <w:pStyle w:val="FootnoteText"/>
      </w:pPr>
      <w:r>
        <w:rPr>
          <w:rStyle w:val="FootnoteReference"/>
        </w:rPr>
        <w:footnoteRef/>
      </w:r>
      <w:r>
        <w:t xml:space="preserve"> </w:t>
      </w:r>
      <w:r>
        <w:tab/>
      </w:r>
      <w:r w:rsidRPr="005F51BE">
        <w:t xml:space="preserve">However, </w:t>
      </w:r>
      <w:r>
        <w:t>Partington and Satchell</w:t>
      </w:r>
      <w:r w:rsidRPr="005F51BE">
        <w:t xml:space="preserve"> note the yield to maturity overstates the (expected) opportunity cost of risky debt because it is based on the promised return</w:t>
      </w:r>
      <w:r>
        <w:t xml:space="preserve">, which exceeds the expected return on risky debt (due to default risk). See Partington, G., Satchell, S., </w:t>
      </w:r>
      <w:r w:rsidRPr="00D001FE">
        <w:rPr>
          <w:rStyle w:val="AERtextitalic"/>
        </w:rPr>
        <w:t>Report to the AER: Discussion of the allowed cost of</w:t>
      </w:r>
      <w:r>
        <w:t xml:space="preserve"> </w:t>
      </w:r>
      <w:r w:rsidRPr="00D001FE">
        <w:rPr>
          <w:rStyle w:val="AERtextitalic"/>
        </w:rPr>
        <w:t>debt</w:t>
      </w:r>
      <w:r>
        <w:t>, 5 May 2016, p. 28.</w:t>
      </w:r>
    </w:p>
  </w:footnote>
  <w:footnote w:id="1104">
    <w:p w:rsidR="00702DD6" w:rsidRDefault="00702DD6" w:rsidP="00BB7CB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31.</w:t>
      </w:r>
    </w:p>
  </w:footnote>
  <w:footnote w:id="1105">
    <w:p w:rsidR="00702DD6" w:rsidRDefault="00702DD6" w:rsidP="00BB7CBA">
      <w:pPr>
        <w:pStyle w:val="FootnoteText"/>
      </w:pPr>
      <w:r>
        <w:rPr>
          <w:rStyle w:val="FootnoteReference"/>
        </w:rPr>
        <w:footnoteRef/>
      </w:r>
      <w:r>
        <w:t xml:space="preserve"> </w:t>
      </w:r>
      <w:r>
        <w:tab/>
        <w:t>The NEO is to 'promote</w:t>
      </w:r>
      <w:r w:rsidRPr="00ED7222">
        <w:t xml:space="preserve"> efficient investment in,</w:t>
      </w:r>
      <w:r>
        <w:t xml:space="preserve"> and</w:t>
      </w:r>
      <w:r w:rsidRPr="00ED7222">
        <w:t xml:space="preserve"> </w:t>
      </w:r>
      <w:r>
        <w:t xml:space="preserve">efficient </w:t>
      </w:r>
      <w:r w:rsidRPr="00ED7222">
        <w:t>operation and use of</w:t>
      </w:r>
      <w:r>
        <w:t>,</w:t>
      </w:r>
      <w:r w:rsidRPr="00ED7222">
        <w:t xml:space="preserve"> electricity services for the long term interests of consumers</w:t>
      </w:r>
      <w:r>
        <w:t xml:space="preserve"> of electricity  with respect to - (a) price, quality, safety, reliability and security of supply of electricity; and (b) the reliability, safety and security of the national electricity system'. Similarly the NGO is to '</w:t>
      </w:r>
      <w:r w:rsidRPr="00ED7222">
        <w:t>promote efficient investment in, and efficient operation and use of natural gas services for the long term interest of consumers of natural gas with respect to price, quality, safety, reliability and security of supply of natural gas</w:t>
      </w:r>
      <w:r>
        <w:t>'.</w:t>
      </w:r>
    </w:p>
  </w:footnote>
  <w:footnote w:id="1106">
    <w:p w:rsidR="00702DD6" w:rsidRDefault="00702DD6" w:rsidP="00BB7CBA">
      <w:pPr>
        <w:pStyle w:val="FootnoteText"/>
      </w:pPr>
      <w:r>
        <w:rPr>
          <w:rStyle w:val="FootnoteReference"/>
        </w:rPr>
        <w:footnoteRef/>
      </w:r>
      <w:r>
        <w:t xml:space="preserve"> </w:t>
      </w:r>
      <w:r>
        <w:tab/>
        <w:t xml:space="preserve">AER, </w:t>
      </w:r>
      <w:r w:rsidRPr="005C3E8E">
        <w:rPr>
          <w:rStyle w:val="AERtextitalic"/>
        </w:rPr>
        <w:t>Better regulation: Rate of return guideline</w:t>
      </w:r>
      <w:r>
        <w:t>, December 2013, p. 7.</w:t>
      </w:r>
    </w:p>
  </w:footnote>
  <w:footnote w:id="1107">
    <w:p w:rsidR="00702DD6" w:rsidRDefault="00702DD6" w:rsidP="00BB7CBA">
      <w:pPr>
        <w:pStyle w:val="FootnoteText"/>
      </w:pPr>
      <w:r>
        <w:rPr>
          <w:rStyle w:val="FootnoteReference"/>
        </w:rPr>
        <w:footnoteRef/>
      </w:r>
      <w:r>
        <w:t xml:space="preserve"> </w:t>
      </w:r>
      <w:r>
        <w:tab/>
        <w:t xml:space="preserve">AER, </w:t>
      </w:r>
      <w:r w:rsidRPr="005C3E8E">
        <w:rPr>
          <w:rStyle w:val="AERtextitalic"/>
        </w:rPr>
        <w:t>Draft rate of return guideline</w:t>
      </w:r>
      <w:r>
        <w:t>, August 2013, p. 9.</w:t>
      </w:r>
    </w:p>
  </w:footnote>
  <w:footnote w:id="1108">
    <w:p w:rsidR="00702DD6" w:rsidRDefault="00702DD6" w:rsidP="00BB7CBA">
      <w:pPr>
        <w:pStyle w:val="FootnoteText"/>
      </w:pPr>
      <w:r>
        <w:rPr>
          <w:rStyle w:val="FootnoteReference"/>
        </w:rPr>
        <w:footnoteRef/>
      </w:r>
      <w:r>
        <w:t xml:space="preserve"> </w:t>
      </w:r>
      <w:r>
        <w:tab/>
        <w:t xml:space="preserve">APA Group, </w:t>
      </w:r>
      <w:r w:rsidRPr="005C3E8E">
        <w:rPr>
          <w:rStyle w:val="AERtextitalic"/>
        </w:rPr>
        <w:t>Submissions responding to AER draft rate of return guideline</w:t>
      </w:r>
      <w:r>
        <w:t>, 11 October 2013, p. 12</w:t>
      </w:r>
      <w:r>
        <w:rPr>
          <w:rFonts w:cs="Arial"/>
        </w:rPr>
        <w:t>–</w:t>
      </w:r>
      <w:r>
        <w:t xml:space="preserve">16; APIA, </w:t>
      </w:r>
      <w:r w:rsidRPr="005C3E8E">
        <w:rPr>
          <w:rStyle w:val="AERtextitalic"/>
        </w:rPr>
        <w:t>Meeting the ARORO? A submission to the AER's draft rate of return guideline</w:t>
      </w:r>
      <w:r>
        <w:t xml:space="preserve">, 11 October 2013, p. 11; MEU, </w:t>
      </w:r>
      <w:r w:rsidRPr="005C3E8E">
        <w:rPr>
          <w:rStyle w:val="AERtextitalic"/>
        </w:rPr>
        <w:t>Comments on the draft guideline</w:t>
      </w:r>
      <w:r>
        <w:t>, October 2013, p. 12.</w:t>
      </w:r>
    </w:p>
  </w:footnote>
  <w:footnote w:id="1109">
    <w:p w:rsidR="00702DD6" w:rsidRDefault="00702DD6" w:rsidP="00BB7CBA">
      <w:pPr>
        <w:pStyle w:val="FootnoteText"/>
      </w:pPr>
      <w:r>
        <w:rPr>
          <w:rStyle w:val="FootnoteReference"/>
        </w:rPr>
        <w:footnoteRef/>
      </w:r>
      <w:r>
        <w:t xml:space="preserve"> </w:t>
      </w:r>
      <w:r>
        <w:tab/>
      </w:r>
      <w:r w:rsidRPr="00E0091E">
        <w:t xml:space="preserve">AER, </w:t>
      </w:r>
      <w:r w:rsidRPr="005C3E8E">
        <w:rPr>
          <w:rStyle w:val="AERtextitalic"/>
        </w:rPr>
        <w:t>WACC review, final decision</w:t>
      </w:r>
      <w:r w:rsidRPr="00E0091E">
        <w:t>, May 2009, p. 82.</w:t>
      </w:r>
    </w:p>
  </w:footnote>
  <w:footnote w:id="1110">
    <w:p w:rsidR="00702DD6" w:rsidRDefault="00702DD6" w:rsidP="00BB7CBA">
      <w:pPr>
        <w:pStyle w:val="FootnoteText"/>
      </w:pPr>
      <w:r>
        <w:rPr>
          <w:rStyle w:val="FootnoteReference"/>
        </w:rPr>
        <w:footnoteRef/>
      </w:r>
      <w:r>
        <w:t xml:space="preserve"> </w:t>
      </w:r>
      <w:r>
        <w:tab/>
        <w:t>These include decisions for Ausgrid, Endeavour Energy, Energex, Ergon Energy, Essential Energy, Jemena Gas Networks, SA Power Networks, TasNetworks, Transend and TransGrid. These also include preliminary or draft decisions for ActewAGL gas, Amadeus gas pipeline, Australian Gas Networks, AusNet Services distribution, CitiPower, Jemena Electricity Networks, Powercor and United Energy.</w:t>
      </w:r>
    </w:p>
  </w:footnote>
  <w:footnote w:id="1111">
    <w:p w:rsidR="00702DD6" w:rsidRDefault="00702DD6" w:rsidP="00BB7CBA">
      <w:pPr>
        <w:pStyle w:val="FootnoteText"/>
      </w:pPr>
      <w:r>
        <w:rPr>
          <w:rStyle w:val="FootnoteReference"/>
        </w:rPr>
        <w:footnoteRef/>
      </w:r>
      <w:r>
        <w:t xml:space="preserve"> </w:t>
      </w:r>
      <w:r>
        <w:tab/>
        <w:t xml:space="preserve">The World Bank and OECD have used this definition in </w:t>
      </w:r>
      <w:r w:rsidRPr="009D1BB8">
        <w:t xml:space="preserve">OECD, </w:t>
      </w:r>
      <w:r w:rsidRPr="00BE60B7">
        <w:rPr>
          <w:rStyle w:val="AERtextitalic"/>
        </w:rPr>
        <w:t>Glossary of key terms in evaluation and results based management</w:t>
      </w:r>
      <w:r w:rsidRPr="009D1BB8">
        <w:t>, 2002, p. 18</w:t>
      </w:r>
      <w:r>
        <w:t>,</w:t>
      </w:r>
      <w:r w:rsidRPr="009D1BB8">
        <w:t xml:space="preserve"> World Bank, </w:t>
      </w:r>
      <w:r w:rsidRPr="00BE60B7">
        <w:rPr>
          <w:rStyle w:val="AERtextitalic"/>
        </w:rPr>
        <w:t>How to build M&amp;E systems to support better government</w:t>
      </w:r>
      <w:r w:rsidRPr="009D1BB8">
        <w:t>, p. 138</w:t>
      </w:r>
      <w:r>
        <w:t>.</w:t>
      </w:r>
    </w:p>
  </w:footnote>
  <w:footnote w:id="1112">
    <w:p w:rsidR="00702DD6" w:rsidRDefault="00702DD6" w:rsidP="00BB7CBA">
      <w:pPr>
        <w:pStyle w:val="FootnoteText"/>
      </w:pPr>
      <w:r>
        <w:rPr>
          <w:rStyle w:val="FootnoteReference"/>
        </w:rPr>
        <w:footnoteRef/>
      </w:r>
      <w:r>
        <w:t xml:space="preserve"> </w:t>
      </w:r>
      <w:r>
        <w:tab/>
      </w:r>
      <w:r w:rsidRPr="009D1BB8">
        <w:t xml:space="preserve">CFA Institute, </w:t>
      </w:r>
      <w:r w:rsidRPr="005772E3">
        <w:rPr>
          <w:rStyle w:val="AERtextitalic"/>
        </w:rPr>
        <w:t>Benchmarks and indices: Issue Brief</w:t>
      </w:r>
      <w:r w:rsidRPr="009D1BB8">
        <w:t>, April 2013, p. 2</w:t>
      </w:r>
      <w:r>
        <w:t>.</w:t>
      </w:r>
    </w:p>
  </w:footnote>
  <w:footnote w:id="1113">
    <w:p w:rsidR="00702DD6" w:rsidRDefault="00702DD6" w:rsidP="00BB7CBA">
      <w:pPr>
        <w:pStyle w:val="FootnoteText"/>
      </w:pPr>
      <w:r>
        <w:rPr>
          <w:rStyle w:val="FootnoteReference"/>
        </w:rPr>
        <w:footnoteRef/>
      </w:r>
      <w:r>
        <w:t xml:space="preserve"> </w:t>
      </w:r>
      <w:r>
        <w:tab/>
      </w:r>
      <w:r w:rsidRPr="009D1BB8">
        <w:t xml:space="preserve">AEMC, </w:t>
      </w:r>
      <w:r w:rsidRPr="005772E3">
        <w:rPr>
          <w:rStyle w:val="AERtextitalic"/>
        </w:rPr>
        <w:t>Rule determination: Economic regulation of network service providers and price and revenue regulation of gas services</w:t>
      </w:r>
      <w:r w:rsidRPr="009D1BB8">
        <w:t>, 29 November 2012. p. 43</w:t>
      </w:r>
      <w:r>
        <w:t>.</w:t>
      </w:r>
    </w:p>
  </w:footnote>
  <w:footnote w:id="1114">
    <w:p w:rsidR="00702DD6" w:rsidRDefault="00702DD6" w:rsidP="00BB7CB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18; AGN, </w:t>
      </w:r>
      <w:r w:rsidRPr="00FA673F">
        <w:rPr>
          <w:rStyle w:val="AERtextitalic"/>
        </w:rPr>
        <w:t>Attachment 10.26 response to draft decision: Rate of return</w:t>
      </w:r>
      <w:r>
        <w:t xml:space="preserve">, January 2016, p. 25; APA Group, </w:t>
      </w:r>
      <w:r w:rsidRPr="00FA673F">
        <w:rPr>
          <w:rStyle w:val="AERtextitalic"/>
        </w:rPr>
        <w:t>Amadeus Gas Pipeline access arrangement information</w:t>
      </w:r>
      <w:r>
        <w:t>, January 2016, p. 24;</w:t>
      </w:r>
      <w:r w:rsidRPr="00FA673F">
        <w:t xml:space="preserve"> </w:t>
      </w:r>
      <w:r>
        <w:t xml:space="preserve">AusNet Electricity Services, </w:t>
      </w:r>
      <w:r w:rsidRPr="00FA673F">
        <w:rPr>
          <w:rStyle w:val="AERtextitalic"/>
        </w:rPr>
        <w:t>Revised regulatory proposal</w:t>
      </w:r>
      <w:r>
        <w:t xml:space="preserve">, 6 January 2016, p. 163; CitiPower, </w:t>
      </w:r>
      <w:r w:rsidRPr="00FA673F">
        <w:rPr>
          <w:rStyle w:val="AERtextitalic"/>
        </w:rPr>
        <w:t>Revised Regulatory Proposal 2016—2020</w:t>
      </w:r>
      <w:r>
        <w:t xml:space="preserve">, 6 January 2016, p. 332; </w:t>
      </w:r>
      <w:r w:rsidRPr="00FA673F">
        <w:t xml:space="preserve">JEN, </w:t>
      </w:r>
      <w:r w:rsidRPr="00FA673F">
        <w:rPr>
          <w:rStyle w:val="AERtextitalic"/>
        </w:rPr>
        <w:t>Attachment 6-1 rate of return, gamma, forecast inflation, and debt and equity raising costs</w:t>
      </w:r>
      <w:r>
        <w:t xml:space="preserve">, 6 January 2016, p. 16; </w:t>
      </w:r>
      <w:r w:rsidRPr="00FA673F">
        <w:t xml:space="preserve">Powercor, </w:t>
      </w:r>
      <w:r w:rsidRPr="00FA673F">
        <w:rPr>
          <w:rStyle w:val="AERtextitalic"/>
        </w:rPr>
        <w:t>Revised regulatory proposal 2016–20</w:t>
      </w:r>
      <w:r>
        <w:t xml:space="preserve">, 6 January 2016, p. 326; </w:t>
      </w:r>
      <w:r w:rsidRPr="00FA673F">
        <w:t xml:space="preserve">United Energy, </w:t>
      </w:r>
      <w:r w:rsidRPr="00FA673F">
        <w:rPr>
          <w:rStyle w:val="AERtextitalic"/>
        </w:rPr>
        <w:t>2016 to 2020 revised regulatory proposal</w:t>
      </w:r>
      <w:r w:rsidRPr="00FA673F">
        <w:t>, 6 January 2016</w:t>
      </w:r>
      <w:r>
        <w:t>, p. 79</w:t>
      </w:r>
      <w:r w:rsidRPr="00FA673F">
        <w:t>.</w:t>
      </w:r>
    </w:p>
  </w:footnote>
  <w:footnote w:id="1115">
    <w:p w:rsidR="00702DD6" w:rsidRPr="0070748E" w:rsidRDefault="00702DD6" w:rsidP="00BB7CBA">
      <w:pPr>
        <w:pStyle w:val="FootnoteText"/>
        <w:rPr>
          <w:i/>
        </w:rPr>
      </w:pPr>
      <w:r>
        <w:rPr>
          <w:rStyle w:val="FootnoteReference"/>
        </w:rPr>
        <w:footnoteRef/>
      </w:r>
      <w:r>
        <w:t xml:space="preserve"> </w:t>
      </w:r>
      <w:r>
        <w:tab/>
        <w:t xml:space="preserve">Australian Competition Tribunal, </w:t>
      </w:r>
      <w:r w:rsidRPr="0070748E">
        <w:rPr>
          <w:rStyle w:val="AERtextitalic"/>
        </w:rPr>
        <w:t>Applications by Public Interest Advocacy Centre Ltd and</w:t>
      </w:r>
      <w:r>
        <w:rPr>
          <w:rStyle w:val="AERtextitalic"/>
        </w:rPr>
        <w:t xml:space="preserve"> </w:t>
      </w:r>
      <w:r w:rsidRPr="0070748E">
        <w:rPr>
          <w:rStyle w:val="AERtextitalic"/>
        </w:rPr>
        <w:t>Ausgrid [2016] ACompT 1</w:t>
      </w:r>
      <w:r>
        <w:t>, 26 February 2016, para 914.</w:t>
      </w:r>
    </w:p>
  </w:footnote>
  <w:footnote w:id="1116">
    <w:p w:rsidR="00702DD6" w:rsidRDefault="00702DD6" w:rsidP="00BB7CBA">
      <w:pPr>
        <w:pStyle w:val="FootnoteText"/>
      </w:pPr>
      <w:r>
        <w:rPr>
          <w:rStyle w:val="FootnoteReference"/>
        </w:rPr>
        <w:footnoteRef/>
      </w:r>
      <w:r>
        <w:t xml:space="preserve"> </w:t>
      </w:r>
      <w:r>
        <w:tab/>
        <w:t>The AER submitted before the Tribunal that the contention raised before the Tribunal by Networks NSW and ActewAGL that the benchmark efficient entity was an unregulated firm was not raised and maintained before the AER, and was therefore precluded from being raised in submissions to the Tribunal by reason of s71O of the NEL. The Tribunal formed the view that the issue was raised by Networks NSW and by ActewAGL in submissions before the AER. The AER has sought judicial review by the Federal Court of this component of the Tribunal's decision.</w:t>
      </w:r>
    </w:p>
    <w:p w:rsidR="00702DD6" w:rsidRDefault="00702DD6" w:rsidP="00BB7CBA">
      <w:pPr>
        <w:pStyle w:val="FootnoteText"/>
      </w:pPr>
    </w:p>
  </w:footnote>
  <w:footnote w:id="1117">
    <w:p w:rsidR="00702DD6" w:rsidRDefault="00702DD6" w:rsidP="00BB7CBA">
      <w:pPr>
        <w:pStyle w:val="FootnoteText"/>
      </w:pPr>
      <w:r>
        <w:rPr>
          <w:rStyle w:val="FootnoteReference"/>
        </w:rPr>
        <w:footnoteRef/>
      </w:r>
      <w:r>
        <w:t xml:space="preserve"> </w:t>
      </w:r>
      <w:r>
        <w:tab/>
        <w:t>NGR, cl. 87(3). Similar wording is found in NER, cl.  6.5.2(c) and NER, cl. 6A.6.2(c).</w:t>
      </w:r>
    </w:p>
  </w:footnote>
  <w:footnote w:id="1118">
    <w:p w:rsidR="00702DD6" w:rsidRDefault="00702DD6" w:rsidP="00BB7CBA">
      <w:pPr>
        <w:pStyle w:val="FootnoteText"/>
      </w:pPr>
      <w:r>
        <w:rPr>
          <w:rStyle w:val="FootnoteReference"/>
        </w:rPr>
        <w:footnoteRef/>
      </w:r>
      <w:r>
        <w:t xml:space="preserve"> </w:t>
      </w:r>
      <w:r>
        <w:tab/>
        <w:t>NER, cl. 6.5.2(c); NER, cl. 6A.6.2(c); NGR, r. 87(3).</w:t>
      </w:r>
    </w:p>
  </w:footnote>
  <w:footnote w:id="1119">
    <w:p w:rsidR="00702DD6" w:rsidRDefault="00702DD6" w:rsidP="00BB7CBA">
      <w:pPr>
        <w:pStyle w:val="FootnoteText"/>
      </w:pPr>
      <w:r w:rsidRPr="000F26DE">
        <w:rPr>
          <w:rStyle w:val="FootnoteReference"/>
          <w:sz w:val="20"/>
        </w:rPr>
        <w:footnoteRef/>
      </w:r>
      <w:r w:rsidRPr="000F26DE">
        <w:rPr>
          <w:sz w:val="20"/>
        </w:rPr>
        <w:t xml:space="preserve"> </w:t>
      </w:r>
      <w:r>
        <w:tab/>
        <w:t>We</w:t>
      </w:r>
      <w:r w:rsidRPr="000F26DE">
        <w:t xml:space="preserve"> must </w:t>
      </w:r>
      <w:r>
        <w:t xml:space="preserve">also </w:t>
      </w:r>
      <w:r w:rsidRPr="000F26DE">
        <w:t xml:space="preserve">apply the rules in a manner consistent with the </w:t>
      </w:r>
      <w:r>
        <w:t xml:space="preserve">RPPs </w:t>
      </w:r>
      <w:r w:rsidRPr="000F26DE">
        <w:t xml:space="preserve">in the NEL. </w:t>
      </w:r>
      <w:r>
        <w:t>This requires providing</w:t>
      </w:r>
      <w:r w:rsidRPr="000F26DE">
        <w:t xml:space="preserve"> regulated service providers a reasonable opportunity to recover at least efficient costs and </w:t>
      </w:r>
      <w:r>
        <w:t>allowing</w:t>
      </w:r>
      <w:r w:rsidRPr="000F26DE">
        <w:t xml:space="preserve"> for a return commensurate with the regulatory and commercial risk involved in providing direct control services. We should also provide effective incentives to promote economic efficiency and have regard to the economic costs and risk of the potential for under and over investment by a regulated service provider.</w:t>
      </w:r>
    </w:p>
  </w:footnote>
  <w:footnote w:id="1120">
    <w:p w:rsidR="00702DD6" w:rsidRDefault="00702DD6" w:rsidP="00BB7CBA">
      <w:pPr>
        <w:pStyle w:val="FootnoteText"/>
      </w:pPr>
      <w:r>
        <w:rPr>
          <w:rStyle w:val="FootnoteReference"/>
        </w:rPr>
        <w:footnoteRef/>
      </w:r>
      <w:r>
        <w:t xml:space="preserve"> </w:t>
      </w:r>
      <w:r>
        <w:tab/>
        <w:t xml:space="preserve">We consider this is commensurate with definition of a 'fair return' to capital in Leland, H.E., 'Regulation of natural monopolies and the fair rate of return, </w:t>
      </w:r>
      <w:r w:rsidRPr="00C332AB">
        <w:rPr>
          <w:rStyle w:val="AERtextitalic"/>
        </w:rPr>
        <w:t>The Bell Journal of Economics and Management Science</w:t>
      </w:r>
      <w:r>
        <w:t>, Vol. 5, No. 1, spring 1974, p. 7. Here, a fair return to capital is a pattern of profits across states of nature just sufficient to attract capital to its present use, which is equivalent to the stock market value of the firm equalling the value of a firm's assets.</w:t>
      </w:r>
    </w:p>
  </w:footnote>
  <w:footnote w:id="1121">
    <w:p w:rsidR="00702DD6" w:rsidRPr="00602829" w:rsidRDefault="00702DD6" w:rsidP="00BB7CBA">
      <w:pPr>
        <w:pStyle w:val="FootnoteText"/>
      </w:pPr>
      <w:r>
        <w:rPr>
          <w:rStyle w:val="FootnoteReference"/>
        </w:rPr>
        <w:footnoteRef/>
      </w:r>
      <w:r>
        <w:t xml:space="preserve"> </w:t>
      </w:r>
      <w:r>
        <w:tab/>
        <w:t xml:space="preserve">For instance, this is </w:t>
      </w:r>
      <w:r w:rsidRPr="00F21B32">
        <w:t>consistent with zero ex</w:t>
      </w:r>
      <w:r>
        <w:t>pected returns in excess of equilibrium expected returns and 'fair game'</w:t>
      </w:r>
      <w:r w:rsidRPr="00F21B32">
        <w:t xml:space="preserve"> models of expected returns</w:t>
      </w:r>
      <w:r>
        <w:t xml:space="preserve">. For a brief explanation of 'fair games' see Malkiel, B. G. and Fama, E. F. 'Efficient capital markets: A review of theory and empirical work, </w:t>
      </w:r>
      <w:r w:rsidRPr="009E1E6C">
        <w:rPr>
          <w:rStyle w:val="AERtextitalic"/>
        </w:rPr>
        <w:t>The Journal of Finance</w:t>
      </w:r>
      <w:r>
        <w:rPr>
          <w:rStyle w:val="AERtextitalic"/>
        </w:rPr>
        <w:t>,</w:t>
      </w:r>
      <w:r>
        <w:t xml:space="preserve"> 25: 383-417, 1970.</w:t>
      </w:r>
    </w:p>
  </w:footnote>
  <w:footnote w:id="1122">
    <w:p w:rsidR="00702DD6" w:rsidRDefault="00702DD6" w:rsidP="00BB7CBA">
      <w:pPr>
        <w:pStyle w:val="FootnoteText"/>
      </w:pPr>
      <w:r>
        <w:rPr>
          <w:rStyle w:val="FootnoteReference"/>
        </w:rPr>
        <w:footnoteRef/>
      </w:r>
      <w:r>
        <w:t xml:space="preserve"> </w:t>
      </w:r>
      <w:r>
        <w:tab/>
        <w:t>See SFG</w:t>
      </w:r>
      <w:r>
        <w:rPr>
          <w:rStyle w:val="AERtextitalic"/>
        </w:rPr>
        <w:t>, Preliminary analysis of rule change proposals: Report for</w:t>
      </w:r>
      <w:r w:rsidRPr="008C3116">
        <w:rPr>
          <w:rStyle w:val="AERtextitalic"/>
        </w:rPr>
        <w:t xml:space="preserve"> AEMC</w:t>
      </w:r>
      <w:r>
        <w:t xml:space="preserve">, February 2012, p. 41; Brennan, </w:t>
      </w:r>
      <w:r w:rsidRPr="005772E3">
        <w:rPr>
          <w:rStyle w:val="AERtextitalic"/>
        </w:rPr>
        <w:t>Depreciation, investor compensation and, welfare under rate-of-return regulation</w:t>
      </w:r>
      <w:r>
        <w:t>, Review of industrial organisation, 1991, 6, p. 75. In his article, Brennan stated, 'With regard to investor compensation, the basic goal of regulation is to give investors an income stream just sufficient to cover the costs of their assets, and no more'.</w:t>
      </w:r>
    </w:p>
  </w:footnote>
  <w:footnote w:id="1123">
    <w:p w:rsidR="00702DD6" w:rsidRDefault="00702DD6" w:rsidP="00BB7CB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p.14.</w:t>
      </w:r>
    </w:p>
  </w:footnote>
  <w:footnote w:id="1124">
    <w:p w:rsidR="00702DD6" w:rsidRDefault="00702DD6" w:rsidP="00BB7CB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125">
    <w:p w:rsidR="00702DD6" w:rsidRDefault="00702DD6" w:rsidP="00BB7CBA">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 xml:space="preserve">p. 427, 434; 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126">
    <w:p w:rsidR="00702DD6" w:rsidRDefault="00702DD6" w:rsidP="00BB7CBA">
      <w:pPr>
        <w:pStyle w:val="FootnoteText"/>
      </w:pPr>
      <w:r>
        <w:rPr>
          <w:rStyle w:val="FootnoteReference"/>
        </w:rPr>
        <w:footnoteRef/>
      </w:r>
      <w:r>
        <w:t xml:space="preserve"> </w:t>
      </w:r>
      <w:r>
        <w:tab/>
        <w:t>Partington and Satchell state that, '</w:t>
      </w:r>
      <w:r w:rsidRPr="008748C8">
        <w:t>the opportunity cost of capital is the discount rate that determines the market value of the benchmark efficient entity</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15, 29).</w:t>
      </w:r>
    </w:p>
  </w:footnote>
  <w:footnote w:id="1127">
    <w:p w:rsidR="00702DD6" w:rsidRDefault="00702DD6" w:rsidP="00BB7CB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14–15; SFG</w:t>
      </w:r>
      <w:r>
        <w:rPr>
          <w:rStyle w:val="AERtextitalic"/>
        </w:rPr>
        <w:t>, Preliminary analysis of rule change proposals: Report for</w:t>
      </w:r>
      <w:r w:rsidRPr="008C3116">
        <w:rPr>
          <w:rStyle w:val="AERtextitalic"/>
        </w:rPr>
        <w:t xml:space="preserve"> AEMC</w:t>
      </w:r>
      <w:r>
        <w:t>, February 2012, p. 47.</w:t>
      </w:r>
      <w:r w:rsidRPr="003B0F67">
        <w:t xml:space="preserve"> </w:t>
      </w:r>
    </w:p>
  </w:footnote>
  <w:footnote w:id="1128">
    <w:p w:rsidR="00702DD6" w:rsidRDefault="00702DD6" w:rsidP="00BB7CBA">
      <w:pPr>
        <w:pStyle w:val="FootnoteText"/>
      </w:pPr>
      <w:r>
        <w:rPr>
          <w:rStyle w:val="FootnoteReference"/>
        </w:rPr>
        <w:footnoteRef/>
      </w:r>
      <w:r>
        <w:t xml:space="preserve"> </w:t>
      </w:r>
      <w:r>
        <w:tab/>
        <w:t>The expected future cash flows under an on-the-day methodology can be likened to a long term floating rate security where the coupon rate is reset at the commencement of each regulatory period.</w:t>
      </w:r>
    </w:p>
  </w:footnote>
  <w:footnote w:id="1129">
    <w:p w:rsidR="00702DD6" w:rsidRDefault="00702DD6" w:rsidP="00BB7CBA">
      <w:pPr>
        <w:pStyle w:val="FootnoteText"/>
      </w:pPr>
      <w:r>
        <w:rPr>
          <w:rStyle w:val="FootnoteReference"/>
        </w:rPr>
        <w:footnoteRef/>
      </w:r>
      <w:r>
        <w:t xml:space="preserve"> </w:t>
      </w:r>
      <w:r>
        <w:tab/>
        <w:t>The expected future cash flows under a trailing average methodology can be likened to 10 long term floating rate securities where the coupon rates are reset every ten years.</w:t>
      </w:r>
      <w:r w:rsidRPr="00806194">
        <w:t xml:space="preserve"> </w:t>
      </w:r>
      <w:r>
        <w:t>Each floating rate security covers</w:t>
      </w:r>
      <w:r w:rsidRPr="00806194">
        <w:t xml:space="preserve"> a 10 per cent 'investment portion' in the RAB where they receive the net operating cash flows generated from these investment portions</w:t>
      </w:r>
      <w:r>
        <w:t>.</w:t>
      </w:r>
    </w:p>
  </w:footnote>
  <w:footnote w:id="1130">
    <w:p w:rsidR="00702DD6" w:rsidRDefault="00702DD6" w:rsidP="00BB7CBA">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85.</w:t>
      </w:r>
    </w:p>
  </w:footnote>
  <w:footnote w:id="1131">
    <w:p w:rsidR="00702DD6" w:rsidRDefault="00702DD6" w:rsidP="00BB7CBA">
      <w:pPr>
        <w:pStyle w:val="FootnoteText"/>
      </w:pPr>
      <w:r>
        <w:rPr>
          <w:rStyle w:val="FootnoteReference"/>
        </w:rPr>
        <w:footnoteRef/>
      </w:r>
      <w:r>
        <w:t xml:space="preserve"> </w:t>
      </w:r>
      <w:r>
        <w:tab/>
      </w:r>
      <w:r w:rsidRPr="00554F83">
        <w:t xml:space="preserve">The required rate of return for a fixed term bond is the par yield in the market for fixed term bonds with similar characteristics (e.g. term and credit rating). However, we note that for a floating rate bond, the yield to equate the price to the face value may only equal the par yield on a fixed term bond with a maturity equal to the reset date of the variable rate note under certain assumptions. This may not include future default risk beyond the reset date. </w:t>
      </w:r>
      <w:r>
        <w:t>We discuss the valuation of a long term floating rate security as a conceptual analogy to our regulatory regime. This does not imply that the allowed return on debt should be equal to the required return on a floating rate bond. We use the par yield on fixed-term debt to calculate the allowed return on debt. G</w:t>
      </w:r>
      <w:r w:rsidRPr="00554F83">
        <w:t>iven we benchmark the cost of debt from the private sector service providers we regulate, we consider our use of the par yield on fixed term debt  is appropriate.</w:t>
      </w:r>
    </w:p>
  </w:footnote>
  <w:footnote w:id="1132">
    <w:p w:rsidR="00702DD6" w:rsidRDefault="00702DD6" w:rsidP="00BB7CBA">
      <w:pPr>
        <w:pStyle w:val="FootnoteText"/>
      </w:pPr>
      <w:r>
        <w:rPr>
          <w:rStyle w:val="FootnoteReference"/>
        </w:rPr>
        <w:footnoteRef/>
      </w:r>
      <w:r>
        <w:t xml:space="preserve"> </w:t>
      </w:r>
      <w:r>
        <w:tab/>
        <w:t xml:space="preserve">Specifically, under the rules, the rate of return must reflect the risk of a benchmark efficient entity with a similar degree of risk as a service provider supplying regulated services. This is consistent with Partington and Satchell's advice that 'the fundamental principle is that what drives the required return on the investment is the risk of the assets' (see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21–22).  </w:t>
      </w:r>
    </w:p>
  </w:footnote>
  <w:footnote w:id="1133">
    <w:p w:rsidR="00702DD6" w:rsidRDefault="00702DD6" w:rsidP="00BB7CB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35–36.</w:t>
      </w:r>
    </w:p>
  </w:footnote>
  <w:footnote w:id="1134">
    <w:p w:rsidR="00702DD6" w:rsidRDefault="00702DD6" w:rsidP="00BB7CBA">
      <w:pPr>
        <w:pStyle w:val="FootnoteText"/>
      </w:pPr>
      <w:r>
        <w:rPr>
          <w:rStyle w:val="FootnoteReference"/>
        </w:rPr>
        <w:footnoteRef/>
      </w:r>
      <w:r>
        <w:t xml:space="preserve"> </w:t>
      </w:r>
      <w:r>
        <w:tab/>
        <w:t>Also see</w:t>
      </w:r>
      <w:r w:rsidRPr="00F70A5C">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32–37, 39, 43.</w:t>
      </w:r>
    </w:p>
  </w:footnote>
  <w:footnote w:id="1135">
    <w:p w:rsidR="00702DD6" w:rsidRDefault="00702DD6" w:rsidP="00BB7CBA">
      <w:pPr>
        <w:pStyle w:val="FootnoteText"/>
      </w:pPr>
      <w:r>
        <w:rPr>
          <w:rStyle w:val="FootnoteReference"/>
        </w:rPr>
        <w:footnoteRef/>
      </w:r>
      <w:r>
        <w:t xml:space="preserve"> </w:t>
      </w:r>
      <w:r>
        <w:tab/>
        <w:t xml:space="preserve">As required under NER, cl </w:t>
      </w:r>
      <w:r w:rsidRPr="00F21B32">
        <w:t>6.5.3(k)</w:t>
      </w:r>
      <w:r>
        <w:t xml:space="preserve">, which </w:t>
      </w:r>
      <w:r w:rsidRPr="00F21B32">
        <w:t>require</w:t>
      </w:r>
      <w:r>
        <w:t>s</w:t>
      </w:r>
      <w:r w:rsidRPr="00F21B32">
        <w:t xml:space="preserve"> </w:t>
      </w:r>
      <w:r>
        <w:t>us</w:t>
      </w:r>
      <w:r w:rsidRPr="00F21B32">
        <w:t xml:space="preserve"> to have regard to ‘the desirability of minimising any difference between the return on debt and the return on debt of a benchmark efficient entity referred to in the allowed rate of return objective’</w:t>
      </w:r>
      <w:r>
        <w:t>.</w:t>
      </w:r>
    </w:p>
  </w:footnote>
  <w:footnote w:id="1136">
    <w:p w:rsidR="00702DD6" w:rsidRDefault="00702DD6" w:rsidP="00BB7CBA">
      <w:pPr>
        <w:pStyle w:val="FootnoteText"/>
      </w:pPr>
      <w:r>
        <w:rPr>
          <w:rStyle w:val="FootnoteReference"/>
        </w:rPr>
        <w:footnoteRef/>
      </w:r>
      <w:r>
        <w:t xml:space="preserve"> </w:t>
      </w:r>
      <w:r>
        <w:tab/>
        <w:t xml:space="preserve">See, for example, AER, </w:t>
      </w:r>
      <w:r w:rsidRPr="00EE4654">
        <w:rPr>
          <w:rStyle w:val="AERtextitalic"/>
        </w:rPr>
        <w:t>Submission to the Productivity Commission: inquiry into electricity network regulation</w:t>
      </w:r>
      <w:r>
        <w:t>, April 2012, p. 4. It is worth noting that while the rules establish an ex-ante regulatory regime, they also include some ex-post elements. For example, see provisions on cost pass throughs under  NER, cl. 6.6.1; NER, cl. 6A.7.3; cl ; NGR, cl 97(1)(c).</w:t>
      </w:r>
    </w:p>
  </w:footnote>
  <w:footnote w:id="1137">
    <w:p w:rsidR="00702DD6" w:rsidRDefault="00702DD6" w:rsidP="00BB7CBA">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35.</w:t>
      </w:r>
    </w:p>
  </w:footnote>
  <w:footnote w:id="1138">
    <w:p w:rsidR="00702DD6" w:rsidRDefault="00702DD6" w:rsidP="00BB7CBA">
      <w:pPr>
        <w:pStyle w:val="FootnoteText"/>
      </w:pPr>
      <w:r>
        <w:rPr>
          <w:rStyle w:val="FootnoteReference"/>
        </w:rPr>
        <w:footnoteRef/>
      </w:r>
      <w:r>
        <w:t xml:space="preserve"> </w:t>
      </w:r>
      <w:r>
        <w:tab/>
        <w:t xml:space="preserve">In particular, </w:t>
      </w:r>
      <w:r w:rsidRPr="00FB1598">
        <w:t>we consider any mismatch between the regulatory return on debt allowance and a benchmark efficient entity's actual debt costs will flow through to equity holders (as they are residual claimants). The equity beta is determined using historical data (when an on-the-day approach was in effect). We consider this should capture any interest rate risk associated with an on-the-day approach, to the extent that it is systematic.</w:t>
      </w:r>
    </w:p>
  </w:footnote>
  <w:footnote w:id="1139">
    <w:p w:rsidR="00702DD6" w:rsidRDefault="00702DD6" w:rsidP="00BB7CBA">
      <w:pPr>
        <w:pStyle w:val="FootnoteText"/>
      </w:pPr>
      <w:r>
        <w:rPr>
          <w:rStyle w:val="FootnoteReference"/>
        </w:rPr>
        <w:footnoteRef/>
      </w:r>
      <w:r>
        <w:t xml:space="preserve"> </w:t>
      </w:r>
      <w:r>
        <w:tab/>
        <w:t>For instance, we use the equity returns of service providers comparable to a benchmark efficient entity ('comparator firms') when estimating the equity beta. We also used comparator firms when estimating the credit rating and gearing of a benchmark efficient entity. This assists us in estimating an allowed rate of return that would compensate a benchmark efficient entity for the default risk and systematic risk more broadly that it would have faced under an on-the-day approach.</w:t>
      </w:r>
    </w:p>
  </w:footnote>
  <w:footnote w:id="1140">
    <w:p w:rsidR="00702DD6" w:rsidRDefault="00702DD6" w:rsidP="00BB7CBA">
      <w:pPr>
        <w:pStyle w:val="FootnoteText"/>
      </w:pPr>
      <w:r>
        <w:rPr>
          <w:rStyle w:val="FootnoteReference"/>
        </w:rPr>
        <w:footnoteRef/>
      </w:r>
      <w:r>
        <w:t xml:space="preserve"> </w:t>
      </w:r>
      <w:r>
        <w:tab/>
        <w:t xml:space="preserve">Compensable risk could decrease if investors consider a benchmark efficient entity is less exposed to interest rate risk under the trailing average approach. This could occur if the trailing average approach allows a benchmark efficient entity to better match its debt cash outflows to its allowance than under the on-the-day approach. However, we note </w:t>
      </w:r>
      <w:r w:rsidRPr="00815D07">
        <w:t>Partington and Satchell consider that, 'It is difficult to see how the use of the trailing average will materially reduce the financing costs of firms since such costs are primarily driven by the assets the firms invest in'</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38.</w:t>
      </w:r>
    </w:p>
  </w:footnote>
  <w:footnote w:id="1141">
    <w:p w:rsidR="00702DD6" w:rsidRDefault="00702DD6" w:rsidP="00BB7CB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18, 35–36.</w:t>
      </w:r>
    </w:p>
  </w:footnote>
  <w:footnote w:id="1142">
    <w:p w:rsidR="00702DD6" w:rsidRDefault="00702DD6" w:rsidP="00BB7CB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37–38; SFG, </w:t>
      </w:r>
      <w:r>
        <w:rPr>
          <w:rStyle w:val="AERtextitalic"/>
        </w:rPr>
        <w:t>Preliminary analysis of rule change proposals: Report for</w:t>
      </w:r>
      <w:r w:rsidRPr="008C3116">
        <w:rPr>
          <w:rStyle w:val="AERtextitalic"/>
        </w:rPr>
        <w:t xml:space="preserve"> AEMC</w:t>
      </w:r>
      <w:r>
        <w:t xml:space="preserve">, February 2012, p. 41. </w:t>
      </w:r>
    </w:p>
  </w:footnote>
  <w:footnote w:id="1143">
    <w:p w:rsidR="00702DD6" w:rsidRDefault="00702DD6" w:rsidP="00BB7CBA">
      <w:pPr>
        <w:pStyle w:val="FootnoteText"/>
      </w:pPr>
      <w:r>
        <w:rPr>
          <w:rStyle w:val="FootnoteReference"/>
        </w:rPr>
        <w:footnoteRef/>
      </w:r>
      <w:r>
        <w:t xml:space="preserve"> </w:t>
      </w:r>
      <w:r>
        <w:tab/>
        <w:t>NEL, s. 7A(3); NGL, s. (24)(3).</w:t>
      </w:r>
    </w:p>
  </w:footnote>
  <w:footnote w:id="1144">
    <w:p w:rsidR="00702DD6" w:rsidRPr="00612B7B" w:rsidRDefault="00702DD6" w:rsidP="00BB7CBA">
      <w:pPr>
        <w:pStyle w:val="FootnoteText"/>
        <w:rPr>
          <w:i/>
        </w:rPr>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14.</w:t>
      </w:r>
    </w:p>
  </w:footnote>
  <w:footnote w:id="1145">
    <w:p w:rsidR="00702DD6" w:rsidRDefault="00702DD6" w:rsidP="00BB7CBA">
      <w:pPr>
        <w:pStyle w:val="FootnoteText"/>
      </w:pPr>
      <w:r>
        <w:rPr>
          <w:rStyle w:val="FootnoteReference"/>
        </w:rPr>
        <w:footnoteRef/>
      </w:r>
      <w:r>
        <w:t xml:space="preserve"> </w:t>
      </w:r>
      <w:r>
        <w:tab/>
        <w:t>Averch and Johnson show that if a regulatory rate of return exceeds the firm's true cost of capital, it has an incentive to choose too much capital relative to labour. Averch, H, Johnson, L.L</w:t>
      </w:r>
      <w:r w:rsidRPr="00F72E67">
        <w:t>.</w:t>
      </w:r>
      <w:r>
        <w:t>, '</w:t>
      </w:r>
      <w:r w:rsidRPr="00F72E67">
        <w:t xml:space="preserve">Behaviour of the Firm under Regulatory Constraint’, </w:t>
      </w:r>
      <w:r w:rsidRPr="00F72E67">
        <w:rPr>
          <w:rStyle w:val="AERtextitalic"/>
        </w:rPr>
        <w:t>American Economic Review</w:t>
      </w:r>
      <w:r w:rsidRPr="00F72E67">
        <w:t xml:space="preserve">, </w:t>
      </w:r>
      <w:r>
        <w:t>Vol. 52, No. 5</w:t>
      </w:r>
      <w:r w:rsidRPr="00F72E67">
        <w:t xml:space="preserve">, December 1962, </w:t>
      </w:r>
      <w:r>
        <w:t xml:space="preserve">pp. </w:t>
      </w:r>
      <w:r w:rsidRPr="00F72E67">
        <w:t>1062</w:t>
      </w:r>
      <w:r>
        <w:rPr>
          <w:rFonts w:cs="Arial"/>
        </w:rPr>
        <w:t>–</w:t>
      </w:r>
      <w:r w:rsidRPr="00F72E67">
        <w:t>1069</w:t>
      </w:r>
      <w:r>
        <w:t>. Littlechild describes, '</w:t>
      </w:r>
      <w:r w:rsidRPr="008D260E">
        <w:t xml:space="preserve">Revenues need to be adequate to cover operating expenses and to ensure finance for necessary investment. They should not be so excessive as to encourage their </w:t>
      </w:r>
      <w:r>
        <w:t xml:space="preserve">dissipation on dubious schemes'. Littlechild, S., 'Economic regulation of privatised water authorities and some further reflections, </w:t>
      </w:r>
      <w:r w:rsidRPr="007510F1">
        <w:rPr>
          <w:rStyle w:val="AERtextitalic"/>
        </w:rPr>
        <w:t>Oxford review of economic polic</w:t>
      </w:r>
      <w:r>
        <w:t xml:space="preserve">y, Vol. 4, No. 2, summer 1988,  p. 47. Cambini and Rondi find the cost of capital is positively correlated with investment under incentive regulation. Cambini, C., Rondi, L., 'Incentive regulation and investment: evidence from European energy utilities, </w:t>
      </w:r>
      <w:r w:rsidRPr="00260845">
        <w:rPr>
          <w:rStyle w:val="AERtextitalic"/>
        </w:rPr>
        <w:t>Journal of Regulatory Economics</w:t>
      </w:r>
      <w:r>
        <w:t xml:space="preserve">, Vol. 38, 2010, p. 18. Greenwald notes that 'less than "fair" rates of return should simply elicit no investment' in Greenwald, B.C., 'Rate base selection and the structure of regulation', </w:t>
      </w:r>
      <w:r w:rsidRPr="006572DC">
        <w:rPr>
          <w:rStyle w:val="AERtextitalic"/>
        </w:rPr>
        <w:t>The RAND Journal of Economics</w:t>
      </w:r>
      <w:r>
        <w:t>, Vol. 15, No. 1, Spring 1984, p. 85.</w:t>
      </w:r>
    </w:p>
  </w:footnote>
  <w:footnote w:id="1146">
    <w:p w:rsidR="00702DD6" w:rsidRDefault="00702DD6" w:rsidP="00BB7CBA">
      <w:pPr>
        <w:pStyle w:val="FootnoteText"/>
      </w:pPr>
      <w:r>
        <w:rPr>
          <w:rStyle w:val="FootnoteReference"/>
        </w:rPr>
        <w:footnoteRef/>
      </w:r>
      <w:r>
        <w:t xml:space="preserve"> </w:t>
      </w:r>
      <w:r>
        <w:tab/>
        <w:t xml:space="preserve">CCP3, </w:t>
      </w:r>
      <w:r w:rsidRPr="006C2193">
        <w:rPr>
          <w:rStyle w:val="AERtextitalic"/>
        </w:rPr>
        <w:t>Submission to the AER: An overview―Response to the AER Preliminary Decisions and revised proposals from Victorian electricity DNSPs for a revenue reset for the 2016–2020 regulatory period</w:t>
      </w:r>
      <w:r>
        <w:t>, 22 February 2016, p. 35.</w:t>
      </w:r>
    </w:p>
  </w:footnote>
  <w:footnote w:id="1147">
    <w:p w:rsidR="00702DD6" w:rsidRDefault="00702DD6" w:rsidP="00BB7CB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148">
    <w:p w:rsidR="00702DD6" w:rsidRPr="00B57A7C" w:rsidRDefault="00702DD6" w:rsidP="00BB7CBA">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1149">
    <w:p w:rsidR="00702DD6" w:rsidRDefault="00702DD6" w:rsidP="00BB7CBA">
      <w:pPr>
        <w:pStyle w:val="FootnoteText"/>
      </w:pPr>
      <w:r>
        <w:rPr>
          <w:rStyle w:val="FootnoteReference"/>
        </w:rPr>
        <w:footnoteRef/>
      </w:r>
      <w:r>
        <w:t xml:space="preserve"> </w:t>
      </w:r>
      <w:r>
        <w:tab/>
        <w:t xml:space="preserve">HoustonKemp, </w:t>
      </w:r>
      <w:r w:rsidRPr="006C2193">
        <w:rPr>
          <w:rStyle w:val="AERtextitalic"/>
        </w:rPr>
        <w:t>Appropriate objective to guide the setting of the cost of debt allowance</w:t>
      </w:r>
      <w:r>
        <w:t>, 3 March 2015, p. 5.</w:t>
      </w:r>
    </w:p>
  </w:footnote>
  <w:footnote w:id="1150">
    <w:p w:rsidR="00702DD6" w:rsidRDefault="00702DD6" w:rsidP="00BB7CBA">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85.</w:t>
      </w:r>
    </w:p>
  </w:footnote>
  <w:footnote w:id="1151">
    <w:p w:rsidR="00702DD6" w:rsidRDefault="00702DD6" w:rsidP="00BB7CBA">
      <w:pPr>
        <w:pStyle w:val="FootnoteText"/>
      </w:pPr>
      <w:r>
        <w:rPr>
          <w:rStyle w:val="FootnoteReference"/>
        </w:rPr>
        <w:footnoteRef/>
      </w:r>
      <w:r>
        <w:t xml:space="preserve"> </w:t>
      </w:r>
      <w:r>
        <w:tab/>
        <w:t xml:space="preserve">CCP3, </w:t>
      </w:r>
      <w:r w:rsidRPr="00A30733">
        <w:rPr>
          <w:rStyle w:val="AERtextitalic"/>
        </w:rPr>
        <w:t>Submission to the AER: An overview―Response to the AER Preliminary Decisions and revised proposals from Victorian electricity DNSPs for a revenue reset for the 2016–2020 regulatory period</w:t>
      </w:r>
      <w:r>
        <w:t xml:space="preserve">, 22 February 2016, p. 36; CCP3, </w:t>
      </w:r>
      <w:r w:rsidRPr="00A30733">
        <w:rPr>
          <w:rStyle w:val="AERtextitalic"/>
        </w:rPr>
        <w:t>Submission to the AER: Response to the AER Preliminary Decisions and revised proposals from Victorian electricity DNSPs for a revenue reset for the 2016–2020 regulatory period</w:t>
      </w:r>
      <w:r>
        <w:t xml:space="preserve">, 25 February 2016, p. 88; 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152">
    <w:p w:rsidR="00702DD6" w:rsidRDefault="00702DD6" w:rsidP="00BB7CBA">
      <w:pPr>
        <w:pStyle w:val="FootnoteText"/>
      </w:pPr>
      <w:r>
        <w:rPr>
          <w:rStyle w:val="FootnoteReference"/>
        </w:rPr>
        <w:footnoteRef/>
      </w:r>
      <w:r>
        <w:t xml:space="preserve"> </w:t>
      </w:r>
      <w:r>
        <w:tab/>
        <w:t xml:space="preserve">HoustonKemp also held this view in </w:t>
      </w:r>
      <w:r w:rsidRPr="006C2193">
        <w:rPr>
          <w:rStyle w:val="AERtextitalic"/>
        </w:rPr>
        <w:t>Appropriate objective to guide the setting of the cost of debt allowance</w:t>
      </w:r>
      <w:r>
        <w:t>, 3 March 2015, p. 5.</w:t>
      </w:r>
    </w:p>
  </w:footnote>
  <w:footnote w:id="1153">
    <w:p w:rsidR="00702DD6" w:rsidRDefault="00702DD6" w:rsidP="00BB7CBA">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45. Similarly, Partington and Satchell consider an immediate transition to a trailing average approach can be regarded as a material regulatory risk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154">
    <w:p w:rsidR="00702DD6" w:rsidRDefault="00702DD6" w:rsidP="00BB7CBA">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1155">
    <w:p w:rsidR="00702DD6" w:rsidRDefault="00702DD6" w:rsidP="00BB7CBA">
      <w:pPr>
        <w:pStyle w:val="FootnoteText"/>
      </w:pPr>
      <w:r>
        <w:rPr>
          <w:rStyle w:val="FootnoteReference"/>
        </w:rPr>
        <w:footnoteRef/>
      </w:r>
      <w:r>
        <w:t xml:space="preserve"> </w:t>
      </w:r>
      <w:r>
        <w:tab/>
        <w:t xml:space="preserve">Expert Panel on Energy Access Pricing, </w:t>
      </w:r>
      <w:r w:rsidRPr="0070748E">
        <w:rPr>
          <w:rStyle w:val="AERtextitalic"/>
        </w:rPr>
        <w:t>Report to the M</w:t>
      </w:r>
      <w:r>
        <w:rPr>
          <w:rStyle w:val="AERtextitalic"/>
        </w:rPr>
        <w:t>inisterial Council on Energy</w:t>
      </w:r>
      <w:r>
        <w:t>, April 2006, p. 59.</w:t>
      </w:r>
    </w:p>
  </w:footnote>
  <w:footnote w:id="1156">
    <w:p w:rsidR="00702DD6" w:rsidRDefault="00702DD6" w:rsidP="00BB7CBA">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1157">
    <w:p w:rsidR="00702DD6" w:rsidRDefault="00702DD6" w:rsidP="00BB7CBA">
      <w:pPr>
        <w:pStyle w:val="FootnoteText"/>
      </w:pPr>
      <w:r>
        <w:rPr>
          <w:rStyle w:val="FootnoteReference"/>
        </w:rPr>
        <w:footnoteRef/>
      </w:r>
      <w:r>
        <w:t xml:space="preserve"> </w:t>
      </w:r>
      <w:r>
        <w:tab/>
        <w:t>NEL, s7A(3)(b); NGL,  s24(3)(b).</w:t>
      </w:r>
    </w:p>
  </w:footnote>
  <w:footnote w:id="1158">
    <w:p w:rsidR="00702DD6" w:rsidRDefault="00702DD6" w:rsidP="00BB7CB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159">
    <w:p w:rsidR="00702DD6" w:rsidRDefault="00702DD6" w:rsidP="00BB7CBA">
      <w:pPr>
        <w:pStyle w:val="FootnoteText"/>
      </w:pPr>
      <w:r>
        <w:rPr>
          <w:rStyle w:val="FootnoteReference"/>
        </w:rPr>
        <w:footnoteRef/>
      </w:r>
      <w:r>
        <w:t xml:space="preserve"> </w:t>
      </w:r>
      <w:r>
        <w:tab/>
      </w:r>
      <w:r w:rsidRPr="00E2186B">
        <w:t xml:space="preserve">The </w:t>
      </w:r>
      <w:r w:rsidRPr="00CB2003">
        <w:t xml:space="preserve">on-the-day </w:t>
      </w:r>
      <w:r w:rsidRPr="00E2186B">
        <w:t xml:space="preserve">benchmark requires </w:t>
      </w:r>
      <w:r>
        <w:t xml:space="preserve">estimating </w:t>
      </w:r>
      <w:r w:rsidRPr="00E2186B">
        <w:t xml:space="preserve">the return of debt of a service provider on the first day of the regulatory period because, in theory, an </w:t>
      </w:r>
      <w:r w:rsidRPr="00CB2003">
        <w:t xml:space="preserve">on-the-day </w:t>
      </w:r>
      <w:r w:rsidRPr="00E2186B">
        <w:t xml:space="preserve">rate is considered the best indication of the opportunity cost of capital at a given point in time. However, in practice, </w:t>
      </w:r>
      <w:r>
        <w:t>it entails</w:t>
      </w:r>
      <w:r w:rsidRPr="00E2186B">
        <w:t xml:space="preserve"> estimating the return on debt over a short averaging period as close as practically possible to the start of the regulatory period. This is because using the</w:t>
      </w:r>
      <w:r w:rsidRPr="00CB2003">
        <w:t xml:space="preserve"> on-the-day </w:t>
      </w:r>
      <w:r>
        <w:t>approach</w:t>
      </w:r>
      <w:r w:rsidRPr="00E2186B">
        <w:t xml:space="preserve"> exposes the service provider to day-to-day volatility in the market rates.</w:t>
      </w:r>
    </w:p>
  </w:footnote>
  <w:footnote w:id="1160">
    <w:p w:rsidR="00702DD6" w:rsidRDefault="00702DD6" w:rsidP="00BB7CBA">
      <w:pPr>
        <w:pStyle w:val="FootnoteText"/>
      </w:pPr>
      <w:r>
        <w:rPr>
          <w:rStyle w:val="FootnoteReference"/>
        </w:rPr>
        <w:footnoteRef/>
      </w:r>
      <w:r>
        <w:t xml:space="preserve"> </w:t>
      </w:r>
      <w:r>
        <w:tab/>
      </w:r>
      <w:r w:rsidRPr="00CF726F">
        <w:t xml:space="preserve">The </w:t>
      </w:r>
      <w:r w:rsidRPr="00CB2003">
        <w:t xml:space="preserve">on-the-day </w:t>
      </w:r>
      <w:r w:rsidRPr="00CF726F">
        <w:t xml:space="preserve">approach has been used to estimate the return on debt of service providers in Australia since at least 1998, by the ACCC/AER as well as other state regulators. </w:t>
      </w:r>
      <w:r>
        <w:t>See, for example, ACCC</w:t>
      </w:r>
      <w:r w:rsidRPr="00CF726F">
        <w:t xml:space="preserve">, </w:t>
      </w:r>
      <w:r w:rsidRPr="00CF726F">
        <w:rPr>
          <w:rStyle w:val="AERtextitalic"/>
        </w:rPr>
        <w:t>Final decision</w:t>
      </w:r>
      <w:r>
        <w:rPr>
          <w:rStyle w:val="AERtextitalic"/>
        </w:rPr>
        <w:t>:</w:t>
      </w:r>
      <w:r w:rsidRPr="00CF726F">
        <w:rPr>
          <w:rStyle w:val="AERtextitalic"/>
        </w:rPr>
        <w:t xml:space="preserve"> APA GasNet transmission</w:t>
      </w:r>
      <w:r w:rsidRPr="00CF726F">
        <w:t xml:space="preserve">, </w:t>
      </w:r>
      <w:r>
        <w:t xml:space="preserve">October </w:t>
      </w:r>
      <w:r w:rsidRPr="00CF726F">
        <w:t>1998, p. xvi</w:t>
      </w:r>
      <w:r>
        <w:t xml:space="preserve">; ACCC, </w:t>
      </w:r>
      <w:r w:rsidRPr="000F2664">
        <w:rPr>
          <w:rStyle w:val="AERtextitalic"/>
        </w:rPr>
        <w:t>Statement of principles for the regulation of electricity transmission revenues—background paper</w:t>
      </w:r>
      <w:r>
        <w:t>, December 2004, pp. 96, 109</w:t>
      </w:r>
      <w:r w:rsidRPr="00CF726F">
        <w:t>. At this time, the risk free rate and DRP were estimated separately and added together to generate a return on debt estimate.</w:t>
      </w:r>
    </w:p>
  </w:footnote>
  <w:footnote w:id="1161">
    <w:p w:rsidR="00702DD6" w:rsidRDefault="00702DD6" w:rsidP="00BB7CBA">
      <w:pPr>
        <w:pStyle w:val="FootnoteText"/>
      </w:pPr>
      <w:r>
        <w:rPr>
          <w:rStyle w:val="FootnoteReference"/>
        </w:rPr>
        <w:footnoteRef/>
      </w:r>
      <w:r>
        <w:t xml:space="preserve"> </w:t>
      </w:r>
      <w:r>
        <w:tab/>
        <w:t>See NER, cl. 6.5.2(j)(1); NER, cl. 6A.6.2(j)(1); NGR, r. 87(10)(a).</w:t>
      </w:r>
    </w:p>
  </w:footnote>
  <w:footnote w:id="1162">
    <w:p w:rsidR="00702DD6" w:rsidRDefault="00702DD6" w:rsidP="00BB7CBA">
      <w:pPr>
        <w:pStyle w:val="FootnoteText"/>
      </w:pPr>
      <w:r>
        <w:rPr>
          <w:rStyle w:val="FootnoteReference"/>
        </w:rPr>
        <w:footnoteRef/>
      </w:r>
      <w:r>
        <w:t xml:space="preserve"> </w:t>
      </w:r>
      <w:r>
        <w:tab/>
        <w:t>NER, cl. 6.5.2(g); NER, cl. 6A.6.2(g); NGR, cl. 87(7).</w:t>
      </w:r>
    </w:p>
  </w:footnote>
  <w:footnote w:id="1163">
    <w:p w:rsidR="00702DD6" w:rsidRDefault="00702DD6" w:rsidP="00BB7CBA">
      <w:pPr>
        <w:pStyle w:val="FootnoteText"/>
      </w:pPr>
      <w:r>
        <w:rPr>
          <w:rStyle w:val="FootnoteReference"/>
        </w:rPr>
        <w:footnoteRef/>
      </w:r>
      <w:r>
        <w:t xml:space="preserve"> </w:t>
      </w:r>
      <w:r>
        <w:tab/>
        <w:t xml:space="preserve">SFG, </w:t>
      </w:r>
      <w:r w:rsidRPr="005772E3">
        <w:rPr>
          <w:rStyle w:val="AERtextitalic"/>
        </w:rPr>
        <w:t>Rule change proposals relating to the debt component of the regulated rate of return: Report for AEMC</w:t>
      </w:r>
      <w:r>
        <w:t>, August 2012, p. 5.</w:t>
      </w:r>
    </w:p>
  </w:footnote>
  <w:footnote w:id="1164">
    <w:p w:rsidR="00702DD6" w:rsidRDefault="00702DD6" w:rsidP="00BB7CBA">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p. 434.</w:t>
      </w:r>
    </w:p>
  </w:footnote>
  <w:footnote w:id="1165">
    <w:p w:rsidR="00702DD6" w:rsidRDefault="00702DD6" w:rsidP="00BB7CBA">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w:t>
      </w:r>
    </w:p>
  </w:footnote>
  <w:footnote w:id="1166">
    <w:p w:rsidR="00702DD6" w:rsidRDefault="00702DD6" w:rsidP="00BB7CB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167">
    <w:p w:rsidR="00702DD6" w:rsidRDefault="00702DD6" w:rsidP="00BB7CBA">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1168">
    <w:p w:rsidR="00702DD6" w:rsidRDefault="00702DD6" w:rsidP="00BB7CBA">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46.</w:t>
      </w:r>
    </w:p>
  </w:footnote>
  <w:footnote w:id="1169">
    <w:p w:rsidR="00702DD6" w:rsidRDefault="00702DD6" w:rsidP="00BB7CBA">
      <w:pPr>
        <w:pStyle w:val="FootnoteText"/>
      </w:pPr>
      <w:r>
        <w:rPr>
          <w:rStyle w:val="FootnoteReference"/>
        </w:rPr>
        <w:footnoteRef/>
      </w:r>
      <w:r>
        <w:t xml:space="preserve"> </w:t>
      </w:r>
      <w:r>
        <w:tab/>
        <w:t xml:space="preserve">See Office of the Regulator General, </w:t>
      </w:r>
      <w:r w:rsidRPr="009D272F">
        <w:rPr>
          <w:rStyle w:val="AERtextitalic"/>
        </w:rPr>
        <w:t>Submission to the Productivity Commission review of the national access regime (part IIIA of the trade practices act) position paper</w:t>
      </w:r>
      <w:r>
        <w:t>, 2001, p. 6.</w:t>
      </w:r>
    </w:p>
  </w:footnote>
  <w:footnote w:id="1170">
    <w:p w:rsidR="00702DD6" w:rsidRDefault="00702DD6" w:rsidP="00BB7CBA">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3 March 2015, p. 1.</w:t>
      </w:r>
    </w:p>
  </w:footnote>
  <w:footnote w:id="1171">
    <w:p w:rsidR="00702DD6" w:rsidRDefault="00702DD6" w:rsidP="00BB7CBA">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xml:space="preserve">, 3 March 2015, p. 1. Also see Chairmont, </w:t>
      </w:r>
      <w:r w:rsidRPr="008A1995">
        <w:rPr>
          <w:rStyle w:val="AERtextitalic"/>
        </w:rPr>
        <w:t>Cost of debt comparative analysis</w:t>
      </w:r>
      <w:r>
        <w:t>, November 2013, p. 4.</w:t>
      </w:r>
    </w:p>
  </w:footnote>
  <w:footnote w:id="1172">
    <w:p w:rsidR="00702DD6" w:rsidRDefault="00702DD6" w:rsidP="00BB7CBA">
      <w:pPr>
        <w:pStyle w:val="FootnoteText"/>
      </w:pPr>
      <w:r>
        <w:rPr>
          <w:rStyle w:val="FootnoteReference"/>
        </w:rPr>
        <w:footnoteRef/>
      </w:r>
      <w:r>
        <w:t xml:space="preserve"> </w:t>
      </w:r>
      <w:r>
        <w:tab/>
        <w:t xml:space="preserve">Chairmont, </w:t>
      </w:r>
      <w:r w:rsidRPr="008A1995">
        <w:rPr>
          <w:rStyle w:val="AERtextitalic"/>
        </w:rPr>
        <w:t>Cost of debt comparative analysis</w:t>
      </w:r>
      <w:r>
        <w:t>, November 2013, p. 4.</w:t>
      </w:r>
    </w:p>
  </w:footnote>
  <w:footnote w:id="1173">
    <w:p w:rsidR="00702DD6" w:rsidRDefault="00702DD6" w:rsidP="00BB7CB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46.</w:t>
      </w:r>
    </w:p>
  </w:footnote>
  <w:footnote w:id="1174">
    <w:p w:rsidR="00702DD6" w:rsidRDefault="00702DD6" w:rsidP="00BB7CBA">
      <w:pPr>
        <w:pStyle w:val="FootnoteText"/>
      </w:pPr>
      <w:r>
        <w:rPr>
          <w:rStyle w:val="FootnoteReference"/>
        </w:rPr>
        <w:footnoteRef/>
      </w:r>
      <w:r>
        <w:t xml:space="preserve"> </w:t>
      </w:r>
      <w:r>
        <w:tab/>
        <w:t>See NER, cl. 6.5.2(j)(2); NER, cl. 6A.6.2(j)(2); NGR, r. 87(10)(b).</w:t>
      </w:r>
    </w:p>
  </w:footnote>
  <w:footnote w:id="1175">
    <w:p w:rsidR="00702DD6" w:rsidRDefault="00702DD6" w:rsidP="00BB7CBA">
      <w:pPr>
        <w:pStyle w:val="FootnoteText"/>
      </w:pPr>
      <w:r>
        <w:rPr>
          <w:rStyle w:val="FootnoteReference"/>
        </w:rPr>
        <w:footnoteRef/>
      </w:r>
      <w:r>
        <w:t xml:space="preserve"> </w:t>
      </w:r>
      <w:r>
        <w:tab/>
        <w:t xml:space="preserve">SFG, </w:t>
      </w:r>
      <w:r w:rsidRPr="006E6F93">
        <w:rPr>
          <w:rStyle w:val="AERtextitalic"/>
        </w:rPr>
        <w:t>Preliminary analysis of rule change proposals: Report for AEMC</w:t>
      </w:r>
      <w:r>
        <w:t>, February 2012, p. 41.</w:t>
      </w:r>
    </w:p>
  </w:footnote>
  <w:footnote w:id="1176">
    <w:p w:rsidR="00702DD6" w:rsidRDefault="00702DD6" w:rsidP="00BB7CBA">
      <w:pPr>
        <w:pStyle w:val="FootnoteText"/>
      </w:pPr>
      <w:r>
        <w:rPr>
          <w:rStyle w:val="FootnoteReference"/>
        </w:rPr>
        <w:footnoteRef/>
      </w:r>
      <w:r>
        <w:t xml:space="preserve"> </w:t>
      </w:r>
      <w:r>
        <w:tab/>
        <w:t xml:space="preserve">Lally, </w:t>
      </w:r>
      <w:r w:rsidRPr="006B5568">
        <w:rPr>
          <w:rStyle w:val="AERtextitalic"/>
        </w:rPr>
        <w:t>The cost of debt</w:t>
      </w:r>
      <w:r>
        <w:t>, 10 October 2014, p. 3.</w:t>
      </w:r>
    </w:p>
  </w:footnote>
  <w:footnote w:id="1177">
    <w:p w:rsidR="00702DD6" w:rsidRDefault="00702DD6" w:rsidP="00BB7CBA">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1178">
    <w:p w:rsidR="00702DD6" w:rsidRDefault="00702DD6" w:rsidP="00BB7CBA">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1179">
    <w:p w:rsidR="00702DD6" w:rsidRDefault="00702DD6" w:rsidP="00BB7CBA">
      <w:pPr>
        <w:pStyle w:val="FootnoteText"/>
      </w:pPr>
      <w:r>
        <w:rPr>
          <w:rStyle w:val="FootnoteReference"/>
        </w:rPr>
        <w:footnoteRef/>
      </w:r>
      <w:r>
        <w:t xml:space="preserve"> </w:t>
      </w:r>
      <w:r>
        <w:tab/>
        <w:t xml:space="preserve">However, we note </w:t>
      </w:r>
      <w:r w:rsidRPr="00815D07">
        <w:t>Partington and Satchell consider that, 'It is difficult to see how the use of the trailing average will materially reduce the financing costs of firms since such costs are primarily driven by the assets the firms invest in'</w:t>
      </w:r>
      <w:r>
        <w:t>.</w:t>
      </w:r>
    </w:p>
  </w:footnote>
  <w:footnote w:id="1180">
    <w:p w:rsidR="00702DD6" w:rsidRDefault="00702DD6" w:rsidP="00BB7CBA">
      <w:pPr>
        <w:pStyle w:val="FootnoteText"/>
      </w:pPr>
      <w:r>
        <w:rPr>
          <w:rStyle w:val="FootnoteReference"/>
        </w:rPr>
        <w:footnoteRef/>
      </w:r>
      <w:r>
        <w:t xml:space="preserve"> </w:t>
      </w:r>
      <w:r>
        <w:tab/>
        <w:t xml:space="preserve">This is consistent with NEL s.7A(2). </w:t>
      </w:r>
      <w:r w:rsidRPr="00524990">
        <w:t>Lally advised that this principle in the NEL is ‘equiva</w:t>
      </w:r>
      <w:r>
        <w:t xml:space="preserve">lent’ to the NPV </w:t>
      </w:r>
      <w:r w:rsidRPr="00524990">
        <w:t>principle.</w:t>
      </w:r>
      <w:r>
        <w:t xml:space="preserve"> See </w:t>
      </w:r>
      <w:r w:rsidRPr="00524990">
        <w:t xml:space="preserve">Lally, </w:t>
      </w:r>
      <w:r w:rsidRPr="00524990">
        <w:rPr>
          <w:rStyle w:val="AERtextitalic"/>
        </w:rPr>
        <w:t>The risk free rate and the present value principle</w:t>
      </w:r>
      <w:r w:rsidRPr="00524990">
        <w:t xml:space="preserve">, 22 August, 2012. SFG also appears to support using the NPV principle to assess rate of return approaches. SFG, </w:t>
      </w:r>
      <w:r w:rsidRPr="00524990">
        <w:rPr>
          <w:rStyle w:val="AERtextitalic"/>
        </w:rPr>
        <w:t>Preliminary analysis on rule change proposals</w:t>
      </w:r>
      <w:r>
        <w:rPr>
          <w:rStyle w:val="AERtextitalic"/>
        </w:rPr>
        <w:t>: Report for AEMC</w:t>
      </w:r>
      <w:r w:rsidRPr="00524990">
        <w:t>, February 2012, p.</w:t>
      </w:r>
      <w:r>
        <w:t xml:space="preserve"> </w:t>
      </w:r>
      <w:r w:rsidRPr="00524990">
        <w:t>47.</w:t>
      </w:r>
    </w:p>
  </w:footnote>
  <w:footnote w:id="1181">
    <w:p w:rsidR="00702DD6" w:rsidRDefault="00702DD6" w:rsidP="00BB7CBA">
      <w:pPr>
        <w:pStyle w:val="FootnoteText"/>
      </w:pPr>
      <w:r>
        <w:rPr>
          <w:rStyle w:val="FootnoteReference"/>
        </w:rPr>
        <w:footnoteRef/>
      </w:r>
      <w:r>
        <w:t xml:space="preserve"> </w:t>
      </w:r>
      <w:r>
        <w:tab/>
        <w:t xml:space="preserve">We assume the expected net operating cash flows for year </w:t>
      </w:r>
      <m:oMath>
        <m:r>
          <w:rPr>
            <w:rFonts w:ascii="Cambria Math" w:hAnsi="Cambria Math"/>
          </w:rPr>
          <m:t>t</m:t>
        </m:r>
      </m:oMath>
      <w:r>
        <w:t xml:space="preserve"> are equal to those allowed through our regulatory determinations / access arrangements.</w:t>
      </w:r>
    </w:p>
  </w:footnote>
  <w:footnote w:id="1182">
    <w:p w:rsidR="00702DD6" w:rsidRDefault="00702DD6" w:rsidP="00BB7CBA">
      <w:pPr>
        <w:pStyle w:val="FootnoteText"/>
      </w:pPr>
      <w:r>
        <w:rPr>
          <w:rStyle w:val="FootnoteReference"/>
        </w:rPr>
        <w:footnoteRef/>
      </w:r>
      <w:r>
        <w:t xml:space="preserve"> </w:t>
      </w:r>
      <w:r>
        <w:tab/>
        <w:t xml:space="preserve">That is, </w:t>
      </w:r>
      <m:oMath>
        <m:sSub>
          <m:sSubPr>
            <m:ctrlPr>
              <w:rPr>
                <w:rFonts w:ascii="Cambria Math" w:hAnsi="Cambria Math"/>
              </w:rPr>
            </m:ctrlPr>
          </m:sSubPr>
          <m:e>
            <m:r>
              <w:rPr>
                <w:rFonts w:ascii="Cambria Math" w:hAnsi="Cambria Math"/>
              </w:rPr>
              <m:t>CF</m:t>
            </m:r>
          </m:e>
          <m:sub>
            <m:r>
              <w:rPr>
                <w:rFonts w:ascii="Cambria Math" w:hAnsi="Cambria Math"/>
              </w:rPr>
              <m:t>t</m:t>
            </m:r>
          </m:sub>
        </m:sSub>
      </m:oMath>
      <w:r>
        <w:t xml:space="preserve">  entails subtracting operating expenditure (opex) from total revenue on the assumption that the regulatory allowance for opex covers actual opex costs incurred. For clarity, this assumption is for ease of exposition and does not affect whether the ARORO is satisfied.</w:t>
      </w:r>
    </w:p>
  </w:footnote>
  <w:footnote w:id="1183">
    <w:p w:rsidR="00702DD6" w:rsidRDefault="00702DD6" w:rsidP="00BB7CBA">
      <w:pPr>
        <w:pStyle w:val="FootnoteText"/>
      </w:pPr>
      <w:r>
        <w:rPr>
          <w:rStyle w:val="FootnoteReference"/>
        </w:rPr>
        <w:footnoteRef/>
      </w:r>
      <w:r>
        <w:t xml:space="preserve"> </w:t>
      </w:r>
      <w:r>
        <w:tab/>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is the allowed rate of return applied to year </w:t>
      </w:r>
      <m:oMath>
        <m:r>
          <w:rPr>
            <w:rFonts w:ascii="Cambria Math" w:hAnsi="Cambria Math"/>
          </w:rPr>
          <m:t>t</m:t>
        </m:r>
      </m:oMath>
      <w:r>
        <w:t xml:space="preserve"> (that is, to determine the net operating cash flow for year </w:t>
      </w:r>
      <m:oMath>
        <m:r>
          <w:rPr>
            <w:rFonts w:ascii="Cambria Math" w:hAnsi="Cambria Math"/>
          </w:rPr>
          <m:t>t</m:t>
        </m:r>
      </m:oMath>
      <w:r>
        <w:t xml:space="preserve">). However, it is calculated using data in year </w:t>
      </w:r>
      <m:oMath>
        <m:r>
          <w:rPr>
            <w:rFonts w:ascii="Cambria Math" w:hAnsi="Cambria Math"/>
          </w:rPr>
          <m:t>t-1</m:t>
        </m:r>
      </m:oMath>
      <w:r>
        <w:t>.</w:t>
      </w:r>
    </w:p>
  </w:footnote>
  <w:footnote w:id="1184">
    <w:p w:rsidR="00702DD6" w:rsidRDefault="00702DD6" w:rsidP="00BB7CBA">
      <w:pPr>
        <w:pStyle w:val="FootnoteText"/>
      </w:pPr>
      <w:r>
        <w:rPr>
          <w:rStyle w:val="FootnoteReference"/>
        </w:rPr>
        <w:footnoteRef/>
      </w:r>
      <w:r>
        <w:t xml:space="preserve"> </w:t>
      </w:r>
      <w:r>
        <w:tab/>
        <w:t>The investment is an investment with similar degree of risk as a service provider with respect to the provision of regulated services.</w:t>
      </w:r>
    </w:p>
  </w:footnote>
  <w:footnote w:id="1185">
    <w:p w:rsidR="00702DD6" w:rsidRDefault="00702DD6" w:rsidP="00BB7CBA">
      <w:pPr>
        <w:pStyle w:val="FootnoteText"/>
      </w:pPr>
      <w:r>
        <w:rPr>
          <w:rStyle w:val="FootnoteReference"/>
        </w:rPr>
        <w:footnoteRef/>
      </w:r>
      <w:r>
        <w:t xml:space="preserve"> </w:t>
      </w:r>
      <w:r>
        <w:tab/>
        <w:t xml:space="preserve">The end of the term of the RAB occurs at time </w:t>
      </w:r>
      <m:oMath>
        <m:r>
          <w:rPr>
            <w:rFonts w:ascii="Cambria Math" w:hAnsi="Cambria Math"/>
          </w:rPr>
          <m:t>T</m:t>
        </m:r>
      </m:oMath>
      <w:r>
        <w:t xml:space="preserve"> when the final return on capital and return of capital revenue allowances are provided. After this year there is no more capital finance to return to investors.</w:t>
      </w:r>
    </w:p>
  </w:footnote>
  <w:footnote w:id="1186">
    <w:p w:rsidR="00702DD6" w:rsidRDefault="00702DD6" w:rsidP="00BB7CBA">
      <w:pPr>
        <w:pStyle w:val="FootnoteText"/>
      </w:pPr>
      <w:r>
        <w:rPr>
          <w:rStyle w:val="FootnoteReference"/>
        </w:rPr>
        <w:footnoteRef/>
      </w:r>
      <w:r>
        <w:t xml:space="preserve"> </w:t>
      </w:r>
      <w:r>
        <w:tab/>
        <w:t xml:space="preserve">We note there are academic articles which support the view that the depreciation schedule does not affect the zero NPV investment condition (all else equal). See for example Schmalansee, </w:t>
      </w:r>
      <w:r w:rsidRPr="005772E3">
        <w:rPr>
          <w:rStyle w:val="AERtextitalic"/>
        </w:rPr>
        <w:t>An expository note on depreciation and profitability under rate of return regulation</w:t>
      </w:r>
      <w:r>
        <w:t>,</w:t>
      </w:r>
      <w:r w:rsidRPr="00CB56E6">
        <w:t xml:space="preserve"> Journal of Regulatory Economics, </w:t>
      </w:r>
      <w:r>
        <w:t xml:space="preserve">1989, </w:t>
      </w:r>
      <w:r w:rsidRPr="00CB56E6">
        <w:t>1</w:t>
      </w:r>
      <w:r>
        <w:t>,</w:t>
      </w:r>
      <w:r w:rsidRPr="00CB56E6">
        <w:t xml:space="preserve"> </w:t>
      </w:r>
      <w:r>
        <w:t>pp. 293–</w:t>
      </w:r>
      <w:r w:rsidRPr="00CB56E6">
        <w:t>298</w:t>
      </w:r>
      <w:r>
        <w:t>.</w:t>
      </w:r>
    </w:p>
  </w:footnote>
  <w:footnote w:id="1187">
    <w:p w:rsidR="00702DD6" w:rsidRDefault="00702DD6" w:rsidP="00BB7CBA">
      <w:pPr>
        <w:pStyle w:val="FootnoteText"/>
      </w:pPr>
      <w:r>
        <w:rPr>
          <w:rStyle w:val="FootnoteReference"/>
        </w:rPr>
        <w:footnoteRef/>
      </w:r>
      <w:r>
        <w:t xml:space="preserve"> </w:t>
      </w:r>
      <w:r>
        <w:tab/>
        <w:t xml:space="preserve">Brennan, </w:t>
      </w:r>
      <w:r w:rsidRPr="002F0DC8">
        <w:rPr>
          <w:rStyle w:val="AERtextitalic"/>
        </w:rPr>
        <w:t>Depreciation, investor compensation and, welfare under rate-of-return regulation</w:t>
      </w:r>
      <w:r>
        <w:t>, Review of industrial organisation, 1991, 6, p. 75.</w:t>
      </w:r>
    </w:p>
  </w:footnote>
  <w:footnote w:id="1188">
    <w:p w:rsidR="00702DD6" w:rsidRDefault="00702DD6" w:rsidP="00BB7CBA">
      <w:pPr>
        <w:pStyle w:val="FootnoteText"/>
      </w:pPr>
      <w:r>
        <w:rPr>
          <w:rStyle w:val="FootnoteReference"/>
        </w:rPr>
        <w:footnoteRef/>
      </w:r>
      <w:r>
        <w:t xml:space="preserve"> </w:t>
      </w:r>
      <w:r>
        <w:tab/>
      </w:r>
      <w:r w:rsidRPr="009E5F8F">
        <w:t xml:space="preserve">In practice, we have used a 10 year term to estimate the allowed rate of return. Given </w:t>
      </w:r>
      <w:r w:rsidRPr="007F1840">
        <w:t>interest rates on longer-term debt securities are often higher than those on shorter-term debt securities</w:t>
      </w:r>
      <w:r>
        <w:t>, this would lead to overcompensation all else being equal. However, we assume no material overcompensation given this excess allowance on the return on debt may compensate service providers for their hedging costs in relation to debt capital. And, in relation to the return on equity, we assume no material overcompensation given we use a MRP estimate which his partly reliant on historical MRP estimates, which are estimated using the yield to maturity on 10 year Commonwealth Government Securities (CGS).</w:t>
      </w:r>
    </w:p>
  </w:footnote>
  <w:footnote w:id="1189">
    <w:p w:rsidR="00702DD6" w:rsidRDefault="00702DD6" w:rsidP="00BB7CBA">
      <w:pPr>
        <w:pStyle w:val="FootnoteText"/>
      </w:pPr>
      <w:r>
        <w:rPr>
          <w:rStyle w:val="FootnoteReference"/>
        </w:rPr>
        <w:footnoteRef/>
      </w:r>
      <w:r>
        <w:t xml:space="preserve"> </w:t>
      </w:r>
      <w:r>
        <w:tab/>
        <w:t xml:space="preserve">This is the weighted average cost of capital (WACC) for an investment with similar degree of risk as a service provider in the provision of regulated services, at time t. That is, </w:t>
      </w:r>
      <m:oMath>
        <m:sSub>
          <m:sSubPr>
            <m:ctrlPr>
              <w:rPr>
                <w:rFonts w:ascii="Cambria Math" w:hAnsi="Cambria Math"/>
              </w:rPr>
            </m:ctrlPr>
          </m:sSubPr>
          <m:e>
            <m:r>
              <w:rPr>
                <w:rFonts w:ascii="Cambria Math" w:hAnsi="Cambria Math"/>
              </w:rPr>
              <m:t>r</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r(e)</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where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is the proportion of equity capital; </w:t>
      </w:r>
      <m:oMath>
        <m:sSub>
          <m:sSubPr>
            <m:ctrlPr>
              <w:rPr>
                <w:rFonts w:ascii="Cambria Math" w:hAnsi="Cambria Math"/>
              </w:rPr>
            </m:ctrlPr>
          </m:sSubPr>
          <m:e>
            <m:r>
              <w:rPr>
                <w:rFonts w:ascii="Cambria Math" w:hAnsi="Cambria Math"/>
              </w:rPr>
              <m:t>r(e)</m:t>
            </m:r>
          </m:e>
          <m:sub>
            <m:r>
              <w:rPr>
                <w:rFonts w:ascii="Cambria Math" w:hAnsi="Cambria Math"/>
              </w:rPr>
              <m:t>t,5</m:t>
            </m:r>
          </m:sub>
        </m:sSub>
      </m:oMath>
      <w:r>
        <w:t xml:space="preserve"> is the cost of equity;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is the proportion of debt capital; and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is the cost of debt.</w:t>
      </w:r>
    </w:p>
  </w:footnote>
  <w:footnote w:id="1190">
    <w:p w:rsidR="00702DD6" w:rsidRDefault="00702DD6" w:rsidP="00BB7CBA">
      <w:pPr>
        <w:pStyle w:val="FootnoteText"/>
      </w:pPr>
      <w:r>
        <w:rPr>
          <w:rStyle w:val="FootnoteReference"/>
        </w:rPr>
        <w:footnoteRef/>
      </w:r>
      <w:r>
        <w:t xml:space="preserve"> </w:t>
      </w:r>
      <w:r>
        <w:tab/>
        <w:t xml:space="preserve">This is the closing RAB at the end of year t-1, which equals the opening RAB at the beginning of year t. </w:t>
      </w:r>
    </w:p>
  </w:footnote>
  <w:footnote w:id="1191">
    <w:p w:rsidR="00702DD6" w:rsidRDefault="00702DD6" w:rsidP="00BB7CBA">
      <w:pPr>
        <w:pStyle w:val="FootnoteText"/>
      </w:pPr>
      <w:r>
        <w:rPr>
          <w:rStyle w:val="FootnoteReference"/>
        </w:rPr>
        <w:footnoteRef/>
      </w:r>
      <w:r>
        <w:t xml:space="preserve"> </w:t>
      </w:r>
      <w:r>
        <w:tab/>
      </w:r>
      <m:oMath>
        <m:acc>
          <m:accPr>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t,5</m:t>
                </m:r>
              </m:sub>
            </m:sSub>
          </m:e>
        </m:acc>
      </m:oMath>
      <w:r>
        <w:t xml:space="preserve"> is our best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It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d</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debt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w:t>
      </w:r>
    </w:p>
  </w:footnote>
  <w:footnote w:id="1192">
    <w:p w:rsidR="00702DD6" w:rsidRDefault="00702DD6" w:rsidP="00BB7CBA">
      <w:pPr>
        <w:pStyle w:val="FootnoteText"/>
      </w:pPr>
      <w:r>
        <w:rPr>
          <w:rStyle w:val="FootnoteReference"/>
        </w:rPr>
        <w:footnoteRef/>
      </w:r>
      <w:r>
        <w:t xml:space="preserve"> </w:t>
      </w:r>
      <w:r>
        <w:tab/>
        <w:t>These assumptions are: we ignore changes to the capital stock and assume all initial capital is returned at the end of the term of the RAB.</w:t>
      </w:r>
    </w:p>
  </w:footnote>
  <w:footnote w:id="1193">
    <w:p w:rsidR="00702DD6" w:rsidRDefault="00702DD6" w:rsidP="00BB7CBA">
      <w:pPr>
        <w:pStyle w:val="FootnoteText"/>
      </w:pPr>
      <w:r>
        <w:rPr>
          <w:rStyle w:val="FootnoteReference"/>
        </w:rPr>
        <w:footnoteRef/>
      </w:r>
      <w:r>
        <w:t xml:space="preserve"> </w:t>
      </w:r>
      <w:r>
        <w:tab/>
        <w:t>These equalities hold under the expectation that the allowed rate of return is reset at the commencement of each regulatory period to reflect the prevailing market cost of capital at that time (</w:t>
      </w:r>
      <m:oMath>
        <m:sSub>
          <m:sSubPr>
            <m:ctrlPr>
              <w:rPr>
                <w:rFonts w:ascii="Cambria Math" w:hAnsi="Cambria Math"/>
              </w:rPr>
            </m:ctrlPr>
          </m:sSubPr>
          <m:e>
            <m:r>
              <w:rPr>
                <w:rFonts w:ascii="Cambria Math" w:hAnsi="Cambria Math"/>
              </w:rPr>
              <m:t>r</m:t>
            </m:r>
          </m:e>
          <m:sub>
            <m:r>
              <w:rPr>
                <w:rFonts w:ascii="Cambria Math" w:hAnsi="Cambria Math"/>
              </w:rPr>
              <m:t>t+5,5</m:t>
            </m:r>
          </m:sub>
        </m:sSub>
      </m:oMath>
      <w:r>
        <w:t xml:space="preserve">, </w:t>
      </w:r>
      <m:oMath>
        <m:sSub>
          <m:sSubPr>
            <m:ctrlPr>
              <w:rPr>
                <w:rFonts w:ascii="Cambria Math" w:hAnsi="Cambria Math"/>
              </w:rPr>
            </m:ctrlPr>
          </m:sSubPr>
          <m:e>
            <m:r>
              <w:rPr>
                <w:rFonts w:ascii="Cambria Math" w:hAnsi="Cambria Math"/>
              </w:rPr>
              <m:t>r</m:t>
            </m:r>
          </m:e>
          <m:sub>
            <m:r>
              <w:rPr>
                <w:rFonts w:ascii="Cambria Math" w:hAnsi="Cambria Math"/>
              </w:rPr>
              <m:t>t+10,5</m:t>
            </m:r>
          </m:sub>
        </m:sSub>
      </m:oMath>
      <w:r>
        <w:t>, etc.). However, these future rates are unknown at time t.</w:t>
      </w:r>
      <w:r w:rsidRPr="00AF6784">
        <w:t xml:space="preserve"> Also, </w:t>
      </w:r>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w:t>
      </w:r>
    </w:p>
  </w:footnote>
  <w:footnote w:id="1194">
    <w:p w:rsidR="00702DD6" w:rsidRDefault="00702DD6" w:rsidP="00BB7CBA">
      <w:pPr>
        <w:pStyle w:val="FootnoteText"/>
      </w:pPr>
      <w:r>
        <w:rPr>
          <w:rStyle w:val="FootnoteReference"/>
        </w:rPr>
        <w:footnoteRef/>
      </w:r>
      <w:r>
        <w:t xml:space="preserve"> </w:t>
      </w:r>
      <w:r>
        <w:tab/>
        <w:t xml:space="preserve">The resetting of the allowed rate of return at the commencement of each regulatory period means the end-of-period closing RAB has a present value equal to its statutory value at that point in time. However, any cash flow with a present value equal to the statutory value of the end-of-period closing RAB </w:t>
      </w:r>
      <m:oMath>
        <m:sSub>
          <m:sSubPr>
            <m:ctrlPr>
              <w:rPr>
                <w:rFonts w:ascii="Cambria Math" w:hAnsi="Cambria Math"/>
              </w:rPr>
            </m:ctrlPr>
          </m:sSubPr>
          <m:e>
            <m:r>
              <w:rPr>
                <w:rFonts w:ascii="Cambria Math" w:hAnsi="Cambria Math"/>
              </w:rPr>
              <m:t>K</m:t>
            </m:r>
          </m:e>
          <m:sub>
            <m:r>
              <w:rPr>
                <w:rFonts w:ascii="Cambria Math" w:hAnsi="Cambria Math"/>
              </w:rPr>
              <m:t>t+5</m:t>
            </m:r>
          </m:sub>
        </m:sSub>
      </m:oMath>
      <w:r w:rsidRPr="00AF6784">
        <w:t xml:space="preserve"> </w:t>
      </w:r>
      <w:r>
        <w:t>at that time (for example, a cash flow transitioning to a trailing average) should result in the equality holding.</w:t>
      </w:r>
    </w:p>
  </w:footnote>
  <w:footnote w:id="1195">
    <w:p w:rsidR="00702DD6" w:rsidRDefault="00702DD6" w:rsidP="00BB7CB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196">
    <w:p w:rsidR="00702DD6" w:rsidRDefault="00702DD6" w:rsidP="00BB7CBA">
      <w:pPr>
        <w:pStyle w:val="FootnoteText"/>
      </w:pPr>
      <w:r>
        <w:rPr>
          <w:rStyle w:val="FootnoteReference"/>
        </w:rPr>
        <w:footnoteRef/>
      </w:r>
      <w:r>
        <w:t xml:space="preserve"> </w:t>
      </w:r>
      <w:r>
        <w:tab/>
      </w:r>
      <w:r w:rsidRPr="008948E5">
        <w:t xml:space="preserve">For clarity, we make this analogy to demonstrate why </w:t>
      </w:r>
      <w:r>
        <w:t>the rate of return</w:t>
      </w:r>
      <w:r w:rsidRPr="008948E5">
        <w:t xml:space="preserve"> should be reset on each reset date. We do not consider our return on debt cash flows are equivalent to a floating rate bond or require the allowed rate of return to be determined as such. We consider our benchmarked return on debt and return on equity estimates reasonably reflects the prevailing cost of debt and cost of equity for an investment with a similar degree of risk as a service provider in providing regulated services.</w:t>
      </w:r>
    </w:p>
  </w:footnote>
  <w:footnote w:id="1197">
    <w:p w:rsidR="00702DD6" w:rsidRDefault="00702DD6" w:rsidP="00BB7CBA">
      <w:pPr>
        <w:pStyle w:val="FootnoteText"/>
      </w:pPr>
      <w:r>
        <w:rPr>
          <w:rStyle w:val="FootnoteReference"/>
        </w:rPr>
        <w:footnoteRef/>
      </w:r>
      <w:r>
        <w:t xml:space="preserve"> </w:t>
      </w:r>
      <w:r>
        <w:tab/>
      </w:r>
      <w:r w:rsidRPr="008948E5">
        <w:t xml:space="preserve">Assuming the correct discount rate </w:t>
      </w:r>
      <w:r w:rsidRPr="006A4A74">
        <w:t>(or cost of capital) is used to benchmark the allowed rate of return (and therefore reset the RAB to its statutory value) at each reset date.</w:t>
      </w:r>
    </w:p>
  </w:footnote>
  <w:footnote w:id="1198">
    <w:p w:rsidR="00702DD6" w:rsidRDefault="00702DD6" w:rsidP="00BB7CBA">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is no longer an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The allowed rate of return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0.1*</w:t>
      </w:r>
      <m:oMath>
        <m:nary>
          <m:naryPr>
            <m:chr m:val="∑"/>
            <m:limLoc m:val="subSup"/>
            <m:ctrlPr>
              <w:rPr>
                <w:rFonts w:ascii="Cambria Math" w:hAnsi="Cambria Math"/>
              </w:rPr>
            </m:ctrlPr>
          </m:naryPr>
          <m:sub>
            <m:r>
              <w:rPr>
                <w:rFonts w:ascii="Cambria Math" w:hAnsi="Cambria Math"/>
              </w:rPr>
              <m:t xml:space="preserve">s=i-10 </m:t>
            </m:r>
          </m:sub>
          <m:sup>
            <m:r>
              <w:rPr>
                <w:rFonts w:ascii="Cambria Math" w:hAnsi="Cambria Math"/>
              </w:rPr>
              <m:t>i-1</m:t>
            </m:r>
          </m:sup>
          <m:e>
            <m:sSub>
              <m:sSubPr>
                <m:ctrlPr>
                  <w:rPr>
                    <w:rFonts w:ascii="Cambria Math" w:hAnsi="Cambria Math"/>
                  </w:rPr>
                </m:ctrlPr>
              </m:sSubPr>
              <m:e>
                <m:r>
                  <w:rPr>
                    <w:rFonts w:ascii="Cambria Math" w:hAnsi="Cambria Math"/>
                  </w:rPr>
                  <m:t>[r</m:t>
                </m:r>
              </m:e>
              <m:sub>
                <m:r>
                  <w:rPr>
                    <w:rFonts w:ascii="Cambria Math" w:hAnsi="Cambria Math"/>
                  </w:rPr>
                  <m:t>s,10</m:t>
                </m:r>
              </m:sub>
            </m:sSub>
            <m:r>
              <w:rPr>
                <w:rFonts w:ascii="Cambria Math" w:hAnsi="Cambria Math"/>
              </w:rPr>
              <m:t>]</m:t>
            </m:r>
          </m:e>
        </m:nary>
      </m:oMath>
      <w:r>
        <w:t xml:space="preserve">—a 10 year historical average cost of debt that is updated annually;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w:t>
      </w:r>
    </w:p>
  </w:footnote>
  <w:footnote w:id="1199">
    <w:p w:rsidR="00702DD6" w:rsidRDefault="00702DD6" w:rsidP="00BB7CBA">
      <w:pPr>
        <w:pStyle w:val="FootnoteText"/>
      </w:pPr>
      <w:r>
        <w:rPr>
          <w:rStyle w:val="FootnoteReference"/>
        </w:rPr>
        <w:footnoteRef/>
      </w:r>
      <w:r>
        <w:t xml:space="preserve"> </w:t>
      </w:r>
      <w:r>
        <w:tab/>
        <w:t xml:space="preserve">We consider this is consistent with Partington and Satchell's view that, 'if all future cash flows are positive, then there is a unique solution for the rate of return that sets the NPV to zero' (over each regulatory period). Partington, G., Satchell, S., </w:t>
      </w:r>
      <w:r w:rsidRPr="00D001FE">
        <w:rPr>
          <w:rStyle w:val="AERtextitalic"/>
        </w:rPr>
        <w:t>Report to the AER: Discussion of the allowed cost of</w:t>
      </w:r>
      <w:r>
        <w:t xml:space="preserve"> </w:t>
      </w:r>
      <w:r w:rsidRPr="00D001FE">
        <w:rPr>
          <w:rStyle w:val="AERtextitalic"/>
        </w:rPr>
        <w:t>debt</w:t>
      </w:r>
      <w:r>
        <w:t>, 5 May 2016, p. 45.</w:t>
      </w:r>
    </w:p>
  </w:footnote>
  <w:footnote w:id="1200">
    <w:p w:rsidR="00702DD6" w:rsidRDefault="00702DD6" w:rsidP="00BB7CBA">
      <w:pPr>
        <w:pStyle w:val="FootnoteText"/>
      </w:pPr>
      <w:r>
        <w:rPr>
          <w:rStyle w:val="FootnoteReference"/>
        </w:rPr>
        <w:footnoteRef/>
      </w:r>
      <w:r>
        <w:t xml:space="preserve"> </w:t>
      </w:r>
      <w:r>
        <w:tab/>
        <w:t xml:space="preserve">That is, they consider it is likely that the 'cost of equity will diverge from that assumed at a 60% leverage level'. See Partington, G., Satchell, S., </w:t>
      </w:r>
      <w:r w:rsidRPr="00D001FE">
        <w:rPr>
          <w:rStyle w:val="AERtextitalic"/>
        </w:rPr>
        <w:t>Report to the AER: Discussion of the allowed cost of</w:t>
      </w:r>
      <w:r>
        <w:t xml:space="preserve"> </w:t>
      </w:r>
      <w:r w:rsidRPr="00D001FE">
        <w:rPr>
          <w:rStyle w:val="AERtextitalic"/>
        </w:rPr>
        <w:t>debt</w:t>
      </w:r>
      <w:r>
        <w:t>, 5 May 2016, p. 21.</w:t>
      </w:r>
    </w:p>
  </w:footnote>
  <w:footnote w:id="1201">
    <w:p w:rsidR="00702DD6" w:rsidRDefault="00702DD6" w:rsidP="00BB7CBA">
      <w:pPr>
        <w:pStyle w:val="FootnoteText"/>
      </w:pPr>
      <w:r>
        <w:rPr>
          <w:rStyle w:val="FootnoteReference"/>
        </w:rPr>
        <w:footnoteRef/>
      </w:r>
      <w:r>
        <w:t xml:space="preserve"> </w:t>
      </w:r>
      <w:r>
        <w:tab/>
        <w:t xml:space="preserve">We have used spot rates </w:t>
      </w:r>
      <m:oMath>
        <m:sSub>
          <m:sSubPr>
            <m:ctrlPr>
              <w:rPr>
                <w:rFonts w:ascii="Cambria Math" w:hAnsi="Cambria Math"/>
              </w:rPr>
            </m:ctrlPr>
          </m:sSubPr>
          <m:e>
            <m:r>
              <w:rPr>
                <w:rFonts w:ascii="Cambria Math" w:hAnsi="Cambria Math"/>
              </w:rPr>
              <m:t>r</m:t>
            </m:r>
          </m:e>
          <m:sub>
            <m:r>
              <w:rPr>
                <w:rFonts w:ascii="Cambria Math" w:hAnsi="Cambria Math"/>
              </w:rPr>
              <m:t>0,t</m:t>
            </m:r>
          </m:sub>
        </m:sSub>
      </m:oMath>
      <w:r>
        <w:t xml:space="preserve"> to discount the cash flows for years t=1 to t=10 because the debt portfolio consists of debt with different maturities. The cost of (debt) capital in this case is a complicated average of the spot rates. </w:t>
      </w:r>
    </w:p>
  </w:footnote>
  <w:footnote w:id="1202">
    <w:p w:rsidR="00702DD6" w:rsidRDefault="00702DD6" w:rsidP="00BB7CBA">
      <w:pPr>
        <w:pStyle w:val="FootnoteText"/>
      </w:pPr>
      <w:r>
        <w:rPr>
          <w:rStyle w:val="FootnoteReference"/>
        </w:rPr>
        <w:footnoteRef/>
      </w:r>
      <w:r>
        <w:t xml:space="preserve"> </w:t>
      </w:r>
      <w:r>
        <w:tab/>
        <w:t>This equals the opening RAB at the beginning of year 0—because the opening RAB</w:t>
      </w:r>
      <w:r w:rsidRPr="003E2DB8">
        <w:t xml:space="preserve"> </w:t>
      </w:r>
      <w:r>
        <w:t>at the beginning of year t equals the closing RAB at the end of year t-1.</w:t>
      </w:r>
    </w:p>
  </w:footnote>
  <w:footnote w:id="1203">
    <w:p w:rsidR="00702DD6" w:rsidRDefault="00702DD6" w:rsidP="00BB7CBA">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is an average of estimates of the spot rates (at time 0) for different terms. The allowed rate of return differs each year because the proportion of expected net operating cash flow allocated to this debt portfolio reduces as each tranche of debt matures and the staggered portfolio is formed (see next section).</w:t>
      </w:r>
    </w:p>
  </w:footnote>
  <w:footnote w:id="1204">
    <w:p w:rsidR="00702DD6" w:rsidRDefault="00702DD6" w:rsidP="00BB7CBA">
      <w:pPr>
        <w:pStyle w:val="FootnoteText"/>
      </w:pPr>
      <w:r>
        <w:rPr>
          <w:rStyle w:val="FootnoteReference"/>
        </w:rPr>
        <w:footnoteRef/>
      </w:r>
      <w:r>
        <w:t xml:space="preserve"> </w:t>
      </w:r>
      <w:r>
        <w:tab/>
        <w:t>O</w:t>
      </w:r>
      <w:r w:rsidRPr="002D138D">
        <w:t>r</w:t>
      </w:r>
      <w:r>
        <w:t>,</w:t>
      </w:r>
      <w:r w:rsidRPr="002D138D">
        <w:t xml:space="preserve"> the expected cash flows generated from these portions</w:t>
      </w:r>
      <w:r>
        <w:t>.</w:t>
      </w:r>
    </w:p>
  </w:footnote>
  <w:footnote w:id="1205">
    <w:p w:rsidR="00702DD6" w:rsidRDefault="00702DD6" w:rsidP="00BB7CBA">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206">
    <w:p w:rsidR="00702DD6" w:rsidRDefault="00702DD6" w:rsidP="00BB7CBA">
      <w:pPr>
        <w:pStyle w:val="FootnoteText"/>
      </w:pPr>
      <w:r>
        <w:rPr>
          <w:rStyle w:val="FootnoteReference"/>
        </w:rPr>
        <w:footnoteRef/>
      </w:r>
      <w:r>
        <w:t xml:space="preserve"> </w:t>
      </w:r>
      <w:r>
        <w:tab/>
      </w:r>
      <w:r w:rsidRPr="00A758A8">
        <w:t>In likening this approach to ten long term floating rate securities, the proportion of expected net operating cash flow generated each year from portions 1 to 10 of the RAB can be seen as the fixed interest payments on the ten securities. One security is issued (at par value) each year 1 to 10 and the interest rate on each equals the prevailing market cost of capital at the time of issuance, until it is reset in ten years.</w:t>
      </w:r>
    </w:p>
  </w:footnote>
  <w:footnote w:id="1207">
    <w:p w:rsidR="00702DD6" w:rsidRDefault="00702DD6" w:rsidP="00BB7CBA">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 We note this represents only one tenth of the trailing average rate of return (on debt).</w:t>
      </w:r>
    </w:p>
  </w:footnote>
  <w:footnote w:id="1208">
    <w:p w:rsidR="00702DD6" w:rsidRDefault="00702DD6" w:rsidP="00BB7CB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209">
    <w:p w:rsidR="00702DD6" w:rsidRDefault="00702DD6" w:rsidP="00BB7CBA">
      <w:pPr>
        <w:pStyle w:val="FootnoteText"/>
      </w:pPr>
      <w:r>
        <w:rPr>
          <w:rStyle w:val="FootnoteReference"/>
        </w:rPr>
        <w:footnoteRef/>
      </w:r>
      <w:r>
        <w:t xml:space="preserve"> </w:t>
      </w:r>
      <w:r>
        <w:tab/>
        <w:t>Note we ignore the treatment of changes to the capital stock before the end of the assets life (where we assume all capital is returned).</w:t>
      </w:r>
    </w:p>
  </w:footnote>
  <w:footnote w:id="1210">
    <w:p w:rsidR="00702DD6" w:rsidRDefault="00702DD6" w:rsidP="00BB7CBA">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211">
    <w:p w:rsidR="00702DD6" w:rsidRDefault="00702DD6" w:rsidP="00BB7CBA">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w:t>
      </w:r>
    </w:p>
  </w:footnote>
  <w:footnote w:id="1212">
    <w:p w:rsidR="00702DD6" w:rsidRDefault="00702DD6" w:rsidP="00BB7CBA">
      <w:pPr>
        <w:pStyle w:val="FootnoteText"/>
      </w:pPr>
      <w:r>
        <w:rPr>
          <w:rStyle w:val="FootnoteReference"/>
        </w:rPr>
        <w:footnoteRef/>
      </w:r>
      <w:r>
        <w:t xml:space="preserve"> </w:t>
      </w:r>
      <w:r>
        <w:tab/>
        <w:t>Wherever we say revenue neutral we mean revenue neutral in a present value sense. This is equivalent to avoiding wealth transfers from the change in methodology. This is also equivalent to saying there are no windfall gains or losses from the change in methodology (as HoustonKemp appear to use the term in their advice to ESCOSSA).</w:t>
      </w:r>
    </w:p>
  </w:footnote>
  <w:footnote w:id="1213">
    <w:p w:rsidR="00702DD6" w:rsidRDefault="00702DD6" w:rsidP="00BB7CBA">
      <w:pPr>
        <w:pStyle w:val="FootnoteText"/>
      </w:pPr>
      <w:r>
        <w:rPr>
          <w:rStyle w:val="FootnoteReference"/>
        </w:rPr>
        <w:footnoteRef/>
      </w:r>
      <w:r>
        <w:t xml:space="preserve"> </w:t>
      </w:r>
      <w:r>
        <w:tab/>
        <w:t xml:space="preserve">The change in the return on debt approach and the associated transition were necessarily discussed, consulted on and determined upon together. See AER, </w:t>
      </w:r>
      <w:r w:rsidRPr="00435485">
        <w:rPr>
          <w:rStyle w:val="AERtextitalic"/>
        </w:rPr>
        <w:t>Explanatory statement to the rate of return guideline</w:t>
      </w:r>
      <w:r>
        <w:t>, December 2013, pp. 98</w:t>
      </w:r>
      <w:r>
        <w:rPr>
          <w:rFonts w:cs="Arial"/>
        </w:rPr>
        <w:t>–</w:t>
      </w:r>
      <w:r>
        <w:t xml:space="preserve">125; AER, </w:t>
      </w:r>
      <w:r w:rsidRPr="00435485">
        <w:rPr>
          <w:rStyle w:val="AERtextitalic"/>
        </w:rPr>
        <w:t>Explanatory statement to the draft rate of return guideline</w:t>
      </w:r>
      <w:r>
        <w:t>, August 2013, pp. 73</w:t>
      </w:r>
      <w:r w:rsidRPr="00435485">
        <w:t>–</w:t>
      </w:r>
      <w:r>
        <w:t xml:space="preserve">97; AER, </w:t>
      </w:r>
      <w:r w:rsidRPr="00435485">
        <w:rPr>
          <w:rStyle w:val="AERtextitalic"/>
        </w:rPr>
        <w:t>Consultation paper: Rate of return guidelines</w:t>
      </w:r>
      <w:r>
        <w:t>, May 2013, pp. 49</w:t>
      </w:r>
      <w:r>
        <w:rPr>
          <w:rFonts w:cs="Arial"/>
        </w:rPr>
        <w:t>–</w:t>
      </w:r>
      <w:r>
        <w:t>55.</w:t>
      </w:r>
    </w:p>
  </w:footnote>
  <w:footnote w:id="1214">
    <w:p w:rsidR="00702DD6" w:rsidRDefault="00702DD6" w:rsidP="00BB7CBA">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revenue reset for the 2016–20 regulatory period</w:t>
      </w:r>
      <w:r>
        <w:t>, 25 February 2016, p. 109.</w:t>
      </w:r>
    </w:p>
  </w:footnote>
  <w:footnote w:id="1215">
    <w:p w:rsidR="00702DD6" w:rsidRDefault="00702DD6" w:rsidP="00BB7CBA">
      <w:pPr>
        <w:pStyle w:val="FootnoteText"/>
      </w:pPr>
      <w:r>
        <w:rPr>
          <w:rStyle w:val="FootnoteReference"/>
        </w:rPr>
        <w:footnoteRef/>
      </w:r>
      <w:r>
        <w:t xml:space="preserve"> </w:t>
      </w:r>
      <w:r>
        <w:tab/>
        <w:t xml:space="preserve">CCP3, </w:t>
      </w:r>
      <w:r w:rsidRPr="00A30733">
        <w:rPr>
          <w:rStyle w:val="AERtextitalic"/>
        </w:rPr>
        <w:t>Submission to the AER: An overview ―Response to AER Preliminary Decisions and revised proposals from Victorian electricity DNSPs for revenue reset for the 2016–20 regulatory period</w:t>
      </w:r>
      <w:r>
        <w:t>, 22 February 2016, p. 35.</w:t>
      </w:r>
    </w:p>
  </w:footnote>
  <w:footnote w:id="1216">
    <w:p w:rsidR="00702DD6" w:rsidRDefault="00702DD6" w:rsidP="00BB7CB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217">
    <w:p w:rsidR="00702DD6" w:rsidRDefault="00702DD6" w:rsidP="00BB7CB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45–46.</w:t>
      </w:r>
    </w:p>
  </w:footnote>
  <w:footnote w:id="1218">
    <w:p w:rsidR="00702DD6" w:rsidRDefault="00702DD6">
      <w:pPr>
        <w:pStyle w:val="FootnoteText"/>
      </w:pPr>
      <w:r>
        <w:rPr>
          <w:rStyle w:val="FootnoteReference"/>
        </w:rPr>
        <w:footnoteRef/>
      </w:r>
      <w:r>
        <w:t xml:space="preserve"> </w:t>
      </w:r>
      <w:r>
        <w:tab/>
        <w:t xml:space="preserve">This example does not consider expected allowed return on debt cash flows beyond year ten because beyond year ten the expected cash flows of the AER and the service providers are the same (in relation to the issue of transition only). </w:t>
      </w:r>
    </w:p>
  </w:footnote>
  <w:footnote w:id="1219">
    <w:p w:rsidR="00702DD6" w:rsidRDefault="00702DD6" w:rsidP="00BB7CBA">
      <w:pPr>
        <w:pStyle w:val="FootnoteText"/>
      </w:pPr>
      <w:r>
        <w:rPr>
          <w:rStyle w:val="FootnoteReference"/>
        </w:rPr>
        <w:footnoteRef/>
      </w:r>
      <w:r>
        <w:t xml:space="preserve"> </w:t>
      </w:r>
      <w:r>
        <w:tab/>
      </w:r>
      <w:r w:rsidRPr="007B45CA">
        <w:t>We note the exact amount in each year is impacted by the forecast capital investment and depreciation. However, these forecasts will impact both the AER’s allowance and the NSPs proposed allowance as shown above, and the difference will still be a fixed amount which is a function of the known RAB at time 0 and the expected RAB at time 1 to 8.</w:t>
      </w:r>
    </w:p>
  </w:footnote>
  <w:footnote w:id="1220">
    <w:p w:rsidR="00702DD6" w:rsidRDefault="00702DD6" w:rsidP="00BB7CBA">
      <w:pPr>
        <w:pStyle w:val="FootnoteText"/>
      </w:pPr>
      <w:r>
        <w:rPr>
          <w:rStyle w:val="FootnoteReference"/>
        </w:rPr>
        <w:footnoteRef/>
      </w:r>
      <w:r>
        <w:t xml:space="preserve"> </w:t>
      </w:r>
      <w:r>
        <w:tab/>
      </w:r>
      <w:r w:rsidRPr="007B45CA">
        <w:t>This assumes you have forecasts for the RAB at time 1 to 8. This may not be realistic for time 6 onwards (i.e. beyond the end of the current regulatory control period). However, even in the absence of RAB forecasts for yeas 6 to 10 a reasonable approximation of the present value difference can be made today.</w:t>
      </w:r>
    </w:p>
  </w:footnote>
  <w:footnote w:id="1221">
    <w:p w:rsidR="00702DD6" w:rsidRDefault="00702DD6" w:rsidP="00BB7CBA">
      <w:pPr>
        <w:pStyle w:val="FootnoteText"/>
      </w:pPr>
      <w:r>
        <w:rPr>
          <w:rStyle w:val="FootnoteReference"/>
        </w:rPr>
        <w:footnoteRef/>
      </w:r>
      <w:r>
        <w:t xml:space="preserve"> </w:t>
      </w:r>
      <w:r>
        <w:tab/>
        <w:t xml:space="preserve">AGN also proposed a full hybrid transition as a third preference.  AGN, Attachment 10.26, </w:t>
      </w:r>
      <w:r w:rsidRPr="00E45C75">
        <w:rPr>
          <w:rStyle w:val="AERtextitalic"/>
        </w:rPr>
        <w:t>Response to draft decision: Rate of return</w:t>
      </w:r>
      <w:r>
        <w:t>, January 2016, p. 7.</w:t>
      </w:r>
    </w:p>
  </w:footnote>
  <w:footnote w:id="1222">
    <w:p w:rsidR="00702DD6" w:rsidRDefault="00702DD6" w:rsidP="00BB7CBA">
      <w:pPr>
        <w:pStyle w:val="FootnoteText"/>
      </w:pPr>
      <w:r>
        <w:rPr>
          <w:rStyle w:val="FootnoteReference"/>
        </w:rPr>
        <w:footnoteRef/>
      </w:r>
      <w:r>
        <w:t xml:space="preserve"> </w:t>
      </w:r>
      <w:r>
        <w:tab/>
        <w:t xml:space="preserve">Noting we do not consider if there was a lesser mismatch under one approach it would justify an approach that did not result in an efficient (forward looking) return on debt allowance. </w:t>
      </w:r>
    </w:p>
  </w:footnote>
  <w:footnote w:id="1223">
    <w:p w:rsidR="00702DD6" w:rsidRDefault="00702DD6" w:rsidP="00BB7CB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224">
    <w:p w:rsidR="00702DD6" w:rsidRDefault="00702DD6" w:rsidP="00BB7CBA">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1225">
    <w:p w:rsidR="00702DD6" w:rsidRDefault="00702DD6" w:rsidP="00BB7CBA">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xml:space="preserve">, January 2016, p. 2. </w:t>
      </w:r>
    </w:p>
  </w:footnote>
  <w:footnote w:id="1226">
    <w:p w:rsidR="00702DD6" w:rsidRDefault="00702DD6" w:rsidP="00BB7CBA">
      <w:pPr>
        <w:pStyle w:val="FootnoteText"/>
      </w:pPr>
      <w:r>
        <w:rPr>
          <w:rStyle w:val="FootnoteReference"/>
        </w:rPr>
        <w:footnoteRef/>
      </w:r>
      <w:r>
        <w:t xml:space="preserve"> </w:t>
      </w:r>
      <w:r>
        <w:tab/>
        <w:t>CCP3 submits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 xml:space="preserve">Submission to the AER:  </w:t>
      </w:r>
      <w:r>
        <w:rPr>
          <w:rStyle w:val="AERtextitalic"/>
        </w:rPr>
        <w:t>A</w:t>
      </w:r>
      <w:r w:rsidRPr="006C2193">
        <w:rPr>
          <w:rStyle w:val="AERtextitalic"/>
        </w:rPr>
        <w:t>n Overview ― Response to AER Preliminary Decisions and revised proposals from Victorian electricity DNSPs for a revenue reset for the 2016‐2020 regulatory period</w:t>
      </w:r>
      <w:r w:rsidRPr="00564427">
        <w:t xml:space="preserve"> </w:t>
      </w:r>
      <w:r>
        <w:t>, 22 February 2016, p. 34</w:t>
      </w:r>
    </w:p>
  </w:footnote>
  <w:footnote w:id="1227">
    <w:p w:rsidR="00702DD6" w:rsidRDefault="00702DD6" w:rsidP="00BB7CBA">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a revenue reset for the 2016</w:t>
      </w:r>
      <w:r w:rsidRPr="00BA615F">
        <w:rPr>
          <w:rStyle w:val="AERtextitalic"/>
          <w:rFonts w:ascii="Cambria Math" w:hAnsi="Cambria Math" w:cs="Cambria Math"/>
        </w:rPr>
        <w:t>‐</w:t>
      </w:r>
      <w:r w:rsidRPr="00A30733">
        <w:rPr>
          <w:rStyle w:val="AERtextitalic"/>
        </w:rPr>
        <w:t>2020 regulatory period</w:t>
      </w:r>
      <w:r w:rsidRPr="00564427">
        <w:t xml:space="preserve"> </w:t>
      </w:r>
      <w:r>
        <w:t>, 25 February 2016, p. 104</w:t>
      </w:r>
    </w:p>
  </w:footnote>
  <w:footnote w:id="1228">
    <w:p w:rsidR="00702DD6" w:rsidRDefault="00702DD6" w:rsidP="00BB7CBA">
      <w:pPr>
        <w:pStyle w:val="FootnoteText"/>
      </w:pPr>
      <w:r>
        <w:rPr>
          <w:rStyle w:val="FootnoteReference"/>
        </w:rPr>
        <w:footnoteRef/>
      </w:r>
      <w:r>
        <w:t xml:space="preserve"> </w:t>
      </w:r>
      <w:r>
        <w:tab/>
        <w:t>It is useful to note that our trailing average</w:t>
      </w:r>
      <w:r w:rsidRPr="00F66125">
        <w:t xml:space="preserve"> </w:t>
      </w:r>
      <w:r>
        <w:t xml:space="preserve">reflects prevailing market rates (in part) because one-tenth of the average is updated each year to reflect prevailing market rates. In this way, a benchmark efficient entity's debt fund under a trailing average approach could be seen as 10 floating rate bonds that are raised on a staggered basis and reset to par every 10 years (see </w:t>
      </w:r>
      <w:r>
        <w:fldChar w:fldCharType="begin"/>
      </w:r>
      <w:r>
        <w:instrText xml:space="preserve"> REF _Ref444773920 \r \h </w:instrText>
      </w:r>
      <w:r>
        <w:fldChar w:fldCharType="separate"/>
      </w:r>
      <w:r>
        <w:t>H.3.3</w:t>
      </w:r>
      <w:r>
        <w:fldChar w:fldCharType="end"/>
      </w:r>
      <w:r>
        <w:t xml:space="preserve"> for a mathematical depiction).</w:t>
      </w:r>
    </w:p>
  </w:footnote>
  <w:footnote w:id="1229">
    <w:p w:rsidR="00702DD6" w:rsidRDefault="00702DD6" w:rsidP="00BB7CB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xml:space="preserve">, January 2016, p. 335; United Energy, </w:t>
      </w:r>
      <w:r w:rsidRPr="00275DE0">
        <w:rPr>
          <w:rStyle w:val="AERtextitalic"/>
        </w:rPr>
        <w:t>Revised regulatory proposal: Response to AER preliminary decision—Re: rate of return and gamma</w:t>
      </w:r>
      <w:r>
        <w:t>, January 2016, p. 32</w:t>
      </w:r>
      <w:r w:rsidRPr="00FA673F">
        <w:t>.</w:t>
      </w:r>
    </w:p>
  </w:footnote>
  <w:footnote w:id="1230">
    <w:p w:rsidR="00702DD6" w:rsidRDefault="00702DD6" w:rsidP="00BB7CBA">
      <w:pPr>
        <w:pStyle w:val="FootnoteText"/>
      </w:pPr>
      <w:r>
        <w:rPr>
          <w:rStyle w:val="FootnoteReference"/>
        </w:rPr>
        <w:footnoteRef/>
      </w:r>
      <w:r>
        <w:t xml:space="preserve"> </w:t>
      </w:r>
      <w:r>
        <w:tab/>
        <w:t>I</w:t>
      </w:r>
      <w:r w:rsidRPr="00FB7CFD">
        <w:t>nvestors in the service provides we regulate have for many years had allowed debt cash flows set</w:t>
      </w:r>
      <w:r>
        <w:t xml:space="preserve"> using the on-the-day approach and would have reasonably </w:t>
      </w:r>
      <w:r w:rsidRPr="00FB7CFD">
        <w:t>expected future debt cash flows</w:t>
      </w:r>
      <w:r>
        <w:t xml:space="preserve"> (and associated risks)</w:t>
      </w:r>
      <w:r w:rsidRPr="00FB7CFD">
        <w:t xml:space="preserve"> consistent with the on-the-day approach. To the extent t these risks were systematic, these would be priced into investors' required cost of equity</w:t>
      </w:r>
      <w:r>
        <w:t>, and w</w:t>
      </w:r>
      <w:r w:rsidRPr="00FB7CFD">
        <w:t xml:space="preserve">e would </w:t>
      </w:r>
      <w:r>
        <w:t>compensate</w:t>
      </w:r>
      <w:r w:rsidRPr="00FB7CFD">
        <w:t xml:space="preserve"> service providers for this given </w:t>
      </w:r>
      <w:r>
        <w:t>by using</w:t>
      </w:r>
      <w:r w:rsidRPr="00FB7CFD">
        <w:t xml:space="preserve"> historical returns to calculate beta</w:t>
      </w:r>
      <w:r>
        <w:t xml:space="preserve">. We </w:t>
      </w:r>
      <w:r w:rsidRPr="00FB7CFD">
        <w:t>consider mismatch risk arises f</w:t>
      </w:r>
      <w:r>
        <w:t xml:space="preserve">rom interest rate risk </w:t>
      </w:r>
      <w:r w:rsidRPr="00FB7CFD">
        <w:t xml:space="preserve">because any difference between a benchmark efficient entity's costs of servicing its debt and the allowed return on debt is a function of unforeseen </w:t>
      </w:r>
      <w:r>
        <w:t>interest rate</w:t>
      </w:r>
      <w:r w:rsidRPr="00FB7CFD">
        <w:t xml:space="preserve"> move</w:t>
      </w:r>
      <w:r>
        <w:t>ments</w:t>
      </w:r>
      <w:r w:rsidRPr="00FB7CFD">
        <w:t>.</w:t>
      </w:r>
    </w:p>
  </w:footnote>
  <w:footnote w:id="1231">
    <w:p w:rsidR="00702DD6" w:rsidRDefault="00702DD6" w:rsidP="00BB7CBA">
      <w:pPr>
        <w:pStyle w:val="FootnoteText"/>
      </w:pPr>
      <w:r>
        <w:rPr>
          <w:rStyle w:val="FootnoteReference"/>
        </w:rPr>
        <w:footnoteRef/>
      </w:r>
      <w:r>
        <w:t xml:space="preserve"> </w:t>
      </w:r>
      <w:r>
        <w:tab/>
        <w:t>NER, cl. 6.5.2(k)(1);  NER, cl. 6A.6.2(k)(1); NGR, cl. 87(11)(a).</w:t>
      </w:r>
    </w:p>
  </w:footnote>
  <w:footnote w:id="1232">
    <w:p w:rsidR="00702DD6" w:rsidRDefault="00702DD6" w:rsidP="00BB7CBA">
      <w:pPr>
        <w:pStyle w:val="FootnoteText"/>
      </w:pPr>
      <w:r>
        <w:rPr>
          <w:rStyle w:val="FootnoteReference"/>
        </w:rPr>
        <w:footnoteRef/>
      </w:r>
      <w:r>
        <w:t xml:space="preserve"> </w:t>
      </w:r>
      <w:r>
        <w:tab/>
        <w:t>A</w:t>
      </w:r>
      <w:r w:rsidRPr="00C10DF7">
        <w:t>s noted by SFG, it is not possible to hedge historical interest rates as businesses cannot access historical rates at the time they issue new debt</w:t>
      </w:r>
      <w:r>
        <w:t xml:space="preserve"> (see SFG, </w:t>
      </w:r>
      <w:r w:rsidRPr="00C10DF7">
        <w:rPr>
          <w:rStyle w:val="AERtextitalic"/>
        </w:rPr>
        <w:t>Rule change proposals relating to the debt component of the regulatory rate of return</w:t>
      </w:r>
      <w:r>
        <w:t xml:space="preserve">, </w:t>
      </w:r>
      <w:r w:rsidRPr="006441AF">
        <w:t>August</w:t>
      </w:r>
      <w:r>
        <w:t xml:space="preserve"> 2012, pp. 32, 45)</w:t>
      </w:r>
      <w:r w:rsidRPr="00C10DF7">
        <w:t>.</w:t>
      </w:r>
      <w:r>
        <w:t xml:space="preserve"> Similarly, Partington and Satchell stated, '</w:t>
      </w:r>
      <w:r w:rsidRPr="00B05081">
        <w:t>Once the change in value has occurred the original event cannot be hedged. We cannot change the past. Hedges have to be put in place before the events to be hedged have occurred</w:t>
      </w:r>
      <w:r>
        <w:t xml:space="preserve">' (Partington, G., Satchell, S., </w:t>
      </w:r>
      <w:r w:rsidRPr="00D001FE">
        <w:rPr>
          <w:rStyle w:val="AERtextitalic"/>
        </w:rPr>
        <w:t>Report to the AER: Discussion of the allowed cost of</w:t>
      </w:r>
      <w:r>
        <w:t xml:space="preserve"> </w:t>
      </w:r>
      <w:r w:rsidRPr="00D001FE">
        <w:rPr>
          <w:rStyle w:val="AERtextitalic"/>
        </w:rPr>
        <w:t>debt</w:t>
      </w:r>
      <w:r>
        <w:t>, 5 May 2016, p. 34)</w:t>
      </w:r>
      <w:r w:rsidRPr="00B05081">
        <w:t>.</w:t>
      </w:r>
    </w:p>
  </w:footnote>
  <w:footnote w:id="1233">
    <w:p w:rsidR="00702DD6" w:rsidRDefault="00702DD6" w:rsidP="00BB7CBA">
      <w:pPr>
        <w:pStyle w:val="FootnoteText"/>
      </w:pPr>
      <w:r>
        <w:rPr>
          <w:rStyle w:val="FootnoteReference"/>
        </w:rPr>
        <w:footnoteRef/>
      </w:r>
      <w:r>
        <w:t xml:space="preserve"> </w:t>
      </w:r>
      <w:r>
        <w:tab/>
        <w:t>Partington and Satchell state '…</w:t>
      </w:r>
      <w:r w:rsidRPr="001834B1">
        <w:t>changes in the value of a regulated firm’s debt portfolio value occur when the market interest rates change. These changes lead to increases or decreases in the market value debt, which in turn affect the market value of the equity of the regulated firm at the same time as the market value of the debt changes</w:t>
      </w:r>
      <w:r>
        <w:t>' (see</w:t>
      </w:r>
      <w:r w:rsidRPr="001834B1">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 34). </w:t>
      </w:r>
      <w:r w:rsidRPr="00F21B32">
        <w:t xml:space="preserve">We </w:t>
      </w:r>
      <w:r>
        <w:t xml:space="preserve">also </w:t>
      </w:r>
      <w:r w:rsidRPr="00F21B32">
        <w:t>note the firms we regulate generally account for gains or losses from interest rate movements in their financial accounts where they use fair value accounting</w:t>
      </w:r>
      <w:r>
        <w:t xml:space="preserve">. See for example APA Group, </w:t>
      </w:r>
      <w:r w:rsidRPr="00BA1680">
        <w:rPr>
          <w:rStyle w:val="AERtextitalic"/>
        </w:rPr>
        <w:t>Annual report 2015</w:t>
      </w:r>
      <w:r>
        <w:t xml:space="preserve">, p. 64; DUET Group, </w:t>
      </w:r>
      <w:r w:rsidRPr="00BA1680">
        <w:rPr>
          <w:rStyle w:val="AERtextitalic"/>
        </w:rPr>
        <w:t>Financial report 2015</w:t>
      </w:r>
      <w:r>
        <w:t xml:space="preserve">, p. 63, Spark Infrastructure, </w:t>
      </w:r>
      <w:r w:rsidRPr="00BA1680">
        <w:rPr>
          <w:rStyle w:val="AERtextitalic"/>
        </w:rPr>
        <w:t>Annual Report 2013</w:t>
      </w:r>
      <w:r>
        <w:t>, p. 62.</w:t>
      </w:r>
    </w:p>
  </w:footnote>
  <w:footnote w:id="1234">
    <w:p w:rsidR="00702DD6" w:rsidRDefault="00702DD6" w:rsidP="00BB7CB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w:t>
      </w:r>
      <w:r w:rsidRPr="00FA673F">
        <w:t xml:space="preserve"> </w:t>
      </w:r>
      <w:r>
        <w:t xml:space="preserve">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 258</w:t>
      </w:r>
      <w:r w:rsidRPr="007D612D">
        <w:t>–</w:t>
      </w:r>
      <w:r>
        <w:t xml:space="preserve">9; United Energy, </w:t>
      </w:r>
      <w:r w:rsidRPr="00DA2177">
        <w:rPr>
          <w:rStyle w:val="AERtextitalic"/>
        </w:rPr>
        <w:t>2016 to 2020 revised regulatory proposal</w:t>
      </w:r>
      <w:r>
        <w:t>, January 2016, p. 76</w:t>
      </w:r>
      <w:r w:rsidRPr="007D612D">
        <w:t>–</w:t>
      </w:r>
      <w:r>
        <w:t>8.</w:t>
      </w:r>
    </w:p>
  </w:footnote>
  <w:footnote w:id="1235">
    <w:p w:rsidR="00702DD6" w:rsidRDefault="00702DD6" w:rsidP="00BB7CBA">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1236">
    <w:p w:rsidR="00702DD6" w:rsidRDefault="00702DD6" w:rsidP="00BB7CB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APA Group, </w:t>
      </w:r>
      <w:r w:rsidRPr="00DA2177">
        <w:rPr>
          <w:rStyle w:val="AERtextitalic"/>
        </w:rPr>
        <w:t>Amadeus Gas Pipeline access arrangement information</w:t>
      </w:r>
      <w:r>
        <w:t xml:space="preserve">, January 2016, pp. 79–81;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237">
    <w:p w:rsidR="00702DD6" w:rsidRDefault="00702DD6" w:rsidP="00BB7CBA">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sidRPr="002D581C">
        <w:t>–</w:t>
      </w:r>
      <w:r>
        <w:t>13.</w:t>
      </w:r>
    </w:p>
  </w:footnote>
  <w:footnote w:id="1238">
    <w:p w:rsidR="00702DD6" w:rsidRDefault="00702DD6" w:rsidP="00BB7CB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pp. 34–35; AGN, </w:t>
      </w:r>
      <w:r w:rsidRPr="00FA673F">
        <w:rPr>
          <w:rStyle w:val="AERtextitalic"/>
        </w:rPr>
        <w:t>Attachment 10.26 response to draft decision: Rate of return</w:t>
      </w:r>
      <w:r>
        <w:t xml:space="preserve">, January 2016, pp. 35–36; AusNet Electricity Services, </w:t>
      </w:r>
      <w:r w:rsidRPr="00FA673F">
        <w:rPr>
          <w:rStyle w:val="AERtextitalic"/>
        </w:rPr>
        <w:t>Revised regulatory proposal</w:t>
      </w:r>
      <w:r>
        <w:t xml:space="preserve">, January 2016, pp. 7-32–7-33; CitiPower, </w:t>
      </w:r>
      <w:r w:rsidRPr="00FA673F">
        <w:rPr>
          <w:rStyle w:val="AERtextitalic"/>
        </w:rPr>
        <w:t>Revised Regulatory Proposal 2016—2020</w:t>
      </w:r>
      <w:r>
        <w:t xml:space="preserve">, January 2016, p. 343; </w:t>
      </w:r>
      <w:r w:rsidRPr="00FA673F">
        <w:t xml:space="preserve">JEN, </w:t>
      </w:r>
      <w:r w:rsidRPr="00FA673F">
        <w:rPr>
          <w:rStyle w:val="AERtextitalic"/>
        </w:rPr>
        <w:t>Attachment 6-1 rate of return, gamma, forecast inflation, and debt and equity raising costs</w:t>
      </w:r>
      <w:r>
        <w:t xml:space="preserve">, January 2016, p. 28; </w:t>
      </w:r>
      <w:r w:rsidRPr="00FA673F">
        <w:t xml:space="preserve">Powercor, </w:t>
      </w:r>
      <w:r w:rsidRPr="00FA673F">
        <w:rPr>
          <w:rStyle w:val="AERtextitalic"/>
        </w:rPr>
        <w:t>Revised regulatory proposal 2016–20</w:t>
      </w:r>
      <w:r>
        <w:t xml:space="preserve">, January 2016, p. 337; United Energy, </w:t>
      </w:r>
      <w:r w:rsidRPr="00DA2177">
        <w:rPr>
          <w:rStyle w:val="AERtextitalic"/>
        </w:rPr>
        <w:t>2016 to 2020 revised regulatory proposal</w:t>
      </w:r>
      <w:r>
        <w:t>, January 2016, p. 33.</w:t>
      </w:r>
    </w:p>
  </w:footnote>
  <w:footnote w:id="1239">
    <w:p w:rsidR="00702DD6" w:rsidRDefault="00702DD6" w:rsidP="00BB7CB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15–27. </w:t>
      </w:r>
    </w:p>
  </w:footnote>
  <w:footnote w:id="1240">
    <w:p w:rsidR="00702DD6" w:rsidRDefault="00702DD6" w:rsidP="00BB7CB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241">
    <w:p w:rsidR="00702DD6" w:rsidRDefault="00702DD6" w:rsidP="00BB7CBA">
      <w:pPr>
        <w:pStyle w:val="FootnoteText"/>
      </w:pPr>
      <w:r>
        <w:rPr>
          <w:rStyle w:val="FootnoteReference"/>
        </w:rPr>
        <w:footnoteRef/>
      </w:r>
      <w:r>
        <w:t xml:space="preserve"> </w:t>
      </w:r>
      <w:r>
        <w:tab/>
        <w:t xml:space="preserve">Based on CEG's advice in CEG, </w:t>
      </w:r>
      <w:r w:rsidRPr="003E0673">
        <w:rPr>
          <w:rStyle w:val="AERtextitalic"/>
        </w:rPr>
        <w:t>Critique of the AER’s approach to transition</w:t>
      </w:r>
      <w:r>
        <w:t>, January 2016.</w:t>
      </w:r>
    </w:p>
  </w:footnote>
  <w:footnote w:id="1242">
    <w:p w:rsidR="00702DD6" w:rsidRDefault="00702DD6" w:rsidP="00BB7CBA">
      <w:pPr>
        <w:pStyle w:val="FootnoteText"/>
      </w:pPr>
      <w:r>
        <w:rPr>
          <w:rStyle w:val="FootnoteReference"/>
        </w:rPr>
        <w:footnoteRef/>
      </w:r>
      <w:r>
        <w:t xml:space="preserve"> </w:t>
      </w:r>
      <w:r>
        <w:tab/>
        <w:t xml:space="preserve">AER, </w:t>
      </w:r>
      <w:r w:rsidRPr="00AD0E24">
        <w:rPr>
          <w:rStyle w:val="AERtextitalic"/>
        </w:rPr>
        <w:t>Review of WACC parameters: Final decision</w:t>
      </w:r>
      <w:r>
        <w:t xml:space="preserve">, May 2009, p. 153; AER, </w:t>
      </w:r>
      <w:r w:rsidRPr="00B94D1B">
        <w:rPr>
          <w:rStyle w:val="AERtextitalic"/>
        </w:rPr>
        <w:t>Review of WACC parameters</w:t>
      </w:r>
      <w:r>
        <w:t xml:space="preserve">: </w:t>
      </w:r>
      <w:r w:rsidRPr="00AD0E24">
        <w:rPr>
          <w:rStyle w:val="AERtextitalic"/>
        </w:rPr>
        <w:t>Explanatory statement</w:t>
      </w:r>
      <w:r>
        <w:t>, December 2008, pp. 103–104.</w:t>
      </w:r>
    </w:p>
  </w:footnote>
  <w:footnote w:id="1243">
    <w:p w:rsidR="00702DD6" w:rsidRDefault="00702DD6" w:rsidP="00BB7CBA">
      <w:pPr>
        <w:pStyle w:val="FootnoteText"/>
      </w:pPr>
      <w:r>
        <w:rPr>
          <w:rStyle w:val="FootnoteReference"/>
        </w:rPr>
        <w:footnoteRef/>
      </w:r>
      <w:r>
        <w:t xml:space="preserve"> </w:t>
      </w:r>
      <w:r>
        <w:tab/>
        <w:t xml:space="preserve">Chairmont, </w:t>
      </w:r>
      <w:r w:rsidRPr="00D001FE">
        <w:rPr>
          <w:rStyle w:val="AERtextitalic"/>
        </w:rPr>
        <w:t>Financing practices under regulation: Past and transitional</w:t>
      </w:r>
      <w:r>
        <w:rPr>
          <w:rStyle w:val="AERtextitalic"/>
        </w:rPr>
        <w:t xml:space="preserve"> (Confidential)</w:t>
      </w:r>
      <w:r>
        <w:t>, October 2015, pp. 73–80.</w:t>
      </w:r>
    </w:p>
  </w:footnote>
  <w:footnote w:id="1244">
    <w:p w:rsidR="00702DD6" w:rsidRDefault="00702DD6" w:rsidP="00BB7CBA">
      <w:pPr>
        <w:pStyle w:val="FootnoteText"/>
      </w:pPr>
      <w:r>
        <w:rPr>
          <w:rStyle w:val="FootnoteReference"/>
        </w:rPr>
        <w:footnoteRef/>
      </w:r>
      <w:r>
        <w:t xml:space="preserve"> </w:t>
      </w:r>
      <w:r>
        <w:tab/>
        <w:t xml:space="preserve">See for example 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Pr>
          <w:rStyle w:val="AERtextitalic"/>
        </w:rPr>
        <w:t>2014 annual report</w:t>
      </w:r>
      <w:r>
        <w:t xml:space="preserve">, p. 26; Envestra Ltd, </w:t>
      </w:r>
      <w:r w:rsidRPr="008410DE">
        <w:rPr>
          <w:rStyle w:val="AERtextitalic"/>
        </w:rPr>
        <w:t>Directors' and financial report</w:t>
      </w:r>
      <w:r>
        <w:t xml:space="preserve">, 30 June 2014, p. 27; AusNet Services, </w:t>
      </w:r>
      <w:r w:rsidRPr="00AD0E24">
        <w:rPr>
          <w:rStyle w:val="AERtextitalic"/>
        </w:rPr>
        <w:t>Statutory annual report 2015: We move energy</w:t>
      </w:r>
      <w:r>
        <w:t xml:space="preserve">, p. 36; SP AusNet, </w:t>
      </w:r>
      <w:r w:rsidRPr="00012C61">
        <w:rPr>
          <w:rStyle w:val="AERtextitalic"/>
        </w:rPr>
        <w:t>Business review 2014: SP AusNet Distribution financial report</w:t>
      </w:r>
      <w:r>
        <w:t xml:space="preserve">, Note 19, p. 11; Spark Infrastructure, </w:t>
      </w:r>
      <w:r w:rsidRPr="00B94D1B">
        <w:rPr>
          <w:rStyle w:val="AERtextitalic"/>
        </w:rPr>
        <w:t>The Australian infrastructure network specialists: Annual report 2014</w:t>
      </w:r>
      <w:r>
        <w:t>, p. 7 (Spark does not currently engage in interest rate hedging, but over the previous two years have hedged almost 100% of their debt).</w:t>
      </w:r>
    </w:p>
  </w:footnote>
  <w:footnote w:id="1245">
    <w:p w:rsidR="00702DD6" w:rsidRDefault="00702DD6" w:rsidP="00BB7CBA">
      <w:pPr>
        <w:pStyle w:val="FootnoteText"/>
      </w:pPr>
      <w:r>
        <w:rPr>
          <w:rStyle w:val="FootnoteReference"/>
        </w:rPr>
        <w:footnoteRef/>
      </w:r>
      <w:r>
        <w:t xml:space="preserve"> </w:t>
      </w:r>
      <w:r>
        <w:tab/>
        <w:t xml:space="preserve">Chairmont, </w:t>
      </w:r>
      <w:r w:rsidRPr="00196FB2">
        <w:rPr>
          <w:rStyle w:val="AERtextitalic"/>
        </w:rPr>
        <w:t>Financing practices under regulation: Past and transitional</w:t>
      </w:r>
      <w:r>
        <w:t>, October 2015, pp. 9, 13.</w:t>
      </w:r>
    </w:p>
  </w:footnote>
  <w:footnote w:id="1246">
    <w:p w:rsidR="00702DD6" w:rsidRDefault="00702DD6" w:rsidP="00BB7CBA">
      <w:pPr>
        <w:pStyle w:val="FootnoteText"/>
      </w:pPr>
      <w:r>
        <w:rPr>
          <w:rStyle w:val="FootnoteReference"/>
        </w:rPr>
        <w:footnoteRef/>
      </w:r>
      <w:r>
        <w:t xml:space="preserve"> </w:t>
      </w:r>
      <w:r>
        <w:tab/>
        <w:t xml:space="preserve">See, for example, AER, </w:t>
      </w:r>
      <w:r w:rsidRPr="00AD0E24">
        <w:rPr>
          <w:rStyle w:val="AERtextitalic"/>
        </w:rPr>
        <w:t>Preliminary decision: United Energy determination 2016 to 2020, Attachment 3 — Rate of return</w:t>
      </w:r>
      <w:r>
        <w:t>, October 2015, pp. 555</w:t>
      </w:r>
      <w:r>
        <w:rPr>
          <w:rFonts w:cs="Arial"/>
        </w:rPr>
        <w:t>–</w:t>
      </w:r>
      <w:r>
        <w:t>558.</w:t>
      </w:r>
    </w:p>
  </w:footnote>
  <w:footnote w:id="1247">
    <w:p w:rsidR="00702DD6" w:rsidRDefault="00702DD6" w:rsidP="00BB7CBA">
      <w:pPr>
        <w:pStyle w:val="FootnoteText"/>
      </w:pPr>
      <w:r>
        <w:rPr>
          <w:rStyle w:val="FootnoteReference"/>
        </w:rPr>
        <w:footnoteRef/>
      </w:r>
      <w:r>
        <w:t xml:space="preserve"> </w:t>
      </w:r>
      <w:r>
        <w:tab/>
        <w:t xml:space="preserve">JEN, </w:t>
      </w:r>
      <w:r w:rsidRPr="00C067F7">
        <w:rPr>
          <w:rStyle w:val="AERtextitalic"/>
        </w:rPr>
        <w:t>R</w:t>
      </w:r>
      <w:r>
        <w:rPr>
          <w:rStyle w:val="AERtextitalic"/>
        </w:rPr>
        <w:t>evised r</w:t>
      </w:r>
      <w:r w:rsidRPr="00C067F7">
        <w:rPr>
          <w:rStyle w:val="AERtextitalic"/>
        </w:rPr>
        <w:t xml:space="preserve">egulatory proposal: Attachment </w:t>
      </w:r>
      <w:r>
        <w:rPr>
          <w:rStyle w:val="AERtextitalic"/>
        </w:rPr>
        <w:t>6</w:t>
      </w:r>
      <w:r w:rsidRPr="00C067F7">
        <w:rPr>
          <w:rStyle w:val="AERtextitalic"/>
        </w:rPr>
        <w:t>-</w:t>
      </w:r>
      <w:r>
        <w:rPr>
          <w:rStyle w:val="AERtextitalic"/>
        </w:rPr>
        <w:t>1 R</w:t>
      </w:r>
      <w:r w:rsidRPr="00C067F7">
        <w:rPr>
          <w:rStyle w:val="AERtextitalic"/>
        </w:rPr>
        <w:t>ate of return</w:t>
      </w:r>
      <w:r>
        <w:rPr>
          <w:rStyle w:val="AERtextitalic"/>
        </w:rPr>
        <w:t>, gamma, forecast inflation, and debt and equity raising costs</w:t>
      </w:r>
      <w:r>
        <w:t xml:space="preserve">, January 2016, pp. 35, 41. See ActewAGL, </w:t>
      </w:r>
      <w:r>
        <w:rPr>
          <w:rStyle w:val="AERtextitalic"/>
        </w:rPr>
        <w:t>Revised a</w:t>
      </w:r>
      <w:r w:rsidRPr="00C067F7">
        <w:rPr>
          <w:rStyle w:val="AERtextitalic"/>
        </w:rPr>
        <w:t xml:space="preserve">ccess arrangement </w:t>
      </w:r>
      <w:r>
        <w:rPr>
          <w:rStyle w:val="AERtextitalic"/>
        </w:rPr>
        <w:t>proposal</w:t>
      </w:r>
      <w:r w:rsidRPr="00C067F7">
        <w:rPr>
          <w:rStyle w:val="AERtextitalic"/>
        </w:rPr>
        <w:t>:</w:t>
      </w:r>
      <w:r>
        <w:rPr>
          <w:rStyle w:val="AERtextitalic"/>
        </w:rPr>
        <w:t xml:space="preserve"> Appendix 5.01—Detailed response to r</w:t>
      </w:r>
      <w:r w:rsidRPr="00C067F7">
        <w:rPr>
          <w:rStyle w:val="AERtextitalic"/>
        </w:rPr>
        <w:t>ate of return, gamma and inflation</w:t>
      </w:r>
      <w:r>
        <w:t xml:space="preserve">, January 2016, pp. 43, 45; AGN, </w:t>
      </w:r>
      <w:r>
        <w:rPr>
          <w:rStyle w:val="AERtextitalic"/>
        </w:rPr>
        <w:t>Revised a</w:t>
      </w:r>
      <w:r w:rsidRPr="00C067F7">
        <w:rPr>
          <w:rStyle w:val="AERtextitalic"/>
        </w:rPr>
        <w:t xml:space="preserve">ccess arrangement </w:t>
      </w:r>
      <w:r>
        <w:rPr>
          <w:rStyle w:val="AERtextitalic"/>
        </w:rPr>
        <w:t>proposal: Attachment 10.26—Response to draft decision: Rate of return</w:t>
      </w:r>
      <w:r>
        <w:t xml:space="preserve">, January 2016, pp. 9–10, 37–40, 87; CitiPower, </w:t>
      </w:r>
      <w:r w:rsidRPr="00C067F7">
        <w:rPr>
          <w:rStyle w:val="AERtextitalic"/>
        </w:rPr>
        <w:t>R</w:t>
      </w:r>
      <w:r>
        <w:rPr>
          <w:rStyle w:val="AERtextitalic"/>
        </w:rPr>
        <w:t>evised r</w:t>
      </w:r>
      <w:r w:rsidRPr="00C067F7">
        <w:rPr>
          <w:rStyle w:val="AERtextitalic"/>
        </w:rPr>
        <w:t>egulatory proposal</w:t>
      </w:r>
      <w:r>
        <w:t xml:space="preserve">, January 2016, p. 349–351; Powercor, </w:t>
      </w:r>
      <w:r w:rsidRPr="00C067F7">
        <w:rPr>
          <w:rStyle w:val="AERtextitalic"/>
        </w:rPr>
        <w:t>R</w:t>
      </w:r>
      <w:r>
        <w:rPr>
          <w:rStyle w:val="AERtextitalic"/>
        </w:rPr>
        <w:t>evised r</w:t>
      </w:r>
      <w:r w:rsidRPr="00C067F7">
        <w:rPr>
          <w:rStyle w:val="AERtextitalic"/>
        </w:rPr>
        <w:t>egulatory proposal</w:t>
      </w:r>
      <w:r>
        <w:t>, January 2016, p. 343–345.</w:t>
      </w:r>
    </w:p>
  </w:footnote>
  <w:footnote w:id="1248">
    <w:p w:rsidR="00702DD6" w:rsidRDefault="00702DD6" w:rsidP="00BB7CBA">
      <w:pPr>
        <w:pStyle w:val="FootnoteText"/>
      </w:pPr>
      <w:r>
        <w:rPr>
          <w:rStyle w:val="FootnoteReference"/>
        </w:rPr>
        <w:footnoteRef/>
      </w:r>
      <w:r>
        <w:t xml:space="preserve"> </w:t>
      </w:r>
      <w:r>
        <w:tab/>
      </w:r>
      <w:r w:rsidRPr="007B5BED">
        <w:t xml:space="preserve">Chairmont, </w:t>
      </w:r>
      <w:r w:rsidRPr="00D001FE">
        <w:rPr>
          <w:rStyle w:val="AERtextitalic"/>
        </w:rPr>
        <w:t>ERA Hedging costs in the cost of debt</w:t>
      </w:r>
      <w:r w:rsidRPr="007B5BED">
        <w:t>, 13 May 2015</w:t>
      </w:r>
      <w:r>
        <w:t xml:space="preserve">; CEG, </w:t>
      </w:r>
      <w:r w:rsidRPr="00196FB2">
        <w:rPr>
          <w:rStyle w:val="AERtextitalic"/>
        </w:rPr>
        <w:t>Critique of the AER's approach to transition</w:t>
      </w:r>
      <w:r>
        <w:t>, January 2016, pp. 63</w:t>
      </w:r>
      <w:r w:rsidRPr="005F311D">
        <w:t>–</w:t>
      </w:r>
      <w:r>
        <w:t>64; C</w:t>
      </w:r>
      <w:r w:rsidRPr="00CE6B23">
        <w:t xml:space="preserve">EG, </w:t>
      </w:r>
      <w:r w:rsidRPr="00D001FE">
        <w:rPr>
          <w:rStyle w:val="AERtextitalic"/>
        </w:rPr>
        <w:t>Memo– September 2015 cost of debt and inflation forecasts</w:t>
      </w:r>
      <w:r>
        <w:t xml:space="preserve">, 5 </w:t>
      </w:r>
      <w:r w:rsidRPr="00CE6B23">
        <w:t>January 2016</w:t>
      </w:r>
      <w:r>
        <w:t>.</w:t>
      </w:r>
    </w:p>
  </w:footnote>
  <w:footnote w:id="1249">
    <w:p w:rsidR="00702DD6" w:rsidRDefault="00702DD6" w:rsidP="00BB7CBA">
      <w:pPr>
        <w:pStyle w:val="FootnoteText"/>
      </w:pPr>
      <w:r>
        <w:rPr>
          <w:rStyle w:val="FootnoteReference"/>
        </w:rPr>
        <w:footnoteRef/>
      </w:r>
      <w:r>
        <w:t xml:space="preserve"> </w:t>
      </w:r>
      <w:r>
        <w:tab/>
        <w:t xml:space="preserve">On this basis, some service providers do not propose swap transaction costs. APTNT, </w:t>
      </w:r>
      <w:r w:rsidRPr="00C067F7">
        <w:rPr>
          <w:rStyle w:val="AERtextitalic"/>
        </w:rPr>
        <w:t xml:space="preserve">Amadeus Gas Pipeline access arrangement </w:t>
      </w:r>
      <w:r>
        <w:rPr>
          <w:rStyle w:val="AERtextitalic"/>
        </w:rPr>
        <w:t>revised proposal: Response to draft decision</w:t>
      </w:r>
      <w:r>
        <w:t xml:space="preserve">, January 2016; and United Energy, </w:t>
      </w:r>
      <w:r w:rsidRPr="00C067F7">
        <w:rPr>
          <w:rStyle w:val="AERtextitalic"/>
        </w:rPr>
        <w:t>Regulatory proposal</w:t>
      </w:r>
      <w:r>
        <w:t xml:space="preserve">, April 2015 do not mention swap transaction costs. AusNet Services, </w:t>
      </w:r>
      <w:r w:rsidRPr="00C067F7">
        <w:rPr>
          <w:rStyle w:val="AERtextitalic"/>
        </w:rPr>
        <w:t>R</w:t>
      </w:r>
      <w:r>
        <w:rPr>
          <w:rStyle w:val="AERtextitalic"/>
        </w:rPr>
        <w:t>evised r</w:t>
      </w:r>
      <w:r w:rsidRPr="00C067F7">
        <w:rPr>
          <w:rStyle w:val="AERtextitalic"/>
        </w:rPr>
        <w:t>egulatory proposal</w:t>
      </w:r>
      <w:r>
        <w:t xml:space="preserve">, January 2016, p. 7-37 specifically stated it does not propose swap transaction costs because it proposes an immediate transition to a trailing average. </w:t>
      </w:r>
    </w:p>
  </w:footnote>
  <w:footnote w:id="1250">
    <w:p w:rsidR="00702DD6" w:rsidRDefault="00702DD6" w:rsidP="00BB7CBA">
      <w:pPr>
        <w:pStyle w:val="FootnoteText"/>
      </w:pPr>
      <w:r>
        <w:rPr>
          <w:rStyle w:val="FootnoteReference"/>
        </w:rPr>
        <w:footnoteRef/>
      </w:r>
      <w:r>
        <w:t xml:space="preserve"> </w:t>
      </w:r>
      <w:r>
        <w:tab/>
        <w:t xml:space="preserve">See, for example, AER, </w:t>
      </w:r>
      <w:r w:rsidRPr="00AD0E24">
        <w:rPr>
          <w:rStyle w:val="AERtextitalic"/>
        </w:rPr>
        <w:t>Draft decision: Australian Gas Networks access arrangement 2016 to 2021</w:t>
      </w:r>
      <w:r>
        <w:t>, November 2015, section G.1.6, p. 581.</w:t>
      </w:r>
    </w:p>
  </w:footnote>
  <w:footnote w:id="1251">
    <w:p w:rsidR="00702DD6" w:rsidRDefault="00702DD6" w:rsidP="00BB7CBA">
      <w:pPr>
        <w:pStyle w:val="FootnoteText"/>
      </w:pPr>
      <w:r>
        <w:rPr>
          <w:rStyle w:val="FootnoteReference"/>
        </w:rPr>
        <w:footnoteRef/>
      </w:r>
      <w:r>
        <w:t xml:space="preserve"> </w:t>
      </w:r>
      <w:r>
        <w:tab/>
        <w:t xml:space="preserve">CEG, </w:t>
      </w:r>
      <w:r w:rsidRPr="00AD0E24">
        <w:rPr>
          <w:rStyle w:val="AERtextitalic"/>
        </w:rPr>
        <w:t>Critique of the AER's approach to transition</w:t>
      </w:r>
      <w:r>
        <w:t>, January 2016, p. 1.</w:t>
      </w:r>
    </w:p>
  </w:footnote>
  <w:footnote w:id="1252">
    <w:p w:rsidR="00702DD6" w:rsidRDefault="00702DD6" w:rsidP="00BB7CB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27, 31.</w:t>
      </w:r>
    </w:p>
  </w:footnote>
  <w:footnote w:id="1253">
    <w:p w:rsidR="00702DD6" w:rsidRDefault="00702DD6" w:rsidP="00BB7CBA">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95. Also see AER, </w:t>
      </w:r>
      <w:r w:rsidRPr="00AD0E24">
        <w:rPr>
          <w:rStyle w:val="AERtextitalic"/>
        </w:rPr>
        <w:t>Rate of return guideline: Explanatory statement</w:t>
      </w:r>
      <w:r>
        <w:t xml:space="preserve">, December 2013, pp. 138–139; NSW DNSP, </w:t>
      </w:r>
      <w:r w:rsidRPr="00AD0E24">
        <w:rPr>
          <w:rStyle w:val="AERtextitalic"/>
        </w:rPr>
        <w:t>Submission on the rate of return draft guideline</w:t>
      </w:r>
      <w:r>
        <w:t xml:space="preserve">, 11 October 2013, pp. 16–17; Ergon Energy, </w:t>
      </w:r>
      <w:r w:rsidRPr="00AD0E24">
        <w:rPr>
          <w:rStyle w:val="AERtextitalic"/>
        </w:rPr>
        <w:t>Submission on the draft rate of return guidelines and explanatory statement</w:t>
      </w:r>
      <w:r>
        <w:t xml:space="preserve">, 11 October 2013, p. 5; ENA, </w:t>
      </w:r>
      <w:r w:rsidRPr="00AD0E24">
        <w:rPr>
          <w:rStyle w:val="AERtextitalic"/>
        </w:rPr>
        <w:t>Response to the draft rate of return guideline</w:t>
      </w:r>
      <w:r>
        <w:t>, 11 October 2013, pp. 58–60.</w:t>
      </w:r>
    </w:p>
  </w:footnote>
  <w:footnote w:id="1254">
    <w:p w:rsidR="00702DD6" w:rsidRDefault="00702DD6" w:rsidP="00A32947">
      <w:pPr>
        <w:pStyle w:val="FootnoteText"/>
      </w:pPr>
      <w:r>
        <w:rPr>
          <w:rStyle w:val="FootnoteReference"/>
        </w:rPr>
        <w:footnoteRef/>
      </w:r>
      <w:r>
        <w:t xml:space="preserve"> </w:t>
      </w:r>
      <w:r>
        <w:tab/>
        <w:t xml:space="preserve">AER, </w:t>
      </w:r>
      <w:r w:rsidRPr="00E50160">
        <w:rPr>
          <w:rStyle w:val="AERtextitalic"/>
        </w:rPr>
        <w:t>Return on debt: Choice of third party data service provider—Issues Paper</w:t>
      </w:r>
      <w:r>
        <w:t>, April 2014.</w:t>
      </w:r>
    </w:p>
  </w:footnote>
  <w:footnote w:id="1255">
    <w:p w:rsidR="00702DD6" w:rsidRDefault="00702DD6" w:rsidP="00A32947">
      <w:pPr>
        <w:pStyle w:val="FootnoteText"/>
      </w:pPr>
      <w:r>
        <w:rPr>
          <w:rStyle w:val="FootnoteReference"/>
        </w:rPr>
        <w:footnoteRef/>
      </w:r>
      <w:r>
        <w:t xml:space="preserve"> </w:t>
      </w:r>
      <w:r>
        <w:tab/>
        <w:t>This is from the period that the revised proposals were submitted (6 Jan 2016) until the final decisions for the Victorian DNSPs are published (26 May 2016), noting that analysis, consultation and decision would have to fit within this period.</w:t>
      </w:r>
    </w:p>
  </w:footnote>
  <w:footnote w:id="1256">
    <w:p w:rsidR="00702DD6" w:rsidRDefault="00702DD6" w:rsidP="00A32947">
      <w:pPr>
        <w:pStyle w:val="FootnoteText"/>
      </w:pPr>
      <w:r>
        <w:rPr>
          <w:rStyle w:val="FootnoteReference"/>
        </w:rPr>
        <w:footnoteRef/>
      </w:r>
      <w:r>
        <w:t xml:space="preserve"> </w:t>
      </w:r>
      <w:r>
        <w:tab/>
        <w:t xml:space="preserve">CEG, </w:t>
      </w:r>
      <w:r w:rsidRPr="00F95704">
        <w:rPr>
          <w:rStyle w:val="AERtextitalic"/>
        </w:rPr>
        <w:t>Critique of the AER's JGN draft decision on the cost of debt</w:t>
      </w:r>
      <w:r>
        <w:t>, April 2015, p. 64</w:t>
      </w:r>
    </w:p>
  </w:footnote>
  <w:footnote w:id="1257">
    <w:p w:rsidR="00702DD6" w:rsidRDefault="00702DD6" w:rsidP="00EC3019">
      <w:pPr>
        <w:pStyle w:val="FootnoteText"/>
      </w:pPr>
      <w:r>
        <w:rPr>
          <w:rStyle w:val="FootnoteReference"/>
        </w:rPr>
        <w:footnoteRef/>
      </w:r>
      <w:r>
        <w:t xml:space="preserve"> </w:t>
      </w:r>
      <w:r>
        <w:tab/>
        <w:t xml:space="preserve">Specifically, AER staff met with Thomson Reuters staff on 18 April 2016. </w:t>
      </w:r>
    </w:p>
  </w:footnote>
  <w:footnote w:id="1258">
    <w:p w:rsidR="00702DD6" w:rsidRDefault="00702DD6" w:rsidP="00EC3019">
      <w:pPr>
        <w:pStyle w:val="FootnoteText"/>
      </w:pPr>
      <w:r>
        <w:rPr>
          <w:rStyle w:val="FootnoteReference"/>
        </w:rPr>
        <w:footnoteRef/>
      </w:r>
      <w:r>
        <w:t xml:space="preserve"> </w:t>
      </w:r>
      <w:r>
        <w:tab/>
        <w:t xml:space="preserve">CEG, </w:t>
      </w:r>
      <w:r>
        <w:rPr>
          <w:rStyle w:val="AERtextitalic"/>
        </w:rPr>
        <w:t>Response to AER information request</w:t>
      </w:r>
      <w:r>
        <w:t>, 8 February 2016.</w:t>
      </w:r>
    </w:p>
  </w:footnote>
  <w:footnote w:id="1259">
    <w:p w:rsidR="00702DD6" w:rsidRDefault="00702DD6" w:rsidP="00A32947">
      <w:pPr>
        <w:pStyle w:val="FootnoteText"/>
      </w:pPr>
      <w:r>
        <w:rPr>
          <w:rStyle w:val="FootnoteReference"/>
        </w:rPr>
        <w:footnoteRef/>
      </w:r>
      <w:r>
        <w:t xml:space="preserve"> </w:t>
      </w:r>
      <w:r>
        <w:tab/>
        <w:t xml:space="preserve">CEG, </w:t>
      </w:r>
      <w:r w:rsidRPr="00D3347E">
        <w:rPr>
          <w:rStyle w:val="AERtextitalic"/>
        </w:rPr>
        <w:t>Criteria for assessing fair value curves</w:t>
      </w:r>
      <w:r>
        <w:t>, January 2016, p. 9.</w:t>
      </w:r>
    </w:p>
  </w:footnote>
  <w:footnote w:id="1260">
    <w:p w:rsidR="00702DD6" w:rsidRDefault="00702DD6" w:rsidP="00A32947">
      <w:pPr>
        <w:pStyle w:val="FootnoteText"/>
      </w:pPr>
      <w:r>
        <w:rPr>
          <w:rStyle w:val="FootnoteReference"/>
        </w:rPr>
        <w:footnoteRef/>
      </w:r>
      <w:r>
        <w:t xml:space="preserve"> </w:t>
      </w:r>
      <w:r>
        <w:tab/>
        <w:t xml:space="preserve">AusNet Services, </w:t>
      </w:r>
      <w:r w:rsidRPr="00E90439">
        <w:rPr>
          <w:rStyle w:val="AERtextitalic"/>
        </w:rPr>
        <w:t>AusNet Services’ response to submissions on the Victorian EDPR Preliminary Decision</w:t>
      </w:r>
      <w:r>
        <w:t>, February 2016, pp. 18–21.</w:t>
      </w:r>
    </w:p>
  </w:footnote>
  <w:footnote w:id="1261">
    <w:p w:rsidR="00702DD6" w:rsidRDefault="00702DD6" w:rsidP="00A32947">
      <w:pPr>
        <w:pStyle w:val="FootnoteText"/>
      </w:pPr>
      <w:r>
        <w:rPr>
          <w:rStyle w:val="FootnoteReference"/>
        </w:rPr>
        <w:footnoteRef/>
      </w:r>
      <w:r>
        <w:t xml:space="preserve"> </w:t>
      </w:r>
      <w:r>
        <w:tab/>
        <w:t xml:space="preserve">CEG, </w:t>
      </w:r>
      <w:r w:rsidRPr="00D3347E">
        <w:rPr>
          <w:rStyle w:val="AERtextitalic"/>
        </w:rPr>
        <w:t>Criteria for assessing fair value curves</w:t>
      </w:r>
      <w:r>
        <w:t xml:space="preserve">, January 2016; CEG, </w:t>
      </w:r>
      <w:r w:rsidRPr="00CB2D08">
        <w:rPr>
          <w:rStyle w:val="AERtextitalic"/>
        </w:rPr>
        <w:t>Memorandum: Recent financial market conditions and the BVAL curve</w:t>
      </w:r>
      <w:r>
        <w:t>, February 2016.</w:t>
      </w:r>
    </w:p>
    <w:p w:rsidR="00702DD6" w:rsidRDefault="00702DD6" w:rsidP="00A32947">
      <w:pPr>
        <w:pStyle w:val="FootnoteText"/>
      </w:pPr>
    </w:p>
  </w:footnote>
  <w:footnote w:id="1262">
    <w:p w:rsidR="00702DD6" w:rsidRDefault="00702DD6" w:rsidP="00A32947">
      <w:pPr>
        <w:pStyle w:val="FootnoteText"/>
      </w:pPr>
      <w:r>
        <w:rPr>
          <w:rStyle w:val="FootnoteReference"/>
        </w:rPr>
        <w:footnoteRef/>
      </w:r>
      <w:r>
        <w:t xml:space="preserve"> </w:t>
      </w:r>
      <w:r>
        <w:tab/>
        <w:t xml:space="preserve">For example: AER, </w:t>
      </w:r>
      <w:r w:rsidRPr="00E31FE5">
        <w:rPr>
          <w:rStyle w:val="AERtextitalic"/>
        </w:rPr>
        <w:t>Final decision—Ausgrid distribution determination—Attachment 3: Rate of return</w:t>
      </w:r>
      <w:r>
        <w:t>, April 2015, pp. 202</w:t>
      </w:r>
      <w:r>
        <w:softHyphen/>
        <w:t xml:space="preserve">–203; AER, </w:t>
      </w:r>
      <w:r w:rsidRPr="00E31FE5">
        <w:rPr>
          <w:rStyle w:val="AERtextitalic"/>
        </w:rPr>
        <w:t>Preliminary decision—AusNet Services—Attachment 3: Rate of return</w:t>
      </w:r>
      <w:r>
        <w:t>, October 2015, p. 224.</w:t>
      </w:r>
    </w:p>
  </w:footnote>
  <w:footnote w:id="1263">
    <w:p w:rsidR="00702DD6" w:rsidRDefault="00702DD6" w:rsidP="00144385">
      <w:pPr>
        <w:pStyle w:val="FootnoteText"/>
      </w:pPr>
      <w:r>
        <w:rPr>
          <w:rStyle w:val="FootnoteReference"/>
        </w:rPr>
        <w:footnoteRef/>
      </w:r>
      <w:r>
        <w:t xml:space="preserve"> </w:t>
      </w:r>
      <w:r>
        <w:tab/>
        <w:t xml:space="preserve">Some information is available on the RBA website: </w:t>
      </w:r>
      <w:r w:rsidRPr="009026AF">
        <w:t>http://www.rba.gov.au/statistics/tables/changes-to-tables.html</w:t>
      </w:r>
    </w:p>
  </w:footnote>
  <w:footnote w:id="1264">
    <w:p w:rsidR="00702DD6" w:rsidRDefault="00702DD6" w:rsidP="00144385">
      <w:pPr>
        <w:pStyle w:val="FootnoteText"/>
      </w:pPr>
      <w:r>
        <w:rPr>
          <w:rStyle w:val="FootnoteReference"/>
        </w:rPr>
        <w:footnoteRef/>
      </w:r>
      <w:r>
        <w:t xml:space="preserve"> </w:t>
      </w:r>
      <w:r>
        <w:tab/>
        <w:t>Specifically, AER staff met with RBA staff on 8 April 2016.</w:t>
      </w:r>
    </w:p>
  </w:footnote>
  <w:footnote w:id="1265">
    <w:p w:rsidR="00702DD6" w:rsidRDefault="00702DD6" w:rsidP="00A32947">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xml:space="preserve">, January 2016, p. 9; CEG, </w:t>
      </w:r>
      <w:r w:rsidRPr="00E31FE5">
        <w:rPr>
          <w:rStyle w:val="AERtextitalic"/>
        </w:rPr>
        <w:t>Recent financial market conditions and the BVAL curve – updated to 19 February 2016</w:t>
      </w:r>
      <w:r>
        <w:t>, February 2016, p. 1.</w:t>
      </w:r>
    </w:p>
  </w:footnote>
  <w:footnote w:id="1266">
    <w:p w:rsidR="00702DD6" w:rsidRDefault="00702DD6" w:rsidP="00A32947">
      <w:pPr>
        <w:pStyle w:val="FootnoteText"/>
      </w:pPr>
      <w:r>
        <w:rPr>
          <w:rStyle w:val="FootnoteReference"/>
        </w:rPr>
        <w:footnoteRef/>
      </w:r>
      <w:r>
        <w:t xml:space="preserve"> </w:t>
      </w:r>
      <w:r>
        <w:tab/>
        <w:t xml:space="preserve">See for example: AER, </w:t>
      </w:r>
      <w:r w:rsidRPr="00E8288C">
        <w:rPr>
          <w:rStyle w:val="AERtextitalic"/>
        </w:rPr>
        <w:t>Ausgrid distribution determination: Draft Decision—Attachment 3: Rate of return</w:t>
      </w:r>
      <w:r>
        <w:t xml:space="preserve">, pp. 135–150; </w:t>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267">
    <w:p w:rsidR="00702DD6" w:rsidRDefault="00702DD6" w:rsidP="00A32947">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xml:space="preserve">, February 2016, p. 4; AusNet Services, </w:t>
      </w:r>
      <w:r w:rsidRPr="00EF333E">
        <w:rPr>
          <w:rStyle w:val="AERtextitalic"/>
        </w:rPr>
        <w:t>Response to submissions on AER's EDPR preliminary decision</w:t>
      </w:r>
      <w:r>
        <w:t>, February 2016, p. 21.</w:t>
      </w:r>
    </w:p>
  </w:footnote>
  <w:footnote w:id="1268">
    <w:p w:rsidR="00702DD6" w:rsidRDefault="00702DD6" w:rsidP="00A32947">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xml:space="preserve">, February 2016, p. 4; AusNet Services, </w:t>
      </w:r>
      <w:r w:rsidRPr="00EF333E">
        <w:rPr>
          <w:rStyle w:val="AERtextitalic"/>
        </w:rPr>
        <w:t>Response to submissions on AER's EDPR preliminary decision</w:t>
      </w:r>
      <w:r>
        <w:t>, February 2016, p. 21.</w:t>
      </w:r>
    </w:p>
  </w:footnote>
  <w:footnote w:id="1269">
    <w:p w:rsidR="00702DD6" w:rsidRDefault="00702DD6" w:rsidP="00A32947">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February 2016, p. 4.</w:t>
      </w:r>
    </w:p>
  </w:footnote>
  <w:footnote w:id="1270">
    <w:p w:rsidR="00702DD6" w:rsidRDefault="00702DD6" w:rsidP="00A32947">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 242.</w:t>
      </w:r>
    </w:p>
  </w:footnote>
  <w:footnote w:id="1271">
    <w:p w:rsidR="00702DD6" w:rsidRDefault="00702DD6" w:rsidP="00A32947">
      <w:pPr>
        <w:pStyle w:val="FootnoteText"/>
      </w:pPr>
      <w:r>
        <w:rPr>
          <w:rStyle w:val="FootnoteReference"/>
        </w:rPr>
        <w:footnoteRef/>
      </w:r>
      <w:r>
        <w:t xml:space="preserve"> </w:t>
      </w:r>
      <w:r>
        <w:tab/>
        <w:t xml:space="preserve">For example: </w:t>
      </w:r>
      <w:r w:rsidRPr="00283B13">
        <w:t xml:space="preserve">CEG, </w:t>
      </w:r>
      <w:r w:rsidRPr="00283B13">
        <w:rPr>
          <w:rStyle w:val="AERtextitalic"/>
        </w:rPr>
        <w:t>The hybrid method for the transition to the trailing average rate of return on debt—Assessment and calculations for AGN</w:t>
      </w:r>
      <w:r w:rsidRPr="00283B13">
        <w:t>, June 2015</w:t>
      </w:r>
      <w:r>
        <w:t>, p. 75.</w:t>
      </w:r>
    </w:p>
  </w:footnote>
  <w:footnote w:id="1272">
    <w:p w:rsidR="00702DD6" w:rsidRDefault="00702DD6" w:rsidP="00A32947">
      <w:pPr>
        <w:pStyle w:val="FootnoteText"/>
      </w:pPr>
      <w:r>
        <w:rPr>
          <w:rStyle w:val="FootnoteReference"/>
        </w:rPr>
        <w:footnoteRef/>
      </w:r>
      <w:r>
        <w:t xml:space="preserve"> </w:t>
      </w:r>
      <w:r>
        <w:tab/>
        <w:t xml:space="preserve">AER, </w:t>
      </w:r>
      <w:r w:rsidRPr="00AC0EB9">
        <w:rPr>
          <w:rStyle w:val="AERtextitalic"/>
        </w:rPr>
        <w:t>Email</w:t>
      </w:r>
      <w:r>
        <w:t xml:space="preserve"> c</w:t>
      </w:r>
      <w:r w:rsidRPr="00283B13">
        <w:rPr>
          <w:rStyle w:val="AERtextitalic"/>
        </w:rPr>
        <w:t>orrespondence with Bloomberg</w:t>
      </w:r>
      <w:r>
        <w:t>, 12 September 2015.</w:t>
      </w:r>
    </w:p>
  </w:footnote>
  <w:footnote w:id="1273">
    <w:p w:rsidR="00702DD6" w:rsidRDefault="00702DD6" w:rsidP="00A32947">
      <w:pPr>
        <w:pStyle w:val="FootnoteText"/>
      </w:pPr>
      <w:r>
        <w:rPr>
          <w:rStyle w:val="FootnoteReference"/>
        </w:rPr>
        <w:footnoteRef/>
      </w:r>
      <w:r>
        <w:t xml:space="preserve"> </w:t>
      </w:r>
      <w:r>
        <w:tab/>
        <w:t xml:space="preserve">CEG, </w:t>
      </w:r>
      <w:r w:rsidRPr="00E31FE5">
        <w:rPr>
          <w:rStyle w:val="AERtextitalic"/>
        </w:rPr>
        <w:t>Criteria for assessing fair value curves</w:t>
      </w:r>
      <w:r>
        <w:t>, January 2016, pp. 5–</w:t>
      </w:r>
      <w:r>
        <w:softHyphen/>
        <w:t>6.</w:t>
      </w:r>
    </w:p>
  </w:footnote>
  <w:footnote w:id="1274">
    <w:p w:rsidR="00702DD6" w:rsidRDefault="00702DD6" w:rsidP="00A32947">
      <w:pPr>
        <w:pStyle w:val="FootnoteText"/>
      </w:pPr>
      <w:r>
        <w:rPr>
          <w:rStyle w:val="FootnoteReference"/>
        </w:rPr>
        <w:footnoteRef/>
      </w:r>
      <w:r>
        <w:t xml:space="preserve"> </w:t>
      </w:r>
      <w:r>
        <w:tab/>
        <w:t xml:space="preserve">CEG, </w:t>
      </w:r>
      <w:r w:rsidRPr="00E31FE5">
        <w:rPr>
          <w:rStyle w:val="AERtextitalic"/>
        </w:rPr>
        <w:t>Recent financial market conditions and the BVAL curve – updated to 19 February 2016</w:t>
      </w:r>
      <w:r>
        <w:t>, February 2016.</w:t>
      </w:r>
    </w:p>
  </w:footnote>
  <w:footnote w:id="1275">
    <w:p w:rsidR="00702DD6" w:rsidRDefault="00702DD6" w:rsidP="00A32947">
      <w:pPr>
        <w:pStyle w:val="FootnoteText"/>
      </w:pPr>
      <w:r>
        <w:rPr>
          <w:rStyle w:val="FootnoteReference"/>
        </w:rPr>
        <w:footnoteRef/>
      </w:r>
      <w:r>
        <w:t xml:space="preserve"> </w:t>
      </w:r>
      <w:r>
        <w:tab/>
        <w:t xml:space="preserve">AusNet Services, </w:t>
      </w:r>
      <w:r w:rsidRPr="002656DF">
        <w:rPr>
          <w:rStyle w:val="AERtextitalic"/>
        </w:rPr>
        <w:t>Actual Debt Averaging Period – Additional Evidence</w:t>
      </w:r>
      <w:r>
        <w:t>, March 2016.</w:t>
      </w:r>
    </w:p>
  </w:footnote>
  <w:footnote w:id="1276">
    <w:p w:rsidR="00702DD6" w:rsidRDefault="00702DD6" w:rsidP="00A32947">
      <w:pPr>
        <w:pStyle w:val="FootnoteText"/>
      </w:pPr>
      <w:r>
        <w:rPr>
          <w:rStyle w:val="FootnoteReference"/>
        </w:rPr>
        <w:footnoteRef/>
      </w:r>
      <w:r>
        <w:t xml:space="preserve"> </w:t>
      </w:r>
      <w:r>
        <w:tab/>
        <w:t>The correlation coefficient was –0.65.</w:t>
      </w:r>
    </w:p>
  </w:footnote>
  <w:footnote w:id="1277">
    <w:p w:rsidR="00702DD6" w:rsidRDefault="00702DD6" w:rsidP="00A32947">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February 2016, p. 5.</w:t>
      </w:r>
    </w:p>
  </w:footnote>
  <w:footnote w:id="1278">
    <w:p w:rsidR="00702DD6" w:rsidRDefault="00702DD6" w:rsidP="00A32947">
      <w:pPr>
        <w:pStyle w:val="FootnoteText"/>
      </w:pPr>
      <w:r>
        <w:rPr>
          <w:rStyle w:val="FootnoteReference"/>
        </w:rPr>
        <w:footnoteRef/>
      </w:r>
      <w:r>
        <w:t xml:space="preserve"> </w:t>
      </w:r>
      <w:r>
        <w:tab/>
        <w:t xml:space="preserve">We confirmed this by entering the bond tickers from CEG's 'Figure 3: Percentage change in spread-to-swap—31 December to 27 January 2016' into the Bloomberg terminal. See: CEG, </w:t>
      </w:r>
      <w:r w:rsidRPr="00CB2D08">
        <w:rPr>
          <w:rStyle w:val="AERtextitalic"/>
        </w:rPr>
        <w:t>Memorandum: Recent financial market conditions and the BVAL curve</w:t>
      </w:r>
      <w:r>
        <w:t>, February 2016, p. 4.</w:t>
      </w:r>
    </w:p>
  </w:footnote>
  <w:footnote w:id="1279">
    <w:p w:rsidR="00702DD6" w:rsidRDefault="00702DD6" w:rsidP="00A32947">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41.</w:t>
      </w:r>
    </w:p>
  </w:footnote>
  <w:footnote w:id="1280">
    <w:p w:rsidR="00702DD6" w:rsidRDefault="00702DD6" w:rsidP="00A32947">
      <w:pPr>
        <w:pStyle w:val="FootnoteText"/>
      </w:pPr>
      <w:r>
        <w:rPr>
          <w:rStyle w:val="FootnoteReference"/>
        </w:rPr>
        <w:footnoteRef/>
      </w:r>
      <w:r>
        <w:t xml:space="preserve"> </w:t>
      </w:r>
      <w:r>
        <w:tab/>
        <w:t xml:space="preserve">AusNet Services, </w:t>
      </w:r>
      <w:r w:rsidRPr="00E31FE5">
        <w:rPr>
          <w:rStyle w:val="AERtextitalic"/>
        </w:rPr>
        <w:t>Actual Debt Averaging Period – Additional Evidence</w:t>
      </w:r>
      <w:r>
        <w:t>, March 2016, pp. 12</w:t>
      </w:r>
      <w:r>
        <w:softHyphen/>
        <w:t>–13.</w:t>
      </w:r>
    </w:p>
  </w:footnote>
  <w:footnote w:id="1281">
    <w:p w:rsidR="00702DD6" w:rsidRDefault="00702DD6" w:rsidP="00A32947">
      <w:pPr>
        <w:pStyle w:val="FootnoteText"/>
      </w:pPr>
      <w:r>
        <w:rPr>
          <w:rStyle w:val="FootnoteReference"/>
        </w:rPr>
        <w:footnoteRef/>
      </w:r>
      <w:r>
        <w:t xml:space="preserve"> </w:t>
      </w:r>
      <w:r>
        <w:tab/>
        <w:t xml:space="preserve">See for example: CEG, </w:t>
      </w:r>
      <w:r w:rsidRPr="00E31FE5">
        <w:rPr>
          <w:rStyle w:val="AERtextitalic"/>
        </w:rPr>
        <w:t>Recent financial market conditions and the BVAL curve – updated to 19 February 2016</w:t>
      </w:r>
      <w:r>
        <w:t>, February 2016, p. 1.</w:t>
      </w:r>
    </w:p>
  </w:footnote>
  <w:footnote w:id="1282">
    <w:p w:rsidR="00702DD6" w:rsidRDefault="00702DD6" w:rsidP="00A32947">
      <w:pPr>
        <w:pStyle w:val="FootnoteText"/>
      </w:pPr>
      <w:r>
        <w:rPr>
          <w:rStyle w:val="FootnoteReference"/>
        </w:rPr>
        <w:footnoteRef/>
      </w:r>
      <w:r>
        <w:t xml:space="preserve"> </w:t>
      </w:r>
      <w:r>
        <w:tab/>
        <w:t xml:space="preserve">AER, </w:t>
      </w:r>
      <w:r w:rsidRPr="00E31FE5">
        <w:rPr>
          <w:rStyle w:val="AERtextitalic"/>
        </w:rPr>
        <w:t>Preliminary decision—AusNet Services—Attachment 3: Rate of return</w:t>
      </w:r>
      <w:r>
        <w:t>, October 2015, pp. 226</w:t>
      </w:r>
      <w:r>
        <w:softHyphen/>
        <w:t>–227.</w:t>
      </w:r>
    </w:p>
  </w:footnote>
  <w:footnote w:id="1283">
    <w:p w:rsidR="00702DD6" w:rsidRDefault="00702DD6" w:rsidP="00A32947">
      <w:pPr>
        <w:pStyle w:val="FootnoteText"/>
      </w:pPr>
      <w:r>
        <w:rPr>
          <w:rStyle w:val="FootnoteReference"/>
        </w:rPr>
        <w:footnoteRef/>
      </w:r>
      <w:r>
        <w:t xml:space="preserve"> </w:t>
      </w:r>
      <w:r>
        <w:tab/>
        <w:t>See section I.1.</w:t>
      </w:r>
    </w:p>
  </w:footnote>
  <w:footnote w:id="1284">
    <w:p w:rsidR="00702DD6" w:rsidRDefault="00702DD6" w:rsidP="00A32947">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pp. 226</w:t>
      </w:r>
      <w:r>
        <w:softHyphen/>
        <w:t>–227.</w:t>
      </w:r>
    </w:p>
  </w:footnote>
  <w:footnote w:id="1285">
    <w:p w:rsidR="00702DD6" w:rsidRDefault="00702DD6" w:rsidP="00A32947">
      <w:pPr>
        <w:pStyle w:val="FootnoteText"/>
      </w:pPr>
      <w:r>
        <w:rPr>
          <w:rStyle w:val="FootnoteReference"/>
        </w:rPr>
        <w:footnoteRef/>
      </w:r>
      <w:r>
        <w:t xml:space="preserve"> </w:t>
      </w:r>
      <w:r>
        <w:tab/>
        <w:t xml:space="preserve">AER, </w:t>
      </w:r>
      <w:r w:rsidRPr="00E31FE5">
        <w:rPr>
          <w:rStyle w:val="AERtextitalic"/>
        </w:rPr>
        <w:t>Better Regulation: Explanatory statement—Rate of return guideline</w:t>
      </w:r>
      <w:r>
        <w:t xml:space="preserve">, December 2013, p. 136. </w:t>
      </w:r>
    </w:p>
  </w:footnote>
  <w:footnote w:id="1286">
    <w:p w:rsidR="00702DD6" w:rsidRDefault="00702DD6" w:rsidP="00A32947">
      <w:pPr>
        <w:pStyle w:val="FootnoteText"/>
      </w:pPr>
      <w:r>
        <w:rPr>
          <w:rStyle w:val="FootnoteReference"/>
        </w:rPr>
        <w:footnoteRef/>
      </w:r>
      <w:r>
        <w:t xml:space="preserve"> </w:t>
      </w:r>
      <w:r>
        <w:tab/>
        <w:t xml:space="preserve">Australian Competition Tribunal, </w:t>
      </w:r>
      <w:r w:rsidRPr="00536B64">
        <w:rPr>
          <w:rStyle w:val="AERtextitalic"/>
        </w:rPr>
        <w:t>Applications by Public Interest Advocacy Centre Ltd and Ausgrid  [2016] ACompT 1</w:t>
      </w:r>
      <w:r>
        <w:t>, February 2016, para. 983.</w:t>
      </w:r>
    </w:p>
  </w:footnote>
  <w:footnote w:id="1287">
    <w:p w:rsidR="00702DD6" w:rsidRDefault="00702DD6" w:rsidP="00A32947">
      <w:pPr>
        <w:pStyle w:val="FootnoteText"/>
      </w:pPr>
      <w:r>
        <w:rPr>
          <w:rStyle w:val="FootnoteReference"/>
        </w:rPr>
        <w:footnoteRef/>
      </w:r>
      <w:r>
        <w:t xml:space="preserve"> </w:t>
      </w:r>
      <w:r>
        <w:tab/>
        <w:t xml:space="preserve">Australian Competition Tribunal, </w:t>
      </w:r>
      <w:r w:rsidRPr="00536B64">
        <w:rPr>
          <w:rStyle w:val="AERtextitalic"/>
        </w:rPr>
        <w:t>Applications by Public Interest Advocacy Centre Ltd and Ausgrid  [2016] ACompT 1</w:t>
      </w:r>
      <w:r>
        <w:t>, February 2016, para. 983.</w:t>
      </w:r>
    </w:p>
  </w:footnote>
  <w:footnote w:id="1288">
    <w:p w:rsidR="00702DD6" w:rsidRDefault="00702DD6" w:rsidP="00A32947">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January 2016, p. 31.</w:t>
      </w:r>
    </w:p>
  </w:footnote>
  <w:footnote w:id="1289">
    <w:p w:rsidR="00702DD6" w:rsidRDefault="00702DD6" w:rsidP="00A32947">
      <w:pPr>
        <w:pStyle w:val="FootnoteText"/>
      </w:pPr>
      <w:r>
        <w:rPr>
          <w:rStyle w:val="FootnoteReference"/>
        </w:rPr>
        <w:footnoteRef/>
      </w:r>
      <w:r>
        <w:t xml:space="preserve"> </w:t>
      </w:r>
      <w:r>
        <w:tab/>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290">
    <w:p w:rsidR="00702DD6" w:rsidRDefault="00702DD6" w:rsidP="00A32947">
      <w:pPr>
        <w:pStyle w:val="FootnoteText"/>
      </w:pPr>
      <w:r>
        <w:rPr>
          <w:rStyle w:val="FootnoteReference"/>
        </w:rPr>
        <w:footnoteRef/>
      </w:r>
      <w:r>
        <w:t xml:space="preserve"> </w:t>
      </w:r>
      <w:r>
        <w:tab/>
        <w:t>To illustrate this, Bloomberg published data on 252 days in 2015, where the RBA published data on 12 days.</w:t>
      </w:r>
    </w:p>
  </w:footnote>
  <w:footnote w:id="1291">
    <w:p w:rsidR="00702DD6" w:rsidRDefault="00702DD6" w:rsidP="00A32947">
      <w:pPr>
        <w:pStyle w:val="FootnoteText"/>
      </w:pPr>
      <w:r>
        <w:rPr>
          <w:rStyle w:val="FootnoteReference"/>
        </w:rPr>
        <w:footnoteRef/>
      </w:r>
      <w:r>
        <w:t xml:space="preserve"> </w:t>
      </w:r>
      <w:r>
        <w:tab/>
        <w:t xml:space="preserve">AusNet Services, </w:t>
      </w:r>
      <w:r w:rsidRPr="001B7438">
        <w:t>AusNet Services’ response to submissions on the Victorian EDPR Preliminary Decision</w:t>
      </w:r>
      <w:r>
        <w:t>, February 2016, pp. 20–21.</w:t>
      </w:r>
    </w:p>
  </w:footnote>
  <w:footnote w:id="1292">
    <w:p w:rsidR="00702DD6" w:rsidRDefault="00702DD6" w:rsidP="00A32947">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pp. 2–3.</w:t>
      </w:r>
    </w:p>
  </w:footnote>
  <w:footnote w:id="1293">
    <w:p w:rsidR="00702DD6" w:rsidRDefault="00702DD6" w:rsidP="00A32947">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20.</w:t>
      </w:r>
    </w:p>
  </w:footnote>
  <w:footnote w:id="1294">
    <w:p w:rsidR="00702DD6" w:rsidRDefault="00702DD6" w:rsidP="00A32947">
      <w:pPr>
        <w:pStyle w:val="FootnoteText"/>
      </w:pPr>
      <w:r>
        <w:rPr>
          <w:rStyle w:val="FootnoteReference"/>
        </w:rPr>
        <w:footnoteRef/>
      </w:r>
      <w:r>
        <w:t xml:space="preserve"> </w:t>
      </w:r>
      <w:r>
        <w:tab/>
        <w:t xml:space="preserve">CEG, </w:t>
      </w:r>
      <w:r w:rsidRPr="00F95704">
        <w:rPr>
          <w:rStyle w:val="AERtextitalic"/>
        </w:rPr>
        <w:t>Critique of the AER's JGN draft decision on the cost of debt</w:t>
      </w:r>
      <w:r>
        <w:t>, April 2015, p. 64</w:t>
      </w:r>
    </w:p>
  </w:footnote>
  <w:footnote w:id="1295">
    <w:p w:rsidR="00702DD6" w:rsidRDefault="00702DD6" w:rsidP="00A32947">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20.</w:t>
      </w:r>
    </w:p>
  </w:footnote>
  <w:footnote w:id="1296">
    <w:p w:rsidR="00702DD6" w:rsidRDefault="00702DD6" w:rsidP="00A32947">
      <w:pPr>
        <w:pStyle w:val="FootnoteText"/>
      </w:pPr>
      <w:r>
        <w:rPr>
          <w:rStyle w:val="FootnoteReference"/>
        </w:rPr>
        <w:footnoteRef/>
      </w:r>
      <w:r>
        <w:t xml:space="preserve"> </w:t>
      </w:r>
      <w:r>
        <w:tab/>
        <w:t xml:space="preserve">Chairmont, </w:t>
      </w:r>
      <w:r w:rsidRPr="000B4FF2">
        <w:rPr>
          <w:rStyle w:val="AERtextitalic"/>
        </w:rPr>
        <w:t>Financing practices under regulation</w:t>
      </w:r>
      <w:r>
        <w:t>, October 2015, pp. 24–26.</w:t>
      </w:r>
    </w:p>
  </w:footnote>
  <w:footnote w:id="1297">
    <w:p w:rsidR="00702DD6" w:rsidRDefault="00702DD6" w:rsidP="00A32947">
      <w:pPr>
        <w:pStyle w:val="FootnoteText"/>
      </w:pPr>
      <w:r>
        <w:rPr>
          <w:rStyle w:val="FootnoteReference"/>
        </w:rPr>
        <w:footnoteRef/>
      </w:r>
      <w:r>
        <w:t xml:space="preserve"> </w:t>
      </w:r>
      <w:r>
        <w:tab/>
      </w:r>
      <w:r w:rsidRPr="005820BF">
        <w:t xml:space="preserve">ENA, </w:t>
      </w:r>
      <w:r w:rsidRPr="005820BF">
        <w:rPr>
          <w:rStyle w:val="AERtextitalic"/>
        </w:rPr>
        <w:t>Submission to the draft guideline</w:t>
      </w:r>
      <w:r w:rsidRPr="005820BF">
        <w:t>, October 2013.</w:t>
      </w:r>
    </w:p>
  </w:footnote>
  <w:footnote w:id="1298">
    <w:p w:rsidR="00702DD6" w:rsidRDefault="00702DD6" w:rsidP="00A32947">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December 2013, December 2013, p. 143.</w:t>
      </w:r>
    </w:p>
  </w:footnote>
  <w:footnote w:id="1299">
    <w:p w:rsidR="00702DD6" w:rsidRDefault="00702DD6" w:rsidP="00A32947">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55.</w:t>
      </w:r>
    </w:p>
  </w:footnote>
  <w:footnote w:id="1300">
    <w:p w:rsidR="00702DD6" w:rsidRDefault="00702DD6" w:rsidP="00A32947">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xml:space="preserve">, December 2013, pp. 23–24; </w:t>
      </w:r>
      <w:r w:rsidRPr="00C50D37">
        <w:t>AER</w:t>
      </w:r>
      <w:r>
        <w:t xml:space="preserve">, </w:t>
      </w:r>
      <w:r w:rsidRPr="00C50D37">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xml:space="preserve">, April 2015, p. 197pp. 320–322 ; CEG, </w:t>
      </w:r>
      <w:r w:rsidRPr="00E31FE5">
        <w:rPr>
          <w:rStyle w:val="AERtextitalic"/>
        </w:rPr>
        <w:t>Criteria for assessing fair value curves</w:t>
      </w:r>
      <w:r>
        <w:t>, January 2016, p. 17.</w:t>
      </w:r>
    </w:p>
  </w:footnote>
  <w:footnote w:id="1301">
    <w:p w:rsidR="00702DD6" w:rsidRDefault="00702DD6" w:rsidP="00A32947">
      <w:pPr>
        <w:pStyle w:val="FootnoteText"/>
      </w:pPr>
      <w:r>
        <w:rPr>
          <w:rStyle w:val="FootnoteReference"/>
        </w:rPr>
        <w:footnoteRef/>
      </w:r>
      <w:r>
        <w:t xml:space="preserve"> </w:t>
      </w:r>
      <w:r>
        <w:tab/>
        <w:t xml:space="preserve">Australian Competition Tribunal, </w:t>
      </w:r>
      <w:r w:rsidRPr="00536B64">
        <w:rPr>
          <w:rStyle w:val="AERtextitalic"/>
        </w:rPr>
        <w:t>Applications by Public Interest Advocacy Centre Ltd and Ausgrid  [2016] ACompT 1</w:t>
      </w:r>
      <w:r>
        <w:t>, February 2016, para. 983.</w:t>
      </w:r>
    </w:p>
  </w:footnote>
  <w:footnote w:id="1302">
    <w:p w:rsidR="00702DD6" w:rsidRDefault="00702DD6" w:rsidP="00A32947">
      <w:pPr>
        <w:pStyle w:val="FootnoteText"/>
      </w:pPr>
      <w:r>
        <w:rPr>
          <w:rStyle w:val="FootnoteReference"/>
        </w:rPr>
        <w:footnoteRef/>
      </w:r>
      <w:r>
        <w:t xml:space="preserve">  </w:t>
      </w:r>
      <w:r>
        <w:tab/>
        <w:t xml:space="preserve">See for example: AER, </w:t>
      </w:r>
      <w:r w:rsidRPr="00E31FE5">
        <w:rPr>
          <w:rStyle w:val="AERtextitalic"/>
        </w:rPr>
        <w:t>Preliminary decision—AusNet Services</w:t>
      </w:r>
      <w:r>
        <w:t xml:space="preserve">, October 2015, p. 224. </w:t>
      </w:r>
    </w:p>
  </w:footnote>
  <w:footnote w:id="1303">
    <w:p w:rsidR="00702DD6" w:rsidRDefault="00702DD6" w:rsidP="00A32947">
      <w:pPr>
        <w:pStyle w:val="FootnoteText"/>
      </w:pPr>
      <w:r>
        <w:rPr>
          <w:rStyle w:val="FootnoteReference"/>
        </w:rPr>
        <w:footnoteRef/>
      </w:r>
      <w:r>
        <w:t xml:space="preserve"> </w:t>
      </w:r>
      <w:r>
        <w:tab/>
      </w:r>
      <w:r w:rsidRPr="0073565F">
        <w:t xml:space="preserve">Lally, </w:t>
      </w:r>
      <w:r w:rsidRPr="00E31FE5">
        <w:rPr>
          <w:rStyle w:val="AERtextitalic"/>
        </w:rPr>
        <w:t>Implementation issues for the cost of debt</w:t>
      </w:r>
      <w:r w:rsidRPr="0073565F">
        <w:t>, 20 November 2014, p. 5.</w:t>
      </w:r>
    </w:p>
  </w:footnote>
  <w:footnote w:id="1304">
    <w:p w:rsidR="00702DD6" w:rsidRDefault="00702DD6" w:rsidP="00A32947">
      <w:pPr>
        <w:pStyle w:val="FootnoteText"/>
      </w:pPr>
      <w:r>
        <w:rPr>
          <w:rStyle w:val="FootnoteReference"/>
        </w:rPr>
        <w:footnoteRef/>
      </w:r>
      <w:r>
        <w:t xml:space="preserve"> </w:t>
      </w:r>
      <w:r>
        <w:tab/>
        <w:t xml:space="preserve">CEG, </w:t>
      </w:r>
      <w:r w:rsidRPr="00E31FE5">
        <w:rPr>
          <w:rStyle w:val="AERtextitalic"/>
        </w:rPr>
        <w:t>Criteria for assessing fair value curves</w:t>
      </w:r>
      <w:r>
        <w:t>, January 2016, pp. 59–61.</w:t>
      </w:r>
    </w:p>
  </w:footnote>
  <w:footnote w:id="1305">
    <w:p w:rsidR="00702DD6" w:rsidRDefault="00702DD6" w:rsidP="00A32947">
      <w:pPr>
        <w:pStyle w:val="FootnoteText"/>
      </w:pPr>
      <w:r>
        <w:rPr>
          <w:rStyle w:val="FootnoteReference"/>
        </w:rPr>
        <w:footnoteRef/>
      </w:r>
      <w:r>
        <w:t xml:space="preserve"> </w:t>
      </w:r>
      <w:r>
        <w:tab/>
        <w:t xml:space="preserve">CEG, </w:t>
      </w:r>
      <w:r w:rsidRPr="00F775B5">
        <w:rPr>
          <w:rStyle w:val="AERtextitalic"/>
        </w:rPr>
        <w:t>Criteria for assessing fair value curves</w:t>
      </w:r>
      <w:r>
        <w:t>, January 2016, p. 60.</w:t>
      </w:r>
    </w:p>
  </w:footnote>
  <w:footnote w:id="1306">
    <w:p w:rsidR="00702DD6" w:rsidRDefault="00702DD6" w:rsidP="00A32947">
      <w:pPr>
        <w:pStyle w:val="FootnoteText"/>
      </w:pPr>
      <w:r>
        <w:rPr>
          <w:rStyle w:val="FootnoteReference"/>
        </w:rPr>
        <w:footnoteRef/>
      </w:r>
      <w:r>
        <w:t xml:space="preserve"> </w:t>
      </w:r>
      <w:r>
        <w:tab/>
        <w:t xml:space="preserve">CEG, </w:t>
      </w:r>
      <w:r w:rsidRPr="00F775B5">
        <w:rPr>
          <w:rStyle w:val="AERtextitalic"/>
        </w:rPr>
        <w:t>Criteria for assessing fair value curves</w:t>
      </w:r>
      <w:r>
        <w:t>, January 2016, pp. 61.</w:t>
      </w:r>
    </w:p>
  </w:footnote>
  <w:footnote w:id="1307">
    <w:p w:rsidR="00702DD6" w:rsidRDefault="00702DD6" w:rsidP="00A32947">
      <w:pPr>
        <w:pStyle w:val="FootnoteText"/>
      </w:pPr>
      <w:r>
        <w:rPr>
          <w:rStyle w:val="FootnoteReference"/>
        </w:rPr>
        <w:footnoteRef/>
      </w:r>
      <w:r>
        <w:t xml:space="preserve"> </w:t>
      </w:r>
      <w:r>
        <w:tab/>
        <w:t xml:space="preserve">We discuss this in section </w:t>
      </w:r>
      <w:r>
        <w:fldChar w:fldCharType="begin"/>
      </w:r>
      <w:r>
        <w:instrText xml:space="preserve"> REF _Ref430958623 \r \h </w:instrText>
      </w:r>
      <w:r>
        <w:fldChar w:fldCharType="separate"/>
      </w:r>
      <w:r>
        <w:t>0</w:t>
      </w:r>
      <w:r>
        <w:fldChar w:fldCharType="end"/>
      </w:r>
      <w:r>
        <w:t xml:space="preserve"> and in previous decisions. For example, </w:t>
      </w:r>
      <w:r w:rsidRPr="00C50D37">
        <w:t>AER</w:t>
      </w:r>
      <w:r>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April 2015, pp. 230</w:t>
      </w:r>
      <w:r>
        <w:softHyphen/>
        <w:t>–236.</w:t>
      </w:r>
    </w:p>
  </w:footnote>
  <w:footnote w:id="1308">
    <w:p w:rsidR="00702DD6" w:rsidRDefault="00702DD6" w:rsidP="00A32947">
      <w:pPr>
        <w:pStyle w:val="FootnoteText"/>
      </w:pPr>
      <w:r>
        <w:rPr>
          <w:rStyle w:val="FootnoteReference"/>
        </w:rPr>
        <w:footnoteRef/>
      </w:r>
      <w:r>
        <w:t xml:space="preserve"> </w:t>
      </w:r>
      <w:r>
        <w:tab/>
        <w:t xml:space="preserve">For example: CEG, </w:t>
      </w:r>
      <w:r w:rsidRPr="00142A80">
        <w:rPr>
          <w:rStyle w:val="AERtextitalic"/>
        </w:rPr>
        <w:t>Critique of the AER's JGN draft decision on the cost of debt</w:t>
      </w:r>
      <w:r>
        <w:t xml:space="preserve">, April 2015, p. 64.  </w:t>
      </w:r>
    </w:p>
  </w:footnote>
  <w:footnote w:id="1309">
    <w:p w:rsidR="00702DD6" w:rsidRDefault="00702DD6" w:rsidP="00BB7CBA">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rPr>
          <w:rStyle w:val="AERtextitalic"/>
        </w:rPr>
        <w:t>: Attachment 1</w:t>
      </w:r>
      <w:r>
        <w:t>, August 2015, p. 86.</w:t>
      </w:r>
    </w:p>
  </w:footnote>
  <w:footnote w:id="1310">
    <w:p w:rsidR="00702DD6" w:rsidRDefault="00702DD6" w:rsidP="00BB7CBA">
      <w:pPr>
        <w:pStyle w:val="FootnoteText"/>
      </w:pPr>
      <w:r>
        <w:rPr>
          <w:rStyle w:val="FootnoteReference"/>
        </w:rPr>
        <w:footnoteRef/>
      </w:r>
      <w:r>
        <w:t xml:space="preserve"> </w:t>
      </w:r>
      <w:r>
        <w:tab/>
        <w:t xml:space="preserve">All these service providers nominated an averaging period for their first regulatory year (except for United Energy, who nominated averaging periods for its first and second regulatory years). They proposed an annual process to nominate averaging periods for the subsequent regulatory years. See: 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1 July 2015, pp. 15–17.</w:t>
      </w:r>
    </w:p>
  </w:footnote>
  <w:footnote w:id="1311">
    <w:p w:rsidR="00702DD6" w:rsidRDefault="00702DD6" w:rsidP="00BB7CBA">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312">
    <w:p w:rsidR="00702DD6" w:rsidRDefault="00702DD6" w:rsidP="00BB7CBA">
      <w:pPr>
        <w:pStyle w:val="FootnoteText"/>
      </w:pPr>
      <w:r>
        <w:rPr>
          <w:rStyle w:val="FootnoteReference"/>
        </w:rPr>
        <w:footnoteRef/>
      </w:r>
      <w:r>
        <w:t xml:space="preserve"> </w:t>
      </w:r>
      <w:r>
        <w:tab/>
        <w:t xml:space="preserve">CitiPower, </w:t>
      </w:r>
      <w:r w:rsidRPr="004D1E24">
        <w:rPr>
          <w:rStyle w:val="AERtextitalic"/>
        </w:rPr>
        <w:t>R</w:t>
      </w:r>
      <w:r>
        <w:rPr>
          <w:rStyle w:val="AERtextitalic"/>
        </w:rPr>
        <w:t>evised r</w:t>
      </w:r>
      <w:r w:rsidRPr="004D1E24">
        <w:rPr>
          <w:rStyle w:val="AERtextitalic"/>
        </w:rPr>
        <w:t>egulatory proposal</w:t>
      </w:r>
      <w:r>
        <w:t xml:space="preserve">, 6 January 2016, p. 349; Powercor, </w:t>
      </w:r>
      <w:r w:rsidRPr="004D1E24">
        <w:rPr>
          <w:rStyle w:val="AERtextitalic"/>
        </w:rPr>
        <w:t>R</w:t>
      </w:r>
      <w:r>
        <w:rPr>
          <w:rStyle w:val="AERtextitalic"/>
        </w:rPr>
        <w:t>evised r</w:t>
      </w:r>
      <w:r w:rsidRPr="004D1E24">
        <w:rPr>
          <w:rStyle w:val="AERtextitalic"/>
        </w:rPr>
        <w:t>egulatory proposal</w:t>
      </w:r>
      <w:r>
        <w:t xml:space="preserve">, 6 January 2016, p. 343; United Energy, </w:t>
      </w:r>
      <w:r w:rsidRPr="004D1E24">
        <w:rPr>
          <w:rStyle w:val="AERtextitalic"/>
        </w:rPr>
        <w:t>R</w:t>
      </w:r>
      <w:r>
        <w:rPr>
          <w:rStyle w:val="AERtextitalic"/>
        </w:rPr>
        <w:t>evised r</w:t>
      </w:r>
      <w:r w:rsidRPr="004D1E24">
        <w:rPr>
          <w:rStyle w:val="AERtextitalic"/>
        </w:rPr>
        <w:t>egulatory proposal</w:t>
      </w:r>
      <w:r>
        <w:t>, 6 January 2016, p. 75</w:t>
      </w:r>
      <w:r>
        <w:rPr>
          <w:rStyle w:val="AERtextitalic"/>
        </w:rPr>
        <w:t>.</w:t>
      </w:r>
    </w:p>
  </w:footnote>
  <w:footnote w:id="1313">
    <w:p w:rsidR="00702DD6" w:rsidRDefault="00702DD6" w:rsidP="00BB7CBA">
      <w:pPr>
        <w:pStyle w:val="FootnoteText"/>
      </w:pPr>
      <w:r>
        <w:rPr>
          <w:rStyle w:val="FootnoteReference"/>
        </w:rPr>
        <w:footnoteRef/>
      </w:r>
      <w:r>
        <w:t xml:space="preserve"> </w:t>
      </w:r>
      <w:r>
        <w:tab/>
        <w:t>NER, cl. 6.5.2(h</w:t>
      </w:r>
      <w:r w:rsidRPr="005F1830">
        <w:t>)</w:t>
      </w:r>
      <w:r>
        <w:t xml:space="preserve"> and 6A.6.2(h); NGR, r. 87(8)</w:t>
      </w:r>
      <w:r w:rsidRPr="005F1830">
        <w:t>.</w:t>
      </w:r>
    </w:p>
  </w:footnote>
  <w:footnote w:id="1314">
    <w:p w:rsidR="00702DD6" w:rsidRDefault="00702DD6" w:rsidP="00BB7CBA">
      <w:pPr>
        <w:pStyle w:val="FootnoteText"/>
      </w:pPr>
      <w:r>
        <w:rPr>
          <w:rStyle w:val="FootnoteReference"/>
        </w:rPr>
        <w:footnoteRef/>
      </w:r>
      <w:r>
        <w:t xml:space="preserve"> </w:t>
      </w:r>
      <w:r>
        <w:tab/>
        <w:t xml:space="preserve">The service providers also considered this approach </w:t>
      </w:r>
      <w:r w:rsidRPr="009446C8">
        <w:t xml:space="preserve">reduces the risk of the </w:t>
      </w:r>
      <w:r>
        <w:t xml:space="preserve">confidential </w:t>
      </w:r>
      <w:r w:rsidRPr="009446C8">
        <w:t>averaging periods becoming known to third parties</w:t>
      </w:r>
      <w:r>
        <w:t xml:space="preserve">. We are satisfied that our approach to handling confidential material minimises the risk of confidential averaging periods becoming known to third parties. 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1 July 2015, pp. 15–17.</w:t>
      </w:r>
    </w:p>
  </w:footnote>
  <w:footnote w:id="1315">
    <w:p w:rsidR="00702DD6" w:rsidRDefault="00702DD6" w:rsidP="00BB7CBA">
      <w:pPr>
        <w:pStyle w:val="FootnoteText"/>
      </w:pPr>
      <w:r>
        <w:rPr>
          <w:rStyle w:val="FootnoteReference"/>
        </w:rPr>
        <w:footnoteRef/>
      </w:r>
      <w:r>
        <w:t xml:space="preserve"> </w:t>
      </w:r>
      <w:r>
        <w:tab/>
        <w:t>NER, cl. 6.5.2(k</w:t>
      </w:r>
      <w:r w:rsidRPr="005F1830">
        <w:t>)</w:t>
      </w:r>
      <w:r>
        <w:t>(1) and 6A.6.2(k)(1); NGR, r. 87(11)(1)</w:t>
      </w:r>
      <w:r w:rsidRPr="005F1830">
        <w:t>.</w:t>
      </w:r>
    </w:p>
  </w:footnote>
  <w:footnote w:id="1316">
    <w:p w:rsidR="00702DD6" w:rsidRDefault="00702DD6" w:rsidP="00BB7CBA">
      <w:pPr>
        <w:pStyle w:val="FootnoteText"/>
      </w:pPr>
      <w:r>
        <w:rPr>
          <w:rStyle w:val="FootnoteReference"/>
        </w:rPr>
        <w:footnoteRef/>
      </w:r>
      <w:r>
        <w:t xml:space="preserve"> </w:t>
      </w:r>
      <w:r>
        <w:tab/>
        <w:t>NER, cl.</w:t>
      </w:r>
      <w:r w:rsidRPr="005F1830">
        <w:t xml:space="preserve"> 6.5.2(l)</w:t>
      </w:r>
      <w:r>
        <w:t xml:space="preserve"> and 6A.6.2(l); NGR, r. 87(12)</w:t>
      </w:r>
      <w:r w:rsidRPr="005F1830">
        <w:t>.</w:t>
      </w:r>
    </w:p>
  </w:footnote>
  <w:footnote w:id="1317">
    <w:p w:rsidR="00702DD6" w:rsidRDefault="00702DD6" w:rsidP="00BB7CBA">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318">
    <w:p w:rsidR="00702DD6" w:rsidRDefault="00702DD6" w:rsidP="00BB7CBA">
      <w:pPr>
        <w:pStyle w:val="FootnoteText"/>
      </w:pPr>
      <w:r>
        <w:rPr>
          <w:rStyle w:val="FootnoteReference"/>
        </w:rPr>
        <w:footnoteRef/>
      </w:r>
      <w:r>
        <w:t xml:space="preserve"> </w:t>
      </w:r>
      <w:r>
        <w:tab/>
        <w:t>NER, cl. 6.5.2(h</w:t>
      </w:r>
      <w:r w:rsidRPr="005F1830">
        <w:t>)</w:t>
      </w:r>
      <w:r>
        <w:t xml:space="preserve"> and 6A.6.2(h); NGR, r. 87(8)</w:t>
      </w:r>
      <w:r w:rsidRPr="005F1830">
        <w:t>.</w:t>
      </w:r>
    </w:p>
  </w:footnote>
  <w:footnote w:id="1319">
    <w:p w:rsidR="00702DD6" w:rsidRDefault="00702DD6" w:rsidP="00BB7CBA">
      <w:pPr>
        <w:pStyle w:val="FootnoteText"/>
      </w:pPr>
      <w:r>
        <w:rPr>
          <w:rStyle w:val="FootnoteReference"/>
        </w:rPr>
        <w:footnoteRef/>
      </w:r>
      <w:r>
        <w:t xml:space="preserve"> </w:t>
      </w:r>
      <w:r>
        <w:tab/>
        <w:t>Lally observed that if</w:t>
      </w:r>
      <w:r w:rsidRPr="00B60748">
        <w:t xml:space="preserve"> a regulated business can select an averaging period by looking at historical yields, it </w:t>
      </w:r>
      <w:r>
        <w:t>may introduce an upward bias. Lally</w:t>
      </w:r>
      <w:r w:rsidRPr="00B60748">
        <w:t xml:space="preserve">, </w:t>
      </w:r>
      <w:r w:rsidRPr="0033179F">
        <w:rPr>
          <w:rStyle w:val="AERtextitalic"/>
        </w:rPr>
        <w:t>Expert Report of Martin Thomas Lally</w:t>
      </w:r>
      <w:r>
        <w:t>, 13 February 2011, pp. 9</w:t>
      </w:r>
      <w:r>
        <w:rPr>
          <w:rFonts w:cs="Gautami"/>
        </w:rPr>
        <w:t>–</w:t>
      </w:r>
      <w:r w:rsidRPr="00B60748">
        <w:t>10.</w:t>
      </w:r>
    </w:p>
  </w:footnote>
  <w:footnote w:id="1320">
    <w:p w:rsidR="00702DD6" w:rsidRDefault="00702DD6" w:rsidP="00BB7CBA">
      <w:pPr>
        <w:pStyle w:val="FootnoteText"/>
      </w:pPr>
      <w:r>
        <w:rPr>
          <w:rStyle w:val="FootnoteReference"/>
        </w:rPr>
        <w:footnoteRef/>
      </w:r>
      <w:r>
        <w:t xml:space="preserve"> </w:t>
      </w:r>
      <w:r>
        <w:tab/>
        <w:t>In the Federal Court, the reference to 'an unbiased rate of return' was interpolated to involve,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Federal Court of Australia, </w:t>
      </w:r>
      <w:r w:rsidRPr="007B70AB">
        <w:rPr>
          <w:rStyle w:val="AERtextitalic"/>
        </w:rPr>
        <w:t>ActewAGL Distribution v The Australian Energy Regulator [2011] FCA 639</w:t>
      </w:r>
      <w:r>
        <w:t>, 8 June 2011, para 39.</w:t>
      </w:r>
    </w:p>
  </w:footnote>
  <w:footnote w:id="1321">
    <w:p w:rsidR="00702DD6" w:rsidRDefault="00702DD6" w:rsidP="00BB7CBA">
      <w:pPr>
        <w:pStyle w:val="FootnoteText"/>
      </w:pPr>
      <w:r>
        <w:rPr>
          <w:rStyle w:val="FootnoteReference"/>
        </w:rPr>
        <w:footnoteRef/>
      </w:r>
      <w:r>
        <w:t xml:space="preserve"> </w:t>
      </w:r>
      <w:r>
        <w:tab/>
        <w:t xml:space="preserve">Similar considerations apply when setting averaging periods in advance for estimating both the return on debt and the risk free rate to inform the return on equity.  See AER, </w:t>
      </w:r>
      <w:r w:rsidRPr="00A92047">
        <w:rPr>
          <w:rStyle w:val="AERtextitalic"/>
        </w:rPr>
        <w:t>Explanatory statement to the rate of return guideline</w:t>
      </w:r>
      <w:r>
        <w:t>, December 2013, pp. 79</w:t>
      </w:r>
      <w:r>
        <w:rPr>
          <w:rFonts w:cs="Arial"/>
        </w:rPr>
        <w:t>–</w:t>
      </w:r>
      <w:r>
        <w:t xml:space="preserve">80; </w:t>
      </w:r>
      <w:r w:rsidRPr="00586A00">
        <w:t xml:space="preserve">Lally, M., </w:t>
      </w:r>
      <w:r w:rsidRPr="00586A00">
        <w:rPr>
          <w:rStyle w:val="AERtextitalic"/>
        </w:rPr>
        <w:t>Expert Report of Martin Thomas Lally</w:t>
      </w:r>
      <w:r w:rsidRPr="00586A00">
        <w:t>, 13 February 2011, pp. 9-10</w:t>
      </w:r>
      <w:r>
        <w:t xml:space="preserve">. See the Federal Court of Australia's observations of the views expressed by Houston and Lally in Federal Court of Australia, </w:t>
      </w:r>
      <w:r w:rsidRPr="007826AB">
        <w:rPr>
          <w:rStyle w:val="AERtextitalic"/>
        </w:rPr>
        <w:t>ActewAGL Distribution v The Australian Energy Regulator [2011] FCA 639</w:t>
      </w:r>
      <w:r>
        <w:t xml:space="preserve">, 8 June 2011, para 145. </w:t>
      </w:r>
    </w:p>
  </w:footnote>
  <w:footnote w:id="1322">
    <w:p w:rsidR="00702DD6" w:rsidRDefault="00702DD6" w:rsidP="00BB7CBA">
      <w:pPr>
        <w:pStyle w:val="FootnoteText"/>
      </w:pPr>
      <w:r>
        <w:rPr>
          <w:rStyle w:val="FootnoteReference"/>
        </w:rPr>
        <w:footnoteRef/>
      </w:r>
      <w:r>
        <w:t xml:space="preserve"> </w:t>
      </w:r>
      <w:r>
        <w:tab/>
        <w:t xml:space="preserve">Ausgrid, </w:t>
      </w:r>
      <w:r w:rsidRPr="00DE4ADB">
        <w:rPr>
          <w:rStyle w:val="AERtextitalic"/>
        </w:rPr>
        <w:t>Revised regulatory proposal and preliminary submission</w:t>
      </w:r>
      <w:r>
        <w:t>, January 2015, pp. 175, 189;</w:t>
      </w:r>
      <w:r w:rsidRPr="00A13612">
        <w:t xml:space="preserve"> </w:t>
      </w:r>
      <w:r>
        <w:t xml:space="preserve">Endeavour Energy, </w:t>
      </w:r>
      <w:r w:rsidRPr="007D1684">
        <w:rPr>
          <w:rStyle w:val="AERtextitalic"/>
        </w:rPr>
        <w:t>Revised regulatory proposal</w:t>
      </w:r>
      <w:r>
        <w:t>, January 2015, pp. 205, 214;</w:t>
      </w:r>
      <w:r w:rsidRPr="00A13612">
        <w:t xml:space="preserve"> </w:t>
      </w:r>
      <w:r>
        <w:t xml:space="preserve">Essential Energy, </w:t>
      </w:r>
      <w:r w:rsidRPr="007D1684">
        <w:rPr>
          <w:rStyle w:val="AERtextitalic"/>
        </w:rPr>
        <w:t>Revised regulatory proposal</w:t>
      </w:r>
      <w:r>
        <w:t>, January 2015, pp. 215, 232.</w:t>
      </w:r>
    </w:p>
  </w:footnote>
  <w:footnote w:id="1323">
    <w:p w:rsidR="00702DD6" w:rsidRDefault="00702DD6" w:rsidP="00BB7CBA">
      <w:pPr>
        <w:pStyle w:val="FootnoteText"/>
      </w:pPr>
      <w:r>
        <w:rPr>
          <w:rStyle w:val="FootnoteReference"/>
        </w:rPr>
        <w:footnoteRef/>
      </w:r>
      <w:r>
        <w:t xml:space="preserve"> </w:t>
      </w:r>
      <w:r>
        <w:tab/>
      </w:r>
      <w:r w:rsidRPr="00352395">
        <w:t xml:space="preserve">Australian Competition Tribunal, </w:t>
      </w:r>
      <w:r w:rsidRPr="00DE4ADB">
        <w:rPr>
          <w:rStyle w:val="AERtextitalic"/>
        </w:rPr>
        <w:t>Application by Energy Australia and Others [2009] ACompT 8</w:t>
      </w:r>
      <w:r w:rsidRPr="00352395">
        <w:t>, 12 November 2009</w:t>
      </w:r>
      <w:r>
        <w:t xml:space="preserve">; Federal Court of Australia, </w:t>
      </w:r>
      <w:r w:rsidRPr="00DE4ADB">
        <w:rPr>
          <w:rStyle w:val="AERtextitalic"/>
        </w:rPr>
        <w:t>ActewAGL Distribution v The Australian Energy Regulator [2011] FCA 639</w:t>
      </w:r>
      <w:r>
        <w:t>, 8 June 2011.</w:t>
      </w:r>
    </w:p>
  </w:footnote>
  <w:footnote w:id="1324">
    <w:p w:rsidR="00702DD6" w:rsidRDefault="00702DD6" w:rsidP="00BB7CBA">
      <w:pPr>
        <w:pStyle w:val="FootnoteText"/>
      </w:pPr>
      <w:r>
        <w:rPr>
          <w:rStyle w:val="FootnoteReference"/>
        </w:rPr>
        <w:footnoteRef/>
      </w:r>
      <w:r>
        <w:t xml:space="preserve"> </w:t>
      </w:r>
      <w:r>
        <w:tab/>
        <w:t xml:space="preserve">For example see, AER, </w:t>
      </w:r>
      <w:r w:rsidRPr="00DE4ADB">
        <w:rPr>
          <w:rStyle w:val="AERtextitalic"/>
        </w:rPr>
        <w:t>distribution determination, Aurora 2012–13 to 2016–17</w:t>
      </w:r>
      <w:r>
        <w:t>, pp. 192</w:t>
      </w:r>
      <w:r>
        <w:rPr>
          <w:rFonts w:cs="Arial"/>
        </w:rPr>
        <w:t>–</w:t>
      </w:r>
      <w:r>
        <w:t xml:space="preserve">209; AER, </w:t>
      </w:r>
      <w:r w:rsidRPr="00DE4ADB">
        <w:rPr>
          <w:rStyle w:val="AERtextitalic"/>
        </w:rPr>
        <w:t>SP AusNet final decision part 2: Attachments</w:t>
      </w:r>
      <w:r>
        <w:t xml:space="preserve">, March 2013, p. 75; AER, </w:t>
      </w:r>
      <w:r w:rsidRPr="00DE4ADB">
        <w:rPr>
          <w:rStyle w:val="AERtextitalic"/>
        </w:rPr>
        <w:t>SP AusNet final decision part 2: Attachments</w:t>
      </w:r>
      <w:r>
        <w:t xml:space="preserve">, March 2013, p. 114; AER, </w:t>
      </w:r>
      <w:r w:rsidRPr="00DE4ADB">
        <w:rPr>
          <w:rStyle w:val="AERtextitalic"/>
        </w:rPr>
        <w:t>Multinet final decision part 2: Attachments</w:t>
      </w:r>
      <w:r>
        <w:t>, March 2013, p. 97.</w:t>
      </w:r>
    </w:p>
  </w:footnote>
  <w:footnote w:id="1325">
    <w:p w:rsidR="00702DD6" w:rsidRDefault="00702DD6" w:rsidP="00BB7CBA">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 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 46.</w:t>
      </w:r>
    </w:p>
  </w:footnote>
  <w:footnote w:id="1326">
    <w:p w:rsidR="00702DD6" w:rsidRDefault="00702DD6" w:rsidP="00BB7CBA">
      <w:pPr>
        <w:pStyle w:val="FootnoteText"/>
      </w:pPr>
      <w:r>
        <w:rPr>
          <w:rStyle w:val="FootnoteReference"/>
        </w:rPr>
        <w:footnoteRef/>
      </w:r>
      <w:r>
        <w:t xml:space="preserve"> </w:t>
      </w:r>
      <w:r>
        <w:tab/>
        <w:t xml:space="preserve">AER, </w:t>
      </w:r>
      <w:r w:rsidRPr="0033179F">
        <w:rPr>
          <w:rStyle w:val="AERtextitalic"/>
        </w:rPr>
        <w:t>Explanatory statement to the rate of return guideline</w:t>
      </w:r>
      <w:r>
        <w:t>, 17 December 2013, p. 112.</w:t>
      </w:r>
    </w:p>
  </w:footnote>
  <w:footnote w:id="1327">
    <w:p w:rsidR="00702DD6" w:rsidRDefault="00702DD6" w:rsidP="00BB7CBA">
      <w:pPr>
        <w:pStyle w:val="FootnoteText"/>
      </w:pPr>
      <w:r>
        <w:rPr>
          <w:rStyle w:val="FootnoteReference"/>
        </w:rPr>
        <w:footnoteRef/>
      </w:r>
      <w:r>
        <w:t xml:space="preserve"> </w:t>
      </w:r>
      <w:r>
        <w:tab/>
      </w:r>
      <w:r w:rsidRPr="00F201AD">
        <w:t xml:space="preserve">JEN, </w:t>
      </w:r>
      <w:r w:rsidRPr="009C7A42">
        <w:rPr>
          <w:rStyle w:val="AERtextitalic"/>
        </w:rPr>
        <w:t>Regulatory proposal—Attachment 9-2: Rate of return proposal</w:t>
      </w:r>
      <w:r w:rsidRPr="00F201AD">
        <w:t>, 30 April 2015</w:t>
      </w:r>
      <w:r>
        <w:t xml:space="preserve">, pp. 101–102; </w:t>
      </w:r>
      <w:r w:rsidRPr="00F201AD">
        <w:t xml:space="preserve">ActewAGL, </w:t>
      </w:r>
      <w:r w:rsidRPr="009C7A42">
        <w:rPr>
          <w:rStyle w:val="AERtextitalic"/>
        </w:rPr>
        <w:t>Access arrangement proposal—Appendix 8.01: Detailed return on debt proposal</w:t>
      </w:r>
      <w:r w:rsidRPr="00F201AD">
        <w:t>, 1 July 2015, pp. 15–17</w:t>
      </w:r>
      <w:r>
        <w:t xml:space="preserv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328">
    <w:p w:rsidR="00702DD6" w:rsidRDefault="00702DD6" w:rsidP="00BB7CBA">
      <w:pPr>
        <w:pStyle w:val="FootnoteText"/>
      </w:pPr>
      <w:r>
        <w:rPr>
          <w:rStyle w:val="FootnoteReference"/>
        </w:rPr>
        <w:footnoteRef/>
      </w:r>
      <w:r>
        <w:t xml:space="preserve"> </w:t>
      </w:r>
      <w:r>
        <w:tab/>
        <w:t xml:space="preserve">See Chairmont, </w:t>
      </w:r>
      <w:r w:rsidRPr="0037727B">
        <w:rPr>
          <w:rStyle w:val="AERtextitalic"/>
        </w:rPr>
        <w:t>Cost of debt: Transitional analysis</w:t>
      </w:r>
      <w:r>
        <w:t>, April 2015.</w:t>
      </w:r>
    </w:p>
  </w:footnote>
  <w:footnote w:id="1329">
    <w:p w:rsidR="00702DD6" w:rsidRDefault="00702DD6" w:rsidP="00BB7CBA">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1330">
    <w:p w:rsidR="00702DD6" w:rsidRDefault="00702DD6" w:rsidP="00BB7CBA">
      <w:pPr>
        <w:pStyle w:val="FootnoteText"/>
      </w:pPr>
      <w:r>
        <w:rPr>
          <w:rStyle w:val="FootnoteReference"/>
        </w:rPr>
        <w:footnoteRef/>
      </w:r>
      <w:r>
        <w:t xml:space="preserve"> </w:t>
      </w:r>
      <w:r>
        <w:tab/>
        <w:t xml:space="preserve">That is, service providers could nominate a long averaging period, and issue debt sometime within that period. Or they could issue debt around the averaging period. </w:t>
      </w:r>
      <w:r w:rsidRPr="00BF61B5">
        <w:t xml:space="preserve"> </w:t>
      </w:r>
      <w:r>
        <w:t xml:space="preserve">We do not consider it is necessary for a benchmark efficient entity to issue or hedge all debt perfectly within the averaging period for it to receive significant risk reduction benefits. For example, in relation to the NSW service providers, we considered that during the global financing crisis, even if a benchmark efficient entity in their circumstances required 90 business days to hedge their debt, and the averaging periods was 15 or 40 businesses days, this would still be efficient and significantly reduce their interest rate risk relative to not hedging at all. This position is supported by expert advice we received from Chairmont and Lally. AER, </w:t>
      </w:r>
      <w:r w:rsidRPr="00484916">
        <w:rPr>
          <w:rStyle w:val="AERtextitalic"/>
        </w:rPr>
        <w:t>Final decision—TransGrid</w:t>
      </w:r>
      <w:r>
        <w:rPr>
          <w:rStyle w:val="AERtextitalic"/>
        </w:rPr>
        <w:t>–Transmission determination</w:t>
      </w:r>
      <w:r>
        <w:t xml:space="preserve">, April 2015, Attachment 3; Chairmont, </w:t>
      </w:r>
      <w:r w:rsidRPr="00821C3F">
        <w:rPr>
          <w:rStyle w:val="AERtextitalic"/>
        </w:rPr>
        <w:t>Cost of debt: Transitional analysis</w:t>
      </w:r>
      <w:r>
        <w:t xml:space="preserve">, April 2015; Lally, </w:t>
      </w:r>
      <w:r w:rsidRPr="00821C3F">
        <w:rPr>
          <w:rStyle w:val="AERtextitalic"/>
        </w:rPr>
        <w:t>Review of submissions on the cost of debt</w:t>
      </w:r>
      <w:r>
        <w:t>, April 2015.</w:t>
      </w:r>
    </w:p>
  </w:footnote>
  <w:footnote w:id="1331">
    <w:p w:rsidR="00702DD6" w:rsidRDefault="00702DD6" w:rsidP="00BB7CBA">
      <w:pPr>
        <w:pStyle w:val="FootnoteText"/>
      </w:pPr>
      <w:r>
        <w:rPr>
          <w:rStyle w:val="FootnoteReference"/>
        </w:rPr>
        <w:footnoteRef/>
      </w:r>
      <w:r>
        <w:t xml:space="preserve"> </w:t>
      </w:r>
      <w:r>
        <w:tab/>
        <w:t xml:space="preserve">AGN, </w:t>
      </w:r>
      <w:r w:rsidRPr="004D1E24">
        <w:rPr>
          <w:rStyle w:val="AERtextitalic"/>
        </w:rPr>
        <w:t>Access arrangement proposal—Attachment 10.1: Rate of return</w:t>
      </w:r>
      <w:r>
        <w:t xml:space="preserve">, 1 July 2015, pp. 56–57; </w:t>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p>
  </w:footnote>
  <w:footnote w:id="1332">
    <w:p w:rsidR="00702DD6" w:rsidRDefault="00702DD6" w:rsidP="00BB7CBA">
      <w:pPr>
        <w:pStyle w:val="FootnoteText"/>
      </w:pPr>
      <w:r>
        <w:rPr>
          <w:rStyle w:val="FootnoteReference"/>
        </w:rPr>
        <w:footnoteRef/>
      </w:r>
      <w:r>
        <w:t xml:space="preserve"> </w:t>
      </w:r>
      <w:r>
        <w:tab/>
        <w:t xml:space="preserve">CEG, </w:t>
      </w:r>
      <w:r w:rsidRPr="00E50BD0">
        <w:rPr>
          <w:rStyle w:val="AERtextitalic"/>
        </w:rPr>
        <w:t>The hybrid method for the transition to the trailing average rate of return on debt: Assessment and calculations for AGN</w:t>
      </w:r>
      <w:r>
        <w:t xml:space="preserve">, June 2015, pp. 83–84; CEG, </w:t>
      </w:r>
      <w:r>
        <w:rPr>
          <w:rStyle w:val="AERtextitalic"/>
        </w:rPr>
        <w:t>Curve testing and selecting averaging periods: A report for AGN</w:t>
      </w:r>
      <w:r>
        <w:t>, January 2016, pp. 11–14.</w:t>
      </w:r>
    </w:p>
  </w:footnote>
  <w:footnote w:id="1333">
    <w:p w:rsidR="00702DD6" w:rsidRDefault="00702DD6" w:rsidP="00BB7CBA">
      <w:pPr>
        <w:pStyle w:val="FootnoteText"/>
      </w:pPr>
      <w:r>
        <w:rPr>
          <w:rStyle w:val="FootnoteReference"/>
        </w:rPr>
        <w:footnoteRef/>
      </w:r>
      <w:r>
        <w:t xml:space="preserve"> </w:t>
      </w:r>
      <w:r>
        <w:tab/>
        <w:t xml:space="preserve">AGN, </w:t>
      </w:r>
      <w:r w:rsidRPr="004D1E24">
        <w:rPr>
          <w:rStyle w:val="AERtextitalic"/>
        </w:rPr>
        <w:t>Access arrangement proposal—Attachment 10.1: Rate of return</w:t>
      </w:r>
      <w:r>
        <w:t xml:space="preserve">, 1 July 2015, pp. 56–57; </w:t>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pp. 41–42; CEG, </w:t>
      </w:r>
      <w:r w:rsidRPr="00E50BD0">
        <w:rPr>
          <w:rStyle w:val="AERtextitalic"/>
        </w:rPr>
        <w:t>The hybrid method for the transition to the trailing average rate of return on debt: Assessment and calculations for AGN</w:t>
      </w:r>
      <w:r>
        <w:t xml:space="preserve">, June 2015, pp. 83–84; CEG, </w:t>
      </w:r>
      <w:r>
        <w:rPr>
          <w:rStyle w:val="AERtextitalic"/>
        </w:rPr>
        <w:t>Curve testing and selecting averaging periods: A report for AGN</w:t>
      </w:r>
      <w:r>
        <w:t>, January 2016, pp. 11–14.</w:t>
      </w:r>
    </w:p>
  </w:footnote>
  <w:footnote w:id="1334">
    <w:p w:rsidR="00702DD6" w:rsidRDefault="00702DD6" w:rsidP="00BB7CBA">
      <w:pPr>
        <w:pStyle w:val="FootnoteText"/>
      </w:pPr>
      <w:r>
        <w:rPr>
          <w:rStyle w:val="FootnoteReference"/>
        </w:rPr>
        <w:footnoteRef/>
      </w:r>
      <w:r>
        <w:t xml:space="preserve"> </w:t>
      </w:r>
      <w:r>
        <w:tab/>
        <w:t xml:space="preserve">See AER, </w:t>
      </w:r>
      <w:r w:rsidRPr="009C7A42">
        <w:rPr>
          <w:rStyle w:val="AERtextitalic"/>
        </w:rPr>
        <w:t>Draft decision: Australian Gas Networks access arrangement 2016 to 2021: Attachment 3—Rate of return</w:t>
      </w:r>
      <w:r>
        <w:t xml:space="preserve">, November 2015, pp. 609–611. </w:t>
      </w:r>
    </w:p>
  </w:footnote>
  <w:footnote w:id="1335">
    <w:p w:rsidR="00702DD6" w:rsidRDefault="00702DD6" w:rsidP="00BB7CBA">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42; CEG, </w:t>
      </w:r>
      <w:r>
        <w:rPr>
          <w:rStyle w:val="AERtextitalic"/>
        </w:rPr>
        <w:t>Curve testing and selecting averaging periods: A report for AGN</w:t>
      </w:r>
      <w:r>
        <w:t>, January 2016, pp. 12–14.</w:t>
      </w:r>
    </w:p>
  </w:footnote>
  <w:footnote w:id="1336">
    <w:p w:rsidR="00702DD6" w:rsidRDefault="00702DD6" w:rsidP="00BB7CB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15–16, 22–23</w:t>
      </w:r>
    </w:p>
  </w:footnote>
  <w:footnote w:id="1337">
    <w:p w:rsidR="00702DD6" w:rsidRDefault="00702DD6" w:rsidP="00BB7CBA">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42; CEG, </w:t>
      </w:r>
      <w:r>
        <w:rPr>
          <w:rStyle w:val="AERtextitalic"/>
        </w:rPr>
        <w:t>Curve testing and selecting averaging periods: A report for AGN</w:t>
      </w:r>
      <w:r>
        <w:t>, January 2016, pp. 12–14.</w:t>
      </w:r>
    </w:p>
  </w:footnote>
  <w:footnote w:id="1338">
    <w:p w:rsidR="00702DD6" w:rsidRDefault="00702DD6" w:rsidP="00BB7CBA">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1339">
    <w:p w:rsidR="00702DD6" w:rsidRDefault="00702DD6" w:rsidP="00BB7CBA">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41; CEG, </w:t>
      </w:r>
      <w:r>
        <w:rPr>
          <w:rStyle w:val="AERtextitalic"/>
        </w:rPr>
        <w:t>Curve testing and selecting averaging periods: A report for AGN</w:t>
      </w:r>
      <w:r>
        <w:t>, January 2016, pp. 13–14.</w:t>
      </w:r>
    </w:p>
  </w:footnote>
  <w:footnote w:id="1340">
    <w:p w:rsidR="00702DD6" w:rsidRDefault="00702DD6" w:rsidP="00BB7CBA">
      <w:pPr>
        <w:pStyle w:val="FootnoteText"/>
      </w:pPr>
      <w:r>
        <w:rPr>
          <w:rStyle w:val="FootnoteReference"/>
        </w:rPr>
        <w:footnoteRef/>
      </w:r>
      <w:r>
        <w:t xml:space="preserve"> </w:t>
      </w:r>
      <w:r>
        <w:tab/>
        <w:t xml:space="preserve">AER, </w:t>
      </w:r>
      <w:r w:rsidRPr="00D5478D">
        <w:rPr>
          <w:rStyle w:val="AERtextitalic"/>
        </w:rPr>
        <w:t>Draft decision: Australian Gas Networks access arrangement 2016 to 2021: Attachment 3—Rate of return</w:t>
      </w:r>
      <w:r>
        <w:t xml:space="preserve">, November 2015, </w:t>
      </w:r>
      <w:r w:rsidRPr="00694B70">
        <w:t>section G.8.1</w:t>
      </w:r>
      <w:r>
        <w:t xml:space="preserve">. </w:t>
      </w:r>
    </w:p>
  </w:footnote>
  <w:footnote w:id="1341">
    <w:p w:rsidR="00702DD6" w:rsidRDefault="00702DD6" w:rsidP="00BB7CBA">
      <w:pPr>
        <w:pStyle w:val="FootnoteText"/>
      </w:pPr>
      <w:r>
        <w:rPr>
          <w:rStyle w:val="FootnoteReference"/>
        </w:rPr>
        <w:footnoteRef/>
      </w:r>
      <w:r>
        <w:t xml:space="preserve"> </w:t>
      </w:r>
      <w:r>
        <w:tab/>
        <w:t xml:space="preserve">AusNet, </w:t>
      </w:r>
      <w:r w:rsidRPr="004D1E24">
        <w:rPr>
          <w:rStyle w:val="AERtextitalic"/>
        </w:rPr>
        <w:t>Regulatory proposal</w:t>
      </w:r>
      <w:r>
        <w:t>, 30 April 2015, p. 346.</w:t>
      </w:r>
    </w:p>
  </w:footnote>
  <w:footnote w:id="1342">
    <w:p w:rsidR="00702DD6" w:rsidRDefault="00702DD6" w:rsidP="00BB7CBA">
      <w:pPr>
        <w:pStyle w:val="FootnoteText"/>
      </w:pPr>
      <w:r>
        <w:rPr>
          <w:rStyle w:val="FootnoteReference"/>
        </w:rPr>
        <w:footnoteRef/>
      </w:r>
      <w:r>
        <w:t xml:space="preserve"> </w:t>
      </w:r>
      <w:r>
        <w:tab/>
      </w:r>
      <w:r w:rsidRPr="00986B6E">
        <w:t xml:space="preserve">AusNet, </w:t>
      </w:r>
      <w:r w:rsidRPr="00986B6E">
        <w:rPr>
          <w:rStyle w:val="AERtextitalic"/>
        </w:rPr>
        <w:t>R</w:t>
      </w:r>
      <w:r>
        <w:rPr>
          <w:rStyle w:val="AERtextitalic"/>
        </w:rPr>
        <w:t>evised r</w:t>
      </w:r>
      <w:r w:rsidRPr="00986B6E">
        <w:rPr>
          <w:rStyle w:val="AERtextitalic"/>
        </w:rPr>
        <w:t>egulatory proposal</w:t>
      </w:r>
      <w:r w:rsidRPr="00986B6E">
        <w:t xml:space="preserve">, </w:t>
      </w:r>
      <w:r>
        <w:t>6 January 2016</w:t>
      </w:r>
      <w:r w:rsidRPr="00986B6E">
        <w:t xml:space="preserve">, p. </w:t>
      </w:r>
      <w:r>
        <w:t>177.</w:t>
      </w:r>
    </w:p>
  </w:footnote>
  <w:footnote w:id="1343">
    <w:p w:rsidR="00702DD6" w:rsidRDefault="00702DD6" w:rsidP="00BB7CBA">
      <w:pPr>
        <w:pStyle w:val="FootnoteText"/>
      </w:pPr>
      <w:r>
        <w:rPr>
          <w:rStyle w:val="FootnoteReference"/>
        </w:rPr>
        <w:footnoteRef/>
      </w:r>
      <w:r>
        <w:t xml:space="preserve"> </w:t>
      </w:r>
      <w:r>
        <w:tab/>
        <w:t xml:space="preserve">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xml:space="preserve">, 1 July 2015, pp. 15–17. Also see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344">
    <w:p w:rsidR="00702DD6" w:rsidRDefault="00702DD6" w:rsidP="00BB7CBA">
      <w:pPr>
        <w:pStyle w:val="FootnoteText"/>
      </w:pPr>
      <w:r>
        <w:rPr>
          <w:rStyle w:val="FootnoteReference"/>
        </w:rPr>
        <w:footnoteRef/>
      </w:r>
      <w:r>
        <w:t xml:space="preserve"> </w:t>
      </w:r>
      <w:r>
        <w:tab/>
        <w:t xml:space="preserve">See AER, </w:t>
      </w:r>
      <w:r w:rsidRPr="009C7A42">
        <w:rPr>
          <w:rStyle w:val="AERtextitalic"/>
        </w:rPr>
        <w:t>Preliminary decision: AusNet Services determination 2016 to 2020—Attachment 3: Rate of return</w:t>
      </w:r>
      <w:r>
        <w:t>, October 2015, pp. 601–602.</w:t>
      </w:r>
    </w:p>
  </w:footnote>
  <w:footnote w:id="1345">
    <w:p w:rsidR="00702DD6" w:rsidRDefault="00702DD6" w:rsidP="00BB7CBA">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104.</w:t>
      </w:r>
    </w:p>
  </w:footnote>
  <w:footnote w:id="1346">
    <w:p w:rsidR="00702DD6" w:rsidRDefault="00702DD6" w:rsidP="00BB7CBA">
      <w:pPr>
        <w:pStyle w:val="FootnoteText"/>
      </w:pPr>
      <w:r>
        <w:rPr>
          <w:rStyle w:val="FootnoteReference"/>
        </w:rPr>
        <w:footnoteRef/>
      </w:r>
      <w:r>
        <w:t xml:space="preserve"> </w:t>
      </w:r>
      <w:r>
        <w:tab/>
        <w:t>We have also proposed and adopted a full transition into the trailing average approach. This s</w:t>
      </w:r>
      <w:r w:rsidRPr="00553558">
        <w:t>tart</w:t>
      </w:r>
      <w:r>
        <w:t>s</w:t>
      </w:r>
      <w:r w:rsidRPr="00553558">
        <w:t xml:space="preserve"> with an on-the-day rate for the first regulatory year and gradually transition</w:t>
      </w:r>
      <w:r>
        <w:t>s</w:t>
      </w:r>
      <w:r w:rsidRPr="00553558">
        <w:t xml:space="preserve"> into a trailing average approach over 10 years</w:t>
      </w:r>
      <w:r>
        <w:t>.</w:t>
      </w:r>
      <w:r w:rsidRPr="00553558">
        <w:t xml:space="preserve"> </w:t>
      </w:r>
    </w:p>
  </w:footnote>
  <w:footnote w:id="1347">
    <w:p w:rsidR="00702DD6" w:rsidRDefault="00702DD6" w:rsidP="00BB7CBA">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108.</w:t>
      </w:r>
    </w:p>
  </w:footnote>
  <w:footnote w:id="1348">
    <w:p w:rsidR="00702DD6" w:rsidRDefault="00702DD6" w:rsidP="00BB7CBA">
      <w:pPr>
        <w:pStyle w:val="FootnoteText"/>
      </w:pPr>
      <w:r>
        <w:rPr>
          <w:rStyle w:val="FootnoteReference"/>
        </w:rPr>
        <w:footnoteRef/>
      </w:r>
      <w:r>
        <w:t xml:space="preserve"> </w:t>
      </w:r>
      <w:r>
        <w:tab/>
        <w:t xml:space="preserve">AusNet, </w:t>
      </w:r>
      <w:r w:rsidRPr="004D1E24">
        <w:rPr>
          <w:rStyle w:val="AERtextitalic"/>
        </w:rPr>
        <w:t>Regulatory proposal</w:t>
      </w:r>
      <w:r>
        <w:t>, 30 April 2015, p. 346.</w:t>
      </w:r>
    </w:p>
  </w:footnote>
  <w:footnote w:id="1349">
    <w:p w:rsidR="00702DD6" w:rsidRDefault="00702DD6" w:rsidP="00BB7CBA">
      <w:pPr>
        <w:pStyle w:val="FootnoteText"/>
      </w:pPr>
      <w:r>
        <w:rPr>
          <w:rStyle w:val="FootnoteReference"/>
        </w:rPr>
        <w:footnoteRef/>
      </w:r>
      <w:r>
        <w:t xml:space="preserve"> </w:t>
      </w:r>
      <w:r>
        <w:tab/>
        <w:t>NER, cl. 6.5.2(k</w:t>
      </w:r>
      <w:r w:rsidRPr="005F1830">
        <w:t>)</w:t>
      </w:r>
      <w:r>
        <w:t>(1) and 6A.6.2(k)(1); NGR, r. 87(11)(1)</w:t>
      </w:r>
      <w:r w:rsidRPr="005F1830">
        <w:t>.</w:t>
      </w:r>
    </w:p>
  </w:footnote>
  <w:footnote w:id="1350">
    <w:p w:rsidR="00702DD6" w:rsidRDefault="00702DD6" w:rsidP="006B6C4C">
      <w:pPr>
        <w:pStyle w:val="FootnoteText"/>
      </w:pPr>
      <w:r>
        <w:rPr>
          <w:rStyle w:val="FootnoteReference"/>
        </w:rPr>
        <w:footnoteRef/>
      </w:r>
      <w:r>
        <w:t xml:space="preserve"> </w:t>
      </w:r>
      <w:r>
        <w:tab/>
        <w:t>This final decision determines the return on debt methodology for the 2016–20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1351">
    <w:p w:rsidR="00702DD6" w:rsidRDefault="00702DD6" w:rsidP="006B6C4C">
      <w:pPr>
        <w:pStyle w:val="FootnoteText"/>
      </w:pPr>
      <w:r>
        <w:rPr>
          <w:rStyle w:val="FootnoteReference"/>
        </w:rPr>
        <w:footnoteRef/>
      </w:r>
      <w:r>
        <w:t xml:space="preserve"> </w:t>
      </w:r>
      <w:r>
        <w:tab/>
        <w:t>NER, cl.6.5.2(i) and cl.6A.6.2(i); NGR r. 87(9)</w:t>
      </w:r>
    </w:p>
  </w:footnote>
  <w:footnote w:id="1352">
    <w:p w:rsidR="00702DD6" w:rsidRDefault="00702DD6" w:rsidP="006B6C4C">
      <w:pPr>
        <w:pStyle w:val="FootnoteText"/>
      </w:pPr>
      <w:r>
        <w:rPr>
          <w:rStyle w:val="FootnoteReference"/>
        </w:rPr>
        <w:footnoteRef/>
      </w:r>
      <w:r>
        <w:t xml:space="preserve"> </w:t>
      </w:r>
      <w:r>
        <w:tab/>
        <w:t>NER, cl.6.5.2(l) and cl. 6A.6.2(l);</w:t>
      </w:r>
      <w:r w:rsidRPr="00543B6D">
        <w:t xml:space="preserve"> </w:t>
      </w:r>
      <w:r>
        <w:t>NGR r. 87(12)</w:t>
      </w:r>
    </w:p>
  </w:footnote>
  <w:footnote w:id="1353">
    <w:p w:rsidR="00702DD6" w:rsidRDefault="00702DD6" w:rsidP="006B6C4C">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D</w:t>
      </w:r>
      <w:r w:rsidRPr="001E76AF">
        <w:rPr>
          <w:rStyle w:val="AERtextitalic"/>
        </w:rPr>
        <w:t>NSPs PTRM handbook</w:t>
      </w:r>
      <w:r w:rsidRPr="00127B75">
        <w:t>, 29 January 2015</w:t>
      </w:r>
      <w:r>
        <w:t>.</w:t>
      </w:r>
    </w:p>
  </w:footnote>
  <w:footnote w:id="1354">
    <w:p w:rsidR="00702DD6" w:rsidRDefault="00702DD6" w:rsidP="006B6C4C">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1355">
    <w:p w:rsidR="00702DD6" w:rsidRDefault="00702DD6" w:rsidP="006B6C4C">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1356">
    <w:p w:rsidR="00702DD6" w:rsidRDefault="00702DD6" w:rsidP="006B6C4C">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1357">
    <w:p w:rsidR="00702DD6" w:rsidRDefault="00702DD6" w:rsidP="006B6C4C">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17"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1358">
    <w:p w:rsidR="00702DD6" w:rsidRDefault="00702DD6" w:rsidP="006B6C4C">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1359">
    <w:p w:rsidR="00702DD6" w:rsidRDefault="00702DD6" w:rsidP="006B6C4C">
      <w:pPr>
        <w:pStyle w:val="FootnoteText"/>
      </w:pPr>
      <w:r>
        <w:rPr>
          <w:rStyle w:val="FootnoteReference"/>
        </w:rPr>
        <w:footnoteRef/>
      </w:r>
      <w:r>
        <w:t xml:space="preserve"> </w:t>
      </w:r>
      <w:r>
        <w:tab/>
        <w:t>Specifically, from 15 September 2014 to 3 November 2014.</w:t>
      </w:r>
    </w:p>
  </w:footnote>
  <w:footnote w:id="1360">
    <w:p w:rsidR="00702DD6" w:rsidRDefault="00702DD6" w:rsidP="006B6C4C">
      <w:pPr>
        <w:pStyle w:val="FootnoteText"/>
      </w:pPr>
      <w:r>
        <w:rPr>
          <w:rStyle w:val="FootnoteReference"/>
        </w:rPr>
        <w:footnoteRef/>
      </w:r>
      <w:r>
        <w:t xml:space="preserve"> </w:t>
      </w:r>
      <w:r>
        <w:tab/>
        <w:t>Specifically, 14 April 2015.</w:t>
      </w:r>
    </w:p>
  </w:footnote>
  <w:footnote w:id="1361">
    <w:p w:rsidR="00702DD6" w:rsidRDefault="00702DD6" w:rsidP="006B6C4C">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1362">
    <w:p w:rsidR="00702DD6" w:rsidRDefault="00702DD6" w:rsidP="006B6C4C">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1363">
    <w:p w:rsidR="00702DD6" w:rsidRDefault="00702DD6" w:rsidP="006B6C4C">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364">
    <w:p w:rsidR="00702DD6" w:rsidRDefault="00702DD6" w:rsidP="006B6C4C">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365">
    <w:p w:rsidR="00702DD6" w:rsidRDefault="00702DD6" w:rsidP="006B6C4C">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66">
    <w:p w:rsidR="00702DD6" w:rsidRDefault="00702DD6" w:rsidP="006B6C4C">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67">
    <w:p w:rsidR="00702DD6" w:rsidRDefault="00702DD6" w:rsidP="006B6C4C">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368">
    <w:p w:rsidR="00702DD6" w:rsidRDefault="00702DD6" w:rsidP="006B6C4C">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369">
    <w:p w:rsidR="00702DD6" w:rsidRDefault="00702DD6" w:rsidP="006B6C4C">
      <w:pPr>
        <w:pStyle w:val="FootnoteText"/>
      </w:pPr>
      <w:r>
        <w:rPr>
          <w:rStyle w:val="FootnoteReference"/>
        </w:rPr>
        <w:footnoteRef/>
      </w:r>
      <w:r>
        <w:t xml:space="preserve"> </w:t>
      </w:r>
      <w:r>
        <w:tab/>
        <w:t xml:space="preserve">Subject to the availability of the Bloomberg BVAL curve. For other contingencies, see section </w:t>
      </w:r>
      <w:r>
        <w:fldChar w:fldCharType="begin"/>
      </w:r>
      <w:r>
        <w:instrText xml:space="preserve"> REF _Ref451175985 \r \h </w:instrText>
      </w:r>
      <w:r>
        <w:fldChar w:fldCharType="separate"/>
      </w:r>
      <w:r>
        <w:t>J.2.4</w:t>
      </w:r>
      <w:r>
        <w:fldChar w:fldCharType="end"/>
      </w:r>
      <w:r>
        <w:t>.</w:t>
      </w:r>
    </w:p>
  </w:footnote>
  <w:footnote w:id="1370">
    <w:p w:rsidR="00702DD6" w:rsidRDefault="00702DD6" w:rsidP="006B6C4C">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1371">
    <w:p w:rsidR="00702DD6" w:rsidRDefault="00702DD6" w:rsidP="006B6C4C">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publishing a 10 year yiel</w:t>
      </w:r>
      <w:r>
        <w:t xml:space="preserve">d estimate. </w:t>
      </w:r>
    </w:p>
  </w:footnote>
  <w:footnote w:id="1372">
    <w:p w:rsidR="00702DD6" w:rsidRDefault="00702DD6" w:rsidP="006B6C4C">
      <w:pPr>
        <w:pStyle w:val="FootnoteText"/>
      </w:pPr>
      <w:r>
        <w:rPr>
          <w:rStyle w:val="FootnoteReference"/>
        </w:rPr>
        <w:footnoteRef/>
      </w:r>
      <w:r>
        <w:t xml:space="preserve"> </w:t>
      </w:r>
      <w:r>
        <w:tab/>
        <w:t>Thompson Reuters publishes a BBB par yield curve to 10 years from 25 May 2015 (</w:t>
      </w:r>
      <w:r w:rsidRPr="00392E44">
        <w:t>BBBAUDBMK Par Yield</w:t>
      </w:r>
      <w:r>
        <w:t xml:space="preserve">). However, we have had limited opportunity to review and consult on f this information  as this was first put before us with the revised regulatory proposals in  January 2016. Nevertheless, we have performed a preliminary assessment of this information (see </w:t>
      </w:r>
      <w:r w:rsidRPr="00391CC7">
        <w:t xml:space="preserve">Appendix </w:t>
      </w:r>
      <w:r w:rsidRPr="00391CC7">
        <w:fldChar w:fldCharType="begin"/>
      </w:r>
      <w:r w:rsidRPr="00391CC7">
        <w:instrText xml:space="preserve"> REF _Ref451328082 \r \h </w:instrText>
      </w:r>
      <w:r w:rsidRPr="00391CC7">
        <w:fldChar w:fldCharType="separate"/>
      </w:r>
      <w:r>
        <w:t>I</w:t>
      </w:r>
      <w:r w:rsidRPr="00391CC7">
        <w:fldChar w:fldCharType="end"/>
      </w:r>
      <w:r>
        <w:t xml:space="preserve">). This indicates that the Reuters curve would </w:t>
      </w:r>
      <w:r w:rsidRPr="009A2F59">
        <w:t xml:space="preserve">produce comparable </w:t>
      </w:r>
      <w:r>
        <w:t xml:space="preserve">estimates </w:t>
      </w:r>
      <w:r w:rsidRPr="009A2F59">
        <w:t>to the existing combination</w:t>
      </w:r>
      <w:r>
        <w:t>. We do not rule out including the</w:t>
      </w:r>
      <w:r w:rsidRPr="009A2F59">
        <w:t xml:space="preserve"> Reuters curve in future determinations following a proper period of consultation.</w:t>
      </w:r>
    </w:p>
  </w:footnote>
  <w:footnote w:id="1373">
    <w:p w:rsidR="00702DD6" w:rsidRDefault="00702DD6" w:rsidP="006B6C4C">
      <w:pPr>
        <w:pStyle w:val="FootnoteText"/>
      </w:pPr>
      <w:r>
        <w:rPr>
          <w:rStyle w:val="FootnoteReference"/>
        </w:rPr>
        <w:footnoteRef/>
      </w:r>
      <w:r>
        <w:t xml:space="preserve"> </w:t>
      </w:r>
      <w:r>
        <w:tab/>
        <w:t>NER cl. 6.5.2(l) and cl. 6A.6.2(l), NGR, r.87(12).</w:t>
      </w:r>
    </w:p>
  </w:footnote>
  <w:footnote w:id="1374">
    <w:p w:rsidR="00702DD6" w:rsidRDefault="00702DD6" w:rsidP="006B6C4C">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1375">
    <w:p w:rsidR="00702DD6" w:rsidRDefault="00702DD6" w:rsidP="006B6C4C">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1376">
    <w:p w:rsidR="00702DD6" w:rsidRDefault="00702DD6" w:rsidP="006B6C4C">
      <w:pPr>
        <w:pStyle w:val="FootnoteText"/>
      </w:pPr>
      <w:r>
        <w:rPr>
          <w:rStyle w:val="FootnoteReference"/>
        </w:rPr>
        <w:footnoteRef/>
      </w:r>
      <w:r>
        <w:t xml:space="preserve"> </w:t>
      </w:r>
      <w:r>
        <w:tab/>
        <w:t>Specifically, the spread to CGS.</w:t>
      </w:r>
    </w:p>
  </w:footnote>
  <w:footnote w:id="1377">
    <w:p w:rsidR="00702DD6" w:rsidRDefault="00702DD6" w:rsidP="00DC200E">
      <w:pPr>
        <w:pStyle w:val="FootnoteText"/>
      </w:pPr>
      <w:r>
        <w:rPr>
          <w:rStyle w:val="FootnoteReference"/>
        </w:rPr>
        <w:footnoteRef/>
      </w:r>
      <w:r>
        <w:t xml:space="preserve"> </w:t>
      </w:r>
      <w:r>
        <w:tab/>
      </w:r>
      <w:r w:rsidRPr="00792721">
        <w:t>NER</w:t>
      </w:r>
      <w:r>
        <w:t xml:space="preserve">, </w:t>
      </w:r>
      <w:r w:rsidRPr="00792721">
        <w:t>cl</w:t>
      </w:r>
      <w:r>
        <w:t>l. 6.5.2(l) and 6A.6.2(l); NGR, r. 87(12).</w:t>
      </w:r>
    </w:p>
  </w:footnote>
  <w:footnote w:id="1378">
    <w:p w:rsidR="00702DD6" w:rsidRDefault="00702DD6" w:rsidP="006B6C4C">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1379">
    <w:p w:rsidR="00702DD6" w:rsidRDefault="00702DD6" w:rsidP="006B6C4C">
      <w:pPr>
        <w:pStyle w:val="FootnoteText"/>
      </w:pPr>
      <w:r>
        <w:rPr>
          <w:rStyle w:val="FootnoteReference"/>
        </w:rPr>
        <w:footnoteRef/>
      </w:r>
      <w:r>
        <w:t xml:space="preserve"> </w:t>
      </w:r>
      <w:r>
        <w:tab/>
        <w:t xml:space="preserve">AER, </w:t>
      </w:r>
      <w:r w:rsidRPr="002C65E6">
        <w:rPr>
          <w:rStyle w:val="AERtextitalic"/>
        </w:rPr>
        <w:t>Better regulation—</w:t>
      </w:r>
      <w:r w:rsidRPr="0052137B">
        <w:rPr>
          <w:rStyle w:val="AERtextitalic"/>
        </w:rPr>
        <w:t>Rate of return guideline</w:t>
      </w:r>
      <w:r>
        <w:t>, December 2013, p. 21.</w:t>
      </w:r>
    </w:p>
  </w:footnote>
  <w:footnote w:id="1380">
    <w:p w:rsidR="00702DD6" w:rsidRDefault="00702DD6" w:rsidP="006B6C4C">
      <w:pPr>
        <w:pStyle w:val="FootnoteText"/>
      </w:pPr>
      <w:r>
        <w:rPr>
          <w:rStyle w:val="FootnoteReference"/>
        </w:rPr>
        <w:footnoteRef/>
      </w:r>
      <w:r>
        <w:t xml:space="preserve"> </w:t>
      </w:r>
      <w:r>
        <w:tab/>
      </w:r>
      <w:r w:rsidRPr="00E8691B">
        <w:t>The electricity distribution service providers are required to submit to the AER a pricing proposal for each regulatory year of the regulatory control period. The gas distribution and transmission service providers are also required to submit to us an annual reference tariff variation proposal to meet the requirements of their specific access arrangements. As we are proposing to update service providers' allowed return on debt estimates on an annual basis, the updated annual return on debt estimates should be submitted and approved by us in advance of a service providers' annual pricing/tariff proposals.</w:t>
      </w:r>
      <w:r>
        <w:t xml:space="preserve"> See: </w:t>
      </w:r>
      <w:r w:rsidRPr="00E8691B">
        <w:t xml:space="preserve">AER, </w:t>
      </w:r>
      <w:r w:rsidRPr="00E8691B">
        <w:rPr>
          <w:rStyle w:val="AERtextitalic"/>
        </w:rPr>
        <w:t>Explanatory statement to the draft rate of return guideline</w:t>
      </w:r>
      <w:r w:rsidRPr="00E8691B">
        <w:t xml:space="preserve">, August 2013, </w:t>
      </w:r>
      <w:r>
        <w:t>p. 1</w:t>
      </w:r>
      <w:r w:rsidRPr="00E8691B">
        <w:t>03</w:t>
      </w:r>
      <w:r>
        <w:t>.</w:t>
      </w:r>
    </w:p>
  </w:footnote>
  <w:footnote w:id="1381">
    <w:p w:rsidR="00702DD6" w:rsidRDefault="00702DD6" w:rsidP="006B6C4C">
      <w:pPr>
        <w:pStyle w:val="FootnoteText"/>
      </w:pPr>
      <w:r>
        <w:rPr>
          <w:rStyle w:val="FootnoteReference"/>
        </w:rPr>
        <w:footnoteRef/>
      </w:r>
      <w:r>
        <w:t xml:space="preserve"> </w:t>
      </w:r>
      <w:r>
        <w:tab/>
      </w:r>
      <w:r w:rsidRPr="00827C64">
        <w:t>We note that a longer (or shorter) time period would move back (or forward) the maximum practical end date of the averaging period by the same timeframe.</w:t>
      </w:r>
    </w:p>
  </w:footnote>
  <w:footnote w:id="1382">
    <w:p w:rsidR="00702DD6" w:rsidRDefault="00702DD6" w:rsidP="006B6C4C">
      <w:pPr>
        <w:pStyle w:val="FootnoteText"/>
      </w:pPr>
      <w:r>
        <w:rPr>
          <w:rStyle w:val="FootnoteReference"/>
        </w:rPr>
        <w:footnoteRef/>
      </w:r>
      <w:r>
        <w:t xml:space="preserve"> </w:t>
      </w:r>
      <w:r>
        <w:tab/>
        <w:t>A further possible constraint on the start date is</w:t>
      </w:r>
      <w:r w:rsidRPr="00D76D56">
        <w:t>, as set out in the previous section, one of our conditions is at the time it is nominated all dates in the averaging period must take place in the future.</w:t>
      </w:r>
    </w:p>
  </w:footnote>
  <w:footnote w:id="1383">
    <w:p w:rsidR="00702DD6" w:rsidRDefault="00702DD6" w:rsidP="00FA7552">
      <w:pPr>
        <w:pStyle w:val="FootnoteText"/>
      </w:pPr>
      <w:r>
        <w:rPr>
          <w:rStyle w:val="FootnoteReference"/>
        </w:rPr>
        <w:footnoteRef/>
      </w:r>
      <w:r>
        <w:t xml:space="preserve"> </w:t>
      </w:r>
      <w:r>
        <w:tab/>
        <w:t>ActewAGL Distribution, Revised 2016–21 access arrangement proposal - Appendix 10.01 Revised proposal post tax revenue model, January 2016.</w:t>
      </w:r>
    </w:p>
  </w:footnote>
  <w:footnote w:id="1384">
    <w:p w:rsidR="00702DD6" w:rsidRDefault="00702DD6" w:rsidP="00FA7552">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1385">
    <w:p w:rsidR="00702DD6" w:rsidRDefault="00702DD6" w:rsidP="00FA7552">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1386">
    <w:p w:rsidR="00702DD6" w:rsidRDefault="00702DD6" w:rsidP="00FA7552">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1387">
    <w:p w:rsidR="00702DD6" w:rsidRDefault="00702DD6" w:rsidP="00FA7552">
      <w:pPr>
        <w:pStyle w:val="FootnoteText"/>
      </w:pPr>
      <w:r>
        <w:rPr>
          <w:rStyle w:val="FootnoteReference"/>
        </w:rPr>
        <w:footnoteRef/>
      </w:r>
      <w:r>
        <w:t xml:space="preserve"> </w:t>
      </w:r>
      <w:r>
        <w:tab/>
        <w:t xml:space="preserve">NGR, r. 91(1)  </w:t>
      </w:r>
    </w:p>
  </w:footnote>
  <w:footnote w:id="1388">
    <w:p w:rsidR="00702DD6" w:rsidRDefault="00702DD6" w:rsidP="00FA7552">
      <w:pPr>
        <w:pStyle w:val="FootnoteText"/>
      </w:pPr>
      <w:r>
        <w:rPr>
          <w:rStyle w:val="FootnoteReference"/>
        </w:rPr>
        <w:footnoteRef/>
      </w:r>
      <w:r>
        <w:t xml:space="preserve"> </w:t>
      </w:r>
      <w:r>
        <w:tab/>
        <w:t xml:space="preserve">ActewAGL Distribution, </w:t>
      </w:r>
      <w:r w:rsidRPr="000E7A24">
        <w:t xml:space="preserve">2016–21 access arrangement </w:t>
      </w:r>
      <w:r>
        <w:t xml:space="preserve">- </w:t>
      </w:r>
      <w:r w:rsidRPr="000E7A24">
        <w:t>Response to draft decision January 2016</w:t>
      </w:r>
      <w:r>
        <w:t>, p.26.</w:t>
      </w:r>
    </w:p>
  </w:footnote>
  <w:footnote w:id="1389">
    <w:p w:rsidR="00702DD6" w:rsidRDefault="00702DD6" w:rsidP="00FA7552">
      <w:pPr>
        <w:pStyle w:val="FootnoteText"/>
      </w:pPr>
      <w:r>
        <w:rPr>
          <w:rStyle w:val="FootnoteReference"/>
        </w:rPr>
        <w:footnoteRef/>
      </w:r>
      <w:r>
        <w:t xml:space="preserve"> </w:t>
      </w:r>
      <w:r>
        <w:tab/>
      </w:r>
      <w:r w:rsidRPr="004537AA">
        <w:t xml:space="preserve">Incenta, Economic Consulting, </w:t>
      </w:r>
      <w:r w:rsidRPr="004537AA">
        <w:rPr>
          <w:rStyle w:val="AERtextitalic"/>
        </w:rPr>
        <w:t>Debt raising transaction costs: updated report–TransGrid</w:t>
      </w:r>
      <w:r w:rsidRPr="004537AA">
        <w:t>, January 2015</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DD6" w:rsidRDefault="007A39AA">
    <w:pPr>
      <w:pStyle w:val="Header"/>
      <w:jc w:val="righ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4" type="#_x0000_t136" style="position:absolute;left:0;text-align:left;margin-left:0;margin-top:0;width:608.75pt;height:110.65pt;rotation:315;z-index:-251645952;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2" type="#_x0000_t136" style="position:absolute;left:0;text-align:left;margin-left:0;margin-top:0;width:485.65pt;height:194.25pt;rotation:315;z-index:-251648000;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r w:rsidR="00702DD6">
      <w:t>January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DD6" w:rsidRDefault="007A39AA">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3" type="#_x0000_t136" style="position:absolute;margin-left:0;margin-top:0;width:608.75pt;height:110.65pt;rotation:315;z-index:-251646976;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1" type="#_x0000_t136" style="position:absolute;margin-left:0;margin-top:0;width:485.65pt;height:194.25pt;rotation:315;z-index:-251649024;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7">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8">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F336BC"/>
    <w:multiLevelType w:val="hybridMultilevel"/>
    <w:tmpl w:val="955A02CC"/>
    <w:lvl w:ilvl="0" w:tplc="C90C7928">
      <w:start w:val="1"/>
      <w:numFmt w:val="bullet"/>
      <w:lvlText w:val=""/>
      <w:lvlJc w:val="left"/>
      <w:pPr>
        <w:ind w:left="786"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CF07D5F"/>
    <w:multiLevelType w:val="hybridMultilevel"/>
    <w:tmpl w:val="D6DC675A"/>
    <w:lvl w:ilvl="0" w:tplc="6C6CF7F2">
      <w:start w:val="1"/>
      <w:numFmt w:val="lowerLetter"/>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6">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8">
    <w:nsid w:val="5ECE4384"/>
    <w:multiLevelType w:val="multilevel"/>
    <w:tmpl w:val="3370DAC6"/>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0">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A5A23DF"/>
    <w:multiLevelType w:val="hybridMultilevel"/>
    <w:tmpl w:val="440CFCC4"/>
    <w:lvl w:ilvl="0" w:tplc="D6DAED3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AAC6DD7"/>
    <w:multiLevelType w:val="multilevel"/>
    <w:tmpl w:val="950A1C52"/>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3">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E2819EC"/>
    <w:multiLevelType w:val="multilevel"/>
    <w:tmpl w:val="1250F310"/>
    <w:lvl w:ilvl="0">
      <w:start w:val="1"/>
      <w:numFmt w:val="bullet"/>
      <w:pStyle w:val="AERbulletlistfirststyle"/>
      <w:lvlText w:val=""/>
      <w:lvlJc w:val="left"/>
      <w:pPr>
        <w:ind w:left="644"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34"/>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9"/>
  </w:num>
  <w:num w:numId="13">
    <w:abstractNumId w:val="20"/>
  </w:num>
  <w:num w:numId="14">
    <w:abstractNumId w:val="11"/>
  </w:num>
  <w:num w:numId="15">
    <w:abstractNumId w:val="14"/>
  </w:num>
  <w:num w:numId="16">
    <w:abstractNumId w:val="23"/>
  </w:num>
  <w:num w:numId="17">
    <w:abstractNumId w:val="10"/>
  </w:num>
  <w:num w:numId="18">
    <w:abstractNumId w:val="16"/>
  </w:num>
  <w:num w:numId="19">
    <w:abstractNumId w:val="24"/>
  </w:num>
  <w:num w:numId="20">
    <w:abstractNumId w:val="30"/>
  </w:num>
  <w:num w:numId="21">
    <w:abstractNumId w:val="27"/>
  </w:num>
  <w:num w:numId="22">
    <w:abstractNumId w:val="25"/>
  </w:num>
  <w:num w:numId="23">
    <w:abstractNumId w:val="17"/>
  </w:num>
  <w:num w:numId="24">
    <w:abstractNumId w:val="26"/>
  </w:num>
  <w:num w:numId="25">
    <w:abstractNumId w:val="28"/>
  </w:num>
  <w:num w:numId="26">
    <w:abstractNumId w:val="19"/>
  </w:num>
  <w:num w:numId="27">
    <w:abstractNumId w:val="15"/>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21"/>
  </w:num>
  <w:num w:numId="39">
    <w:abstractNumId w:val="9"/>
  </w:num>
  <w:num w:numId="40">
    <w:abstractNumId w:val="32"/>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2.%3.%4"/>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1">
    <w:abstractNumId w:val="17"/>
    <w:lvlOverride w:ilvl="3">
      <w:lvl w:ilvl="3">
        <w:start w:val="1"/>
        <w:numFmt w:val="decimal"/>
        <w:lvlText w:val="%2.%3.%4"/>
        <w:lvlJc w:val="left"/>
        <w:pPr>
          <w:tabs>
            <w:tab w:val="num" w:pos="0"/>
          </w:tabs>
          <w:ind w:left="0" w:hanging="851"/>
        </w:pPr>
        <w:rPr>
          <w:rFonts w:hint="default"/>
        </w:rPr>
      </w:lvl>
    </w:lvlOverride>
  </w:num>
  <w:num w:numId="42">
    <w:abstractNumId w:val="13"/>
  </w:num>
  <w:num w:numId="4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2">
      <w:lvl w:ilvl="2">
        <w:start w:val="1"/>
        <w:numFmt w:val="lowerLetter"/>
        <w:lvlText w:val="%3."/>
        <w:lvlJc w:val="left"/>
        <w:pPr>
          <w:tabs>
            <w:tab w:val="num" w:pos="720"/>
          </w:tabs>
          <w:ind w:left="720" w:hanging="363"/>
        </w:pPr>
        <w:rPr>
          <w:rFonts w:hint="default"/>
        </w:rPr>
      </w:lvl>
    </w:lvlOverride>
  </w:num>
  <w:num w:numId="45">
    <w:abstractNumId w:val="22"/>
  </w:num>
  <w:num w:numId="46">
    <w:abstractNumId w:val="8"/>
    <w:lvlOverride w:ilvl="0">
      <w:startOverride w:val="1"/>
    </w:lvlOverride>
  </w:num>
  <w:num w:numId="47">
    <w:abstractNumId w:val="31"/>
  </w:num>
  <w:num w:numId="48">
    <w:abstractNumId w:val="18"/>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1"/>
  <w:removePersonalInformation/>
  <w:removeDateAndTime/>
  <w:hideSpelling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79885"/>
    <o:shapelayout v:ext="edit">
      <o:idmap v:ext="edit" data="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10804\AER15 4330  AER - Final decision Amadeus Gas Pipeline Access Arrangement - Attachment 3 - Rate of return - April 2016.DOCX"/>
  </w:docVars>
  <w:rsids>
    <w:rsidRoot w:val="00961A4A"/>
    <w:rsid w:val="00004633"/>
    <w:rsid w:val="00010286"/>
    <w:rsid w:val="0002109A"/>
    <w:rsid w:val="00021202"/>
    <w:rsid w:val="00021C2B"/>
    <w:rsid w:val="0002517F"/>
    <w:rsid w:val="00026495"/>
    <w:rsid w:val="00033144"/>
    <w:rsid w:val="0003578C"/>
    <w:rsid w:val="000401AF"/>
    <w:rsid w:val="00041DDA"/>
    <w:rsid w:val="00042383"/>
    <w:rsid w:val="00047DC7"/>
    <w:rsid w:val="0005327F"/>
    <w:rsid w:val="00063247"/>
    <w:rsid w:val="00063A92"/>
    <w:rsid w:val="00070F9F"/>
    <w:rsid w:val="0007137B"/>
    <w:rsid w:val="00072120"/>
    <w:rsid w:val="00075352"/>
    <w:rsid w:val="00085663"/>
    <w:rsid w:val="00085EBF"/>
    <w:rsid w:val="00085F93"/>
    <w:rsid w:val="00091B15"/>
    <w:rsid w:val="000934DD"/>
    <w:rsid w:val="000A1E7C"/>
    <w:rsid w:val="000A3020"/>
    <w:rsid w:val="000A6BB4"/>
    <w:rsid w:val="000A6C7B"/>
    <w:rsid w:val="000B00AE"/>
    <w:rsid w:val="000B0360"/>
    <w:rsid w:val="000B6A77"/>
    <w:rsid w:val="000C1851"/>
    <w:rsid w:val="000C2B40"/>
    <w:rsid w:val="000D01F4"/>
    <w:rsid w:val="000D06C1"/>
    <w:rsid w:val="000D122C"/>
    <w:rsid w:val="000D250E"/>
    <w:rsid w:val="000D3016"/>
    <w:rsid w:val="000D3C31"/>
    <w:rsid w:val="000D64F2"/>
    <w:rsid w:val="000D7F32"/>
    <w:rsid w:val="000E1819"/>
    <w:rsid w:val="000E4821"/>
    <w:rsid w:val="000E539E"/>
    <w:rsid w:val="000E6C72"/>
    <w:rsid w:val="000F0B2B"/>
    <w:rsid w:val="000F3E72"/>
    <w:rsid w:val="000F48B1"/>
    <w:rsid w:val="000F723D"/>
    <w:rsid w:val="000F7B44"/>
    <w:rsid w:val="00103A67"/>
    <w:rsid w:val="00104749"/>
    <w:rsid w:val="00107FE7"/>
    <w:rsid w:val="00116EB2"/>
    <w:rsid w:val="00120312"/>
    <w:rsid w:val="00124609"/>
    <w:rsid w:val="00126A4C"/>
    <w:rsid w:val="00142AB6"/>
    <w:rsid w:val="00144385"/>
    <w:rsid w:val="0014573B"/>
    <w:rsid w:val="001467E7"/>
    <w:rsid w:val="00147E70"/>
    <w:rsid w:val="00156DCC"/>
    <w:rsid w:val="001573E4"/>
    <w:rsid w:val="00160756"/>
    <w:rsid w:val="00166FC9"/>
    <w:rsid w:val="00171937"/>
    <w:rsid w:val="0017232E"/>
    <w:rsid w:val="00174102"/>
    <w:rsid w:val="0017480F"/>
    <w:rsid w:val="001754EE"/>
    <w:rsid w:val="00180157"/>
    <w:rsid w:val="00182467"/>
    <w:rsid w:val="00183AFB"/>
    <w:rsid w:val="00185CB9"/>
    <w:rsid w:val="0018625A"/>
    <w:rsid w:val="00186F77"/>
    <w:rsid w:val="00192244"/>
    <w:rsid w:val="001924DF"/>
    <w:rsid w:val="001926A4"/>
    <w:rsid w:val="00192AD5"/>
    <w:rsid w:val="001A023B"/>
    <w:rsid w:val="001A49C7"/>
    <w:rsid w:val="001B3F62"/>
    <w:rsid w:val="001B45A0"/>
    <w:rsid w:val="001B45C0"/>
    <w:rsid w:val="001B4DEE"/>
    <w:rsid w:val="001B6F2E"/>
    <w:rsid w:val="001B7D00"/>
    <w:rsid w:val="001C17E7"/>
    <w:rsid w:val="001D055E"/>
    <w:rsid w:val="001E009C"/>
    <w:rsid w:val="001E5FE2"/>
    <w:rsid w:val="001F05A4"/>
    <w:rsid w:val="001F22B0"/>
    <w:rsid w:val="001F492E"/>
    <w:rsid w:val="001F6DA3"/>
    <w:rsid w:val="002010BC"/>
    <w:rsid w:val="002016E7"/>
    <w:rsid w:val="00201F98"/>
    <w:rsid w:val="00202E03"/>
    <w:rsid w:val="0020478D"/>
    <w:rsid w:val="0020492C"/>
    <w:rsid w:val="00205A33"/>
    <w:rsid w:val="0020662F"/>
    <w:rsid w:val="0020729B"/>
    <w:rsid w:val="00216569"/>
    <w:rsid w:val="0022444D"/>
    <w:rsid w:val="00224DB9"/>
    <w:rsid w:val="00225BF5"/>
    <w:rsid w:val="00227DCE"/>
    <w:rsid w:val="0023276C"/>
    <w:rsid w:val="00233775"/>
    <w:rsid w:val="0024342F"/>
    <w:rsid w:val="002512D4"/>
    <w:rsid w:val="00251745"/>
    <w:rsid w:val="002545E5"/>
    <w:rsid w:val="00256969"/>
    <w:rsid w:val="0025775E"/>
    <w:rsid w:val="0026394E"/>
    <w:rsid w:val="00263AC0"/>
    <w:rsid w:val="00263BB6"/>
    <w:rsid w:val="00264264"/>
    <w:rsid w:val="00265B00"/>
    <w:rsid w:val="0026772D"/>
    <w:rsid w:val="00270CE2"/>
    <w:rsid w:val="0027402E"/>
    <w:rsid w:val="00277554"/>
    <w:rsid w:val="00286874"/>
    <w:rsid w:val="00290C63"/>
    <w:rsid w:val="00296B65"/>
    <w:rsid w:val="0029724D"/>
    <w:rsid w:val="00297B88"/>
    <w:rsid w:val="002A5CD4"/>
    <w:rsid w:val="002A6688"/>
    <w:rsid w:val="002A7DEF"/>
    <w:rsid w:val="002B1003"/>
    <w:rsid w:val="002B573C"/>
    <w:rsid w:val="002B7BDC"/>
    <w:rsid w:val="002C233C"/>
    <w:rsid w:val="002C7C50"/>
    <w:rsid w:val="002D72E8"/>
    <w:rsid w:val="002E06FB"/>
    <w:rsid w:val="002E7B22"/>
    <w:rsid w:val="002F49F0"/>
    <w:rsid w:val="002F7986"/>
    <w:rsid w:val="00301B40"/>
    <w:rsid w:val="00301F1F"/>
    <w:rsid w:val="003029A5"/>
    <w:rsid w:val="003029EE"/>
    <w:rsid w:val="0030370B"/>
    <w:rsid w:val="0030552E"/>
    <w:rsid w:val="00305CC8"/>
    <w:rsid w:val="00307F6D"/>
    <w:rsid w:val="003130C9"/>
    <w:rsid w:val="0031325C"/>
    <w:rsid w:val="00313DC8"/>
    <w:rsid w:val="003177A2"/>
    <w:rsid w:val="003203B3"/>
    <w:rsid w:val="00320869"/>
    <w:rsid w:val="003220BF"/>
    <w:rsid w:val="00326B1D"/>
    <w:rsid w:val="003271B5"/>
    <w:rsid w:val="00327A1E"/>
    <w:rsid w:val="00331264"/>
    <w:rsid w:val="003338A2"/>
    <w:rsid w:val="00334C8D"/>
    <w:rsid w:val="0033548E"/>
    <w:rsid w:val="00341509"/>
    <w:rsid w:val="00343764"/>
    <w:rsid w:val="00343A18"/>
    <w:rsid w:val="00344473"/>
    <w:rsid w:val="00344D08"/>
    <w:rsid w:val="003457F9"/>
    <w:rsid w:val="00347114"/>
    <w:rsid w:val="003518B3"/>
    <w:rsid w:val="003578CD"/>
    <w:rsid w:val="003603BE"/>
    <w:rsid w:val="00363833"/>
    <w:rsid w:val="00364658"/>
    <w:rsid w:val="003666F2"/>
    <w:rsid w:val="003717D8"/>
    <w:rsid w:val="003739A9"/>
    <w:rsid w:val="00375922"/>
    <w:rsid w:val="003814F9"/>
    <w:rsid w:val="003846F1"/>
    <w:rsid w:val="003903D4"/>
    <w:rsid w:val="00391BF0"/>
    <w:rsid w:val="00391CC7"/>
    <w:rsid w:val="003931A7"/>
    <w:rsid w:val="00393646"/>
    <w:rsid w:val="003952E7"/>
    <w:rsid w:val="003A24A4"/>
    <w:rsid w:val="003B484F"/>
    <w:rsid w:val="003B7FBA"/>
    <w:rsid w:val="003C3515"/>
    <w:rsid w:val="003C68FD"/>
    <w:rsid w:val="003F0486"/>
    <w:rsid w:val="003F174D"/>
    <w:rsid w:val="003F572D"/>
    <w:rsid w:val="003F7442"/>
    <w:rsid w:val="0040105F"/>
    <w:rsid w:val="00407167"/>
    <w:rsid w:val="00410080"/>
    <w:rsid w:val="00415F31"/>
    <w:rsid w:val="00415FF5"/>
    <w:rsid w:val="00417D7C"/>
    <w:rsid w:val="00421E06"/>
    <w:rsid w:val="0042205D"/>
    <w:rsid w:val="00423A77"/>
    <w:rsid w:val="00426811"/>
    <w:rsid w:val="00433264"/>
    <w:rsid w:val="00436ECD"/>
    <w:rsid w:val="00446A38"/>
    <w:rsid w:val="00452473"/>
    <w:rsid w:val="004525A3"/>
    <w:rsid w:val="0045649A"/>
    <w:rsid w:val="0045777E"/>
    <w:rsid w:val="00461B0F"/>
    <w:rsid w:val="00461C29"/>
    <w:rsid w:val="004633E3"/>
    <w:rsid w:val="004717E6"/>
    <w:rsid w:val="00474EC7"/>
    <w:rsid w:val="0047770A"/>
    <w:rsid w:val="00480B4B"/>
    <w:rsid w:val="00485DC4"/>
    <w:rsid w:val="00490496"/>
    <w:rsid w:val="00497A5A"/>
    <w:rsid w:val="004A0A5E"/>
    <w:rsid w:val="004A43D1"/>
    <w:rsid w:val="004B2215"/>
    <w:rsid w:val="004B355D"/>
    <w:rsid w:val="004B4412"/>
    <w:rsid w:val="004C0C43"/>
    <w:rsid w:val="004C348C"/>
    <w:rsid w:val="004C5238"/>
    <w:rsid w:val="004C6A30"/>
    <w:rsid w:val="004C7209"/>
    <w:rsid w:val="004D1A96"/>
    <w:rsid w:val="004D55BA"/>
    <w:rsid w:val="004D579F"/>
    <w:rsid w:val="004E17BA"/>
    <w:rsid w:val="004E22EC"/>
    <w:rsid w:val="004E2A4C"/>
    <w:rsid w:val="004F070F"/>
    <w:rsid w:val="004F2449"/>
    <w:rsid w:val="004F6A0E"/>
    <w:rsid w:val="005062CA"/>
    <w:rsid w:val="00510D9B"/>
    <w:rsid w:val="00512B4F"/>
    <w:rsid w:val="00514F58"/>
    <w:rsid w:val="00527199"/>
    <w:rsid w:val="00530128"/>
    <w:rsid w:val="00532467"/>
    <w:rsid w:val="00533FF2"/>
    <w:rsid w:val="005364E5"/>
    <w:rsid w:val="00536B64"/>
    <w:rsid w:val="00537FD6"/>
    <w:rsid w:val="0054230E"/>
    <w:rsid w:val="00564A4D"/>
    <w:rsid w:val="0056588A"/>
    <w:rsid w:val="00567BA5"/>
    <w:rsid w:val="00571B35"/>
    <w:rsid w:val="00571D57"/>
    <w:rsid w:val="00577A09"/>
    <w:rsid w:val="005829C2"/>
    <w:rsid w:val="00584D8F"/>
    <w:rsid w:val="00585A4E"/>
    <w:rsid w:val="00586819"/>
    <w:rsid w:val="0059122E"/>
    <w:rsid w:val="0059704C"/>
    <w:rsid w:val="005A404D"/>
    <w:rsid w:val="005B03C0"/>
    <w:rsid w:val="005B1E3C"/>
    <w:rsid w:val="005B3FB7"/>
    <w:rsid w:val="005B4D33"/>
    <w:rsid w:val="005B704A"/>
    <w:rsid w:val="005C0A7F"/>
    <w:rsid w:val="005C1DB5"/>
    <w:rsid w:val="005C26CC"/>
    <w:rsid w:val="005C3811"/>
    <w:rsid w:val="005C4C9C"/>
    <w:rsid w:val="005C6218"/>
    <w:rsid w:val="005C697D"/>
    <w:rsid w:val="005D03B1"/>
    <w:rsid w:val="005D7BA2"/>
    <w:rsid w:val="005E36C2"/>
    <w:rsid w:val="005F0183"/>
    <w:rsid w:val="005F727F"/>
    <w:rsid w:val="006007DE"/>
    <w:rsid w:val="00601638"/>
    <w:rsid w:val="00610EF9"/>
    <w:rsid w:val="00612F4F"/>
    <w:rsid w:val="00615C6B"/>
    <w:rsid w:val="0061715D"/>
    <w:rsid w:val="00620DC3"/>
    <w:rsid w:val="00621DCE"/>
    <w:rsid w:val="0062563B"/>
    <w:rsid w:val="00626B5D"/>
    <w:rsid w:val="00632D6D"/>
    <w:rsid w:val="00640812"/>
    <w:rsid w:val="00640951"/>
    <w:rsid w:val="0064114F"/>
    <w:rsid w:val="00642C3E"/>
    <w:rsid w:val="00643E3A"/>
    <w:rsid w:val="00651C3A"/>
    <w:rsid w:val="00651CB2"/>
    <w:rsid w:val="006560CA"/>
    <w:rsid w:val="0066104A"/>
    <w:rsid w:val="00663DAD"/>
    <w:rsid w:val="00665649"/>
    <w:rsid w:val="00666E20"/>
    <w:rsid w:val="006672AA"/>
    <w:rsid w:val="00675E20"/>
    <w:rsid w:val="00676679"/>
    <w:rsid w:val="006812E7"/>
    <w:rsid w:val="00683C89"/>
    <w:rsid w:val="00684C16"/>
    <w:rsid w:val="00687078"/>
    <w:rsid w:val="00691D9A"/>
    <w:rsid w:val="00695D26"/>
    <w:rsid w:val="00696C67"/>
    <w:rsid w:val="0069758F"/>
    <w:rsid w:val="006A1FD6"/>
    <w:rsid w:val="006A7CB9"/>
    <w:rsid w:val="006A7D76"/>
    <w:rsid w:val="006B2395"/>
    <w:rsid w:val="006B45A4"/>
    <w:rsid w:val="006B4CF9"/>
    <w:rsid w:val="006B666A"/>
    <w:rsid w:val="006B6C4C"/>
    <w:rsid w:val="006B785B"/>
    <w:rsid w:val="006B7AC8"/>
    <w:rsid w:val="006C1736"/>
    <w:rsid w:val="006C4798"/>
    <w:rsid w:val="006C744F"/>
    <w:rsid w:val="006C7533"/>
    <w:rsid w:val="006C774D"/>
    <w:rsid w:val="006C7915"/>
    <w:rsid w:val="006D0F55"/>
    <w:rsid w:val="006D22F2"/>
    <w:rsid w:val="006D550F"/>
    <w:rsid w:val="006D7288"/>
    <w:rsid w:val="006E3C5B"/>
    <w:rsid w:val="006E3F76"/>
    <w:rsid w:val="006F1F83"/>
    <w:rsid w:val="006F3AD1"/>
    <w:rsid w:val="006F3FC8"/>
    <w:rsid w:val="006F6183"/>
    <w:rsid w:val="0070011E"/>
    <w:rsid w:val="00701AAF"/>
    <w:rsid w:val="00701CAB"/>
    <w:rsid w:val="00702DD6"/>
    <w:rsid w:val="00707563"/>
    <w:rsid w:val="007131A1"/>
    <w:rsid w:val="0072348C"/>
    <w:rsid w:val="00724A37"/>
    <w:rsid w:val="007303C3"/>
    <w:rsid w:val="007307BF"/>
    <w:rsid w:val="00730CE8"/>
    <w:rsid w:val="00732CB6"/>
    <w:rsid w:val="0073552B"/>
    <w:rsid w:val="00737E50"/>
    <w:rsid w:val="007407A9"/>
    <w:rsid w:val="00741C46"/>
    <w:rsid w:val="00741E23"/>
    <w:rsid w:val="007429BE"/>
    <w:rsid w:val="00743223"/>
    <w:rsid w:val="00744A45"/>
    <w:rsid w:val="0074694C"/>
    <w:rsid w:val="00746E01"/>
    <w:rsid w:val="00747EEA"/>
    <w:rsid w:val="007505A3"/>
    <w:rsid w:val="007528C7"/>
    <w:rsid w:val="00752C8D"/>
    <w:rsid w:val="00757364"/>
    <w:rsid w:val="00757BDF"/>
    <w:rsid w:val="00757F7C"/>
    <w:rsid w:val="007609D0"/>
    <w:rsid w:val="00762C3B"/>
    <w:rsid w:val="00763618"/>
    <w:rsid w:val="00763E5D"/>
    <w:rsid w:val="007656EA"/>
    <w:rsid w:val="00767740"/>
    <w:rsid w:val="00777EE6"/>
    <w:rsid w:val="00781FC0"/>
    <w:rsid w:val="00782EEA"/>
    <w:rsid w:val="007830F8"/>
    <w:rsid w:val="00786A52"/>
    <w:rsid w:val="007936A2"/>
    <w:rsid w:val="007A39AA"/>
    <w:rsid w:val="007A68DB"/>
    <w:rsid w:val="007A7002"/>
    <w:rsid w:val="007A7136"/>
    <w:rsid w:val="007A7F63"/>
    <w:rsid w:val="007B011C"/>
    <w:rsid w:val="007B186E"/>
    <w:rsid w:val="007B2C72"/>
    <w:rsid w:val="007B3596"/>
    <w:rsid w:val="007B6C52"/>
    <w:rsid w:val="007C1C53"/>
    <w:rsid w:val="007C2B29"/>
    <w:rsid w:val="007C601A"/>
    <w:rsid w:val="007C74BB"/>
    <w:rsid w:val="007D2D50"/>
    <w:rsid w:val="007D456E"/>
    <w:rsid w:val="007D4998"/>
    <w:rsid w:val="007E303E"/>
    <w:rsid w:val="007E42F4"/>
    <w:rsid w:val="007E4904"/>
    <w:rsid w:val="007E4CB5"/>
    <w:rsid w:val="007E5A07"/>
    <w:rsid w:val="007F066B"/>
    <w:rsid w:val="007F0A0B"/>
    <w:rsid w:val="007F1795"/>
    <w:rsid w:val="007F213A"/>
    <w:rsid w:val="007F75C4"/>
    <w:rsid w:val="00800DEF"/>
    <w:rsid w:val="00801720"/>
    <w:rsid w:val="008033C4"/>
    <w:rsid w:val="008057DE"/>
    <w:rsid w:val="00806C88"/>
    <w:rsid w:val="00810070"/>
    <w:rsid w:val="0081034E"/>
    <w:rsid w:val="00812B03"/>
    <w:rsid w:val="00815CAC"/>
    <w:rsid w:val="008168E7"/>
    <w:rsid w:val="008168FA"/>
    <w:rsid w:val="00821004"/>
    <w:rsid w:val="008221F2"/>
    <w:rsid w:val="00822DAF"/>
    <w:rsid w:val="00825985"/>
    <w:rsid w:val="00826CF8"/>
    <w:rsid w:val="008301A7"/>
    <w:rsid w:val="008301B2"/>
    <w:rsid w:val="008325AF"/>
    <w:rsid w:val="008344F6"/>
    <w:rsid w:val="00834575"/>
    <w:rsid w:val="0083510F"/>
    <w:rsid w:val="008408C5"/>
    <w:rsid w:val="008414FC"/>
    <w:rsid w:val="00847887"/>
    <w:rsid w:val="00851209"/>
    <w:rsid w:val="0085531A"/>
    <w:rsid w:val="00855643"/>
    <w:rsid w:val="00856C1B"/>
    <w:rsid w:val="0085722A"/>
    <w:rsid w:val="00862B19"/>
    <w:rsid w:val="00864B35"/>
    <w:rsid w:val="00866D99"/>
    <w:rsid w:val="00867CF6"/>
    <w:rsid w:val="008749E0"/>
    <w:rsid w:val="00874CD0"/>
    <w:rsid w:val="008811C0"/>
    <w:rsid w:val="00882481"/>
    <w:rsid w:val="008837AC"/>
    <w:rsid w:val="00883C42"/>
    <w:rsid w:val="0088682A"/>
    <w:rsid w:val="008A587D"/>
    <w:rsid w:val="008B35CD"/>
    <w:rsid w:val="008B5FCC"/>
    <w:rsid w:val="008B6DB4"/>
    <w:rsid w:val="008B7544"/>
    <w:rsid w:val="008B7569"/>
    <w:rsid w:val="008C3374"/>
    <w:rsid w:val="008C39F0"/>
    <w:rsid w:val="008C5486"/>
    <w:rsid w:val="008C63DF"/>
    <w:rsid w:val="008C708B"/>
    <w:rsid w:val="008D1661"/>
    <w:rsid w:val="008D3B92"/>
    <w:rsid w:val="008D6800"/>
    <w:rsid w:val="008E160B"/>
    <w:rsid w:val="008E2037"/>
    <w:rsid w:val="008E2F52"/>
    <w:rsid w:val="008E7031"/>
    <w:rsid w:val="008E77DE"/>
    <w:rsid w:val="008F07A3"/>
    <w:rsid w:val="008F16B3"/>
    <w:rsid w:val="008F34DD"/>
    <w:rsid w:val="009001B6"/>
    <w:rsid w:val="00900E1B"/>
    <w:rsid w:val="00901C3C"/>
    <w:rsid w:val="009038ED"/>
    <w:rsid w:val="009233EE"/>
    <w:rsid w:val="00923CFC"/>
    <w:rsid w:val="00923FA9"/>
    <w:rsid w:val="009272AD"/>
    <w:rsid w:val="009277DC"/>
    <w:rsid w:val="009342B5"/>
    <w:rsid w:val="00935B0D"/>
    <w:rsid w:val="00945AD4"/>
    <w:rsid w:val="009460AA"/>
    <w:rsid w:val="0094641C"/>
    <w:rsid w:val="00951978"/>
    <w:rsid w:val="009601F9"/>
    <w:rsid w:val="00961115"/>
    <w:rsid w:val="00961A4A"/>
    <w:rsid w:val="009661DE"/>
    <w:rsid w:val="00983C25"/>
    <w:rsid w:val="009856B7"/>
    <w:rsid w:val="00985A3D"/>
    <w:rsid w:val="00985C86"/>
    <w:rsid w:val="00996BAF"/>
    <w:rsid w:val="009972D8"/>
    <w:rsid w:val="009A4FAA"/>
    <w:rsid w:val="009A5113"/>
    <w:rsid w:val="009A539D"/>
    <w:rsid w:val="009A5FC3"/>
    <w:rsid w:val="009A78F0"/>
    <w:rsid w:val="009B5D4A"/>
    <w:rsid w:val="009B5DC8"/>
    <w:rsid w:val="009B6F84"/>
    <w:rsid w:val="009B7343"/>
    <w:rsid w:val="009B74B0"/>
    <w:rsid w:val="009C467F"/>
    <w:rsid w:val="009C691D"/>
    <w:rsid w:val="009C70AF"/>
    <w:rsid w:val="009C7A42"/>
    <w:rsid w:val="009D2B38"/>
    <w:rsid w:val="009D3906"/>
    <w:rsid w:val="009D6B46"/>
    <w:rsid w:val="009E0625"/>
    <w:rsid w:val="009E61A2"/>
    <w:rsid w:val="009F4940"/>
    <w:rsid w:val="009F5BA1"/>
    <w:rsid w:val="009F5FA6"/>
    <w:rsid w:val="00A02A88"/>
    <w:rsid w:val="00A0562E"/>
    <w:rsid w:val="00A06085"/>
    <w:rsid w:val="00A0726D"/>
    <w:rsid w:val="00A12B56"/>
    <w:rsid w:val="00A1557B"/>
    <w:rsid w:val="00A16596"/>
    <w:rsid w:val="00A16CFC"/>
    <w:rsid w:val="00A2303E"/>
    <w:rsid w:val="00A242A1"/>
    <w:rsid w:val="00A26A41"/>
    <w:rsid w:val="00A27A77"/>
    <w:rsid w:val="00A32947"/>
    <w:rsid w:val="00A32FBB"/>
    <w:rsid w:val="00A428EE"/>
    <w:rsid w:val="00A4478A"/>
    <w:rsid w:val="00A44852"/>
    <w:rsid w:val="00A4650A"/>
    <w:rsid w:val="00A50502"/>
    <w:rsid w:val="00A52239"/>
    <w:rsid w:val="00A57D04"/>
    <w:rsid w:val="00A60A26"/>
    <w:rsid w:val="00A61598"/>
    <w:rsid w:val="00A678CB"/>
    <w:rsid w:val="00A67E15"/>
    <w:rsid w:val="00A7259C"/>
    <w:rsid w:val="00A74404"/>
    <w:rsid w:val="00A77612"/>
    <w:rsid w:val="00A82001"/>
    <w:rsid w:val="00A84A99"/>
    <w:rsid w:val="00A84F46"/>
    <w:rsid w:val="00A871F4"/>
    <w:rsid w:val="00A90AA4"/>
    <w:rsid w:val="00A923BF"/>
    <w:rsid w:val="00AB47E1"/>
    <w:rsid w:val="00AC1B2C"/>
    <w:rsid w:val="00AC3264"/>
    <w:rsid w:val="00AC39B6"/>
    <w:rsid w:val="00AD0940"/>
    <w:rsid w:val="00AD3884"/>
    <w:rsid w:val="00AD7B56"/>
    <w:rsid w:val="00AE1BF1"/>
    <w:rsid w:val="00AF0DD2"/>
    <w:rsid w:val="00AF66BF"/>
    <w:rsid w:val="00B001AF"/>
    <w:rsid w:val="00B0209D"/>
    <w:rsid w:val="00B02961"/>
    <w:rsid w:val="00B04908"/>
    <w:rsid w:val="00B04B4C"/>
    <w:rsid w:val="00B07A7A"/>
    <w:rsid w:val="00B07CEA"/>
    <w:rsid w:val="00B13048"/>
    <w:rsid w:val="00B1716D"/>
    <w:rsid w:val="00B17A1D"/>
    <w:rsid w:val="00B207A0"/>
    <w:rsid w:val="00B258A1"/>
    <w:rsid w:val="00B40CAA"/>
    <w:rsid w:val="00B4328F"/>
    <w:rsid w:val="00B465AF"/>
    <w:rsid w:val="00B514DD"/>
    <w:rsid w:val="00B51F3F"/>
    <w:rsid w:val="00B52AF0"/>
    <w:rsid w:val="00B5404A"/>
    <w:rsid w:val="00B543A7"/>
    <w:rsid w:val="00B561BD"/>
    <w:rsid w:val="00B56E03"/>
    <w:rsid w:val="00B61EDF"/>
    <w:rsid w:val="00B72A66"/>
    <w:rsid w:val="00B74AC5"/>
    <w:rsid w:val="00B752BA"/>
    <w:rsid w:val="00B757A6"/>
    <w:rsid w:val="00B8080B"/>
    <w:rsid w:val="00B82223"/>
    <w:rsid w:val="00B87BA5"/>
    <w:rsid w:val="00B87C39"/>
    <w:rsid w:val="00B93BB7"/>
    <w:rsid w:val="00B9562D"/>
    <w:rsid w:val="00BA0731"/>
    <w:rsid w:val="00BA4665"/>
    <w:rsid w:val="00BA47EE"/>
    <w:rsid w:val="00BA7AE7"/>
    <w:rsid w:val="00BB2FB2"/>
    <w:rsid w:val="00BB3304"/>
    <w:rsid w:val="00BB3FD7"/>
    <w:rsid w:val="00BB6848"/>
    <w:rsid w:val="00BB7528"/>
    <w:rsid w:val="00BB7AE6"/>
    <w:rsid w:val="00BB7CBA"/>
    <w:rsid w:val="00BC18DE"/>
    <w:rsid w:val="00BC2FAF"/>
    <w:rsid w:val="00BC42EF"/>
    <w:rsid w:val="00BC466F"/>
    <w:rsid w:val="00BD08AA"/>
    <w:rsid w:val="00BD0920"/>
    <w:rsid w:val="00BD0C45"/>
    <w:rsid w:val="00BD1BEA"/>
    <w:rsid w:val="00BD310B"/>
    <w:rsid w:val="00BD3446"/>
    <w:rsid w:val="00BE1F1B"/>
    <w:rsid w:val="00BE3548"/>
    <w:rsid w:val="00BE47B5"/>
    <w:rsid w:val="00BE7FAA"/>
    <w:rsid w:val="00BF089E"/>
    <w:rsid w:val="00BF0C8F"/>
    <w:rsid w:val="00BF0CD7"/>
    <w:rsid w:val="00BF1515"/>
    <w:rsid w:val="00BF5B14"/>
    <w:rsid w:val="00BF621D"/>
    <w:rsid w:val="00C03DC6"/>
    <w:rsid w:val="00C04223"/>
    <w:rsid w:val="00C059E9"/>
    <w:rsid w:val="00C14C3D"/>
    <w:rsid w:val="00C207FD"/>
    <w:rsid w:val="00C21AC6"/>
    <w:rsid w:val="00C25FA6"/>
    <w:rsid w:val="00C275C4"/>
    <w:rsid w:val="00C30637"/>
    <w:rsid w:val="00C36F19"/>
    <w:rsid w:val="00C42ACA"/>
    <w:rsid w:val="00C43391"/>
    <w:rsid w:val="00C43821"/>
    <w:rsid w:val="00C4677A"/>
    <w:rsid w:val="00C468B1"/>
    <w:rsid w:val="00C5122C"/>
    <w:rsid w:val="00C538A9"/>
    <w:rsid w:val="00C53B5A"/>
    <w:rsid w:val="00C54434"/>
    <w:rsid w:val="00C54F5A"/>
    <w:rsid w:val="00C569B4"/>
    <w:rsid w:val="00C56A01"/>
    <w:rsid w:val="00C56A3E"/>
    <w:rsid w:val="00C624D3"/>
    <w:rsid w:val="00C67A92"/>
    <w:rsid w:val="00C73DEC"/>
    <w:rsid w:val="00C7487E"/>
    <w:rsid w:val="00C7497E"/>
    <w:rsid w:val="00C74D43"/>
    <w:rsid w:val="00C81568"/>
    <w:rsid w:val="00C84560"/>
    <w:rsid w:val="00C84F52"/>
    <w:rsid w:val="00C8593E"/>
    <w:rsid w:val="00C86679"/>
    <w:rsid w:val="00C90447"/>
    <w:rsid w:val="00C97CDF"/>
    <w:rsid w:val="00CA15BD"/>
    <w:rsid w:val="00CA2ABF"/>
    <w:rsid w:val="00CA2C1D"/>
    <w:rsid w:val="00CA489E"/>
    <w:rsid w:val="00CA5166"/>
    <w:rsid w:val="00CA52A2"/>
    <w:rsid w:val="00CA5E8E"/>
    <w:rsid w:val="00CB0279"/>
    <w:rsid w:val="00CB5DDE"/>
    <w:rsid w:val="00CB666B"/>
    <w:rsid w:val="00CC1ECA"/>
    <w:rsid w:val="00CC7F1D"/>
    <w:rsid w:val="00CD19EE"/>
    <w:rsid w:val="00CD4005"/>
    <w:rsid w:val="00CD5533"/>
    <w:rsid w:val="00CD6AF9"/>
    <w:rsid w:val="00CE01EE"/>
    <w:rsid w:val="00CE178D"/>
    <w:rsid w:val="00CE484B"/>
    <w:rsid w:val="00CE4900"/>
    <w:rsid w:val="00CE68A8"/>
    <w:rsid w:val="00CF0DEE"/>
    <w:rsid w:val="00CF1782"/>
    <w:rsid w:val="00CF2C05"/>
    <w:rsid w:val="00CF48D0"/>
    <w:rsid w:val="00CF6EDE"/>
    <w:rsid w:val="00D006AE"/>
    <w:rsid w:val="00D00812"/>
    <w:rsid w:val="00D01CF0"/>
    <w:rsid w:val="00D01EFD"/>
    <w:rsid w:val="00D0442A"/>
    <w:rsid w:val="00D06055"/>
    <w:rsid w:val="00D066B7"/>
    <w:rsid w:val="00D17683"/>
    <w:rsid w:val="00D23307"/>
    <w:rsid w:val="00D25942"/>
    <w:rsid w:val="00D32AB6"/>
    <w:rsid w:val="00D36FCC"/>
    <w:rsid w:val="00D41E80"/>
    <w:rsid w:val="00D45694"/>
    <w:rsid w:val="00D46BD3"/>
    <w:rsid w:val="00D5273C"/>
    <w:rsid w:val="00D608F6"/>
    <w:rsid w:val="00D60EFF"/>
    <w:rsid w:val="00D612C6"/>
    <w:rsid w:val="00D61388"/>
    <w:rsid w:val="00D61A54"/>
    <w:rsid w:val="00D64275"/>
    <w:rsid w:val="00D64DEA"/>
    <w:rsid w:val="00D66260"/>
    <w:rsid w:val="00D66657"/>
    <w:rsid w:val="00D7108D"/>
    <w:rsid w:val="00D7168E"/>
    <w:rsid w:val="00D71E57"/>
    <w:rsid w:val="00D75AA2"/>
    <w:rsid w:val="00D7645E"/>
    <w:rsid w:val="00D80893"/>
    <w:rsid w:val="00D84854"/>
    <w:rsid w:val="00D848B4"/>
    <w:rsid w:val="00D850CB"/>
    <w:rsid w:val="00D86B06"/>
    <w:rsid w:val="00D9251E"/>
    <w:rsid w:val="00D92CF1"/>
    <w:rsid w:val="00D92D38"/>
    <w:rsid w:val="00D950F5"/>
    <w:rsid w:val="00DA0BCC"/>
    <w:rsid w:val="00DA4752"/>
    <w:rsid w:val="00DA4CFA"/>
    <w:rsid w:val="00DA4FF2"/>
    <w:rsid w:val="00DA61F3"/>
    <w:rsid w:val="00DA6B93"/>
    <w:rsid w:val="00DA6F94"/>
    <w:rsid w:val="00DB0F93"/>
    <w:rsid w:val="00DB1A67"/>
    <w:rsid w:val="00DB39DB"/>
    <w:rsid w:val="00DB4B8D"/>
    <w:rsid w:val="00DB5074"/>
    <w:rsid w:val="00DB5B21"/>
    <w:rsid w:val="00DB7BF9"/>
    <w:rsid w:val="00DC200E"/>
    <w:rsid w:val="00DC7981"/>
    <w:rsid w:val="00DD1C15"/>
    <w:rsid w:val="00DD6226"/>
    <w:rsid w:val="00DE1093"/>
    <w:rsid w:val="00DE2ACF"/>
    <w:rsid w:val="00DE3CBD"/>
    <w:rsid w:val="00DE4EFA"/>
    <w:rsid w:val="00DE5520"/>
    <w:rsid w:val="00DE563D"/>
    <w:rsid w:val="00DE5E2E"/>
    <w:rsid w:val="00DE772C"/>
    <w:rsid w:val="00DF1D9A"/>
    <w:rsid w:val="00DF22C2"/>
    <w:rsid w:val="00DF312A"/>
    <w:rsid w:val="00E04818"/>
    <w:rsid w:val="00E06442"/>
    <w:rsid w:val="00E06BCF"/>
    <w:rsid w:val="00E1001C"/>
    <w:rsid w:val="00E10B7C"/>
    <w:rsid w:val="00E11949"/>
    <w:rsid w:val="00E156D4"/>
    <w:rsid w:val="00E20459"/>
    <w:rsid w:val="00E22858"/>
    <w:rsid w:val="00E23993"/>
    <w:rsid w:val="00E257D6"/>
    <w:rsid w:val="00E25B8C"/>
    <w:rsid w:val="00E35076"/>
    <w:rsid w:val="00E3544F"/>
    <w:rsid w:val="00E37804"/>
    <w:rsid w:val="00E4087A"/>
    <w:rsid w:val="00E46387"/>
    <w:rsid w:val="00E50653"/>
    <w:rsid w:val="00E51D65"/>
    <w:rsid w:val="00E54EAE"/>
    <w:rsid w:val="00E6200B"/>
    <w:rsid w:val="00E6432D"/>
    <w:rsid w:val="00E64331"/>
    <w:rsid w:val="00E65C85"/>
    <w:rsid w:val="00E66199"/>
    <w:rsid w:val="00E711C7"/>
    <w:rsid w:val="00E7494F"/>
    <w:rsid w:val="00E755EC"/>
    <w:rsid w:val="00E7624D"/>
    <w:rsid w:val="00E81255"/>
    <w:rsid w:val="00E97242"/>
    <w:rsid w:val="00EA38F3"/>
    <w:rsid w:val="00EA3D42"/>
    <w:rsid w:val="00EA4C14"/>
    <w:rsid w:val="00EA51CD"/>
    <w:rsid w:val="00EA6B1B"/>
    <w:rsid w:val="00EB5BC8"/>
    <w:rsid w:val="00EB606C"/>
    <w:rsid w:val="00EB67ED"/>
    <w:rsid w:val="00EC04F1"/>
    <w:rsid w:val="00EC1B2B"/>
    <w:rsid w:val="00EC3019"/>
    <w:rsid w:val="00EC32E5"/>
    <w:rsid w:val="00EC5FB3"/>
    <w:rsid w:val="00ED0219"/>
    <w:rsid w:val="00ED0B1B"/>
    <w:rsid w:val="00ED0EC2"/>
    <w:rsid w:val="00ED3474"/>
    <w:rsid w:val="00ED68B9"/>
    <w:rsid w:val="00ED7323"/>
    <w:rsid w:val="00EE28F3"/>
    <w:rsid w:val="00EE50D1"/>
    <w:rsid w:val="00EE69A7"/>
    <w:rsid w:val="00EE77FA"/>
    <w:rsid w:val="00EE7A83"/>
    <w:rsid w:val="00EE7B65"/>
    <w:rsid w:val="00EF08AF"/>
    <w:rsid w:val="00EF1896"/>
    <w:rsid w:val="00EF1B7A"/>
    <w:rsid w:val="00EF5110"/>
    <w:rsid w:val="00EF6177"/>
    <w:rsid w:val="00F0334E"/>
    <w:rsid w:val="00F05F53"/>
    <w:rsid w:val="00F07967"/>
    <w:rsid w:val="00F10411"/>
    <w:rsid w:val="00F15882"/>
    <w:rsid w:val="00F15D94"/>
    <w:rsid w:val="00F171E0"/>
    <w:rsid w:val="00F20BD3"/>
    <w:rsid w:val="00F24F66"/>
    <w:rsid w:val="00F2526A"/>
    <w:rsid w:val="00F2740A"/>
    <w:rsid w:val="00F35081"/>
    <w:rsid w:val="00F373A5"/>
    <w:rsid w:val="00F41813"/>
    <w:rsid w:val="00F42E08"/>
    <w:rsid w:val="00F46D89"/>
    <w:rsid w:val="00F47559"/>
    <w:rsid w:val="00F50842"/>
    <w:rsid w:val="00F516E5"/>
    <w:rsid w:val="00F57907"/>
    <w:rsid w:val="00F61176"/>
    <w:rsid w:val="00F62A30"/>
    <w:rsid w:val="00F64C7B"/>
    <w:rsid w:val="00F6574C"/>
    <w:rsid w:val="00F65B25"/>
    <w:rsid w:val="00F676DD"/>
    <w:rsid w:val="00F71667"/>
    <w:rsid w:val="00F73895"/>
    <w:rsid w:val="00F75A26"/>
    <w:rsid w:val="00F76706"/>
    <w:rsid w:val="00F768C8"/>
    <w:rsid w:val="00F807EC"/>
    <w:rsid w:val="00F81198"/>
    <w:rsid w:val="00F81B8D"/>
    <w:rsid w:val="00F83FAD"/>
    <w:rsid w:val="00F848E2"/>
    <w:rsid w:val="00F851EC"/>
    <w:rsid w:val="00F85C5E"/>
    <w:rsid w:val="00F861B4"/>
    <w:rsid w:val="00F8641A"/>
    <w:rsid w:val="00F8653A"/>
    <w:rsid w:val="00F91F55"/>
    <w:rsid w:val="00F92349"/>
    <w:rsid w:val="00F93B21"/>
    <w:rsid w:val="00F952A0"/>
    <w:rsid w:val="00FA3C7F"/>
    <w:rsid w:val="00FA7552"/>
    <w:rsid w:val="00FB1BF3"/>
    <w:rsid w:val="00FB2F4C"/>
    <w:rsid w:val="00FB4402"/>
    <w:rsid w:val="00FB60FE"/>
    <w:rsid w:val="00FB74E2"/>
    <w:rsid w:val="00FC0CC7"/>
    <w:rsid w:val="00FC518C"/>
    <w:rsid w:val="00FC71DC"/>
    <w:rsid w:val="00FD2ED2"/>
    <w:rsid w:val="00FD4991"/>
    <w:rsid w:val="00FD5614"/>
    <w:rsid w:val="00FD5E78"/>
    <w:rsid w:val="00FE0BE1"/>
    <w:rsid w:val="00FE0D9E"/>
    <w:rsid w:val="00FE1DE9"/>
    <w:rsid w:val="00FE2A0E"/>
    <w:rsid w:val="00FE36AF"/>
    <w:rsid w:val="00FE39C2"/>
    <w:rsid w:val="00FE3C32"/>
    <w:rsid w:val="00FE64AE"/>
    <w:rsid w:val="00FF24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60"/>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uiPriority w:val="99"/>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 w:type="paragraph" w:styleId="PlainText">
    <w:name w:val="Plain Text"/>
    <w:basedOn w:val="Normal"/>
    <w:link w:val="PlainTextChar"/>
    <w:uiPriority w:val="99"/>
    <w:unhideWhenUsed/>
    <w:rsid w:val="00CE01EE"/>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CE01EE"/>
    <w:rPr>
      <w:rFonts w:ascii="Verdana" w:eastAsia="Times New Roman" w:hAnsi="Verdana" w:cs="Times New Roman"/>
      <w:sz w:val="24"/>
      <w:szCs w:val="24"/>
      <w:lang w:eastAsia="en-AU"/>
    </w:rPr>
  </w:style>
  <w:style w:type="paragraph" w:styleId="MessageHeader">
    <w:name w:val="Message Header"/>
    <w:basedOn w:val="Normal"/>
    <w:link w:val="MessageHeaderChar"/>
    <w:uiPriority w:val="99"/>
    <w:unhideWhenUsed/>
    <w:rsid w:val="00CE01EE"/>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CE01EE"/>
    <w:rPr>
      <w:rFonts w:asciiTheme="majorHAnsi" w:eastAsiaTheme="majorEastAsia" w:hAnsiTheme="majorHAnsi" w:cstheme="majorBidi"/>
      <w:sz w:val="24"/>
      <w:szCs w:val="24"/>
      <w:shd w:val="pct20"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60"/>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uiPriority w:val="99"/>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 w:type="paragraph" w:styleId="PlainText">
    <w:name w:val="Plain Text"/>
    <w:basedOn w:val="Normal"/>
    <w:link w:val="PlainTextChar"/>
    <w:uiPriority w:val="99"/>
    <w:unhideWhenUsed/>
    <w:rsid w:val="00CE01EE"/>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CE01EE"/>
    <w:rPr>
      <w:rFonts w:ascii="Verdana" w:eastAsia="Times New Roman" w:hAnsi="Verdana" w:cs="Times New Roman"/>
      <w:sz w:val="24"/>
      <w:szCs w:val="24"/>
      <w:lang w:eastAsia="en-AU"/>
    </w:rPr>
  </w:style>
  <w:style w:type="paragraph" w:styleId="MessageHeader">
    <w:name w:val="Message Header"/>
    <w:basedOn w:val="Normal"/>
    <w:link w:val="MessageHeaderChar"/>
    <w:uiPriority w:val="99"/>
    <w:unhideWhenUsed/>
    <w:rsid w:val="00CE01EE"/>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CE01EE"/>
    <w:rPr>
      <w:rFonts w:asciiTheme="majorHAnsi" w:eastAsiaTheme="majorEastAsia" w:hAnsiTheme="majorHAnsi" w:cstheme="majorBidi"/>
      <w:sz w:val="24"/>
      <w:szCs w:val="2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610142">
      <w:bodyDiv w:val="1"/>
      <w:marLeft w:val="0"/>
      <w:marRight w:val="0"/>
      <w:marTop w:val="0"/>
      <w:marBottom w:val="0"/>
      <w:divBdr>
        <w:top w:val="none" w:sz="0" w:space="0" w:color="auto"/>
        <w:left w:val="none" w:sz="0" w:space="0" w:color="auto"/>
        <w:bottom w:val="none" w:sz="0" w:space="0" w:color="auto"/>
        <w:right w:val="none" w:sz="0" w:space="0" w:color="auto"/>
      </w:divBdr>
    </w:div>
    <w:div w:id="482619424">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21515850">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124421570">
      <w:bodyDiv w:val="1"/>
      <w:marLeft w:val="0"/>
      <w:marRight w:val="0"/>
      <w:marTop w:val="0"/>
      <w:marBottom w:val="0"/>
      <w:divBdr>
        <w:top w:val="none" w:sz="0" w:space="0" w:color="auto"/>
        <w:left w:val="none" w:sz="0" w:space="0" w:color="auto"/>
        <w:bottom w:val="none" w:sz="0" w:space="0" w:color="auto"/>
        <w:right w:val="none" w:sz="0" w:space="0" w:color="auto"/>
      </w:divBdr>
    </w:div>
    <w:div w:id="1420059877">
      <w:bodyDiv w:val="1"/>
      <w:marLeft w:val="0"/>
      <w:marRight w:val="0"/>
      <w:marTop w:val="0"/>
      <w:marBottom w:val="0"/>
      <w:divBdr>
        <w:top w:val="none" w:sz="0" w:space="0" w:color="auto"/>
        <w:left w:val="none" w:sz="0" w:space="0" w:color="auto"/>
        <w:bottom w:val="none" w:sz="0" w:space="0" w:color="auto"/>
        <w:right w:val="none" w:sz="0" w:space="0" w:color="auto"/>
      </w:divBdr>
    </w:div>
    <w:div w:id="1435904745">
      <w:bodyDiv w:val="1"/>
      <w:marLeft w:val="0"/>
      <w:marRight w:val="0"/>
      <w:marTop w:val="0"/>
      <w:marBottom w:val="0"/>
      <w:divBdr>
        <w:top w:val="none" w:sz="0" w:space="0" w:color="auto"/>
        <w:left w:val="none" w:sz="0" w:space="0" w:color="auto"/>
        <w:bottom w:val="none" w:sz="0" w:space="0" w:color="auto"/>
        <w:right w:val="none" w:sz="0" w:space="0" w:color="auto"/>
      </w:divBdr>
    </w:div>
    <w:div w:id="1449934523">
      <w:bodyDiv w:val="1"/>
      <w:marLeft w:val="0"/>
      <w:marRight w:val="0"/>
      <w:marTop w:val="0"/>
      <w:marBottom w:val="0"/>
      <w:divBdr>
        <w:top w:val="none" w:sz="0" w:space="0" w:color="auto"/>
        <w:left w:val="none" w:sz="0" w:space="0" w:color="auto"/>
        <w:bottom w:val="none" w:sz="0" w:space="0" w:color="auto"/>
        <w:right w:val="none" w:sz="0" w:space="0" w:color="auto"/>
      </w:divBdr>
    </w:div>
    <w:div w:id="1676951781">
      <w:bodyDiv w:val="1"/>
      <w:marLeft w:val="0"/>
      <w:marRight w:val="0"/>
      <w:marTop w:val="0"/>
      <w:marBottom w:val="0"/>
      <w:divBdr>
        <w:top w:val="none" w:sz="0" w:space="0" w:color="auto"/>
        <w:left w:val="none" w:sz="0" w:space="0" w:color="auto"/>
        <w:bottom w:val="none" w:sz="0" w:space="0" w:color="auto"/>
        <w:right w:val="none" w:sz="0" w:space="0" w:color="auto"/>
      </w:divBdr>
    </w:div>
    <w:div w:id="193608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networks-pipelines/determinations-access-arrangements/transgrid-determination-2014-18" TargetMode="External"/><Relationship Id="rId13" Type="http://schemas.openxmlformats.org/officeDocument/2006/relationships/hyperlink" Target="http://www.aemc.gov.au/Energy-Rules/National-gas-rules/Gas-scheme-register/WA-Pilbara-Pipeline-System" TargetMode="External"/><Relationship Id="rId3" Type="http://schemas.openxmlformats.org/officeDocument/2006/relationships/hyperlink" Target="http://www.aer.gov.au/node/18859" TargetMode="External"/><Relationship Id="rId7" Type="http://schemas.openxmlformats.org/officeDocument/2006/relationships/hyperlink" Target="https://www.aer.gov.au/networks-pipelines/determinations-access-arrangements/energex-determination-2015-2020/final-decision" TargetMode="External"/><Relationship Id="rId12" Type="http://schemas.openxmlformats.org/officeDocument/2006/relationships/hyperlink" Target="http://www.asx.com.au/asx/statistics/announcements.do?by=asxCode&amp;asxCode=ENV&amp;timeframe=Y&amp;year=2014" TargetMode="External"/><Relationship Id="rId17" Type="http://schemas.openxmlformats.org/officeDocument/2006/relationships/hyperlink" Target="http://www.rba.gov.au/statistics/tables/xls/f03hist.xls" TargetMode="External"/><Relationship Id="rId2" Type="http://schemas.openxmlformats.org/officeDocument/2006/relationships/hyperlink" Target="http://www.aer.gov.au/node/18859" TargetMode="External"/><Relationship Id="rId16" Type="http://schemas.openxmlformats.org/officeDocument/2006/relationships/hyperlink" Target="https://infrastructure.gov.au/aviation/airport/airport_economic_regulation/economic_regulation.aspx" TargetMode="External"/><Relationship Id="rId1" Type="http://schemas.openxmlformats.org/officeDocument/2006/relationships/hyperlink" Target="http://www.aer.gov.au/node/18859" TargetMode="External"/><Relationship Id="rId6" Type="http://schemas.openxmlformats.org/officeDocument/2006/relationships/hyperlink" Target="https://www.aer.gov.au/networks-pipelines/determinations-access-arrangements/transgrid-determination-2014-18" TargetMode="External"/><Relationship Id="rId11" Type="http://schemas.openxmlformats.org/officeDocument/2006/relationships/hyperlink" Target="http://www.rba.gov.au/statistics/tables/xls/f03hist.xls" TargetMode="External"/><Relationship Id="rId5" Type="http://schemas.openxmlformats.org/officeDocument/2006/relationships/hyperlink" Target="http://www.aer.gov.au/node/27616" TargetMode="External"/><Relationship Id="rId15" Type="http://schemas.openxmlformats.org/officeDocument/2006/relationships/hyperlink" Target="http://www.aer.gov.au/node/5219" TargetMode="External"/><Relationship Id="rId10" Type="http://schemas.openxmlformats.org/officeDocument/2006/relationships/hyperlink" Target="http://www.rba.gov.au/statistics/tables/index.html" TargetMode="External"/><Relationship Id="rId4" Type="http://schemas.openxmlformats.org/officeDocument/2006/relationships/hyperlink" Target="http://www.aer.gov.au/node/18859" TargetMode="External"/><Relationship Id="rId9" Type="http://schemas.openxmlformats.org/officeDocument/2006/relationships/hyperlink" Target="https://www.aer.gov.au/networks-pipelines/determinations-access-arrangements/energex-determination-2015-2020/final-decision" TargetMode="External"/><Relationship Id="rId14" Type="http://schemas.openxmlformats.org/officeDocument/2006/relationships/hyperlink" Target="http://www.aer.gov.au/node/5453"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28CD88-9D2F-482C-95AC-4760B61E1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D30BB624</Template>
  <TotalTime>0</TotalTime>
  <Pages>371</Pages>
  <Words>111137</Words>
  <Characters>633483</Characters>
  <Application>Microsoft Office Word</Application>
  <DocSecurity>0</DocSecurity>
  <Lines>5279</Lines>
  <Paragraphs>1486</Paragraphs>
  <ScaleCrop>false</ScaleCrop>
  <Company/>
  <LinksUpToDate>false</LinksUpToDate>
  <CharactersWithSpaces>743134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2016-05-25T03:33:00Z</dcterms:created>
  <dcterms:modified xsi:type="dcterms:W3CDTF">2016-05-25T03:33:00Z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